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608" w:rsidRDefault="00667608">
      <w:pPr>
        <w:pStyle w:val="A-StudyTitle"/>
      </w:pPr>
      <w:proofErr w:type="spellStart"/>
      <w:r>
        <w:t>Zinforo</w:t>
      </w:r>
      <w:proofErr w:type="spellEnd"/>
      <w:r>
        <w:rPr>
          <w:rFonts w:cs="Arial"/>
          <w:vertAlign w:val="superscript"/>
        </w:rPr>
        <w:t>®</w:t>
      </w:r>
    </w:p>
    <w:p w:rsidR="00667608" w:rsidRDefault="00667608">
      <w:pPr>
        <w:pStyle w:val="A-StudyTitle"/>
        <w:rPr>
          <w:b w:val="0"/>
          <w:bCs/>
          <w:sz w:val="24"/>
        </w:rPr>
      </w:pPr>
      <w:proofErr w:type="spellStart"/>
      <w:r>
        <w:rPr>
          <w:b w:val="0"/>
          <w:bCs/>
          <w:sz w:val="24"/>
        </w:rPr>
        <w:t>ceftaroline</w:t>
      </w:r>
      <w:proofErr w:type="spellEnd"/>
      <w:r>
        <w:rPr>
          <w:b w:val="0"/>
          <w:bCs/>
          <w:sz w:val="24"/>
        </w:rPr>
        <w:t xml:space="preserve"> </w:t>
      </w:r>
      <w:proofErr w:type="spellStart"/>
      <w:r>
        <w:rPr>
          <w:b w:val="0"/>
          <w:bCs/>
          <w:sz w:val="24"/>
        </w:rPr>
        <w:t>fosamil</w:t>
      </w:r>
      <w:proofErr w:type="spellEnd"/>
    </w:p>
    <w:p w:rsidR="00667608" w:rsidRDefault="00667608">
      <w:pPr>
        <w:pStyle w:val="A-StudyTitle"/>
        <w:rPr>
          <w:sz w:val="24"/>
        </w:rPr>
      </w:pPr>
      <w:r>
        <w:rPr>
          <w:sz w:val="24"/>
        </w:rPr>
        <w:t>PRODUCT INFORMATION</w:t>
      </w:r>
    </w:p>
    <w:p w:rsidR="00667608" w:rsidRDefault="00667608">
      <w:pPr>
        <w:pStyle w:val="A-Heading1"/>
        <w:rPr>
          <w:lang w:val="en-AU"/>
        </w:rPr>
      </w:pPr>
      <w:r>
        <w:rPr>
          <w:lang w:val="en-AU"/>
        </w:rPr>
        <w:t>NAME OF THE MEDICINE</w:t>
      </w:r>
    </w:p>
    <w:p w:rsidR="00667608" w:rsidRDefault="00667608">
      <w:proofErr w:type="spellStart"/>
      <w:proofErr w:type="gramStart"/>
      <w:r>
        <w:t>Ceftaroline</w:t>
      </w:r>
      <w:proofErr w:type="spellEnd"/>
      <w:r>
        <w:t xml:space="preserve"> </w:t>
      </w:r>
      <w:proofErr w:type="spellStart"/>
      <w:r>
        <w:t>fosamil</w:t>
      </w:r>
      <w:proofErr w:type="spellEnd"/>
      <w:r>
        <w:rPr>
          <w:color w:val="00B0F0"/>
        </w:rPr>
        <w:t>,</w:t>
      </w:r>
      <w:r>
        <w:t xml:space="preserve"> as </w:t>
      </w:r>
      <w:proofErr w:type="spellStart"/>
      <w:r>
        <w:t>ceftaroline</w:t>
      </w:r>
      <w:proofErr w:type="spellEnd"/>
      <w:r>
        <w:t xml:space="preserve"> </w:t>
      </w:r>
      <w:proofErr w:type="spellStart"/>
      <w:r>
        <w:t>fosamil</w:t>
      </w:r>
      <w:proofErr w:type="spellEnd"/>
      <w:r>
        <w:t xml:space="preserve"> </w:t>
      </w:r>
      <w:proofErr w:type="spellStart"/>
      <w:r>
        <w:t>monoacetate</w:t>
      </w:r>
      <w:proofErr w:type="spellEnd"/>
      <w:r>
        <w:t xml:space="preserve"> monohydrate.</w:t>
      </w:r>
      <w:proofErr w:type="gramEnd"/>
    </w:p>
    <w:p w:rsidR="00667608" w:rsidRDefault="00667608">
      <w:r>
        <w:t xml:space="preserve">The chemical name of </w:t>
      </w:r>
      <w:proofErr w:type="spellStart"/>
      <w:r>
        <w:t>ceftaroline</w:t>
      </w:r>
      <w:proofErr w:type="spellEnd"/>
      <w:r>
        <w:t xml:space="preserve"> </w:t>
      </w:r>
      <w:proofErr w:type="spellStart"/>
      <w:r>
        <w:t>fosamil</w:t>
      </w:r>
      <w:proofErr w:type="spellEnd"/>
      <w:r>
        <w:t xml:space="preserve"> </w:t>
      </w:r>
      <w:proofErr w:type="spellStart"/>
      <w:r>
        <w:t>monoacetate</w:t>
      </w:r>
      <w:proofErr w:type="spellEnd"/>
      <w:r>
        <w:t xml:space="preserve"> monohydrate is (6R, 7R)-7-{(2Z)-2-(ethoxyimino)-2-[5-phosphonoamino)-1,2,4-thiadiazol-3-yl]acetamido}}-3-{[4-(1-methylpyridin-1-ium-4-yl)-1,3-thiazol-2-yl]sulfanyl}8-oxo-5-thia-1-azabicyclo[4.2.0]oct-2-ene-2-carboxylate </w:t>
      </w:r>
      <w:proofErr w:type="spellStart"/>
      <w:r>
        <w:t>monoacetate</w:t>
      </w:r>
      <w:proofErr w:type="spellEnd"/>
      <w:r>
        <w:t xml:space="preserve"> monohydrate.</w:t>
      </w:r>
    </w:p>
    <w:p w:rsidR="00667608" w:rsidRDefault="00667608">
      <w:r>
        <w:t xml:space="preserve">The chemical structure of </w:t>
      </w:r>
      <w:proofErr w:type="spellStart"/>
      <w:r>
        <w:t>ceftaroline</w:t>
      </w:r>
      <w:proofErr w:type="spellEnd"/>
      <w:r>
        <w:t xml:space="preserve"> </w:t>
      </w:r>
      <w:proofErr w:type="spellStart"/>
      <w:r>
        <w:t>fosamil</w:t>
      </w:r>
      <w:proofErr w:type="spellEnd"/>
      <w:r>
        <w:t xml:space="preserve"> </w:t>
      </w:r>
      <w:proofErr w:type="spellStart"/>
      <w:r>
        <w:t>monoacetate</w:t>
      </w:r>
      <w:proofErr w:type="spellEnd"/>
      <w:r>
        <w:t xml:space="preserve"> monohydrate is:</w:t>
      </w:r>
    </w:p>
    <w:p w:rsidR="00667608" w:rsidRDefault="00A259D0">
      <w:pPr>
        <w:jc w:val="center"/>
      </w:pPr>
      <w:r>
        <w:object w:dxaOrig="5535"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of ceftaroline fosamil monoacetate monohydrate" style="width:276.75pt;height:107.25pt" o:ole="">
            <v:imagedata r:id="rId7" o:title=""/>
          </v:shape>
          <o:OLEObject Type="Embed" ProgID="ISISServer" ShapeID="_x0000_i1025" DrawAspect="Content" ObjectID="_1439733723" r:id="rId8"/>
        </w:object>
      </w:r>
    </w:p>
    <w:tbl>
      <w:tblPr>
        <w:tblW w:w="0" w:type="auto"/>
        <w:tblLayout w:type="fixed"/>
        <w:tblLook w:val="0000"/>
      </w:tblPr>
      <w:tblGrid>
        <w:gridCol w:w="3002"/>
        <w:gridCol w:w="3002"/>
        <w:gridCol w:w="3002"/>
      </w:tblGrid>
      <w:tr w:rsidR="00667608">
        <w:trPr>
          <w:cantSplit/>
          <w:tblHeader/>
        </w:trPr>
        <w:tc>
          <w:tcPr>
            <w:tcW w:w="3002" w:type="dxa"/>
            <w:tcBorders>
              <w:top w:val="single" w:sz="12" w:space="0" w:color="auto"/>
              <w:bottom w:val="single" w:sz="6" w:space="0" w:color="auto"/>
            </w:tcBorders>
          </w:tcPr>
          <w:p w:rsidR="00667608" w:rsidRDefault="00667608">
            <w:pPr>
              <w:pStyle w:val="A-TableHeader"/>
            </w:pPr>
          </w:p>
        </w:tc>
        <w:tc>
          <w:tcPr>
            <w:tcW w:w="3002" w:type="dxa"/>
            <w:tcBorders>
              <w:top w:val="single" w:sz="12" w:space="0" w:color="auto"/>
              <w:bottom w:val="single" w:sz="6" w:space="0" w:color="auto"/>
            </w:tcBorders>
          </w:tcPr>
          <w:p w:rsidR="00667608" w:rsidRDefault="00667608">
            <w:pPr>
              <w:pStyle w:val="A-TableHeader"/>
              <w:jc w:val="center"/>
            </w:pPr>
            <w:r>
              <w:t>solvate hydrate form</w:t>
            </w:r>
          </w:p>
        </w:tc>
        <w:tc>
          <w:tcPr>
            <w:tcW w:w="3002" w:type="dxa"/>
            <w:tcBorders>
              <w:top w:val="single" w:sz="12" w:space="0" w:color="auto"/>
              <w:bottom w:val="single" w:sz="6" w:space="0" w:color="auto"/>
            </w:tcBorders>
          </w:tcPr>
          <w:p w:rsidR="00667608" w:rsidRDefault="00667608">
            <w:pPr>
              <w:pStyle w:val="A-TableHeader"/>
              <w:jc w:val="center"/>
            </w:pPr>
            <w:r>
              <w:t>solvent and water free form</w:t>
            </w:r>
          </w:p>
        </w:tc>
      </w:tr>
      <w:tr w:rsidR="00667608">
        <w:trPr>
          <w:cantSplit/>
        </w:trPr>
        <w:tc>
          <w:tcPr>
            <w:tcW w:w="3002" w:type="dxa"/>
            <w:tcBorders>
              <w:top w:val="single" w:sz="6" w:space="0" w:color="auto"/>
            </w:tcBorders>
          </w:tcPr>
          <w:p w:rsidR="00667608" w:rsidRDefault="00667608">
            <w:pPr>
              <w:pStyle w:val="A-TableText"/>
              <w:rPr>
                <w:sz w:val="20"/>
              </w:rPr>
            </w:pPr>
            <w:r>
              <w:rPr>
                <w:sz w:val="20"/>
              </w:rPr>
              <w:t>CAS number</w:t>
            </w:r>
          </w:p>
        </w:tc>
        <w:tc>
          <w:tcPr>
            <w:tcW w:w="3002" w:type="dxa"/>
            <w:tcBorders>
              <w:top w:val="single" w:sz="6" w:space="0" w:color="auto"/>
            </w:tcBorders>
          </w:tcPr>
          <w:p w:rsidR="00667608" w:rsidRDefault="00667608">
            <w:pPr>
              <w:pStyle w:val="A-TableText"/>
              <w:jc w:val="center"/>
              <w:rPr>
                <w:sz w:val="20"/>
              </w:rPr>
            </w:pPr>
            <w:r>
              <w:rPr>
                <w:sz w:val="20"/>
              </w:rPr>
              <w:t>400827-55-6</w:t>
            </w:r>
          </w:p>
        </w:tc>
        <w:tc>
          <w:tcPr>
            <w:tcW w:w="3002" w:type="dxa"/>
            <w:tcBorders>
              <w:top w:val="single" w:sz="6" w:space="0" w:color="auto"/>
            </w:tcBorders>
          </w:tcPr>
          <w:p w:rsidR="00667608" w:rsidRDefault="00667608">
            <w:pPr>
              <w:pStyle w:val="A-TableText"/>
              <w:jc w:val="center"/>
              <w:rPr>
                <w:sz w:val="20"/>
              </w:rPr>
            </w:pPr>
            <w:r>
              <w:rPr>
                <w:sz w:val="20"/>
              </w:rPr>
              <w:t>229016-73-3</w:t>
            </w:r>
          </w:p>
        </w:tc>
      </w:tr>
      <w:tr w:rsidR="00667608">
        <w:trPr>
          <w:cantSplit/>
        </w:trPr>
        <w:tc>
          <w:tcPr>
            <w:tcW w:w="3002" w:type="dxa"/>
          </w:tcPr>
          <w:p w:rsidR="00667608" w:rsidRDefault="00667608">
            <w:pPr>
              <w:pStyle w:val="A-TableText"/>
              <w:rPr>
                <w:sz w:val="20"/>
              </w:rPr>
            </w:pPr>
            <w:r>
              <w:rPr>
                <w:sz w:val="20"/>
              </w:rPr>
              <w:t>Molecular formula</w:t>
            </w:r>
          </w:p>
        </w:tc>
        <w:tc>
          <w:tcPr>
            <w:tcW w:w="3002" w:type="dxa"/>
          </w:tcPr>
          <w:p w:rsidR="00667608" w:rsidRDefault="00667608">
            <w:pPr>
              <w:pStyle w:val="A-TableText"/>
              <w:jc w:val="center"/>
              <w:rPr>
                <w:sz w:val="20"/>
              </w:rPr>
            </w:pPr>
            <w:r>
              <w:rPr>
                <w:sz w:val="20"/>
              </w:rPr>
              <w:t>C</w:t>
            </w:r>
            <w:r>
              <w:rPr>
                <w:sz w:val="20"/>
                <w:vertAlign w:val="subscript"/>
              </w:rPr>
              <w:t>24</w:t>
            </w:r>
            <w:r>
              <w:rPr>
                <w:sz w:val="20"/>
              </w:rPr>
              <w:t>H</w:t>
            </w:r>
            <w:r>
              <w:rPr>
                <w:sz w:val="20"/>
                <w:vertAlign w:val="subscript"/>
              </w:rPr>
              <w:t>27</w:t>
            </w:r>
            <w:r>
              <w:rPr>
                <w:sz w:val="20"/>
              </w:rPr>
              <w:t>N</w:t>
            </w:r>
            <w:r>
              <w:rPr>
                <w:sz w:val="20"/>
                <w:vertAlign w:val="subscript"/>
              </w:rPr>
              <w:t>8</w:t>
            </w:r>
            <w:r>
              <w:rPr>
                <w:sz w:val="20"/>
              </w:rPr>
              <w:t>O</w:t>
            </w:r>
            <w:r>
              <w:rPr>
                <w:sz w:val="20"/>
                <w:vertAlign w:val="subscript"/>
              </w:rPr>
              <w:t>11</w:t>
            </w:r>
            <w:r>
              <w:rPr>
                <w:sz w:val="20"/>
              </w:rPr>
              <w:t>PS</w:t>
            </w:r>
            <w:r>
              <w:rPr>
                <w:sz w:val="20"/>
                <w:vertAlign w:val="subscript"/>
              </w:rPr>
              <w:t>4</w:t>
            </w:r>
          </w:p>
        </w:tc>
        <w:tc>
          <w:tcPr>
            <w:tcW w:w="3002" w:type="dxa"/>
          </w:tcPr>
          <w:p w:rsidR="00667608" w:rsidRDefault="00667608">
            <w:pPr>
              <w:pStyle w:val="A-TableText"/>
              <w:jc w:val="center"/>
              <w:rPr>
                <w:sz w:val="20"/>
              </w:rPr>
            </w:pPr>
            <w:r>
              <w:rPr>
                <w:sz w:val="20"/>
              </w:rPr>
              <w:t>C</w:t>
            </w:r>
            <w:r>
              <w:rPr>
                <w:sz w:val="20"/>
                <w:vertAlign w:val="subscript"/>
              </w:rPr>
              <w:t>22</w:t>
            </w:r>
            <w:r>
              <w:rPr>
                <w:sz w:val="20"/>
              </w:rPr>
              <w:t>H</w:t>
            </w:r>
            <w:r>
              <w:rPr>
                <w:sz w:val="20"/>
                <w:vertAlign w:val="subscript"/>
              </w:rPr>
              <w:t>21</w:t>
            </w:r>
            <w:r>
              <w:rPr>
                <w:sz w:val="20"/>
              </w:rPr>
              <w:t>N</w:t>
            </w:r>
            <w:r>
              <w:rPr>
                <w:sz w:val="20"/>
                <w:vertAlign w:val="subscript"/>
              </w:rPr>
              <w:t>8</w:t>
            </w:r>
            <w:r>
              <w:rPr>
                <w:sz w:val="20"/>
              </w:rPr>
              <w:t>O</w:t>
            </w:r>
            <w:r>
              <w:rPr>
                <w:sz w:val="20"/>
                <w:vertAlign w:val="subscript"/>
              </w:rPr>
              <w:t>8</w:t>
            </w:r>
            <w:r>
              <w:rPr>
                <w:sz w:val="20"/>
              </w:rPr>
              <w:t>PS</w:t>
            </w:r>
            <w:r>
              <w:rPr>
                <w:sz w:val="20"/>
                <w:vertAlign w:val="subscript"/>
              </w:rPr>
              <w:t>4</w:t>
            </w:r>
          </w:p>
        </w:tc>
      </w:tr>
      <w:tr w:rsidR="00667608">
        <w:trPr>
          <w:cantSplit/>
        </w:trPr>
        <w:tc>
          <w:tcPr>
            <w:tcW w:w="3002" w:type="dxa"/>
            <w:tcBorders>
              <w:bottom w:val="single" w:sz="12" w:space="0" w:color="auto"/>
            </w:tcBorders>
          </w:tcPr>
          <w:p w:rsidR="00667608" w:rsidRDefault="00667608">
            <w:pPr>
              <w:pStyle w:val="A-TableText"/>
              <w:rPr>
                <w:sz w:val="20"/>
              </w:rPr>
            </w:pPr>
            <w:r>
              <w:rPr>
                <w:sz w:val="20"/>
              </w:rPr>
              <w:t>Relative molecular mass</w:t>
            </w:r>
          </w:p>
        </w:tc>
        <w:tc>
          <w:tcPr>
            <w:tcW w:w="3002" w:type="dxa"/>
            <w:tcBorders>
              <w:bottom w:val="single" w:sz="12" w:space="0" w:color="auto"/>
            </w:tcBorders>
          </w:tcPr>
          <w:p w:rsidR="00667608" w:rsidRDefault="00667608">
            <w:pPr>
              <w:pStyle w:val="A-TableText"/>
              <w:jc w:val="center"/>
              <w:rPr>
                <w:sz w:val="20"/>
              </w:rPr>
            </w:pPr>
            <w:r>
              <w:rPr>
                <w:sz w:val="20"/>
              </w:rPr>
              <w:t>762.75</w:t>
            </w:r>
          </w:p>
        </w:tc>
        <w:tc>
          <w:tcPr>
            <w:tcW w:w="3002" w:type="dxa"/>
            <w:tcBorders>
              <w:bottom w:val="single" w:sz="12" w:space="0" w:color="auto"/>
            </w:tcBorders>
          </w:tcPr>
          <w:p w:rsidR="00667608" w:rsidRDefault="00667608">
            <w:pPr>
              <w:pStyle w:val="A-TableText"/>
              <w:jc w:val="center"/>
              <w:rPr>
                <w:sz w:val="20"/>
              </w:rPr>
            </w:pPr>
            <w:r>
              <w:rPr>
                <w:sz w:val="20"/>
              </w:rPr>
              <w:t>684.68</w:t>
            </w:r>
          </w:p>
        </w:tc>
      </w:tr>
    </w:tbl>
    <w:p w:rsidR="00667608" w:rsidRDefault="00667608">
      <w:pPr>
        <w:pStyle w:val="A-Heading1"/>
        <w:rPr>
          <w:lang w:val="en-AU"/>
        </w:rPr>
      </w:pPr>
      <w:r>
        <w:rPr>
          <w:lang w:val="en-AU"/>
        </w:rPr>
        <w:t>DESCRIPTION</w:t>
      </w:r>
    </w:p>
    <w:p w:rsidR="00667608" w:rsidRDefault="00667608">
      <w:r>
        <w:t xml:space="preserve">Ceftaroline fosamil is a semi-synthetic prodrug from the cephalosporin class of </w:t>
      </w:r>
      <w:r>
        <w:rPr>
          <w:rFonts w:cs="Arial"/>
        </w:rPr>
        <w:t>β</w:t>
      </w:r>
      <w:r>
        <w:t>-lactam antibiotics.</w:t>
      </w:r>
    </w:p>
    <w:p w:rsidR="00667608" w:rsidRDefault="00667608">
      <w:r>
        <w:t xml:space="preserve">The solubility of ceftaroline fosamil in water is 8.6 mg/mL.  Its solubility is increased in the intravenous (IV) infusion by inclusion of L-arginine as an alkalising agent.  The pH of the IV infusion is in the range of 5.0 to 7.0.  Ceftaroline has one strongly acidic proton and one moderately acidic proton on the phosphoamino group (pKa 1.22 and 5.10), a strongly acidic carboxylic acid group (pKa 1.79) and a pKa associated with the secondary amide adjacent to the </w:t>
      </w:r>
      <w:r>
        <w:rPr>
          <w:rFonts w:cs="Arial"/>
        </w:rPr>
        <w:t>β</w:t>
      </w:r>
      <w:r>
        <w:t>-lactam (pKa 10.9).</w:t>
      </w:r>
    </w:p>
    <w:p w:rsidR="00667608" w:rsidRDefault="00667608">
      <w:r>
        <w:t xml:space="preserve">Zinforo is a sterile, pyrogen-free pale yellowish-white to light yellow powder in a sterile vial.  Each single use vial contains 600 mg of the prodrug ceftaroline fosamil (equivalent to 530 mg active ceftaroline), blended with 395 mg of L-arginine (for pH </w:t>
      </w:r>
      <w:r>
        <w:lastRenderedPageBreak/>
        <w:t xml:space="preserve">adjustment).  The powder is constituted for IV infusion (see </w:t>
      </w:r>
      <w:r>
        <w:rPr>
          <w:i/>
        </w:rPr>
        <w:t>Dosage and administration – Constitution and compatibility</w:t>
      </w:r>
      <w:r>
        <w:t>).</w:t>
      </w:r>
    </w:p>
    <w:p w:rsidR="00667608" w:rsidRDefault="00667608">
      <w:pPr>
        <w:pStyle w:val="A-Heading1"/>
        <w:rPr>
          <w:lang w:val="en-AU"/>
        </w:rPr>
      </w:pPr>
      <w:r>
        <w:rPr>
          <w:lang w:val="en-AU"/>
        </w:rPr>
        <w:t>PHARMACOLOGY</w:t>
      </w:r>
    </w:p>
    <w:p w:rsidR="00667608" w:rsidRDefault="00667608">
      <w:pPr>
        <w:pStyle w:val="A-Heading2"/>
      </w:pPr>
      <w:r>
        <w:t>Mechanism of action</w:t>
      </w:r>
    </w:p>
    <w:p w:rsidR="00667608" w:rsidRDefault="00667608">
      <w:r>
        <w:t xml:space="preserve">Ceftaroline is a cephalosporin with activity against Gram-positive and Gram-negative bacteria.  </w:t>
      </w:r>
      <w:r>
        <w:rPr>
          <w:i/>
        </w:rPr>
        <w:t>In vitro</w:t>
      </w:r>
      <w:r>
        <w:t xml:space="preserve"> studies have shown that ceftaroline is bactericidal due to inhibition of bacterial cell wall synthesis by binding to penicillin binding proteins (PBPs).  Ceftaroline is also active against methicillin-resistant </w:t>
      </w:r>
      <w:r>
        <w:rPr>
          <w:i/>
        </w:rPr>
        <w:t>Staphylococcus aureus</w:t>
      </w:r>
      <w:r>
        <w:t xml:space="preserve"> (MRSA) and penicillin-nonsusceptible </w:t>
      </w:r>
      <w:r>
        <w:rPr>
          <w:i/>
        </w:rPr>
        <w:t>Streptococcus pneumoniae</w:t>
      </w:r>
      <w:r>
        <w:t xml:space="preserve"> (PNSP) due to its affinity for the altered PBPs found in these organisms.</w:t>
      </w:r>
    </w:p>
    <w:p w:rsidR="00667608" w:rsidRDefault="00667608">
      <w:pPr>
        <w:pStyle w:val="A-Heading2"/>
      </w:pPr>
      <w:r>
        <w:t>Pharmacokinetic/pharmacodynamic relationship</w:t>
      </w:r>
    </w:p>
    <w:p w:rsidR="00667608" w:rsidRDefault="00667608">
      <w:r>
        <w:t xml:space="preserve">As with other </w:t>
      </w:r>
      <w:r>
        <w:rPr>
          <w:rFonts w:cs="Arial"/>
        </w:rPr>
        <w:t>β</w:t>
      </w:r>
      <w:r>
        <w:t>-lactam antibiotics, the percent time above the minimum inhibitory concentration (MIC) of the infecting organism over the dosing interval (%T &gt; MIC) has been shown to best correlate with the antimicrobial activity of ceftaroline.</w:t>
      </w:r>
    </w:p>
    <w:p w:rsidR="00667608" w:rsidRDefault="00667608">
      <w:pPr>
        <w:pStyle w:val="A-Heading2"/>
      </w:pPr>
      <w:r>
        <w:t>Mechanisms of resistance</w:t>
      </w:r>
    </w:p>
    <w:p w:rsidR="00667608" w:rsidRDefault="00667608">
      <w:r>
        <w:t xml:space="preserve">Ceftaroline is not active against strains of </w:t>
      </w:r>
      <w:r>
        <w:rPr>
          <w:i/>
        </w:rPr>
        <w:t>Enterobacteriaceae</w:t>
      </w:r>
      <w:r>
        <w:t xml:space="preserve"> producing extended spectrum </w:t>
      </w:r>
      <w:r>
        <w:rPr>
          <w:rFonts w:cs="Arial"/>
        </w:rPr>
        <w:t>β</w:t>
      </w:r>
      <w:r>
        <w:t>-lactamases (ESBLs) from the TEM, SHV or CTX-M families, serine carbapenemases (such as KPC), class B metallo-</w:t>
      </w:r>
      <w:r>
        <w:rPr>
          <w:rFonts w:cs="Arial"/>
        </w:rPr>
        <w:t>β</w:t>
      </w:r>
      <w:r>
        <w:t>-lactamases or class C (AmpC cephalosporinases).  One or more of these mechanisms may co-exist in the same bacterium.</w:t>
      </w:r>
    </w:p>
    <w:p w:rsidR="00667608" w:rsidRDefault="00667608">
      <w:pPr>
        <w:pStyle w:val="A-Heading2"/>
      </w:pPr>
      <w:r>
        <w:t>Cross-resistance</w:t>
      </w:r>
    </w:p>
    <w:p w:rsidR="00667608" w:rsidRDefault="00667608">
      <w:r>
        <w:t xml:space="preserve">Unlike other cephalosporins, ceftaroline is active against most MRSA and PNSP due to its ability to bind to the altered PBPs in these organisms that commonly confer insusceptibility to other </w:t>
      </w:r>
      <w:r>
        <w:rPr>
          <w:rFonts w:cs="Arial"/>
        </w:rPr>
        <w:t>β</w:t>
      </w:r>
      <w:r>
        <w:t>-lactam agents.</w:t>
      </w:r>
    </w:p>
    <w:p w:rsidR="00667608" w:rsidRDefault="00667608">
      <w:pPr>
        <w:pStyle w:val="A-Heading2"/>
        <w:rPr>
          <w:b w:val="0"/>
          <w:i/>
        </w:rPr>
      </w:pPr>
      <w:r>
        <w:t>Interaction with other antibiotics</w:t>
      </w:r>
    </w:p>
    <w:p w:rsidR="00667608" w:rsidRDefault="00667608">
      <w:r>
        <w:rPr>
          <w:i/>
        </w:rPr>
        <w:t>In vitro</w:t>
      </w:r>
      <w:r>
        <w:t xml:space="preserve"> studies have not demonstrated any antagonism between ceftaroline in combination with other commonly used antibiotics (eg amikacin, azithromycin, aztreonam, daptomycin, levofloxacin, linezolid, meropenem, tigecycline and vancomycin).</w:t>
      </w:r>
    </w:p>
    <w:p w:rsidR="00667608" w:rsidRDefault="00667608">
      <w:pPr>
        <w:pStyle w:val="A-Heading2"/>
      </w:pPr>
      <w:r>
        <w:t>Susceptibility testing</w:t>
      </w:r>
    </w:p>
    <w:p w:rsidR="00667608" w:rsidRDefault="00667608">
      <w:r>
        <w:t>The prevalence of acquired resistance may vary geographically and with time for selected species.  Local information on resistance is desirable, particularly when treating severe infections.  As necessary, expert advice should be sought when the local prevalence of resistance is such that the utility of the agent is questionable.</w:t>
      </w:r>
    </w:p>
    <w:p w:rsidR="00667608" w:rsidRDefault="00667608">
      <w:r>
        <w:lastRenderedPageBreak/>
        <w:t>The susceptibility to ceftaroline of a given clinical isolate should be determined by standard methods.  Interpretations of test results should be made in accordance with local infectious diseases and clinical microbiology guidelines.</w:t>
      </w:r>
    </w:p>
    <w:p w:rsidR="00667608" w:rsidRDefault="00667608">
      <w:r>
        <w:rPr>
          <w:lang w:val="en-GB"/>
        </w:rPr>
        <w:t xml:space="preserve">As detailed in the </w:t>
      </w:r>
      <w:r>
        <w:rPr>
          <w:i/>
          <w:lang w:val="en-GB"/>
        </w:rPr>
        <w:t>Clinical Trials</w:t>
      </w:r>
      <w:r>
        <w:rPr>
          <w:lang w:val="en-GB"/>
        </w:rPr>
        <w:t xml:space="preserve"> section below,</w:t>
      </w:r>
      <w:r>
        <w:t xml:space="preserve"> efficacy has been demonstrated in clinical studies against the pathogens listed under each indication that were susceptible to ceftaroline </w:t>
      </w:r>
      <w:r>
        <w:rPr>
          <w:i/>
        </w:rPr>
        <w:t>in vitro</w:t>
      </w:r>
      <w:r>
        <w:t>.</w:t>
      </w:r>
    </w:p>
    <w:p w:rsidR="00667608" w:rsidRDefault="00667608">
      <w:pPr>
        <w:pStyle w:val="A-Heading4"/>
      </w:pPr>
      <w:r>
        <w:t>Complicated skin and soft tissue infection (also refer Table 3):</w:t>
      </w:r>
    </w:p>
    <w:p w:rsidR="00667608" w:rsidRDefault="00667608">
      <w:pPr>
        <w:pStyle w:val="A-ListBullet"/>
      </w:pPr>
      <w:r>
        <w:rPr>
          <w:u w:val="single"/>
        </w:rPr>
        <w:t>Gram-positive aerobes</w:t>
      </w:r>
      <w:r>
        <w:br/>
      </w:r>
      <w:r>
        <w:rPr>
          <w:i/>
        </w:rPr>
        <w:t xml:space="preserve">S. aureus </w:t>
      </w:r>
      <w:r>
        <w:t>(including methicillin-resistant strains),</w:t>
      </w:r>
      <w:r>
        <w:rPr>
          <w:i/>
        </w:rPr>
        <w:t xml:space="preserve"> Streptococcus pyogenes, Streptococcus agalactiae, Streptococcus anginosus group (</w:t>
      </w:r>
      <w:r>
        <w:t>includes</w:t>
      </w:r>
      <w:r>
        <w:rPr>
          <w:i/>
        </w:rPr>
        <w:t xml:space="preserve"> S. anginosus, S. intermedius </w:t>
      </w:r>
      <w:r>
        <w:t>and</w:t>
      </w:r>
      <w:r>
        <w:rPr>
          <w:i/>
        </w:rPr>
        <w:t xml:space="preserve"> S. constellatus)</w:t>
      </w:r>
      <w:r>
        <w:t xml:space="preserve"> and </w:t>
      </w:r>
      <w:r>
        <w:rPr>
          <w:i/>
        </w:rPr>
        <w:t>Streptococcus dysgalactiae</w:t>
      </w:r>
      <w:r>
        <w:t>.</w:t>
      </w:r>
    </w:p>
    <w:p w:rsidR="00667608" w:rsidRDefault="00667608">
      <w:pPr>
        <w:pStyle w:val="A-ListBullet"/>
        <w:rPr>
          <w:i/>
        </w:rPr>
      </w:pPr>
      <w:r>
        <w:rPr>
          <w:u w:val="single"/>
        </w:rPr>
        <w:t>Gram-negative aerobes</w:t>
      </w:r>
      <w:r>
        <w:br/>
      </w:r>
      <w:r>
        <w:rPr>
          <w:i/>
        </w:rPr>
        <w:t>Escherichia coli, Klebsiella pneumoniae, Klebsiella oxytoca, Morganella morganii</w:t>
      </w:r>
    </w:p>
    <w:p w:rsidR="00667608" w:rsidRDefault="00667608">
      <w:pPr>
        <w:pStyle w:val="A-Heading4"/>
      </w:pPr>
      <w:r>
        <w:t>Community acquired pneumonia (also refer Table 5):</w:t>
      </w:r>
    </w:p>
    <w:p w:rsidR="00667608" w:rsidRDefault="00667608">
      <w:pPr>
        <w:pStyle w:val="A-ListBullet"/>
      </w:pPr>
      <w:r>
        <w:rPr>
          <w:u w:val="single"/>
        </w:rPr>
        <w:t>Gram-positive aerobes</w:t>
      </w:r>
      <w:r>
        <w:br/>
      </w:r>
      <w:r>
        <w:rPr>
          <w:i/>
        </w:rPr>
        <w:t xml:space="preserve">S. pneumoniae </w:t>
      </w:r>
      <w:r>
        <w:t>(including cases with concurrent bacteraemia) and</w:t>
      </w:r>
      <w:r>
        <w:rPr>
          <w:i/>
        </w:rPr>
        <w:t xml:space="preserve"> S. aureus </w:t>
      </w:r>
      <w:r>
        <w:t xml:space="preserve">(methicillin-susceptible strains only as MRSA was an exclusion criterion – refer </w:t>
      </w:r>
      <w:r>
        <w:rPr>
          <w:i/>
        </w:rPr>
        <w:t>Clinical Trials</w:t>
      </w:r>
      <w:r>
        <w:t xml:space="preserve"> section for details)</w:t>
      </w:r>
    </w:p>
    <w:p w:rsidR="00667608" w:rsidRDefault="00667608">
      <w:pPr>
        <w:pStyle w:val="A-ListBullet"/>
        <w:rPr>
          <w:i/>
        </w:rPr>
      </w:pPr>
      <w:r>
        <w:rPr>
          <w:u w:val="single"/>
        </w:rPr>
        <w:t>Gram-negative aerobes</w:t>
      </w:r>
      <w:r>
        <w:br/>
      </w:r>
      <w:r>
        <w:rPr>
          <w:i/>
        </w:rPr>
        <w:t>E. coli, Haemophilus influenzae, Haemophilus parainfluenzae, Klebsiella pneumoniae</w:t>
      </w:r>
    </w:p>
    <w:p w:rsidR="00667608" w:rsidRDefault="00667608">
      <w:pPr>
        <w:pStyle w:val="A-Heading3"/>
      </w:pPr>
      <w:r>
        <w:t>In vitro susceptibility</w:t>
      </w:r>
    </w:p>
    <w:p w:rsidR="00667608" w:rsidRDefault="00667608">
      <w:pPr>
        <w:rPr>
          <w:i/>
        </w:rPr>
      </w:pPr>
      <w:r>
        <w:rPr>
          <w:lang w:val="en-GB"/>
        </w:rPr>
        <w:t xml:space="preserve">Clinical efficacy has not been established against the following relevant pathogens, although </w:t>
      </w:r>
      <w:r>
        <w:rPr>
          <w:i/>
          <w:lang w:val="en-GB"/>
        </w:rPr>
        <w:t>in vitro</w:t>
      </w:r>
      <w:r>
        <w:rPr>
          <w:lang w:val="en-GB"/>
        </w:rPr>
        <w:t xml:space="preserve"> studies suggest that they would be susceptible to ceftaroline in the absence of acquired mechanisms of resistance.</w:t>
      </w:r>
    </w:p>
    <w:p w:rsidR="00667608" w:rsidRDefault="00667608">
      <w:pPr>
        <w:pStyle w:val="A-ListBullet"/>
      </w:pPr>
      <w:r>
        <w:rPr>
          <w:u w:val="single"/>
        </w:rPr>
        <w:t>Gram-positive anaerobes</w:t>
      </w:r>
      <w:r>
        <w:br/>
      </w:r>
      <w:r>
        <w:rPr>
          <w:i/>
        </w:rPr>
        <w:t>Peptostreptococcus</w:t>
      </w:r>
      <w:r>
        <w:t xml:space="preserve"> spp.</w:t>
      </w:r>
    </w:p>
    <w:p w:rsidR="00667608" w:rsidRDefault="00667608">
      <w:pPr>
        <w:pStyle w:val="A-ListBullet"/>
      </w:pPr>
      <w:r>
        <w:rPr>
          <w:u w:val="single"/>
        </w:rPr>
        <w:t>Gram-negative anaerobes</w:t>
      </w:r>
      <w:r>
        <w:br/>
      </w:r>
      <w:r>
        <w:rPr>
          <w:i/>
        </w:rPr>
        <w:t>Fusobacterium</w:t>
      </w:r>
      <w:r>
        <w:t xml:space="preserve"> spp.</w:t>
      </w:r>
    </w:p>
    <w:p w:rsidR="00667608" w:rsidRDefault="00667608">
      <w:r>
        <w:rPr>
          <w:i/>
        </w:rPr>
        <w:t xml:space="preserve">In vitro </w:t>
      </w:r>
      <w:r>
        <w:t xml:space="preserve">data indicate that the following species are not susceptible to ceftaroline:  </w:t>
      </w:r>
      <w:r>
        <w:rPr>
          <w:i/>
        </w:rPr>
        <w:t>Chlamydophila</w:t>
      </w:r>
      <w:r>
        <w:t xml:space="preserve"> spp., </w:t>
      </w:r>
      <w:r>
        <w:rPr>
          <w:i/>
        </w:rPr>
        <w:t>Legionella</w:t>
      </w:r>
      <w:r>
        <w:t xml:space="preserve"> spp., </w:t>
      </w:r>
      <w:r>
        <w:rPr>
          <w:i/>
        </w:rPr>
        <w:t>Mycoplasma</w:t>
      </w:r>
      <w:r>
        <w:t xml:space="preserve"> spp. and </w:t>
      </w:r>
      <w:r>
        <w:rPr>
          <w:i/>
        </w:rPr>
        <w:t>Pseudomonas</w:t>
      </w:r>
      <w:r>
        <w:t xml:space="preserve"> </w:t>
      </w:r>
      <w:r>
        <w:rPr>
          <w:i/>
        </w:rPr>
        <w:t>aeruginosa</w:t>
      </w:r>
      <w:r>
        <w:t>.</w:t>
      </w:r>
    </w:p>
    <w:p w:rsidR="00667608" w:rsidRDefault="00667608">
      <w:pPr>
        <w:pStyle w:val="A-Heading3"/>
      </w:pPr>
      <w:r>
        <w:lastRenderedPageBreak/>
        <w:t>Australian antibiotic resistance prevalence data</w:t>
      </w:r>
    </w:p>
    <w:p w:rsidR="00667608" w:rsidRDefault="00667608">
      <w:pPr>
        <w:rPr>
          <w:lang w:val="en-GB"/>
        </w:rPr>
      </w:pPr>
      <w:r>
        <w:t xml:space="preserve">A surveillance study was conducted to examine the susceptibility of ceftaroline tested against contemporary clinical isolates collected from Australia in 2010.  A total of 1523 isolates were collected from 6 sites in 6 different states/ territories across the country.  Sources of isolates were specimens obtained from patients with infections of the blood stream (22.9%), skin/soft tissue (33.0%), respiratory tract (38.4%), urinary tract (3.4%) or other (2.4%) infection types.  Where applicable, susceptibility interpretive criteria applied were </w:t>
      </w:r>
      <w:r>
        <w:rPr>
          <w:i/>
        </w:rPr>
        <w:t>Clinical Laboratory Standards Institute</w:t>
      </w:r>
      <w:r>
        <w:t xml:space="preserve"> (CLSI) M100-S21 (2011).  Data are summarised in </w:t>
      </w:r>
      <w:fldSimple w:instr=" REF _Ref276557597 \h  \* MERGEFORMAT ">
        <w:r>
          <w:t xml:space="preserve">Table </w:t>
        </w:r>
        <w:r>
          <w:rPr>
            <w:noProof/>
          </w:rPr>
          <w:t>1</w:t>
        </w:r>
      </w:fldSimple>
      <w:r>
        <w:t xml:space="preserve"> below.</w:t>
      </w:r>
    </w:p>
    <w:p w:rsidR="00667608" w:rsidRDefault="00667608">
      <w:pPr>
        <w:pStyle w:val="A-TableTitle"/>
        <w:rPr>
          <w:sz w:val="22"/>
          <w:szCs w:val="22"/>
        </w:rPr>
      </w:pPr>
      <w:bookmarkStart w:id="0" w:name="_Ref276557597"/>
      <w:r>
        <w:rPr>
          <w:sz w:val="22"/>
          <w:szCs w:val="22"/>
        </w:rPr>
        <w:t xml:space="preserve">Table </w:t>
      </w:r>
      <w:r w:rsidR="00773E45">
        <w:rPr>
          <w:sz w:val="22"/>
          <w:szCs w:val="22"/>
        </w:rPr>
        <w:fldChar w:fldCharType="begin"/>
      </w:r>
      <w:r>
        <w:rPr>
          <w:sz w:val="22"/>
          <w:szCs w:val="22"/>
        </w:rPr>
        <w:instrText xml:space="preserve"> SEQ Table \* ARABIC </w:instrText>
      </w:r>
      <w:r w:rsidR="00773E45">
        <w:rPr>
          <w:sz w:val="22"/>
          <w:szCs w:val="22"/>
        </w:rPr>
        <w:fldChar w:fldCharType="separate"/>
      </w:r>
      <w:r>
        <w:rPr>
          <w:noProof/>
          <w:sz w:val="22"/>
          <w:szCs w:val="22"/>
        </w:rPr>
        <w:t>1</w:t>
      </w:r>
      <w:r w:rsidR="00773E45">
        <w:rPr>
          <w:sz w:val="22"/>
          <w:szCs w:val="22"/>
        </w:rPr>
        <w:fldChar w:fldCharType="end"/>
      </w:r>
      <w:bookmarkEnd w:id="0"/>
      <w:r>
        <w:rPr>
          <w:sz w:val="22"/>
          <w:szCs w:val="22"/>
        </w:rPr>
        <w:tab/>
      </w:r>
      <w:r>
        <w:rPr>
          <w:i/>
          <w:sz w:val="22"/>
          <w:szCs w:val="22"/>
        </w:rPr>
        <w:t>In vitro</w:t>
      </w:r>
      <w:r>
        <w:rPr>
          <w:sz w:val="22"/>
          <w:szCs w:val="22"/>
        </w:rPr>
        <w:t xml:space="preserve"> activity from 2010 Australian bacterial surveillance</w:t>
      </w:r>
    </w:p>
    <w:tbl>
      <w:tblPr>
        <w:tblW w:w="8748" w:type="dxa"/>
        <w:tblLayout w:type="fixed"/>
        <w:tblLook w:val="0000"/>
      </w:tblPr>
      <w:tblGrid>
        <w:gridCol w:w="3828"/>
        <w:gridCol w:w="1080"/>
        <w:gridCol w:w="3840"/>
      </w:tblGrid>
      <w:tr w:rsidR="00667608">
        <w:trPr>
          <w:cantSplit/>
          <w:tblHeader/>
        </w:trPr>
        <w:tc>
          <w:tcPr>
            <w:tcW w:w="3828" w:type="dxa"/>
            <w:tcBorders>
              <w:top w:val="single" w:sz="12" w:space="0" w:color="auto"/>
            </w:tcBorders>
          </w:tcPr>
          <w:p w:rsidR="00667608" w:rsidRDefault="00667608">
            <w:pPr>
              <w:pStyle w:val="A-TableHeader"/>
              <w:spacing w:before="20" w:after="20"/>
            </w:pPr>
            <w:r>
              <w:t>Isolates (n)</w:t>
            </w:r>
          </w:p>
        </w:tc>
        <w:tc>
          <w:tcPr>
            <w:tcW w:w="4920" w:type="dxa"/>
            <w:gridSpan w:val="2"/>
            <w:tcBorders>
              <w:top w:val="single" w:sz="12" w:space="0" w:color="auto"/>
              <w:right w:val="single" w:sz="4" w:space="0" w:color="auto"/>
            </w:tcBorders>
          </w:tcPr>
          <w:p w:rsidR="00667608" w:rsidRDefault="00667608">
            <w:pPr>
              <w:pStyle w:val="A-TableHeader"/>
              <w:spacing w:before="20" w:after="20"/>
              <w:jc w:val="center"/>
            </w:pPr>
            <w:r>
              <w:t>Minimum inhibitory</w:t>
            </w:r>
            <w:r>
              <w:br/>
              <w:t>concentration (MIC) [mg/mL]</w:t>
            </w:r>
          </w:p>
        </w:tc>
      </w:tr>
      <w:tr w:rsidR="00667608">
        <w:trPr>
          <w:cantSplit/>
          <w:tblHeader/>
        </w:trPr>
        <w:tc>
          <w:tcPr>
            <w:tcW w:w="3828" w:type="dxa"/>
            <w:tcBorders>
              <w:bottom w:val="single" w:sz="6" w:space="0" w:color="auto"/>
            </w:tcBorders>
          </w:tcPr>
          <w:p w:rsidR="00667608" w:rsidRDefault="00667608">
            <w:pPr>
              <w:pStyle w:val="A-TableHeader"/>
              <w:spacing w:before="20" w:after="20"/>
            </w:pPr>
            <w:r>
              <w:t>Total (1523)</w:t>
            </w:r>
          </w:p>
        </w:tc>
        <w:tc>
          <w:tcPr>
            <w:tcW w:w="1080" w:type="dxa"/>
            <w:tcBorders>
              <w:bottom w:val="single" w:sz="6" w:space="0" w:color="auto"/>
            </w:tcBorders>
          </w:tcPr>
          <w:p w:rsidR="00667608" w:rsidRDefault="00667608">
            <w:pPr>
              <w:pStyle w:val="A-TableHeader"/>
              <w:spacing w:before="20" w:after="20"/>
              <w:jc w:val="center"/>
            </w:pPr>
            <w:r>
              <w:t>MIC</w:t>
            </w:r>
            <w:r>
              <w:rPr>
                <w:vertAlign w:val="subscript"/>
              </w:rPr>
              <w:t>90</w:t>
            </w:r>
          </w:p>
        </w:tc>
        <w:tc>
          <w:tcPr>
            <w:tcW w:w="3840" w:type="dxa"/>
            <w:tcBorders>
              <w:bottom w:val="single" w:sz="6" w:space="0" w:color="auto"/>
              <w:right w:val="single" w:sz="4" w:space="0" w:color="auto"/>
            </w:tcBorders>
          </w:tcPr>
          <w:p w:rsidR="00667608" w:rsidRDefault="00667608">
            <w:pPr>
              <w:pStyle w:val="A-TableHeader"/>
              <w:spacing w:before="20" w:after="20"/>
              <w:jc w:val="center"/>
            </w:pPr>
            <w:r>
              <w:t>Range</w:t>
            </w:r>
          </w:p>
        </w:tc>
      </w:tr>
      <w:tr w:rsidR="00667608">
        <w:trPr>
          <w:cantSplit/>
        </w:trPr>
        <w:tc>
          <w:tcPr>
            <w:tcW w:w="3828" w:type="dxa"/>
            <w:tcBorders>
              <w:top w:val="single" w:sz="6" w:space="0" w:color="auto"/>
            </w:tcBorders>
            <w:shd w:val="clear" w:color="auto" w:fill="D9D9D9"/>
          </w:tcPr>
          <w:p w:rsidR="00667608" w:rsidRDefault="00667608">
            <w:pPr>
              <w:pStyle w:val="A-TableText"/>
              <w:spacing w:before="20" w:after="20"/>
              <w:rPr>
                <w:b/>
                <w:sz w:val="20"/>
              </w:rPr>
            </w:pPr>
            <w:r>
              <w:rPr>
                <w:b/>
                <w:sz w:val="20"/>
              </w:rPr>
              <w:t>Gram-positive aerobes</w:t>
            </w:r>
          </w:p>
        </w:tc>
        <w:tc>
          <w:tcPr>
            <w:tcW w:w="1080" w:type="dxa"/>
            <w:tcBorders>
              <w:top w:val="single" w:sz="6" w:space="0" w:color="auto"/>
            </w:tcBorders>
            <w:shd w:val="clear" w:color="auto" w:fill="D9D9D9"/>
          </w:tcPr>
          <w:p w:rsidR="00667608" w:rsidRDefault="00667608">
            <w:pPr>
              <w:pStyle w:val="A-TableText"/>
              <w:spacing w:before="20" w:after="20"/>
              <w:jc w:val="center"/>
              <w:rPr>
                <w:sz w:val="20"/>
              </w:rPr>
            </w:pPr>
          </w:p>
        </w:tc>
        <w:tc>
          <w:tcPr>
            <w:tcW w:w="3840" w:type="dxa"/>
            <w:tcBorders>
              <w:top w:val="single" w:sz="6" w:space="0" w:color="auto"/>
              <w:right w:val="single" w:sz="4" w:space="0" w:color="auto"/>
            </w:tcBorders>
            <w:shd w:val="clear" w:color="auto" w:fill="D9D9D9"/>
          </w:tcPr>
          <w:p w:rsidR="00667608" w:rsidRDefault="00667608">
            <w:pPr>
              <w:pStyle w:val="A-TableText"/>
              <w:spacing w:before="20" w:after="20"/>
              <w:jc w:val="center"/>
              <w:rPr>
                <w:sz w:val="20"/>
              </w:rPr>
            </w:pPr>
          </w:p>
        </w:tc>
      </w:tr>
      <w:tr w:rsidR="00667608">
        <w:trPr>
          <w:cantSplit/>
        </w:trPr>
        <w:tc>
          <w:tcPr>
            <w:tcW w:w="3828" w:type="dxa"/>
          </w:tcPr>
          <w:p w:rsidR="00667608" w:rsidRDefault="00667608">
            <w:pPr>
              <w:pStyle w:val="A-TableText"/>
              <w:spacing w:before="20" w:after="20"/>
              <w:rPr>
                <w:sz w:val="20"/>
                <w:lang w:val="sv-SE"/>
              </w:rPr>
            </w:pPr>
            <w:r>
              <w:rPr>
                <w:i/>
                <w:sz w:val="20"/>
                <w:lang w:val="sv-SE"/>
              </w:rPr>
              <w:t xml:space="preserve">S. aureus </w:t>
            </w:r>
            <w:r>
              <w:rPr>
                <w:sz w:val="20"/>
                <w:lang w:val="sv-SE"/>
              </w:rPr>
              <w:t>(466)</w:t>
            </w:r>
          </w:p>
        </w:tc>
        <w:tc>
          <w:tcPr>
            <w:tcW w:w="1080" w:type="dxa"/>
          </w:tcPr>
          <w:p w:rsidR="00667608" w:rsidRDefault="00667608">
            <w:pPr>
              <w:pStyle w:val="A-TableText"/>
              <w:spacing w:before="20" w:after="20"/>
              <w:jc w:val="center"/>
              <w:rPr>
                <w:sz w:val="20"/>
                <w:lang w:val="sv-SE"/>
              </w:rPr>
            </w:pPr>
            <w:r>
              <w:rPr>
                <w:sz w:val="20"/>
                <w:lang w:val="sv-SE"/>
              </w:rPr>
              <w:t>0.5</w:t>
            </w:r>
          </w:p>
        </w:tc>
        <w:tc>
          <w:tcPr>
            <w:tcW w:w="3840" w:type="dxa"/>
            <w:tcBorders>
              <w:right w:val="single" w:sz="4" w:space="0" w:color="auto"/>
            </w:tcBorders>
          </w:tcPr>
          <w:p w:rsidR="00667608" w:rsidRDefault="00667608">
            <w:pPr>
              <w:pStyle w:val="A-TableText"/>
              <w:spacing w:before="20" w:after="20"/>
              <w:jc w:val="center"/>
              <w:rPr>
                <w:sz w:val="20"/>
                <w:lang w:val="sv-SE"/>
              </w:rPr>
            </w:pPr>
            <w:r>
              <w:rPr>
                <w:sz w:val="20"/>
                <w:lang w:val="sv-SE"/>
              </w:rPr>
              <w:t>0.06-2</w:t>
            </w:r>
          </w:p>
        </w:tc>
      </w:tr>
      <w:tr w:rsidR="00667608">
        <w:trPr>
          <w:cantSplit/>
        </w:trPr>
        <w:tc>
          <w:tcPr>
            <w:tcW w:w="3828" w:type="dxa"/>
          </w:tcPr>
          <w:p w:rsidR="00667608" w:rsidRDefault="00667608">
            <w:pPr>
              <w:pStyle w:val="A-TableText"/>
              <w:spacing w:before="20" w:after="20"/>
              <w:rPr>
                <w:sz w:val="20"/>
                <w:lang w:val="sv-SE"/>
              </w:rPr>
            </w:pPr>
            <w:r>
              <w:rPr>
                <w:sz w:val="20"/>
                <w:lang w:val="sv-SE"/>
              </w:rPr>
              <w:t xml:space="preserve">     MSSA (335)</w:t>
            </w:r>
          </w:p>
        </w:tc>
        <w:tc>
          <w:tcPr>
            <w:tcW w:w="1080" w:type="dxa"/>
          </w:tcPr>
          <w:p w:rsidR="00667608" w:rsidRDefault="00667608">
            <w:pPr>
              <w:pStyle w:val="A-TableText"/>
              <w:spacing w:before="20" w:after="20"/>
              <w:jc w:val="center"/>
              <w:rPr>
                <w:sz w:val="20"/>
              </w:rPr>
            </w:pPr>
            <w:r>
              <w:rPr>
                <w:sz w:val="20"/>
              </w:rPr>
              <w:t>0.25</w:t>
            </w:r>
          </w:p>
        </w:tc>
        <w:tc>
          <w:tcPr>
            <w:tcW w:w="3840" w:type="dxa"/>
            <w:tcBorders>
              <w:right w:val="single" w:sz="4" w:space="0" w:color="auto"/>
            </w:tcBorders>
          </w:tcPr>
          <w:p w:rsidR="00667608" w:rsidRDefault="00667608">
            <w:pPr>
              <w:pStyle w:val="A-TableText"/>
              <w:spacing w:before="20" w:after="20"/>
              <w:jc w:val="center"/>
              <w:rPr>
                <w:sz w:val="20"/>
              </w:rPr>
            </w:pPr>
            <w:r>
              <w:rPr>
                <w:sz w:val="20"/>
              </w:rPr>
              <w:t>0.06-0.5</w:t>
            </w:r>
          </w:p>
        </w:tc>
      </w:tr>
      <w:tr w:rsidR="00667608">
        <w:trPr>
          <w:cantSplit/>
        </w:trPr>
        <w:tc>
          <w:tcPr>
            <w:tcW w:w="3828" w:type="dxa"/>
          </w:tcPr>
          <w:p w:rsidR="00667608" w:rsidRDefault="00667608">
            <w:pPr>
              <w:pStyle w:val="A-TableText"/>
              <w:spacing w:before="20" w:after="20"/>
              <w:rPr>
                <w:sz w:val="20"/>
              </w:rPr>
            </w:pPr>
            <w:r>
              <w:rPr>
                <w:sz w:val="20"/>
              </w:rPr>
              <w:t xml:space="preserve">     MRSA (131)</w:t>
            </w:r>
          </w:p>
        </w:tc>
        <w:tc>
          <w:tcPr>
            <w:tcW w:w="1080" w:type="dxa"/>
          </w:tcPr>
          <w:p w:rsidR="00667608" w:rsidRDefault="00667608">
            <w:pPr>
              <w:pStyle w:val="A-TableText"/>
              <w:spacing w:before="20" w:after="20"/>
              <w:jc w:val="center"/>
              <w:rPr>
                <w:sz w:val="20"/>
              </w:rPr>
            </w:pPr>
            <w:r>
              <w:rPr>
                <w:sz w:val="20"/>
              </w:rPr>
              <w:t>1</w:t>
            </w:r>
          </w:p>
        </w:tc>
        <w:tc>
          <w:tcPr>
            <w:tcW w:w="3840" w:type="dxa"/>
            <w:tcBorders>
              <w:right w:val="single" w:sz="4" w:space="0" w:color="auto"/>
            </w:tcBorders>
          </w:tcPr>
          <w:p w:rsidR="00667608" w:rsidRDefault="00667608">
            <w:pPr>
              <w:pStyle w:val="A-TableText"/>
              <w:spacing w:before="20" w:after="20"/>
              <w:jc w:val="center"/>
              <w:rPr>
                <w:sz w:val="20"/>
              </w:rPr>
            </w:pPr>
            <w:r>
              <w:rPr>
                <w:sz w:val="20"/>
              </w:rPr>
              <w:t>0.25-2</w:t>
            </w:r>
          </w:p>
        </w:tc>
      </w:tr>
      <w:tr w:rsidR="00667608">
        <w:trPr>
          <w:cantSplit/>
        </w:trPr>
        <w:tc>
          <w:tcPr>
            <w:tcW w:w="3828" w:type="dxa"/>
          </w:tcPr>
          <w:p w:rsidR="00667608" w:rsidRDefault="00667608">
            <w:pPr>
              <w:pStyle w:val="A-TableText"/>
              <w:spacing w:before="20" w:after="20"/>
              <w:rPr>
                <w:sz w:val="20"/>
              </w:rPr>
            </w:pPr>
            <w:r>
              <w:rPr>
                <w:sz w:val="20"/>
              </w:rPr>
              <w:t xml:space="preserve">Coagulase negative </w:t>
            </w:r>
            <w:r>
              <w:rPr>
                <w:i/>
                <w:sz w:val="20"/>
              </w:rPr>
              <w:t>staphylococci</w:t>
            </w:r>
            <w:r>
              <w:rPr>
                <w:sz w:val="20"/>
              </w:rPr>
              <w:t xml:space="preserve"> (8)</w:t>
            </w:r>
          </w:p>
        </w:tc>
        <w:tc>
          <w:tcPr>
            <w:tcW w:w="1080" w:type="dxa"/>
          </w:tcPr>
          <w:p w:rsidR="00667608" w:rsidRDefault="00667608">
            <w:pPr>
              <w:pStyle w:val="A-TableText"/>
              <w:spacing w:before="20" w:after="20"/>
              <w:jc w:val="center"/>
              <w:rPr>
                <w:sz w:val="20"/>
              </w:rPr>
            </w:pPr>
            <w:r>
              <w:rPr>
                <w:sz w:val="20"/>
              </w:rPr>
              <w:t>-</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w:t>
            </w:r>
            <w:r>
              <w:rPr>
                <w:rFonts w:cs="Arial"/>
                <w:sz w:val="20"/>
              </w:rPr>
              <w:t>0.5</w:t>
            </w:r>
          </w:p>
        </w:tc>
      </w:tr>
      <w:tr w:rsidR="00667608">
        <w:trPr>
          <w:cantSplit/>
        </w:trPr>
        <w:tc>
          <w:tcPr>
            <w:tcW w:w="3828" w:type="dxa"/>
          </w:tcPr>
          <w:p w:rsidR="00667608" w:rsidRDefault="00667608">
            <w:pPr>
              <w:pStyle w:val="A-TableText"/>
              <w:spacing w:before="20" w:after="20"/>
              <w:rPr>
                <w:sz w:val="20"/>
              </w:rPr>
            </w:pPr>
            <w:r>
              <w:rPr>
                <w:sz w:val="20"/>
              </w:rPr>
              <w:t xml:space="preserve">     MSCoNS (2)</w:t>
            </w:r>
          </w:p>
        </w:tc>
        <w:tc>
          <w:tcPr>
            <w:tcW w:w="1080" w:type="dxa"/>
          </w:tcPr>
          <w:p w:rsidR="00667608" w:rsidRDefault="00667608">
            <w:pPr>
              <w:pStyle w:val="A-TableText"/>
              <w:spacing w:before="20" w:after="20"/>
              <w:jc w:val="center"/>
              <w:rPr>
                <w:sz w:val="20"/>
              </w:rPr>
            </w:pPr>
            <w:r>
              <w:rPr>
                <w:sz w:val="20"/>
              </w:rPr>
              <w:t>-</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0.008-0.12</w:t>
            </w:r>
          </w:p>
        </w:tc>
      </w:tr>
      <w:tr w:rsidR="00667608">
        <w:trPr>
          <w:cantSplit/>
        </w:trPr>
        <w:tc>
          <w:tcPr>
            <w:tcW w:w="3828" w:type="dxa"/>
          </w:tcPr>
          <w:p w:rsidR="00667608" w:rsidRDefault="00667608">
            <w:pPr>
              <w:pStyle w:val="A-TableText"/>
              <w:spacing w:before="20" w:after="20"/>
              <w:rPr>
                <w:sz w:val="20"/>
              </w:rPr>
            </w:pPr>
            <w:r>
              <w:rPr>
                <w:sz w:val="20"/>
              </w:rPr>
              <w:t xml:space="preserve">     MRCoNS (6)</w:t>
            </w:r>
          </w:p>
        </w:tc>
        <w:tc>
          <w:tcPr>
            <w:tcW w:w="1080" w:type="dxa"/>
          </w:tcPr>
          <w:p w:rsidR="00667608" w:rsidRDefault="00667608">
            <w:pPr>
              <w:pStyle w:val="A-TableText"/>
              <w:spacing w:before="20" w:after="20"/>
              <w:jc w:val="center"/>
              <w:rPr>
                <w:sz w:val="20"/>
              </w:rPr>
            </w:pPr>
            <w:r>
              <w:rPr>
                <w:sz w:val="20"/>
              </w:rPr>
              <w:t>-</w:t>
            </w:r>
          </w:p>
        </w:tc>
        <w:tc>
          <w:tcPr>
            <w:tcW w:w="3840" w:type="dxa"/>
            <w:tcBorders>
              <w:right w:val="single" w:sz="4" w:space="0" w:color="auto"/>
            </w:tcBorders>
          </w:tcPr>
          <w:p w:rsidR="00667608" w:rsidRDefault="00667608">
            <w:pPr>
              <w:pStyle w:val="A-TableText"/>
              <w:spacing w:before="20" w:after="20"/>
              <w:jc w:val="center"/>
              <w:rPr>
                <w:sz w:val="20"/>
              </w:rPr>
            </w:pPr>
            <w:r>
              <w:rPr>
                <w:sz w:val="20"/>
              </w:rPr>
              <w:t>0.25-0.5</w:t>
            </w:r>
          </w:p>
        </w:tc>
      </w:tr>
      <w:tr w:rsidR="00667608">
        <w:trPr>
          <w:cantSplit/>
        </w:trPr>
        <w:tc>
          <w:tcPr>
            <w:tcW w:w="3828" w:type="dxa"/>
          </w:tcPr>
          <w:p w:rsidR="00667608" w:rsidRDefault="00667608">
            <w:pPr>
              <w:pStyle w:val="A-TableText"/>
              <w:spacing w:before="20" w:after="20"/>
              <w:rPr>
                <w:sz w:val="20"/>
              </w:rPr>
            </w:pPr>
            <w:r>
              <w:rPr>
                <w:i/>
                <w:sz w:val="20"/>
              </w:rPr>
              <w:t>E. faecalis</w:t>
            </w:r>
            <w:r>
              <w:rPr>
                <w:sz w:val="20"/>
              </w:rPr>
              <w:t xml:space="preserve"> (43)</w:t>
            </w:r>
          </w:p>
        </w:tc>
        <w:tc>
          <w:tcPr>
            <w:tcW w:w="1080" w:type="dxa"/>
          </w:tcPr>
          <w:p w:rsidR="00667608" w:rsidRDefault="00667608">
            <w:pPr>
              <w:pStyle w:val="A-TableText"/>
              <w:spacing w:before="20" w:after="20"/>
              <w:jc w:val="center"/>
              <w:rPr>
                <w:sz w:val="20"/>
              </w:rPr>
            </w:pPr>
            <w:r>
              <w:rPr>
                <w:sz w:val="20"/>
              </w:rPr>
              <w:t>8</w:t>
            </w:r>
          </w:p>
        </w:tc>
        <w:tc>
          <w:tcPr>
            <w:tcW w:w="3840" w:type="dxa"/>
            <w:tcBorders>
              <w:right w:val="single" w:sz="4" w:space="0" w:color="auto"/>
            </w:tcBorders>
          </w:tcPr>
          <w:p w:rsidR="00667608" w:rsidRDefault="00667608">
            <w:pPr>
              <w:pStyle w:val="A-TableText"/>
              <w:spacing w:before="20" w:after="20"/>
              <w:jc w:val="center"/>
              <w:rPr>
                <w:sz w:val="20"/>
              </w:rPr>
            </w:pPr>
            <w:r>
              <w:rPr>
                <w:sz w:val="20"/>
              </w:rPr>
              <w:t>0.5-16</w:t>
            </w:r>
          </w:p>
        </w:tc>
      </w:tr>
      <w:tr w:rsidR="00667608">
        <w:trPr>
          <w:cantSplit/>
        </w:trPr>
        <w:tc>
          <w:tcPr>
            <w:tcW w:w="3828" w:type="dxa"/>
          </w:tcPr>
          <w:p w:rsidR="00667608" w:rsidRDefault="00667608">
            <w:pPr>
              <w:pStyle w:val="A-TableText"/>
              <w:spacing w:before="20" w:after="20"/>
              <w:rPr>
                <w:sz w:val="20"/>
              </w:rPr>
            </w:pPr>
            <w:r>
              <w:rPr>
                <w:rFonts w:cs="Arial"/>
                <w:sz w:val="20"/>
              </w:rPr>
              <w:t>β-</w:t>
            </w:r>
            <w:r>
              <w:rPr>
                <w:sz w:val="20"/>
              </w:rPr>
              <w:t xml:space="preserve">haemolytic </w:t>
            </w:r>
            <w:r>
              <w:rPr>
                <w:i/>
                <w:sz w:val="20"/>
              </w:rPr>
              <w:t>streptococci</w:t>
            </w:r>
            <w:r>
              <w:rPr>
                <w:sz w:val="20"/>
              </w:rPr>
              <w:t xml:space="preserve"> (118)</w:t>
            </w:r>
          </w:p>
        </w:tc>
        <w:tc>
          <w:tcPr>
            <w:tcW w:w="1080" w:type="dxa"/>
          </w:tcPr>
          <w:p w:rsidR="00667608" w:rsidRDefault="00667608">
            <w:pPr>
              <w:pStyle w:val="A-TableText"/>
              <w:spacing w:before="20" w:after="20"/>
              <w:jc w:val="center"/>
              <w:rPr>
                <w:sz w:val="20"/>
              </w:rPr>
            </w:pPr>
            <w:r>
              <w:rPr>
                <w:sz w:val="20"/>
              </w:rPr>
              <w:t>0.015</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0.008-0.03</w:t>
            </w:r>
          </w:p>
        </w:tc>
      </w:tr>
      <w:tr w:rsidR="00667608">
        <w:trPr>
          <w:cantSplit/>
        </w:trPr>
        <w:tc>
          <w:tcPr>
            <w:tcW w:w="3828" w:type="dxa"/>
          </w:tcPr>
          <w:p w:rsidR="00667608" w:rsidRDefault="00667608">
            <w:pPr>
              <w:pStyle w:val="A-TableText"/>
              <w:spacing w:before="20" w:after="20"/>
              <w:rPr>
                <w:sz w:val="20"/>
              </w:rPr>
            </w:pPr>
            <w:r>
              <w:rPr>
                <w:sz w:val="20"/>
              </w:rPr>
              <w:t xml:space="preserve">     Group A </w:t>
            </w:r>
            <w:r>
              <w:rPr>
                <w:i/>
                <w:sz w:val="20"/>
              </w:rPr>
              <w:t>streptococcus</w:t>
            </w:r>
            <w:r>
              <w:rPr>
                <w:sz w:val="20"/>
              </w:rPr>
              <w:t xml:space="preserve"> (61)</w:t>
            </w:r>
          </w:p>
        </w:tc>
        <w:tc>
          <w:tcPr>
            <w:tcW w:w="1080" w:type="dxa"/>
          </w:tcPr>
          <w:p w:rsidR="00667608" w:rsidRDefault="00667608">
            <w:pPr>
              <w:pStyle w:val="A-TableText"/>
              <w:spacing w:before="20" w:after="20"/>
              <w:jc w:val="center"/>
              <w:rPr>
                <w:sz w:val="20"/>
              </w:rPr>
            </w:pPr>
            <w:r>
              <w:rPr>
                <w:rFonts w:cs="Arial"/>
                <w:sz w:val="20"/>
              </w:rPr>
              <w:t>≤</w:t>
            </w:r>
            <w:r>
              <w:rPr>
                <w:sz w:val="20"/>
              </w:rPr>
              <w:t>0.008</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w:t>
            </w:r>
          </w:p>
        </w:tc>
      </w:tr>
      <w:tr w:rsidR="00667608">
        <w:trPr>
          <w:cantSplit/>
        </w:trPr>
        <w:tc>
          <w:tcPr>
            <w:tcW w:w="3828" w:type="dxa"/>
          </w:tcPr>
          <w:p w:rsidR="00667608" w:rsidRDefault="00667608">
            <w:pPr>
              <w:pStyle w:val="A-TableText"/>
              <w:spacing w:before="20" w:after="20"/>
              <w:rPr>
                <w:sz w:val="20"/>
              </w:rPr>
            </w:pPr>
            <w:r>
              <w:rPr>
                <w:sz w:val="20"/>
              </w:rPr>
              <w:t xml:space="preserve">     Group B </w:t>
            </w:r>
            <w:r>
              <w:rPr>
                <w:i/>
                <w:sz w:val="20"/>
              </w:rPr>
              <w:t>streptococcus</w:t>
            </w:r>
            <w:r>
              <w:rPr>
                <w:sz w:val="20"/>
              </w:rPr>
              <w:t xml:space="preserve"> (25)</w:t>
            </w:r>
          </w:p>
        </w:tc>
        <w:tc>
          <w:tcPr>
            <w:tcW w:w="1080" w:type="dxa"/>
          </w:tcPr>
          <w:p w:rsidR="00667608" w:rsidRDefault="00667608">
            <w:pPr>
              <w:pStyle w:val="A-TableText"/>
              <w:spacing w:before="20" w:after="20"/>
              <w:jc w:val="center"/>
              <w:rPr>
                <w:sz w:val="20"/>
              </w:rPr>
            </w:pPr>
            <w:r>
              <w:rPr>
                <w:sz w:val="20"/>
              </w:rPr>
              <w:t>0.03</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0.008-0.03</w:t>
            </w:r>
          </w:p>
        </w:tc>
      </w:tr>
      <w:tr w:rsidR="00667608">
        <w:trPr>
          <w:cantSplit/>
        </w:trPr>
        <w:tc>
          <w:tcPr>
            <w:tcW w:w="3828" w:type="dxa"/>
          </w:tcPr>
          <w:p w:rsidR="00667608" w:rsidRDefault="00667608">
            <w:pPr>
              <w:pStyle w:val="A-TableText"/>
              <w:spacing w:before="20" w:after="20"/>
              <w:rPr>
                <w:sz w:val="20"/>
              </w:rPr>
            </w:pPr>
            <w:r>
              <w:rPr>
                <w:sz w:val="20"/>
              </w:rPr>
              <w:t xml:space="preserve">Viridans group </w:t>
            </w:r>
            <w:r>
              <w:rPr>
                <w:i/>
                <w:sz w:val="20"/>
              </w:rPr>
              <w:t>streptococci</w:t>
            </w:r>
            <w:r>
              <w:rPr>
                <w:sz w:val="20"/>
              </w:rPr>
              <w:t xml:space="preserve"> (33)</w:t>
            </w:r>
          </w:p>
        </w:tc>
        <w:tc>
          <w:tcPr>
            <w:tcW w:w="1080" w:type="dxa"/>
          </w:tcPr>
          <w:p w:rsidR="00667608" w:rsidRDefault="00667608">
            <w:pPr>
              <w:pStyle w:val="A-TableText"/>
              <w:spacing w:before="20" w:after="20"/>
              <w:jc w:val="center"/>
              <w:rPr>
                <w:sz w:val="20"/>
              </w:rPr>
            </w:pPr>
            <w:r>
              <w:rPr>
                <w:sz w:val="20"/>
              </w:rPr>
              <w:t>0.06</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0.008-0.25</w:t>
            </w:r>
          </w:p>
        </w:tc>
      </w:tr>
      <w:tr w:rsidR="00667608">
        <w:trPr>
          <w:cantSplit/>
        </w:trPr>
        <w:tc>
          <w:tcPr>
            <w:tcW w:w="3828" w:type="dxa"/>
          </w:tcPr>
          <w:p w:rsidR="00667608" w:rsidRDefault="00667608">
            <w:pPr>
              <w:pStyle w:val="A-TableText"/>
              <w:spacing w:before="20" w:after="20"/>
              <w:rPr>
                <w:sz w:val="20"/>
              </w:rPr>
            </w:pPr>
            <w:r>
              <w:rPr>
                <w:i/>
                <w:sz w:val="20"/>
              </w:rPr>
              <w:t>S. pneumoniae</w:t>
            </w:r>
            <w:r>
              <w:rPr>
                <w:sz w:val="20"/>
              </w:rPr>
              <w:t xml:space="preserve"> (170)</w:t>
            </w:r>
          </w:p>
        </w:tc>
        <w:tc>
          <w:tcPr>
            <w:tcW w:w="1080" w:type="dxa"/>
          </w:tcPr>
          <w:p w:rsidR="00667608" w:rsidRDefault="00667608">
            <w:pPr>
              <w:pStyle w:val="A-TableText"/>
              <w:spacing w:before="20" w:after="20"/>
              <w:jc w:val="center"/>
              <w:rPr>
                <w:sz w:val="20"/>
              </w:rPr>
            </w:pPr>
            <w:r>
              <w:rPr>
                <w:sz w:val="20"/>
              </w:rPr>
              <w:t>0.06</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0.008-0.25</w:t>
            </w:r>
          </w:p>
        </w:tc>
      </w:tr>
      <w:tr w:rsidR="00667608">
        <w:trPr>
          <w:cantSplit/>
        </w:trPr>
        <w:tc>
          <w:tcPr>
            <w:tcW w:w="3828" w:type="dxa"/>
          </w:tcPr>
          <w:p w:rsidR="00667608" w:rsidRDefault="00667608">
            <w:pPr>
              <w:pStyle w:val="A-TableText"/>
              <w:spacing w:before="20" w:after="20"/>
              <w:rPr>
                <w:sz w:val="20"/>
              </w:rPr>
            </w:pPr>
            <w:r>
              <w:rPr>
                <w:sz w:val="20"/>
              </w:rPr>
              <w:t xml:space="preserve">     Penicillin-susceptible (121)</w:t>
            </w:r>
          </w:p>
        </w:tc>
        <w:tc>
          <w:tcPr>
            <w:tcW w:w="1080" w:type="dxa"/>
          </w:tcPr>
          <w:p w:rsidR="00667608" w:rsidRDefault="00667608">
            <w:pPr>
              <w:pStyle w:val="A-TableText"/>
              <w:spacing w:before="20" w:after="20"/>
              <w:jc w:val="center"/>
              <w:rPr>
                <w:sz w:val="20"/>
              </w:rPr>
            </w:pPr>
            <w:r>
              <w:rPr>
                <w:rFonts w:cs="Arial"/>
                <w:sz w:val="20"/>
              </w:rPr>
              <w:t>≤</w:t>
            </w:r>
            <w:r>
              <w:rPr>
                <w:sz w:val="20"/>
              </w:rPr>
              <w:t>0.008</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0.008-0.015</w:t>
            </w:r>
          </w:p>
        </w:tc>
      </w:tr>
      <w:tr w:rsidR="00667608">
        <w:trPr>
          <w:cantSplit/>
        </w:trPr>
        <w:tc>
          <w:tcPr>
            <w:tcW w:w="3828" w:type="dxa"/>
          </w:tcPr>
          <w:p w:rsidR="00667608" w:rsidRDefault="00667608">
            <w:pPr>
              <w:pStyle w:val="A-TableText"/>
              <w:spacing w:before="20" w:after="20"/>
              <w:rPr>
                <w:sz w:val="20"/>
              </w:rPr>
            </w:pPr>
            <w:r>
              <w:rPr>
                <w:sz w:val="20"/>
              </w:rPr>
              <w:t xml:space="preserve">     Penicillin-intermediate (34)</w:t>
            </w:r>
          </w:p>
        </w:tc>
        <w:tc>
          <w:tcPr>
            <w:tcW w:w="1080" w:type="dxa"/>
          </w:tcPr>
          <w:p w:rsidR="00667608" w:rsidRDefault="00667608">
            <w:pPr>
              <w:pStyle w:val="A-TableText"/>
              <w:spacing w:before="20" w:after="20"/>
              <w:jc w:val="center"/>
              <w:rPr>
                <w:sz w:val="20"/>
              </w:rPr>
            </w:pPr>
            <w:r>
              <w:rPr>
                <w:sz w:val="20"/>
              </w:rPr>
              <w:t>0.06</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0.008-0.12</w:t>
            </w:r>
          </w:p>
        </w:tc>
      </w:tr>
      <w:tr w:rsidR="00667608">
        <w:trPr>
          <w:cantSplit/>
        </w:trPr>
        <w:tc>
          <w:tcPr>
            <w:tcW w:w="3828" w:type="dxa"/>
          </w:tcPr>
          <w:p w:rsidR="00667608" w:rsidRDefault="00667608">
            <w:pPr>
              <w:pStyle w:val="A-TableText"/>
              <w:spacing w:before="20" w:after="20"/>
              <w:rPr>
                <w:sz w:val="20"/>
              </w:rPr>
            </w:pPr>
            <w:r>
              <w:rPr>
                <w:sz w:val="20"/>
              </w:rPr>
              <w:t xml:space="preserve">     Penicillin-resistant (15)</w:t>
            </w:r>
          </w:p>
        </w:tc>
        <w:tc>
          <w:tcPr>
            <w:tcW w:w="1080" w:type="dxa"/>
          </w:tcPr>
          <w:p w:rsidR="00667608" w:rsidRDefault="00667608">
            <w:pPr>
              <w:pStyle w:val="A-TableText"/>
              <w:spacing w:before="20" w:after="20"/>
              <w:jc w:val="center"/>
              <w:rPr>
                <w:sz w:val="20"/>
              </w:rPr>
            </w:pPr>
            <w:r>
              <w:rPr>
                <w:sz w:val="20"/>
              </w:rPr>
              <w:t>0.25</w:t>
            </w:r>
          </w:p>
        </w:tc>
        <w:tc>
          <w:tcPr>
            <w:tcW w:w="3840" w:type="dxa"/>
            <w:tcBorders>
              <w:right w:val="single" w:sz="4" w:space="0" w:color="auto"/>
            </w:tcBorders>
          </w:tcPr>
          <w:p w:rsidR="00667608" w:rsidRDefault="00667608">
            <w:pPr>
              <w:pStyle w:val="A-TableText"/>
              <w:spacing w:before="20" w:after="20"/>
              <w:jc w:val="center"/>
              <w:rPr>
                <w:sz w:val="20"/>
              </w:rPr>
            </w:pPr>
            <w:r>
              <w:rPr>
                <w:sz w:val="20"/>
              </w:rPr>
              <w:t>0.06-0.25</w:t>
            </w:r>
          </w:p>
        </w:tc>
      </w:tr>
      <w:tr w:rsidR="00667608">
        <w:trPr>
          <w:cantSplit/>
        </w:trPr>
        <w:tc>
          <w:tcPr>
            <w:tcW w:w="3828" w:type="dxa"/>
            <w:shd w:val="clear" w:color="auto" w:fill="D9D9D9"/>
          </w:tcPr>
          <w:p w:rsidR="00667608" w:rsidRDefault="00667608">
            <w:pPr>
              <w:pStyle w:val="A-TableText"/>
              <w:spacing w:before="20" w:after="20"/>
              <w:rPr>
                <w:b/>
                <w:sz w:val="20"/>
              </w:rPr>
            </w:pPr>
            <w:r>
              <w:rPr>
                <w:b/>
                <w:sz w:val="20"/>
              </w:rPr>
              <w:t>Gram-negative aerobes</w:t>
            </w:r>
          </w:p>
        </w:tc>
        <w:tc>
          <w:tcPr>
            <w:tcW w:w="1080" w:type="dxa"/>
            <w:shd w:val="clear" w:color="auto" w:fill="D9D9D9"/>
          </w:tcPr>
          <w:p w:rsidR="00667608" w:rsidRDefault="00667608">
            <w:pPr>
              <w:pStyle w:val="A-TableText"/>
              <w:spacing w:before="20" w:after="20"/>
              <w:jc w:val="center"/>
              <w:rPr>
                <w:sz w:val="20"/>
              </w:rPr>
            </w:pPr>
          </w:p>
        </w:tc>
        <w:tc>
          <w:tcPr>
            <w:tcW w:w="3840" w:type="dxa"/>
            <w:tcBorders>
              <w:right w:val="single" w:sz="4" w:space="0" w:color="auto"/>
            </w:tcBorders>
            <w:shd w:val="clear" w:color="auto" w:fill="D9D9D9"/>
          </w:tcPr>
          <w:p w:rsidR="00667608" w:rsidRDefault="00667608">
            <w:pPr>
              <w:pStyle w:val="A-TableText"/>
              <w:spacing w:before="20" w:after="20"/>
              <w:jc w:val="center"/>
              <w:rPr>
                <w:sz w:val="20"/>
              </w:rPr>
            </w:pPr>
          </w:p>
        </w:tc>
      </w:tr>
      <w:tr w:rsidR="00667608">
        <w:trPr>
          <w:cantSplit/>
        </w:trPr>
        <w:tc>
          <w:tcPr>
            <w:tcW w:w="3828" w:type="dxa"/>
          </w:tcPr>
          <w:p w:rsidR="00667608" w:rsidRDefault="00667608">
            <w:pPr>
              <w:pStyle w:val="A-TableText"/>
              <w:spacing w:before="20" w:after="20"/>
              <w:rPr>
                <w:sz w:val="20"/>
              </w:rPr>
            </w:pPr>
            <w:r>
              <w:rPr>
                <w:i/>
                <w:sz w:val="20"/>
              </w:rPr>
              <w:t>Citrobacter</w:t>
            </w:r>
            <w:r>
              <w:rPr>
                <w:sz w:val="20"/>
              </w:rPr>
              <w:t xml:space="preserve"> spp (40)</w:t>
            </w:r>
          </w:p>
        </w:tc>
        <w:tc>
          <w:tcPr>
            <w:tcW w:w="1080" w:type="dxa"/>
          </w:tcPr>
          <w:p w:rsidR="00667608" w:rsidRDefault="00667608">
            <w:pPr>
              <w:pStyle w:val="A-TableText"/>
              <w:spacing w:before="20" w:after="20"/>
              <w:jc w:val="center"/>
              <w:rPr>
                <w:sz w:val="20"/>
              </w:rPr>
            </w:pPr>
            <w:r>
              <w:rPr>
                <w:sz w:val="20"/>
              </w:rPr>
              <w:t>32</w:t>
            </w:r>
          </w:p>
        </w:tc>
        <w:tc>
          <w:tcPr>
            <w:tcW w:w="3840" w:type="dxa"/>
            <w:tcBorders>
              <w:right w:val="single" w:sz="4" w:space="0" w:color="auto"/>
            </w:tcBorders>
          </w:tcPr>
          <w:p w:rsidR="00667608" w:rsidRDefault="00667608">
            <w:pPr>
              <w:pStyle w:val="A-TableText"/>
              <w:spacing w:before="20" w:after="20"/>
              <w:jc w:val="center"/>
              <w:rPr>
                <w:sz w:val="20"/>
              </w:rPr>
            </w:pPr>
            <w:r>
              <w:rPr>
                <w:sz w:val="20"/>
              </w:rPr>
              <w:t>0.06-&gt;32</w:t>
            </w:r>
          </w:p>
        </w:tc>
      </w:tr>
      <w:tr w:rsidR="00667608">
        <w:trPr>
          <w:cantSplit/>
        </w:trPr>
        <w:tc>
          <w:tcPr>
            <w:tcW w:w="3828" w:type="dxa"/>
          </w:tcPr>
          <w:p w:rsidR="00667608" w:rsidRDefault="00667608">
            <w:pPr>
              <w:pStyle w:val="A-TableText"/>
              <w:spacing w:before="20" w:after="20"/>
              <w:rPr>
                <w:sz w:val="20"/>
              </w:rPr>
            </w:pPr>
            <w:r>
              <w:rPr>
                <w:i/>
                <w:sz w:val="20"/>
              </w:rPr>
              <w:t>Enterobacteriaceae</w:t>
            </w:r>
            <w:r>
              <w:rPr>
                <w:sz w:val="20"/>
              </w:rPr>
              <w:t xml:space="preserve"> (265)</w:t>
            </w:r>
          </w:p>
        </w:tc>
        <w:tc>
          <w:tcPr>
            <w:tcW w:w="1080" w:type="dxa"/>
          </w:tcPr>
          <w:p w:rsidR="00667608" w:rsidRDefault="00667608">
            <w:pPr>
              <w:pStyle w:val="A-TableText"/>
              <w:spacing w:before="20" w:after="20"/>
              <w:jc w:val="center"/>
              <w:rPr>
                <w:sz w:val="20"/>
              </w:rPr>
            </w:pPr>
            <w:r>
              <w:rPr>
                <w:sz w:val="20"/>
              </w:rPr>
              <w:t>2</w:t>
            </w:r>
          </w:p>
        </w:tc>
        <w:tc>
          <w:tcPr>
            <w:tcW w:w="3840" w:type="dxa"/>
            <w:tcBorders>
              <w:right w:val="single" w:sz="4" w:space="0" w:color="auto"/>
            </w:tcBorders>
          </w:tcPr>
          <w:p w:rsidR="00667608" w:rsidRDefault="00667608">
            <w:pPr>
              <w:pStyle w:val="A-TableText"/>
              <w:spacing w:before="20" w:after="20"/>
              <w:jc w:val="center"/>
              <w:rPr>
                <w:sz w:val="20"/>
              </w:rPr>
            </w:pPr>
            <w:r>
              <w:rPr>
                <w:sz w:val="20"/>
              </w:rPr>
              <w:t>0.015-&gt;16</w:t>
            </w:r>
          </w:p>
        </w:tc>
      </w:tr>
      <w:tr w:rsidR="00667608">
        <w:trPr>
          <w:cantSplit/>
        </w:trPr>
        <w:tc>
          <w:tcPr>
            <w:tcW w:w="3828" w:type="dxa"/>
          </w:tcPr>
          <w:p w:rsidR="00667608" w:rsidRDefault="00667608">
            <w:pPr>
              <w:pStyle w:val="A-TableText"/>
              <w:spacing w:before="20" w:after="20"/>
              <w:rPr>
                <w:sz w:val="20"/>
              </w:rPr>
            </w:pPr>
            <w:r>
              <w:rPr>
                <w:i/>
                <w:sz w:val="20"/>
              </w:rPr>
              <w:t>Enterobacter</w:t>
            </w:r>
            <w:r>
              <w:rPr>
                <w:sz w:val="20"/>
              </w:rPr>
              <w:t xml:space="preserve"> spp. (66)</w:t>
            </w:r>
          </w:p>
        </w:tc>
        <w:tc>
          <w:tcPr>
            <w:tcW w:w="1080" w:type="dxa"/>
          </w:tcPr>
          <w:p w:rsidR="00667608" w:rsidRDefault="00667608">
            <w:pPr>
              <w:pStyle w:val="A-TableText"/>
              <w:spacing w:before="20" w:after="20"/>
              <w:jc w:val="center"/>
              <w:rPr>
                <w:sz w:val="20"/>
              </w:rPr>
            </w:pPr>
            <w:r>
              <w:rPr>
                <w:sz w:val="20"/>
              </w:rPr>
              <w:t>&gt;32</w:t>
            </w:r>
          </w:p>
        </w:tc>
        <w:tc>
          <w:tcPr>
            <w:tcW w:w="3840" w:type="dxa"/>
            <w:tcBorders>
              <w:right w:val="single" w:sz="4" w:space="0" w:color="auto"/>
            </w:tcBorders>
          </w:tcPr>
          <w:p w:rsidR="00667608" w:rsidRDefault="00667608">
            <w:pPr>
              <w:pStyle w:val="A-TableText"/>
              <w:spacing w:before="20" w:after="20"/>
              <w:jc w:val="center"/>
              <w:rPr>
                <w:sz w:val="20"/>
              </w:rPr>
            </w:pPr>
            <w:r>
              <w:rPr>
                <w:sz w:val="20"/>
              </w:rPr>
              <w:t>0.06-&gt;32</w:t>
            </w:r>
          </w:p>
        </w:tc>
      </w:tr>
      <w:tr w:rsidR="00667608">
        <w:trPr>
          <w:cantSplit/>
        </w:trPr>
        <w:tc>
          <w:tcPr>
            <w:tcW w:w="3828" w:type="dxa"/>
          </w:tcPr>
          <w:p w:rsidR="00667608" w:rsidRDefault="00667608">
            <w:pPr>
              <w:pStyle w:val="A-TableText"/>
              <w:spacing w:before="20" w:after="20"/>
              <w:rPr>
                <w:sz w:val="20"/>
              </w:rPr>
            </w:pPr>
            <w:r>
              <w:rPr>
                <w:i/>
                <w:sz w:val="20"/>
              </w:rPr>
              <w:t>E. coli</w:t>
            </w:r>
            <w:r>
              <w:rPr>
                <w:sz w:val="20"/>
              </w:rPr>
              <w:t xml:space="preserve"> (128)</w:t>
            </w:r>
          </w:p>
        </w:tc>
        <w:tc>
          <w:tcPr>
            <w:tcW w:w="1080" w:type="dxa"/>
          </w:tcPr>
          <w:p w:rsidR="00667608" w:rsidRDefault="00667608">
            <w:pPr>
              <w:pStyle w:val="A-TableText"/>
              <w:spacing w:before="20" w:after="20"/>
              <w:jc w:val="center"/>
              <w:rPr>
                <w:sz w:val="20"/>
              </w:rPr>
            </w:pPr>
            <w:r>
              <w:rPr>
                <w:sz w:val="20"/>
              </w:rPr>
              <w:t>2</w:t>
            </w:r>
          </w:p>
        </w:tc>
        <w:tc>
          <w:tcPr>
            <w:tcW w:w="3840" w:type="dxa"/>
            <w:tcBorders>
              <w:right w:val="single" w:sz="4" w:space="0" w:color="auto"/>
            </w:tcBorders>
          </w:tcPr>
          <w:p w:rsidR="00667608" w:rsidRDefault="00667608">
            <w:pPr>
              <w:pStyle w:val="A-TableText"/>
              <w:spacing w:before="20" w:after="20"/>
              <w:jc w:val="center"/>
              <w:rPr>
                <w:sz w:val="20"/>
              </w:rPr>
            </w:pPr>
            <w:r>
              <w:rPr>
                <w:sz w:val="20"/>
              </w:rPr>
              <w:t>0.015-&gt;32</w:t>
            </w:r>
          </w:p>
        </w:tc>
      </w:tr>
      <w:tr w:rsidR="00667608">
        <w:trPr>
          <w:cantSplit/>
        </w:trPr>
        <w:tc>
          <w:tcPr>
            <w:tcW w:w="3828" w:type="dxa"/>
          </w:tcPr>
          <w:p w:rsidR="00667608" w:rsidRDefault="00667608">
            <w:pPr>
              <w:pStyle w:val="A-TableText"/>
              <w:spacing w:before="20" w:after="20"/>
              <w:rPr>
                <w:sz w:val="20"/>
              </w:rPr>
            </w:pPr>
            <w:r>
              <w:rPr>
                <w:sz w:val="20"/>
              </w:rPr>
              <w:t xml:space="preserve">     ESBL phenotype (9)</w:t>
            </w:r>
          </w:p>
        </w:tc>
        <w:tc>
          <w:tcPr>
            <w:tcW w:w="1080" w:type="dxa"/>
          </w:tcPr>
          <w:p w:rsidR="00667608" w:rsidRDefault="00667608">
            <w:pPr>
              <w:pStyle w:val="A-TableText"/>
              <w:spacing w:before="20" w:after="20"/>
              <w:jc w:val="center"/>
              <w:rPr>
                <w:sz w:val="20"/>
              </w:rPr>
            </w:pPr>
            <w:r>
              <w:rPr>
                <w:sz w:val="20"/>
              </w:rPr>
              <w:t>-</w:t>
            </w:r>
          </w:p>
        </w:tc>
        <w:tc>
          <w:tcPr>
            <w:tcW w:w="3840" w:type="dxa"/>
            <w:tcBorders>
              <w:right w:val="single" w:sz="4" w:space="0" w:color="auto"/>
            </w:tcBorders>
          </w:tcPr>
          <w:p w:rsidR="00667608" w:rsidRDefault="00667608">
            <w:pPr>
              <w:pStyle w:val="A-TableText"/>
              <w:spacing w:before="20" w:after="20"/>
              <w:jc w:val="center"/>
              <w:rPr>
                <w:sz w:val="20"/>
              </w:rPr>
            </w:pPr>
            <w:r>
              <w:rPr>
                <w:sz w:val="20"/>
              </w:rPr>
              <w:t>32 -&gt;32</w:t>
            </w:r>
          </w:p>
        </w:tc>
      </w:tr>
      <w:tr w:rsidR="00667608">
        <w:trPr>
          <w:cantSplit/>
        </w:trPr>
        <w:tc>
          <w:tcPr>
            <w:tcW w:w="3828" w:type="dxa"/>
          </w:tcPr>
          <w:p w:rsidR="00667608" w:rsidRDefault="00667608">
            <w:pPr>
              <w:pStyle w:val="A-TableText"/>
              <w:spacing w:before="20" w:after="20"/>
              <w:rPr>
                <w:sz w:val="20"/>
              </w:rPr>
            </w:pPr>
            <w:r>
              <w:rPr>
                <w:sz w:val="20"/>
              </w:rPr>
              <w:t xml:space="preserve">     non-ESBL phenotype (119)</w:t>
            </w:r>
          </w:p>
        </w:tc>
        <w:tc>
          <w:tcPr>
            <w:tcW w:w="1080" w:type="dxa"/>
          </w:tcPr>
          <w:p w:rsidR="00667608" w:rsidRDefault="00667608">
            <w:pPr>
              <w:pStyle w:val="A-TableText"/>
              <w:spacing w:before="20" w:after="20"/>
              <w:jc w:val="center"/>
              <w:rPr>
                <w:sz w:val="20"/>
              </w:rPr>
            </w:pPr>
            <w:r>
              <w:rPr>
                <w:sz w:val="20"/>
              </w:rPr>
              <w:t>0.5</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0.015-&gt;</w:t>
            </w:r>
            <w:r>
              <w:rPr>
                <w:sz w:val="20"/>
              </w:rPr>
              <w:t>32</w:t>
            </w:r>
          </w:p>
        </w:tc>
      </w:tr>
      <w:tr w:rsidR="00667608">
        <w:trPr>
          <w:cantSplit/>
        </w:trPr>
        <w:tc>
          <w:tcPr>
            <w:tcW w:w="3828" w:type="dxa"/>
          </w:tcPr>
          <w:p w:rsidR="00667608" w:rsidRDefault="00667608">
            <w:pPr>
              <w:pStyle w:val="A-TableText"/>
              <w:spacing w:before="20" w:after="20"/>
              <w:rPr>
                <w:sz w:val="20"/>
              </w:rPr>
            </w:pPr>
            <w:r>
              <w:rPr>
                <w:i/>
                <w:sz w:val="20"/>
              </w:rPr>
              <w:t>H. influenzae</w:t>
            </w:r>
            <w:r>
              <w:rPr>
                <w:sz w:val="20"/>
              </w:rPr>
              <w:t xml:space="preserve"> (152)</w:t>
            </w:r>
          </w:p>
        </w:tc>
        <w:tc>
          <w:tcPr>
            <w:tcW w:w="1080" w:type="dxa"/>
          </w:tcPr>
          <w:p w:rsidR="00667608" w:rsidRDefault="00667608">
            <w:pPr>
              <w:pStyle w:val="A-TableText"/>
              <w:spacing w:before="20" w:after="20"/>
              <w:jc w:val="center"/>
              <w:rPr>
                <w:sz w:val="20"/>
              </w:rPr>
            </w:pPr>
            <w:r>
              <w:rPr>
                <w:sz w:val="20"/>
              </w:rPr>
              <w:t>0.03</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0.008-0.06</w:t>
            </w:r>
          </w:p>
        </w:tc>
      </w:tr>
      <w:tr w:rsidR="00667608">
        <w:trPr>
          <w:cantSplit/>
        </w:trPr>
        <w:tc>
          <w:tcPr>
            <w:tcW w:w="3828" w:type="dxa"/>
          </w:tcPr>
          <w:p w:rsidR="00667608" w:rsidRDefault="00667608">
            <w:pPr>
              <w:pStyle w:val="A-TableText"/>
              <w:spacing w:before="20" w:after="20"/>
              <w:rPr>
                <w:sz w:val="20"/>
              </w:rPr>
            </w:pPr>
            <w:r>
              <w:rPr>
                <w:sz w:val="20"/>
              </w:rPr>
              <w:t xml:space="preserve">     </w:t>
            </w:r>
            <w:r>
              <w:rPr>
                <w:rFonts w:cs="Arial"/>
                <w:sz w:val="20"/>
              </w:rPr>
              <w:t>β</w:t>
            </w:r>
            <w:r>
              <w:rPr>
                <w:sz w:val="20"/>
              </w:rPr>
              <w:t>-lactamase positive (39)</w:t>
            </w:r>
          </w:p>
        </w:tc>
        <w:tc>
          <w:tcPr>
            <w:tcW w:w="1080" w:type="dxa"/>
          </w:tcPr>
          <w:p w:rsidR="00667608" w:rsidRDefault="00667608">
            <w:pPr>
              <w:pStyle w:val="A-TableText"/>
              <w:spacing w:before="20" w:after="20"/>
              <w:jc w:val="center"/>
              <w:rPr>
                <w:sz w:val="20"/>
              </w:rPr>
            </w:pPr>
            <w:r>
              <w:rPr>
                <w:sz w:val="20"/>
              </w:rPr>
              <w:t>0.06</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0.008-0.06</w:t>
            </w:r>
          </w:p>
        </w:tc>
      </w:tr>
      <w:tr w:rsidR="00667608">
        <w:trPr>
          <w:cantSplit/>
        </w:trPr>
        <w:tc>
          <w:tcPr>
            <w:tcW w:w="3828" w:type="dxa"/>
          </w:tcPr>
          <w:p w:rsidR="00667608" w:rsidRDefault="00667608">
            <w:pPr>
              <w:pStyle w:val="A-TableText"/>
              <w:spacing w:before="20" w:after="20"/>
              <w:rPr>
                <w:sz w:val="20"/>
              </w:rPr>
            </w:pPr>
            <w:r>
              <w:rPr>
                <w:sz w:val="20"/>
              </w:rPr>
              <w:t xml:space="preserve">     </w:t>
            </w:r>
            <w:r>
              <w:rPr>
                <w:rFonts w:cs="Arial"/>
                <w:sz w:val="20"/>
              </w:rPr>
              <w:t>β</w:t>
            </w:r>
            <w:r>
              <w:rPr>
                <w:sz w:val="20"/>
              </w:rPr>
              <w:t>-lactamase negative (113)</w:t>
            </w:r>
          </w:p>
        </w:tc>
        <w:tc>
          <w:tcPr>
            <w:tcW w:w="1080" w:type="dxa"/>
          </w:tcPr>
          <w:p w:rsidR="00667608" w:rsidRDefault="00667608">
            <w:pPr>
              <w:pStyle w:val="A-TableText"/>
              <w:spacing w:before="20" w:after="20"/>
              <w:jc w:val="center"/>
              <w:rPr>
                <w:sz w:val="20"/>
              </w:rPr>
            </w:pPr>
            <w:r>
              <w:rPr>
                <w:sz w:val="20"/>
              </w:rPr>
              <w:t>0.015</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0.008-0.06</w:t>
            </w:r>
          </w:p>
        </w:tc>
      </w:tr>
      <w:tr w:rsidR="00667608">
        <w:trPr>
          <w:cantSplit/>
        </w:trPr>
        <w:tc>
          <w:tcPr>
            <w:tcW w:w="3828" w:type="dxa"/>
          </w:tcPr>
          <w:p w:rsidR="00667608" w:rsidRDefault="00667608">
            <w:pPr>
              <w:pStyle w:val="A-TableText"/>
              <w:spacing w:before="20" w:after="20"/>
              <w:rPr>
                <w:i/>
                <w:sz w:val="20"/>
              </w:rPr>
            </w:pPr>
            <w:r>
              <w:rPr>
                <w:i/>
                <w:sz w:val="20"/>
              </w:rPr>
              <w:t>H. parainfluenzae</w:t>
            </w:r>
            <w:r>
              <w:rPr>
                <w:sz w:val="20"/>
              </w:rPr>
              <w:t xml:space="preserve"> (9)</w:t>
            </w:r>
          </w:p>
        </w:tc>
        <w:tc>
          <w:tcPr>
            <w:tcW w:w="1080" w:type="dxa"/>
          </w:tcPr>
          <w:p w:rsidR="00667608" w:rsidRDefault="00667608">
            <w:pPr>
              <w:pStyle w:val="A-TableText"/>
              <w:spacing w:before="20" w:after="20"/>
              <w:jc w:val="center"/>
              <w:rPr>
                <w:sz w:val="20"/>
              </w:rPr>
            </w:pPr>
            <w:r>
              <w:rPr>
                <w:sz w:val="20"/>
              </w:rPr>
              <w:t>-</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w:t>
            </w:r>
            <w:r>
              <w:rPr>
                <w:sz w:val="20"/>
              </w:rPr>
              <w:t>0.008-0.015</w:t>
            </w:r>
          </w:p>
        </w:tc>
      </w:tr>
      <w:tr w:rsidR="00667608">
        <w:trPr>
          <w:cantSplit/>
        </w:trPr>
        <w:tc>
          <w:tcPr>
            <w:tcW w:w="3828" w:type="dxa"/>
          </w:tcPr>
          <w:p w:rsidR="00667608" w:rsidRDefault="00667608">
            <w:pPr>
              <w:pStyle w:val="A-TableText"/>
              <w:spacing w:before="20" w:after="20"/>
              <w:rPr>
                <w:sz w:val="20"/>
              </w:rPr>
            </w:pPr>
            <w:r>
              <w:rPr>
                <w:i/>
                <w:sz w:val="20"/>
              </w:rPr>
              <w:t>K. pneumoniae</w:t>
            </w:r>
            <w:r>
              <w:rPr>
                <w:sz w:val="20"/>
              </w:rPr>
              <w:t xml:space="preserve"> (52)</w:t>
            </w:r>
          </w:p>
        </w:tc>
        <w:tc>
          <w:tcPr>
            <w:tcW w:w="1080" w:type="dxa"/>
          </w:tcPr>
          <w:p w:rsidR="00667608" w:rsidRDefault="00667608">
            <w:pPr>
              <w:pStyle w:val="A-TableText"/>
              <w:spacing w:before="20" w:after="20"/>
              <w:jc w:val="center"/>
              <w:rPr>
                <w:sz w:val="20"/>
              </w:rPr>
            </w:pPr>
            <w:r>
              <w:rPr>
                <w:sz w:val="20"/>
              </w:rPr>
              <w:t>0.5</w:t>
            </w:r>
          </w:p>
        </w:tc>
        <w:tc>
          <w:tcPr>
            <w:tcW w:w="3840" w:type="dxa"/>
            <w:tcBorders>
              <w:right w:val="single" w:sz="4" w:space="0" w:color="auto"/>
            </w:tcBorders>
          </w:tcPr>
          <w:p w:rsidR="00667608" w:rsidRDefault="00667608">
            <w:pPr>
              <w:pStyle w:val="A-TableText"/>
              <w:spacing w:before="20" w:after="20"/>
              <w:jc w:val="center"/>
              <w:rPr>
                <w:sz w:val="20"/>
              </w:rPr>
            </w:pPr>
            <w:r>
              <w:rPr>
                <w:sz w:val="20"/>
              </w:rPr>
              <w:t>0.03-&gt;32</w:t>
            </w:r>
          </w:p>
        </w:tc>
      </w:tr>
      <w:tr w:rsidR="00667608">
        <w:trPr>
          <w:cantSplit/>
        </w:trPr>
        <w:tc>
          <w:tcPr>
            <w:tcW w:w="3828" w:type="dxa"/>
          </w:tcPr>
          <w:p w:rsidR="00667608" w:rsidRDefault="00667608">
            <w:pPr>
              <w:pStyle w:val="A-TableText"/>
              <w:spacing w:before="20" w:after="20"/>
              <w:rPr>
                <w:sz w:val="20"/>
              </w:rPr>
            </w:pPr>
            <w:r>
              <w:rPr>
                <w:sz w:val="20"/>
              </w:rPr>
              <w:t xml:space="preserve">     ESBL phenotype (4)</w:t>
            </w:r>
          </w:p>
        </w:tc>
        <w:tc>
          <w:tcPr>
            <w:tcW w:w="1080" w:type="dxa"/>
          </w:tcPr>
          <w:p w:rsidR="00667608" w:rsidRDefault="00667608">
            <w:pPr>
              <w:pStyle w:val="A-TableText"/>
              <w:spacing w:before="20" w:after="20"/>
              <w:jc w:val="center"/>
              <w:rPr>
                <w:sz w:val="20"/>
              </w:rPr>
            </w:pPr>
            <w:r>
              <w:rPr>
                <w:sz w:val="20"/>
              </w:rPr>
              <w:t>-</w:t>
            </w:r>
          </w:p>
        </w:tc>
        <w:tc>
          <w:tcPr>
            <w:tcW w:w="3840" w:type="dxa"/>
            <w:tcBorders>
              <w:right w:val="single" w:sz="4" w:space="0" w:color="auto"/>
            </w:tcBorders>
          </w:tcPr>
          <w:p w:rsidR="00667608" w:rsidRDefault="00667608">
            <w:pPr>
              <w:pStyle w:val="A-TableText"/>
              <w:spacing w:before="20" w:after="20"/>
              <w:jc w:val="center"/>
              <w:rPr>
                <w:sz w:val="20"/>
              </w:rPr>
            </w:pPr>
            <w:r>
              <w:rPr>
                <w:sz w:val="20"/>
              </w:rPr>
              <w:t>4 -&gt;32</w:t>
            </w:r>
          </w:p>
        </w:tc>
      </w:tr>
      <w:tr w:rsidR="00667608">
        <w:trPr>
          <w:cantSplit/>
        </w:trPr>
        <w:tc>
          <w:tcPr>
            <w:tcW w:w="3828" w:type="dxa"/>
          </w:tcPr>
          <w:p w:rsidR="00667608" w:rsidRDefault="00667608">
            <w:pPr>
              <w:pStyle w:val="A-TableText"/>
              <w:spacing w:before="20" w:after="20"/>
              <w:rPr>
                <w:sz w:val="20"/>
              </w:rPr>
            </w:pPr>
            <w:r>
              <w:rPr>
                <w:sz w:val="20"/>
              </w:rPr>
              <w:t xml:space="preserve">     non-ESBL phenotype (48)</w:t>
            </w:r>
          </w:p>
        </w:tc>
        <w:tc>
          <w:tcPr>
            <w:tcW w:w="1080" w:type="dxa"/>
          </w:tcPr>
          <w:p w:rsidR="00667608" w:rsidRDefault="00667608">
            <w:pPr>
              <w:pStyle w:val="A-TableText"/>
              <w:spacing w:before="20" w:after="20"/>
              <w:jc w:val="center"/>
              <w:rPr>
                <w:sz w:val="20"/>
              </w:rPr>
            </w:pPr>
            <w:r>
              <w:rPr>
                <w:sz w:val="20"/>
              </w:rPr>
              <w:t>0.5</w:t>
            </w:r>
          </w:p>
        </w:tc>
        <w:tc>
          <w:tcPr>
            <w:tcW w:w="3840" w:type="dxa"/>
            <w:tcBorders>
              <w:right w:val="single" w:sz="4" w:space="0" w:color="auto"/>
            </w:tcBorders>
          </w:tcPr>
          <w:p w:rsidR="00667608" w:rsidRDefault="00667608">
            <w:pPr>
              <w:pStyle w:val="A-TableText"/>
              <w:spacing w:before="20" w:after="20"/>
              <w:jc w:val="center"/>
              <w:rPr>
                <w:sz w:val="20"/>
              </w:rPr>
            </w:pPr>
            <w:r>
              <w:rPr>
                <w:rFonts w:cs="Arial"/>
                <w:sz w:val="20"/>
              </w:rPr>
              <w:t>0.03-1</w:t>
            </w:r>
          </w:p>
        </w:tc>
      </w:tr>
      <w:tr w:rsidR="00667608">
        <w:trPr>
          <w:cantSplit/>
        </w:trPr>
        <w:tc>
          <w:tcPr>
            <w:tcW w:w="3828" w:type="dxa"/>
          </w:tcPr>
          <w:p w:rsidR="00667608" w:rsidRDefault="00667608">
            <w:pPr>
              <w:pStyle w:val="A-TableText"/>
              <w:spacing w:before="20" w:after="20"/>
              <w:rPr>
                <w:sz w:val="20"/>
              </w:rPr>
            </w:pPr>
            <w:r>
              <w:rPr>
                <w:i/>
                <w:sz w:val="20"/>
              </w:rPr>
              <w:t>K. oxytoca</w:t>
            </w:r>
            <w:r>
              <w:rPr>
                <w:sz w:val="20"/>
              </w:rPr>
              <w:t xml:space="preserve"> (10)</w:t>
            </w:r>
          </w:p>
        </w:tc>
        <w:tc>
          <w:tcPr>
            <w:tcW w:w="1080" w:type="dxa"/>
          </w:tcPr>
          <w:p w:rsidR="00667608" w:rsidRDefault="00667608">
            <w:pPr>
              <w:pStyle w:val="A-TableText"/>
              <w:spacing w:before="20" w:after="20"/>
              <w:jc w:val="center"/>
              <w:rPr>
                <w:sz w:val="20"/>
              </w:rPr>
            </w:pPr>
            <w:r>
              <w:rPr>
                <w:sz w:val="20"/>
              </w:rPr>
              <w:t>&gt;32</w:t>
            </w:r>
          </w:p>
        </w:tc>
        <w:tc>
          <w:tcPr>
            <w:tcW w:w="3840" w:type="dxa"/>
            <w:tcBorders>
              <w:right w:val="single" w:sz="4" w:space="0" w:color="auto"/>
            </w:tcBorders>
          </w:tcPr>
          <w:p w:rsidR="00667608" w:rsidRDefault="00667608">
            <w:pPr>
              <w:pStyle w:val="A-TableText"/>
              <w:spacing w:before="20" w:after="20"/>
              <w:jc w:val="center"/>
              <w:rPr>
                <w:sz w:val="20"/>
              </w:rPr>
            </w:pPr>
            <w:r>
              <w:rPr>
                <w:sz w:val="20"/>
              </w:rPr>
              <w:t>0.06-&gt;32</w:t>
            </w:r>
          </w:p>
        </w:tc>
      </w:tr>
      <w:tr w:rsidR="00667608">
        <w:trPr>
          <w:cantSplit/>
        </w:trPr>
        <w:tc>
          <w:tcPr>
            <w:tcW w:w="3828" w:type="dxa"/>
          </w:tcPr>
          <w:p w:rsidR="00667608" w:rsidRDefault="00667608">
            <w:pPr>
              <w:pStyle w:val="A-TableText"/>
              <w:spacing w:before="20" w:after="20"/>
              <w:rPr>
                <w:sz w:val="20"/>
              </w:rPr>
            </w:pPr>
            <w:r>
              <w:rPr>
                <w:sz w:val="20"/>
              </w:rPr>
              <w:t xml:space="preserve">     ESBL phenotype (2)</w:t>
            </w:r>
          </w:p>
        </w:tc>
        <w:tc>
          <w:tcPr>
            <w:tcW w:w="1080" w:type="dxa"/>
          </w:tcPr>
          <w:p w:rsidR="00667608" w:rsidRDefault="00667608">
            <w:pPr>
              <w:pStyle w:val="A-TableText"/>
              <w:spacing w:before="20" w:after="20"/>
              <w:jc w:val="center"/>
              <w:rPr>
                <w:sz w:val="20"/>
              </w:rPr>
            </w:pPr>
            <w:r>
              <w:rPr>
                <w:sz w:val="20"/>
              </w:rPr>
              <w:t>-</w:t>
            </w:r>
          </w:p>
        </w:tc>
        <w:tc>
          <w:tcPr>
            <w:tcW w:w="3840" w:type="dxa"/>
            <w:tcBorders>
              <w:right w:val="single" w:sz="4" w:space="0" w:color="auto"/>
            </w:tcBorders>
          </w:tcPr>
          <w:p w:rsidR="00667608" w:rsidRDefault="00667608">
            <w:pPr>
              <w:pStyle w:val="A-TableText"/>
              <w:spacing w:before="20" w:after="20"/>
              <w:jc w:val="center"/>
              <w:rPr>
                <w:sz w:val="20"/>
              </w:rPr>
            </w:pPr>
            <w:r>
              <w:rPr>
                <w:sz w:val="20"/>
              </w:rPr>
              <w:t>&gt;32</w:t>
            </w:r>
          </w:p>
        </w:tc>
      </w:tr>
      <w:tr w:rsidR="00667608">
        <w:trPr>
          <w:cantSplit/>
        </w:trPr>
        <w:tc>
          <w:tcPr>
            <w:tcW w:w="3828" w:type="dxa"/>
          </w:tcPr>
          <w:p w:rsidR="00667608" w:rsidRDefault="00667608">
            <w:pPr>
              <w:pStyle w:val="A-TableText"/>
              <w:spacing w:before="20" w:after="20"/>
              <w:rPr>
                <w:sz w:val="20"/>
              </w:rPr>
            </w:pPr>
            <w:r>
              <w:rPr>
                <w:sz w:val="20"/>
              </w:rPr>
              <w:t xml:space="preserve">     non-ESBL phenotype (8)</w:t>
            </w:r>
          </w:p>
        </w:tc>
        <w:tc>
          <w:tcPr>
            <w:tcW w:w="1080" w:type="dxa"/>
          </w:tcPr>
          <w:p w:rsidR="00667608" w:rsidRDefault="00667608">
            <w:pPr>
              <w:pStyle w:val="A-TableText"/>
              <w:spacing w:before="20" w:after="20"/>
              <w:jc w:val="center"/>
              <w:rPr>
                <w:sz w:val="20"/>
                <w:lang w:val="sv-SE"/>
              </w:rPr>
            </w:pPr>
            <w:r>
              <w:rPr>
                <w:sz w:val="20"/>
                <w:lang w:val="sv-SE"/>
              </w:rPr>
              <w:t>-</w:t>
            </w:r>
          </w:p>
        </w:tc>
        <w:tc>
          <w:tcPr>
            <w:tcW w:w="3840" w:type="dxa"/>
            <w:tcBorders>
              <w:right w:val="single" w:sz="4" w:space="0" w:color="auto"/>
            </w:tcBorders>
          </w:tcPr>
          <w:p w:rsidR="00667608" w:rsidRDefault="00667608">
            <w:pPr>
              <w:pStyle w:val="A-TableText"/>
              <w:spacing w:before="20" w:after="20"/>
              <w:jc w:val="center"/>
              <w:rPr>
                <w:sz w:val="20"/>
                <w:lang w:val="sv-SE"/>
              </w:rPr>
            </w:pPr>
            <w:r>
              <w:rPr>
                <w:rFonts w:cs="Arial"/>
                <w:sz w:val="20"/>
                <w:lang w:val="sv-SE"/>
              </w:rPr>
              <w:t>0.06-0.5</w:t>
            </w:r>
          </w:p>
        </w:tc>
      </w:tr>
      <w:tr w:rsidR="00667608">
        <w:trPr>
          <w:cantSplit/>
        </w:trPr>
        <w:tc>
          <w:tcPr>
            <w:tcW w:w="3828" w:type="dxa"/>
          </w:tcPr>
          <w:p w:rsidR="00667608" w:rsidRDefault="00667608">
            <w:pPr>
              <w:pStyle w:val="A-TableText"/>
              <w:spacing w:before="20" w:after="20"/>
              <w:rPr>
                <w:sz w:val="20"/>
                <w:lang w:val="sv-SE"/>
              </w:rPr>
            </w:pPr>
            <w:r>
              <w:rPr>
                <w:i/>
                <w:sz w:val="20"/>
                <w:lang w:val="sv-SE"/>
              </w:rPr>
              <w:lastRenderedPageBreak/>
              <w:t>Moraxella catarrhalis</w:t>
            </w:r>
            <w:r>
              <w:rPr>
                <w:sz w:val="20"/>
                <w:lang w:val="sv-SE"/>
              </w:rPr>
              <w:t xml:space="preserve"> (36)</w:t>
            </w:r>
          </w:p>
        </w:tc>
        <w:tc>
          <w:tcPr>
            <w:tcW w:w="1080" w:type="dxa"/>
          </w:tcPr>
          <w:p w:rsidR="00667608" w:rsidRDefault="00667608">
            <w:pPr>
              <w:pStyle w:val="A-TableText"/>
              <w:spacing w:before="20" w:after="20"/>
              <w:jc w:val="center"/>
              <w:rPr>
                <w:sz w:val="20"/>
                <w:lang w:val="sv-SE"/>
              </w:rPr>
            </w:pPr>
            <w:r>
              <w:rPr>
                <w:sz w:val="20"/>
                <w:lang w:val="sv-SE"/>
              </w:rPr>
              <w:t>0.12</w:t>
            </w:r>
          </w:p>
        </w:tc>
        <w:tc>
          <w:tcPr>
            <w:tcW w:w="3840" w:type="dxa"/>
            <w:tcBorders>
              <w:right w:val="single" w:sz="4" w:space="0" w:color="auto"/>
            </w:tcBorders>
          </w:tcPr>
          <w:p w:rsidR="00667608" w:rsidRDefault="00667608">
            <w:pPr>
              <w:pStyle w:val="A-TableText"/>
              <w:spacing w:before="20" w:after="20"/>
              <w:jc w:val="center"/>
              <w:rPr>
                <w:sz w:val="20"/>
                <w:lang w:val="sv-SE"/>
              </w:rPr>
            </w:pPr>
            <w:r>
              <w:rPr>
                <w:rFonts w:cs="Arial"/>
                <w:sz w:val="20"/>
                <w:lang w:val="sv-SE"/>
              </w:rPr>
              <w:t>≤</w:t>
            </w:r>
            <w:r>
              <w:rPr>
                <w:sz w:val="20"/>
                <w:lang w:val="sv-SE"/>
              </w:rPr>
              <w:t>0.008-0.5</w:t>
            </w:r>
          </w:p>
        </w:tc>
      </w:tr>
      <w:tr w:rsidR="00667608">
        <w:trPr>
          <w:cantSplit/>
        </w:trPr>
        <w:tc>
          <w:tcPr>
            <w:tcW w:w="3828" w:type="dxa"/>
          </w:tcPr>
          <w:p w:rsidR="00667608" w:rsidRDefault="00667608">
            <w:pPr>
              <w:pStyle w:val="A-TableText"/>
              <w:spacing w:before="20" w:after="20"/>
              <w:rPr>
                <w:sz w:val="20"/>
                <w:lang w:val="sv-SE"/>
              </w:rPr>
            </w:pPr>
            <w:r>
              <w:rPr>
                <w:i/>
                <w:sz w:val="20"/>
                <w:lang w:val="sv-SE"/>
              </w:rPr>
              <w:t>Morganella morganii</w:t>
            </w:r>
            <w:r>
              <w:rPr>
                <w:sz w:val="20"/>
                <w:lang w:val="sv-SE"/>
              </w:rPr>
              <w:t xml:space="preserve"> (28)</w:t>
            </w:r>
          </w:p>
        </w:tc>
        <w:tc>
          <w:tcPr>
            <w:tcW w:w="1080" w:type="dxa"/>
          </w:tcPr>
          <w:p w:rsidR="00667608" w:rsidRDefault="00667608">
            <w:pPr>
              <w:pStyle w:val="A-TableText"/>
              <w:spacing w:before="20" w:after="20"/>
              <w:jc w:val="center"/>
              <w:rPr>
                <w:sz w:val="20"/>
              </w:rPr>
            </w:pPr>
            <w:r>
              <w:rPr>
                <w:sz w:val="20"/>
              </w:rPr>
              <w:t>&gt;32</w:t>
            </w:r>
          </w:p>
        </w:tc>
        <w:tc>
          <w:tcPr>
            <w:tcW w:w="3840" w:type="dxa"/>
            <w:tcBorders>
              <w:right w:val="single" w:sz="4" w:space="0" w:color="auto"/>
            </w:tcBorders>
          </w:tcPr>
          <w:p w:rsidR="00667608" w:rsidRDefault="00667608">
            <w:pPr>
              <w:pStyle w:val="A-TableText"/>
              <w:spacing w:before="20" w:after="20"/>
              <w:jc w:val="center"/>
              <w:rPr>
                <w:sz w:val="20"/>
              </w:rPr>
            </w:pPr>
            <w:r>
              <w:rPr>
                <w:sz w:val="20"/>
              </w:rPr>
              <w:t>0.06-&gt;32</w:t>
            </w:r>
          </w:p>
        </w:tc>
      </w:tr>
      <w:tr w:rsidR="00667608">
        <w:trPr>
          <w:cantSplit/>
        </w:trPr>
        <w:tc>
          <w:tcPr>
            <w:tcW w:w="3828" w:type="dxa"/>
          </w:tcPr>
          <w:p w:rsidR="00667608" w:rsidRDefault="00667608">
            <w:pPr>
              <w:pStyle w:val="A-TableText"/>
              <w:spacing w:before="20" w:after="20"/>
              <w:rPr>
                <w:i/>
                <w:sz w:val="20"/>
              </w:rPr>
            </w:pPr>
            <w:r>
              <w:rPr>
                <w:i/>
                <w:sz w:val="20"/>
              </w:rPr>
              <w:t>*P. aeruginosa</w:t>
            </w:r>
            <w:r>
              <w:rPr>
                <w:sz w:val="20"/>
              </w:rPr>
              <w:t xml:space="preserve"> (100)</w:t>
            </w:r>
          </w:p>
        </w:tc>
        <w:tc>
          <w:tcPr>
            <w:tcW w:w="1080" w:type="dxa"/>
          </w:tcPr>
          <w:p w:rsidR="00667608" w:rsidRDefault="00667608">
            <w:pPr>
              <w:pStyle w:val="A-TableText"/>
              <w:spacing w:before="20" w:after="20"/>
              <w:jc w:val="center"/>
              <w:rPr>
                <w:sz w:val="20"/>
              </w:rPr>
            </w:pPr>
            <w:r>
              <w:rPr>
                <w:sz w:val="20"/>
              </w:rPr>
              <w:t>&gt;32</w:t>
            </w:r>
          </w:p>
        </w:tc>
        <w:tc>
          <w:tcPr>
            <w:tcW w:w="3840" w:type="dxa"/>
            <w:tcBorders>
              <w:right w:val="single" w:sz="4" w:space="0" w:color="auto"/>
            </w:tcBorders>
          </w:tcPr>
          <w:p w:rsidR="00667608" w:rsidRDefault="00667608">
            <w:pPr>
              <w:pStyle w:val="A-TableText"/>
              <w:spacing w:before="20" w:after="20"/>
              <w:jc w:val="center"/>
              <w:rPr>
                <w:sz w:val="20"/>
              </w:rPr>
            </w:pPr>
            <w:r>
              <w:rPr>
                <w:sz w:val="20"/>
              </w:rPr>
              <w:t>0.5-&gt;32</w:t>
            </w:r>
          </w:p>
        </w:tc>
      </w:tr>
      <w:tr w:rsidR="00667608">
        <w:trPr>
          <w:cantSplit/>
        </w:trPr>
        <w:tc>
          <w:tcPr>
            <w:tcW w:w="3828" w:type="dxa"/>
            <w:tcBorders>
              <w:bottom w:val="single" w:sz="4" w:space="0" w:color="auto"/>
            </w:tcBorders>
          </w:tcPr>
          <w:p w:rsidR="00667608" w:rsidRDefault="00667608">
            <w:pPr>
              <w:pStyle w:val="A-TableText"/>
              <w:spacing w:before="20" w:after="20"/>
              <w:rPr>
                <w:sz w:val="20"/>
              </w:rPr>
            </w:pPr>
            <w:r>
              <w:rPr>
                <w:i/>
                <w:sz w:val="20"/>
              </w:rPr>
              <w:t>Serratia</w:t>
            </w:r>
            <w:r>
              <w:rPr>
                <w:sz w:val="20"/>
              </w:rPr>
              <w:t xml:space="preserve"> </w:t>
            </w:r>
            <w:r>
              <w:rPr>
                <w:i/>
                <w:sz w:val="20"/>
              </w:rPr>
              <w:t>marcescens</w:t>
            </w:r>
            <w:r>
              <w:rPr>
                <w:sz w:val="20"/>
              </w:rPr>
              <w:t xml:space="preserve"> (39)</w:t>
            </w:r>
          </w:p>
        </w:tc>
        <w:tc>
          <w:tcPr>
            <w:tcW w:w="1080" w:type="dxa"/>
            <w:tcBorders>
              <w:bottom w:val="single" w:sz="4" w:space="0" w:color="auto"/>
            </w:tcBorders>
          </w:tcPr>
          <w:p w:rsidR="00667608" w:rsidRDefault="00667608">
            <w:pPr>
              <w:pStyle w:val="A-TableText"/>
              <w:spacing w:before="20" w:after="20"/>
              <w:jc w:val="center"/>
              <w:rPr>
                <w:sz w:val="20"/>
              </w:rPr>
            </w:pPr>
            <w:r>
              <w:rPr>
                <w:sz w:val="20"/>
              </w:rPr>
              <w:t>8</w:t>
            </w:r>
          </w:p>
        </w:tc>
        <w:tc>
          <w:tcPr>
            <w:tcW w:w="3840" w:type="dxa"/>
            <w:tcBorders>
              <w:bottom w:val="single" w:sz="4" w:space="0" w:color="auto"/>
              <w:right w:val="single" w:sz="4" w:space="0" w:color="auto"/>
            </w:tcBorders>
          </w:tcPr>
          <w:p w:rsidR="00667608" w:rsidRDefault="00667608">
            <w:pPr>
              <w:pStyle w:val="A-TableText"/>
              <w:spacing w:before="20" w:after="20"/>
              <w:jc w:val="center"/>
              <w:rPr>
                <w:sz w:val="20"/>
              </w:rPr>
            </w:pPr>
            <w:r>
              <w:rPr>
                <w:sz w:val="20"/>
              </w:rPr>
              <w:t>0.5-&gt;32</w:t>
            </w:r>
          </w:p>
        </w:tc>
      </w:tr>
    </w:tbl>
    <w:p w:rsidR="00667608" w:rsidRDefault="00667608">
      <w:pPr>
        <w:pStyle w:val="A-TableFootnoteText"/>
        <w:ind w:left="431" w:hanging="431"/>
      </w:pPr>
      <w:r>
        <w:t xml:space="preserve">MSSA – methicillin-susceptible </w:t>
      </w:r>
      <w:r>
        <w:rPr>
          <w:i/>
        </w:rPr>
        <w:t>S. aureus</w:t>
      </w:r>
      <w:r>
        <w:t xml:space="preserve">; MRSA – methicillin-resistant </w:t>
      </w:r>
      <w:r>
        <w:rPr>
          <w:i/>
        </w:rPr>
        <w:t>S. aureus</w:t>
      </w:r>
      <w:r>
        <w:t xml:space="preserve">; MSCoNS – methicillin-susceptible coagulase negative </w:t>
      </w:r>
      <w:r>
        <w:rPr>
          <w:i/>
        </w:rPr>
        <w:t>staphlococci</w:t>
      </w:r>
      <w:r>
        <w:t xml:space="preserve">; MRCoNS – methicillin-resistant coagulase negative </w:t>
      </w:r>
      <w:r>
        <w:rPr>
          <w:i/>
        </w:rPr>
        <w:t>staphlococci</w:t>
      </w:r>
      <w:r>
        <w:t xml:space="preserve">; spp – species; ESBL – extended-spectrum </w:t>
      </w:r>
      <w:r>
        <w:rPr>
          <w:rFonts w:cs="Arial"/>
        </w:rPr>
        <w:t>β</w:t>
      </w:r>
      <w:r>
        <w:t>-lactamase; *not susceptible to ceftaroline</w:t>
      </w:r>
    </w:p>
    <w:p w:rsidR="00667608" w:rsidRDefault="00667608">
      <w:pPr>
        <w:pStyle w:val="A-Heading2"/>
      </w:pPr>
      <w:r>
        <w:t>Pharmacokinetics</w:t>
      </w:r>
    </w:p>
    <w:p w:rsidR="00667608" w:rsidRDefault="00667608">
      <w:r>
        <w:t>The C</w:t>
      </w:r>
      <w:r>
        <w:rPr>
          <w:vertAlign w:val="subscript"/>
        </w:rPr>
        <w:t>max</w:t>
      </w:r>
      <w:r>
        <w:t xml:space="preserve"> and AUC of ceftaroline increase approximately in proportion to dose within the single dose range of 50 to 1000 mg.  No appreciable accumulation of ceftaroline is observed following multiple intravenous infusions of 600 mg administered over 60 minutes every 12 hours for up to 14 days in healthy adults with normal renal function.</w:t>
      </w:r>
    </w:p>
    <w:p w:rsidR="00667608" w:rsidRDefault="00667608">
      <w:pPr>
        <w:pStyle w:val="A-Heading3"/>
      </w:pPr>
      <w:r>
        <w:t>Distribution</w:t>
      </w:r>
    </w:p>
    <w:p w:rsidR="00667608" w:rsidRDefault="00667608">
      <w:r>
        <w:t>The plasma protein binding of ceftaroline is low (approximately 20%) and is not distributed into erythrocytes.  The median steady-state volume of distribution of ceftaroline in healthy adult males following a single 600 mg intravenous dose of radiolabelled ceftaroline fosamil was 20.3 L, similar to extracellular fluid volume.</w:t>
      </w:r>
    </w:p>
    <w:p w:rsidR="00667608" w:rsidRDefault="00667608">
      <w:pPr>
        <w:pStyle w:val="A-Heading3"/>
      </w:pPr>
      <w:r>
        <w:t>Metabolism</w:t>
      </w:r>
    </w:p>
    <w:p w:rsidR="00667608" w:rsidRDefault="00667608">
      <w:r>
        <w:t xml:space="preserve">Ceftaroline fosamil (prodrug) is converted into the active ceftaroline in plasma by a phosphatase enzyme and concentrations of the prodrug are measurable in plasma primarily during intravenous infusion.  Hydrolysis of the </w:t>
      </w:r>
      <w:r>
        <w:rPr>
          <w:rFonts w:cs="Arial"/>
        </w:rPr>
        <w:t>β</w:t>
      </w:r>
      <w:r>
        <w:t>-lactam ring of ceftaroline occurs to form the microbiologically inactive, open-ring metabolite, ceftaroline M-1. The mean plasma ceftaroline M-1 to ceftaroline AUC ratio following a single 600 mg intravenous infusion of ceftaroline fosamil in healthy subjects is approximately 20-30%.</w:t>
      </w:r>
    </w:p>
    <w:p w:rsidR="00667608" w:rsidRDefault="00667608">
      <w:r>
        <w:t>In pooled human liver microsomes, metabolic turnover was low for ceftaroline, indicating that ceftaroline is not metabolised by hepatic P450 enzymes.</w:t>
      </w:r>
    </w:p>
    <w:p w:rsidR="00667608" w:rsidRDefault="00667608">
      <w:pPr>
        <w:pStyle w:val="A-Heading3"/>
      </w:pPr>
      <w:r>
        <w:t>Excretion</w:t>
      </w:r>
    </w:p>
    <w:p w:rsidR="00667608" w:rsidRDefault="00667608">
      <w:r>
        <w:t xml:space="preserve">Ceftaroline is primarily eliminated by the kidneys.  Renal clearance of ceftaroline is approximately equal, or slightly lower than the glomerular filtration rate in the kidney, and </w:t>
      </w:r>
      <w:r>
        <w:rPr>
          <w:i/>
        </w:rPr>
        <w:t>in vitro</w:t>
      </w:r>
      <w:r>
        <w:t xml:space="preserve"> transporter studies indicate that active secretion does not contribute to the renal elimination of ceftaroline.</w:t>
      </w:r>
    </w:p>
    <w:p w:rsidR="00667608" w:rsidRDefault="00667608">
      <w:r>
        <w:t>The mean terminal elimination half-life of ceftaroline in healthy adults is approximately 2.5 hours.</w:t>
      </w:r>
    </w:p>
    <w:p w:rsidR="00667608" w:rsidRDefault="00667608">
      <w:r>
        <w:lastRenderedPageBreak/>
        <w:t>Following the administration of a single 600 mg intravenous dose of radiolabelled ceftaroline fosamil to healthy male adults, approximately 88% of radioactivity was recovered in urine and 6% in faeces.</w:t>
      </w:r>
    </w:p>
    <w:p w:rsidR="00667608" w:rsidRDefault="00667608">
      <w:pPr>
        <w:pStyle w:val="A-Heading3"/>
      </w:pPr>
      <w:r>
        <w:t>Elderly patients</w:t>
      </w:r>
    </w:p>
    <w:p w:rsidR="00667608" w:rsidRDefault="00667608">
      <w:r>
        <w:t>Following administration of a single 600 mg intravenous dose of Zinforo, the pharmacokinetics of ceftaroline was similar between healthy elderly subjects (≥65 years of age) and healthy young adult subjects (18-45 years of age).  There was a 33% increase in AUC</w:t>
      </w:r>
      <w:r>
        <w:rPr>
          <w:vertAlign w:val="subscript"/>
        </w:rPr>
        <w:t>0-∞</w:t>
      </w:r>
      <w:r>
        <w:t xml:space="preserve"> in the elderly that was mainly attributable to age-related changes in renal function.  Zinforo dose adjustment is not required in elderly patients with creatinine clearance (CrCl) values above 50 L/min.</w:t>
      </w:r>
    </w:p>
    <w:p w:rsidR="00667608" w:rsidRDefault="00667608">
      <w:pPr>
        <w:pStyle w:val="A-Heading3"/>
      </w:pPr>
      <w:r>
        <w:t>Children (&lt;18 years)</w:t>
      </w:r>
    </w:p>
    <w:p w:rsidR="00667608" w:rsidRDefault="00667608">
      <w:r>
        <w:t xml:space="preserve">Zinforo is not recommended for use in patients under 18 years of age (see </w:t>
      </w:r>
      <w:r>
        <w:rPr>
          <w:i/>
        </w:rPr>
        <w:t>Precautions - Use in children</w:t>
      </w:r>
      <w:r>
        <w:t>).</w:t>
      </w:r>
    </w:p>
    <w:p w:rsidR="00667608" w:rsidRDefault="00667608">
      <w:pPr>
        <w:pStyle w:val="A-Heading3"/>
      </w:pPr>
      <w:r>
        <w:t>Gender</w:t>
      </w:r>
    </w:p>
    <w:p w:rsidR="00667608" w:rsidRDefault="00667608">
      <w:r>
        <w:t>The pharmacokinetics of ceftaroline were similar between males and females. No dose adjustment is required based on gender.</w:t>
      </w:r>
    </w:p>
    <w:p w:rsidR="00667608" w:rsidRDefault="00667608">
      <w:pPr>
        <w:pStyle w:val="A-Heading3"/>
      </w:pPr>
      <w:r>
        <w:t>Patients with renal impairment</w:t>
      </w:r>
    </w:p>
    <w:p w:rsidR="00667608" w:rsidRDefault="00667608">
      <w:r>
        <w:t>Dosage adjustment is required in patients with moderate renal impairment (CrCL &gt;30 to 50 mL/min).  There is insufficient data to make specific dosage adjustment recommendations for patients with severe renal impairment (CrCL ≤30 mL/min) and end-stage renal disease (ESRD), including patients undergoing haemodialysis.</w:t>
      </w:r>
    </w:p>
    <w:p w:rsidR="00667608" w:rsidRDefault="00667608">
      <w:pPr>
        <w:pStyle w:val="A-Heading3"/>
      </w:pPr>
      <w:r>
        <w:t>Patients with hepatic impairment</w:t>
      </w:r>
    </w:p>
    <w:p w:rsidR="00667608" w:rsidRDefault="00667608">
      <w:r>
        <w:t>The pharmacokinetics of ceftaroline in patients with hepatic impairment have not been established.  As ceftaroline does not appear to undergo significant hepatic metabolism, the systemic clearance of ceftaroline is not expected to be significantly affected by hepatic impairment.  Therefore, no dosage adjustment is recommended for patients with hepatic impairment.</w:t>
      </w:r>
    </w:p>
    <w:p w:rsidR="00667608" w:rsidRDefault="00667608">
      <w:pPr>
        <w:pStyle w:val="A-Heading1"/>
        <w:rPr>
          <w:lang w:val="en-AU"/>
        </w:rPr>
      </w:pPr>
      <w:r>
        <w:rPr>
          <w:lang w:val="en-AU"/>
        </w:rPr>
        <w:t>CLINICAL TRIALS</w:t>
      </w:r>
    </w:p>
    <w:p w:rsidR="00667608" w:rsidRDefault="00667608">
      <w:pPr>
        <w:pStyle w:val="A-Heading2"/>
      </w:pPr>
      <w:r>
        <w:t>Complicated skin and soft tissue infections (cSSTI)</w:t>
      </w:r>
    </w:p>
    <w:p w:rsidR="00667608" w:rsidRDefault="00667608">
      <w:pPr>
        <w:rPr>
          <w:i/>
        </w:rPr>
      </w:pPr>
      <w:r>
        <w:t>The efficacy and safety of Zinforo in cSSTI was established in 2 identical randomised, multi-centre, multinational, double-blind studies (CANVAS 1 and 2) comparing Zinforo (600 mg administered intravenously over 60 minutes every 12 hours) to vancomycin plus aztreonam (1 g vancomycin administered intravenously over 60 minutes followed by 1 g aztreonam administered intravenously over 60 minutes every 12 hours).  Treatment duration was 5 to 21 days.</w:t>
      </w:r>
    </w:p>
    <w:p w:rsidR="00667608" w:rsidRDefault="00667608">
      <w:r>
        <w:lastRenderedPageBreak/>
        <w:t>A total of 1396 adults with documented cSSTI were enrolled.  The majority of patients had deep/extensive cellulitis or a major abscess.  Other infections included wound infections (surgical or traumatic), infected bites, burns or ulcers or any lower extremity infection in patients with either pre-existing diabetes mellitus (DM) or peripheral vascular disease (PVD).  Key exclusion criteria included third degree burns (or burns covering &gt;5% body surface area), diabetic foot ulcer or foot ulcer associated with PVD (and accompanied by osteomyelitis), immunosuppressed patients, patients with severe sepsis/septic shock, necrotizing fasciitis and peri-rectal abscess.  Approximately 46% of patients had either pre-existing DM and/or PVD, or presented with either bacteraemia or systemic inflammatory response syndrome (SIRS).  The median age of patients was 48 years old; of which approximately 18% were 65 years or older.  The median treatment duration was 7.0 (range: 1-22) and 8.0 (range: 1-21) days for Zinforo and vancomycin/aztreonam respectively, with the majority of patients receiving 5 to 10 days treatment.</w:t>
      </w:r>
    </w:p>
    <w:p w:rsidR="00667608" w:rsidRDefault="00667608">
      <w:r>
        <w:t>The modified intent-to-treat (MITT) population included all patients who received any amount of study drug according to their randomised treatment group.  The clinically evaluable (CE) population included patients in the MITT population with sufficient adherence to the protocol.  The primary efficacy endpoint was the clinical response at the test of cure (TOC) visit in the co-primary populations of the CE and MITT patients.</w:t>
      </w:r>
    </w:p>
    <w:p w:rsidR="00FC26E7" w:rsidRDefault="00667608">
      <w:pPr>
        <w:rPr>
          <w:lang w:val="en-GB"/>
        </w:rPr>
      </w:pPr>
      <w:r>
        <w:t xml:space="preserve">Zinforo demonstrated high clinical cure and microbiological success rates (see </w:t>
      </w:r>
      <w:fldSimple w:instr=" REF _Ref289782723 \h  \* MERGEFORMAT ">
        <w:r>
          <w:t xml:space="preserve">Table </w:t>
        </w:r>
        <w:r>
          <w:rPr>
            <w:noProof/>
          </w:rPr>
          <w:t>2</w:t>
        </w:r>
      </w:fldSimple>
      <w:r>
        <w:t xml:space="preserve">) and was efficacious against cSSTI caused by MRSA and other common cSSTI pathogens (see </w:t>
      </w:r>
      <w:fldSimple w:instr=" REF _Ref276556103 \h  \* MERGEFORMAT ">
        <w:r>
          <w:t xml:space="preserve">Table </w:t>
        </w:r>
        <w:r>
          <w:rPr>
            <w:noProof/>
          </w:rPr>
          <w:t>3</w:t>
        </w:r>
      </w:fldSimple>
      <w:r>
        <w:t xml:space="preserve">).  </w:t>
      </w:r>
      <w:r>
        <w:rPr>
          <w:lang w:val="en-GB"/>
        </w:rPr>
        <w:t>Clinical cure rates were similar across infection types and between patients with common co-morbidities (such as DM and PVD).</w:t>
      </w:r>
      <w:bookmarkStart w:id="1" w:name="_Ref276556073"/>
    </w:p>
    <w:p w:rsidR="00667608" w:rsidRDefault="00FC26E7" w:rsidP="00FC26E7">
      <w:pPr>
        <w:pStyle w:val="A-TableTitle"/>
      </w:pPr>
      <w:r>
        <w:br w:type="page"/>
      </w:r>
      <w:bookmarkStart w:id="2" w:name="_Ref289782723"/>
      <w:r w:rsidR="00667608">
        <w:lastRenderedPageBreak/>
        <w:t xml:space="preserve">Table </w:t>
      </w:r>
      <w:fldSimple w:instr=" SEQ Table \* ARABIC ">
        <w:r w:rsidR="00667608">
          <w:rPr>
            <w:noProof/>
          </w:rPr>
          <w:t>2</w:t>
        </w:r>
      </w:fldSimple>
      <w:bookmarkEnd w:id="1"/>
      <w:bookmarkEnd w:id="2"/>
      <w:r w:rsidR="00667608">
        <w:tab/>
        <w:t>Clinical cure and microbiological response rates at test of cure (TOC) for cSSTI studies (CE, MITT and/or ME populations)</w:t>
      </w:r>
    </w:p>
    <w:tbl>
      <w:tblPr>
        <w:tblW w:w="0" w:type="auto"/>
        <w:tblLayout w:type="fixed"/>
        <w:tblLook w:val="0000"/>
      </w:tblPr>
      <w:tblGrid>
        <w:gridCol w:w="3588"/>
        <w:gridCol w:w="1680"/>
        <w:gridCol w:w="1644"/>
        <w:gridCol w:w="2094"/>
      </w:tblGrid>
      <w:tr w:rsidR="00667608">
        <w:trPr>
          <w:cantSplit/>
          <w:tblHeader/>
        </w:trPr>
        <w:tc>
          <w:tcPr>
            <w:tcW w:w="3588" w:type="dxa"/>
            <w:tcBorders>
              <w:top w:val="single" w:sz="12" w:space="0" w:color="auto"/>
              <w:bottom w:val="single" w:sz="6" w:space="0" w:color="auto"/>
            </w:tcBorders>
          </w:tcPr>
          <w:p w:rsidR="00667608" w:rsidRDefault="00667608">
            <w:pPr>
              <w:pStyle w:val="A-TableHeader"/>
            </w:pPr>
          </w:p>
        </w:tc>
        <w:tc>
          <w:tcPr>
            <w:tcW w:w="1680" w:type="dxa"/>
            <w:tcBorders>
              <w:top w:val="single" w:sz="12" w:space="0" w:color="auto"/>
              <w:bottom w:val="single" w:sz="6" w:space="0" w:color="auto"/>
            </w:tcBorders>
          </w:tcPr>
          <w:p w:rsidR="00667608" w:rsidRDefault="00667608">
            <w:pPr>
              <w:pStyle w:val="A-TableHeader"/>
              <w:jc w:val="center"/>
            </w:pPr>
            <w:r>
              <w:t>Zinforo</w:t>
            </w:r>
            <w:r>
              <w:br/>
              <w:t>n/N (%)</w:t>
            </w:r>
          </w:p>
        </w:tc>
        <w:tc>
          <w:tcPr>
            <w:tcW w:w="1644" w:type="dxa"/>
            <w:tcBorders>
              <w:top w:val="single" w:sz="12" w:space="0" w:color="auto"/>
              <w:bottom w:val="single" w:sz="6" w:space="0" w:color="auto"/>
            </w:tcBorders>
          </w:tcPr>
          <w:p w:rsidR="00667608" w:rsidRDefault="00667608">
            <w:pPr>
              <w:pStyle w:val="A-TableHeader"/>
              <w:jc w:val="center"/>
            </w:pPr>
            <w:r>
              <w:t>V + A</w:t>
            </w:r>
            <w:r>
              <w:br/>
              <w:t>n/N (%)</w:t>
            </w:r>
          </w:p>
        </w:tc>
        <w:tc>
          <w:tcPr>
            <w:tcW w:w="2094" w:type="dxa"/>
            <w:tcBorders>
              <w:top w:val="single" w:sz="12" w:space="0" w:color="auto"/>
              <w:bottom w:val="single" w:sz="6" w:space="0" w:color="auto"/>
            </w:tcBorders>
          </w:tcPr>
          <w:p w:rsidR="00667608" w:rsidRDefault="00667608">
            <w:pPr>
              <w:pStyle w:val="A-TableHeader"/>
              <w:jc w:val="center"/>
            </w:pPr>
            <w:r>
              <w:t>Treatment difference (95% CI)</w:t>
            </w:r>
          </w:p>
        </w:tc>
      </w:tr>
      <w:tr w:rsidR="00667608">
        <w:trPr>
          <w:cantSplit/>
        </w:trPr>
        <w:tc>
          <w:tcPr>
            <w:tcW w:w="9006" w:type="dxa"/>
            <w:gridSpan w:val="4"/>
            <w:tcBorders>
              <w:top w:val="single" w:sz="6" w:space="0" w:color="auto"/>
            </w:tcBorders>
          </w:tcPr>
          <w:p w:rsidR="00667608" w:rsidRDefault="00667608">
            <w:pPr>
              <w:pStyle w:val="A-TableText"/>
              <w:rPr>
                <w:sz w:val="20"/>
              </w:rPr>
            </w:pPr>
            <w:r>
              <w:rPr>
                <w:b/>
                <w:sz w:val="20"/>
              </w:rPr>
              <w:t>CANVAS 1 clinical cure rate</w:t>
            </w:r>
          </w:p>
        </w:tc>
      </w:tr>
      <w:tr w:rsidR="00667608">
        <w:trPr>
          <w:cantSplit/>
        </w:trPr>
        <w:tc>
          <w:tcPr>
            <w:tcW w:w="3588" w:type="dxa"/>
          </w:tcPr>
          <w:p w:rsidR="00667608" w:rsidRDefault="00667608">
            <w:pPr>
              <w:pStyle w:val="A-TableText"/>
              <w:rPr>
                <w:sz w:val="20"/>
              </w:rPr>
            </w:pPr>
            <w:r>
              <w:rPr>
                <w:sz w:val="20"/>
              </w:rPr>
              <w:t>CE</w:t>
            </w:r>
          </w:p>
        </w:tc>
        <w:tc>
          <w:tcPr>
            <w:tcW w:w="1680" w:type="dxa"/>
          </w:tcPr>
          <w:p w:rsidR="00667608" w:rsidRDefault="00667608">
            <w:pPr>
              <w:pStyle w:val="A-TableText"/>
              <w:jc w:val="center"/>
              <w:rPr>
                <w:sz w:val="20"/>
              </w:rPr>
            </w:pPr>
            <w:r>
              <w:rPr>
                <w:sz w:val="20"/>
              </w:rPr>
              <w:t>288/316 (91.1)</w:t>
            </w:r>
          </w:p>
        </w:tc>
        <w:tc>
          <w:tcPr>
            <w:tcW w:w="1644" w:type="dxa"/>
          </w:tcPr>
          <w:p w:rsidR="00667608" w:rsidRDefault="00667608">
            <w:pPr>
              <w:pStyle w:val="A-TableText"/>
              <w:jc w:val="center"/>
              <w:rPr>
                <w:sz w:val="20"/>
              </w:rPr>
            </w:pPr>
            <w:r>
              <w:rPr>
                <w:sz w:val="20"/>
              </w:rPr>
              <w:t>280/300 (93.3)</w:t>
            </w:r>
          </w:p>
        </w:tc>
        <w:tc>
          <w:tcPr>
            <w:tcW w:w="2094" w:type="dxa"/>
          </w:tcPr>
          <w:p w:rsidR="00667608" w:rsidRDefault="00667608">
            <w:pPr>
              <w:pStyle w:val="A-TableText"/>
              <w:jc w:val="center"/>
              <w:rPr>
                <w:sz w:val="20"/>
              </w:rPr>
            </w:pPr>
            <w:r>
              <w:rPr>
                <w:sz w:val="20"/>
              </w:rPr>
              <w:t>-2.2 (-6.6, 2.1)</w:t>
            </w:r>
          </w:p>
        </w:tc>
      </w:tr>
      <w:tr w:rsidR="00667608">
        <w:trPr>
          <w:cantSplit/>
        </w:trPr>
        <w:tc>
          <w:tcPr>
            <w:tcW w:w="3588" w:type="dxa"/>
          </w:tcPr>
          <w:p w:rsidR="00667608" w:rsidRDefault="00667608">
            <w:pPr>
              <w:pStyle w:val="A-TableText"/>
              <w:rPr>
                <w:sz w:val="20"/>
              </w:rPr>
            </w:pPr>
            <w:r>
              <w:rPr>
                <w:sz w:val="20"/>
              </w:rPr>
              <w:t>MITT</w:t>
            </w:r>
          </w:p>
        </w:tc>
        <w:tc>
          <w:tcPr>
            <w:tcW w:w="1680" w:type="dxa"/>
          </w:tcPr>
          <w:p w:rsidR="00667608" w:rsidRDefault="00667608">
            <w:pPr>
              <w:pStyle w:val="A-TableText"/>
              <w:jc w:val="center"/>
              <w:rPr>
                <w:sz w:val="20"/>
              </w:rPr>
            </w:pPr>
            <w:r>
              <w:rPr>
                <w:sz w:val="20"/>
              </w:rPr>
              <w:t>304/351 (86.6)</w:t>
            </w:r>
          </w:p>
        </w:tc>
        <w:tc>
          <w:tcPr>
            <w:tcW w:w="1644" w:type="dxa"/>
          </w:tcPr>
          <w:p w:rsidR="00667608" w:rsidRDefault="00667608">
            <w:pPr>
              <w:pStyle w:val="A-TableText"/>
              <w:jc w:val="center"/>
              <w:rPr>
                <w:sz w:val="20"/>
              </w:rPr>
            </w:pPr>
            <w:r>
              <w:rPr>
                <w:sz w:val="20"/>
              </w:rPr>
              <w:t>297/347 (85.6)</w:t>
            </w:r>
          </w:p>
        </w:tc>
        <w:tc>
          <w:tcPr>
            <w:tcW w:w="2094" w:type="dxa"/>
          </w:tcPr>
          <w:p w:rsidR="00667608" w:rsidRDefault="00667608">
            <w:pPr>
              <w:pStyle w:val="A-TableText"/>
              <w:jc w:val="center"/>
              <w:rPr>
                <w:sz w:val="20"/>
              </w:rPr>
            </w:pPr>
            <w:r>
              <w:rPr>
                <w:sz w:val="20"/>
              </w:rPr>
              <w:t>1.0 (-4.2, 6.2)</w:t>
            </w:r>
          </w:p>
        </w:tc>
      </w:tr>
      <w:tr w:rsidR="00667608">
        <w:trPr>
          <w:cantSplit/>
        </w:trPr>
        <w:tc>
          <w:tcPr>
            <w:tcW w:w="9006" w:type="dxa"/>
            <w:gridSpan w:val="4"/>
            <w:tcBorders>
              <w:top w:val="single" w:sz="4" w:space="0" w:color="auto"/>
            </w:tcBorders>
          </w:tcPr>
          <w:p w:rsidR="00667608" w:rsidRDefault="00667608">
            <w:pPr>
              <w:pStyle w:val="A-TableText"/>
              <w:rPr>
                <w:sz w:val="20"/>
              </w:rPr>
            </w:pPr>
            <w:r>
              <w:rPr>
                <w:b/>
                <w:sz w:val="20"/>
              </w:rPr>
              <w:t>CANVAS 2 clinical cure rate</w:t>
            </w:r>
          </w:p>
        </w:tc>
      </w:tr>
      <w:tr w:rsidR="00667608">
        <w:trPr>
          <w:cantSplit/>
        </w:trPr>
        <w:tc>
          <w:tcPr>
            <w:tcW w:w="3588" w:type="dxa"/>
          </w:tcPr>
          <w:p w:rsidR="00667608" w:rsidRDefault="00667608">
            <w:pPr>
              <w:pStyle w:val="A-TableText"/>
              <w:rPr>
                <w:sz w:val="20"/>
              </w:rPr>
            </w:pPr>
            <w:r>
              <w:rPr>
                <w:sz w:val="20"/>
              </w:rPr>
              <w:t>CE</w:t>
            </w:r>
          </w:p>
        </w:tc>
        <w:tc>
          <w:tcPr>
            <w:tcW w:w="1680" w:type="dxa"/>
          </w:tcPr>
          <w:p w:rsidR="00667608" w:rsidRDefault="00667608">
            <w:pPr>
              <w:pStyle w:val="A-TableText"/>
              <w:jc w:val="center"/>
              <w:rPr>
                <w:sz w:val="20"/>
              </w:rPr>
            </w:pPr>
            <w:r>
              <w:rPr>
                <w:sz w:val="20"/>
              </w:rPr>
              <w:t>271/294 (92.2)</w:t>
            </w:r>
          </w:p>
        </w:tc>
        <w:tc>
          <w:tcPr>
            <w:tcW w:w="1644" w:type="dxa"/>
          </w:tcPr>
          <w:p w:rsidR="00667608" w:rsidRDefault="00667608">
            <w:pPr>
              <w:pStyle w:val="A-TableText"/>
              <w:jc w:val="center"/>
              <w:rPr>
                <w:sz w:val="20"/>
              </w:rPr>
            </w:pPr>
            <w:r>
              <w:rPr>
                <w:sz w:val="20"/>
              </w:rPr>
              <w:t>296/292 (92.1)</w:t>
            </w:r>
          </w:p>
        </w:tc>
        <w:tc>
          <w:tcPr>
            <w:tcW w:w="2094" w:type="dxa"/>
          </w:tcPr>
          <w:p w:rsidR="00667608" w:rsidRDefault="00667608">
            <w:pPr>
              <w:pStyle w:val="A-TableText"/>
              <w:jc w:val="center"/>
              <w:rPr>
                <w:sz w:val="20"/>
              </w:rPr>
            </w:pPr>
            <w:r>
              <w:rPr>
                <w:sz w:val="20"/>
              </w:rPr>
              <w:t>0.1 (-4.4, 4.5)</w:t>
            </w:r>
          </w:p>
        </w:tc>
      </w:tr>
      <w:tr w:rsidR="00667608">
        <w:trPr>
          <w:cantSplit/>
        </w:trPr>
        <w:tc>
          <w:tcPr>
            <w:tcW w:w="3588" w:type="dxa"/>
            <w:tcBorders>
              <w:bottom w:val="single" w:sz="4" w:space="0" w:color="auto"/>
            </w:tcBorders>
          </w:tcPr>
          <w:p w:rsidR="00667608" w:rsidRDefault="00667608">
            <w:pPr>
              <w:pStyle w:val="A-TableText"/>
              <w:rPr>
                <w:sz w:val="20"/>
              </w:rPr>
            </w:pPr>
            <w:r>
              <w:rPr>
                <w:sz w:val="20"/>
              </w:rPr>
              <w:t>MITT</w:t>
            </w:r>
          </w:p>
        </w:tc>
        <w:tc>
          <w:tcPr>
            <w:tcW w:w="1680" w:type="dxa"/>
            <w:tcBorders>
              <w:bottom w:val="single" w:sz="4" w:space="0" w:color="auto"/>
            </w:tcBorders>
          </w:tcPr>
          <w:p w:rsidR="00667608" w:rsidRDefault="00667608">
            <w:pPr>
              <w:pStyle w:val="A-TableText"/>
              <w:jc w:val="center"/>
              <w:rPr>
                <w:sz w:val="20"/>
              </w:rPr>
            </w:pPr>
            <w:r>
              <w:rPr>
                <w:sz w:val="20"/>
              </w:rPr>
              <w:t>291/342 (85.1)</w:t>
            </w:r>
          </w:p>
        </w:tc>
        <w:tc>
          <w:tcPr>
            <w:tcW w:w="1644" w:type="dxa"/>
            <w:tcBorders>
              <w:bottom w:val="single" w:sz="4" w:space="0" w:color="auto"/>
            </w:tcBorders>
          </w:tcPr>
          <w:p w:rsidR="00667608" w:rsidRDefault="00667608">
            <w:pPr>
              <w:pStyle w:val="A-TableText"/>
              <w:jc w:val="center"/>
              <w:rPr>
                <w:sz w:val="20"/>
              </w:rPr>
            </w:pPr>
            <w:r>
              <w:rPr>
                <w:sz w:val="20"/>
              </w:rPr>
              <w:t>289/338 (85.5)</w:t>
            </w:r>
          </w:p>
        </w:tc>
        <w:tc>
          <w:tcPr>
            <w:tcW w:w="2094" w:type="dxa"/>
            <w:tcBorders>
              <w:bottom w:val="single" w:sz="4" w:space="0" w:color="auto"/>
            </w:tcBorders>
          </w:tcPr>
          <w:p w:rsidR="00667608" w:rsidRDefault="00667608">
            <w:pPr>
              <w:pStyle w:val="A-TableText"/>
              <w:jc w:val="center"/>
              <w:rPr>
                <w:sz w:val="20"/>
              </w:rPr>
            </w:pPr>
            <w:r>
              <w:rPr>
                <w:sz w:val="20"/>
              </w:rPr>
              <w:t>-0.4 (-5.8, 5.0)</w:t>
            </w:r>
          </w:p>
        </w:tc>
      </w:tr>
      <w:tr w:rsidR="00667608">
        <w:trPr>
          <w:cantSplit/>
        </w:trPr>
        <w:tc>
          <w:tcPr>
            <w:tcW w:w="3588" w:type="dxa"/>
            <w:tcBorders>
              <w:top w:val="single" w:sz="4" w:space="0" w:color="auto"/>
            </w:tcBorders>
          </w:tcPr>
          <w:p w:rsidR="00667608" w:rsidRDefault="00667608">
            <w:pPr>
              <w:pStyle w:val="A-TableText"/>
              <w:rPr>
                <w:b/>
                <w:sz w:val="20"/>
              </w:rPr>
            </w:pPr>
            <w:r>
              <w:rPr>
                <w:b/>
                <w:sz w:val="20"/>
              </w:rPr>
              <w:t>Pooled data</w:t>
            </w:r>
          </w:p>
        </w:tc>
        <w:tc>
          <w:tcPr>
            <w:tcW w:w="1680" w:type="dxa"/>
            <w:tcBorders>
              <w:top w:val="single" w:sz="4" w:space="0" w:color="auto"/>
            </w:tcBorders>
          </w:tcPr>
          <w:p w:rsidR="00667608" w:rsidRDefault="00667608">
            <w:pPr>
              <w:pStyle w:val="A-TableText"/>
              <w:jc w:val="center"/>
              <w:rPr>
                <w:sz w:val="20"/>
              </w:rPr>
            </w:pPr>
          </w:p>
        </w:tc>
        <w:tc>
          <w:tcPr>
            <w:tcW w:w="1644" w:type="dxa"/>
            <w:tcBorders>
              <w:top w:val="single" w:sz="4" w:space="0" w:color="auto"/>
            </w:tcBorders>
          </w:tcPr>
          <w:p w:rsidR="00667608" w:rsidRDefault="00667608">
            <w:pPr>
              <w:pStyle w:val="A-TableText"/>
              <w:jc w:val="center"/>
              <w:rPr>
                <w:sz w:val="20"/>
              </w:rPr>
            </w:pPr>
          </w:p>
        </w:tc>
        <w:tc>
          <w:tcPr>
            <w:tcW w:w="2094" w:type="dxa"/>
            <w:tcBorders>
              <w:top w:val="single" w:sz="4" w:space="0" w:color="auto"/>
            </w:tcBorders>
          </w:tcPr>
          <w:p w:rsidR="00667608" w:rsidRDefault="00667608">
            <w:pPr>
              <w:pStyle w:val="A-TableText"/>
              <w:jc w:val="center"/>
              <w:rPr>
                <w:sz w:val="20"/>
              </w:rPr>
            </w:pPr>
          </w:p>
        </w:tc>
      </w:tr>
      <w:tr w:rsidR="00667608">
        <w:trPr>
          <w:cantSplit/>
        </w:trPr>
        <w:tc>
          <w:tcPr>
            <w:tcW w:w="3588" w:type="dxa"/>
          </w:tcPr>
          <w:p w:rsidR="00667608" w:rsidRDefault="00667608">
            <w:pPr>
              <w:pStyle w:val="A-TableText"/>
              <w:rPr>
                <w:b/>
                <w:sz w:val="20"/>
              </w:rPr>
            </w:pPr>
            <w:r>
              <w:rPr>
                <w:i/>
                <w:sz w:val="20"/>
              </w:rPr>
              <w:t>Clinical cure rate</w:t>
            </w:r>
          </w:p>
        </w:tc>
        <w:tc>
          <w:tcPr>
            <w:tcW w:w="1680" w:type="dxa"/>
          </w:tcPr>
          <w:p w:rsidR="00667608" w:rsidRDefault="00667608">
            <w:pPr>
              <w:pStyle w:val="A-TableText"/>
              <w:jc w:val="center"/>
              <w:rPr>
                <w:sz w:val="20"/>
              </w:rPr>
            </w:pPr>
          </w:p>
        </w:tc>
        <w:tc>
          <w:tcPr>
            <w:tcW w:w="1644" w:type="dxa"/>
          </w:tcPr>
          <w:p w:rsidR="00667608" w:rsidRDefault="00667608">
            <w:pPr>
              <w:pStyle w:val="A-TableText"/>
              <w:jc w:val="center"/>
              <w:rPr>
                <w:sz w:val="20"/>
              </w:rPr>
            </w:pPr>
          </w:p>
        </w:tc>
        <w:tc>
          <w:tcPr>
            <w:tcW w:w="2094" w:type="dxa"/>
          </w:tcPr>
          <w:p w:rsidR="00667608" w:rsidRDefault="00667608">
            <w:pPr>
              <w:pStyle w:val="A-TableText"/>
              <w:jc w:val="center"/>
              <w:rPr>
                <w:sz w:val="20"/>
              </w:rPr>
            </w:pPr>
          </w:p>
        </w:tc>
      </w:tr>
      <w:tr w:rsidR="00667608">
        <w:trPr>
          <w:cantSplit/>
        </w:trPr>
        <w:tc>
          <w:tcPr>
            <w:tcW w:w="3588" w:type="dxa"/>
          </w:tcPr>
          <w:p w:rsidR="00667608" w:rsidRDefault="00667608">
            <w:pPr>
              <w:pStyle w:val="A-TableText"/>
              <w:tabs>
                <w:tab w:val="left" w:pos="552"/>
              </w:tabs>
              <w:ind w:left="567" w:hanging="567"/>
              <w:rPr>
                <w:sz w:val="20"/>
              </w:rPr>
            </w:pPr>
            <w:r>
              <w:rPr>
                <w:sz w:val="20"/>
              </w:rPr>
              <w:t>CE</w:t>
            </w:r>
            <w:r>
              <w:rPr>
                <w:sz w:val="20"/>
              </w:rPr>
              <w:tab/>
              <w:t>Overall</w:t>
            </w:r>
          </w:p>
        </w:tc>
        <w:tc>
          <w:tcPr>
            <w:tcW w:w="1680" w:type="dxa"/>
          </w:tcPr>
          <w:p w:rsidR="00667608" w:rsidRDefault="00667608">
            <w:pPr>
              <w:pStyle w:val="A-TableText"/>
              <w:jc w:val="center"/>
              <w:rPr>
                <w:sz w:val="20"/>
              </w:rPr>
            </w:pPr>
            <w:r>
              <w:rPr>
                <w:sz w:val="20"/>
              </w:rPr>
              <w:t>559/610 (91.6)</w:t>
            </w:r>
          </w:p>
        </w:tc>
        <w:tc>
          <w:tcPr>
            <w:tcW w:w="1644" w:type="dxa"/>
          </w:tcPr>
          <w:p w:rsidR="00667608" w:rsidRDefault="00667608">
            <w:pPr>
              <w:pStyle w:val="A-TableText"/>
              <w:jc w:val="center"/>
              <w:rPr>
                <w:sz w:val="20"/>
              </w:rPr>
            </w:pPr>
            <w:r>
              <w:rPr>
                <w:sz w:val="20"/>
              </w:rPr>
              <w:t>549/592 (92.7)</w:t>
            </w:r>
          </w:p>
        </w:tc>
        <w:tc>
          <w:tcPr>
            <w:tcW w:w="2094" w:type="dxa"/>
          </w:tcPr>
          <w:p w:rsidR="00667608" w:rsidRDefault="00667608">
            <w:pPr>
              <w:pStyle w:val="A-TableText"/>
              <w:jc w:val="center"/>
              <w:rPr>
                <w:sz w:val="20"/>
              </w:rPr>
            </w:pPr>
            <w:r>
              <w:rPr>
                <w:sz w:val="20"/>
              </w:rPr>
              <w:t xml:space="preserve">-1.1 (-4.2, 2.0) </w:t>
            </w:r>
            <w:r>
              <w:rPr>
                <w:sz w:val="20"/>
                <w:vertAlign w:val="superscript"/>
              </w:rPr>
              <w:t>a</w:t>
            </w:r>
          </w:p>
        </w:tc>
      </w:tr>
      <w:tr w:rsidR="00667608">
        <w:trPr>
          <w:cantSplit/>
        </w:trPr>
        <w:tc>
          <w:tcPr>
            <w:tcW w:w="3588" w:type="dxa"/>
          </w:tcPr>
          <w:p w:rsidR="00667608" w:rsidRDefault="00667608">
            <w:pPr>
              <w:pStyle w:val="A-TableText"/>
              <w:tabs>
                <w:tab w:val="left" w:pos="552"/>
              </w:tabs>
              <w:ind w:left="567" w:hanging="567"/>
              <w:rPr>
                <w:sz w:val="20"/>
              </w:rPr>
            </w:pPr>
            <w:r>
              <w:rPr>
                <w:sz w:val="20"/>
              </w:rPr>
              <w:t>CE by selected co-morbidity, severity or infection sub-groups*</w:t>
            </w:r>
          </w:p>
        </w:tc>
        <w:tc>
          <w:tcPr>
            <w:tcW w:w="1680" w:type="dxa"/>
          </w:tcPr>
          <w:p w:rsidR="00667608" w:rsidRDefault="00667608">
            <w:pPr>
              <w:pStyle w:val="A-TableText"/>
              <w:jc w:val="center"/>
              <w:rPr>
                <w:sz w:val="20"/>
              </w:rPr>
            </w:pPr>
          </w:p>
        </w:tc>
        <w:tc>
          <w:tcPr>
            <w:tcW w:w="1644" w:type="dxa"/>
          </w:tcPr>
          <w:p w:rsidR="00667608" w:rsidRDefault="00667608">
            <w:pPr>
              <w:pStyle w:val="A-TableText"/>
              <w:jc w:val="center"/>
              <w:rPr>
                <w:sz w:val="20"/>
              </w:rPr>
            </w:pPr>
          </w:p>
        </w:tc>
        <w:tc>
          <w:tcPr>
            <w:tcW w:w="2094" w:type="dxa"/>
          </w:tcPr>
          <w:p w:rsidR="00667608" w:rsidRDefault="00667608">
            <w:pPr>
              <w:pStyle w:val="A-TableText"/>
              <w:jc w:val="center"/>
              <w:rPr>
                <w:sz w:val="20"/>
              </w:rPr>
            </w:pPr>
          </w:p>
        </w:tc>
      </w:tr>
      <w:tr w:rsidR="00667608">
        <w:trPr>
          <w:cantSplit/>
        </w:trPr>
        <w:tc>
          <w:tcPr>
            <w:tcW w:w="3588" w:type="dxa"/>
          </w:tcPr>
          <w:p w:rsidR="00667608" w:rsidRDefault="00667608">
            <w:pPr>
              <w:pStyle w:val="A-TableText"/>
              <w:tabs>
                <w:tab w:val="left" w:pos="552"/>
              </w:tabs>
              <w:ind w:left="567" w:hanging="567"/>
              <w:rPr>
                <w:sz w:val="20"/>
              </w:rPr>
            </w:pPr>
            <w:r>
              <w:rPr>
                <w:sz w:val="20"/>
              </w:rPr>
              <w:tab/>
              <w:t>PVD</w:t>
            </w:r>
          </w:p>
        </w:tc>
        <w:tc>
          <w:tcPr>
            <w:tcW w:w="1680" w:type="dxa"/>
          </w:tcPr>
          <w:p w:rsidR="00667608" w:rsidRDefault="00667608">
            <w:pPr>
              <w:pStyle w:val="A-TableText"/>
              <w:jc w:val="center"/>
              <w:rPr>
                <w:sz w:val="20"/>
              </w:rPr>
            </w:pPr>
            <w:r>
              <w:rPr>
                <w:sz w:val="20"/>
              </w:rPr>
              <w:t>80/90 (88.9)</w:t>
            </w:r>
          </w:p>
        </w:tc>
        <w:tc>
          <w:tcPr>
            <w:tcW w:w="1644" w:type="dxa"/>
          </w:tcPr>
          <w:p w:rsidR="00667608" w:rsidRDefault="00667608">
            <w:pPr>
              <w:pStyle w:val="A-TableText"/>
              <w:jc w:val="center"/>
              <w:rPr>
                <w:sz w:val="20"/>
              </w:rPr>
            </w:pPr>
            <w:r>
              <w:rPr>
                <w:sz w:val="20"/>
              </w:rPr>
              <w:t>75/84 (89.3)</w:t>
            </w:r>
          </w:p>
        </w:tc>
        <w:tc>
          <w:tcPr>
            <w:tcW w:w="2094" w:type="dxa"/>
          </w:tcPr>
          <w:p w:rsidR="00667608" w:rsidRDefault="00667608">
            <w:pPr>
              <w:pStyle w:val="A-TableText"/>
              <w:jc w:val="center"/>
            </w:pPr>
            <w:r>
              <w:rPr>
                <w:sz w:val="20"/>
              </w:rPr>
              <w:t>-0.2 (-10, 9.7)</w:t>
            </w:r>
            <w:r>
              <w:rPr>
                <w:sz w:val="20"/>
                <w:vertAlign w:val="superscript"/>
              </w:rPr>
              <w:t xml:space="preserve"> a</w:t>
            </w:r>
          </w:p>
        </w:tc>
      </w:tr>
      <w:tr w:rsidR="00667608">
        <w:trPr>
          <w:cantSplit/>
        </w:trPr>
        <w:tc>
          <w:tcPr>
            <w:tcW w:w="3588" w:type="dxa"/>
          </w:tcPr>
          <w:p w:rsidR="00667608" w:rsidRDefault="00667608">
            <w:pPr>
              <w:pStyle w:val="A-TableText"/>
              <w:tabs>
                <w:tab w:val="left" w:pos="552"/>
              </w:tabs>
              <w:ind w:left="567" w:hanging="567"/>
              <w:rPr>
                <w:sz w:val="20"/>
              </w:rPr>
            </w:pPr>
            <w:r>
              <w:rPr>
                <w:sz w:val="20"/>
              </w:rPr>
              <w:tab/>
              <w:t>DM</w:t>
            </w:r>
          </w:p>
        </w:tc>
        <w:tc>
          <w:tcPr>
            <w:tcW w:w="1680" w:type="dxa"/>
          </w:tcPr>
          <w:p w:rsidR="00667608" w:rsidRDefault="00667608">
            <w:pPr>
              <w:pStyle w:val="A-TableText"/>
              <w:jc w:val="center"/>
              <w:rPr>
                <w:sz w:val="20"/>
              </w:rPr>
            </w:pPr>
            <w:r>
              <w:rPr>
                <w:sz w:val="20"/>
              </w:rPr>
              <w:t>96/110 (87.3)</w:t>
            </w:r>
          </w:p>
        </w:tc>
        <w:tc>
          <w:tcPr>
            <w:tcW w:w="1644" w:type="dxa"/>
          </w:tcPr>
          <w:p w:rsidR="00667608" w:rsidRDefault="00667608">
            <w:pPr>
              <w:pStyle w:val="A-TableText"/>
              <w:jc w:val="center"/>
              <w:rPr>
                <w:sz w:val="20"/>
              </w:rPr>
            </w:pPr>
            <w:r>
              <w:rPr>
                <w:sz w:val="20"/>
              </w:rPr>
              <w:t>100/110 (90.9)</w:t>
            </w:r>
          </w:p>
        </w:tc>
        <w:tc>
          <w:tcPr>
            <w:tcW w:w="2094" w:type="dxa"/>
          </w:tcPr>
          <w:p w:rsidR="00667608" w:rsidRDefault="00667608">
            <w:pPr>
              <w:pStyle w:val="A-TableText"/>
              <w:jc w:val="center"/>
              <w:rPr>
                <w:sz w:val="20"/>
              </w:rPr>
            </w:pPr>
            <w:r>
              <w:rPr>
                <w:sz w:val="20"/>
              </w:rPr>
              <w:t xml:space="preserve">-3.5 (-12, 5.0) </w:t>
            </w:r>
            <w:r>
              <w:rPr>
                <w:sz w:val="20"/>
                <w:vertAlign w:val="superscript"/>
              </w:rPr>
              <w:t>a</w:t>
            </w:r>
          </w:p>
        </w:tc>
      </w:tr>
      <w:tr w:rsidR="00667608">
        <w:trPr>
          <w:cantSplit/>
        </w:trPr>
        <w:tc>
          <w:tcPr>
            <w:tcW w:w="3588" w:type="dxa"/>
          </w:tcPr>
          <w:p w:rsidR="00667608" w:rsidRDefault="00667608">
            <w:pPr>
              <w:pStyle w:val="A-TableText"/>
              <w:tabs>
                <w:tab w:val="left" w:pos="552"/>
              </w:tabs>
              <w:ind w:left="567" w:hanging="567"/>
              <w:rPr>
                <w:sz w:val="20"/>
              </w:rPr>
            </w:pPr>
            <w:r>
              <w:rPr>
                <w:sz w:val="20"/>
              </w:rPr>
              <w:tab/>
              <w:t>PVD &amp; DM</w:t>
            </w:r>
          </w:p>
        </w:tc>
        <w:tc>
          <w:tcPr>
            <w:tcW w:w="1680" w:type="dxa"/>
          </w:tcPr>
          <w:p w:rsidR="00667608" w:rsidRDefault="00667608">
            <w:pPr>
              <w:pStyle w:val="A-TableText"/>
              <w:jc w:val="center"/>
              <w:rPr>
                <w:sz w:val="20"/>
              </w:rPr>
            </w:pPr>
            <w:r>
              <w:rPr>
                <w:sz w:val="20"/>
              </w:rPr>
              <w:t>19/25 (76.0)</w:t>
            </w:r>
          </w:p>
        </w:tc>
        <w:tc>
          <w:tcPr>
            <w:tcW w:w="1644" w:type="dxa"/>
          </w:tcPr>
          <w:p w:rsidR="00667608" w:rsidRDefault="00667608">
            <w:pPr>
              <w:pStyle w:val="A-TableText"/>
              <w:jc w:val="center"/>
              <w:rPr>
                <w:sz w:val="20"/>
              </w:rPr>
            </w:pPr>
            <w:r>
              <w:rPr>
                <w:sz w:val="20"/>
              </w:rPr>
              <w:t>20/27 (74.1)</w:t>
            </w:r>
          </w:p>
        </w:tc>
        <w:tc>
          <w:tcPr>
            <w:tcW w:w="2094" w:type="dxa"/>
          </w:tcPr>
          <w:p w:rsidR="00667608" w:rsidRDefault="00667608">
            <w:pPr>
              <w:pStyle w:val="A-TableText"/>
              <w:jc w:val="center"/>
              <w:rPr>
                <w:sz w:val="20"/>
              </w:rPr>
            </w:pPr>
            <w:r>
              <w:rPr>
                <w:sz w:val="20"/>
              </w:rPr>
              <w:t>N/A</w:t>
            </w:r>
          </w:p>
        </w:tc>
      </w:tr>
      <w:tr w:rsidR="00667608">
        <w:trPr>
          <w:cantSplit/>
        </w:trPr>
        <w:tc>
          <w:tcPr>
            <w:tcW w:w="3588" w:type="dxa"/>
          </w:tcPr>
          <w:p w:rsidR="00667608" w:rsidRDefault="00667608">
            <w:pPr>
              <w:pStyle w:val="A-TableText"/>
              <w:tabs>
                <w:tab w:val="left" w:pos="552"/>
              </w:tabs>
              <w:ind w:left="567" w:hanging="567"/>
              <w:rPr>
                <w:sz w:val="20"/>
              </w:rPr>
            </w:pPr>
            <w:r>
              <w:rPr>
                <w:sz w:val="20"/>
              </w:rPr>
              <w:tab/>
              <w:t>SIRS or bacteraemia</w:t>
            </w:r>
          </w:p>
        </w:tc>
        <w:tc>
          <w:tcPr>
            <w:tcW w:w="1680" w:type="dxa"/>
          </w:tcPr>
          <w:p w:rsidR="00667608" w:rsidRDefault="00667608">
            <w:pPr>
              <w:pStyle w:val="A-TableText"/>
              <w:jc w:val="center"/>
              <w:rPr>
                <w:sz w:val="20"/>
              </w:rPr>
            </w:pPr>
            <w:r>
              <w:rPr>
                <w:sz w:val="20"/>
              </w:rPr>
              <w:t>135/152 (88.8)</w:t>
            </w:r>
          </w:p>
        </w:tc>
        <w:tc>
          <w:tcPr>
            <w:tcW w:w="1644" w:type="dxa"/>
          </w:tcPr>
          <w:p w:rsidR="00667608" w:rsidRDefault="00667608">
            <w:pPr>
              <w:pStyle w:val="A-TableText"/>
              <w:jc w:val="center"/>
              <w:rPr>
                <w:sz w:val="20"/>
              </w:rPr>
            </w:pPr>
            <w:r>
              <w:rPr>
                <w:sz w:val="20"/>
              </w:rPr>
              <w:t>146/156 (93.6)</w:t>
            </w:r>
          </w:p>
        </w:tc>
        <w:tc>
          <w:tcPr>
            <w:tcW w:w="2094" w:type="dxa"/>
          </w:tcPr>
          <w:p w:rsidR="00667608" w:rsidRDefault="00667608">
            <w:pPr>
              <w:pStyle w:val="A-TableText"/>
              <w:jc w:val="center"/>
              <w:rPr>
                <w:sz w:val="20"/>
              </w:rPr>
            </w:pPr>
            <w:r>
              <w:rPr>
                <w:sz w:val="20"/>
              </w:rPr>
              <w:t xml:space="preserve">-4.9 (-11.7, 1.5) </w:t>
            </w:r>
            <w:r>
              <w:rPr>
                <w:sz w:val="20"/>
                <w:vertAlign w:val="superscript"/>
              </w:rPr>
              <w:t>a</w:t>
            </w:r>
          </w:p>
        </w:tc>
      </w:tr>
      <w:tr w:rsidR="00667608">
        <w:trPr>
          <w:cantSplit/>
        </w:trPr>
        <w:tc>
          <w:tcPr>
            <w:tcW w:w="3588" w:type="dxa"/>
          </w:tcPr>
          <w:p w:rsidR="00667608" w:rsidRDefault="00667608">
            <w:pPr>
              <w:pStyle w:val="A-TableText"/>
              <w:tabs>
                <w:tab w:val="left" w:pos="552"/>
              </w:tabs>
              <w:ind w:left="567" w:hanging="567"/>
              <w:rPr>
                <w:sz w:val="20"/>
              </w:rPr>
            </w:pPr>
            <w:r>
              <w:rPr>
                <w:sz w:val="20"/>
              </w:rPr>
              <w:tab/>
              <w:t>Cellulitis</w:t>
            </w:r>
          </w:p>
        </w:tc>
        <w:tc>
          <w:tcPr>
            <w:tcW w:w="1680" w:type="dxa"/>
          </w:tcPr>
          <w:p w:rsidR="00667608" w:rsidRDefault="00667608">
            <w:pPr>
              <w:pStyle w:val="A-TableText"/>
              <w:jc w:val="center"/>
              <w:rPr>
                <w:sz w:val="20"/>
              </w:rPr>
            </w:pPr>
            <w:r>
              <w:rPr>
                <w:sz w:val="20"/>
              </w:rPr>
              <w:t>213/229 (93.0)</w:t>
            </w:r>
          </w:p>
        </w:tc>
        <w:tc>
          <w:tcPr>
            <w:tcW w:w="1644" w:type="dxa"/>
          </w:tcPr>
          <w:p w:rsidR="00667608" w:rsidRDefault="00667608">
            <w:pPr>
              <w:pStyle w:val="A-TableText"/>
              <w:jc w:val="center"/>
              <w:rPr>
                <w:sz w:val="20"/>
              </w:rPr>
            </w:pPr>
            <w:r>
              <w:rPr>
                <w:sz w:val="20"/>
              </w:rPr>
              <w:t>222/243 (91.4)</w:t>
            </w:r>
          </w:p>
        </w:tc>
        <w:tc>
          <w:tcPr>
            <w:tcW w:w="2094" w:type="dxa"/>
          </w:tcPr>
          <w:p w:rsidR="00667608" w:rsidRDefault="00667608">
            <w:pPr>
              <w:pStyle w:val="A-TableText"/>
              <w:jc w:val="center"/>
              <w:rPr>
                <w:sz w:val="20"/>
              </w:rPr>
            </w:pPr>
            <w:r>
              <w:rPr>
                <w:sz w:val="20"/>
              </w:rPr>
              <w:t xml:space="preserve">1.7 (-3.4, 6.7)  </w:t>
            </w:r>
            <w:r>
              <w:rPr>
                <w:sz w:val="20"/>
                <w:vertAlign w:val="superscript"/>
              </w:rPr>
              <w:t>a</w:t>
            </w:r>
          </w:p>
        </w:tc>
      </w:tr>
      <w:tr w:rsidR="00667608">
        <w:trPr>
          <w:cantSplit/>
        </w:trPr>
        <w:tc>
          <w:tcPr>
            <w:tcW w:w="3588" w:type="dxa"/>
          </w:tcPr>
          <w:p w:rsidR="00667608" w:rsidRDefault="00667608">
            <w:pPr>
              <w:pStyle w:val="A-TableText"/>
              <w:tabs>
                <w:tab w:val="left" w:pos="552"/>
              </w:tabs>
              <w:ind w:left="567" w:hanging="567"/>
              <w:rPr>
                <w:sz w:val="20"/>
              </w:rPr>
            </w:pPr>
            <w:r>
              <w:rPr>
                <w:sz w:val="20"/>
              </w:rPr>
              <w:tab/>
              <w:t>Abscess</w:t>
            </w:r>
          </w:p>
        </w:tc>
        <w:tc>
          <w:tcPr>
            <w:tcW w:w="1680" w:type="dxa"/>
          </w:tcPr>
          <w:p w:rsidR="00667608" w:rsidRDefault="00667608">
            <w:pPr>
              <w:pStyle w:val="A-TableText"/>
              <w:jc w:val="center"/>
              <w:rPr>
                <w:sz w:val="20"/>
              </w:rPr>
            </w:pPr>
            <w:r>
              <w:rPr>
                <w:sz w:val="20"/>
              </w:rPr>
              <w:t>187/205 (91.2)</w:t>
            </w:r>
          </w:p>
        </w:tc>
        <w:tc>
          <w:tcPr>
            <w:tcW w:w="1644" w:type="dxa"/>
          </w:tcPr>
          <w:p w:rsidR="00667608" w:rsidRDefault="00667608">
            <w:pPr>
              <w:pStyle w:val="A-TableText"/>
              <w:jc w:val="center"/>
              <w:rPr>
                <w:sz w:val="20"/>
              </w:rPr>
            </w:pPr>
            <w:r>
              <w:rPr>
                <w:sz w:val="20"/>
              </w:rPr>
              <w:t>179/190 (94.2)</w:t>
            </w:r>
          </w:p>
        </w:tc>
        <w:tc>
          <w:tcPr>
            <w:tcW w:w="2094" w:type="dxa"/>
          </w:tcPr>
          <w:p w:rsidR="00667608" w:rsidRDefault="00667608">
            <w:pPr>
              <w:pStyle w:val="A-TableText"/>
              <w:jc w:val="center"/>
              <w:rPr>
                <w:sz w:val="20"/>
              </w:rPr>
            </w:pPr>
            <w:r>
              <w:rPr>
                <w:sz w:val="20"/>
              </w:rPr>
              <w:t xml:space="preserve">-3.0 (-8.4, 2.3) </w:t>
            </w:r>
            <w:r>
              <w:rPr>
                <w:sz w:val="20"/>
                <w:vertAlign w:val="superscript"/>
              </w:rPr>
              <w:t>a</w:t>
            </w:r>
          </w:p>
        </w:tc>
      </w:tr>
      <w:tr w:rsidR="00667608">
        <w:trPr>
          <w:cantSplit/>
        </w:trPr>
        <w:tc>
          <w:tcPr>
            <w:tcW w:w="3588" w:type="dxa"/>
          </w:tcPr>
          <w:p w:rsidR="00667608" w:rsidRDefault="00667608">
            <w:pPr>
              <w:pStyle w:val="A-TableText"/>
              <w:tabs>
                <w:tab w:val="left" w:pos="552"/>
              </w:tabs>
              <w:ind w:left="567" w:hanging="567"/>
              <w:rPr>
                <w:sz w:val="20"/>
              </w:rPr>
            </w:pPr>
            <w:r>
              <w:rPr>
                <w:sz w:val="20"/>
              </w:rPr>
              <w:tab/>
              <w:t>Infected wound</w:t>
            </w:r>
          </w:p>
        </w:tc>
        <w:tc>
          <w:tcPr>
            <w:tcW w:w="1680" w:type="dxa"/>
          </w:tcPr>
          <w:p w:rsidR="00667608" w:rsidRDefault="00667608">
            <w:pPr>
              <w:pStyle w:val="A-TableText"/>
              <w:jc w:val="center"/>
              <w:rPr>
                <w:sz w:val="20"/>
              </w:rPr>
            </w:pPr>
            <w:r>
              <w:rPr>
                <w:sz w:val="20"/>
              </w:rPr>
              <w:t>73/84 (86.9)</w:t>
            </w:r>
          </w:p>
        </w:tc>
        <w:tc>
          <w:tcPr>
            <w:tcW w:w="1644" w:type="dxa"/>
          </w:tcPr>
          <w:p w:rsidR="00667608" w:rsidRDefault="00667608">
            <w:pPr>
              <w:pStyle w:val="A-TableText"/>
              <w:jc w:val="center"/>
              <w:rPr>
                <w:sz w:val="20"/>
              </w:rPr>
            </w:pPr>
            <w:r>
              <w:rPr>
                <w:sz w:val="20"/>
              </w:rPr>
              <w:t>65/73 (89.0)</w:t>
            </w:r>
          </w:p>
        </w:tc>
        <w:tc>
          <w:tcPr>
            <w:tcW w:w="2094" w:type="dxa"/>
          </w:tcPr>
          <w:p w:rsidR="00667608" w:rsidRDefault="00667608">
            <w:pPr>
              <w:pStyle w:val="A-TableText"/>
              <w:jc w:val="center"/>
              <w:rPr>
                <w:sz w:val="20"/>
              </w:rPr>
            </w:pPr>
            <w:r>
              <w:rPr>
                <w:sz w:val="20"/>
              </w:rPr>
              <w:t xml:space="preserve">-2.2 (-12.8, 8.7) </w:t>
            </w:r>
            <w:r>
              <w:rPr>
                <w:sz w:val="20"/>
                <w:vertAlign w:val="superscript"/>
              </w:rPr>
              <w:t>a</w:t>
            </w:r>
          </w:p>
        </w:tc>
      </w:tr>
      <w:tr w:rsidR="00667608">
        <w:trPr>
          <w:cantSplit/>
        </w:trPr>
        <w:tc>
          <w:tcPr>
            <w:tcW w:w="3588" w:type="dxa"/>
          </w:tcPr>
          <w:p w:rsidR="00667608" w:rsidRDefault="00667608">
            <w:pPr>
              <w:pStyle w:val="A-TableText"/>
              <w:tabs>
                <w:tab w:val="left" w:pos="552"/>
              </w:tabs>
              <w:ind w:left="567" w:hanging="567"/>
              <w:rPr>
                <w:sz w:val="20"/>
              </w:rPr>
            </w:pPr>
            <w:r>
              <w:rPr>
                <w:sz w:val="20"/>
              </w:rPr>
              <w:tab/>
              <w:t>Infected ulcer</w:t>
            </w:r>
          </w:p>
        </w:tc>
        <w:tc>
          <w:tcPr>
            <w:tcW w:w="1680" w:type="dxa"/>
          </w:tcPr>
          <w:p w:rsidR="00667608" w:rsidRDefault="00667608">
            <w:pPr>
              <w:pStyle w:val="A-TableText"/>
              <w:jc w:val="center"/>
              <w:rPr>
                <w:sz w:val="20"/>
              </w:rPr>
            </w:pPr>
            <w:r>
              <w:rPr>
                <w:sz w:val="20"/>
              </w:rPr>
              <w:t>48/53 (90.6)</w:t>
            </w:r>
          </w:p>
        </w:tc>
        <w:tc>
          <w:tcPr>
            <w:tcW w:w="1644" w:type="dxa"/>
          </w:tcPr>
          <w:p w:rsidR="00667608" w:rsidRDefault="00667608">
            <w:pPr>
              <w:pStyle w:val="A-TableText"/>
              <w:jc w:val="center"/>
              <w:rPr>
                <w:sz w:val="20"/>
              </w:rPr>
            </w:pPr>
            <w:r>
              <w:rPr>
                <w:sz w:val="20"/>
              </w:rPr>
              <w:t>47/50 (94.0)</w:t>
            </w:r>
          </w:p>
        </w:tc>
        <w:tc>
          <w:tcPr>
            <w:tcW w:w="2094" w:type="dxa"/>
          </w:tcPr>
          <w:p w:rsidR="00667608" w:rsidRDefault="00667608">
            <w:pPr>
              <w:pStyle w:val="A-TableText"/>
              <w:jc w:val="center"/>
              <w:rPr>
                <w:sz w:val="20"/>
              </w:rPr>
            </w:pPr>
            <w:r>
              <w:rPr>
                <w:sz w:val="20"/>
              </w:rPr>
              <w:t>-3.5 (-15.7, 8.3)</w:t>
            </w:r>
            <w:r>
              <w:rPr>
                <w:sz w:val="20"/>
                <w:vertAlign w:val="superscript"/>
              </w:rPr>
              <w:t xml:space="preserve"> a</w:t>
            </w:r>
          </w:p>
        </w:tc>
      </w:tr>
      <w:tr w:rsidR="00667608">
        <w:trPr>
          <w:cantSplit/>
        </w:trPr>
        <w:tc>
          <w:tcPr>
            <w:tcW w:w="3588" w:type="dxa"/>
          </w:tcPr>
          <w:p w:rsidR="00667608" w:rsidRDefault="00667608">
            <w:pPr>
              <w:pStyle w:val="A-TableText"/>
              <w:tabs>
                <w:tab w:val="left" w:pos="552"/>
              </w:tabs>
              <w:ind w:left="567" w:hanging="567"/>
              <w:rPr>
                <w:sz w:val="20"/>
              </w:rPr>
            </w:pPr>
            <w:r>
              <w:rPr>
                <w:sz w:val="20"/>
              </w:rPr>
              <w:tab/>
              <w:t>Infected burn</w:t>
            </w:r>
          </w:p>
        </w:tc>
        <w:tc>
          <w:tcPr>
            <w:tcW w:w="1680" w:type="dxa"/>
          </w:tcPr>
          <w:p w:rsidR="00667608" w:rsidRDefault="00667608">
            <w:pPr>
              <w:pStyle w:val="A-TableText"/>
              <w:jc w:val="center"/>
              <w:rPr>
                <w:sz w:val="20"/>
              </w:rPr>
            </w:pPr>
            <w:r>
              <w:rPr>
                <w:sz w:val="20"/>
              </w:rPr>
              <w:t>25/25 (100)</w:t>
            </w:r>
          </w:p>
        </w:tc>
        <w:tc>
          <w:tcPr>
            <w:tcW w:w="1644" w:type="dxa"/>
          </w:tcPr>
          <w:p w:rsidR="00667608" w:rsidRDefault="00667608">
            <w:pPr>
              <w:pStyle w:val="A-TableText"/>
              <w:jc w:val="center"/>
              <w:rPr>
                <w:sz w:val="20"/>
              </w:rPr>
            </w:pPr>
            <w:r>
              <w:rPr>
                <w:sz w:val="20"/>
              </w:rPr>
              <w:t>18/18 (100)</w:t>
            </w:r>
          </w:p>
        </w:tc>
        <w:tc>
          <w:tcPr>
            <w:tcW w:w="2094" w:type="dxa"/>
          </w:tcPr>
          <w:p w:rsidR="00667608" w:rsidRDefault="00667608">
            <w:pPr>
              <w:pStyle w:val="A-TableText"/>
              <w:jc w:val="center"/>
              <w:rPr>
                <w:sz w:val="20"/>
              </w:rPr>
            </w:pPr>
            <w:r>
              <w:rPr>
                <w:sz w:val="20"/>
              </w:rPr>
              <w:t>N/A</w:t>
            </w:r>
          </w:p>
        </w:tc>
      </w:tr>
      <w:tr w:rsidR="00667608">
        <w:trPr>
          <w:cantSplit/>
        </w:trPr>
        <w:tc>
          <w:tcPr>
            <w:tcW w:w="3588" w:type="dxa"/>
          </w:tcPr>
          <w:p w:rsidR="00667608" w:rsidRDefault="00667608">
            <w:pPr>
              <w:pStyle w:val="A-TableText"/>
              <w:rPr>
                <w:sz w:val="20"/>
              </w:rPr>
            </w:pPr>
            <w:r>
              <w:rPr>
                <w:sz w:val="20"/>
              </w:rPr>
              <w:t>MITT</w:t>
            </w:r>
          </w:p>
        </w:tc>
        <w:tc>
          <w:tcPr>
            <w:tcW w:w="1680" w:type="dxa"/>
          </w:tcPr>
          <w:p w:rsidR="00667608" w:rsidRDefault="00667608">
            <w:pPr>
              <w:pStyle w:val="A-TableText"/>
              <w:jc w:val="center"/>
              <w:rPr>
                <w:sz w:val="20"/>
              </w:rPr>
            </w:pPr>
            <w:r>
              <w:rPr>
                <w:sz w:val="20"/>
              </w:rPr>
              <w:t>595/693 (85.9)</w:t>
            </w:r>
          </w:p>
        </w:tc>
        <w:tc>
          <w:tcPr>
            <w:tcW w:w="1644" w:type="dxa"/>
          </w:tcPr>
          <w:p w:rsidR="00667608" w:rsidRDefault="00667608">
            <w:pPr>
              <w:pStyle w:val="A-TableText"/>
              <w:jc w:val="center"/>
              <w:rPr>
                <w:sz w:val="20"/>
              </w:rPr>
            </w:pPr>
            <w:r>
              <w:rPr>
                <w:sz w:val="20"/>
              </w:rPr>
              <w:t>586/685 (85.5)</w:t>
            </w:r>
          </w:p>
        </w:tc>
        <w:tc>
          <w:tcPr>
            <w:tcW w:w="2094" w:type="dxa"/>
          </w:tcPr>
          <w:p w:rsidR="00667608" w:rsidRDefault="00667608">
            <w:pPr>
              <w:pStyle w:val="A-TableText"/>
              <w:jc w:val="center"/>
              <w:rPr>
                <w:sz w:val="20"/>
              </w:rPr>
            </w:pPr>
            <w:r>
              <w:rPr>
                <w:sz w:val="20"/>
              </w:rPr>
              <w:t>0.3 (-3.4, 4.0)</w:t>
            </w:r>
            <w:r>
              <w:rPr>
                <w:sz w:val="20"/>
                <w:vertAlign w:val="superscript"/>
              </w:rPr>
              <w:t xml:space="preserve"> a</w:t>
            </w:r>
          </w:p>
        </w:tc>
      </w:tr>
      <w:tr w:rsidR="00667608">
        <w:trPr>
          <w:cantSplit/>
        </w:trPr>
        <w:tc>
          <w:tcPr>
            <w:tcW w:w="3588" w:type="dxa"/>
            <w:tcBorders>
              <w:bottom w:val="single" w:sz="12" w:space="0" w:color="auto"/>
            </w:tcBorders>
          </w:tcPr>
          <w:p w:rsidR="00667608" w:rsidRDefault="00667608">
            <w:pPr>
              <w:pStyle w:val="A-TableText"/>
              <w:rPr>
                <w:sz w:val="20"/>
              </w:rPr>
            </w:pPr>
            <w:r>
              <w:rPr>
                <w:i/>
                <w:sz w:val="20"/>
              </w:rPr>
              <w:t>Microbiological response rate (favourable) – ME</w:t>
            </w:r>
          </w:p>
        </w:tc>
        <w:tc>
          <w:tcPr>
            <w:tcW w:w="1680" w:type="dxa"/>
            <w:tcBorders>
              <w:bottom w:val="single" w:sz="12" w:space="0" w:color="auto"/>
            </w:tcBorders>
          </w:tcPr>
          <w:p w:rsidR="00667608" w:rsidRDefault="00667608">
            <w:pPr>
              <w:pStyle w:val="A-TableText"/>
              <w:jc w:val="center"/>
              <w:rPr>
                <w:sz w:val="20"/>
              </w:rPr>
            </w:pPr>
            <w:r>
              <w:rPr>
                <w:sz w:val="20"/>
              </w:rPr>
              <w:t>432/468 (92.3)</w:t>
            </w:r>
          </w:p>
        </w:tc>
        <w:tc>
          <w:tcPr>
            <w:tcW w:w="1644" w:type="dxa"/>
            <w:tcBorders>
              <w:bottom w:val="single" w:sz="12" w:space="0" w:color="auto"/>
            </w:tcBorders>
          </w:tcPr>
          <w:p w:rsidR="00667608" w:rsidRDefault="00667608">
            <w:pPr>
              <w:pStyle w:val="A-TableText"/>
              <w:jc w:val="center"/>
              <w:rPr>
                <w:sz w:val="20"/>
              </w:rPr>
            </w:pPr>
            <w:r>
              <w:rPr>
                <w:sz w:val="20"/>
              </w:rPr>
              <w:t>418/446 (93.7)</w:t>
            </w:r>
          </w:p>
        </w:tc>
        <w:tc>
          <w:tcPr>
            <w:tcW w:w="2094" w:type="dxa"/>
            <w:tcBorders>
              <w:bottom w:val="single" w:sz="12" w:space="0" w:color="auto"/>
            </w:tcBorders>
          </w:tcPr>
          <w:p w:rsidR="00667608" w:rsidRDefault="00667608">
            <w:pPr>
              <w:pStyle w:val="A-TableText"/>
              <w:jc w:val="center"/>
              <w:rPr>
                <w:sz w:val="20"/>
              </w:rPr>
            </w:pPr>
            <w:r>
              <w:rPr>
                <w:sz w:val="20"/>
              </w:rPr>
              <w:t>-1.4 (-4.8, 2.0)</w:t>
            </w:r>
            <w:r>
              <w:rPr>
                <w:sz w:val="20"/>
                <w:vertAlign w:val="superscript"/>
              </w:rPr>
              <w:t xml:space="preserve"> a</w:t>
            </w:r>
          </w:p>
        </w:tc>
      </w:tr>
    </w:tbl>
    <w:p w:rsidR="00667608" w:rsidRDefault="00667608">
      <w:pPr>
        <w:pStyle w:val="A-TableFootnoteText"/>
      </w:pPr>
      <w:r>
        <w:t xml:space="preserve">V+A – Vancomycin + aztreonam; CE – clinically evaluable; MITT – modified intention-to-treat; ME – microbiologically evaluable; DM – diabetes mellitus; PVD – peripheral vascular disease ; SIRS – systemic inflammatory response syndrome (SIRS); CI – confidence interval; N/A – not applicable; </w:t>
      </w:r>
      <w:r>
        <w:rPr>
          <w:sz w:val="20"/>
          <w:vertAlign w:val="superscript"/>
        </w:rPr>
        <w:t>a</w:t>
      </w:r>
      <w:r>
        <w:t xml:space="preserve"> weighted difference; *patients may be included in one or more of the following sub-groups</w:t>
      </w:r>
    </w:p>
    <w:p w:rsidR="00667608" w:rsidRDefault="00FC26E7" w:rsidP="00FC26E7">
      <w:pPr>
        <w:pStyle w:val="A-TableTitle"/>
      </w:pPr>
      <w:bookmarkStart w:id="3" w:name="_Ref276556103"/>
      <w:r>
        <w:br w:type="page"/>
      </w:r>
      <w:r w:rsidR="00667608">
        <w:lastRenderedPageBreak/>
        <w:t xml:space="preserve">Table </w:t>
      </w:r>
      <w:fldSimple w:instr=" SEQ Table \* ARABIC ">
        <w:r w:rsidR="00667608">
          <w:rPr>
            <w:noProof/>
          </w:rPr>
          <w:t>3</w:t>
        </w:r>
      </w:fldSimple>
      <w:bookmarkEnd w:id="3"/>
      <w:r w:rsidR="00667608">
        <w:tab/>
        <w:t>Clinical and microbiological success by baseline infecting pathogen from primary infection site or blood at TOC for pooled cSSTI studies (ME population)</w:t>
      </w:r>
    </w:p>
    <w:tbl>
      <w:tblPr>
        <w:tblW w:w="9596" w:type="dxa"/>
        <w:tblInd w:w="-132" w:type="dxa"/>
        <w:tblLayout w:type="fixed"/>
        <w:tblLook w:val="0000"/>
      </w:tblPr>
      <w:tblGrid>
        <w:gridCol w:w="3240"/>
        <w:gridCol w:w="1536"/>
        <w:gridCol w:w="1701"/>
        <w:gridCol w:w="1560"/>
        <w:gridCol w:w="1559"/>
      </w:tblGrid>
      <w:tr w:rsidR="00667608">
        <w:trPr>
          <w:cantSplit/>
          <w:tblHeader/>
        </w:trPr>
        <w:tc>
          <w:tcPr>
            <w:tcW w:w="3240" w:type="dxa"/>
            <w:tcBorders>
              <w:top w:val="single" w:sz="12" w:space="0" w:color="auto"/>
              <w:bottom w:val="single" w:sz="6" w:space="0" w:color="auto"/>
            </w:tcBorders>
          </w:tcPr>
          <w:p w:rsidR="00667608" w:rsidRDefault="00667608">
            <w:pPr>
              <w:pStyle w:val="A-TableHeader"/>
            </w:pPr>
          </w:p>
        </w:tc>
        <w:tc>
          <w:tcPr>
            <w:tcW w:w="3237" w:type="dxa"/>
            <w:gridSpan w:val="2"/>
            <w:tcBorders>
              <w:top w:val="single" w:sz="12" w:space="0" w:color="auto"/>
              <w:bottom w:val="single" w:sz="6" w:space="0" w:color="auto"/>
            </w:tcBorders>
          </w:tcPr>
          <w:p w:rsidR="00667608" w:rsidRDefault="00667608">
            <w:pPr>
              <w:pStyle w:val="A-TableHeader"/>
              <w:jc w:val="center"/>
            </w:pPr>
            <w:r>
              <w:t>Clinical success</w:t>
            </w:r>
          </w:p>
        </w:tc>
        <w:tc>
          <w:tcPr>
            <w:tcW w:w="3119" w:type="dxa"/>
            <w:gridSpan w:val="2"/>
            <w:tcBorders>
              <w:top w:val="single" w:sz="12" w:space="0" w:color="auto"/>
              <w:bottom w:val="single" w:sz="6" w:space="0" w:color="auto"/>
            </w:tcBorders>
          </w:tcPr>
          <w:p w:rsidR="00667608" w:rsidRDefault="00667608">
            <w:pPr>
              <w:pStyle w:val="A-TableHeader"/>
              <w:jc w:val="center"/>
            </w:pPr>
            <w:r>
              <w:t xml:space="preserve">Microbiological success </w:t>
            </w:r>
            <w:r>
              <w:rPr>
                <w:vertAlign w:val="superscript"/>
              </w:rPr>
              <w:t>a</w:t>
            </w:r>
          </w:p>
        </w:tc>
      </w:tr>
      <w:tr w:rsidR="00667608">
        <w:trPr>
          <w:cantSplit/>
          <w:tblHeader/>
        </w:trPr>
        <w:tc>
          <w:tcPr>
            <w:tcW w:w="3240" w:type="dxa"/>
            <w:tcBorders>
              <w:top w:val="single" w:sz="12" w:space="0" w:color="auto"/>
              <w:bottom w:val="single" w:sz="6" w:space="0" w:color="auto"/>
            </w:tcBorders>
          </w:tcPr>
          <w:p w:rsidR="00667608" w:rsidRDefault="00667608">
            <w:pPr>
              <w:pStyle w:val="A-TableHeader"/>
            </w:pPr>
            <w:r>
              <w:t>Pathogen</w:t>
            </w:r>
          </w:p>
        </w:tc>
        <w:tc>
          <w:tcPr>
            <w:tcW w:w="1536" w:type="dxa"/>
            <w:tcBorders>
              <w:top w:val="single" w:sz="12" w:space="0" w:color="auto"/>
              <w:bottom w:val="single" w:sz="6" w:space="0" w:color="auto"/>
            </w:tcBorders>
          </w:tcPr>
          <w:p w:rsidR="00667608" w:rsidRDefault="00667608">
            <w:pPr>
              <w:pStyle w:val="A-TableHeader"/>
              <w:jc w:val="center"/>
            </w:pPr>
            <w:r>
              <w:t>Zinforo</w:t>
            </w:r>
            <w:r>
              <w:br/>
              <w:t>n/N (%)</w:t>
            </w:r>
          </w:p>
        </w:tc>
        <w:tc>
          <w:tcPr>
            <w:tcW w:w="1701" w:type="dxa"/>
            <w:tcBorders>
              <w:top w:val="single" w:sz="12" w:space="0" w:color="auto"/>
              <w:bottom w:val="single" w:sz="6" w:space="0" w:color="auto"/>
            </w:tcBorders>
          </w:tcPr>
          <w:p w:rsidR="00667608" w:rsidRDefault="00667608">
            <w:pPr>
              <w:pStyle w:val="A-TableHeader"/>
              <w:jc w:val="center"/>
            </w:pPr>
            <w:r>
              <w:t>V + A</w:t>
            </w:r>
            <w:r>
              <w:br/>
              <w:t>n/N (%)</w:t>
            </w:r>
          </w:p>
        </w:tc>
        <w:tc>
          <w:tcPr>
            <w:tcW w:w="1560" w:type="dxa"/>
            <w:tcBorders>
              <w:top w:val="single" w:sz="12" w:space="0" w:color="auto"/>
              <w:bottom w:val="single" w:sz="6" w:space="0" w:color="auto"/>
            </w:tcBorders>
          </w:tcPr>
          <w:p w:rsidR="00667608" w:rsidRDefault="00667608">
            <w:pPr>
              <w:pStyle w:val="A-TableHeader"/>
              <w:jc w:val="center"/>
            </w:pPr>
            <w:r>
              <w:t>Zinforo</w:t>
            </w:r>
            <w:r>
              <w:br/>
              <w:t>n/N (%)</w:t>
            </w:r>
          </w:p>
        </w:tc>
        <w:tc>
          <w:tcPr>
            <w:tcW w:w="1559" w:type="dxa"/>
            <w:tcBorders>
              <w:top w:val="single" w:sz="12" w:space="0" w:color="auto"/>
              <w:bottom w:val="single" w:sz="6" w:space="0" w:color="auto"/>
            </w:tcBorders>
          </w:tcPr>
          <w:p w:rsidR="00667608" w:rsidRDefault="00667608">
            <w:pPr>
              <w:pStyle w:val="A-TableHeader"/>
              <w:jc w:val="center"/>
            </w:pPr>
            <w:r>
              <w:t>V + A</w:t>
            </w:r>
            <w:r>
              <w:br/>
              <w:t>n/N (%)</w:t>
            </w:r>
          </w:p>
        </w:tc>
      </w:tr>
      <w:tr w:rsidR="00667608">
        <w:trPr>
          <w:cantSplit/>
        </w:trPr>
        <w:tc>
          <w:tcPr>
            <w:tcW w:w="3240" w:type="dxa"/>
            <w:tcBorders>
              <w:top w:val="single" w:sz="6" w:space="0" w:color="auto"/>
            </w:tcBorders>
          </w:tcPr>
          <w:p w:rsidR="00667608" w:rsidRDefault="00667608">
            <w:pPr>
              <w:pStyle w:val="A-TableText"/>
              <w:rPr>
                <w:b/>
                <w:sz w:val="20"/>
              </w:rPr>
            </w:pPr>
            <w:r>
              <w:rPr>
                <w:b/>
                <w:sz w:val="20"/>
              </w:rPr>
              <w:t>Gram-positive</w:t>
            </w:r>
          </w:p>
        </w:tc>
        <w:tc>
          <w:tcPr>
            <w:tcW w:w="1536" w:type="dxa"/>
            <w:tcBorders>
              <w:top w:val="single" w:sz="6" w:space="0" w:color="auto"/>
            </w:tcBorders>
          </w:tcPr>
          <w:p w:rsidR="00667608" w:rsidRDefault="00667608">
            <w:pPr>
              <w:pStyle w:val="A-TableText"/>
              <w:jc w:val="center"/>
              <w:rPr>
                <w:sz w:val="20"/>
              </w:rPr>
            </w:pPr>
            <w:r>
              <w:rPr>
                <w:sz w:val="20"/>
              </w:rPr>
              <w:t>402/431 (93.3)</w:t>
            </w:r>
          </w:p>
        </w:tc>
        <w:tc>
          <w:tcPr>
            <w:tcW w:w="1701" w:type="dxa"/>
            <w:tcBorders>
              <w:top w:val="single" w:sz="6" w:space="0" w:color="auto"/>
            </w:tcBorders>
          </w:tcPr>
          <w:p w:rsidR="00667608" w:rsidRDefault="00667608">
            <w:pPr>
              <w:pStyle w:val="A-TableText"/>
              <w:jc w:val="center"/>
              <w:rPr>
                <w:sz w:val="20"/>
              </w:rPr>
            </w:pPr>
            <w:r>
              <w:rPr>
                <w:sz w:val="20"/>
              </w:rPr>
              <w:t>397/422 (94.1)</w:t>
            </w:r>
          </w:p>
        </w:tc>
        <w:tc>
          <w:tcPr>
            <w:tcW w:w="1560" w:type="dxa"/>
            <w:tcBorders>
              <w:top w:val="single" w:sz="6" w:space="0" w:color="auto"/>
            </w:tcBorders>
          </w:tcPr>
          <w:p w:rsidR="00667608" w:rsidRDefault="00667608">
            <w:pPr>
              <w:pStyle w:val="A-TableText"/>
              <w:jc w:val="center"/>
              <w:rPr>
                <w:sz w:val="20"/>
              </w:rPr>
            </w:pPr>
            <w:r>
              <w:rPr>
                <w:sz w:val="20"/>
              </w:rPr>
              <w:t>403/431 (93.5)</w:t>
            </w:r>
          </w:p>
        </w:tc>
        <w:tc>
          <w:tcPr>
            <w:tcW w:w="1559" w:type="dxa"/>
            <w:tcBorders>
              <w:top w:val="single" w:sz="6" w:space="0" w:color="auto"/>
            </w:tcBorders>
          </w:tcPr>
          <w:p w:rsidR="00667608" w:rsidRDefault="00667608">
            <w:pPr>
              <w:pStyle w:val="A-TableText"/>
              <w:jc w:val="center"/>
              <w:rPr>
                <w:sz w:val="20"/>
              </w:rPr>
            </w:pPr>
            <w:r>
              <w:rPr>
                <w:sz w:val="20"/>
              </w:rPr>
              <w:t>396/422 (93.8)</w:t>
            </w:r>
          </w:p>
        </w:tc>
      </w:tr>
      <w:tr w:rsidR="00667608">
        <w:trPr>
          <w:cantSplit/>
        </w:trPr>
        <w:tc>
          <w:tcPr>
            <w:tcW w:w="3240" w:type="dxa"/>
          </w:tcPr>
          <w:p w:rsidR="00667608" w:rsidRDefault="00667608">
            <w:pPr>
              <w:pStyle w:val="A-TableText"/>
              <w:rPr>
                <w:i/>
                <w:sz w:val="20"/>
              </w:rPr>
            </w:pPr>
            <w:r>
              <w:rPr>
                <w:i/>
                <w:sz w:val="20"/>
              </w:rPr>
              <w:t xml:space="preserve">Staphylococcus aureus </w:t>
            </w:r>
            <w:r>
              <w:rPr>
                <w:i/>
                <w:sz w:val="20"/>
                <w:vertAlign w:val="superscript"/>
              </w:rPr>
              <w:t>b</w:t>
            </w:r>
          </w:p>
        </w:tc>
        <w:tc>
          <w:tcPr>
            <w:tcW w:w="1536" w:type="dxa"/>
          </w:tcPr>
          <w:p w:rsidR="00667608" w:rsidRDefault="00667608">
            <w:pPr>
              <w:pStyle w:val="A-TableText"/>
              <w:jc w:val="center"/>
              <w:rPr>
                <w:sz w:val="20"/>
              </w:rPr>
            </w:pPr>
            <w:r>
              <w:rPr>
                <w:sz w:val="20"/>
              </w:rPr>
              <w:t>352/378 (93.1)</w:t>
            </w:r>
          </w:p>
        </w:tc>
        <w:tc>
          <w:tcPr>
            <w:tcW w:w="1701" w:type="dxa"/>
          </w:tcPr>
          <w:p w:rsidR="00667608" w:rsidRDefault="00667608">
            <w:pPr>
              <w:pStyle w:val="A-TableText"/>
              <w:jc w:val="center"/>
              <w:rPr>
                <w:sz w:val="20"/>
              </w:rPr>
            </w:pPr>
            <w:r>
              <w:rPr>
                <w:sz w:val="20"/>
              </w:rPr>
              <w:t>336/356 (94.4)</w:t>
            </w:r>
          </w:p>
        </w:tc>
        <w:tc>
          <w:tcPr>
            <w:tcW w:w="1560" w:type="dxa"/>
          </w:tcPr>
          <w:p w:rsidR="00667608" w:rsidRDefault="00667608">
            <w:pPr>
              <w:pStyle w:val="A-TableText"/>
              <w:jc w:val="center"/>
              <w:rPr>
                <w:sz w:val="20"/>
              </w:rPr>
            </w:pPr>
            <w:r>
              <w:rPr>
                <w:sz w:val="20"/>
              </w:rPr>
              <w:t>357/381 (93.7)</w:t>
            </w:r>
          </w:p>
        </w:tc>
        <w:tc>
          <w:tcPr>
            <w:tcW w:w="1559" w:type="dxa"/>
          </w:tcPr>
          <w:p w:rsidR="00667608" w:rsidRDefault="00667608">
            <w:pPr>
              <w:pStyle w:val="A-TableText"/>
              <w:jc w:val="center"/>
              <w:rPr>
                <w:sz w:val="20"/>
              </w:rPr>
            </w:pPr>
            <w:r>
              <w:rPr>
                <w:sz w:val="20"/>
              </w:rPr>
              <w:t>338/360 (93.9)</w:t>
            </w:r>
          </w:p>
        </w:tc>
      </w:tr>
      <w:tr w:rsidR="00667608">
        <w:trPr>
          <w:cantSplit/>
        </w:trPr>
        <w:tc>
          <w:tcPr>
            <w:tcW w:w="3240" w:type="dxa"/>
          </w:tcPr>
          <w:p w:rsidR="00667608" w:rsidRDefault="00667608">
            <w:pPr>
              <w:pStyle w:val="A-TableText"/>
              <w:rPr>
                <w:sz w:val="20"/>
              </w:rPr>
            </w:pPr>
            <w:r>
              <w:rPr>
                <w:sz w:val="20"/>
              </w:rPr>
              <w:t xml:space="preserve">     MSSA</w:t>
            </w:r>
          </w:p>
        </w:tc>
        <w:tc>
          <w:tcPr>
            <w:tcW w:w="1536" w:type="dxa"/>
          </w:tcPr>
          <w:p w:rsidR="00667608" w:rsidRDefault="00667608">
            <w:pPr>
              <w:pStyle w:val="A-TableText"/>
              <w:jc w:val="center"/>
              <w:rPr>
                <w:sz w:val="20"/>
              </w:rPr>
            </w:pPr>
            <w:r>
              <w:rPr>
                <w:sz w:val="20"/>
              </w:rPr>
              <w:t>212/228 (93.0)</w:t>
            </w:r>
          </w:p>
        </w:tc>
        <w:tc>
          <w:tcPr>
            <w:tcW w:w="1701" w:type="dxa"/>
          </w:tcPr>
          <w:p w:rsidR="00667608" w:rsidRDefault="00667608">
            <w:pPr>
              <w:pStyle w:val="A-TableText"/>
              <w:jc w:val="center"/>
              <w:rPr>
                <w:sz w:val="20"/>
              </w:rPr>
            </w:pPr>
            <w:r>
              <w:rPr>
                <w:sz w:val="20"/>
              </w:rPr>
              <w:t>225/238 (94.5)</w:t>
            </w:r>
          </w:p>
        </w:tc>
        <w:tc>
          <w:tcPr>
            <w:tcW w:w="1560" w:type="dxa"/>
          </w:tcPr>
          <w:p w:rsidR="00667608" w:rsidRDefault="00667608">
            <w:pPr>
              <w:pStyle w:val="A-TableText"/>
              <w:jc w:val="center"/>
              <w:rPr>
                <w:sz w:val="20"/>
              </w:rPr>
            </w:pPr>
            <w:r>
              <w:rPr>
                <w:sz w:val="20"/>
              </w:rPr>
              <w:t>214/228 (93.9)</w:t>
            </w:r>
          </w:p>
        </w:tc>
        <w:tc>
          <w:tcPr>
            <w:tcW w:w="1559" w:type="dxa"/>
          </w:tcPr>
          <w:p w:rsidR="00667608" w:rsidRDefault="00667608">
            <w:pPr>
              <w:pStyle w:val="A-TableText"/>
              <w:jc w:val="center"/>
              <w:rPr>
                <w:sz w:val="20"/>
              </w:rPr>
            </w:pPr>
            <w:r>
              <w:rPr>
                <w:sz w:val="20"/>
              </w:rPr>
              <w:t>225/238 (94.5)</w:t>
            </w:r>
          </w:p>
        </w:tc>
      </w:tr>
      <w:tr w:rsidR="00667608">
        <w:trPr>
          <w:cantSplit/>
        </w:trPr>
        <w:tc>
          <w:tcPr>
            <w:tcW w:w="3240" w:type="dxa"/>
          </w:tcPr>
          <w:p w:rsidR="00667608" w:rsidRDefault="00667608">
            <w:pPr>
              <w:pStyle w:val="A-TableText"/>
              <w:rPr>
                <w:sz w:val="20"/>
              </w:rPr>
            </w:pPr>
            <w:r>
              <w:rPr>
                <w:sz w:val="20"/>
              </w:rPr>
              <w:t xml:space="preserve">     MRSA</w:t>
            </w:r>
          </w:p>
        </w:tc>
        <w:tc>
          <w:tcPr>
            <w:tcW w:w="1536" w:type="dxa"/>
          </w:tcPr>
          <w:p w:rsidR="00667608" w:rsidRDefault="00667608">
            <w:pPr>
              <w:pStyle w:val="A-TableText"/>
              <w:jc w:val="center"/>
              <w:rPr>
                <w:sz w:val="20"/>
              </w:rPr>
            </w:pPr>
            <w:r>
              <w:rPr>
                <w:sz w:val="20"/>
              </w:rPr>
              <w:t>142/152 (93.4)</w:t>
            </w:r>
          </w:p>
        </w:tc>
        <w:tc>
          <w:tcPr>
            <w:tcW w:w="1701" w:type="dxa"/>
          </w:tcPr>
          <w:p w:rsidR="00667608" w:rsidRDefault="00667608">
            <w:pPr>
              <w:pStyle w:val="A-TableText"/>
              <w:jc w:val="center"/>
              <w:rPr>
                <w:sz w:val="20"/>
              </w:rPr>
            </w:pPr>
            <w:r>
              <w:rPr>
                <w:sz w:val="20"/>
              </w:rPr>
              <w:t>115/122 (94.3)</w:t>
            </w:r>
          </w:p>
        </w:tc>
        <w:tc>
          <w:tcPr>
            <w:tcW w:w="1560" w:type="dxa"/>
          </w:tcPr>
          <w:p w:rsidR="00667608" w:rsidRDefault="00667608">
            <w:pPr>
              <w:pStyle w:val="A-TableText"/>
              <w:jc w:val="center"/>
              <w:rPr>
                <w:sz w:val="20"/>
              </w:rPr>
            </w:pPr>
            <w:r>
              <w:rPr>
                <w:sz w:val="20"/>
              </w:rPr>
              <w:t>142/152 (93.4)</w:t>
            </w:r>
          </w:p>
        </w:tc>
        <w:tc>
          <w:tcPr>
            <w:tcW w:w="1559" w:type="dxa"/>
          </w:tcPr>
          <w:p w:rsidR="00667608" w:rsidRDefault="00667608">
            <w:pPr>
              <w:pStyle w:val="A-TableText"/>
              <w:jc w:val="center"/>
              <w:rPr>
                <w:sz w:val="20"/>
              </w:rPr>
            </w:pPr>
            <w:r>
              <w:rPr>
                <w:sz w:val="20"/>
              </w:rPr>
              <w:t>113/122 (92.6)</w:t>
            </w:r>
          </w:p>
        </w:tc>
      </w:tr>
      <w:tr w:rsidR="00667608">
        <w:trPr>
          <w:cantSplit/>
        </w:trPr>
        <w:tc>
          <w:tcPr>
            <w:tcW w:w="3240" w:type="dxa"/>
          </w:tcPr>
          <w:p w:rsidR="00667608" w:rsidRDefault="00667608">
            <w:pPr>
              <w:pStyle w:val="A-TableText"/>
              <w:rPr>
                <w:i/>
                <w:sz w:val="20"/>
              </w:rPr>
            </w:pPr>
            <w:r>
              <w:rPr>
                <w:i/>
                <w:sz w:val="20"/>
              </w:rPr>
              <w:t>Streptococcus pyogenes</w:t>
            </w:r>
          </w:p>
        </w:tc>
        <w:tc>
          <w:tcPr>
            <w:tcW w:w="1536" w:type="dxa"/>
          </w:tcPr>
          <w:p w:rsidR="00667608" w:rsidRDefault="00667608">
            <w:pPr>
              <w:pStyle w:val="A-TableText"/>
              <w:jc w:val="center"/>
              <w:rPr>
                <w:sz w:val="20"/>
              </w:rPr>
            </w:pPr>
            <w:r>
              <w:rPr>
                <w:sz w:val="20"/>
              </w:rPr>
              <w:t>56/56 (100)</w:t>
            </w:r>
          </w:p>
        </w:tc>
        <w:tc>
          <w:tcPr>
            <w:tcW w:w="1701" w:type="dxa"/>
          </w:tcPr>
          <w:p w:rsidR="00667608" w:rsidRDefault="00667608">
            <w:pPr>
              <w:pStyle w:val="A-TableText"/>
              <w:jc w:val="center"/>
              <w:rPr>
                <w:sz w:val="20"/>
              </w:rPr>
            </w:pPr>
            <w:r>
              <w:rPr>
                <w:sz w:val="20"/>
              </w:rPr>
              <w:t>56/58 (96.6)</w:t>
            </w:r>
          </w:p>
        </w:tc>
        <w:tc>
          <w:tcPr>
            <w:tcW w:w="1560" w:type="dxa"/>
          </w:tcPr>
          <w:p w:rsidR="00667608" w:rsidRDefault="00667608">
            <w:pPr>
              <w:pStyle w:val="A-TableText"/>
              <w:jc w:val="center"/>
              <w:rPr>
                <w:sz w:val="20"/>
              </w:rPr>
            </w:pPr>
            <w:r>
              <w:rPr>
                <w:sz w:val="20"/>
              </w:rPr>
              <w:t>56/56 (100)</w:t>
            </w:r>
          </w:p>
        </w:tc>
        <w:tc>
          <w:tcPr>
            <w:tcW w:w="1559" w:type="dxa"/>
          </w:tcPr>
          <w:p w:rsidR="00667608" w:rsidRDefault="00667608">
            <w:pPr>
              <w:pStyle w:val="A-TableText"/>
              <w:jc w:val="center"/>
              <w:rPr>
                <w:sz w:val="20"/>
              </w:rPr>
            </w:pPr>
            <w:r>
              <w:rPr>
                <w:sz w:val="20"/>
              </w:rPr>
              <w:t>56/58 (96.6)</w:t>
            </w:r>
          </w:p>
        </w:tc>
      </w:tr>
      <w:tr w:rsidR="00667608">
        <w:trPr>
          <w:cantSplit/>
        </w:trPr>
        <w:tc>
          <w:tcPr>
            <w:tcW w:w="3240" w:type="dxa"/>
          </w:tcPr>
          <w:p w:rsidR="00667608" w:rsidRDefault="00667608">
            <w:pPr>
              <w:pStyle w:val="A-TableText"/>
              <w:rPr>
                <w:i/>
                <w:sz w:val="20"/>
              </w:rPr>
            </w:pPr>
            <w:r>
              <w:rPr>
                <w:i/>
                <w:sz w:val="20"/>
              </w:rPr>
              <w:t>Streptococcus agalactiae</w:t>
            </w:r>
          </w:p>
        </w:tc>
        <w:tc>
          <w:tcPr>
            <w:tcW w:w="1536" w:type="dxa"/>
          </w:tcPr>
          <w:p w:rsidR="00667608" w:rsidRDefault="00667608">
            <w:pPr>
              <w:pStyle w:val="A-TableText"/>
              <w:jc w:val="center"/>
              <w:rPr>
                <w:sz w:val="20"/>
              </w:rPr>
            </w:pPr>
            <w:r>
              <w:rPr>
                <w:sz w:val="20"/>
              </w:rPr>
              <w:t>21/22 (95.5)</w:t>
            </w:r>
          </w:p>
        </w:tc>
        <w:tc>
          <w:tcPr>
            <w:tcW w:w="1701" w:type="dxa"/>
          </w:tcPr>
          <w:p w:rsidR="00667608" w:rsidRDefault="00667608">
            <w:pPr>
              <w:pStyle w:val="A-TableText"/>
              <w:jc w:val="center"/>
              <w:rPr>
                <w:sz w:val="20"/>
              </w:rPr>
            </w:pPr>
            <w:r>
              <w:rPr>
                <w:sz w:val="20"/>
              </w:rPr>
              <w:t>18/18 (100)</w:t>
            </w:r>
          </w:p>
        </w:tc>
        <w:tc>
          <w:tcPr>
            <w:tcW w:w="1560" w:type="dxa"/>
          </w:tcPr>
          <w:p w:rsidR="00667608" w:rsidRDefault="00667608">
            <w:pPr>
              <w:pStyle w:val="A-TableText"/>
              <w:jc w:val="center"/>
              <w:rPr>
                <w:sz w:val="20"/>
              </w:rPr>
            </w:pPr>
            <w:r>
              <w:rPr>
                <w:sz w:val="20"/>
              </w:rPr>
              <w:t>20/22 (90.9)</w:t>
            </w:r>
          </w:p>
        </w:tc>
        <w:tc>
          <w:tcPr>
            <w:tcW w:w="1559" w:type="dxa"/>
          </w:tcPr>
          <w:p w:rsidR="00667608" w:rsidRDefault="00667608">
            <w:pPr>
              <w:pStyle w:val="A-TableText"/>
              <w:jc w:val="center"/>
              <w:rPr>
                <w:sz w:val="20"/>
              </w:rPr>
            </w:pPr>
            <w:r>
              <w:rPr>
                <w:sz w:val="20"/>
              </w:rPr>
              <w:t>18/18 (100)</w:t>
            </w:r>
          </w:p>
        </w:tc>
      </w:tr>
      <w:tr w:rsidR="00667608">
        <w:trPr>
          <w:cantSplit/>
        </w:trPr>
        <w:tc>
          <w:tcPr>
            <w:tcW w:w="3240" w:type="dxa"/>
          </w:tcPr>
          <w:p w:rsidR="00667608" w:rsidRDefault="00667608">
            <w:pPr>
              <w:pStyle w:val="A-TableText"/>
              <w:rPr>
                <w:i/>
                <w:sz w:val="20"/>
              </w:rPr>
            </w:pPr>
            <w:r>
              <w:rPr>
                <w:i/>
                <w:sz w:val="20"/>
              </w:rPr>
              <w:t>Streptococcus dysgalactiae</w:t>
            </w:r>
          </w:p>
        </w:tc>
        <w:tc>
          <w:tcPr>
            <w:tcW w:w="1536" w:type="dxa"/>
          </w:tcPr>
          <w:p w:rsidR="00667608" w:rsidRDefault="00667608">
            <w:pPr>
              <w:pStyle w:val="A-TableText"/>
              <w:jc w:val="center"/>
              <w:rPr>
                <w:sz w:val="20"/>
              </w:rPr>
            </w:pPr>
            <w:r>
              <w:rPr>
                <w:sz w:val="20"/>
              </w:rPr>
              <w:t>13/13 (100)</w:t>
            </w:r>
          </w:p>
        </w:tc>
        <w:tc>
          <w:tcPr>
            <w:tcW w:w="1701" w:type="dxa"/>
          </w:tcPr>
          <w:p w:rsidR="00667608" w:rsidRDefault="00667608">
            <w:pPr>
              <w:pStyle w:val="A-TableText"/>
              <w:jc w:val="center"/>
              <w:rPr>
                <w:sz w:val="20"/>
              </w:rPr>
            </w:pPr>
            <w:r>
              <w:rPr>
                <w:sz w:val="20"/>
              </w:rPr>
              <w:t>15/16 (93.8)</w:t>
            </w:r>
          </w:p>
        </w:tc>
        <w:tc>
          <w:tcPr>
            <w:tcW w:w="1560" w:type="dxa"/>
          </w:tcPr>
          <w:p w:rsidR="00667608" w:rsidRDefault="00667608">
            <w:pPr>
              <w:pStyle w:val="A-TableText"/>
              <w:jc w:val="center"/>
              <w:rPr>
                <w:sz w:val="20"/>
              </w:rPr>
            </w:pPr>
            <w:r>
              <w:rPr>
                <w:sz w:val="20"/>
              </w:rPr>
              <w:t>13/13 (100)</w:t>
            </w:r>
          </w:p>
        </w:tc>
        <w:tc>
          <w:tcPr>
            <w:tcW w:w="1559" w:type="dxa"/>
          </w:tcPr>
          <w:p w:rsidR="00667608" w:rsidRDefault="00667608">
            <w:pPr>
              <w:pStyle w:val="A-TableText"/>
              <w:jc w:val="center"/>
              <w:rPr>
                <w:sz w:val="20"/>
              </w:rPr>
            </w:pPr>
            <w:r>
              <w:rPr>
                <w:sz w:val="20"/>
              </w:rPr>
              <w:t>15/16 (93.8)</w:t>
            </w:r>
          </w:p>
        </w:tc>
      </w:tr>
      <w:tr w:rsidR="00667608">
        <w:trPr>
          <w:cantSplit/>
        </w:trPr>
        <w:tc>
          <w:tcPr>
            <w:tcW w:w="3240" w:type="dxa"/>
          </w:tcPr>
          <w:p w:rsidR="00667608" w:rsidRDefault="00667608">
            <w:pPr>
              <w:pStyle w:val="A-TableText"/>
              <w:rPr>
                <w:sz w:val="20"/>
              </w:rPr>
            </w:pPr>
            <w:r>
              <w:rPr>
                <w:i/>
                <w:sz w:val="20"/>
              </w:rPr>
              <w:t>Streptococcus anginosus</w:t>
            </w:r>
            <w:r>
              <w:rPr>
                <w:sz w:val="20"/>
              </w:rPr>
              <w:t xml:space="preserve"> group</w:t>
            </w:r>
            <w:r>
              <w:rPr>
                <w:sz w:val="20"/>
                <w:vertAlign w:val="superscript"/>
              </w:rPr>
              <w:t>c</w:t>
            </w:r>
          </w:p>
        </w:tc>
        <w:tc>
          <w:tcPr>
            <w:tcW w:w="1536" w:type="dxa"/>
          </w:tcPr>
          <w:p w:rsidR="00667608" w:rsidRDefault="00667608">
            <w:pPr>
              <w:pStyle w:val="A-TableText"/>
              <w:jc w:val="center"/>
              <w:rPr>
                <w:sz w:val="20"/>
              </w:rPr>
            </w:pPr>
            <w:r>
              <w:rPr>
                <w:sz w:val="20"/>
              </w:rPr>
              <w:t>12/13 (92.3)</w:t>
            </w:r>
          </w:p>
        </w:tc>
        <w:tc>
          <w:tcPr>
            <w:tcW w:w="1701" w:type="dxa"/>
          </w:tcPr>
          <w:p w:rsidR="00667608" w:rsidRDefault="00667608">
            <w:pPr>
              <w:pStyle w:val="A-TableText"/>
              <w:jc w:val="center"/>
              <w:rPr>
                <w:sz w:val="20"/>
              </w:rPr>
            </w:pPr>
            <w:r>
              <w:rPr>
                <w:sz w:val="20"/>
              </w:rPr>
              <w:t>15/16 (93.8)</w:t>
            </w:r>
          </w:p>
        </w:tc>
        <w:tc>
          <w:tcPr>
            <w:tcW w:w="1560" w:type="dxa"/>
          </w:tcPr>
          <w:p w:rsidR="00667608" w:rsidRDefault="00667608">
            <w:pPr>
              <w:pStyle w:val="A-TableText"/>
              <w:jc w:val="center"/>
              <w:rPr>
                <w:sz w:val="20"/>
              </w:rPr>
            </w:pPr>
            <w:r>
              <w:rPr>
                <w:sz w:val="20"/>
              </w:rPr>
              <w:t>12/13 (92.3)</w:t>
            </w:r>
          </w:p>
        </w:tc>
        <w:tc>
          <w:tcPr>
            <w:tcW w:w="1559" w:type="dxa"/>
          </w:tcPr>
          <w:p w:rsidR="00667608" w:rsidRDefault="00667608">
            <w:pPr>
              <w:pStyle w:val="A-TableText"/>
              <w:jc w:val="center"/>
              <w:rPr>
                <w:sz w:val="20"/>
              </w:rPr>
            </w:pPr>
            <w:r>
              <w:rPr>
                <w:sz w:val="20"/>
              </w:rPr>
              <w:t>15/16 (93.8)</w:t>
            </w:r>
          </w:p>
        </w:tc>
      </w:tr>
      <w:tr w:rsidR="00667608">
        <w:trPr>
          <w:cantSplit/>
        </w:trPr>
        <w:tc>
          <w:tcPr>
            <w:tcW w:w="3240" w:type="dxa"/>
            <w:tcBorders>
              <w:top w:val="single" w:sz="4" w:space="0" w:color="auto"/>
            </w:tcBorders>
          </w:tcPr>
          <w:p w:rsidR="00667608" w:rsidRDefault="00667608">
            <w:pPr>
              <w:pStyle w:val="A-TableText"/>
              <w:rPr>
                <w:b/>
                <w:sz w:val="20"/>
              </w:rPr>
            </w:pPr>
            <w:r>
              <w:rPr>
                <w:b/>
                <w:sz w:val="20"/>
              </w:rPr>
              <w:t>Gram-negative</w:t>
            </w:r>
          </w:p>
        </w:tc>
        <w:tc>
          <w:tcPr>
            <w:tcW w:w="1536" w:type="dxa"/>
            <w:tcBorders>
              <w:top w:val="single" w:sz="4" w:space="0" w:color="auto"/>
            </w:tcBorders>
          </w:tcPr>
          <w:p w:rsidR="00667608" w:rsidRDefault="00667608">
            <w:pPr>
              <w:pStyle w:val="A-TableText"/>
              <w:jc w:val="center"/>
              <w:rPr>
                <w:sz w:val="20"/>
              </w:rPr>
            </w:pPr>
            <w:r>
              <w:rPr>
                <w:sz w:val="20"/>
              </w:rPr>
              <w:t>84/95 (88.4)</w:t>
            </w:r>
          </w:p>
        </w:tc>
        <w:tc>
          <w:tcPr>
            <w:tcW w:w="1701" w:type="dxa"/>
            <w:tcBorders>
              <w:top w:val="single" w:sz="4" w:space="0" w:color="auto"/>
            </w:tcBorders>
          </w:tcPr>
          <w:p w:rsidR="00667608" w:rsidRDefault="00667608">
            <w:pPr>
              <w:pStyle w:val="A-TableText"/>
              <w:jc w:val="center"/>
              <w:rPr>
                <w:sz w:val="20"/>
              </w:rPr>
            </w:pPr>
            <w:r>
              <w:rPr>
                <w:sz w:val="20"/>
              </w:rPr>
              <w:t>90/94 (95.7)</w:t>
            </w:r>
          </w:p>
        </w:tc>
        <w:tc>
          <w:tcPr>
            <w:tcW w:w="1560" w:type="dxa"/>
            <w:tcBorders>
              <w:top w:val="single" w:sz="4" w:space="0" w:color="auto"/>
            </w:tcBorders>
          </w:tcPr>
          <w:p w:rsidR="00667608" w:rsidRDefault="00667608">
            <w:pPr>
              <w:pStyle w:val="A-TableText"/>
              <w:jc w:val="center"/>
              <w:rPr>
                <w:sz w:val="20"/>
              </w:rPr>
            </w:pPr>
            <w:r>
              <w:rPr>
                <w:sz w:val="20"/>
              </w:rPr>
              <w:t>82/95 (86.3)</w:t>
            </w:r>
          </w:p>
        </w:tc>
        <w:tc>
          <w:tcPr>
            <w:tcW w:w="1559" w:type="dxa"/>
            <w:tcBorders>
              <w:top w:val="single" w:sz="4" w:space="0" w:color="auto"/>
            </w:tcBorders>
          </w:tcPr>
          <w:p w:rsidR="00667608" w:rsidRDefault="00667608">
            <w:pPr>
              <w:pStyle w:val="A-TableText"/>
              <w:jc w:val="center"/>
              <w:rPr>
                <w:sz w:val="20"/>
              </w:rPr>
            </w:pPr>
            <w:r>
              <w:rPr>
                <w:sz w:val="20"/>
              </w:rPr>
              <w:t>88/94 (93.6)</w:t>
            </w:r>
          </w:p>
        </w:tc>
      </w:tr>
      <w:tr w:rsidR="00667608">
        <w:trPr>
          <w:cantSplit/>
        </w:trPr>
        <w:tc>
          <w:tcPr>
            <w:tcW w:w="3240" w:type="dxa"/>
          </w:tcPr>
          <w:p w:rsidR="00667608" w:rsidRDefault="00667608">
            <w:pPr>
              <w:pStyle w:val="A-TableText"/>
              <w:rPr>
                <w:i/>
                <w:sz w:val="20"/>
              </w:rPr>
            </w:pPr>
            <w:r>
              <w:rPr>
                <w:i/>
                <w:sz w:val="20"/>
              </w:rPr>
              <w:t>Escherichia coli</w:t>
            </w:r>
          </w:p>
        </w:tc>
        <w:tc>
          <w:tcPr>
            <w:tcW w:w="1536" w:type="dxa"/>
          </w:tcPr>
          <w:p w:rsidR="00667608" w:rsidRDefault="00667608">
            <w:pPr>
              <w:pStyle w:val="A-TableText"/>
              <w:jc w:val="center"/>
              <w:rPr>
                <w:sz w:val="20"/>
                <w:lang w:val="sv-SE"/>
              </w:rPr>
            </w:pPr>
            <w:r>
              <w:rPr>
                <w:sz w:val="20"/>
                <w:lang w:val="sv-SE"/>
              </w:rPr>
              <w:t>20/21 (95.2)</w:t>
            </w:r>
          </w:p>
        </w:tc>
        <w:tc>
          <w:tcPr>
            <w:tcW w:w="1701" w:type="dxa"/>
          </w:tcPr>
          <w:p w:rsidR="00667608" w:rsidRDefault="00667608">
            <w:pPr>
              <w:pStyle w:val="A-TableText"/>
              <w:jc w:val="center"/>
              <w:rPr>
                <w:sz w:val="20"/>
                <w:lang w:val="sv-SE"/>
              </w:rPr>
            </w:pPr>
            <w:r>
              <w:rPr>
                <w:sz w:val="20"/>
                <w:lang w:val="sv-SE"/>
              </w:rPr>
              <w:t>19/21 (90.5)</w:t>
            </w:r>
          </w:p>
        </w:tc>
        <w:tc>
          <w:tcPr>
            <w:tcW w:w="1560" w:type="dxa"/>
          </w:tcPr>
          <w:p w:rsidR="00667608" w:rsidRDefault="00667608">
            <w:pPr>
              <w:pStyle w:val="A-TableText"/>
              <w:jc w:val="center"/>
              <w:rPr>
                <w:sz w:val="20"/>
                <w:lang w:val="sv-SE"/>
              </w:rPr>
            </w:pPr>
            <w:r>
              <w:rPr>
                <w:sz w:val="20"/>
                <w:lang w:val="sv-SE"/>
              </w:rPr>
              <w:t>20/21 (95.2)</w:t>
            </w:r>
          </w:p>
        </w:tc>
        <w:tc>
          <w:tcPr>
            <w:tcW w:w="1559" w:type="dxa"/>
          </w:tcPr>
          <w:p w:rsidR="00667608" w:rsidRDefault="00667608">
            <w:pPr>
              <w:pStyle w:val="A-TableText"/>
              <w:jc w:val="center"/>
              <w:rPr>
                <w:sz w:val="20"/>
                <w:lang w:val="sv-SE"/>
              </w:rPr>
            </w:pPr>
            <w:r>
              <w:rPr>
                <w:sz w:val="20"/>
                <w:lang w:val="sv-SE"/>
              </w:rPr>
              <w:t>19/21 (90.5)</w:t>
            </w:r>
          </w:p>
        </w:tc>
      </w:tr>
      <w:tr w:rsidR="00667608">
        <w:trPr>
          <w:cantSplit/>
        </w:trPr>
        <w:tc>
          <w:tcPr>
            <w:tcW w:w="3240" w:type="dxa"/>
          </w:tcPr>
          <w:p w:rsidR="00667608" w:rsidRDefault="00667608">
            <w:pPr>
              <w:pStyle w:val="A-TableText"/>
              <w:rPr>
                <w:i/>
                <w:sz w:val="20"/>
                <w:lang w:val="sv-SE"/>
              </w:rPr>
            </w:pPr>
            <w:r>
              <w:rPr>
                <w:i/>
                <w:sz w:val="20"/>
                <w:lang w:val="sv-SE"/>
              </w:rPr>
              <w:t>Klebsiella oxytoca</w:t>
            </w:r>
          </w:p>
        </w:tc>
        <w:tc>
          <w:tcPr>
            <w:tcW w:w="1536" w:type="dxa"/>
          </w:tcPr>
          <w:p w:rsidR="00667608" w:rsidRDefault="00667608">
            <w:pPr>
              <w:pStyle w:val="A-TableText"/>
              <w:jc w:val="center"/>
              <w:rPr>
                <w:sz w:val="20"/>
                <w:lang w:val="sv-SE"/>
              </w:rPr>
            </w:pPr>
            <w:r>
              <w:rPr>
                <w:sz w:val="20"/>
                <w:lang w:val="sv-SE"/>
              </w:rPr>
              <w:t>10/12 (83.3)</w:t>
            </w:r>
          </w:p>
        </w:tc>
        <w:tc>
          <w:tcPr>
            <w:tcW w:w="1701" w:type="dxa"/>
          </w:tcPr>
          <w:p w:rsidR="00667608" w:rsidRDefault="00667608">
            <w:pPr>
              <w:pStyle w:val="A-TableText"/>
              <w:jc w:val="center"/>
              <w:rPr>
                <w:sz w:val="20"/>
                <w:lang w:val="sv-SE"/>
              </w:rPr>
            </w:pPr>
            <w:r>
              <w:rPr>
                <w:sz w:val="20"/>
                <w:lang w:val="sv-SE"/>
              </w:rPr>
              <w:t>6/6 (100.0)</w:t>
            </w:r>
          </w:p>
        </w:tc>
        <w:tc>
          <w:tcPr>
            <w:tcW w:w="1560" w:type="dxa"/>
          </w:tcPr>
          <w:p w:rsidR="00667608" w:rsidRDefault="00667608">
            <w:pPr>
              <w:pStyle w:val="A-TableText"/>
              <w:jc w:val="center"/>
              <w:rPr>
                <w:sz w:val="20"/>
                <w:lang w:val="sv-SE"/>
              </w:rPr>
            </w:pPr>
            <w:r>
              <w:rPr>
                <w:sz w:val="20"/>
                <w:lang w:val="sv-SE"/>
              </w:rPr>
              <w:t>11/12 (91.7)</w:t>
            </w:r>
          </w:p>
        </w:tc>
        <w:tc>
          <w:tcPr>
            <w:tcW w:w="1559" w:type="dxa"/>
          </w:tcPr>
          <w:p w:rsidR="00667608" w:rsidRDefault="00667608">
            <w:pPr>
              <w:pStyle w:val="A-TableText"/>
              <w:jc w:val="center"/>
              <w:rPr>
                <w:sz w:val="20"/>
                <w:lang w:val="sv-SE"/>
              </w:rPr>
            </w:pPr>
            <w:r>
              <w:rPr>
                <w:sz w:val="20"/>
                <w:lang w:val="sv-SE"/>
              </w:rPr>
              <w:t>5/6 (83.3)</w:t>
            </w:r>
          </w:p>
        </w:tc>
      </w:tr>
      <w:tr w:rsidR="00667608">
        <w:trPr>
          <w:cantSplit/>
        </w:trPr>
        <w:tc>
          <w:tcPr>
            <w:tcW w:w="3240" w:type="dxa"/>
          </w:tcPr>
          <w:p w:rsidR="00667608" w:rsidRDefault="00667608">
            <w:pPr>
              <w:pStyle w:val="A-TableText"/>
              <w:rPr>
                <w:i/>
                <w:sz w:val="20"/>
                <w:lang w:val="sv-SE"/>
              </w:rPr>
            </w:pPr>
            <w:r>
              <w:rPr>
                <w:i/>
                <w:sz w:val="20"/>
                <w:lang w:val="sv-SE"/>
              </w:rPr>
              <w:t>Klebsiella pneumoniae</w:t>
            </w:r>
          </w:p>
        </w:tc>
        <w:tc>
          <w:tcPr>
            <w:tcW w:w="1536" w:type="dxa"/>
          </w:tcPr>
          <w:p w:rsidR="00667608" w:rsidRDefault="00667608">
            <w:pPr>
              <w:pStyle w:val="A-TableText"/>
              <w:jc w:val="center"/>
              <w:rPr>
                <w:sz w:val="20"/>
              </w:rPr>
            </w:pPr>
            <w:r>
              <w:rPr>
                <w:sz w:val="20"/>
              </w:rPr>
              <w:t>17/18 (94.4)</w:t>
            </w:r>
          </w:p>
        </w:tc>
        <w:tc>
          <w:tcPr>
            <w:tcW w:w="1701" w:type="dxa"/>
          </w:tcPr>
          <w:p w:rsidR="00667608" w:rsidRDefault="00667608">
            <w:pPr>
              <w:pStyle w:val="A-TableText"/>
              <w:jc w:val="center"/>
              <w:rPr>
                <w:sz w:val="20"/>
              </w:rPr>
            </w:pPr>
            <w:r>
              <w:rPr>
                <w:sz w:val="20"/>
              </w:rPr>
              <w:t>13/14 (92.9)</w:t>
            </w:r>
          </w:p>
        </w:tc>
        <w:tc>
          <w:tcPr>
            <w:tcW w:w="1560" w:type="dxa"/>
          </w:tcPr>
          <w:p w:rsidR="00667608" w:rsidRDefault="00667608">
            <w:pPr>
              <w:pStyle w:val="A-TableText"/>
              <w:jc w:val="center"/>
              <w:rPr>
                <w:sz w:val="20"/>
              </w:rPr>
            </w:pPr>
            <w:r>
              <w:rPr>
                <w:sz w:val="20"/>
              </w:rPr>
              <w:t>17/18 (94.4)</w:t>
            </w:r>
          </w:p>
        </w:tc>
        <w:tc>
          <w:tcPr>
            <w:tcW w:w="1559" w:type="dxa"/>
          </w:tcPr>
          <w:p w:rsidR="00667608" w:rsidRDefault="00667608">
            <w:pPr>
              <w:pStyle w:val="A-TableText"/>
              <w:jc w:val="center"/>
              <w:rPr>
                <w:sz w:val="20"/>
              </w:rPr>
            </w:pPr>
            <w:r>
              <w:rPr>
                <w:sz w:val="20"/>
              </w:rPr>
              <w:t>13/14 (92.9)</w:t>
            </w:r>
          </w:p>
        </w:tc>
      </w:tr>
      <w:tr w:rsidR="00667608">
        <w:trPr>
          <w:cantSplit/>
        </w:trPr>
        <w:tc>
          <w:tcPr>
            <w:tcW w:w="3240" w:type="dxa"/>
            <w:tcBorders>
              <w:bottom w:val="single" w:sz="12" w:space="0" w:color="auto"/>
            </w:tcBorders>
          </w:tcPr>
          <w:p w:rsidR="00667608" w:rsidRDefault="00667608">
            <w:pPr>
              <w:pStyle w:val="A-TableText"/>
              <w:rPr>
                <w:i/>
                <w:sz w:val="20"/>
              </w:rPr>
            </w:pPr>
            <w:r>
              <w:rPr>
                <w:i/>
                <w:sz w:val="20"/>
              </w:rPr>
              <w:t>Morganella morganii</w:t>
            </w:r>
          </w:p>
        </w:tc>
        <w:tc>
          <w:tcPr>
            <w:tcW w:w="1536" w:type="dxa"/>
            <w:tcBorders>
              <w:bottom w:val="single" w:sz="12" w:space="0" w:color="auto"/>
            </w:tcBorders>
          </w:tcPr>
          <w:p w:rsidR="00667608" w:rsidRDefault="00667608">
            <w:pPr>
              <w:pStyle w:val="A-TableText"/>
              <w:jc w:val="center"/>
              <w:rPr>
                <w:sz w:val="20"/>
              </w:rPr>
            </w:pPr>
            <w:r>
              <w:rPr>
                <w:sz w:val="20"/>
              </w:rPr>
              <w:t>11/12 (91.7)</w:t>
            </w:r>
          </w:p>
        </w:tc>
        <w:tc>
          <w:tcPr>
            <w:tcW w:w="1701" w:type="dxa"/>
            <w:tcBorders>
              <w:bottom w:val="single" w:sz="12" w:space="0" w:color="auto"/>
            </w:tcBorders>
          </w:tcPr>
          <w:p w:rsidR="00667608" w:rsidRDefault="00667608">
            <w:pPr>
              <w:pStyle w:val="A-TableText"/>
              <w:jc w:val="center"/>
              <w:rPr>
                <w:sz w:val="20"/>
              </w:rPr>
            </w:pPr>
            <w:r>
              <w:rPr>
                <w:sz w:val="20"/>
              </w:rPr>
              <w:t>5/6 (83.3)</w:t>
            </w:r>
          </w:p>
        </w:tc>
        <w:tc>
          <w:tcPr>
            <w:tcW w:w="1560" w:type="dxa"/>
            <w:tcBorders>
              <w:bottom w:val="single" w:sz="12" w:space="0" w:color="auto"/>
            </w:tcBorders>
          </w:tcPr>
          <w:p w:rsidR="00667608" w:rsidRDefault="00667608">
            <w:pPr>
              <w:pStyle w:val="A-TableText"/>
              <w:jc w:val="center"/>
              <w:rPr>
                <w:sz w:val="20"/>
              </w:rPr>
            </w:pPr>
            <w:r>
              <w:rPr>
                <w:sz w:val="20"/>
              </w:rPr>
              <w:t>11/12 (91.7)</w:t>
            </w:r>
          </w:p>
        </w:tc>
        <w:tc>
          <w:tcPr>
            <w:tcW w:w="1559" w:type="dxa"/>
            <w:tcBorders>
              <w:bottom w:val="single" w:sz="12" w:space="0" w:color="auto"/>
            </w:tcBorders>
          </w:tcPr>
          <w:p w:rsidR="00667608" w:rsidRDefault="00667608">
            <w:pPr>
              <w:pStyle w:val="A-TableText"/>
              <w:jc w:val="center"/>
              <w:rPr>
                <w:sz w:val="20"/>
              </w:rPr>
            </w:pPr>
            <w:r>
              <w:rPr>
                <w:sz w:val="20"/>
              </w:rPr>
              <w:t>6/6 (100)</w:t>
            </w:r>
          </w:p>
        </w:tc>
      </w:tr>
    </w:tbl>
    <w:p w:rsidR="00667608" w:rsidRDefault="00667608">
      <w:pPr>
        <w:pStyle w:val="A-TableFootnoteText"/>
        <w:spacing w:after="0"/>
        <w:ind w:left="431" w:hanging="431"/>
      </w:pPr>
      <w:r>
        <w:t xml:space="preserve">ME – microbiologically evaluable; V+A – Vancomycin + aztreonam; MSSA – methicillin-susceptible </w:t>
      </w:r>
      <w:r>
        <w:rPr>
          <w:i/>
        </w:rPr>
        <w:t>S. aureus</w:t>
      </w:r>
      <w:r>
        <w:t xml:space="preserve">; MRSA – methicillin-resistant </w:t>
      </w:r>
      <w:r>
        <w:rPr>
          <w:i/>
        </w:rPr>
        <w:t>S. aureus</w:t>
      </w:r>
    </w:p>
    <w:p w:rsidR="00667608" w:rsidRDefault="00667608">
      <w:pPr>
        <w:pStyle w:val="A-TableFootnoteText"/>
        <w:spacing w:after="0"/>
        <w:ind w:left="431" w:hanging="431"/>
      </w:pPr>
      <w:r>
        <w:rPr>
          <w:vertAlign w:val="superscript"/>
        </w:rPr>
        <w:t>a</w:t>
      </w:r>
      <w:r>
        <w:t xml:space="preserve"> presumed eradication and/or eradication of causative pathogen; </w:t>
      </w:r>
      <w:r>
        <w:rPr>
          <w:vertAlign w:val="superscript"/>
        </w:rPr>
        <w:t>b</w:t>
      </w:r>
      <w:r>
        <w:t xml:space="preserve"> Patients with both MRSA and MSSA counted twice; </w:t>
      </w:r>
      <w:r>
        <w:rPr>
          <w:vertAlign w:val="superscript"/>
        </w:rPr>
        <w:t>c</w:t>
      </w:r>
      <w:r>
        <w:t xml:space="preserve"> Includes S</w:t>
      </w:r>
      <w:r>
        <w:rPr>
          <w:i/>
        </w:rPr>
        <w:t>. anginosus, S. intermedius</w:t>
      </w:r>
      <w:r>
        <w:t xml:space="preserve"> and </w:t>
      </w:r>
      <w:r>
        <w:rPr>
          <w:i/>
        </w:rPr>
        <w:t>S. constellatus</w:t>
      </w:r>
      <w:r>
        <w:t>;</w:t>
      </w:r>
    </w:p>
    <w:p w:rsidR="00667608" w:rsidRDefault="00667608">
      <w:pPr>
        <w:pStyle w:val="A-Heading2"/>
      </w:pPr>
      <w:r>
        <w:t>Community-acquired pneumonia (CAP)</w:t>
      </w:r>
    </w:p>
    <w:p w:rsidR="00667608" w:rsidRDefault="00667608">
      <w:r>
        <w:t>The efficacy and safety of Zinforo in CAP was established in 2 randomized, multi-centre, multinational, double-blind, studies (FOCUS 1 and 2) comparing Zinforo [600 mg administered intravenously over 60 minutes every 12 hours] to ceftriaxone [1 g administered intravenously over 30 minutes every 24 hours].  The studies were identical except in one respect, in FOCUS 1 both treatment groups received 2 doses of oral clarithromycin (500 mg every 12 hours) as adjunctive therapy starting on Day 1.  No adjunctive macrolide therapy was used in FOCUS 2. Treatment duration was 5 - 7 days.</w:t>
      </w:r>
    </w:p>
    <w:p w:rsidR="00667608" w:rsidRDefault="00667608">
      <w:r>
        <w:t xml:space="preserve">A total of 1240 adults with new or progressive pulmonary infiltrate(s) on chest radiography with clinical signs and symptoms consistent with CAP of the Pneumonia Outcomes Research Team (PORT) risk class III or IV with the need for hospitalization (but not admitted to ICU) and IV therapy were enrolled in the studies.  A key exclusion criterion included patients infected with pathogens known or suspected to be resistant to ceftaroline and ceftriaxone, such as atypical pathogens or </w:t>
      </w:r>
      <w:r>
        <w:rPr>
          <w:i/>
        </w:rPr>
        <w:t xml:space="preserve">Pseudomonas </w:t>
      </w:r>
      <w:r>
        <w:t xml:space="preserve">spp.  In addition, patients with suspected or confirmed MRSA infections were excluded due to lack of activity of ceftriaxone against this pathogen.  Other exclusion criteria included immunosuppressed patients, patients with severe </w:t>
      </w:r>
      <w:r>
        <w:lastRenderedPageBreak/>
        <w:t>sepsis/septic shock and patients with severe underlying lung disease.  Approximately 38% of patients had a PORT score of IV and 30% had severe CAP as per the modified American Thoracic Society (ATS) criteria.  The majority of patients (75%) had SIRS, with 36% with hypoxia, 19% with pleural effusion and 28% with multilobar infiltrates.  The most common co-morbid conditions were structural lung disease (~25%), diabetes (~15%), cardiac impairment (~33%) and renal impairment (~50%; CrCl </w:t>
      </w:r>
      <w:r>
        <w:rPr>
          <w:rFonts w:cs="Arial"/>
        </w:rPr>
        <w:t>≤</w:t>
      </w:r>
      <w:r>
        <w:t>80 mL/min).  Approximately 48% of patients were 65 years or older.  The median treatment duration was 7.0 days (range: 1-8) in both treatment arms, with the majority of patients receiving 5-7 days treatment.</w:t>
      </w:r>
    </w:p>
    <w:p w:rsidR="00667608" w:rsidRDefault="00667608">
      <w:pPr>
        <w:rPr>
          <w:lang w:val="en-US"/>
        </w:rPr>
      </w:pPr>
      <w:r>
        <w:t>The modified intent-to-treat efficacy (MITTE) population included all patients who received any amount of study drug according to their randomized treatment group and were in PORT risk class III or IV.  The CE population included patients in the MITTE population with sufficient adherence to the protocol.  The primary efficacy endpoint was the clinical response at the TOC visit in the co-primary populations of the CE and MITTE populations.</w:t>
      </w:r>
    </w:p>
    <w:p w:rsidR="00FC26E7" w:rsidRDefault="00667608" w:rsidP="00FC26E7">
      <w:pPr>
        <w:rPr>
          <w:szCs w:val="24"/>
        </w:rPr>
      </w:pPr>
      <w:r>
        <w:rPr>
          <w:szCs w:val="24"/>
        </w:rPr>
        <w:t xml:space="preserve">Zinforo demonstrated high clinical cure and microbiological success rates (see </w:t>
      </w:r>
      <w:fldSimple w:instr=" REF _Ref289783025 \h  \* MERGEFORMAT ">
        <w:r>
          <w:t xml:space="preserve">Table </w:t>
        </w:r>
        <w:r>
          <w:rPr>
            <w:noProof/>
          </w:rPr>
          <w:t>4</w:t>
        </w:r>
      </w:fldSimple>
      <w:r>
        <w:rPr>
          <w:szCs w:val="24"/>
        </w:rPr>
        <w:t xml:space="preserve">) and was efficacious against CAP caused by </w:t>
      </w:r>
      <w:r>
        <w:rPr>
          <w:i/>
          <w:szCs w:val="24"/>
        </w:rPr>
        <w:t>S. pneumoniae</w:t>
      </w:r>
      <w:r>
        <w:rPr>
          <w:szCs w:val="24"/>
        </w:rPr>
        <w:t xml:space="preserve"> and other common CAP pathogens (see </w:t>
      </w:r>
      <w:fldSimple w:instr=" REF _Ref276557438 \h  \* MERGEFORMAT ">
        <w:r>
          <w:rPr>
            <w:szCs w:val="24"/>
          </w:rPr>
          <w:t>Table 5</w:t>
        </w:r>
      </w:fldSimple>
      <w:r>
        <w:rPr>
          <w:szCs w:val="24"/>
        </w:rPr>
        <w:t>).</w:t>
      </w:r>
      <w:bookmarkStart w:id="4" w:name="_Ref276557431"/>
      <w:bookmarkStart w:id="5" w:name="_Ref289783025"/>
    </w:p>
    <w:p w:rsidR="00667608" w:rsidRDefault="00FC26E7" w:rsidP="00FC26E7">
      <w:pPr>
        <w:pStyle w:val="A-TableTitle"/>
      </w:pPr>
      <w:r>
        <w:rPr>
          <w:szCs w:val="24"/>
        </w:rPr>
        <w:br w:type="page"/>
      </w:r>
      <w:r w:rsidR="00667608">
        <w:lastRenderedPageBreak/>
        <w:t xml:space="preserve">Table </w:t>
      </w:r>
      <w:fldSimple w:instr=" SEQ Table \* ARABIC ">
        <w:r w:rsidR="00667608">
          <w:rPr>
            <w:noProof/>
          </w:rPr>
          <w:t>4</w:t>
        </w:r>
      </w:fldSimple>
      <w:bookmarkEnd w:id="4"/>
      <w:bookmarkEnd w:id="5"/>
      <w:r w:rsidR="00667608">
        <w:tab/>
        <w:t>Clinical cure and microbiological response rates at test of cure (TOC) for CAP studies (CE, MITTE and/or ME populations)</w:t>
      </w:r>
    </w:p>
    <w:tbl>
      <w:tblPr>
        <w:tblW w:w="0" w:type="auto"/>
        <w:tblLayout w:type="fixed"/>
        <w:tblLook w:val="0000"/>
      </w:tblPr>
      <w:tblGrid>
        <w:gridCol w:w="3588"/>
        <w:gridCol w:w="1623"/>
        <w:gridCol w:w="1560"/>
        <w:gridCol w:w="2235"/>
      </w:tblGrid>
      <w:tr w:rsidR="00667608">
        <w:trPr>
          <w:cantSplit/>
          <w:tblHeader/>
        </w:trPr>
        <w:tc>
          <w:tcPr>
            <w:tcW w:w="3588" w:type="dxa"/>
            <w:tcBorders>
              <w:top w:val="single" w:sz="12" w:space="0" w:color="auto"/>
              <w:bottom w:val="single" w:sz="6" w:space="0" w:color="auto"/>
            </w:tcBorders>
          </w:tcPr>
          <w:p w:rsidR="00667608" w:rsidRDefault="00667608">
            <w:pPr>
              <w:pStyle w:val="A-TableHeader"/>
            </w:pPr>
          </w:p>
        </w:tc>
        <w:tc>
          <w:tcPr>
            <w:tcW w:w="1623" w:type="dxa"/>
            <w:tcBorders>
              <w:top w:val="single" w:sz="12" w:space="0" w:color="auto"/>
              <w:bottom w:val="single" w:sz="6" w:space="0" w:color="auto"/>
            </w:tcBorders>
          </w:tcPr>
          <w:p w:rsidR="00667608" w:rsidRDefault="00667608">
            <w:pPr>
              <w:pStyle w:val="A-TableHeader"/>
              <w:jc w:val="center"/>
            </w:pPr>
            <w:r>
              <w:t>Zinforo</w:t>
            </w:r>
            <w:r>
              <w:br/>
              <w:t>n/N (%)</w:t>
            </w:r>
          </w:p>
        </w:tc>
        <w:tc>
          <w:tcPr>
            <w:tcW w:w="1560" w:type="dxa"/>
            <w:tcBorders>
              <w:top w:val="single" w:sz="12" w:space="0" w:color="auto"/>
              <w:bottom w:val="single" w:sz="6" w:space="0" w:color="auto"/>
            </w:tcBorders>
          </w:tcPr>
          <w:p w:rsidR="00667608" w:rsidRDefault="00667608">
            <w:pPr>
              <w:pStyle w:val="A-TableHeader"/>
              <w:jc w:val="center"/>
            </w:pPr>
            <w:r>
              <w:t>Ceftriaxone</w:t>
            </w:r>
            <w:r>
              <w:br/>
              <w:t>n/N (%)</w:t>
            </w:r>
          </w:p>
        </w:tc>
        <w:tc>
          <w:tcPr>
            <w:tcW w:w="2235" w:type="dxa"/>
            <w:tcBorders>
              <w:top w:val="single" w:sz="12" w:space="0" w:color="auto"/>
              <w:bottom w:val="single" w:sz="6" w:space="0" w:color="auto"/>
            </w:tcBorders>
          </w:tcPr>
          <w:p w:rsidR="00667608" w:rsidRDefault="00667608">
            <w:pPr>
              <w:pStyle w:val="A-TableHeader"/>
              <w:jc w:val="center"/>
            </w:pPr>
            <w:r>
              <w:t>Treatment difference (95% CI)</w:t>
            </w:r>
          </w:p>
        </w:tc>
      </w:tr>
      <w:tr w:rsidR="00667608">
        <w:trPr>
          <w:cantSplit/>
        </w:trPr>
        <w:tc>
          <w:tcPr>
            <w:tcW w:w="3588" w:type="dxa"/>
            <w:tcBorders>
              <w:top w:val="single" w:sz="6" w:space="0" w:color="auto"/>
            </w:tcBorders>
          </w:tcPr>
          <w:p w:rsidR="00667608" w:rsidRDefault="00667608">
            <w:pPr>
              <w:pStyle w:val="A-TableText"/>
              <w:rPr>
                <w:b/>
                <w:sz w:val="20"/>
              </w:rPr>
            </w:pPr>
            <w:r>
              <w:rPr>
                <w:b/>
                <w:sz w:val="20"/>
              </w:rPr>
              <w:t>FOCUS 1 clinical cure rate</w:t>
            </w:r>
          </w:p>
        </w:tc>
        <w:tc>
          <w:tcPr>
            <w:tcW w:w="1623" w:type="dxa"/>
            <w:tcBorders>
              <w:top w:val="single" w:sz="6" w:space="0" w:color="auto"/>
            </w:tcBorders>
          </w:tcPr>
          <w:p w:rsidR="00667608" w:rsidRDefault="00667608">
            <w:pPr>
              <w:pStyle w:val="A-TableText"/>
              <w:jc w:val="center"/>
              <w:rPr>
                <w:sz w:val="20"/>
              </w:rPr>
            </w:pPr>
          </w:p>
        </w:tc>
        <w:tc>
          <w:tcPr>
            <w:tcW w:w="1560" w:type="dxa"/>
            <w:tcBorders>
              <w:top w:val="single" w:sz="6" w:space="0" w:color="auto"/>
            </w:tcBorders>
          </w:tcPr>
          <w:p w:rsidR="00667608" w:rsidRDefault="00667608">
            <w:pPr>
              <w:pStyle w:val="A-TableText"/>
              <w:jc w:val="center"/>
              <w:rPr>
                <w:sz w:val="20"/>
              </w:rPr>
            </w:pPr>
          </w:p>
        </w:tc>
        <w:tc>
          <w:tcPr>
            <w:tcW w:w="2235" w:type="dxa"/>
            <w:tcBorders>
              <w:top w:val="single" w:sz="6" w:space="0" w:color="auto"/>
            </w:tcBorders>
          </w:tcPr>
          <w:p w:rsidR="00667608" w:rsidRDefault="00667608">
            <w:pPr>
              <w:pStyle w:val="A-TableText"/>
              <w:jc w:val="center"/>
              <w:rPr>
                <w:sz w:val="20"/>
              </w:rPr>
            </w:pPr>
          </w:p>
        </w:tc>
      </w:tr>
      <w:tr w:rsidR="00667608">
        <w:trPr>
          <w:cantSplit/>
        </w:trPr>
        <w:tc>
          <w:tcPr>
            <w:tcW w:w="3588" w:type="dxa"/>
          </w:tcPr>
          <w:p w:rsidR="00667608" w:rsidRDefault="00667608">
            <w:pPr>
              <w:pStyle w:val="A-TableText"/>
              <w:rPr>
                <w:sz w:val="20"/>
              </w:rPr>
            </w:pPr>
            <w:r>
              <w:rPr>
                <w:sz w:val="20"/>
              </w:rPr>
              <w:t>CE</w:t>
            </w:r>
          </w:p>
        </w:tc>
        <w:tc>
          <w:tcPr>
            <w:tcW w:w="1623" w:type="dxa"/>
          </w:tcPr>
          <w:p w:rsidR="00667608" w:rsidRDefault="00667608">
            <w:pPr>
              <w:pStyle w:val="A-TableText"/>
              <w:jc w:val="center"/>
              <w:rPr>
                <w:sz w:val="20"/>
              </w:rPr>
            </w:pPr>
            <w:r>
              <w:rPr>
                <w:sz w:val="20"/>
              </w:rPr>
              <w:t>194/224 (86.6)</w:t>
            </w:r>
          </w:p>
        </w:tc>
        <w:tc>
          <w:tcPr>
            <w:tcW w:w="1560" w:type="dxa"/>
          </w:tcPr>
          <w:p w:rsidR="00667608" w:rsidRDefault="00667608">
            <w:pPr>
              <w:pStyle w:val="A-TableText"/>
              <w:jc w:val="center"/>
              <w:rPr>
                <w:sz w:val="20"/>
              </w:rPr>
            </w:pPr>
            <w:r>
              <w:rPr>
                <w:sz w:val="20"/>
              </w:rPr>
              <w:t>183/234 (78.2)</w:t>
            </w:r>
          </w:p>
        </w:tc>
        <w:tc>
          <w:tcPr>
            <w:tcW w:w="2235" w:type="dxa"/>
          </w:tcPr>
          <w:p w:rsidR="00667608" w:rsidRDefault="00667608">
            <w:pPr>
              <w:pStyle w:val="A-TableText"/>
              <w:jc w:val="center"/>
              <w:rPr>
                <w:sz w:val="20"/>
              </w:rPr>
            </w:pPr>
            <w:r>
              <w:rPr>
                <w:sz w:val="20"/>
              </w:rPr>
              <w:t>8.4 (1.4, 15.4)</w:t>
            </w:r>
          </w:p>
        </w:tc>
      </w:tr>
      <w:tr w:rsidR="00667608">
        <w:trPr>
          <w:cantSplit/>
        </w:trPr>
        <w:tc>
          <w:tcPr>
            <w:tcW w:w="3588" w:type="dxa"/>
            <w:tcBorders>
              <w:bottom w:val="single" w:sz="4" w:space="0" w:color="auto"/>
            </w:tcBorders>
          </w:tcPr>
          <w:p w:rsidR="00667608" w:rsidRDefault="00667608">
            <w:pPr>
              <w:pStyle w:val="A-TableText"/>
              <w:rPr>
                <w:sz w:val="20"/>
              </w:rPr>
            </w:pPr>
            <w:r>
              <w:rPr>
                <w:sz w:val="20"/>
              </w:rPr>
              <w:t>MITTE</w:t>
            </w:r>
          </w:p>
        </w:tc>
        <w:tc>
          <w:tcPr>
            <w:tcW w:w="1623" w:type="dxa"/>
            <w:tcBorders>
              <w:bottom w:val="single" w:sz="4" w:space="0" w:color="auto"/>
            </w:tcBorders>
          </w:tcPr>
          <w:p w:rsidR="00667608" w:rsidRDefault="00667608">
            <w:pPr>
              <w:pStyle w:val="A-TableText"/>
              <w:jc w:val="center"/>
              <w:rPr>
                <w:sz w:val="20"/>
              </w:rPr>
            </w:pPr>
            <w:r>
              <w:rPr>
                <w:sz w:val="20"/>
              </w:rPr>
              <w:t>244/291 (83.8)</w:t>
            </w:r>
          </w:p>
        </w:tc>
        <w:tc>
          <w:tcPr>
            <w:tcW w:w="1560" w:type="dxa"/>
            <w:tcBorders>
              <w:bottom w:val="single" w:sz="4" w:space="0" w:color="auto"/>
            </w:tcBorders>
          </w:tcPr>
          <w:p w:rsidR="00667608" w:rsidRDefault="00667608">
            <w:pPr>
              <w:pStyle w:val="A-TableText"/>
              <w:jc w:val="center"/>
              <w:rPr>
                <w:sz w:val="20"/>
              </w:rPr>
            </w:pPr>
            <w:r>
              <w:rPr>
                <w:sz w:val="20"/>
              </w:rPr>
              <w:t>233/300 (77.7)</w:t>
            </w:r>
          </w:p>
        </w:tc>
        <w:tc>
          <w:tcPr>
            <w:tcW w:w="2235" w:type="dxa"/>
            <w:tcBorders>
              <w:bottom w:val="single" w:sz="4" w:space="0" w:color="auto"/>
            </w:tcBorders>
          </w:tcPr>
          <w:p w:rsidR="00667608" w:rsidRDefault="00667608">
            <w:pPr>
              <w:pStyle w:val="A-TableText"/>
              <w:jc w:val="center"/>
              <w:rPr>
                <w:sz w:val="20"/>
              </w:rPr>
            </w:pPr>
            <w:r>
              <w:rPr>
                <w:sz w:val="20"/>
              </w:rPr>
              <w:t>6.2 (-0.2, 12.6)</w:t>
            </w:r>
          </w:p>
        </w:tc>
      </w:tr>
      <w:tr w:rsidR="00667608">
        <w:trPr>
          <w:cantSplit/>
        </w:trPr>
        <w:tc>
          <w:tcPr>
            <w:tcW w:w="3588" w:type="dxa"/>
            <w:tcBorders>
              <w:top w:val="single" w:sz="4" w:space="0" w:color="auto"/>
            </w:tcBorders>
          </w:tcPr>
          <w:p w:rsidR="00667608" w:rsidRDefault="00667608">
            <w:pPr>
              <w:pStyle w:val="A-TableText"/>
              <w:rPr>
                <w:b/>
                <w:sz w:val="20"/>
              </w:rPr>
            </w:pPr>
            <w:r>
              <w:rPr>
                <w:b/>
                <w:sz w:val="20"/>
              </w:rPr>
              <w:t>FOCUS 2 clinical cure rate</w:t>
            </w:r>
          </w:p>
        </w:tc>
        <w:tc>
          <w:tcPr>
            <w:tcW w:w="1623" w:type="dxa"/>
            <w:tcBorders>
              <w:top w:val="single" w:sz="4" w:space="0" w:color="auto"/>
            </w:tcBorders>
          </w:tcPr>
          <w:p w:rsidR="00667608" w:rsidRDefault="00667608">
            <w:pPr>
              <w:pStyle w:val="A-TableText"/>
              <w:jc w:val="center"/>
              <w:rPr>
                <w:sz w:val="20"/>
              </w:rPr>
            </w:pPr>
          </w:p>
        </w:tc>
        <w:tc>
          <w:tcPr>
            <w:tcW w:w="1560" w:type="dxa"/>
            <w:tcBorders>
              <w:top w:val="single" w:sz="4" w:space="0" w:color="auto"/>
            </w:tcBorders>
          </w:tcPr>
          <w:p w:rsidR="00667608" w:rsidRDefault="00667608">
            <w:pPr>
              <w:pStyle w:val="A-TableText"/>
              <w:jc w:val="center"/>
              <w:rPr>
                <w:sz w:val="20"/>
              </w:rPr>
            </w:pPr>
          </w:p>
        </w:tc>
        <w:tc>
          <w:tcPr>
            <w:tcW w:w="2235" w:type="dxa"/>
            <w:tcBorders>
              <w:top w:val="single" w:sz="4" w:space="0" w:color="auto"/>
            </w:tcBorders>
          </w:tcPr>
          <w:p w:rsidR="00667608" w:rsidRDefault="00667608">
            <w:pPr>
              <w:pStyle w:val="A-TableText"/>
              <w:jc w:val="center"/>
              <w:rPr>
                <w:sz w:val="20"/>
              </w:rPr>
            </w:pPr>
          </w:p>
        </w:tc>
      </w:tr>
      <w:tr w:rsidR="00667608">
        <w:trPr>
          <w:cantSplit/>
        </w:trPr>
        <w:tc>
          <w:tcPr>
            <w:tcW w:w="3588" w:type="dxa"/>
          </w:tcPr>
          <w:p w:rsidR="00667608" w:rsidRDefault="00667608">
            <w:pPr>
              <w:pStyle w:val="A-TableText"/>
              <w:rPr>
                <w:sz w:val="20"/>
              </w:rPr>
            </w:pPr>
            <w:r>
              <w:rPr>
                <w:sz w:val="20"/>
              </w:rPr>
              <w:t>CE</w:t>
            </w:r>
          </w:p>
        </w:tc>
        <w:tc>
          <w:tcPr>
            <w:tcW w:w="1623" w:type="dxa"/>
          </w:tcPr>
          <w:p w:rsidR="00667608" w:rsidRDefault="00667608">
            <w:pPr>
              <w:pStyle w:val="A-TableText"/>
              <w:jc w:val="center"/>
              <w:rPr>
                <w:sz w:val="20"/>
              </w:rPr>
            </w:pPr>
            <w:r>
              <w:rPr>
                <w:sz w:val="20"/>
              </w:rPr>
              <w:t>193/235 (82.1)</w:t>
            </w:r>
          </w:p>
        </w:tc>
        <w:tc>
          <w:tcPr>
            <w:tcW w:w="1560" w:type="dxa"/>
          </w:tcPr>
          <w:p w:rsidR="00667608" w:rsidRDefault="00667608">
            <w:pPr>
              <w:pStyle w:val="A-TableText"/>
              <w:jc w:val="center"/>
              <w:rPr>
                <w:sz w:val="20"/>
              </w:rPr>
            </w:pPr>
            <w:r>
              <w:rPr>
                <w:sz w:val="20"/>
              </w:rPr>
              <w:t>166/215 (77.2)</w:t>
            </w:r>
          </w:p>
        </w:tc>
        <w:tc>
          <w:tcPr>
            <w:tcW w:w="2235" w:type="dxa"/>
          </w:tcPr>
          <w:p w:rsidR="00667608" w:rsidRDefault="00667608">
            <w:pPr>
              <w:pStyle w:val="A-TableText"/>
              <w:jc w:val="center"/>
              <w:rPr>
                <w:sz w:val="20"/>
              </w:rPr>
            </w:pPr>
            <w:r>
              <w:rPr>
                <w:sz w:val="20"/>
              </w:rPr>
              <w:t>4.9 (-2.5, 12.5)</w:t>
            </w:r>
          </w:p>
        </w:tc>
      </w:tr>
      <w:tr w:rsidR="00667608">
        <w:trPr>
          <w:cantSplit/>
        </w:trPr>
        <w:tc>
          <w:tcPr>
            <w:tcW w:w="3588" w:type="dxa"/>
            <w:tcBorders>
              <w:bottom w:val="single" w:sz="4" w:space="0" w:color="auto"/>
            </w:tcBorders>
          </w:tcPr>
          <w:p w:rsidR="00667608" w:rsidRDefault="00667608">
            <w:pPr>
              <w:pStyle w:val="A-TableText"/>
              <w:rPr>
                <w:sz w:val="20"/>
              </w:rPr>
            </w:pPr>
            <w:r>
              <w:rPr>
                <w:sz w:val="20"/>
              </w:rPr>
              <w:t>MITTE</w:t>
            </w:r>
          </w:p>
        </w:tc>
        <w:tc>
          <w:tcPr>
            <w:tcW w:w="1623" w:type="dxa"/>
            <w:tcBorders>
              <w:bottom w:val="single" w:sz="4" w:space="0" w:color="auto"/>
            </w:tcBorders>
          </w:tcPr>
          <w:p w:rsidR="00667608" w:rsidRDefault="00667608">
            <w:pPr>
              <w:pStyle w:val="A-TableText"/>
              <w:jc w:val="center"/>
              <w:rPr>
                <w:sz w:val="20"/>
              </w:rPr>
            </w:pPr>
            <w:r>
              <w:rPr>
                <w:sz w:val="20"/>
              </w:rPr>
              <w:t>235/289 (81.3)</w:t>
            </w:r>
          </w:p>
        </w:tc>
        <w:tc>
          <w:tcPr>
            <w:tcW w:w="1560" w:type="dxa"/>
            <w:tcBorders>
              <w:bottom w:val="single" w:sz="4" w:space="0" w:color="auto"/>
            </w:tcBorders>
          </w:tcPr>
          <w:p w:rsidR="00667608" w:rsidRDefault="00667608">
            <w:pPr>
              <w:pStyle w:val="A-TableText"/>
              <w:jc w:val="center"/>
              <w:rPr>
                <w:sz w:val="20"/>
              </w:rPr>
            </w:pPr>
            <w:r>
              <w:rPr>
                <w:sz w:val="20"/>
              </w:rPr>
              <w:t>206/273 (75.5)</w:t>
            </w:r>
          </w:p>
        </w:tc>
        <w:tc>
          <w:tcPr>
            <w:tcW w:w="2235" w:type="dxa"/>
            <w:tcBorders>
              <w:bottom w:val="single" w:sz="4" w:space="0" w:color="auto"/>
            </w:tcBorders>
          </w:tcPr>
          <w:p w:rsidR="00667608" w:rsidRDefault="00667608">
            <w:pPr>
              <w:pStyle w:val="A-TableText"/>
              <w:jc w:val="center"/>
              <w:rPr>
                <w:sz w:val="20"/>
              </w:rPr>
            </w:pPr>
            <w:r>
              <w:rPr>
                <w:sz w:val="20"/>
              </w:rPr>
              <w:t>5.9 (-1.0, 12.7)</w:t>
            </w:r>
          </w:p>
        </w:tc>
      </w:tr>
      <w:tr w:rsidR="00667608">
        <w:trPr>
          <w:cantSplit/>
        </w:trPr>
        <w:tc>
          <w:tcPr>
            <w:tcW w:w="3588" w:type="dxa"/>
            <w:tcBorders>
              <w:top w:val="single" w:sz="4" w:space="0" w:color="auto"/>
            </w:tcBorders>
          </w:tcPr>
          <w:p w:rsidR="00667608" w:rsidRDefault="00667608">
            <w:pPr>
              <w:pStyle w:val="A-TableText"/>
              <w:rPr>
                <w:b/>
                <w:sz w:val="20"/>
              </w:rPr>
            </w:pPr>
            <w:r>
              <w:rPr>
                <w:b/>
                <w:sz w:val="20"/>
              </w:rPr>
              <w:t>Pooled data</w:t>
            </w:r>
          </w:p>
        </w:tc>
        <w:tc>
          <w:tcPr>
            <w:tcW w:w="1623" w:type="dxa"/>
            <w:tcBorders>
              <w:top w:val="single" w:sz="4" w:space="0" w:color="auto"/>
            </w:tcBorders>
          </w:tcPr>
          <w:p w:rsidR="00667608" w:rsidRDefault="00667608">
            <w:pPr>
              <w:pStyle w:val="A-TableText"/>
              <w:jc w:val="center"/>
              <w:rPr>
                <w:sz w:val="20"/>
              </w:rPr>
            </w:pPr>
          </w:p>
        </w:tc>
        <w:tc>
          <w:tcPr>
            <w:tcW w:w="1560" w:type="dxa"/>
            <w:tcBorders>
              <w:top w:val="single" w:sz="4" w:space="0" w:color="auto"/>
            </w:tcBorders>
          </w:tcPr>
          <w:p w:rsidR="00667608" w:rsidRDefault="00667608">
            <w:pPr>
              <w:pStyle w:val="A-TableText"/>
              <w:jc w:val="center"/>
              <w:rPr>
                <w:sz w:val="20"/>
              </w:rPr>
            </w:pPr>
          </w:p>
        </w:tc>
        <w:tc>
          <w:tcPr>
            <w:tcW w:w="2235" w:type="dxa"/>
            <w:tcBorders>
              <w:top w:val="single" w:sz="4" w:space="0" w:color="auto"/>
            </w:tcBorders>
          </w:tcPr>
          <w:p w:rsidR="00667608" w:rsidRDefault="00667608">
            <w:pPr>
              <w:pStyle w:val="A-TableText"/>
              <w:jc w:val="center"/>
              <w:rPr>
                <w:sz w:val="20"/>
              </w:rPr>
            </w:pPr>
          </w:p>
        </w:tc>
      </w:tr>
      <w:tr w:rsidR="00667608">
        <w:trPr>
          <w:cantSplit/>
        </w:trPr>
        <w:tc>
          <w:tcPr>
            <w:tcW w:w="3588" w:type="dxa"/>
          </w:tcPr>
          <w:p w:rsidR="00667608" w:rsidRDefault="00667608">
            <w:pPr>
              <w:pStyle w:val="A-TableText"/>
              <w:rPr>
                <w:i/>
                <w:sz w:val="20"/>
              </w:rPr>
            </w:pPr>
            <w:r>
              <w:rPr>
                <w:i/>
                <w:sz w:val="20"/>
              </w:rPr>
              <w:t>Clinical cure rate</w:t>
            </w:r>
          </w:p>
        </w:tc>
        <w:tc>
          <w:tcPr>
            <w:tcW w:w="1623" w:type="dxa"/>
          </w:tcPr>
          <w:p w:rsidR="00667608" w:rsidRDefault="00667608">
            <w:pPr>
              <w:pStyle w:val="A-TableText"/>
              <w:jc w:val="center"/>
              <w:rPr>
                <w:sz w:val="20"/>
              </w:rPr>
            </w:pPr>
          </w:p>
        </w:tc>
        <w:tc>
          <w:tcPr>
            <w:tcW w:w="1560" w:type="dxa"/>
          </w:tcPr>
          <w:p w:rsidR="00667608" w:rsidRDefault="00667608">
            <w:pPr>
              <w:pStyle w:val="A-TableText"/>
              <w:jc w:val="center"/>
              <w:rPr>
                <w:sz w:val="20"/>
              </w:rPr>
            </w:pPr>
          </w:p>
        </w:tc>
        <w:tc>
          <w:tcPr>
            <w:tcW w:w="2235" w:type="dxa"/>
          </w:tcPr>
          <w:p w:rsidR="00667608" w:rsidRDefault="00667608">
            <w:pPr>
              <w:pStyle w:val="A-TableText"/>
              <w:jc w:val="center"/>
              <w:rPr>
                <w:sz w:val="20"/>
              </w:rPr>
            </w:pPr>
          </w:p>
        </w:tc>
      </w:tr>
      <w:tr w:rsidR="00667608">
        <w:trPr>
          <w:cantSplit/>
        </w:trPr>
        <w:tc>
          <w:tcPr>
            <w:tcW w:w="3588" w:type="dxa"/>
          </w:tcPr>
          <w:p w:rsidR="00667608" w:rsidRDefault="00667608">
            <w:pPr>
              <w:pStyle w:val="A-TableText"/>
              <w:tabs>
                <w:tab w:val="left" w:pos="360"/>
              </w:tabs>
              <w:rPr>
                <w:sz w:val="20"/>
              </w:rPr>
            </w:pPr>
            <w:r>
              <w:rPr>
                <w:sz w:val="20"/>
              </w:rPr>
              <w:t>CE</w:t>
            </w:r>
            <w:r>
              <w:rPr>
                <w:sz w:val="20"/>
              </w:rPr>
              <w:tab/>
              <w:t>Overall</w:t>
            </w:r>
          </w:p>
        </w:tc>
        <w:tc>
          <w:tcPr>
            <w:tcW w:w="1623" w:type="dxa"/>
          </w:tcPr>
          <w:p w:rsidR="00667608" w:rsidRDefault="00667608">
            <w:pPr>
              <w:pStyle w:val="A-TableText"/>
              <w:jc w:val="center"/>
              <w:rPr>
                <w:sz w:val="20"/>
              </w:rPr>
            </w:pPr>
            <w:r>
              <w:rPr>
                <w:sz w:val="20"/>
              </w:rPr>
              <w:t>387/459 (84.3)</w:t>
            </w:r>
          </w:p>
        </w:tc>
        <w:tc>
          <w:tcPr>
            <w:tcW w:w="1560" w:type="dxa"/>
          </w:tcPr>
          <w:p w:rsidR="00667608" w:rsidRDefault="00667608">
            <w:pPr>
              <w:pStyle w:val="A-TableText"/>
              <w:jc w:val="center"/>
              <w:rPr>
                <w:sz w:val="20"/>
              </w:rPr>
            </w:pPr>
            <w:r>
              <w:rPr>
                <w:sz w:val="20"/>
              </w:rPr>
              <w:t>349/449 (77.7)</w:t>
            </w:r>
          </w:p>
        </w:tc>
        <w:tc>
          <w:tcPr>
            <w:tcW w:w="2235" w:type="dxa"/>
          </w:tcPr>
          <w:p w:rsidR="00667608" w:rsidRDefault="00667608">
            <w:pPr>
              <w:pStyle w:val="A-TableText"/>
              <w:jc w:val="center"/>
              <w:rPr>
                <w:sz w:val="20"/>
              </w:rPr>
            </w:pPr>
            <w:r>
              <w:rPr>
                <w:sz w:val="20"/>
              </w:rPr>
              <w:t>6.7 (1.6, 11.8)</w:t>
            </w:r>
            <w:r>
              <w:rPr>
                <w:sz w:val="20"/>
                <w:vertAlign w:val="superscript"/>
              </w:rPr>
              <w:t xml:space="preserve"> a</w:t>
            </w:r>
          </w:p>
        </w:tc>
      </w:tr>
      <w:tr w:rsidR="00667608">
        <w:trPr>
          <w:cantSplit/>
        </w:trPr>
        <w:tc>
          <w:tcPr>
            <w:tcW w:w="3588" w:type="dxa"/>
          </w:tcPr>
          <w:p w:rsidR="00667608" w:rsidRDefault="00667608">
            <w:pPr>
              <w:pStyle w:val="A-TableText"/>
              <w:tabs>
                <w:tab w:val="left" w:pos="360"/>
              </w:tabs>
              <w:rPr>
                <w:sz w:val="20"/>
              </w:rPr>
            </w:pPr>
            <w:r>
              <w:rPr>
                <w:sz w:val="20"/>
              </w:rPr>
              <w:t>CE by selected sub-groups *</w:t>
            </w:r>
          </w:p>
        </w:tc>
        <w:tc>
          <w:tcPr>
            <w:tcW w:w="1623" w:type="dxa"/>
          </w:tcPr>
          <w:p w:rsidR="00667608" w:rsidRDefault="00667608">
            <w:pPr>
              <w:pStyle w:val="A-TableText"/>
              <w:jc w:val="center"/>
              <w:rPr>
                <w:sz w:val="20"/>
              </w:rPr>
            </w:pPr>
          </w:p>
        </w:tc>
        <w:tc>
          <w:tcPr>
            <w:tcW w:w="1560" w:type="dxa"/>
          </w:tcPr>
          <w:p w:rsidR="00667608" w:rsidRDefault="00667608">
            <w:pPr>
              <w:pStyle w:val="A-TableText"/>
              <w:jc w:val="center"/>
              <w:rPr>
                <w:sz w:val="20"/>
              </w:rPr>
            </w:pPr>
          </w:p>
        </w:tc>
        <w:tc>
          <w:tcPr>
            <w:tcW w:w="2235" w:type="dxa"/>
          </w:tcPr>
          <w:p w:rsidR="00667608" w:rsidRDefault="00667608">
            <w:pPr>
              <w:pStyle w:val="A-TableText"/>
              <w:jc w:val="center"/>
              <w:rPr>
                <w:sz w:val="20"/>
              </w:rPr>
            </w:pPr>
          </w:p>
        </w:tc>
      </w:tr>
      <w:tr w:rsidR="00667608">
        <w:trPr>
          <w:cantSplit/>
        </w:trPr>
        <w:tc>
          <w:tcPr>
            <w:tcW w:w="3588" w:type="dxa"/>
          </w:tcPr>
          <w:p w:rsidR="00667608" w:rsidRDefault="00667608">
            <w:pPr>
              <w:pStyle w:val="A-TableText"/>
              <w:numPr>
                <w:ilvl w:val="0"/>
                <w:numId w:val="6"/>
              </w:numPr>
              <w:tabs>
                <w:tab w:val="left" w:pos="360"/>
              </w:tabs>
              <w:ind w:left="284" w:hanging="284"/>
              <w:rPr>
                <w:sz w:val="20"/>
              </w:rPr>
            </w:pPr>
            <w:r>
              <w:rPr>
                <w:sz w:val="20"/>
              </w:rPr>
              <w:t>PORT III</w:t>
            </w:r>
          </w:p>
        </w:tc>
        <w:tc>
          <w:tcPr>
            <w:tcW w:w="1623" w:type="dxa"/>
          </w:tcPr>
          <w:p w:rsidR="00667608" w:rsidRDefault="00667608">
            <w:pPr>
              <w:pStyle w:val="A-TableText"/>
              <w:jc w:val="center"/>
              <w:rPr>
                <w:sz w:val="20"/>
              </w:rPr>
            </w:pPr>
            <w:r>
              <w:rPr>
                <w:sz w:val="20"/>
              </w:rPr>
              <w:t>249/287 (86.8)</w:t>
            </w:r>
          </w:p>
        </w:tc>
        <w:tc>
          <w:tcPr>
            <w:tcW w:w="1560" w:type="dxa"/>
          </w:tcPr>
          <w:p w:rsidR="00667608" w:rsidRDefault="00667608">
            <w:pPr>
              <w:pStyle w:val="A-TableText"/>
              <w:jc w:val="center"/>
              <w:rPr>
                <w:sz w:val="20"/>
              </w:rPr>
            </w:pPr>
            <w:r>
              <w:rPr>
                <w:sz w:val="20"/>
              </w:rPr>
              <w:t>217/274 (79.2)</w:t>
            </w:r>
          </w:p>
        </w:tc>
        <w:tc>
          <w:tcPr>
            <w:tcW w:w="2235" w:type="dxa"/>
          </w:tcPr>
          <w:p w:rsidR="00667608" w:rsidRDefault="00667608">
            <w:pPr>
              <w:pStyle w:val="A-TableText"/>
              <w:jc w:val="center"/>
              <w:rPr>
                <w:sz w:val="20"/>
              </w:rPr>
            </w:pPr>
            <w:r>
              <w:rPr>
                <w:sz w:val="20"/>
              </w:rPr>
              <w:t>7.5 (1.3, 13.8)</w:t>
            </w:r>
            <w:r>
              <w:rPr>
                <w:sz w:val="20"/>
                <w:vertAlign w:val="superscript"/>
              </w:rPr>
              <w:t xml:space="preserve"> a</w:t>
            </w:r>
          </w:p>
        </w:tc>
      </w:tr>
      <w:tr w:rsidR="00667608">
        <w:trPr>
          <w:cantSplit/>
        </w:trPr>
        <w:tc>
          <w:tcPr>
            <w:tcW w:w="3588" w:type="dxa"/>
          </w:tcPr>
          <w:p w:rsidR="00667608" w:rsidRDefault="00667608">
            <w:pPr>
              <w:pStyle w:val="A-TableText"/>
              <w:numPr>
                <w:ilvl w:val="0"/>
                <w:numId w:val="6"/>
              </w:numPr>
              <w:tabs>
                <w:tab w:val="left" w:pos="360"/>
              </w:tabs>
              <w:ind w:left="284" w:hanging="284"/>
              <w:rPr>
                <w:sz w:val="20"/>
              </w:rPr>
            </w:pPr>
            <w:r>
              <w:rPr>
                <w:sz w:val="20"/>
              </w:rPr>
              <w:t>PORT IV</w:t>
            </w:r>
          </w:p>
        </w:tc>
        <w:tc>
          <w:tcPr>
            <w:tcW w:w="1623" w:type="dxa"/>
          </w:tcPr>
          <w:p w:rsidR="00667608" w:rsidRDefault="00667608">
            <w:pPr>
              <w:pStyle w:val="A-TableText"/>
              <w:jc w:val="center"/>
              <w:rPr>
                <w:sz w:val="20"/>
              </w:rPr>
            </w:pPr>
            <w:r>
              <w:rPr>
                <w:sz w:val="20"/>
              </w:rPr>
              <w:t>138/172 (80.2)</w:t>
            </w:r>
          </w:p>
        </w:tc>
        <w:tc>
          <w:tcPr>
            <w:tcW w:w="1560" w:type="dxa"/>
          </w:tcPr>
          <w:p w:rsidR="00667608" w:rsidRDefault="00667608">
            <w:pPr>
              <w:pStyle w:val="A-TableText"/>
              <w:jc w:val="center"/>
              <w:rPr>
                <w:sz w:val="20"/>
              </w:rPr>
            </w:pPr>
            <w:r>
              <w:rPr>
                <w:sz w:val="20"/>
              </w:rPr>
              <w:t>132/175 (75.4)</w:t>
            </w:r>
          </w:p>
        </w:tc>
        <w:tc>
          <w:tcPr>
            <w:tcW w:w="2235" w:type="dxa"/>
          </w:tcPr>
          <w:p w:rsidR="00667608" w:rsidRDefault="00667608">
            <w:pPr>
              <w:pStyle w:val="A-TableText"/>
              <w:jc w:val="center"/>
              <w:rPr>
                <w:sz w:val="20"/>
              </w:rPr>
            </w:pPr>
            <w:r>
              <w:rPr>
                <w:sz w:val="20"/>
              </w:rPr>
              <w:t>4.7 (-4.1, 13.5)</w:t>
            </w:r>
            <w:r>
              <w:rPr>
                <w:sz w:val="20"/>
                <w:vertAlign w:val="superscript"/>
              </w:rPr>
              <w:t xml:space="preserve"> a</w:t>
            </w:r>
          </w:p>
        </w:tc>
      </w:tr>
      <w:tr w:rsidR="00667608">
        <w:trPr>
          <w:cantSplit/>
        </w:trPr>
        <w:tc>
          <w:tcPr>
            <w:tcW w:w="3588" w:type="dxa"/>
          </w:tcPr>
          <w:p w:rsidR="00667608" w:rsidRDefault="00667608">
            <w:pPr>
              <w:pStyle w:val="A-TableText"/>
              <w:numPr>
                <w:ilvl w:val="0"/>
                <w:numId w:val="6"/>
              </w:numPr>
              <w:tabs>
                <w:tab w:val="left" w:pos="360"/>
              </w:tabs>
              <w:ind w:left="284" w:hanging="284"/>
              <w:rPr>
                <w:sz w:val="20"/>
              </w:rPr>
            </w:pPr>
            <w:r>
              <w:rPr>
                <w:sz w:val="20"/>
              </w:rPr>
              <w:t>Presence of bacteraemia</w:t>
            </w:r>
          </w:p>
        </w:tc>
        <w:tc>
          <w:tcPr>
            <w:tcW w:w="1623" w:type="dxa"/>
          </w:tcPr>
          <w:p w:rsidR="00667608" w:rsidRDefault="00667608">
            <w:pPr>
              <w:pStyle w:val="A-TableText"/>
              <w:jc w:val="center"/>
              <w:rPr>
                <w:sz w:val="20"/>
              </w:rPr>
            </w:pPr>
            <w:r>
              <w:rPr>
                <w:sz w:val="20"/>
              </w:rPr>
              <w:t>15/21 (71.4)</w:t>
            </w:r>
          </w:p>
        </w:tc>
        <w:tc>
          <w:tcPr>
            <w:tcW w:w="1560" w:type="dxa"/>
          </w:tcPr>
          <w:p w:rsidR="00667608" w:rsidRDefault="00667608">
            <w:pPr>
              <w:pStyle w:val="A-TableText"/>
              <w:jc w:val="center"/>
              <w:rPr>
                <w:sz w:val="20"/>
              </w:rPr>
            </w:pPr>
            <w:r>
              <w:rPr>
                <w:sz w:val="20"/>
              </w:rPr>
              <w:t>10/17 (58.8)</w:t>
            </w:r>
          </w:p>
        </w:tc>
        <w:tc>
          <w:tcPr>
            <w:tcW w:w="2235" w:type="dxa"/>
          </w:tcPr>
          <w:p w:rsidR="00667608" w:rsidRDefault="00667608">
            <w:pPr>
              <w:pStyle w:val="A-TableText"/>
              <w:jc w:val="center"/>
              <w:rPr>
                <w:sz w:val="20"/>
              </w:rPr>
            </w:pPr>
            <w:r>
              <w:rPr>
                <w:sz w:val="20"/>
              </w:rPr>
              <w:t>12.6 (-17.6, 41.6)</w:t>
            </w:r>
          </w:p>
        </w:tc>
      </w:tr>
      <w:tr w:rsidR="00667608">
        <w:trPr>
          <w:cantSplit/>
        </w:trPr>
        <w:tc>
          <w:tcPr>
            <w:tcW w:w="3588" w:type="dxa"/>
          </w:tcPr>
          <w:p w:rsidR="00667608" w:rsidRDefault="00667608">
            <w:pPr>
              <w:pStyle w:val="A-TableText"/>
              <w:numPr>
                <w:ilvl w:val="0"/>
                <w:numId w:val="6"/>
              </w:numPr>
              <w:tabs>
                <w:tab w:val="left" w:pos="360"/>
              </w:tabs>
              <w:ind w:left="284" w:hanging="284"/>
              <w:rPr>
                <w:sz w:val="20"/>
              </w:rPr>
            </w:pPr>
            <w:r>
              <w:rPr>
                <w:sz w:val="20"/>
              </w:rPr>
              <w:t>No prior systemic antibacterial</w:t>
            </w:r>
          </w:p>
        </w:tc>
        <w:tc>
          <w:tcPr>
            <w:tcW w:w="1623" w:type="dxa"/>
          </w:tcPr>
          <w:p w:rsidR="00667608" w:rsidRDefault="00667608">
            <w:pPr>
              <w:pStyle w:val="A-TableText"/>
              <w:jc w:val="center"/>
              <w:rPr>
                <w:sz w:val="20"/>
              </w:rPr>
            </w:pPr>
            <w:r>
              <w:rPr>
                <w:sz w:val="20"/>
              </w:rPr>
              <w:t>235/274 (85.8)</w:t>
            </w:r>
          </w:p>
        </w:tc>
        <w:tc>
          <w:tcPr>
            <w:tcW w:w="1560" w:type="dxa"/>
          </w:tcPr>
          <w:p w:rsidR="00667608" w:rsidRDefault="00667608">
            <w:pPr>
              <w:pStyle w:val="A-TableText"/>
              <w:jc w:val="center"/>
              <w:rPr>
                <w:sz w:val="20"/>
              </w:rPr>
            </w:pPr>
            <w:r>
              <w:rPr>
                <w:sz w:val="20"/>
              </w:rPr>
              <w:t>191/255 (74.9)</w:t>
            </w:r>
          </w:p>
        </w:tc>
        <w:tc>
          <w:tcPr>
            <w:tcW w:w="2235" w:type="dxa"/>
          </w:tcPr>
          <w:p w:rsidR="00667608" w:rsidRDefault="00667608">
            <w:pPr>
              <w:pStyle w:val="A-TableText"/>
              <w:jc w:val="center"/>
              <w:rPr>
                <w:sz w:val="20"/>
              </w:rPr>
            </w:pPr>
            <w:r>
              <w:rPr>
                <w:sz w:val="20"/>
              </w:rPr>
              <w:t>11.2 (4.5, 18.0)</w:t>
            </w:r>
            <w:r>
              <w:rPr>
                <w:sz w:val="20"/>
                <w:vertAlign w:val="superscript"/>
              </w:rPr>
              <w:t xml:space="preserve"> a</w:t>
            </w:r>
          </w:p>
        </w:tc>
      </w:tr>
      <w:tr w:rsidR="00667608">
        <w:trPr>
          <w:cantSplit/>
        </w:trPr>
        <w:tc>
          <w:tcPr>
            <w:tcW w:w="3588" w:type="dxa"/>
          </w:tcPr>
          <w:p w:rsidR="00667608" w:rsidRDefault="00667608">
            <w:pPr>
              <w:pStyle w:val="A-TableText"/>
              <w:numPr>
                <w:ilvl w:val="0"/>
                <w:numId w:val="6"/>
              </w:numPr>
              <w:tabs>
                <w:tab w:val="left" w:pos="360"/>
              </w:tabs>
              <w:ind w:left="567" w:hanging="567"/>
              <w:rPr>
                <w:sz w:val="20"/>
              </w:rPr>
            </w:pPr>
            <w:r>
              <w:rPr>
                <w:sz w:val="20"/>
              </w:rPr>
              <w:t>Any prior systemic antibacterial</w:t>
            </w:r>
          </w:p>
        </w:tc>
        <w:tc>
          <w:tcPr>
            <w:tcW w:w="1623" w:type="dxa"/>
          </w:tcPr>
          <w:p w:rsidR="00667608" w:rsidRDefault="00667608">
            <w:pPr>
              <w:pStyle w:val="A-TableText"/>
              <w:jc w:val="center"/>
              <w:rPr>
                <w:sz w:val="20"/>
              </w:rPr>
            </w:pPr>
            <w:r>
              <w:rPr>
                <w:sz w:val="20"/>
              </w:rPr>
              <w:t>152/185 (82.2)</w:t>
            </w:r>
          </w:p>
        </w:tc>
        <w:tc>
          <w:tcPr>
            <w:tcW w:w="1560" w:type="dxa"/>
          </w:tcPr>
          <w:p w:rsidR="00667608" w:rsidRDefault="00667608">
            <w:pPr>
              <w:pStyle w:val="A-TableText"/>
              <w:jc w:val="center"/>
              <w:rPr>
                <w:sz w:val="20"/>
              </w:rPr>
            </w:pPr>
            <w:r>
              <w:rPr>
                <w:sz w:val="20"/>
              </w:rPr>
              <w:t>158/194 (81.4)</w:t>
            </w:r>
          </w:p>
        </w:tc>
        <w:tc>
          <w:tcPr>
            <w:tcW w:w="2235" w:type="dxa"/>
          </w:tcPr>
          <w:p w:rsidR="00667608" w:rsidRDefault="00667608">
            <w:pPr>
              <w:pStyle w:val="A-TableText"/>
              <w:jc w:val="center"/>
              <w:rPr>
                <w:sz w:val="20"/>
              </w:rPr>
            </w:pPr>
            <w:r>
              <w:rPr>
                <w:sz w:val="20"/>
              </w:rPr>
              <w:t>0.7 (-7.2, 8.6)</w:t>
            </w:r>
            <w:r>
              <w:rPr>
                <w:sz w:val="20"/>
                <w:vertAlign w:val="superscript"/>
              </w:rPr>
              <w:t xml:space="preserve"> a</w:t>
            </w:r>
          </w:p>
        </w:tc>
      </w:tr>
      <w:tr w:rsidR="00667608">
        <w:trPr>
          <w:cantSplit/>
        </w:trPr>
        <w:tc>
          <w:tcPr>
            <w:tcW w:w="3588" w:type="dxa"/>
          </w:tcPr>
          <w:p w:rsidR="00667608" w:rsidRDefault="00667608">
            <w:pPr>
              <w:pStyle w:val="A-TableText"/>
              <w:rPr>
                <w:sz w:val="20"/>
              </w:rPr>
            </w:pPr>
            <w:r>
              <w:rPr>
                <w:sz w:val="20"/>
              </w:rPr>
              <w:t>MITTE</w:t>
            </w:r>
          </w:p>
        </w:tc>
        <w:tc>
          <w:tcPr>
            <w:tcW w:w="1623" w:type="dxa"/>
          </w:tcPr>
          <w:p w:rsidR="00667608" w:rsidRDefault="00667608">
            <w:pPr>
              <w:pStyle w:val="A-TableText"/>
              <w:jc w:val="center"/>
              <w:rPr>
                <w:sz w:val="20"/>
              </w:rPr>
            </w:pPr>
            <w:r>
              <w:rPr>
                <w:sz w:val="20"/>
              </w:rPr>
              <w:t>479/580 (82.6)</w:t>
            </w:r>
          </w:p>
        </w:tc>
        <w:tc>
          <w:tcPr>
            <w:tcW w:w="1560" w:type="dxa"/>
          </w:tcPr>
          <w:p w:rsidR="00667608" w:rsidRDefault="00667608">
            <w:pPr>
              <w:pStyle w:val="A-TableText"/>
              <w:jc w:val="center"/>
              <w:rPr>
                <w:sz w:val="20"/>
              </w:rPr>
            </w:pPr>
            <w:r>
              <w:rPr>
                <w:sz w:val="20"/>
              </w:rPr>
              <w:t>439/573 (76.6)</w:t>
            </w:r>
          </w:p>
        </w:tc>
        <w:tc>
          <w:tcPr>
            <w:tcW w:w="2235" w:type="dxa"/>
          </w:tcPr>
          <w:p w:rsidR="00667608" w:rsidRDefault="00667608">
            <w:pPr>
              <w:pStyle w:val="A-TableText"/>
              <w:jc w:val="center"/>
              <w:rPr>
                <w:sz w:val="20"/>
              </w:rPr>
            </w:pPr>
            <w:r>
              <w:rPr>
                <w:sz w:val="20"/>
              </w:rPr>
              <w:t>6.0 (1.4, 10.7)</w:t>
            </w:r>
            <w:r>
              <w:rPr>
                <w:sz w:val="20"/>
                <w:vertAlign w:val="superscript"/>
              </w:rPr>
              <w:t xml:space="preserve"> a</w:t>
            </w:r>
          </w:p>
        </w:tc>
      </w:tr>
      <w:tr w:rsidR="00667608">
        <w:trPr>
          <w:cantSplit/>
        </w:trPr>
        <w:tc>
          <w:tcPr>
            <w:tcW w:w="3588" w:type="dxa"/>
            <w:tcBorders>
              <w:bottom w:val="single" w:sz="12" w:space="0" w:color="auto"/>
            </w:tcBorders>
          </w:tcPr>
          <w:p w:rsidR="00667608" w:rsidRDefault="00667608">
            <w:pPr>
              <w:pStyle w:val="A-TableText"/>
              <w:rPr>
                <w:sz w:val="20"/>
              </w:rPr>
            </w:pPr>
            <w:r>
              <w:rPr>
                <w:i/>
                <w:sz w:val="20"/>
              </w:rPr>
              <w:t>Microbiological response rate (favourable) - ME</w:t>
            </w:r>
          </w:p>
        </w:tc>
        <w:tc>
          <w:tcPr>
            <w:tcW w:w="1623" w:type="dxa"/>
            <w:tcBorders>
              <w:bottom w:val="single" w:sz="12" w:space="0" w:color="auto"/>
            </w:tcBorders>
          </w:tcPr>
          <w:p w:rsidR="00667608" w:rsidRDefault="00667608">
            <w:pPr>
              <w:pStyle w:val="A-TableText"/>
              <w:jc w:val="center"/>
              <w:rPr>
                <w:sz w:val="20"/>
              </w:rPr>
            </w:pPr>
            <w:r>
              <w:rPr>
                <w:sz w:val="20"/>
              </w:rPr>
              <w:t>134/154 (87.0)</w:t>
            </w:r>
          </w:p>
        </w:tc>
        <w:tc>
          <w:tcPr>
            <w:tcW w:w="1560" w:type="dxa"/>
            <w:tcBorders>
              <w:bottom w:val="single" w:sz="12" w:space="0" w:color="auto"/>
            </w:tcBorders>
          </w:tcPr>
          <w:p w:rsidR="00667608" w:rsidRDefault="00667608">
            <w:pPr>
              <w:pStyle w:val="A-TableText"/>
              <w:jc w:val="center"/>
              <w:rPr>
                <w:sz w:val="20"/>
              </w:rPr>
            </w:pPr>
            <w:r>
              <w:rPr>
                <w:sz w:val="20"/>
              </w:rPr>
              <w:t>119/147 (81.0)</w:t>
            </w:r>
          </w:p>
        </w:tc>
        <w:tc>
          <w:tcPr>
            <w:tcW w:w="2235" w:type="dxa"/>
            <w:tcBorders>
              <w:bottom w:val="single" w:sz="12" w:space="0" w:color="auto"/>
            </w:tcBorders>
          </w:tcPr>
          <w:p w:rsidR="00667608" w:rsidRDefault="00667608">
            <w:pPr>
              <w:pStyle w:val="A-TableText"/>
              <w:jc w:val="center"/>
              <w:rPr>
                <w:sz w:val="20"/>
              </w:rPr>
            </w:pPr>
            <w:r>
              <w:rPr>
                <w:sz w:val="20"/>
              </w:rPr>
              <w:t>6.1 (-2.3, 14.6)</w:t>
            </w:r>
            <w:r>
              <w:rPr>
                <w:sz w:val="20"/>
                <w:vertAlign w:val="superscript"/>
              </w:rPr>
              <w:t xml:space="preserve"> a</w:t>
            </w:r>
          </w:p>
        </w:tc>
      </w:tr>
    </w:tbl>
    <w:p w:rsidR="00667608" w:rsidRDefault="00667608">
      <w:pPr>
        <w:pStyle w:val="A-TableFootnoteText"/>
        <w:ind w:left="431" w:hanging="431"/>
      </w:pPr>
      <w:r>
        <w:rPr>
          <w:szCs w:val="18"/>
        </w:rPr>
        <w:t xml:space="preserve">CAP – community acquired pneumonia; </w:t>
      </w:r>
      <w:r>
        <w:t xml:space="preserve">CE – clinically evaluable; MITTE – modified intention-to-treat efficacy; ME – microbiologically evaluable; CI – confidence interval; PORT – Pneumonia Outcomes Research Team risk class; </w:t>
      </w:r>
      <w:r>
        <w:rPr>
          <w:sz w:val="20"/>
          <w:vertAlign w:val="superscript"/>
        </w:rPr>
        <w:t>a</w:t>
      </w:r>
      <w:r>
        <w:t xml:space="preserve"> weighted difference; *patients may be included in one or more of the following sub-groups</w:t>
      </w:r>
    </w:p>
    <w:p w:rsidR="00667608" w:rsidRDefault="00FC26E7">
      <w:pPr>
        <w:pStyle w:val="A-TableTitle"/>
        <w:ind w:left="1797" w:hanging="1797"/>
        <w:rPr>
          <w:sz w:val="22"/>
          <w:szCs w:val="22"/>
        </w:rPr>
      </w:pPr>
      <w:bookmarkStart w:id="6" w:name="_Ref276557438"/>
      <w:r>
        <w:rPr>
          <w:sz w:val="22"/>
          <w:szCs w:val="22"/>
        </w:rPr>
        <w:br w:type="page"/>
      </w:r>
      <w:r w:rsidR="00667608">
        <w:rPr>
          <w:sz w:val="22"/>
          <w:szCs w:val="22"/>
        </w:rPr>
        <w:lastRenderedPageBreak/>
        <w:t xml:space="preserve">Table </w:t>
      </w:r>
      <w:r w:rsidR="00773E45">
        <w:rPr>
          <w:sz w:val="22"/>
          <w:szCs w:val="22"/>
        </w:rPr>
        <w:fldChar w:fldCharType="begin"/>
      </w:r>
      <w:r w:rsidR="00667608">
        <w:rPr>
          <w:sz w:val="22"/>
          <w:szCs w:val="22"/>
        </w:rPr>
        <w:instrText xml:space="preserve"> SEQ Table \* ARABIC </w:instrText>
      </w:r>
      <w:r w:rsidR="00773E45">
        <w:rPr>
          <w:sz w:val="22"/>
          <w:szCs w:val="22"/>
        </w:rPr>
        <w:fldChar w:fldCharType="separate"/>
      </w:r>
      <w:r w:rsidR="00667608">
        <w:rPr>
          <w:noProof/>
          <w:sz w:val="22"/>
          <w:szCs w:val="22"/>
        </w:rPr>
        <w:t>5</w:t>
      </w:r>
      <w:r w:rsidR="00773E45">
        <w:rPr>
          <w:sz w:val="22"/>
          <w:szCs w:val="22"/>
        </w:rPr>
        <w:fldChar w:fldCharType="end"/>
      </w:r>
      <w:bookmarkEnd w:id="6"/>
      <w:r w:rsidR="00667608">
        <w:rPr>
          <w:sz w:val="22"/>
          <w:szCs w:val="22"/>
        </w:rPr>
        <w:tab/>
        <w:t>Clinical and microbiological success by baseline infecting pathogen at TOC for pooled CAP studies (ME population)</w:t>
      </w:r>
    </w:p>
    <w:tbl>
      <w:tblPr>
        <w:tblW w:w="9214" w:type="dxa"/>
        <w:tblInd w:w="-34" w:type="dxa"/>
        <w:tblLayout w:type="fixed"/>
        <w:tblLook w:val="0000"/>
      </w:tblPr>
      <w:tblGrid>
        <w:gridCol w:w="2977"/>
        <w:gridCol w:w="1560"/>
        <w:gridCol w:w="1559"/>
        <w:gridCol w:w="1559"/>
        <w:gridCol w:w="1559"/>
      </w:tblGrid>
      <w:tr w:rsidR="00667608">
        <w:trPr>
          <w:cantSplit/>
          <w:tblHeader/>
        </w:trPr>
        <w:tc>
          <w:tcPr>
            <w:tcW w:w="2977" w:type="dxa"/>
            <w:tcBorders>
              <w:top w:val="single" w:sz="12" w:space="0" w:color="auto"/>
            </w:tcBorders>
          </w:tcPr>
          <w:p w:rsidR="00667608" w:rsidRDefault="00667608">
            <w:pPr>
              <w:pStyle w:val="A-TableHeader"/>
            </w:pPr>
          </w:p>
        </w:tc>
        <w:tc>
          <w:tcPr>
            <w:tcW w:w="3119" w:type="dxa"/>
            <w:gridSpan w:val="2"/>
            <w:tcBorders>
              <w:top w:val="single" w:sz="12" w:space="0" w:color="auto"/>
            </w:tcBorders>
          </w:tcPr>
          <w:p w:rsidR="00667608" w:rsidRDefault="00667608">
            <w:pPr>
              <w:pStyle w:val="A-TableHeader"/>
              <w:jc w:val="center"/>
            </w:pPr>
            <w:r>
              <w:t>Clinical success</w:t>
            </w:r>
          </w:p>
        </w:tc>
        <w:tc>
          <w:tcPr>
            <w:tcW w:w="3118" w:type="dxa"/>
            <w:gridSpan w:val="2"/>
            <w:tcBorders>
              <w:top w:val="single" w:sz="12" w:space="0" w:color="auto"/>
            </w:tcBorders>
          </w:tcPr>
          <w:p w:rsidR="00667608" w:rsidRDefault="00667608">
            <w:pPr>
              <w:pStyle w:val="A-TableHeader"/>
              <w:jc w:val="center"/>
            </w:pPr>
            <w:r>
              <w:t xml:space="preserve">Microbiological success </w:t>
            </w:r>
            <w:r>
              <w:rPr>
                <w:vertAlign w:val="superscript"/>
              </w:rPr>
              <w:t>a</w:t>
            </w:r>
          </w:p>
        </w:tc>
      </w:tr>
      <w:tr w:rsidR="00667608">
        <w:trPr>
          <w:cantSplit/>
          <w:tblHeader/>
        </w:trPr>
        <w:tc>
          <w:tcPr>
            <w:tcW w:w="2977" w:type="dxa"/>
            <w:tcBorders>
              <w:bottom w:val="single" w:sz="6" w:space="0" w:color="auto"/>
            </w:tcBorders>
          </w:tcPr>
          <w:p w:rsidR="00667608" w:rsidRDefault="00667608">
            <w:pPr>
              <w:pStyle w:val="A-TableHeader"/>
            </w:pPr>
            <w:r>
              <w:t>Pathogen</w:t>
            </w:r>
          </w:p>
        </w:tc>
        <w:tc>
          <w:tcPr>
            <w:tcW w:w="1560" w:type="dxa"/>
            <w:tcBorders>
              <w:bottom w:val="single" w:sz="6" w:space="0" w:color="auto"/>
            </w:tcBorders>
          </w:tcPr>
          <w:p w:rsidR="00667608" w:rsidRDefault="00667608">
            <w:pPr>
              <w:pStyle w:val="A-TableHeader"/>
              <w:jc w:val="center"/>
            </w:pPr>
            <w:r>
              <w:t>Zinforo</w:t>
            </w:r>
            <w:r>
              <w:br/>
              <w:t>n/N (%)</w:t>
            </w:r>
          </w:p>
        </w:tc>
        <w:tc>
          <w:tcPr>
            <w:tcW w:w="1559" w:type="dxa"/>
            <w:tcBorders>
              <w:bottom w:val="single" w:sz="6" w:space="0" w:color="auto"/>
            </w:tcBorders>
          </w:tcPr>
          <w:p w:rsidR="00667608" w:rsidRDefault="00667608">
            <w:pPr>
              <w:pStyle w:val="A-TableHeader"/>
              <w:jc w:val="center"/>
            </w:pPr>
            <w:r>
              <w:t>Ceftriaxone</w:t>
            </w:r>
            <w:r>
              <w:br/>
              <w:t>n/N (%)</w:t>
            </w:r>
          </w:p>
        </w:tc>
        <w:tc>
          <w:tcPr>
            <w:tcW w:w="1559" w:type="dxa"/>
            <w:tcBorders>
              <w:bottom w:val="single" w:sz="6" w:space="0" w:color="auto"/>
            </w:tcBorders>
          </w:tcPr>
          <w:p w:rsidR="00667608" w:rsidRDefault="00667608">
            <w:pPr>
              <w:pStyle w:val="A-TableHeader"/>
              <w:jc w:val="center"/>
            </w:pPr>
            <w:r>
              <w:t>Zinforo</w:t>
            </w:r>
            <w:r>
              <w:br/>
              <w:t>n/N (%)</w:t>
            </w:r>
          </w:p>
        </w:tc>
        <w:tc>
          <w:tcPr>
            <w:tcW w:w="1559" w:type="dxa"/>
            <w:tcBorders>
              <w:bottom w:val="single" w:sz="6" w:space="0" w:color="auto"/>
            </w:tcBorders>
          </w:tcPr>
          <w:p w:rsidR="00667608" w:rsidRDefault="00667608">
            <w:pPr>
              <w:pStyle w:val="A-TableHeader"/>
              <w:jc w:val="center"/>
            </w:pPr>
            <w:r>
              <w:t>Ceftriaxone</w:t>
            </w:r>
            <w:r>
              <w:br/>
              <w:t>n/N (%)</w:t>
            </w:r>
          </w:p>
        </w:tc>
      </w:tr>
      <w:tr w:rsidR="00667608">
        <w:trPr>
          <w:cantSplit/>
        </w:trPr>
        <w:tc>
          <w:tcPr>
            <w:tcW w:w="2977" w:type="dxa"/>
            <w:tcBorders>
              <w:top w:val="single" w:sz="6" w:space="0" w:color="auto"/>
            </w:tcBorders>
          </w:tcPr>
          <w:p w:rsidR="00667608" w:rsidRDefault="00667608">
            <w:pPr>
              <w:pStyle w:val="A-TableText"/>
              <w:rPr>
                <w:b/>
                <w:sz w:val="20"/>
              </w:rPr>
            </w:pPr>
            <w:r>
              <w:rPr>
                <w:b/>
                <w:sz w:val="20"/>
              </w:rPr>
              <w:t>Gram-positive</w:t>
            </w:r>
          </w:p>
        </w:tc>
        <w:tc>
          <w:tcPr>
            <w:tcW w:w="1560" w:type="dxa"/>
            <w:tcBorders>
              <w:top w:val="single" w:sz="6" w:space="0" w:color="auto"/>
            </w:tcBorders>
          </w:tcPr>
          <w:p w:rsidR="00667608" w:rsidRDefault="00667608">
            <w:pPr>
              <w:pStyle w:val="A-TableText"/>
              <w:jc w:val="center"/>
              <w:rPr>
                <w:sz w:val="20"/>
                <w:highlight w:val="cyan"/>
              </w:rPr>
            </w:pPr>
          </w:p>
        </w:tc>
        <w:tc>
          <w:tcPr>
            <w:tcW w:w="1559" w:type="dxa"/>
            <w:tcBorders>
              <w:top w:val="single" w:sz="6" w:space="0" w:color="auto"/>
            </w:tcBorders>
          </w:tcPr>
          <w:p w:rsidR="00667608" w:rsidRDefault="00667608">
            <w:pPr>
              <w:pStyle w:val="A-TableText"/>
              <w:jc w:val="center"/>
              <w:rPr>
                <w:sz w:val="20"/>
                <w:highlight w:val="cyan"/>
              </w:rPr>
            </w:pPr>
          </w:p>
        </w:tc>
        <w:tc>
          <w:tcPr>
            <w:tcW w:w="1559" w:type="dxa"/>
            <w:tcBorders>
              <w:top w:val="single" w:sz="6" w:space="0" w:color="auto"/>
            </w:tcBorders>
          </w:tcPr>
          <w:p w:rsidR="00667608" w:rsidRDefault="00667608">
            <w:pPr>
              <w:pStyle w:val="A-TableText"/>
              <w:jc w:val="center"/>
              <w:rPr>
                <w:sz w:val="20"/>
                <w:highlight w:val="cyan"/>
              </w:rPr>
            </w:pPr>
          </w:p>
        </w:tc>
        <w:tc>
          <w:tcPr>
            <w:tcW w:w="1559" w:type="dxa"/>
            <w:tcBorders>
              <w:top w:val="single" w:sz="6" w:space="0" w:color="auto"/>
            </w:tcBorders>
          </w:tcPr>
          <w:p w:rsidR="00667608" w:rsidRDefault="00667608">
            <w:pPr>
              <w:pStyle w:val="A-TableText"/>
              <w:jc w:val="center"/>
              <w:rPr>
                <w:sz w:val="20"/>
                <w:highlight w:val="cyan"/>
              </w:rPr>
            </w:pPr>
          </w:p>
        </w:tc>
      </w:tr>
      <w:tr w:rsidR="00667608">
        <w:trPr>
          <w:cantSplit/>
        </w:trPr>
        <w:tc>
          <w:tcPr>
            <w:tcW w:w="2977" w:type="dxa"/>
          </w:tcPr>
          <w:p w:rsidR="00667608" w:rsidRDefault="00667608">
            <w:pPr>
              <w:pStyle w:val="A-TableText"/>
              <w:rPr>
                <w:i/>
                <w:sz w:val="20"/>
              </w:rPr>
            </w:pPr>
            <w:r>
              <w:rPr>
                <w:i/>
                <w:sz w:val="20"/>
              </w:rPr>
              <w:t>Streptococcus pneumoniae</w:t>
            </w:r>
          </w:p>
        </w:tc>
        <w:tc>
          <w:tcPr>
            <w:tcW w:w="1560" w:type="dxa"/>
          </w:tcPr>
          <w:p w:rsidR="00667608" w:rsidRDefault="00667608">
            <w:pPr>
              <w:pStyle w:val="A-TableText"/>
              <w:jc w:val="center"/>
              <w:rPr>
                <w:sz w:val="20"/>
              </w:rPr>
            </w:pPr>
            <w:r>
              <w:rPr>
                <w:sz w:val="20"/>
              </w:rPr>
              <w:t>54/63 (85.7)</w:t>
            </w:r>
          </w:p>
        </w:tc>
        <w:tc>
          <w:tcPr>
            <w:tcW w:w="1559" w:type="dxa"/>
          </w:tcPr>
          <w:p w:rsidR="00667608" w:rsidRDefault="00667608">
            <w:pPr>
              <w:pStyle w:val="A-TableText"/>
              <w:jc w:val="center"/>
              <w:rPr>
                <w:sz w:val="20"/>
              </w:rPr>
            </w:pPr>
            <w:r>
              <w:rPr>
                <w:sz w:val="20"/>
              </w:rPr>
              <w:t>41/59 (69.5)</w:t>
            </w:r>
          </w:p>
        </w:tc>
        <w:tc>
          <w:tcPr>
            <w:tcW w:w="1559" w:type="dxa"/>
          </w:tcPr>
          <w:p w:rsidR="00667608" w:rsidRDefault="00667608">
            <w:pPr>
              <w:pStyle w:val="A-TableText"/>
              <w:jc w:val="center"/>
              <w:rPr>
                <w:sz w:val="20"/>
              </w:rPr>
            </w:pPr>
            <w:r>
              <w:rPr>
                <w:sz w:val="20"/>
              </w:rPr>
              <w:t>55/63 (87.3)</w:t>
            </w:r>
          </w:p>
        </w:tc>
        <w:tc>
          <w:tcPr>
            <w:tcW w:w="1559" w:type="dxa"/>
          </w:tcPr>
          <w:p w:rsidR="00667608" w:rsidRDefault="00667608">
            <w:pPr>
              <w:pStyle w:val="A-TableText"/>
              <w:jc w:val="center"/>
              <w:rPr>
                <w:sz w:val="20"/>
              </w:rPr>
            </w:pPr>
            <w:r>
              <w:rPr>
                <w:sz w:val="20"/>
              </w:rPr>
              <w:t>43/59 (72.9)</w:t>
            </w:r>
          </w:p>
        </w:tc>
      </w:tr>
      <w:tr w:rsidR="00667608">
        <w:trPr>
          <w:cantSplit/>
        </w:trPr>
        <w:tc>
          <w:tcPr>
            <w:tcW w:w="2977" w:type="dxa"/>
          </w:tcPr>
          <w:p w:rsidR="00667608" w:rsidRDefault="00667608">
            <w:pPr>
              <w:pStyle w:val="A-TableText"/>
              <w:rPr>
                <w:i/>
                <w:sz w:val="20"/>
              </w:rPr>
            </w:pPr>
            <w:r>
              <w:rPr>
                <w:i/>
                <w:sz w:val="20"/>
              </w:rPr>
              <w:t>Staphylococcus aureus</w:t>
            </w:r>
          </w:p>
        </w:tc>
        <w:tc>
          <w:tcPr>
            <w:tcW w:w="1560" w:type="dxa"/>
          </w:tcPr>
          <w:p w:rsidR="00667608" w:rsidRDefault="00667608">
            <w:pPr>
              <w:pStyle w:val="A-TableText"/>
              <w:jc w:val="center"/>
              <w:rPr>
                <w:sz w:val="20"/>
              </w:rPr>
            </w:pPr>
            <w:r>
              <w:rPr>
                <w:sz w:val="20"/>
              </w:rPr>
              <w:t>18/25 (72.0)</w:t>
            </w:r>
          </w:p>
        </w:tc>
        <w:tc>
          <w:tcPr>
            <w:tcW w:w="1559" w:type="dxa"/>
          </w:tcPr>
          <w:p w:rsidR="00667608" w:rsidRDefault="00667608">
            <w:pPr>
              <w:pStyle w:val="A-TableText"/>
              <w:jc w:val="center"/>
              <w:rPr>
                <w:sz w:val="20"/>
              </w:rPr>
            </w:pPr>
            <w:r>
              <w:rPr>
                <w:sz w:val="20"/>
              </w:rPr>
              <w:t>15/27 (55.6)*</w:t>
            </w:r>
          </w:p>
        </w:tc>
        <w:tc>
          <w:tcPr>
            <w:tcW w:w="1559" w:type="dxa"/>
          </w:tcPr>
          <w:p w:rsidR="00667608" w:rsidRDefault="00667608">
            <w:pPr>
              <w:pStyle w:val="A-TableText"/>
              <w:jc w:val="center"/>
              <w:rPr>
                <w:sz w:val="20"/>
              </w:rPr>
            </w:pPr>
            <w:r>
              <w:rPr>
                <w:sz w:val="20"/>
              </w:rPr>
              <w:t>19/25 (76.0)</w:t>
            </w:r>
          </w:p>
        </w:tc>
        <w:tc>
          <w:tcPr>
            <w:tcW w:w="1559" w:type="dxa"/>
          </w:tcPr>
          <w:p w:rsidR="00667608" w:rsidRDefault="00667608">
            <w:pPr>
              <w:pStyle w:val="A-TableText"/>
              <w:jc w:val="center"/>
              <w:rPr>
                <w:sz w:val="20"/>
              </w:rPr>
            </w:pPr>
            <w:r>
              <w:rPr>
                <w:sz w:val="20"/>
              </w:rPr>
              <w:t>19/27 (70.4)*</w:t>
            </w:r>
          </w:p>
        </w:tc>
      </w:tr>
      <w:tr w:rsidR="00667608">
        <w:trPr>
          <w:cantSplit/>
        </w:trPr>
        <w:tc>
          <w:tcPr>
            <w:tcW w:w="2977" w:type="dxa"/>
          </w:tcPr>
          <w:p w:rsidR="00667608" w:rsidRDefault="00667608">
            <w:pPr>
              <w:pStyle w:val="A-TableText"/>
              <w:rPr>
                <w:sz w:val="20"/>
              </w:rPr>
            </w:pPr>
            <w:r>
              <w:rPr>
                <w:sz w:val="20"/>
              </w:rPr>
              <w:t xml:space="preserve">     MSSA</w:t>
            </w:r>
          </w:p>
        </w:tc>
        <w:tc>
          <w:tcPr>
            <w:tcW w:w="1560" w:type="dxa"/>
          </w:tcPr>
          <w:p w:rsidR="00667608" w:rsidRDefault="00667608">
            <w:pPr>
              <w:pStyle w:val="A-TableText"/>
              <w:jc w:val="center"/>
              <w:rPr>
                <w:sz w:val="20"/>
              </w:rPr>
            </w:pPr>
            <w:r>
              <w:rPr>
                <w:sz w:val="20"/>
              </w:rPr>
              <w:t>18/25 (72.0)</w:t>
            </w:r>
          </w:p>
        </w:tc>
        <w:tc>
          <w:tcPr>
            <w:tcW w:w="1559" w:type="dxa"/>
          </w:tcPr>
          <w:p w:rsidR="00667608" w:rsidRDefault="00667608">
            <w:pPr>
              <w:pStyle w:val="A-TableText"/>
              <w:jc w:val="center"/>
              <w:rPr>
                <w:sz w:val="20"/>
              </w:rPr>
            </w:pPr>
            <w:r>
              <w:rPr>
                <w:sz w:val="20"/>
              </w:rPr>
              <w:t>14/25 (56.0)</w:t>
            </w:r>
          </w:p>
        </w:tc>
        <w:tc>
          <w:tcPr>
            <w:tcW w:w="1559" w:type="dxa"/>
          </w:tcPr>
          <w:p w:rsidR="00667608" w:rsidRDefault="00667608">
            <w:pPr>
              <w:pStyle w:val="A-TableText"/>
              <w:jc w:val="center"/>
              <w:rPr>
                <w:sz w:val="20"/>
              </w:rPr>
            </w:pPr>
            <w:r>
              <w:rPr>
                <w:sz w:val="20"/>
              </w:rPr>
              <w:t>19/25 (76.0)</w:t>
            </w:r>
          </w:p>
        </w:tc>
        <w:tc>
          <w:tcPr>
            <w:tcW w:w="1559" w:type="dxa"/>
          </w:tcPr>
          <w:p w:rsidR="00667608" w:rsidRDefault="00667608">
            <w:pPr>
              <w:pStyle w:val="A-TableText"/>
              <w:jc w:val="center"/>
              <w:rPr>
                <w:sz w:val="20"/>
              </w:rPr>
            </w:pPr>
            <w:r>
              <w:rPr>
                <w:sz w:val="20"/>
              </w:rPr>
              <w:t>18/25 (72.0)</w:t>
            </w:r>
          </w:p>
        </w:tc>
      </w:tr>
      <w:tr w:rsidR="00667608">
        <w:trPr>
          <w:cantSplit/>
        </w:trPr>
        <w:tc>
          <w:tcPr>
            <w:tcW w:w="2977" w:type="dxa"/>
            <w:tcBorders>
              <w:top w:val="single" w:sz="4" w:space="0" w:color="auto"/>
            </w:tcBorders>
          </w:tcPr>
          <w:p w:rsidR="00667608" w:rsidRDefault="00667608">
            <w:pPr>
              <w:pStyle w:val="A-TableText"/>
              <w:rPr>
                <w:b/>
                <w:sz w:val="20"/>
              </w:rPr>
            </w:pPr>
            <w:r>
              <w:rPr>
                <w:b/>
                <w:sz w:val="20"/>
              </w:rPr>
              <w:t>Gram-negative</w:t>
            </w:r>
          </w:p>
        </w:tc>
        <w:tc>
          <w:tcPr>
            <w:tcW w:w="1560" w:type="dxa"/>
            <w:tcBorders>
              <w:top w:val="single" w:sz="4" w:space="0" w:color="auto"/>
            </w:tcBorders>
          </w:tcPr>
          <w:p w:rsidR="00667608" w:rsidRDefault="00667608">
            <w:pPr>
              <w:pStyle w:val="A-TableText"/>
              <w:jc w:val="center"/>
              <w:rPr>
                <w:sz w:val="20"/>
              </w:rPr>
            </w:pPr>
          </w:p>
        </w:tc>
        <w:tc>
          <w:tcPr>
            <w:tcW w:w="1559" w:type="dxa"/>
            <w:tcBorders>
              <w:top w:val="single" w:sz="4" w:space="0" w:color="auto"/>
            </w:tcBorders>
          </w:tcPr>
          <w:p w:rsidR="00667608" w:rsidRDefault="00667608">
            <w:pPr>
              <w:pStyle w:val="A-TableText"/>
              <w:jc w:val="center"/>
              <w:rPr>
                <w:sz w:val="20"/>
              </w:rPr>
            </w:pPr>
          </w:p>
        </w:tc>
        <w:tc>
          <w:tcPr>
            <w:tcW w:w="1559" w:type="dxa"/>
            <w:tcBorders>
              <w:top w:val="single" w:sz="4" w:space="0" w:color="auto"/>
            </w:tcBorders>
          </w:tcPr>
          <w:p w:rsidR="00667608" w:rsidRDefault="00667608">
            <w:pPr>
              <w:pStyle w:val="A-TableText"/>
              <w:jc w:val="center"/>
              <w:rPr>
                <w:sz w:val="20"/>
              </w:rPr>
            </w:pPr>
          </w:p>
        </w:tc>
        <w:tc>
          <w:tcPr>
            <w:tcW w:w="1559" w:type="dxa"/>
            <w:tcBorders>
              <w:top w:val="single" w:sz="4" w:space="0" w:color="auto"/>
            </w:tcBorders>
          </w:tcPr>
          <w:p w:rsidR="00667608" w:rsidRDefault="00667608">
            <w:pPr>
              <w:pStyle w:val="A-TableText"/>
              <w:jc w:val="center"/>
              <w:rPr>
                <w:sz w:val="20"/>
              </w:rPr>
            </w:pPr>
          </w:p>
        </w:tc>
      </w:tr>
      <w:tr w:rsidR="00667608">
        <w:trPr>
          <w:cantSplit/>
        </w:trPr>
        <w:tc>
          <w:tcPr>
            <w:tcW w:w="2977" w:type="dxa"/>
          </w:tcPr>
          <w:p w:rsidR="00667608" w:rsidRDefault="00667608">
            <w:pPr>
              <w:pStyle w:val="A-TableText"/>
              <w:rPr>
                <w:i/>
                <w:sz w:val="20"/>
              </w:rPr>
            </w:pPr>
            <w:r>
              <w:rPr>
                <w:i/>
                <w:sz w:val="20"/>
              </w:rPr>
              <w:t>Haemophilus influenzae</w:t>
            </w:r>
          </w:p>
        </w:tc>
        <w:tc>
          <w:tcPr>
            <w:tcW w:w="1560" w:type="dxa"/>
          </w:tcPr>
          <w:p w:rsidR="00667608" w:rsidRDefault="00667608">
            <w:pPr>
              <w:pStyle w:val="A-TableText"/>
              <w:jc w:val="center"/>
              <w:rPr>
                <w:sz w:val="20"/>
              </w:rPr>
            </w:pPr>
            <w:r>
              <w:rPr>
                <w:sz w:val="20"/>
              </w:rPr>
              <w:t>15/18 (83.3)</w:t>
            </w:r>
          </w:p>
        </w:tc>
        <w:tc>
          <w:tcPr>
            <w:tcW w:w="1559" w:type="dxa"/>
          </w:tcPr>
          <w:p w:rsidR="00667608" w:rsidRDefault="00667608">
            <w:pPr>
              <w:pStyle w:val="A-TableText"/>
              <w:jc w:val="center"/>
              <w:rPr>
                <w:sz w:val="20"/>
              </w:rPr>
            </w:pPr>
            <w:r>
              <w:rPr>
                <w:sz w:val="20"/>
              </w:rPr>
              <w:t>17/20 (85.0)</w:t>
            </w:r>
          </w:p>
        </w:tc>
        <w:tc>
          <w:tcPr>
            <w:tcW w:w="1559" w:type="dxa"/>
          </w:tcPr>
          <w:p w:rsidR="00667608" w:rsidRDefault="00667608">
            <w:pPr>
              <w:pStyle w:val="A-TableText"/>
              <w:jc w:val="center"/>
              <w:rPr>
                <w:sz w:val="20"/>
              </w:rPr>
            </w:pPr>
            <w:r>
              <w:rPr>
                <w:sz w:val="20"/>
              </w:rPr>
              <w:t>15/18 (83.3)</w:t>
            </w:r>
          </w:p>
        </w:tc>
        <w:tc>
          <w:tcPr>
            <w:tcW w:w="1559" w:type="dxa"/>
          </w:tcPr>
          <w:p w:rsidR="00667608" w:rsidRDefault="00667608">
            <w:pPr>
              <w:pStyle w:val="A-TableText"/>
              <w:jc w:val="center"/>
              <w:rPr>
                <w:sz w:val="20"/>
              </w:rPr>
            </w:pPr>
            <w:r>
              <w:rPr>
                <w:sz w:val="20"/>
              </w:rPr>
              <w:t>17/20 (85.0)</w:t>
            </w:r>
          </w:p>
        </w:tc>
      </w:tr>
      <w:tr w:rsidR="00667608">
        <w:trPr>
          <w:cantSplit/>
        </w:trPr>
        <w:tc>
          <w:tcPr>
            <w:tcW w:w="2977" w:type="dxa"/>
          </w:tcPr>
          <w:p w:rsidR="00667608" w:rsidRDefault="00667608">
            <w:pPr>
              <w:pStyle w:val="A-TableText"/>
              <w:rPr>
                <w:i/>
                <w:sz w:val="20"/>
              </w:rPr>
            </w:pPr>
            <w:r>
              <w:rPr>
                <w:i/>
                <w:sz w:val="20"/>
              </w:rPr>
              <w:t>Haemophilus parainfluenzae</w:t>
            </w:r>
          </w:p>
        </w:tc>
        <w:tc>
          <w:tcPr>
            <w:tcW w:w="1560" w:type="dxa"/>
          </w:tcPr>
          <w:p w:rsidR="00667608" w:rsidRDefault="00667608">
            <w:pPr>
              <w:pStyle w:val="A-TableText"/>
              <w:jc w:val="center"/>
              <w:rPr>
                <w:sz w:val="20"/>
              </w:rPr>
            </w:pPr>
            <w:r>
              <w:rPr>
                <w:sz w:val="20"/>
              </w:rPr>
              <w:t>16/16 (100.0)</w:t>
            </w:r>
          </w:p>
        </w:tc>
        <w:tc>
          <w:tcPr>
            <w:tcW w:w="1559" w:type="dxa"/>
          </w:tcPr>
          <w:p w:rsidR="00667608" w:rsidRDefault="00667608">
            <w:pPr>
              <w:pStyle w:val="A-TableText"/>
              <w:jc w:val="center"/>
              <w:rPr>
                <w:sz w:val="20"/>
              </w:rPr>
            </w:pPr>
            <w:r>
              <w:rPr>
                <w:sz w:val="20"/>
              </w:rPr>
              <w:t>15/17 (88.2)</w:t>
            </w:r>
          </w:p>
        </w:tc>
        <w:tc>
          <w:tcPr>
            <w:tcW w:w="1559" w:type="dxa"/>
          </w:tcPr>
          <w:p w:rsidR="00667608" w:rsidRDefault="00667608">
            <w:pPr>
              <w:pStyle w:val="A-TableText"/>
              <w:jc w:val="center"/>
              <w:rPr>
                <w:sz w:val="20"/>
              </w:rPr>
            </w:pPr>
            <w:r>
              <w:rPr>
                <w:sz w:val="20"/>
              </w:rPr>
              <w:t>16/16 (100)</w:t>
            </w:r>
          </w:p>
        </w:tc>
        <w:tc>
          <w:tcPr>
            <w:tcW w:w="1559" w:type="dxa"/>
          </w:tcPr>
          <w:p w:rsidR="00667608" w:rsidRDefault="00667608">
            <w:pPr>
              <w:pStyle w:val="A-TableText"/>
              <w:jc w:val="center"/>
              <w:rPr>
                <w:sz w:val="20"/>
              </w:rPr>
            </w:pPr>
            <w:r>
              <w:rPr>
                <w:sz w:val="20"/>
              </w:rPr>
              <w:t>16/17 (94.1)</w:t>
            </w:r>
          </w:p>
        </w:tc>
      </w:tr>
      <w:tr w:rsidR="00667608">
        <w:trPr>
          <w:cantSplit/>
        </w:trPr>
        <w:tc>
          <w:tcPr>
            <w:tcW w:w="2977" w:type="dxa"/>
          </w:tcPr>
          <w:p w:rsidR="00667608" w:rsidRDefault="00667608">
            <w:pPr>
              <w:pStyle w:val="A-TableText"/>
              <w:rPr>
                <w:i/>
                <w:sz w:val="20"/>
              </w:rPr>
            </w:pPr>
            <w:r>
              <w:rPr>
                <w:i/>
                <w:sz w:val="20"/>
              </w:rPr>
              <w:t>Enterobacteriaceae:</w:t>
            </w:r>
          </w:p>
        </w:tc>
        <w:tc>
          <w:tcPr>
            <w:tcW w:w="1560" w:type="dxa"/>
          </w:tcPr>
          <w:p w:rsidR="00667608" w:rsidRDefault="00667608">
            <w:pPr>
              <w:pStyle w:val="A-TableText"/>
              <w:jc w:val="center"/>
              <w:rPr>
                <w:sz w:val="20"/>
              </w:rPr>
            </w:pPr>
          </w:p>
        </w:tc>
        <w:tc>
          <w:tcPr>
            <w:tcW w:w="1559" w:type="dxa"/>
          </w:tcPr>
          <w:p w:rsidR="00667608" w:rsidRDefault="00667608">
            <w:pPr>
              <w:pStyle w:val="A-TableText"/>
              <w:jc w:val="center"/>
              <w:rPr>
                <w:sz w:val="20"/>
              </w:rPr>
            </w:pPr>
          </w:p>
        </w:tc>
        <w:tc>
          <w:tcPr>
            <w:tcW w:w="1559" w:type="dxa"/>
          </w:tcPr>
          <w:p w:rsidR="00667608" w:rsidRDefault="00667608">
            <w:pPr>
              <w:pStyle w:val="A-TableText"/>
              <w:jc w:val="center"/>
              <w:rPr>
                <w:sz w:val="20"/>
              </w:rPr>
            </w:pPr>
          </w:p>
        </w:tc>
        <w:tc>
          <w:tcPr>
            <w:tcW w:w="1559" w:type="dxa"/>
          </w:tcPr>
          <w:p w:rsidR="00667608" w:rsidRDefault="00667608">
            <w:pPr>
              <w:pStyle w:val="A-TableText"/>
              <w:jc w:val="center"/>
              <w:rPr>
                <w:sz w:val="20"/>
              </w:rPr>
            </w:pPr>
          </w:p>
        </w:tc>
      </w:tr>
      <w:tr w:rsidR="00667608">
        <w:trPr>
          <w:cantSplit/>
        </w:trPr>
        <w:tc>
          <w:tcPr>
            <w:tcW w:w="2977" w:type="dxa"/>
          </w:tcPr>
          <w:p w:rsidR="00667608" w:rsidRDefault="00667608">
            <w:pPr>
              <w:pStyle w:val="A-TableText"/>
              <w:rPr>
                <w:i/>
                <w:sz w:val="20"/>
              </w:rPr>
            </w:pPr>
            <w:r>
              <w:rPr>
                <w:i/>
                <w:sz w:val="20"/>
              </w:rPr>
              <w:t xml:space="preserve">     Escherichia coli</w:t>
            </w:r>
          </w:p>
        </w:tc>
        <w:tc>
          <w:tcPr>
            <w:tcW w:w="1560" w:type="dxa"/>
          </w:tcPr>
          <w:p w:rsidR="00667608" w:rsidRDefault="00667608">
            <w:pPr>
              <w:pStyle w:val="A-TableText"/>
              <w:jc w:val="center"/>
              <w:rPr>
                <w:sz w:val="20"/>
              </w:rPr>
            </w:pPr>
            <w:r>
              <w:rPr>
                <w:sz w:val="20"/>
              </w:rPr>
              <w:t>10/12 (83.3)</w:t>
            </w:r>
          </w:p>
        </w:tc>
        <w:tc>
          <w:tcPr>
            <w:tcW w:w="1559" w:type="dxa"/>
          </w:tcPr>
          <w:p w:rsidR="00667608" w:rsidRDefault="00667608">
            <w:pPr>
              <w:pStyle w:val="A-TableText"/>
              <w:jc w:val="center"/>
              <w:rPr>
                <w:sz w:val="20"/>
              </w:rPr>
            </w:pPr>
            <w:r>
              <w:rPr>
                <w:sz w:val="20"/>
              </w:rPr>
              <w:t>9/12 (75.0)</w:t>
            </w:r>
          </w:p>
        </w:tc>
        <w:tc>
          <w:tcPr>
            <w:tcW w:w="1559" w:type="dxa"/>
          </w:tcPr>
          <w:p w:rsidR="00667608" w:rsidRDefault="00667608">
            <w:pPr>
              <w:pStyle w:val="A-TableText"/>
              <w:jc w:val="center"/>
              <w:rPr>
                <w:sz w:val="20"/>
              </w:rPr>
            </w:pPr>
            <w:r>
              <w:rPr>
                <w:sz w:val="20"/>
              </w:rPr>
              <w:t>10/12 (83.3)</w:t>
            </w:r>
          </w:p>
        </w:tc>
        <w:tc>
          <w:tcPr>
            <w:tcW w:w="1559" w:type="dxa"/>
          </w:tcPr>
          <w:p w:rsidR="00667608" w:rsidRDefault="00667608">
            <w:pPr>
              <w:pStyle w:val="A-TableText"/>
              <w:jc w:val="center"/>
              <w:rPr>
                <w:sz w:val="20"/>
              </w:rPr>
            </w:pPr>
            <w:r>
              <w:rPr>
                <w:sz w:val="20"/>
              </w:rPr>
              <w:t>11/12 (91.7)</w:t>
            </w:r>
          </w:p>
        </w:tc>
      </w:tr>
      <w:tr w:rsidR="00667608">
        <w:trPr>
          <w:cantSplit/>
        </w:trPr>
        <w:tc>
          <w:tcPr>
            <w:tcW w:w="2977" w:type="dxa"/>
            <w:tcBorders>
              <w:bottom w:val="single" w:sz="4" w:space="0" w:color="auto"/>
            </w:tcBorders>
          </w:tcPr>
          <w:p w:rsidR="00667608" w:rsidRDefault="00667608">
            <w:pPr>
              <w:pStyle w:val="A-TableText"/>
              <w:rPr>
                <w:i/>
                <w:sz w:val="20"/>
              </w:rPr>
            </w:pPr>
            <w:r>
              <w:rPr>
                <w:i/>
                <w:sz w:val="20"/>
              </w:rPr>
              <w:t xml:space="preserve">     Klebsiella pneumoniae</w:t>
            </w:r>
          </w:p>
        </w:tc>
        <w:tc>
          <w:tcPr>
            <w:tcW w:w="1560" w:type="dxa"/>
            <w:tcBorders>
              <w:bottom w:val="single" w:sz="4" w:space="0" w:color="auto"/>
            </w:tcBorders>
          </w:tcPr>
          <w:p w:rsidR="00667608" w:rsidRDefault="00667608">
            <w:pPr>
              <w:pStyle w:val="A-TableText"/>
              <w:jc w:val="center"/>
              <w:rPr>
                <w:sz w:val="20"/>
              </w:rPr>
            </w:pPr>
            <w:r>
              <w:rPr>
                <w:sz w:val="20"/>
              </w:rPr>
              <w:t>13/13 (100.0)</w:t>
            </w:r>
          </w:p>
        </w:tc>
        <w:tc>
          <w:tcPr>
            <w:tcW w:w="1559" w:type="dxa"/>
            <w:tcBorders>
              <w:bottom w:val="single" w:sz="4" w:space="0" w:color="auto"/>
            </w:tcBorders>
          </w:tcPr>
          <w:p w:rsidR="00667608" w:rsidRDefault="00667608">
            <w:pPr>
              <w:pStyle w:val="A-TableText"/>
              <w:jc w:val="center"/>
              <w:rPr>
                <w:sz w:val="20"/>
              </w:rPr>
            </w:pPr>
            <w:r>
              <w:rPr>
                <w:sz w:val="20"/>
              </w:rPr>
              <w:t>10/12 (83.3)</w:t>
            </w:r>
          </w:p>
        </w:tc>
        <w:tc>
          <w:tcPr>
            <w:tcW w:w="1559" w:type="dxa"/>
            <w:tcBorders>
              <w:bottom w:val="single" w:sz="4" w:space="0" w:color="auto"/>
            </w:tcBorders>
          </w:tcPr>
          <w:p w:rsidR="00667608" w:rsidRDefault="00667608">
            <w:pPr>
              <w:pStyle w:val="A-TableText"/>
              <w:jc w:val="center"/>
              <w:rPr>
                <w:sz w:val="20"/>
              </w:rPr>
            </w:pPr>
            <w:r>
              <w:rPr>
                <w:sz w:val="20"/>
              </w:rPr>
              <w:t>13/13 (100)</w:t>
            </w:r>
          </w:p>
        </w:tc>
        <w:tc>
          <w:tcPr>
            <w:tcW w:w="1559" w:type="dxa"/>
            <w:tcBorders>
              <w:bottom w:val="single" w:sz="4" w:space="0" w:color="auto"/>
            </w:tcBorders>
          </w:tcPr>
          <w:p w:rsidR="00667608" w:rsidRDefault="00667608">
            <w:pPr>
              <w:pStyle w:val="A-TableText"/>
              <w:jc w:val="center"/>
              <w:rPr>
                <w:sz w:val="20"/>
              </w:rPr>
            </w:pPr>
            <w:r>
              <w:rPr>
                <w:sz w:val="20"/>
              </w:rPr>
              <w:t>10/12 (83.3)</w:t>
            </w:r>
          </w:p>
        </w:tc>
      </w:tr>
      <w:tr w:rsidR="00667608">
        <w:trPr>
          <w:cantSplit/>
        </w:trPr>
        <w:tc>
          <w:tcPr>
            <w:tcW w:w="2977" w:type="dxa"/>
            <w:tcBorders>
              <w:top w:val="single" w:sz="4" w:space="0" w:color="auto"/>
            </w:tcBorders>
          </w:tcPr>
          <w:p w:rsidR="00667608" w:rsidRDefault="00667608">
            <w:pPr>
              <w:pStyle w:val="A-TableText"/>
              <w:rPr>
                <w:b/>
                <w:sz w:val="20"/>
              </w:rPr>
            </w:pPr>
            <w:r>
              <w:rPr>
                <w:b/>
                <w:sz w:val="20"/>
              </w:rPr>
              <w:t>Monomicrobial infections</w:t>
            </w:r>
          </w:p>
        </w:tc>
        <w:tc>
          <w:tcPr>
            <w:tcW w:w="1560" w:type="dxa"/>
            <w:tcBorders>
              <w:top w:val="single" w:sz="4" w:space="0" w:color="auto"/>
            </w:tcBorders>
          </w:tcPr>
          <w:p w:rsidR="00667608" w:rsidRDefault="00667608">
            <w:pPr>
              <w:pStyle w:val="A-TableText"/>
              <w:jc w:val="center"/>
              <w:rPr>
                <w:sz w:val="20"/>
              </w:rPr>
            </w:pPr>
            <w:r>
              <w:rPr>
                <w:sz w:val="20"/>
              </w:rPr>
              <w:t>95/111 (85.6)</w:t>
            </w:r>
          </w:p>
        </w:tc>
        <w:tc>
          <w:tcPr>
            <w:tcW w:w="1559" w:type="dxa"/>
            <w:tcBorders>
              <w:top w:val="single" w:sz="4" w:space="0" w:color="auto"/>
            </w:tcBorders>
          </w:tcPr>
          <w:p w:rsidR="00667608" w:rsidRDefault="00667608">
            <w:pPr>
              <w:pStyle w:val="A-TableText"/>
              <w:jc w:val="center"/>
              <w:rPr>
                <w:sz w:val="20"/>
              </w:rPr>
            </w:pPr>
            <w:r>
              <w:rPr>
                <w:sz w:val="20"/>
              </w:rPr>
              <w:t>80/102 (78.4)</w:t>
            </w:r>
          </w:p>
        </w:tc>
        <w:tc>
          <w:tcPr>
            <w:tcW w:w="1559" w:type="dxa"/>
            <w:tcBorders>
              <w:top w:val="single" w:sz="4" w:space="0" w:color="auto"/>
            </w:tcBorders>
          </w:tcPr>
          <w:p w:rsidR="00667608" w:rsidRDefault="00667608">
            <w:pPr>
              <w:pStyle w:val="A-TableText"/>
              <w:jc w:val="center"/>
              <w:rPr>
                <w:sz w:val="20"/>
              </w:rPr>
            </w:pPr>
            <w:r>
              <w:rPr>
                <w:sz w:val="20"/>
              </w:rPr>
              <w:t>98/111 (83.3)</w:t>
            </w:r>
          </w:p>
        </w:tc>
        <w:tc>
          <w:tcPr>
            <w:tcW w:w="1559" w:type="dxa"/>
            <w:tcBorders>
              <w:top w:val="single" w:sz="4" w:space="0" w:color="auto"/>
            </w:tcBorders>
          </w:tcPr>
          <w:p w:rsidR="00667608" w:rsidRDefault="00667608">
            <w:pPr>
              <w:pStyle w:val="A-TableText"/>
              <w:jc w:val="center"/>
              <w:rPr>
                <w:sz w:val="20"/>
              </w:rPr>
            </w:pPr>
            <w:r>
              <w:rPr>
                <w:sz w:val="20"/>
              </w:rPr>
              <w:t>84/102 (82.4)</w:t>
            </w:r>
          </w:p>
        </w:tc>
      </w:tr>
      <w:tr w:rsidR="00667608">
        <w:trPr>
          <w:cantSplit/>
        </w:trPr>
        <w:tc>
          <w:tcPr>
            <w:tcW w:w="2977" w:type="dxa"/>
            <w:tcBorders>
              <w:bottom w:val="single" w:sz="12" w:space="0" w:color="auto"/>
            </w:tcBorders>
          </w:tcPr>
          <w:p w:rsidR="00667608" w:rsidRDefault="00667608">
            <w:pPr>
              <w:pStyle w:val="A-TableText"/>
              <w:rPr>
                <w:b/>
                <w:sz w:val="20"/>
              </w:rPr>
            </w:pPr>
            <w:r>
              <w:rPr>
                <w:b/>
                <w:sz w:val="20"/>
              </w:rPr>
              <w:t>Polymicrobial infections</w:t>
            </w:r>
          </w:p>
        </w:tc>
        <w:tc>
          <w:tcPr>
            <w:tcW w:w="1560" w:type="dxa"/>
            <w:tcBorders>
              <w:bottom w:val="single" w:sz="12" w:space="0" w:color="auto"/>
            </w:tcBorders>
          </w:tcPr>
          <w:p w:rsidR="00667608" w:rsidRDefault="00667608">
            <w:pPr>
              <w:pStyle w:val="A-TableText"/>
              <w:jc w:val="center"/>
              <w:rPr>
                <w:sz w:val="20"/>
              </w:rPr>
            </w:pPr>
            <w:r>
              <w:rPr>
                <w:sz w:val="20"/>
              </w:rPr>
              <w:t>36/43 (83.7)</w:t>
            </w:r>
          </w:p>
        </w:tc>
        <w:tc>
          <w:tcPr>
            <w:tcW w:w="1559" w:type="dxa"/>
            <w:tcBorders>
              <w:bottom w:val="single" w:sz="12" w:space="0" w:color="auto"/>
            </w:tcBorders>
          </w:tcPr>
          <w:p w:rsidR="00667608" w:rsidRDefault="00667608">
            <w:pPr>
              <w:pStyle w:val="A-TableText"/>
              <w:jc w:val="center"/>
              <w:rPr>
                <w:sz w:val="20"/>
              </w:rPr>
            </w:pPr>
            <w:r>
              <w:rPr>
                <w:sz w:val="20"/>
              </w:rPr>
              <w:t>31/45 (68.9)</w:t>
            </w:r>
          </w:p>
        </w:tc>
        <w:tc>
          <w:tcPr>
            <w:tcW w:w="1559" w:type="dxa"/>
            <w:tcBorders>
              <w:bottom w:val="single" w:sz="12" w:space="0" w:color="auto"/>
            </w:tcBorders>
          </w:tcPr>
          <w:p w:rsidR="00667608" w:rsidRDefault="00667608">
            <w:pPr>
              <w:pStyle w:val="A-TableText"/>
              <w:jc w:val="center"/>
              <w:rPr>
                <w:sz w:val="20"/>
              </w:rPr>
            </w:pPr>
            <w:r>
              <w:rPr>
                <w:sz w:val="20"/>
              </w:rPr>
              <w:t>36/43 (83.7)</w:t>
            </w:r>
          </w:p>
        </w:tc>
        <w:tc>
          <w:tcPr>
            <w:tcW w:w="1559" w:type="dxa"/>
            <w:tcBorders>
              <w:bottom w:val="single" w:sz="12" w:space="0" w:color="auto"/>
            </w:tcBorders>
          </w:tcPr>
          <w:p w:rsidR="00667608" w:rsidRDefault="00667608">
            <w:pPr>
              <w:pStyle w:val="A-TableText"/>
              <w:jc w:val="center"/>
              <w:rPr>
                <w:sz w:val="20"/>
              </w:rPr>
            </w:pPr>
            <w:r>
              <w:rPr>
                <w:sz w:val="20"/>
              </w:rPr>
              <w:t>35/45 (77.8)</w:t>
            </w:r>
          </w:p>
        </w:tc>
      </w:tr>
    </w:tbl>
    <w:p w:rsidR="00667608" w:rsidRDefault="00667608">
      <w:pPr>
        <w:pStyle w:val="A-TableFootnoteText"/>
        <w:ind w:left="431" w:hanging="431"/>
        <w:rPr>
          <w:szCs w:val="18"/>
        </w:rPr>
      </w:pPr>
      <w:r>
        <w:rPr>
          <w:szCs w:val="18"/>
        </w:rPr>
        <w:t xml:space="preserve">CAP – community acquired pneumonia; ME – microbiologically evaluable; Ceftriax. – Ceftriaxone;  MDRSP – multi-drug resistant </w:t>
      </w:r>
      <w:r>
        <w:rPr>
          <w:i/>
          <w:szCs w:val="18"/>
        </w:rPr>
        <w:t>S. pneumoniae</w:t>
      </w:r>
      <w:r>
        <w:rPr>
          <w:szCs w:val="18"/>
        </w:rPr>
        <w:t xml:space="preserve">; MSSA – methicillin-susceptible </w:t>
      </w:r>
      <w:r>
        <w:rPr>
          <w:i/>
          <w:szCs w:val="18"/>
        </w:rPr>
        <w:t xml:space="preserve">S. aureus;  </w:t>
      </w:r>
      <w:r>
        <w:rPr>
          <w:szCs w:val="18"/>
        </w:rPr>
        <w:t xml:space="preserve">N/A – not applicable; </w:t>
      </w:r>
      <w:r>
        <w:rPr>
          <w:szCs w:val="18"/>
          <w:vertAlign w:val="superscript"/>
        </w:rPr>
        <w:t>a</w:t>
      </w:r>
      <w:r>
        <w:rPr>
          <w:szCs w:val="18"/>
        </w:rPr>
        <w:t xml:space="preserve"> presumed eradication and/or eradication of causative pathogen; *includes 2 patients with methicillin-resistant </w:t>
      </w:r>
      <w:r>
        <w:rPr>
          <w:i/>
          <w:szCs w:val="18"/>
        </w:rPr>
        <w:t>S. aureus</w:t>
      </w:r>
    </w:p>
    <w:p w:rsidR="00667608" w:rsidRDefault="00667608">
      <w:pPr>
        <w:pStyle w:val="A-Heading1"/>
        <w:rPr>
          <w:lang w:val="en-AU"/>
        </w:rPr>
      </w:pPr>
      <w:r>
        <w:rPr>
          <w:lang w:val="en-AU"/>
        </w:rPr>
        <w:t>INDICATIONS</w:t>
      </w:r>
    </w:p>
    <w:p w:rsidR="00667608" w:rsidRDefault="00667608">
      <w:r>
        <w:t>Zinforo is indicated for the treatment of patients with the following infections proven or strongly suspected to be caused by designated susceptible bacteria:</w:t>
      </w:r>
    </w:p>
    <w:p w:rsidR="00667608" w:rsidRDefault="00667608">
      <w:pPr>
        <w:pStyle w:val="A-ListBullet"/>
      </w:pPr>
      <w:r>
        <w:t>Complicated skin and soft tissue infections</w:t>
      </w:r>
    </w:p>
    <w:p w:rsidR="00667608" w:rsidRDefault="00667608">
      <w:pPr>
        <w:pStyle w:val="A-ListBullet"/>
      </w:pPr>
      <w:r>
        <w:t>Community-acquired pneumonia</w:t>
      </w:r>
    </w:p>
    <w:p w:rsidR="00667608" w:rsidRDefault="00667608">
      <w:pPr>
        <w:pStyle w:val="A-Heading1"/>
        <w:rPr>
          <w:lang w:val="en-AU"/>
        </w:rPr>
      </w:pPr>
      <w:r>
        <w:rPr>
          <w:lang w:val="en-AU"/>
        </w:rPr>
        <w:t>CONTRAINDICATIONS</w:t>
      </w:r>
    </w:p>
    <w:p w:rsidR="00667608" w:rsidRDefault="00667608">
      <w:r>
        <w:t>Hypersensitivity to ceftaroline fosamil or L-arginine (excipient).</w:t>
      </w:r>
    </w:p>
    <w:p w:rsidR="00667608" w:rsidRDefault="00667608">
      <w:r>
        <w:t>Hypersensitivity to the cephalosporin class of antibiotics.</w:t>
      </w:r>
    </w:p>
    <w:p w:rsidR="00667608" w:rsidRDefault="00667608">
      <w:pPr>
        <w:rPr>
          <w:i/>
        </w:rPr>
      </w:pPr>
      <w:r>
        <w:t xml:space="preserve">Immediate and severe hypersensitivity (eg anaphylactic reaction) to any other type of </w:t>
      </w:r>
      <w:r>
        <w:rPr>
          <w:rFonts w:cs="Arial"/>
        </w:rPr>
        <w:t>β</w:t>
      </w:r>
      <w:r>
        <w:t>-lactam antibiotic (eg penicillins or carbapenems).</w:t>
      </w:r>
    </w:p>
    <w:p w:rsidR="00667608" w:rsidRDefault="00667608">
      <w:pPr>
        <w:pStyle w:val="A-Heading1"/>
      </w:pPr>
      <w:r>
        <w:lastRenderedPageBreak/>
        <w:t>Precautions</w:t>
      </w:r>
    </w:p>
    <w:p w:rsidR="00667608" w:rsidRDefault="00667608">
      <w:pPr>
        <w:pStyle w:val="A-Heading2"/>
      </w:pPr>
      <w:r>
        <w:t>Hypersensitivity reactions</w:t>
      </w:r>
    </w:p>
    <w:p w:rsidR="00667608" w:rsidRDefault="00667608">
      <w:pPr>
        <w:rPr>
          <w:lang w:val="en-GB"/>
        </w:rPr>
      </w:pPr>
      <w:r>
        <w:rPr>
          <w:lang w:val="en-GB"/>
        </w:rPr>
        <w:t xml:space="preserve">As with all </w:t>
      </w:r>
      <w:r>
        <w:rPr>
          <w:rFonts w:cs="Arial"/>
          <w:lang w:val="en-GB"/>
        </w:rPr>
        <w:t>β</w:t>
      </w:r>
      <w:r>
        <w:rPr>
          <w:lang w:val="en-GB"/>
        </w:rPr>
        <w:t xml:space="preserve">-lactam antibiotics, serious and occasionally fatal hypersensitivity reactions are possible (see </w:t>
      </w:r>
      <w:r>
        <w:rPr>
          <w:i/>
          <w:lang w:val="en-GB"/>
        </w:rPr>
        <w:t>Contraindications</w:t>
      </w:r>
      <w:r>
        <w:rPr>
          <w:lang w:val="en-GB"/>
        </w:rPr>
        <w:t xml:space="preserve"> and </w:t>
      </w:r>
      <w:r>
        <w:rPr>
          <w:i/>
          <w:lang w:val="en-GB"/>
        </w:rPr>
        <w:t>Adverse effects</w:t>
      </w:r>
      <w:r>
        <w:rPr>
          <w:lang w:val="en-GB"/>
        </w:rPr>
        <w:t>).</w:t>
      </w:r>
    </w:p>
    <w:p w:rsidR="00667608" w:rsidRDefault="00667608">
      <w:pPr>
        <w:rPr>
          <w:lang w:val="en-GB"/>
        </w:rPr>
      </w:pPr>
      <w:r>
        <w:rPr>
          <w:lang w:val="en-GB"/>
        </w:rPr>
        <w:t xml:space="preserve">Patients who have a history of hypersensitivity to cephalosporins, penicillins or other </w:t>
      </w:r>
      <w:r>
        <w:rPr>
          <w:rFonts w:cs="Arial"/>
          <w:lang w:val="en-GB"/>
        </w:rPr>
        <w:t>β</w:t>
      </w:r>
      <w:r>
        <w:rPr>
          <w:lang w:val="en-GB"/>
        </w:rPr>
        <w:t xml:space="preserve">-lactam antibiotics may also be hypersensitive to ceftaroline fosamil.  Before initiating therapy with Zinforo, careful inquiry should be made concerning previous hypersensitivity reactions to </w:t>
      </w:r>
      <w:r>
        <w:rPr>
          <w:rFonts w:cs="Arial"/>
          <w:lang w:val="en-GB"/>
        </w:rPr>
        <w:t>β</w:t>
      </w:r>
      <w:r>
        <w:rPr>
          <w:lang w:val="en-GB"/>
        </w:rPr>
        <w:t xml:space="preserve">-lactam antibiotics.  If a patient developed an immediate and severe hypersensitivity (eg anaphylactic reaction) previously to any type of </w:t>
      </w:r>
      <w:r>
        <w:rPr>
          <w:rFonts w:cs="Arial"/>
          <w:lang w:val="en-GB"/>
        </w:rPr>
        <w:t>β</w:t>
      </w:r>
      <w:r>
        <w:rPr>
          <w:lang w:val="en-GB"/>
        </w:rPr>
        <w:t xml:space="preserve">-lactam antibiotic, ceftaroline fosamil should not be administered (see </w:t>
      </w:r>
      <w:r>
        <w:rPr>
          <w:i/>
          <w:lang w:val="en-GB"/>
        </w:rPr>
        <w:t>Contraindications</w:t>
      </w:r>
      <w:r>
        <w:rPr>
          <w:lang w:val="en-GB"/>
        </w:rPr>
        <w:t>).</w:t>
      </w:r>
    </w:p>
    <w:p w:rsidR="00667608" w:rsidRDefault="00667608">
      <w:pPr>
        <w:rPr>
          <w:lang w:val="en-GB"/>
        </w:rPr>
      </w:pPr>
      <w:r>
        <w:rPr>
          <w:lang w:val="en-GB"/>
        </w:rPr>
        <w:t>If a severe allergic reaction occurs, Zinforo should be discontinued and appropriate measures taken.</w:t>
      </w:r>
    </w:p>
    <w:p w:rsidR="00667608" w:rsidRDefault="00667608">
      <w:pPr>
        <w:pStyle w:val="A-Heading2"/>
      </w:pPr>
      <w:r>
        <w:rPr>
          <w:i/>
        </w:rPr>
        <w:t>Clostridium difficile</w:t>
      </w:r>
      <w:r>
        <w:t>-associated diarrhoea</w:t>
      </w:r>
    </w:p>
    <w:p w:rsidR="00667608" w:rsidRDefault="00667608">
      <w:pPr>
        <w:rPr>
          <w:lang w:val="en-GB"/>
        </w:rPr>
      </w:pPr>
      <w:r>
        <w:rPr>
          <w:lang w:val="en-GB"/>
        </w:rPr>
        <w:t xml:space="preserve">Antibacterial-associated colitis and pseudomembranous colitis have been reported with nearly all antibacterial agents, including Zinforo, and may range in severity from mild to life threatening.  Therefore, it is important to consider this diagnosis in patients who present with diarrhoea during, or subsequent to, the administration of Zinforo (see </w:t>
      </w:r>
      <w:r>
        <w:rPr>
          <w:i/>
          <w:lang w:val="en-GB"/>
        </w:rPr>
        <w:t>Adverse effects</w:t>
      </w:r>
      <w:r>
        <w:rPr>
          <w:lang w:val="en-GB"/>
        </w:rPr>
        <w:t xml:space="preserve">).  In such circumstance, the discontinuation of therapy with Zinforo and the use of supportive measures together with the administration of specific treatment for </w:t>
      </w:r>
      <w:r>
        <w:rPr>
          <w:i/>
          <w:lang w:val="en-GB"/>
        </w:rPr>
        <w:t>Clostridium difficile</w:t>
      </w:r>
      <w:r>
        <w:rPr>
          <w:lang w:val="en-GB"/>
        </w:rPr>
        <w:t xml:space="preserve"> should be considered.</w:t>
      </w:r>
    </w:p>
    <w:p w:rsidR="00667608" w:rsidRDefault="00667608">
      <w:pPr>
        <w:pStyle w:val="A-Heading2"/>
      </w:pPr>
      <w:r>
        <w:t>Patients with pre-existing seizure disorder</w:t>
      </w:r>
    </w:p>
    <w:p w:rsidR="00667608" w:rsidRDefault="00667608">
      <w:pPr>
        <w:rPr>
          <w:lang w:val="en-GB"/>
        </w:rPr>
      </w:pPr>
      <w:r>
        <w:rPr>
          <w:lang w:val="en-GB"/>
        </w:rPr>
        <w:t>Clinical study experience with ceftaroline in patients with pre-existing seizure disorders is limited.  Therefore, Zinforo should be used with caution in this patient population.  As with other cephalosporins, seizures have occurred in ceftaroline toxicology studies at 7-25 times human C</w:t>
      </w:r>
      <w:r>
        <w:rPr>
          <w:vertAlign w:val="subscript"/>
          <w:lang w:val="en-GB"/>
        </w:rPr>
        <w:t>max</w:t>
      </w:r>
      <w:r>
        <w:rPr>
          <w:lang w:val="en-GB"/>
        </w:rPr>
        <w:t xml:space="preserve"> levels.</w:t>
      </w:r>
    </w:p>
    <w:p w:rsidR="00667608" w:rsidRDefault="00667608">
      <w:pPr>
        <w:pStyle w:val="A-Heading2"/>
      </w:pPr>
      <w:r>
        <w:t>Patients with renal impairment</w:t>
      </w:r>
    </w:p>
    <w:p w:rsidR="00667608" w:rsidRDefault="00667608">
      <w:pPr>
        <w:rPr>
          <w:lang w:val="en-GB"/>
        </w:rPr>
      </w:pPr>
      <w:r>
        <w:rPr>
          <w:lang w:val="en-GB"/>
        </w:rPr>
        <w:t xml:space="preserve">Clinical study experience with ceftaroline in patients with severe renal impairment and end stage renal disease (ESRD) is limited.  Therefore, use of Zinforo is not recommended in these patient populations (see </w:t>
      </w:r>
      <w:r>
        <w:rPr>
          <w:i/>
          <w:lang w:val="en-GB"/>
        </w:rPr>
        <w:t>Pharmacokinetics</w:t>
      </w:r>
      <w:r>
        <w:rPr>
          <w:lang w:val="en-GB"/>
        </w:rPr>
        <w:t>).</w:t>
      </w:r>
    </w:p>
    <w:p w:rsidR="00667608" w:rsidRDefault="00667608">
      <w:pPr>
        <w:pStyle w:val="A-Heading2"/>
      </w:pPr>
      <w:r>
        <w:t>Coombs test (direct antiglobulin test) seroconversion and potential risk of haemolytic anaemia</w:t>
      </w:r>
    </w:p>
    <w:p w:rsidR="00667608" w:rsidRDefault="00667608">
      <w:pPr>
        <w:rPr>
          <w:lang w:val="en-GB"/>
        </w:rPr>
      </w:pPr>
      <w:r>
        <w:rPr>
          <w:lang w:val="en-GB"/>
        </w:rPr>
        <w:t xml:space="preserve">The development of a positive Coombs test (direct antiglobulin test) may occur during treatment with cephalosporins.  The incidence of Coombs test seroconversion in patients receiving ceftaroline fosamil was 10.7% (120/1117) in the pooled Phase III studies.  In clinical studies there was no evidence of haemolysis in patients who developed a positive Coombs test on treatment.  However, the possibility that haemolytic anaemia may occur in association with cephalosporins including Zinforo </w:t>
      </w:r>
      <w:r>
        <w:rPr>
          <w:lang w:val="en-GB"/>
        </w:rPr>
        <w:lastRenderedPageBreak/>
        <w:t>treatment cannot be ruled out.  Patients experiencing anaemia during or after treatment with Zinforo should be investigated for this possibility.</w:t>
      </w:r>
    </w:p>
    <w:p w:rsidR="00667608" w:rsidRDefault="00667608">
      <w:pPr>
        <w:pStyle w:val="A-Heading2"/>
      </w:pPr>
      <w:r>
        <w:t>Appropriate use of antibiotics</w:t>
      </w:r>
    </w:p>
    <w:p w:rsidR="00667608" w:rsidRDefault="00667608">
      <w:pPr>
        <w:rPr>
          <w:lang w:val="en-GB"/>
        </w:rPr>
      </w:pPr>
      <w:r>
        <w:t xml:space="preserve">Consideration should be given to official guidance on the appropriate use of antibiotics (see also </w:t>
      </w:r>
      <w:r>
        <w:rPr>
          <w:i/>
        </w:rPr>
        <w:t>Dosage and Administration</w:t>
      </w:r>
      <w:r>
        <w:t xml:space="preserve"> and </w:t>
      </w:r>
      <w:r>
        <w:rPr>
          <w:i/>
        </w:rPr>
        <w:t>Pharmacology – Susceptibility testing</w:t>
      </w:r>
      <w:r>
        <w:t xml:space="preserve"> sections).</w:t>
      </w:r>
    </w:p>
    <w:p w:rsidR="00667608" w:rsidRDefault="00667608">
      <w:pPr>
        <w:pStyle w:val="A-Heading2"/>
      </w:pPr>
      <w:r>
        <w:t>Non-susceptible organisms</w:t>
      </w:r>
    </w:p>
    <w:p w:rsidR="00667608" w:rsidRDefault="00667608">
      <w:pPr>
        <w:rPr>
          <w:lang w:val="en-GB"/>
        </w:rPr>
      </w:pPr>
      <w:r>
        <w:rPr>
          <w:lang w:val="en-GB"/>
        </w:rPr>
        <w:t>Superinfections may occur as with other antibiotics.</w:t>
      </w:r>
    </w:p>
    <w:p w:rsidR="00667608" w:rsidRDefault="00667608">
      <w:pPr>
        <w:pStyle w:val="A-Heading2"/>
        <w:rPr>
          <w:lang w:val="en-AU"/>
        </w:rPr>
      </w:pPr>
      <w:r>
        <w:rPr>
          <w:lang w:val="en-AU"/>
        </w:rPr>
        <w:t>Effects on fertility</w:t>
      </w:r>
    </w:p>
    <w:p w:rsidR="00667608" w:rsidRDefault="00667608">
      <w:r>
        <w:t>No adverse effects were observed on fertility of male and female rats given up to 450 mg/kg/day (approximately 4-fold higher than the maximum recommended human dose based on body surface area).</w:t>
      </w:r>
    </w:p>
    <w:p w:rsidR="00667608" w:rsidRDefault="00667608">
      <w:pPr>
        <w:pStyle w:val="A-Heading2"/>
      </w:pPr>
      <w:r>
        <w:t>Use in pregnancy – Category B1</w:t>
      </w:r>
    </w:p>
    <w:p w:rsidR="00667608" w:rsidRDefault="00667608">
      <w:r>
        <w:t>No clinical data on pregnancies are available for ceftaroline.  Zinforo should not be used during pregnancy unless clearly necessary and only if the potential benefit outweighs the possible risk.</w:t>
      </w:r>
    </w:p>
    <w:p w:rsidR="00667608" w:rsidRDefault="00667608">
      <w:r>
        <w:t>Animal studies with ceftaroline fosamil do not indicate harmful effects with respect to pregnancy, parturition or postnatal development.  Reproductive studies in pregnant rabbits resulted in an increased foetal incidence of angulated hyoid alae, a common skeletal variation in rabbit foetuses, at systemic exposures around 0.6 times those produced in humans dosed at 600 mg twice daily.  In the rat, no adverse effects were observed on embryofoetal or postnatal development at systemic exposures around 2-4 times those produced in humans dosed at 600 mg twice daily.</w:t>
      </w:r>
    </w:p>
    <w:p w:rsidR="00667608" w:rsidRDefault="00667608">
      <w:pPr>
        <w:pStyle w:val="A-Heading2"/>
        <w:rPr>
          <w:lang w:val="en-AU"/>
        </w:rPr>
      </w:pPr>
      <w:r>
        <w:rPr>
          <w:lang w:val="en-AU"/>
        </w:rPr>
        <w:t>Use in lactation</w:t>
      </w:r>
    </w:p>
    <w:p w:rsidR="00667608" w:rsidRDefault="00667608">
      <w:r>
        <w:t xml:space="preserve">It is not known whether ceftaroline is excreted in human milk.  As many </w:t>
      </w:r>
      <w:r>
        <w:rPr>
          <w:rFonts w:cs="Arial"/>
        </w:rPr>
        <w:t>β</w:t>
      </w:r>
      <w:r>
        <w:t>-lactams are excreted in breast milk, women who are breast-feeding should be treated with Zinforo only if clearly indicated and interruption of breast feeding is recommended.</w:t>
      </w:r>
    </w:p>
    <w:p w:rsidR="00667608" w:rsidRDefault="00667608">
      <w:pPr>
        <w:pStyle w:val="A-Heading2"/>
        <w:rPr>
          <w:lang w:val="en-AU"/>
        </w:rPr>
      </w:pPr>
      <w:r>
        <w:rPr>
          <w:lang w:val="en-AU"/>
        </w:rPr>
        <w:t>Use in children</w:t>
      </w:r>
    </w:p>
    <w:p w:rsidR="00667608" w:rsidRDefault="00667608">
      <w:pPr>
        <w:rPr>
          <w:i/>
        </w:rPr>
      </w:pPr>
      <w:r>
        <w:t>The safety and efficacy of Zinforo in children aged from birth to &lt;18 years have not been established.</w:t>
      </w:r>
    </w:p>
    <w:p w:rsidR="00667608" w:rsidRDefault="00667608">
      <w:pPr>
        <w:pStyle w:val="A-Heading2"/>
        <w:rPr>
          <w:lang w:val="en-AU"/>
        </w:rPr>
      </w:pPr>
      <w:r>
        <w:rPr>
          <w:lang w:val="en-AU"/>
        </w:rPr>
        <w:t>Use in elderly</w:t>
      </w:r>
    </w:p>
    <w:p w:rsidR="00667608" w:rsidRDefault="00667608">
      <w:r>
        <w:t xml:space="preserve">No dose adjustment is required in the elderly with CrCL values &gt;50 mL/min (see </w:t>
      </w:r>
      <w:r>
        <w:rPr>
          <w:i/>
        </w:rPr>
        <w:t>Pharmacokinetics</w:t>
      </w:r>
      <w:r>
        <w:t xml:space="preserve"> and </w:t>
      </w:r>
      <w:r>
        <w:rPr>
          <w:i/>
        </w:rPr>
        <w:t>Dosage and Administration</w:t>
      </w:r>
      <w:r>
        <w:t>).</w:t>
      </w:r>
    </w:p>
    <w:p w:rsidR="00667608" w:rsidRDefault="00667608">
      <w:pPr>
        <w:pStyle w:val="A-Heading2"/>
        <w:rPr>
          <w:lang w:val="en-AU"/>
        </w:rPr>
      </w:pPr>
      <w:r>
        <w:rPr>
          <w:lang w:val="en-AU"/>
        </w:rPr>
        <w:lastRenderedPageBreak/>
        <w:t>Genotoxicity</w:t>
      </w:r>
    </w:p>
    <w:p w:rsidR="00667608" w:rsidRDefault="00667608">
      <w:r>
        <w:t xml:space="preserve">Ceftaroline fosamil and ceftaroline were clastogenic in an </w:t>
      </w:r>
      <w:r>
        <w:rPr>
          <w:i/>
        </w:rPr>
        <w:t>in vitro</w:t>
      </w:r>
      <w:r>
        <w:t xml:space="preserve"> chromosomal aberration assay, however there was no evidence of mutagenic activity in Ames and mouse lymphoma assays.  Furthermore, </w:t>
      </w:r>
      <w:r>
        <w:rPr>
          <w:i/>
        </w:rPr>
        <w:t>in vivo</w:t>
      </w:r>
      <w:r>
        <w:t xml:space="preserve"> micronucleus assays in rat and mouse were negative.</w:t>
      </w:r>
    </w:p>
    <w:p w:rsidR="00667608" w:rsidRDefault="00667608">
      <w:pPr>
        <w:pStyle w:val="A-Heading2"/>
        <w:rPr>
          <w:lang w:val="en-AU"/>
        </w:rPr>
      </w:pPr>
      <w:r>
        <w:rPr>
          <w:lang w:val="en-AU"/>
        </w:rPr>
        <w:t>Carcinogenicity</w:t>
      </w:r>
    </w:p>
    <w:p w:rsidR="00667608" w:rsidRDefault="00667608">
      <w:r>
        <w:t>Carcinogenicity studies have not been conducted.</w:t>
      </w:r>
    </w:p>
    <w:p w:rsidR="00667608" w:rsidRDefault="00667608">
      <w:pPr>
        <w:pStyle w:val="A-Heading2"/>
      </w:pPr>
      <w:r>
        <w:t>Effects on ability to drive and use machines</w:t>
      </w:r>
    </w:p>
    <w:p w:rsidR="00667608" w:rsidRDefault="00667608">
      <w:r>
        <w:t>No studies on the effects on the ability to drive and use machines have been performed.</w:t>
      </w:r>
    </w:p>
    <w:p w:rsidR="00667608" w:rsidRDefault="00667608">
      <w:pPr>
        <w:pStyle w:val="A-Heading1"/>
      </w:pPr>
      <w:r>
        <w:t>Interactions with other medicines</w:t>
      </w:r>
    </w:p>
    <w:p w:rsidR="00667608" w:rsidRDefault="00667608">
      <w:r>
        <w:t>No clinical drug-drug interaction studies have been conducted with ceftaroline.</w:t>
      </w:r>
    </w:p>
    <w:p w:rsidR="00667608" w:rsidRDefault="00667608">
      <w:r>
        <w:t xml:space="preserve">The interaction potential of ceftaroline on drugs metabolised by P450 enzymes is expected to be low, since ceftaroline is not an inhibitor (CYP1A1, CYP1A2, CYP2A6, CYP2B6, CYP2C8, CYP2C9, CYP2C19, CYP2D6, CYP2E1 and CYP3A4) nor an inducer (CYP1A2, CYP2B6, CYP2C8, CYP2C9, CYP2C19, or CYP3A4/5) of P450 enzymes </w:t>
      </w:r>
      <w:r>
        <w:rPr>
          <w:i/>
        </w:rPr>
        <w:t>in vitro</w:t>
      </w:r>
      <w:r>
        <w:t xml:space="preserve">.  Ceftaroline is not metabolised by P450 enzymes </w:t>
      </w:r>
      <w:r>
        <w:rPr>
          <w:i/>
        </w:rPr>
        <w:t>in vitro</w:t>
      </w:r>
      <w:r>
        <w:t>, so co-administered P450 inducers or inhibitors are unlikely to influence the pharmacokinetics of ceftaroline.</w:t>
      </w:r>
    </w:p>
    <w:p w:rsidR="00667608" w:rsidRDefault="00667608">
      <w:r>
        <w:rPr>
          <w:i/>
        </w:rPr>
        <w:t>In vitro,</w:t>
      </w:r>
      <w:r>
        <w:t xml:space="preserve"> ceftaroline is not transported by efflux transporters P-gp and BCRP.  Ceftaroline does not inhibit P-gp, therefore an interaction with substrates, such as digoxin, is not expected.  Ceftaroline is a weak inhibitor of BCRP, but the effect is too small to be clinically relevant.  </w:t>
      </w:r>
      <w:r>
        <w:rPr>
          <w:i/>
        </w:rPr>
        <w:t>In vitro</w:t>
      </w:r>
      <w:r>
        <w:t xml:space="preserve"> studies demonstrated that ceftaroline is not a substrate of, nor did it inhibit the renal uptake transporters OCT2, OAT1 and OAT3</w:t>
      </w:r>
      <w:r>
        <w:rPr>
          <w:i/>
        </w:rPr>
        <w:t>;</w:t>
      </w:r>
      <w:r>
        <w:t xml:space="preserve"> drug-drug interactions with drugs that inhibit active renal secretion (eg probenecid) or with drugs that are substrates of these transporters would therefore not be expected.</w:t>
      </w:r>
    </w:p>
    <w:p w:rsidR="00667608" w:rsidRDefault="00667608">
      <w:pPr>
        <w:pStyle w:val="A-Heading1"/>
        <w:rPr>
          <w:lang w:val="en-AU"/>
        </w:rPr>
      </w:pPr>
      <w:r>
        <w:rPr>
          <w:lang w:val="en-AU"/>
        </w:rPr>
        <w:t>ADVERSE EFFECTS</w:t>
      </w:r>
    </w:p>
    <w:p w:rsidR="00667608" w:rsidRDefault="00667608">
      <w:pPr>
        <w:pStyle w:val="A-Heading2"/>
      </w:pPr>
      <w:r>
        <w:t>Clinical trial experience</w:t>
      </w:r>
    </w:p>
    <w:p w:rsidR="00667608" w:rsidRDefault="00667608">
      <w:r>
        <w:t>The four Phase 3 clinical trials (two in cSSTI and two in CAP) included 1305 adult patients treated with Zinforo (600 mg administered over 60 minutes every 12 hours).</w:t>
      </w:r>
    </w:p>
    <w:p w:rsidR="00667608" w:rsidRDefault="00667608">
      <w:pPr>
        <w:rPr>
          <w:b/>
        </w:rPr>
      </w:pPr>
      <w:r>
        <w:t xml:space="preserve">The safety profile of Zinforo is consistent with that expected of a cephalosporin antibiotic.  The incidences of treatment-emergent adverse events in the pooled Phase 3 cSSTI and CAP trials were similar in Zinforo and comparator groups (45.7% vs 46.7%, respectively).  The most common adverse reactions occurring in </w:t>
      </w:r>
      <w:r>
        <w:lastRenderedPageBreak/>
        <w:t>≥3% of patients treated with Zinforo were diarrhoea, headache, nausea and pruritus, and were generally mild or moderate in severity.</w:t>
      </w:r>
    </w:p>
    <w:p w:rsidR="00667608" w:rsidRDefault="00667608">
      <w:pPr>
        <w:rPr>
          <w:b/>
        </w:rPr>
      </w:pPr>
      <w:r>
        <w:t xml:space="preserve">The treatment-emergent adverse events that occurred in at least 1% of patients in the Phase 3 cSSTI and CAP active comparator trials are listed in </w:t>
      </w:r>
      <w:fldSimple w:instr=" REF _Ref287435008 \h  \* MERGEFORMAT ">
        <w:r>
          <w:t xml:space="preserve">Table </w:t>
        </w:r>
        <w:r>
          <w:rPr>
            <w:noProof/>
          </w:rPr>
          <w:t>6</w:t>
        </w:r>
      </w:fldSimple>
      <w:r>
        <w:t xml:space="preserve"> regardless of causality.</w:t>
      </w:r>
    </w:p>
    <w:p w:rsidR="00667608" w:rsidRDefault="00667608">
      <w:pPr>
        <w:pStyle w:val="A-TableTitle"/>
        <w:ind w:left="1797" w:hanging="1797"/>
        <w:rPr>
          <w:sz w:val="22"/>
          <w:szCs w:val="22"/>
        </w:rPr>
      </w:pPr>
      <w:bookmarkStart w:id="7" w:name="_Ref287435008"/>
      <w:r>
        <w:rPr>
          <w:sz w:val="22"/>
          <w:szCs w:val="22"/>
        </w:rPr>
        <w:t xml:space="preserve">Table </w:t>
      </w:r>
      <w:r w:rsidR="00773E45">
        <w:rPr>
          <w:sz w:val="22"/>
          <w:szCs w:val="22"/>
        </w:rPr>
        <w:fldChar w:fldCharType="begin"/>
      </w:r>
      <w:r>
        <w:rPr>
          <w:sz w:val="22"/>
          <w:szCs w:val="22"/>
        </w:rPr>
        <w:instrText xml:space="preserve"> SEQ Table \* ARABIC </w:instrText>
      </w:r>
      <w:r w:rsidR="00773E45">
        <w:rPr>
          <w:sz w:val="22"/>
          <w:szCs w:val="22"/>
        </w:rPr>
        <w:fldChar w:fldCharType="separate"/>
      </w:r>
      <w:r>
        <w:rPr>
          <w:noProof/>
          <w:sz w:val="22"/>
          <w:szCs w:val="22"/>
        </w:rPr>
        <w:t>6</w:t>
      </w:r>
      <w:r w:rsidR="00773E45">
        <w:rPr>
          <w:sz w:val="22"/>
          <w:szCs w:val="22"/>
        </w:rPr>
        <w:fldChar w:fldCharType="end"/>
      </w:r>
      <w:bookmarkEnd w:id="7"/>
      <w:r>
        <w:rPr>
          <w:sz w:val="22"/>
          <w:szCs w:val="22"/>
        </w:rPr>
        <w:tab/>
        <w:t>Treatment emergent adverse events occurring in ≥1%* of patients in the Phase 3 cSSTI and CAP studies</w:t>
      </w:r>
    </w:p>
    <w:tbl>
      <w:tblPr>
        <w:tblW w:w="9120" w:type="dxa"/>
        <w:tblInd w:w="-132" w:type="dxa"/>
        <w:tblLayout w:type="fixed"/>
        <w:tblLook w:val="0000"/>
      </w:tblPr>
      <w:tblGrid>
        <w:gridCol w:w="3840"/>
        <w:gridCol w:w="1320"/>
        <w:gridCol w:w="1320"/>
        <w:gridCol w:w="1200"/>
        <w:gridCol w:w="1440"/>
      </w:tblGrid>
      <w:tr w:rsidR="00667608">
        <w:trPr>
          <w:cantSplit/>
          <w:tblHeader/>
        </w:trPr>
        <w:tc>
          <w:tcPr>
            <w:tcW w:w="3840" w:type="dxa"/>
            <w:vMerge w:val="restart"/>
            <w:tcBorders>
              <w:top w:val="single" w:sz="12" w:space="0" w:color="auto"/>
            </w:tcBorders>
          </w:tcPr>
          <w:p w:rsidR="00667608" w:rsidRDefault="00667608">
            <w:pPr>
              <w:pStyle w:val="A-TableHeader"/>
            </w:pPr>
            <w:r>
              <w:t>Preferred term</w:t>
            </w:r>
          </w:p>
        </w:tc>
        <w:tc>
          <w:tcPr>
            <w:tcW w:w="5280" w:type="dxa"/>
            <w:gridSpan w:val="4"/>
            <w:tcBorders>
              <w:top w:val="single" w:sz="12" w:space="0" w:color="auto"/>
            </w:tcBorders>
          </w:tcPr>
          <w:p w:rsidR="00667608" w:rsidRDefault="00667608">
            <w:pPr>
              <w:pStyle w:val="A-TableHeader"/>
              <w:jc w:val="center"/>
            </w:pPr>
            <w:r>
              <w:t>Percentage of patients (%)</w:t>
            </w:r>
          </w:p>
        </w:tc>
      </w:tr>
      <w:tr w:rsidR="00667608">
        <w:trPr>
          <w:cantSplit/>
          <w:tblHeader/>
        </w:trPr>
        <w:tc>
          <w:tcPr>
            <w:tcW w:w="3840" w:type="dxa"/>
            <w:vMerge/>
          </w:tcPr>
          <w:p w:rsidR="00667608" w:rsidRDefault="00667608">
            <w:pPr>
              <w:pStyle w:val="A-TableHeader"/>
            </w:pPr>
          </w:p>
        </w:tc>
        <w:tc>
          <w:tcPr>
            <w:tcW w:w="2640" w:type="dxa"/>
            <w:gridSpan w:val="2"/>
            <w:tcBorders>
              <w:bottom w:val="single" w:sz="4" w:space="0" w:color="auto"/>
            </w:tcBorders>
          </w:tcPr>
          <w:p w:rsidR="00667608" w:rsidRDefault="00667608">
            <w:pPr>
              <w:pStyle w:val="A-TableHeader"/>
              <w:jc w:val="center"/>
            </w:pPr>
            <w:r>
              <w:t>cSSTI</w:t>
            </w:r>
          </w:p>
        </w:tc>
        <w:tc>
          <w:tcPr>
            <w:tcW w:w="2640" w:type="dxa"/>
            <w:gridSpan w:val="2"/>
            <w:tcBorders>
              <w:bottom w:val="single" w:sz="4" w:space="0" w:color="auto"/>
            </w:tcBorders>
          </w:tcPr>
          <w:p w:rsidR="00667608" w:rsidRDefault="00667608">
            <w:pPr>
              <w:pStyle w:val="A-TableHeader"/>
              <w:jc w:val="center"/>
            </w:pPr>
            <w:r>
              <w:t>CAP</w:t>
            </w:r>
          </w:p>
        </w:tc>
      </w:tr>
      <w:tr w:rsidR="00667608">
        <w:trPr>
          <w:cantSplit/>
          <w:tblHeader/>
        </w:trPr>
        <w:tc>
          <w:tcPr>
            <w:tcW w:w="3840" w:type="dxa"/>
            <w:vMerge/>
            <w:tcBorders>
              <w:bottom w:val="single" w:sz="6" w:space="0" w:color="auto"/>
            </w:tcBorders>
          </w:tcPr>
          <w:p w:rsidR="00667608" w:rsidRDefault="00667608">
            <w:pPr>
              <w:pStyle w:val="A-TableHeader"/>
            </w:pPr>
          </w:p>
        </w:tc>
        <w:tc>
          <w:tcPr>
            <w:tcW w:w="1320" w:type="dxa"/>
            <w:tcBorders>
              <w:top w:val="single" w:sz="4" w:space="0" w:color="auto"/>
              <w:bottom w:val="single" w:sz="6" w:space="0" w:color="auto"/>
            </w:tcBorders>
          </w:tcPr>
          <w:p w:rsidR="00667608" w:rsidRDefault="00667608">
            <w:pPr>
              <w:pStyle w:val="A-TableHeader"/>
              <w:jc w:val="center"/>
            </w:pPr>
            <w:r>
              <w:t>Zinforo</w:t>
            </w:r>
            <w:r>
              <w:br/>
              <w:t>(N=692)</w:t>
            </w:r>
          </w:p>
        </w:tc>
        <w:tc>
          <w:tcPr>
            <w:tcW w:w="1320" w:type="dxa"/>
            <w:tcBorders>
              <w:top w:val="single" w:sz="4" w:space="0" w:color="auto"/>
              <w:bottom w:val="single" w:sz="6" w:space="0" w:color="auto"/>
            </w:tcBorders>
          </w:tcPr>
          <w:p w:rsidR="00667608" w:rsidRDefault="00667608">
            <w:pPr>
              <w:pStyle w:val="A-TableHeader"/>
              <w:jc w:val="center"/>
            </w:pPr>
            <w:r>
              <w:t>V + A</w:t>
            </w:r>
            <w:r>
              <w:br/>
              <w:t>(N=686)</w:t>
            </w:r>
          </w:p>
        </w:tc>
        <w:tc>
          <w:tcPr>
            <w:tcW w:w="1200" w:type="dxa"/>
            <w:tcBorders>
              <w:top w:val="single" w:sz="4" w:space="0" w:color="auto"/>
              <w:bottom w:val="single" w:sz="6" w:space="0" w:color="auto"/>
            </w:tcBorders>
          </w:tcPr>
          <w:p w:rsidR="00667608" w:rsidRDefault="00667608">
            <w:pPr>
              <w:pStyle w:val="A-TableHeader"/>
              <w:jc w:val="center"/>
            </w:pPr>
            <w:r>
              <w:t>Zinforo</w:t>
            </w:r>
            <w:r>
              <w:br/>
              <w:t>(N=613)</w:t>
            </w:r>
          </w:p>
        </w:tc>
        <w:tc>
          <w:tcPr>
            <w:tcW w:w="1440" w:type="dxa"/>
            <w:tcBorders>
              <w:top w:val="single" w:sz="4" w:space="0" w:color="auto"/>
              <w:bottom w:val="single" w:sz="6" w:space="0" w:color="auto"/>
            </w:tcBorders>
          </w:tcPr>
          <w:p w:rsidR="00667608" w:rsidRDefault="00667608">
            <w:pPr>
              <w:pStyle w:val="A-TableHeader"/>
              <w:jc w:val="center"/>
            </w:pPr>
            <w:r>
              <w:t>Ceftriaxone</w:t>
            </w:r>
            <w:r>
              <w:br/>
              <w:t>(N=615)</w:t>
            </w:r>
          </w:p>
        </w:tc>
      </w:tr>
      <w:tr w:rsidR="00667608">
        <w:trPr>
          <w:cantSplit/>
        </w:trPr>
        <w:tc>
          <w:tcPr>
            <w:tcW w:w="3840" w:type="dxa"/>
            <w:tcBorders>
              <w:top w:val="single" w:sz="6" w:space="0" w:color="auto"/>
            </w:tcBorders>
          </w:tcPr>
          <w:p w:rsidR="00667608" w:rsidRDefault="00667608">
            <w:pPr>
              <w:pStyle w:val="A-TableText"/>
              <w:rPr>
                <w:sz w:val="20"/>
              </w:rPr>
            </w:pPr>
            <w:r>
              <w:rPr>
                <w:sz w:val="20"/>
              </w:rPr>
              <w:t>Diarrhoea*</w:t>
            </w:r>
          </w:p>
        </w:tc>
        <w:tc>
          <w:tcPr>
            <w:tcW w:w="1320" w:type="dxa"/>
            <w:tcBorders>
              <w:top w:val="single" w:sz="6" w:space="0" w:color="auto"/>
            </w:tcBorders>
          </w:tcPr>
          <w:p w:rsidR="00667608" w:rsidRDefault="00667608">
            <w:pPr>
              <w:pStyle w:val="A-TableText"/>
              <w:jc w:val="center"/>
              <w:rPr>
                <w:sz w:val="20"/>
              </w:rPr>
            </w:pPr>
            <w:r>
              <w:rPr>
                <w:sz w:val="20"/>
              </w:rPr>
              <w:t>4.9</w:t>
            </w:r>
          </w:p>
        </w:tc>
        <w:tc>
          <w:tcPr>
            <w:tcW w:w="1320" w:type="dxa"/>
            <w:tcBorders>
              <w:top w:val="single" w:sz="6" w:space="0" w:color="auto"/>
            </w:tcBorders>
          </w:tcPr>
          <w:p w:rsidR="00667608" w:rsidRDefault="00667608">
            <w:pPr>
              <w:pStyle w:val="A-TableText"/>
              <w:jc w:val="center"/>
              <w:rPr>
                <w:sz w:val="20"/>
              </w:rPr>
            </w:pPr>
            <w:r>
              <w:rPr>
                <w:sz w:val="20"/>
              </w:rPr>
              <w:t>3.8</w:t>
            </w:r>
          </w:p>
        </w:tc>
        <w:tc>
          <w:tcPr>
            <w:tcW w:w="1200" w:type="dxa"/>
            <w:tcBorders>
              <w:top w:val="single" w:sz="6" w:space="0" w:color="auto"/>
            </w:tcBorders>
          </w:tcPr>
          <w:p w:rsidR="00667608" w:rsidRDefault="00667608">
            <w:pPr>
              <w:pStyle w:val="A-TableText"/>
              <w:jc w:val="center"/>
              <w:rPr>
                <w:sz w:val="20"/>
              </w:rPr>
            </w:pPr>
            <w:r>
              <w:rPr>
                <w:sz w:val="20"/>
              </w:rPr>
              <w:t>4.2</w:t>
            </w:r>
          </w:p>
        </w:tc>
        <w:tc>
          <w:tcPr>
            <w:tcW w:w="1440" w:type="dxa"/>
            <w:tcBorders>
              <w:top w:val="single" w:sz="6" w:space="0" w:color="auto"/>
            </w:tcBorders>
          </w:tcPr>
          <w:p w:rsidR="00667608" w:rsidRDefault="00667608">
            <w:pPr>
              <w:pStyle w:val="A-TableText"/>
              <w:jc w:val="center"/>
              <w:rPr>
                <w:sz w:val="20"/>
              </w:rPr>
            </w:pPr>
            <w:r>
              <w:rPr>
                <w:sz w:val="20"/>
              </w:rPr>
              <w:t>2.6</w:t>
            </w:r>
          </w:p>
        </w:tc>
      </w:tr>
      <w:tr w:rsidR="00667608">
        <w:trPr>
          <w:cantSplit/>
        </w:trPr>
        <w:tc>
          <w:tcPr>
            <w:tcW w:w="3840" w:type="dxa"/>
          </w:tcPr>
          <w:p w:rsidR="00667608" w:rsidRDefault="00667608">
            <w:pPr>
              <w:pStyle w:val="A-TableText"/>
              <w:rPr>
                <w:sz w:val="20"/>
              </w:rPr>
            </w:pPr>
            <w:r>
              <w:rPr>
                <w:sz w:val="20"/>
              </w:rPr>
              <w:t>Headache*</w:t>
            </w:r>
          </w:p>
        </w:tc>
        <w:tc>
          <w:tcPr>
            <w:tcW w:w="1320" w:type="dxa"/>
          </w:tcPr>
          <w:p w:rsidR="00667608" w:rsidRDefault="00667608">
            <w:pPr>
              <w:pStyle w:val="A-TableText"/>
              <w:jc w:val="center"/>
              <w:rPr>
                <w:sz w:val="20"/>
              </w:rPr>
            </w:pPr>
            <w:r>
              <w:rPr>
                <w:sz w:val="20"/>
              </w:rPr>
              <w:t>5.2</w:t>
            </w:r>
          </w:p>
        </w:tc>
        <w:tc>
          <w:tcPr>
            <w:tcW w:w="1320" w:type="dxa"/>
          </w:tcPr>
          <w:p w:rsidR="00667608" w:rsidRDefault="00667608">
            <w:pPr>
              <w:pStyle w:val="A-TableText"/>
              <w:jc w:val="center"/>
              <w:rPr>
                <w:sz w:val="20"/>
              </w:rPr>
            </w:pPr>
            <w:r>
              <w:rPr>
                <w:sz w:val="20"/>
              </w:rPr>
              <w:t>4.5</w:t>
            </w:r>
          </w:p>
        </w:tc>
        <w:tc>
          <w:tcPr>
            <w:tcW w:w="1200" w:type="dxa"/>
          </w:tcPr>
          <w:p w:rsidR="00667608" w:rsidRDefault="00667608">
            <w:pPr>
              <w:pStyle w:val="A-TableText"/>
              <w:jc w:val="center"/>
              <w:rPr>
                <w:sz w:val="20"/>
              </w:rPr>
            </w:pPr>
            <w:r>
              <w:rPr>
                <w:sz w:val="20"/>
              </w:rPr>
              <w:t>3.4</w:t>
            </w:r>
          </w:p>
        </w:tc>
        <w:tc>
          <w:tcPr>
            <w:tcW w:w="1440" w:type="dxa"/>
          </w:tcPr>
          <w:p w:rsidR="00667608" w:rsidRDefault="00667608">
            <w:pPr>
              <w:pStyle w:val="A-TableText"/>
              <w:jc w:val="center"/>
              <w:rPr>
                <w:sz w:val="20"/>
              </w:rPr>
            </w:pPr>
            <w:r>
              <w:rPr>
                <w:sz w:val="20"/>
              </w:rPr>
              <w:t>1.5</w:t>
            </w:r>
          </w:p>
        </w:tc>
      </w:tr>
      <w:tr w:rsidR="00667608">
        <w:trPr>
          <w:cantSplit/>
        </w:trPr>
        <w:tc>
          <w:tcPr>
            <w:tcW w:w="3840" w:type="dxa"/>
          </w:tcPr>
          <w:p w:rsidR="00667608" w:rsidRDefault="00667608">
            <w:pPr>
              <w:pStyle w:val="A-TableText"/>
              <w:rPr>
                <w:sz w:val="20"/>
              </w:rPr>
            </w:pPr>
            <w:r>
              <w:rPr>
                <w:sz w:val="20"/>
              </w:rPr>
              <w:t>Nausea*</w:t>
            </w:r>
          </w:p>
        </w:tc>
        <w:tc>
          <w:tcPr>
            <w:tcW w:w="1320" w:type="dxa"/>
          </w:tcPr>
          <w:p w:rsidR="00667608" w:rsidRDefault="00667608">
            <w:pPr>
              <w:pStyle w:val="A-TableText"/>
              <w:jc w:val="center"/>
              <w:rPr>
                <w:sz w:val="20"/>
              </w:rPr>
            </w:pPr>
            <w:r>
              <w:rPr>
                <w:sz w:val="20"/>
              </w:rPr>
              <w:t>5.9</w:t>
            </w:r>
          </w:p>
        </w:tc>
        <w:tc>
          <w:tcPr>
            <w:tcW w:w="1320" w:type="dxa"/>
          </w:tcPr>
          <w:p w:rsidR="00667608" w:rsidRDefault="00667608">
            <w:pPr>
              <w:pStyle w:val="A-TableText"/>
              <w:jc w:val="center"/>
              <w:rPr>
                <w:sz w:val="20"/>
              </w:rPr>
            </w:pPr>
            <w:r>
              <w:rPr>
                <w:sz w:val="20"/>
              </w:rPr>
              <w:t>5.1</w:t>
            </w:r>
          </w:p>
        </w:tc>
        <w:tc>
          <w:tcPr>
            <w:tcW w:w="1200" w:type="dxa"/>
          </w:tcPr>
          <w:p w:rsidR="00667608" w:rsidRDefault="00667608">
            <w:pPr>
              <w:pStyle w:val="A-TableText"/>
              <w:jc w:val="center"/>
              <w:rPr>
                <w:sz w:val="20"/>
              </w:rPr>
            </w:pPr>
            <w:r>
              <w:rPr>
                <w:sz w:val="20"/>
              </w:rPr>
              <w:t>2.3</w:t>
            </w:r>
          </w:p>
        </w:tc>
        <w:tc>
          <w:tcPr>
            <w:tcW w:w="1440" w:type="dxa"/>
          </w:tcPr>
          <w:p w:rsidR="00667608" w:rsidRDefault="00667608">
            <w:pPr>
              <w:pStyle w:val="A-TableText"/>
              <w:jc w:val="center"/>
              <w:rPr>
                <w:sz w:val="20"/>
              </w:rPr>
            </w:pPr>
            <w:r>
              <w:rPr>
                <w:sz w:val="20"/>
              </w:rPr>
              <w:t>2.3</w:t>
            </w:r>
          </w:p>
        </w:tc>
      </w:tr>
      <w:tr w:rsidR="00667608">
        <w:trPr>
          <w:cantSplit/>
        </w:trPr>
        <w:tc>
          <w:tcPr>
            <w:tcW w:w="3840" w:type="dxa"/>
          </w:tcPr>
          <w:p w:rsidR="00667608" w:rsidRDefault="00667608">
            <w:pPr>
              <w:pStyle w:val="A-TableText"/>
              <w:rPr>
                <w:sz w:val="20"/>
              </w:rPr>
            </w:pPr>
            <w:r>
              <w:rPr>
                <w:sz w:val="20"/>
              </w:rPr>
              <w:t>Insomnia</w:t>
            </w:r>
          </w:p>
        </w:tc>
        <w:tc>
          <w:tcPr>
            <w:tcW w:w="1320" w:type="dxa"/>
          </w:tcPr>
          <w:p w:rsidR="00667608" w:rsidRDefault="00667608">
            <w:pPr>
              <w:pStyle w:val="A-TableText"/>
              <w:jc w:val="center"/>
              <w:rPr>
                <w:sz w:val="20"/>
              </w:rPr>
            </w:pPr>
            <w:r>
              <w:rPr>
                <w:sz w:val="20"/>
              </w:rPr>
              <w:t>2.5</w:t>
            </w:r>
          </w:p>
        </w:tc>
        <w:tc>
          <w:tcPr>
            <w:tcW w:w="1320" w:type="dxa"/>
          </w:tcPr>
          <w:p w:rsidR="00667608" w:rsidRDefault="00667608">
            <w:pPr>
              <w:pStyle w:val="A-TableText"/>
              <w:jc w:val="center"/>
              <w:rPr>
                <w:sz w:val="20"/>
              </w:rPr>
            </w:pPr>
            <w:r>
              <w:rPr>
                <w:sz w:val="20"/>
              </w:rPr>
              <w:t>2.5</w:t>
            </w:r>
          </w:p>
        </w:tc>
        <w:tc>
          <w:tcPr>
            <w:tcW w:w="1200" w:type="dxa"/>
          </w:tcPr>
          <w:p w:rsidR="00667608" w:rsidRDefault="00667608">
            <w:pPr>
              <w:pStyle w:val="A-TableText"/>
              <w:jc w:val="center"/>
              <w:rPr>
                <w:sz w:val="20"/>
              </w:rPr>
            </w:pPr>
            <w:r>
              <w:rPr>
                <w:sz w:val="20"/>
              </w:rPr>
              <w:t>3.1</w:t>
            </w:r>
          </w:p>
        </w:tc>
        <w:tc>
          <w:tcPr>
            <w:tcW w:w="1440" w:type="dxa"/>
          </w:tcPr>
          <w:p w:rsidR="00667608" w:rsidRDefault="00667608">
            <w:pPr>
              <w:pStyle w:val="A-TableText"/>
              <w:jc w:val="center"/>
              <w:rPr>
                <w:sz w:val="20"/>
              </w:rPr>
            </w:pPr>
            <w:r>
              <w:rPr>
                <w:sz w:val="20"/>
              </w:rPr>
              <w:t>2.3</w:t>
            </w:r>
          </w:p>
        </w:tc>
      </w:tr>
      <w:tr w:rsidR="00667608">
        <w:trPr>
          <w:cantSplit/>
        </w:trPr>
        <w:tc>
          <w:tcPr>
            <w:tcW w:w="3840" w:type="dxa"/>
          </w:tcPr>
          <w:p w:rsidR="00667608" w:rsidRDefault="00667608">
            <w:pPr>
              <w:pStyle w:val="A-TableText"/>
              <w:rPr>
                <w:sz w:val="20"/>
              </w:rPr>
            </w:pPr>
            <w:r>
              <w:rPr>
                <w:sz w:val="20"/>
              </w:rPr>
              <w:t>Constipation</w:t>
            </w:r>
          </w:p>
        </w:tc>
        <w:tc>
          <w:tcPr>
            <w:tcW w:w="1320" w:type="dxa"/>
          </w:tcPr>
          <w:p w:rsidR="00667608" w:rsidRDefault="00667608">
            <w:pPr>
              <w:pStyle w:val="A-TableText"/>
              <w:jc w:val="center"/>
              <w:rPr>
                <w:sz w:val="20"/>
                <w:lang w:val="sv-SE"/>
              </w:rPr>
            </w:pPr>
            <w:r>
              <w:rPr>
                <w:sz w:val="20"/>
                <w:lang w:val="sv-SE"/>
              </w:rPr>
              <w:t>2.6</w:t>
            </w:r>
          </w:p>
        </w:tc>
        <w:tc>
          <w:tcPr>
            <w:tcW w:w="1320" w:type="dxa"/>
          </w:tcPr>
          <w:p w:rsidR="00667608" w:rsidRDefault="00667608">
            <w:pPr>
              <w:pStyle w:val="A-TableText"/>
              <w:jc w:val="center"/>
              <w:rPr>
                <w:sz w:val="20"/>
                <w:lang w:val="sv-SE"/>
              </w:rPr>
            </w:pPr>
            <w:r>
              <w:rPr>
                <w:sz w:val="20"/>
                <w:lang w:val="sv-SE"/>
              </w:rPr>
              <w:t>2.6</w:t>
            </w:r>
          </w:p>
        </w:tc>
        <w:tc>
          <w:tcPr>
            <w:tcW w:w="1200" w:type="dxa"/>
          </w:tcPr>
          <w:p w:rsidR="00667608" w:rsidRDefault="00667608">
            <w:pPr>
              <w:pStyle w:val="A-TableText"/>
              <w:jc w:val="center"/>
              <w:rPr>
                <w:sz w:val="20"/>
                <w:lang w:val="sv-SE"/>
              </w:rPr>
            </w:pPr>
            <w:r>
              <w:rPr>
                <w:sz w:val="20"/>
                <w:lang w:val="sv-SE"/>
              </w:rPr>
              <w:t>1.5</w:t>
            </w:r>
          </w:p>
        </w:tc>
        <w:tc>
          <w:tcPr>
            <w:tcW w:w="1440" w:type="dxa"/>
          </w:tcPr>
          <w:p w:rsidR="00667608" w:rsidRDefault="00667608">
            <w:pPr>
              <w:pStyle w:val="A-TableText"/>
              <w:jc w:val="center"/>
              <w:rPr>
                <w:sz w:val="20"/>
                <w:lang w:val="sv-SE"/>
              </w:rPr>
            </w:pPr>
            <w:r>
              <w:rPr>
                <w:sz w:val="20"/>
                <w:lang w:val="sv-SE"/>
              </w:rPr>
              <w:t>1.0</w:t>
            </w:r>
          </w:p>
        </w:tc>
      </w:tr>
      <w:tr w:rsidR="00667608">
        <w:trPr>
          <w:cantSplit/>
        </w:trPr>
        <w:tc>
          <w:tcPr>
            <w:tcW w:w="3840" w:type="dxa"/>
          </w:tcPr>
          <w:p w:rsidR="00667608" w:rsidRDefault="00667608">
            <w:pPr>
              <w:pStyle w:val="A-TableText"/>
              <w:rPr>
                <w:sz w:val="20"/>
                <w:lang w:val="sv-SE"/>
              </w:rPr>
            </w:pPr>
            <w:r>
              <w:rPr>
                <w:sz w:val="20"/>
                <w:lang w:val="sv-SE"/>
              </w:rPr>
              <w:t>Vomiting*</w:t>
            </w:r>
          </w:p>
        </w:tc>
        <w:tc>
          <w:tcPr>
            <w:tcW w:w="1320" w:type="dxa"/>
          </w:tcPr>
          <w:p w:rsidR="00667608" w:rsidRDefault="00667608">
            <w:pPr>
              <w:pStyle w:val="A-TableText"/>
              <w:jc w:val="center"/>
              <w:rPr>
                <w:sz w:val="20"/>
                <w:lang w:val="sv-SE"/>
              </w:rPr>
            </w:pPr>
            <w:r>
              <w:rPr>
                <w:sz w:val="20"/>
                <w:lang w:val="sv-SE"/>
              </w:rPr>
              <w:t>2.9</w:t>
            </w:r>
          </w:p>
        </w:tc>
        <w:tc>
          <w:tcPr>
            <w:tcW w:w="1320" w:type="dxa"/>
          </w:tcPr>
          <w:p w:rsidR="00667608" w:rsidRDefault="00667608">
            <w:pPr>
              <w:pStyle w:val="A-TableText"/>
              <w:jc w:val="center"/>
              <w:rPr>
                <w:sz w:val="20"/>
                <w:lang w:val="sv-SE"/>
              </w:rPr>
            </w:pPr>
            <w:r>
              <w:rPr>
                <w:sz w:val="20"/>
                <w:lang w:val="sv-SE"/>
              </w:rPr>
              <w:t>2.6</w:t>
            </w:r>
          </w:p>
        </w:tc>
        <w:tc>
          <w:tcPr>
            <w:tcW w:w="1200" w:type="dxa"/>
          </w:tcPr>
          <w:p w:rsidR="00667608" w:rsidRDefault="00667608">
            <w:pPr>
              <w:pStyle w:val="A-TableText"/>
              <w:jc w:val="center"/>
              <w:rPr>
                <w:sz w:val="20"/>
                <w:lang w:val="sv-SE"/>
              </w:rPr>
            </w:pPr>
            <w:r>
              <w:rPr>
                <w:sz w:val="20"/>
                <w:lang w:val="sv-SE"/>
              </w:rPr>
              <w:t>1.1</w:t>
            </w:r>
          </w:p>
        </w:tc>
        <w:tc>
          <w:tcPr>
            <w:tcW w:w="1440" w:type="dxa"/>
          </w:tcPr>
          <w:p w:rsidR="00667608" w:rsidRDefault="00667608">
            <w:pPr>
              <w:pStyle w:val="A-TableText"/>
              <w:jc w:val="center"/>
              <w:rPr>
                <w:sz w:val="20"/>
                <w:lang w:val="sv-SE"/>
              </w:rPr>
            </w:pPr>
            <w:r>
              <w:rPr>
                <w:sz w:val="20"/>
                <w:lang w:val="sv-SE"/>
              </w:rPr>
              <w:t>0.3</w:t>
            </w:r>
          </w:p>
        </w:tc>
      </w:tr>
      <w:tr w:rsidR="00667608">
        <w:trPr>
          <w:cantSplit/>
        </w:trPr>
        <w:tc>
          <w:tcPr>
            <w:tcW w:w="3840" w:type="dxa"/>
          </w:tcPr>
          <w:p w:rsidR="00667608" w:rsidRDefault="00667608">
            <w:pPr>
              <w:pStyle w:val="A-TableText"/>
              <w:rPr>
                <w:sz w:val="20"/>
                <w:lang w:val="sv-SE"/>
              </w:rPr>
            </w:pPr>
            <w:r>
              <w:rPr>
                <w:sz w:val="20"/>
                <w:lang w:val="sv-SE"/>
              </w:rPr>
              <w:t>Pruritis*</w:t>
            </w:r>
          </w:p>
        </w:tc>
        <w:tc>
          <w:tcPr>
            <w:tcW w:w="1320" w:type="dxa"/>
          </w:tcPr>
          <w:p w:rsidR="00667608" w:rsidRDefault="00667608">
            <w:pPr>
              <w:pStyle w:val="A-TableText"/>
              <w:jc w:val="center"/>
              <w:rPr>
                <w:sz w:val="20"/>
                <w:lang w:val="sv-SE"/>
              </w:rPr>
            </w:pPr>
            <w:r>
              <w:rPr>
                <w:sz w:val="20"/>
                <w:lang w:val="sv-SE"/>
              </w:rPr>
              <w:t>3.5</w:t>
            </w:r>
          </w:p>
        </w:tc>
        <w:tc>
          <w:tcPr>
            <w:tcW w:w="1320" w:type="dxa"/>
          </w:tcPr>
          <w:p w:rsidR="00667608" w:rsidRDefault="00667608">
            <w:pPr>
              <w:pStyle w:val="A-TableText"/>
              <w:jc w:val="center"/>
              <w:rPr>
                <w:sz w:val="20"/>
                <w:lang w:val="sv-SE"/>
              </w:rPr>
            </w:pPr>
            <w:r>
              <w:rPr>
                <w:sz w:val="20"/>
                <w:lang w:val="sv-SE"/>
              </w:rPr>
              <w:t>8.2</w:t>
            </w:r>
          </w:p>
        </w:tc>
        <w:tc>
          <w:tcPr>
            <w:tcW w:w="1200" w:type="dxa"/>
          </w:tcPr>
          <w:p w:rsidR="00667608" w:rsidRDefault="00667608">
            <w:pPr>
              <w:pStyle w:val="A-TableText"/>
              <w:jc w:val="center"/>
              <w:rPr>
                <w:sz w:val="20"/>
                <w:lang w:val="sv-SE"/>
              </w:rPr>
            </w:pPr>
            <w:r>
              <w:rPr>
                <w:sz w:val="20"/>
                <w:lang w:val="sv-SE"/>
              </w:rPr>
              <w:t>0.2</w:t>
            </w:r>
          </w:p>
        </w:tc>
        <w:tc>
          <w:tcPr>
            <w:tcW w:w="1440" w:type="dxa"/>
          </w:tcPr>
          <w:p w:rsidR="00667608" w:rsidRDefault="00667608">
            <w:pPr>
              <w:pStyle w:val="A-TableText"/>
              <w:jc w:val="center"/>
              <w:rPr>
                <w:sz w:val="20"/>
                <w:lang w:val="sv-SE"/>
              </w:rPr>
            </w:pPr>
            <w:r>
              <w:rPr>
                <w:sz w:val="20"/>
                <w:lang w:val="sv-SE"/>
              </w:rPr>
              <w:t>0.5</w:t>
            </w:r>
          </w:p>
        </w:tc>
      </w:tr>
      <w:tr w:rsidR="00667608">
        <w:trPr>
          <w:cantSplit/>
        </w:trPr>
        <w:tc>
          <w:tcPr>
            <w:tcW w:w="3840" w:type="dxa"/>
          </w:tcPr>
          <w:p w:rsidR="00667608" w:rsidRDefault="00667608">
            <w:pPr>
              <w:pStyle w:val="A-TableText"/>
              <w:rPr>
                <w:sz w:val="20"/>
                <w:lang w:val="sv-SE"/>
              </w:rPr>
            </w:pPr>
            <w:r>
              <w:rPr>
                <w:sz w:val="20"/>
                <w:lang w:val="sv-SE"/>
              </w:rPr>
              <w:t>Hypokalaemia</w:t>
            </w:r>
          </w:p>
        </w:tc>
        <w:tc>
          <w:tcPr>
            <w:tcW w:w="1320" w:type="dxa"/>
          </w:tcPr>
          <w:p w:rsidR="00667608" w:rsidRDefault="00667608">
            <w:pPr>
              <w:pStyle w:val="A-TableText"/>
              <w:jc w:val="center"/>
              <w:rPr>
                <w:sz w:val="20"/>
                <w:lang w:val="sv-SE"/>
              </w:rPr>
            </w:pPr>
            <w:r>
              <w:rPr>
                <w:sz w:val="20"/>
                <w:lang w:val="sv-SE"/>
              </w:rPr>
              <w:t>1.4</w:t>
            </w:r>
          </w:p>
        </w:tc>
        <w:tc>
          <w:tcPr>
            <w:tcW w:w="1320" w:type="dxa"/>
          </w:tcPr>
          <w:p w:rsidR="00667608" w:rsidRDefault="00667608">
            <w:pPr>
              <w:pStyle w:val="A-TableText"/>
              <w:jc w:val="center"/>
              <w:rPr>
                <w:sz w:val="20"/>
                <w:lang w:val="sv-SE"/>
              </w:rPr>
            </w:pPr>
            <w:r>
              <w:rPr>
                <w:sz w:val="20"/>
                <w:lang w:val="sv-SE"/>
              </w:rPr>
              <w:t>2.2</w:t>
            </w:r>
          </w:p>
        </w:tc>
        <w:tc>
          <w:tcPr>
            <w:tcW w:w="1200" w:type="dxa"/>
          </w:tcPr>
          <w:p w:rsidR="00667608" w:rsidRDefault="00667608">
            <w:pPr>
              <w:pStyle w:val="A-TableText"/>
              <w:jc w:val="center"/>
              <w:rPr>
                <w:sz w:val="20"/>
                <w:lang w:val="sv-SE"/>
              </w:rPr>
            </w:pPr>
            <w:r>
              <w:rPr>
                <w:sz w:val="20"/>
                <w:lang w:val="sv-SE"/>
              </w:rPr>
              <w:t>2.3</w:t>
            </w:r>
          </w:p>
        </w:tc>
        <w:tc>
          <w:tcPr>
            <w:tcW w:w="1440" w:type="dxa"/>
          </w:tcPr>
          <w:p w:rsidR="00667608" w:rsidRDefault="00667608">
            <w:pPr>
              <w:pStyle w:val="A-TableText"/>
              <w:jc w:val="center"/>
              <w:rPr>
                <w:sz w:val="20"/>
                <w:lang w:val="sv-SE"/>
              </w:rPr>
            </w:pPr>
            <w:r>
              <w:rPr>
                <w:sz w:val="20"/>
                <w:lang w:val="sv-SE"/>
              </w:rPr>
              <w:t>2.4</w:t>
            </w:r>
          </w:p>
        </w:tc>
      </w:tr>
      <w:tr w:rsidR="00667608">
        <w:trPr>
          <w:cantSplit/>
        </w:trPr>
        <w:tc>
          <w:tcPr>
            <w:tcW w:w="3840" w:type="dxa"/>
          </w:tcPr>
          <w:p w:rsidR="00667608" w:rsidRDefault="00667608">
            <w:pPr>
              <w:pStyle w:val="A-TableText"/>
              <w:rPr>
                <w:sz w:val="20"/>
                <w:lang w:val="sv-SE"/>
              </w:rPr>
            </w:pPr>
            <w:r>
              <w:rPr>
                <w:sz w:val="20"/>
                <w:lang w:val="sv-SE"/>
              </w:rPr>
              <w:t>Rash*</w:t>
            </w:r>
          </w:p>
        </w:tc>
        <w:tc>
          <w:tcPr>
            <w:tcW w:w="1320" w:type="dxa"/>
          </w:tcPr>
          <w:p w:rsidR="00667608" w:rsidRDefault="00667608">
            <w:pPr>
              <w:pStyle w:val="A-TableText"/>
              <w:jc w:val="center"/>
              <w:rPr>
                <w:sz w:val="20"/>
                <w:lang w:val="sv-SE"/>
              </w:rPr>
            </w:pPr>
            <w:r>
              <w:rPr>
                <w:sz w:val="20"/>
                <w:lang w:val="sv-SE"/>
              </w:rPr>
              <w:t>3.2</w:t>
            </w:r>
          </w:p>
        </w:tc>
        <w:tc>
          <w:tcPr>
            <w:tcW w:w="1320" w:type="dxa"/>
          </w:tcPr>
          <w:p w:rsidR="00667608" w:rsidRDefault="00667608">
            <w:pPr>
              <w:pStyle w:val="A-TableText"/>
              <w:jc w:val="center"/>
              <w:rPr>
                <w:sz w:val="20"/>
                <w:lang w:val="sv-SE"/>
              </w:rPr>
            </w:pPr>
            <w:r>
              <w:rPr>
                <w:sz w:val="20"/>
                <w:lang w:val="sv-SE"/>
              </w:rPr>
              <w:t>2.5</w:t>
            </w:r>
          </w:p>
        </w:tc>
        <w:tc>
          <w:tcPr>
            <w:tcW w:w="1200" w:type="dxa"/>
          </w:tcPr>
          <w:p w:rsidR="00667608" w:rsidRDefault="00667608">
            <w:pPr>
              <w:pStyle w:val="A-TableText"/>
              <w:jc w:val="center"/>
              <w:rPr>
                <w:sz w:val="20"/>
                <w:lang w:val="sv-SE"/>
              </w:rPr>
            </w:pPr>
            <w:r>
              <w:rPr>
                <w:sz w:val="20"/>
                <w:lang w:val="sv-SE"/>
              </w:rPr>
              <w:t>0.3</w:t>
            </w:r>
          </w:p>
        </w:tc>
        <w:tc>
          <w:tcPr>
            <w:tcW w:w="1440" w:type="dxa"/>
          </w:tcPr>
          <w:p w:rsidR="00667608" w:rsidRDefault="00667608">
            <w:pPr>
              <w:pStyle w:val="A-TableText"/>
              <w:jc w:val="center"/>
              <w:rPr>
                <w:sz w:val="20"/>
                <w:lang w:val="sv-SE"/>
              </w:rPr>
            </w:pPr>
            <w:r>
              <w:rPr>
                <w:sz w:val="20"/>
                <w:lang w:val="sv-SE"/>
              </w:rPr>
              <w:t>0.3</w:t>
            </w:r>
          </w:p>
        </w:tc>
      </w:tr>
      <w:tr w:rsidR="00667608">
        <w:trPr>
          <w:cantSplit/>
        </w:trPr>
        <w:tc>
          <w:tcPr>
            <w:tcW w:w="3840" w:type="dxa"/>
          </w:tcPr>
          <w:p w:rsidR="00667608" w:rsidRDefault="00667608">
            <w:pPr>
              <w:pStyle w:val="A-TableText"/>
              <w:rPr>
                <w:sz w:val="20"/>
                <w:lang w:val="sv-SE"/>
              </w:rPr>
            </w:pPr>
            <w:r>
              <w:rPr>
                <w:sz w:val="20"/>
                <w:lang w:val="sv-SE"/>
              </w:rPr>
              <w:t>Hypertension</w:t>
            </w:r>
          </w:p>
        </w:tc>
        <w:tc>
          <w:tcPr>
            <w:tcW w:w="1320" w:type="dxa"/>
          </w:tcPr>
          <w:p w:rsidR="00667608" w:rsidRDefault="00667608">
            <w:pPr>
              <w:pStyle w:val="A-TableText"/>
              <w:jc w:val="center"/>
              <w:rPr>
                <w:sz w:val="20"/>
              </w:rPr>
            </w:pPr>
            <w:r>
              <w:rPr>
                <w:sz w:val="20"/>
              </w:rPr>
              <w:t>1.3</w:t>
            </w:r>
          </w:p>
        </w:tc>
        <w:tc>
          <w:tcPr>
            <w:tcW w:w="1320" w:type="dxa"/>
          </w:tcPr>
          <w:p w:rsidR="00667608" w:rsidRDefault="00667608">
            <w:pPr>
              <w:pStyle w:val="A-TableText"/>
              <w:jc w:val="center"/>
              <w:rPr>
                <w:sz w:val="20"/>
              </w:rPr>
            </w:pPr>
            <w:r>
              <w:rPr>
                <w:sz w:val="20"/>
              </w:rPr>
              <w:t>1.5</w:t>
            </w:r>
          </w:p>
        </w:tc>
        <w:tc>
          <w:tcPr>
            <w:tcW w:w="1200" w:type="dxa"/>
          </w:tcPr>
          <w:p w:rsidR="00667608" w:rsidRDefault="00667608">
            <w:pPr>
              <w:pStyle w:val="A-TableText"/>
              <w:jc w:val="center"/>
              <w:rPr>
                <w:sz w:val="20"/>
              </w:rPr>
            </w:pPr>
            <w:r>
              <w:rPr>
                <w:sz w:val="20"/>
              </w:rPr>
              <w:t>2.3</w:t>
            </w:r>
          </w:p>
        </w:tc>
        <w:tc>
          <w:tcPr>
            <w:tcW w:w="1440" w:type="dxa"/>
          </w:tcPr>
          <w:p w:rsidR="00667608" w:rsidRDefault="00667608">
            <w:pPr>
              <w:pStyle w:val="A-TableText"/>
              <w:jc w:val="center"/>
              <w:rPr>
                <w:sz w:val="20"/>
              </w:rPr>
            </w:pPr>
            <w:r>
              <w:rPr>
                <w:sz w:val="20"/>
              </w:rPr>
              <w:t>2.6</w:t>
            </w:r>
          </w:p>
        </w:tc>
      </w:tr>
      <w:tr w:rsidR="00667608">
        <w:trPr>
          <w:cantSplit/>
        </w:trPr>
        <w:tc>
          <w:tcPr>
            <w:tcW w:w="3840" w:type="dxa"/>
          </w:tcPr>
          <w:p w:rsidR="00667608" w:rsidRDefault="00667608">
            <w:pPr>
              <w:pStyle w:val="A-TableText"/>
              <w:rPr>
                <w:sz w:val="20"/>
              </w:rPr>
            </w:pPr>
            <w:r>
              <w:rPr>
                <w:sz w:val="20"/>
              </w:rPr>
              <w:t>Phlebitis*</w:t>
            </w:r>
          </w:p>
        </w:tc>
        <w:tc>
          <w:tcPr>
            <w:tcW w:w="1320" w:type="dxa"/>
          </w:tcPr>
          <w:p w:rsidR="00667608" w:rsidRDefault="00667608">
            <w:pPr>
              <w:pStyle w:val="A-TableText"/>
              <w:jc w:val="center"/>
              <w:rPr>
                <w:sz w:val="20"/>
              </w:rPr>
            </w:pPr>
            <w:r>
              <w:rPr>
                <w:sz w:val="20"/>
              </w:rPr>
              <w:t>0.4</w:t>
            </w:r>
          </w:p>
        </w:tc>
        <w:tc>
          <w:tcPr>
            <w:tcW w:w="1320" w:type="dxa"/>
          </w:tcPr>
          <w:p w:rsidR="00667608" w:rsidRDefault="00667608">
            <w:pPr>
              <w:pStyle w:val="A-TableText"/>
              <w:jc w:val="center"/>
              <w:rPr>
                <w:sz w:val="20"/>
              </w:rPr>
            </w:pPr>
            <w:r>
              <w:rPr>
                <w:sz w:val="20"/>
              </w:rPr>
              <w:t>0.7</w:t>
            </w:r>
          </w:p>
        </w:tc>
        <w:tc>
          <w:tcPr>
            <w:tcW w:w="1200" w:type="dxa"/>
          </w:tcPr>
          <w:p w:rsidR="00667608" w:rsidRDefault="00667608">
            <w:pPr>
              <w:pStyle w:val="A-TableText"/>
              <w:jc w:val="center"/>
              <w:rPr>
                <w:sz w:val="20"/>
              </w:rPr>
            </w:pPr>
            <w:r>
              <w:rPr>
                <w:sz w:val="20"/>
              </w:rPr>
              <w:t>2.8</w:t>
            </w:r>
          </w:p>
        </w:tc>
        <w:tc>
          <w:tcPr>
            <w:tcW w:w="1440" w:type="dxa"/>
          </w:tcPr>
          <w:p w:rsidR="00667608" w:rsidRDefault="00667608">
            <w:pPr>
              <w:pStyle w:val="A-TableText"/>
              <w:jc w:val="center"/>
              <w:rPr>
                <w:sz w:val="20"/>
              </w:rPr>
            </w:pPr>
            <w:r>
              <w:rPr>
                <w:sz w:val="20"/>
              </w:rPr>
              <w:t>2.1</w:t>
            </w:r>
          </w:p>
        </w:tc>
      </w:tr>
      <w:tr w:rsidR="00667608">
        <w:trPr>
          <w:cantSplit/>
        </w:trPr>
        <w:tc>
          <w:tcPr>
            <w:tcW w:w="3840" w:type="dxa"/>
          </w:tcPr>
          <w:p w:rsidR="00667608" w:rsidRDefault="00667608">
            <w:pPr>
              <w:pStyle w:val="A-TableText"/>
              <w:rPr>
                <w:sz w:val="20"/>
              </w:rPr>
            </w:pPr>
            <w:r>
              <w:rPr>
                <w:sz w:val="20"/>
              </w:rPr>
              <w:t>Dizziness*</w:t>
            </w:r>
          </w:p>
        </w:tc>
        <w:tc>
          <w:tcPr>
            <w:tcW w:w="1320" w:type="dxa"/>
          </w:tcPr>
          <w:p w:rsidR="00667608" w:rsidRDefault="00667608">
            <w:pPr>
              <w:pStyle w:val="A-TableText"/>
              <w:jc w:val="center"/>
              <w:rPr>
                <w:sz w:val="20"/>
              </w:rPr>
            </w:pPr>
            <w:r>
              <w:rPr>
                <w:sz w:val="20"/>
              </w:rPr>
              <w:t>2.0</w:t>
            </w:r>
          </w:p>
        </w:tc>
        <w:tc>
          <w:tcPr>
            <w:tcW w:w="1320" w:type="dxa"/>
          </w:tcPr>
          <w:p w:rsidR="00667608" w:rsidRDefault="00667608">
            <w:pPr>
              <w:pStyle w:val="A-TableText"/>
              <w:jc w:val="center"/>
              <w:rPr>
                <w:sz w:val="20"/>
              </w:rPr>
            </w:pPr>
            <w:r>
              <w:rPr>
                <w:sz w:val="20"/>
              </w:rPr>
              <w:t>1.2</w:t>
            </w:r>
          </w:p>
        </w:tc>
        <w:tc>
          <w:tcPr>
            <w:tcW w:w="1200" w:type="dxa"/>
          </w:tcPr>
          <w:p w:rsidR="00667608" w:rsidRDefault="00667608">
            <w:pPr>
              <w:pStyle w:val="A-TableText"/>
              <w:jc w:val="center"/>
              <w:rPr>
                <w:sz w:val="20"/>
              </w:rPr>
            </w:pPr>
            <w:r>
              <w:rPr>
                <w:sz w:val="20"/>
              </w:rPr>
              <w:t>0.5</w:t>
            </w:r>
          </w:p>
        </w:tc>
        <w:tc>
          <w:tcPr>
            <w:tcW w:w="1440" w:type="dxa"/>
          </w:tcPr>
          <w:p w:rsidR="00667608" w:rsidRDefault="00667608">
            <w:pPr>
              <w:pStyle w:val="A-TableText"/>
              <w:jc w:val="center"/>
              <w:rPr>
                <w:sz w:val="20"/>
              </w:rPr>
            </w:pPr>
            <w:r>
              <w:rPr>
                <w:sz w:val="20"/>
              </w:rPr>
              <w:t>0.3</w:t>
            </w:r>
          </w:p>
        </w:tc>
      </w:tr>
      <w:tr w:rsidR="00667608">
        <w:trPr>
          <w:cantSplit/>
        </w:trPr>
        <w:tc>
          <w:tcPr>
            <w:tcW w:w="3840" w:type="dxa"/>
          </w:tcPr>
          <w:p w:rsidR="00667608" w:rsidRDefault="00667608">
            <w:pPr>
              <w:pStyle w:val="A-TableText"/>
              <w:rPr>
                <w:sz w:val="20"/>
              </w:rPr>
            </w:pPr>
            <w:r>
              <w:rPr>
                <w:sz w:val="20"/>
              </w:rPr>
              <w:t>Pruritis generalised*</w:t>
            </w:r>
          </w:p>
        </w:tc>
        <w:tc>
          <w:tcPr>
            <w:tcW w:w="1320" w:type="dxa"/>
          </w:tcPr>
          <w:p w:rsidR="00667608" w:rsidRDefault="00667608">
            <w:pPr>
              <w:pStyle w:val="A-TableText"/>
              <w:jc w:val="center"/>
              <w:rPr>
                <w:sz w:val="20"/>
              </w:rPr>
            </w:pPr>
            <w:r>
              <w:rPr>
                <w:sz w:val="20"/>
              </w:rPr>
              <w:t>2.2</w:t>
            </w:r>
          </w:p>
        </w:tc>
        <w:tc>
          <w:tcPr>
            <w:tcW w:w="1320" w:type="dxa"/>
          </w:tcPr>
          <w:p w:rsidR="00667608" w:rsidRDefault="00667608">
            <w:pPr>
              <w:pStyle w:val="A-TableText"/>
              <w:jc w:val="center"/>
              <w:rPr>
                <w:sz w:val="20"/>
              </w:rPr>
            </w:pPr>
            <w:r>
              <w:rPr>
                <w:sz w:val="20"/>
              </w:rPr>
              <w:t>2.8</w:t>
            </w:r>
          </w:p>
        </w:tc>
        <w:tc>
          <w:tcPr>
            <w:tcW w:w="1200" w:type="dxa"/>
          </w:tcPr>
          <w:p w:rsidR="00667608" w:rsidRDefault="00667608">
            <w:pPr>
              <w:pStyle w:val="A-TableText"/>
              <w:jc w:val="center"/>
              <w:rPr>
                <w:sz w:val="20"/>
              </w:rPr>
            </w:pPr>
            <w:r>
              <w:rPr>
                <w:sz w:val="20"/>
              </w:rPr>
              <w:t>0</w:t>
            </w:r>
          </w:p>
        </w:tc>
        <w:tc>
          <w:tcPr>
            <w:tcW w:w="1440" w:type="dxa"/>
          </w:tcPr>
          <w:p w:rsidR="00667608" w:rsidRDefault="00667608">
            <w:pPr>
              <w:pStyle w:val="A-TableText"/>
              <w:jc w:val="center"/>
              <w:rPr>
                <w:sz w:val="20"/>
              </w:rPr>
            </w:pPr>
            <w:r>
              <w:rPr>
                <w:sz w:val="20"/>
              </w:rPr>
              <w:t>0</w:t>
            </w:r>
          </w:p>
        </w:tc>
      </w:tr>
      <w:tr w:rsidR="00667608">
        <w:trPr>
          <w:cantSplit/>
        </w:trPr>
        <w:tc>
          <w:tcPr>
            <w:tcW w:w="3840" w:type="dxa"/>
          </w:tcPr>
          <w:p w:rsidR="00667608" w:rsidRDefault="00667608">
            <w:pPr>
              <w:pStyle w:val="A-TableText"/>
              <w:rPr>
                <w:sz w:val="20"/>
              </w:rPr>
            </w:pPr>
            <w:r>
              <w:rPr>
                <w:sz w:val="20"/>
              </w:rPr>
              <w:t>Abdominal pain*</w:t>
            </w:r>
          </w:p>
        </w:tc>
        <w:tc>
          <w:tcPr>
            <w:tcW w:w="1320" w:type="dxa"/>
          </w:tcPr>
          <w:p w:rsidR="00667608" w:rsidRDefault="00667608">
            <w:pPr>
              <w:pStyle w:val="A-TableText"/>
              <w:jc w:val="center"/>
              <w:rPr>
                <w:sz w:val="20"/>
              </w:rPr>
            </w:pPr>
            <w:r>
              <w:rPr>
                <w:sz w:val="20"/>
              </w:rPr>
              <w:t>1.3</w:t>
            </w:r>
          </w:p>
        </w:tc>
        <w:tc>
          <w:tcPr>
            <w:tcW w:w="1320" w:type="dxa"/>
          </w:tcPr>
          <w:p w:rsidR="00667608" w:rsidRDefault="00667608">
            <w:pPr>
              <w:pStyle w:val="A-TableText"/>
              <w:jc w:val="center"/>
              <w:rPr>
                <w:sz w:val="20"/>
              </w:rPr>
            </w:pPr>
            <w:r>
              <w:rPr>
                <w:sz w:val="20"/>
              </w:rPr>
              <w:t>1.0</w:t>
            </w:r>
          </w:p>
        </w:tc>
        <w:tc>
          <w:tcPr>
            <w:tcW w:w="1200" w:type="dxa"/>
          </w:tcPr>
          <w:p w:rsidR="00667608" w:rsidRDefault="00667608">
            <w:pPr>
              <w:pStyle w:val="A-TableText"/>
              <w:jc w:val="center"/>
              <w:rPr>
                <w:sz w:val="20"/>
              </w:rPr>
            </w:pPr>
            <w:r>
              <w:rPr>
                <w:sz w:val="20"/>
              </w:rPr>
              <w:t>0.8</w:t>
            </w:r>
          </w:p>
        </w:tc>
        <w:tc>
          <w:tcPr>
            <w:tcW w:w="1440" w:type="dxa"/>
          </w:tcPr>
          <w:p w:rsidR="00667608" w:rsidRDefault="00667608">
            <w:pPr>
              <w:pStyle w:val="A-TableText"/>
              <w:jc w:val="center"/>
              <w:rPr>
                <w:sz w:val="20"/>
              </w:rPr>
            </w:pPr>
            <w:r>
              <w:rPr>
                <w:sz w:val="20"/>
              </w:rPr>
              <w:t>0.5</w:t>
            </w:r>
          </w:p>
        </w:tc>
      </w:tr>
      <w:tr w:rsidR="00667608">
        <w:trPr>
          <w:cantSplit/>
        </w:trPr>
        <w:tc>
          <w:tcPr>
            <w:tcW w:w="3840" w:type="dxa"/>
          </w:tcPr>
          <w:p w:rsidR="00667608" w:rsidRDefault="00667608">
            <w:pPr>
              <w:pStyle w:val="A-TableText"/>
              <w:rPr>
                <w:sz w:val="20"/>
              </w:rPr>
            </w:pPr>
            <w:r>
              <w:rPr>
                <w:sz w:val="20"/>
              </w:rPr>
              <w:t>Blood pressure increased</w:t>
            </w:r>
          </w:p>
        </w:tc>
        <w:tc>
          <w:tcPr>
            <w:tcW w:w="1320" w:type="dxa"/>
          </w:tcPr>
          <w:p w:rsidR="00667608" w:rsidRDefault="00667608">
            <w:pPr>
              <w:pStyle w:val="A-TableText"/>
              <w:jc w:val="center"/>
              <w:rPr>
                <w:sz w:val="20"/>
              </w:rPr>
            </w:pPr>
            <w:r>
              <w:rPr>
                <w:sz w:val="20"/>
              </w:rPr>
              <w:t>1.3</w:t>
            </w:r>
          </w:p>
        </w:tc>
        <w:tc>
          <w:tcPr>
            <w:tcW w:w="1320" w:type="dxa"/>
          </w:tcPr>
          <w:p w:rsidR="00667608" w:rsidRDefault="00667608">
            <w:pPr>
              <w:pStyle w:val="A-TableText"/>
              <w:jc w:val="center"/>
              <w:rPr>
                <w:sz w:val="20"/>
              </w:rPr>
            </w:pPr>
            <w:r>
              <w:rPr>
                <w:sz w:val="20"/>
              </w:rPr>
              <w:t>1.3</w:t>
            </w:r>
          </w:p>
        </w:tc>
        <w:tc>
          <w:tcPr>
            <w:tcW w:w="1200" w:type="dxa"/>
          </w:tcPr>
          <w:p w:rsidR="00667608" w:rsidRDefault="00667608">
            <w:pPr>
              <w:pStyle w:val="A-TableText"/>
              <w:jc w:val="center"/>
              <w:rPr>
                <w:sz w:val="20"/>
              </w:rPr>
            </w:pPr>
            <w:r>
              <w:rPr>
                <w:sz w:val="20"/>
              </w:rPr>
              <w:t>0.8</w:t>
            </w:r>
          </w:p>
        </w:tc>
        <w:tc>
          <w:tcPr>
            <w:tcW w:w="1440" w:type="dxa"/>
          </w:tcPr>
          <w:p w:rsidR="00667608" w:rsidRDefault="00667608">
            <w:pPr>
              <w:pStyle w:val="A-TableText"/>
              <w:jc w:val="center"/>
              <w:rPr>
                <w:sz w:val="20"/>
              </w:rPr>
            </w:pPr>
            <w:r>
              <w:rPr>
                <w:sz w:val="20"/>
              </w:rPr>
              <w:t>0.7</w:t>
            </w:r>
          </w:p>
        </w:tc>
      </w:tr>
      <w:tr w:rsidR="00667608">
        <w:trPr>
          <w:cantSplit/>
        </w:trPr>
        <w:tc>
          <w:tcPr>
            <w:tcW w:w="3840" w:type="dxa"/>
          </w:tcPr>
          <w:p w:rsidR="00667608" w:rsidRDefault="00667608">
            <w:pPr>
              <w:pStyle w:val="A-TableText"/>
              <w:rPr>
                <w:sz w:val="20"/>
              </w:rPr>
            </w:pPr>
            <w:r>
              <w:rPr>
                <w:sz w:val="20"/>
              </w:rPr>
              <w:t>Alanine aminotransferase increased*</w:t>
            </w:r>
          </w:p>
        </w:tc>
        <w:tc>
          <w:tcPr>
            <w:tcW w:w="1320" w:type="dxa"/>
          </w:tcPr>
          <w:p w:rsidR="00667608" w:rsidRDefault="00667608">
            <w:pPr>
              <w:pStyle w:val="A-TableText"/>
              <w:jc w:val="center"/>
              <w:rPr>
                <w:sz w:val="20"/>
              </w:rPr>
            </w:pPr>
            <w:r>
              <w:rPr>
                <w:sz w:val="20"/>
              </w:rPr>
              <w:t>1.2</w:t>
            </w:r>
          </w:p>
        </w:tc>
        <w:tc>
          <w:tcPr>
            <w:tcW w:w="1320" w:type="dxa"/>
          </w:tcPr>
          <w:p w:rsidR="00667608" w:rsidRDefault="00667608">
            <w:pPr>
              <w:pStyle w:val="A-TableText"/>
              <w:jc w:val="center"/>
              <w:rPr>
                <w:sz w:val="20"/>
              </w:rPr>
            </w:pPr>
            <w:r>
              <w:rPr>
                <w:sz w:val="20"/>
              </w:rPr>
              <w:t>1.7</w:t>
            </w:r>
          </w:p>
        </w:tc>
        <w:tc>
          <w:tcPr>
            <w:tcW w:w="1200" w:type="dxa"/>
          </w:tcPr>
          <w:p w:rsidR="00667608" w:rsidRDefault="00667608">
            <w:pPr>
              <w:pStyle w:val="A-TableText"/>
              <w:jc w:val="center"/>
              <w:rPr>
                <w:sz w:val="20"/>
              </w:rPr>
            </w:pPr>
            <w:r>
              <w:rPr>
                <w:sz w:val="20"/>
              </w:rPr>
              <w:t>0.8</w:t>
            </w:r>
          </w:p>
        </w:tc>
        <w:tc>
          <w:tcPr>
            <w:tcW w:w="1440" w:type="dxa"/>
          </w:tcPr>
          <w:p w:rsidR="00667608" w:rsidRDefault="00667608">
            <w:pPr>
              <w:pStyle w:val="A-TableText"/>
              <w:jc w:val="center"/>
              <w:rPr>
                <w:sz w:val="20"/>
              </w:rPr>
            </w:pPr>
            <w:r>
              <w:rPr>
                <w:sz w:val="20"/>
              </w:rPr>
              <w:t>1.0</w:t>
            </w:r>
          </w:p>
        </w:tc>
      </w:tr>
      <w:tr w:rsidR="00667608">
        <w:trPr>
          <w:cantSplit/>
        </w:trPr>
        <w:tc>
          <w:tcPr>
            <w:tcW w:w="3840" w:type="dxa"/>
            <w:tcBorders>
              <w:bottom w:val="single" w:sz="12" w:space="0" w:color="auto"/>
            </w:tcBorders>
          </w:tcPr>
          <w:p w:rsidR="00667608" w:rsidRDefault="00667608">
            <w:pPr>
              <w:pStyle w:val="A-TableText"/>
              <w:rPr>
                <w:sz w:val="20"/>
              </w:rPr>
            </w:pPr>
            <w:r>
              <w:rPr>
                <w:sz w:val="20"/>
              </w:rPr>
              <w:t>Pyrexia*</w:t>
            </w:r>
          </w:p>
        </w:tc>
        <w:tc>
          <w:tcPr>
            <w:tcW w:w="1320" w:type="dxa"/>
            <w:tcBorders>
              <w:bottom w:val="single" w:sz="12" w:space="0" w:color="auto"/>
            </w:tcBorders>
          </w:tcPr>
          <w:p w:rsidR="00667608" w:rsidRDefault="00667608">
            <w:pPr>
              <w:pStyle w:val="A-TableText"/>
              <w:jc w:val="center"/>
              <w:rPr>
                <w:sz w:val="20"/>
              </w:rPr>
            </w:pPr>
            <w:r>
              <w:rPr>
                <w:sz w:val="20"/>
              </w:rPr>
              <w:t>1.3</w:t>
            </w:r>
          </w:p>
        </w:tc>
        <w:tc>
          <w:tcPr>
            <w:tcW w:w="1320" w:type="dxa"/>
            <w:tcBorders>
              <w:bottom w:val="single" w:sz="12" w:space="0" w:color="auto"/>
            </w:tcBorders>
          </w:tcPr>
          <w:p w:rsidR="00667608" w:rsidRDefault="00667608">
            <w:pPr>
              <w:pStyle w:val="A-TableText"/>
              <w:jc w:val="center"/>
              <w:rPr>
                <w:sz w:val="20"/>
              </w:rPr>
            </w:pPr>
            <w:r>
              <w:rPr>
                <w:sz w:val="20"/>
              </w:rPr>
              <w:t>2.3</w:t>
            </w:r>
          </w:p>
        </w:tc>
        <w:tc>
          <w:tcPr>
            <w:tcW w:w="1200" w:type="dxa"/>
            <w:tcBorders>
              <w:bottom w:val="single" w:sz="12" w:space="0" w:color="auto"/>
            </w:tcBorders>
          </w:tcPr>
          <w:p w:rsidR="00667608" w:rsidRDefault="00667608">
            <w:pPr>
              <w:pStyle w:val="A-TableText"/>
              <w:jc w:val="center"/>
              <w:rPr>
                <w:sz w:val="20"/>
              </w:rPr>
            </w:pPr>
            <w:r>
              <w:rPr>
                <w:sz w:val="20"/>
              </w:rPr>
              <w:t>0.7</w:t>
            </w:r>
          </w:p>
        </w:tc>
        <w:tc>
          <w:tcPr>
            <w:tcW w:w="1440" w:type="dxa"/>
            <w:tcBorders>
              <w:bottom w:val="single" w:sz="12" w:space="0" w:color="auto"/>
            </w:tcBorders>
          </w:tcPr>
          <w:p w:rsidR="00667608" w:rsidRDefault="00667608">
            <w:pPr>
              <w:pStyle w:val="A-TableText"/>
              <w:jc w:val="center"/>
              <w:rPr>
                <w:sz w:val="20"/>
              </w:rPr>
            </w:pPr>
            <w:r>
              <w:rPr>
                <w:sz w:val="20"/>
              </w:rPr>
              <w:t>0.8</w:t>
            </w:r>
          </w:p>
        </w:tc>
      </w:tr>
    </w:tbl>
    <w:p w:rsidR="00667608" w:rsidRDefault="00667608">
      <w:pPr>
        <w:pStyle w:val="A-TableFootnoteText"/>
        <w:spacing w:after="0"/>
      </w:pPr>
      <w:r>
        <w:t>V+A – Vancomycin + aztreonam; N – total number of patients</w:t>
      </w:r>
    </w:p>
    <w:p w:rsidR="00667608" w:rsidRDefault="00667608">
      <w:pPr>
        <w:pStyle w:val="A-TableFootnoteText"/>
        <w:spacing w:after="0"/>
      </w:pPr>
      <w:r>
        <w:t>* adverse drug reaction associated with Zinforo</w:t>
      </w:r>
    </w:p>
    <w:p w:rsidR="00667608" w:rsidRDefault="00667608">
      <w:pPr>
        <w:pStyle w:val="A-TableFootnoteText"/>
      </w:pPr>
      <w:r>
        <w:t>** 1% cut-off based on the frequency of events in the pooled Zinforo cSSTI/CAP groups</w:t>
      </w:r>
    </w:p>
    <w:p w:rsidR="00667608" w:rsidRDefault="00667608">
      <w:pPr>
        <w:rPr>
          <w:lang w:val="en-GB"/>
        </w:rPr>
      </w:pPr>
      <w:r>
        <w:rPr>
          <w:lang w:val="en-GB"/>
        </w:rPr>
        <w:t>Infusion site reactions (erythema, phlebitis and pain) were commonly reported with use of Zinforo and comparator groups.</w:t>
      </w:r>
    </w:p>
    <w:p w:rsidR="00667608" w:rsidRDefault="00667608">
      <w:pPr>
        <w:rPr>
          <w:szCs w:val="24"/>
        </w:rPr>
      </w:pPr>
      <w:r>
        <w:rPr>
          <w:szCs w:val="24"/>
        </w:rPr>
        <w:t>The following adverse drug reactions have been observed with Zinforo in less than 1% of patients during the Phase 3 clinical trials.</w:t>
      </w:r>
    </w:p>
    <w:p w:rsidR="00667608" w:rsidRDefault="00667608">
      <w:pPr>
        <w:pStyle w:val="A-TableTitle"/>
        <w:rPr>
          <w:sz w:val="22"/>
          <w:szCs w:val="22"/>
        </w:rPr>
      </w:pPr>
      <w:r>
        <w:rPr>
          <w:sz w:val="22"/>
          <w:szCs w:val="22"/>
        </w:rPr>
        <w:lastRenderedPageBreak/>
        <w:t xml:space="preserve">Table </w:t>
      </w:r>
      <w:r w:rsidR="00773E45">
        <w:rPr>
          <w:sz w:val="22"/>
          <w:szCs w:val="22"/>
        </w:rPr>
        <w:fldChar w:fldCharType="begin"/>
      </w:r>
      <w:r>
        <w:rPr>
          <w:sz w:val="22"/>
          <w:szCs w:val="22"/>
        </w:rPr>
        <w:instrText xml:space="preserve"> SEQ Table \* ARABIC </w:instrText>
      </w:r>
      <w:r w:rsidR="00773E45">
        <w:rPr>
          <w:sz w:val="22"/>
          <w:szCs w:val="22"/>
        </w:rPr>
        <w:fldChar w:fldCharType="separate"/>
      </w:r>
      <w:r>
        <w:rPr>
          <w:noProof/>
          <w:sz w:val="22"/>
          <w:szCs w:val="22"/>
        </w:rPr>
        <w:t>7</w:t>
      </w:r>
      <w:r w:rsidR="00773E45">
        <w:rPr>
          <w:sz w:val="22"/>
          <w:szCs w:val="22"/>
        </w:rPr>
        <w:fldChar w:fldCharType="end"/>
      </w:r>
      <w:r>
        <w:rPr>
          <w:sz w:val="22"/>
          <w:szCs w:val="22"/>
        </w:rPr>
        <w:tab/>
        <w:t>Adverse drug reactions that occurred with Zinforo in &lt;1% of patients during the Phase 3 cSSTI and CAP studies</w:t>
      </w:r>
    </w:p>
    <w:tbl>
      <w:tblPr>
        <w:tblW w:w="8931" w:type="dxa"/>
        <w:tblInd w:w="108" w:type="dxa"/>
        <w:tblLayout w:type="fixed"/>
        <w:tblLook w:val="0000"/>
      </w:tblPr>
      <w:tblGrid>
        <w:gridCol w:w="1560"/>
        <w:gridCol w:w="3402"/>
        <w:gridCol w:w="3969"/>
      </w:tblGrid>
      <w:tr w:rsidR="00667608">
        <w:trPr>
          <w:cantSplit/>
          <w:tblHeader/>
        </w:trPr>
        <w:tc>
          <w:tcPr>
            <w:tcW w:w="1560" w:type="dxa"/>
            <w:tcBorders>
              <w:top w:val="single" w:sz="12" w:space="0" w:color="auto"/>
            </w:tcBorders>
          </w:tcPr>
          <w:p w:rsidR="00667608" w:rsidRDefault="00667608">
            <w:pPr>
              <w:pStyle w:val="A-TableHeader"/>
            </w:pPr>
            <w:r>
              <w:t>Frequency</w:t>
            </w:r>
          </w:p>
        </w:tc>
        <w:tc>
          <w:tcPr>
            <w:tcW w:w="3402" w:type="dxa"/>
            <w:tcBorders>
              <w:top w:val="single" w:sz="12" w:space="0" w:color="auto"/>
              <w:bottom w:val="single" w:sz="6" w:space="0" w:color="auto"/>
            </w:tcBorders>
          </w:tcPr>
          <w:p w:rsidR="00667608" w:rsidRDefault="00667608">
            <w:pPr>
              <w:pStyle w:val="A-TableHeader"/>
            </w:pPr>
            <w:r>
              <w:t>System organ class</w:t>
            </w:r>
          </w:p>
        </w:tc>
        <w:tc>
          <w:tcPr>
            <w:tcW w:w="3969" w:type="dxa"/>
            <w:tcBorders>
              <w:top w:val="single" w:sz="12" w:space="0" w:color="auto"/>
              <w:bottom w:val="single" w:sz="6" w:space="0" w:color="auto"/>
            </w:tcBorders>
          </w:tcPr>
          <w:p w:rsidR="00667608" w:rsidRDefault="00667608">
            <w:pPr>
              <w:pStyle w:val="A-TableHeader"/>
            </w:pPr>
            <w:r>
              <w:t>Event</w:t>
            </w:r>
          </w:p>
        </w:tc>
      </w:tr>
      <w:tr w:rsidR="00667608">
        <w:trPr>
          <w:cantSplit/>
        </w:trPr>
        <w:tc>
          <w:tcPr>
            <w:tcW w:w="1560" w:type="dxa"/>
            <w:vMerge w:val="restart"/>
            <w:tcBorders>
              <w:top w:val="single" w:sz="6" w:space="0" w:color="auto"/>
            </w:tcBorders>
          </w:tcPr>
          <w:p w:rsidR="00667608" w:rsidRDefault="00667608">
            <w:pPr>
              <w:pStyle w:val="A-TableText"/>
              <w:rPr>
                <w:sz w:val="20"/>
              </w:rPr>
            </w:pPr>
            <w:r>
              <w:rPr>
                <w:sz w:val="20"/>
              </w:rPr>
              <w:t>Uncommon</w:t>
            </w:r>
            <w:r>
              <w:rPr>
                <w:sz w:val="20"/>
              </w:rPr>
              <w:br/>
              <w:t>(</w:t>
            </w:r>
            <w:r>
              <w:rPr>
                <w:rFonts w:cs="Arial"/>
                <w:sz w:val="20"/>
              </w:rPr>
              <w:t>≥</w:t>
            </w:r>
            <w:r>
              <w:rPr>
                <w:sz w:val="20"/>
              </w:rPr>
              <w:t>0.1 to &lt;1%)</w:t>
            </w:r>
          </w:p>
        </w:tc>
        <w:tc>
          <w:tcPr>
            <w:tcW w:w="3402" w:type="dxa"/>
            <w:tcBorders>
              <w:top w:val="single" w:sz="6" w:space="0" w:color="auto"/>
            </w:tcBorders>
          </w:tcPr>
          <w:p w:rsidR="00667608" w:rsidRDefault="00667608">
            <w:pPr>
              <w:pStyle w:val="A-TableText"/>
              <w:rPr>
                <w:sz w:val="20"/>
              </w:rPr>
            </w:pPr>
            <w:r>
              <w:rPr>
                <w:sz w:val="20"/>
              </w:rPr>
              <w:t>Blood &amp; lymphatic system disorders</w:t>
            </w:r>
          </w:p>
        </w:tc>
        <w:tc>
          <w:tcPr>
            <w:tcW w:w="3969" w:type="dxa"/>
            <w:tcBorders>
              <w:top w:val="single" w:sz="6" w:space="0" w:color="auto"/>
            </w:tcBorders>
          </w:tcPr>
          <w:p w:rsidR="00667608" w:rsidRDefault="00667608">
            <w:pPr>
              <w:pStyle w:val="A-TableText"/>
              <w:rPr>
                <w:sz w:val="20"/>
              </w:rPr>
            </w:pPr>
            <w:r>
              <w:rPr>
                <w:sz w:val="20"/>
              </w:rPr>
              <w:t xml:space="preserve">Anaemia; </w:t>
            </w:r>
            <w:r>
              <w:t>leucopenia; t</w:t>
            </w:r>
            <w:r>
              <w:rPr>
                <w:sz w:val="20"/>
              </w:rPr>
              <w:t>hrombocytopenia</w:t>
            </w:r>
          </w:p>
        </w:tc>
      </w:tr>
      <w:tr w:rsidR="00667608">
        <w:trPr>
          <w:cantSplit/>
        </w:trPr>
        <w:tc>
          <w:tcPr>
            <w:tcW w:w="1560" w:type="dxa"/>
            <w:vMerge/>
            <w:tcBorders>
              <w:top w:val="single" w:sz="6" w:space="0" w:color="auto"/>
            </w:tcBorders>
          </w:tcPr>
          <w:p w:rsidR="00667608" w:rsidRDefault="00667608">
            <w:pPr>
              <w:pStyle w:val="A-TableText"/>
              <w:rPr>
                <w:sz w:val="20"/>
              </w:rPr>
            </w:pPr>
          </w:p>
        </w:tc>
        <w:tc>
          <w:tcPr>
            <w:tcW w:w="3402" w:type="dxa"/>
          </w:tcPr>
          <w:p w:rsidR="00667608" w:rsidRDefault="00667608">
            <w:pPr>
              <w:pStyle w:val="A-TableText"/>
              <w:rPr>
                <w:sz w:val="20"/>
                <w:lang w:val="sv-SE"/>
              </w:rPr>
            </w:pPr>
            <w:r>
              <w:rPr>
                <w:sz w:val="20"/>
                <w:lang w:val="sv-SE"/>
              </w:rPr>
              <w:t>Immune system disorders</w:t>
            </w:r>
          </w:p>
        </w:tc>
        <w:tc>
          <w:tcPr>
            <w:tcW w:w="3969" w:type="dxa"/>
          </w:tcPr>
          <w:p w:rsidR="00667608" w:rsidRDefault="00667608">
            <w:pPr>
              <w:pStyle w:val="A-TableText"/>
              <w:rPr>
                <w:sz w:val="20"/>
              </w:rPr>
            </w:pPr>
            <w:r>
              <w:rPr>
                <w:sz w:val="20"/>
              </w:rPr>
              <w:t xml:space="preserve">Hypersensitivity/anaphylaxis </w:t>
            </w:r>
            <w:r>
              <w:rPr>
                <w:sz w:val="20"/>
                <w:vertAlign w:val="superscript"/>
              </w:rPr>
              <w:t>a</w:t>
            </w:r>
          </w:p>
        </w:tc>
      </w:tr>
      <w:tr w:rsidR="00667608">
        <w:trPr>
          <w:cantSplit/>
        </w:trPr>
        <w:tc>
          <w:tcPr>
            <w:tcW w:w="1560" w:type="dxa"/>
            <w:vMerge/>
            <w:tcBorders>
              <w:top w:val="single" w:sz="6" w:space="0" w:color="auto"/>
            </w:tcBorders>
          </w:tcPr>
          <w:p w:rsidR="00667608" w:rsidRDefault="00667608">
            <w:pPr>
              <w:pStyle w:val="A-TableText"/>
              <w:rPr>
                <w:sz w:val="20"/>
              </w:rPr>
            </w:pPr>
          </w:p>
        </w:tc>
        <w:tc>
          <w:tcPr>
            <w:tcW w:w="3402" w:type="dxa"/>
          </w:tcPr>
          <w:p w:rsidR="00667608" w:rsidRDefault="00667608">
            <w:pPr>
              <w:pStyle w:val="A-TableText"/>
              <w:rPr>
                <w:sz w:val="20"/>
              </w:rPr>
            </w:pPr>
            <w:r>
              <w:rPr>
                <w:sz w:val="20"/>
              </w:rPr>
              <w:t>Skin &amp; subcutaneous disorders</w:t>
            </w:r>
          </w:p>
        </w:tc>
        <w:tc>
          <w:tcPr>
            <w:tcW w:w="3969" w:type="dxa"/>
          </w:tcPr>
          <w:p w:rsidR="00667608" w:rsidRDefault="00667608">
            <w:pPr>
              <w:pStyle w:val="A-TableText"/>
              <w:rPr>
                <w:sz w:val="20"/>
              </w:rPr>
            </w:pPr>
            <w:r>
              <w:rPr>
                <w:sz w:val="20"/>
              </w:rPr>
              <w:t>Urticaria</w:t>
            </w:r>
          </w:p>
        </w:tc>
      </w:tr>
      <w:tr w:rsidR="00667608">
        <w:trPr>
          <w:cantSplit/>
        </w:trPr>
        <w:tc>
          <w:tcPr>
            <w:tcW w:w="1560" w:type="dxa"/>
            <w:vMerge/>
            <w:tcBorders>
              <w:top w:val="single" w:sz="6" w:space="0" w:color="auto"/>
            </w:tcBorders>
          </w:tcPr>
          <w:p w:rsidR="00667608" w:rsidRDefault="00667608">
            <w:pPr>
              <w:pStyle w:val="A-TableText"/>
              <w:rPr>
                <w:sz w:val="20"/>
              </w:rPr>
            </w:pPr>
          </w:p>
        </w:tc>
        <w:tc>
          <w:tcPr>
            <w:tcW w:w="3402" w:type="dxa"/>
          </w:tcPr>
          <w:p w:rsidR="00667608" w:rsidRDefault="00667608">
            <w:pPr>
              <w:pStyle w:val="A-TableText"/>
              <w:rPr>
                <w:sz w:val="20"/>
              </w:rPr>
            </w:pPr>
            <w:r>
              <w:rPr>
                <w:sz w:val="20"/>
              </w:rPr>
              <w:t>Infections and infestations</w:t>
            </w:r>
          </w:p>
        </w:tc>
        <w:tc>
          <w:tcPr>
            <w:tcW w:w="3969" w:type="dxa"/>
          </w:tcPr>
          <w:p w:rsidR="00667608" w:rsidRDefault="00667608">
            <w:pPr>
              <w:pStyle w:val="A-TableText"/>
              <w:rPr>
                <w:sz w:val="20"/>
              </w:rPr>
            </w:pPr>
            <w:r>
              <w:rPr>
                <w:i/>
                <w:sz w:val="20"/>
              </w:rPr>
              <w:t>Clostridium difficile</w:t>
            </w:r>
            <w:r>
              <w:rPr>
                <w:sz w:val="20"/>
              </w:rPr>
              <w:t xml:space="preserve"> colitis </w:t>
            </w:r>
            <w:r>
              <w:rPr>
                <w:sz w:val="20"/>
                <w:vertAlign w:val="superscript"/>
              </w:rPr>
              <w:t>b</w:t>
            </w:r>
          </w:p>
        </w:tc>
      </w:tr>
      <w:tr w:rsidR="00667608">
        <w:trPr>
          <w:cantSplit/>
        </w:trPr>
        <w:tc>
          <w:tcPr>
            <w:tcW w:w="1560" w:type="dxa"/>
            <w:vMerge/>
            <w:tcBorders>
              <w:top w:val="single" w:sz="6" w:space="0" w:color="auto"/>
            </w:tcBorders>
          </w:tcPr>
          <w:p w:rsidR="00667608" w:rsidRDefault="00667608">
            <w:pPr>
              <w:pStyle w:val="A-TableText"/>
              <w:rPr>
                <w:sz w:val="20"/>
              </w:rPr>
            </w:pPr>
          </w:p>
        </w:tc>
        <w:tc>
          <w:tcPr>
            <w:tcW w:w="3402" w:type="dxa"/>
          </w:tcPr>
          <w:p w:rsidR="00667608" w:rsidRDefault="00667608">
            <w:pPr>
              <w:pStyle w:val="A-TableText"/>
              <w:rPr>
                <w:sz w:val="20"/>
              </w:rPr>
            </w:pPr>
            <w:r>
              <w:rPr>
                <w:sz w:val="20"/>
              </w:rPr>
              <w:t>Investigations</w:t>
            </w:r>
          </w:p>
        </w:tc>
        <w:tc>
          <w:tcPr>
            <w:tcW w:w="3969" w:type="dxa"/>
          </w:tcPr>
          <w:p w:rsidR="00667608" w:rsidRDefault="00667608">
            <w:pPr>
              <w:pStyle w:val="A-TableText"/>
              <w:rPr>
                <w:sz w:val="20"/>
              </w:rPr>
            </w:pPr>
            <w:r>
              <w:rPr>
                <w:sz w:val="20"/>
              </w:rPr>
              <w:t>Prothrombin time prolonged; international normalized ratio increased</w:t>
            </w:r>
          </w:p>
        </w:tc>
      </w:tr>
      <w:tr w:rsidR="00667608">
        <w:trPr>
          <w:cantSplit/>
        </w:trPr>
        <w:tc>
          <w:tcPr>
            <w:tcW w:w="1560" w:type="dxa"/>
            <w:vMerge/>
            <w:tcBorders>
              <w:bottom w:val="single" w:sz="12" w:space="0" w:color="auto"/>
            </w:tcBorders>
          </w:tcPr>
          <w:p w:rsidR="00667608" w:rsidRDefault="00667608">
            <w:pPr>
              <w:pStyle w:val="A-TableText"/>
              <w:rPr>
                <w:sz w:val="20"/>
              </w:rPr>
            </w:pPr>
          </w:p>
        </w:tc>
        <w:tc>
          <w:tcPr>
            <w:tcW w:w="3402" w:type="dxa"/>
            <w:tcBorders>
              <w:bottom w:val="single" w:sz="12" w:space="0" w:color="auto"/>
            </w:tcBorders>
          </w:tcPr>
          <w:p w:rsidR="00667608" w:rsidRDefault="00667608">
            <w:pPr>
              <w:pStyle w:val="A-TableText"/>
              <w:rPr>
                <w:sz w:val="20"/>
              </w:rPr>
            </w:pPr>
            <w:r>
              <w:rPr>
                <w:sz w:val="20"/>
              </w:rPr>
              <w:t>Renal &amp; urinary disorders</w:t>
            </w:r>
          </w:p>
        </w:tc>
        <w:tc>
          <w:tcPr>
            <w:tcW w:w="3969" w:type="dxa"/>
            <w:tcBorders>
              <w:bottom w:val="single" w:sz="12" w:space="0" w:color="auto"/>
            </w:tcBorders>
          </w:tcPr>
          <w:p w:rsidR="00667608" w:rsidRDefault="00667608">
            <w:pPr>
              <w:pStyle w:val="A-TableText"/>
              <w:rPr>
                <w:sz w:val="20"/>
              </w:rPr>
            </w:pPr>
            <w:r>
              <w:rPr>
                <w:sz w:val="20"/>
              </w:rPr>
              <w:t>Blood creatinine increased</w:t>
            </w:r>
          </w:p>
        </w:tc>
      </w:tr>
    </w:tbl>
    <w:p w:rsidR="00667608" w:rsidRDefault="00667608">
      <w:pPr>
        <w:pStyle w:val="A-TableFootnoteText"/>
        <w:spacing w:before="60" w:after="60"/>
        <w:rPr>
          <w:i/>
          <w:szCs w:val="24"/>
        </w:rPr>
      </w:pPr>
      <w:r>
        <w:rPr>
          <w:vertAlign w:val="superscript"/>
        </w:rPr>
        <w:t>a</w:t>
      </w:r>
      <w:r>
        <w:tab/>
      </w:r>
      <w:r>
        <w:rPr>
          <w:szCs w:val="24"/>
        </w:rPr>
        <w:t xml:space="preserve">see </w:t>
      </w:r>
      <w:r>
        <w:rPr>
          <w:i/>
          <w:szCs w:val="24"/>
        </w:rPr>
        <w:t>Contraindications</w:t>
      </w:r>
      <w:r>
        <w:rPr>
          <w:szCs w:val="24"/>
        </w:rPr>
        <w:t xml:space="preserve"> and </w:t>
      </w:r>
      <w:r>
        <w:rPr>
          <w:i/>
          <w:szCs w:val="24"/>
        </w:rPr>
        <w:t>Precautions</w:t>
      </w:r>
    </w:p>
    <w:p w:rsidR="00667608" w:rsidRDefault="00667608">
      <w:pPr>
        <w:pStyle w:val="A-TableFootnoteText"/>
        <w:spacing w:before="60" w:after="60"/>
      </w:pPr>
      <w:r>
        <w:rPr>
          <w:vertAlign w:val="superscript"/>
        </w:rPr>
        <w:t>b</w:t>
      </w:r>
      <w:r>
        <w:tab/>
      </w:r>
      <w:r>
        <w:rPr>
          <w:szCs w:val="24"/>
        </w:rPr>
        <w:t xml:space="preserve">see </w:t>
      </w:r>
      <w:r>
        <w:rPr>
          <w:i/>
          <w:szCs w:val="24"/>
        </w:rPr>
        <w:t>Precautions</w:t>
      </w:r>
    </w:p>
    <w:p w:rsidR="00667608" w:rsidRDefault="00667608">
      <w:pPr>
        <w:rPr>
          <w:szCs w:val="24"/>
        </w:rPr>
      </w:pPr>
      <w:r>
        <w:rPr>
          <w:lang w:val="en-GB"/>
        </w:rPr>
        <w:t xml:space="preserve">The development of a positive Coombs test may occur during the treatment with cephalosporins, including Zinforo (see </w:t>
      </w:r>
      <w:r>
        <w:rPr>
          <w:i/>
          <w:lang w:val="en-GB"/>
        </w:rPr>
        <w:t>Precautions</w:t>
      </w:r>
      <w:r>
        <w:rPr>
          <w:lang w:val="en-GB"/>
        </w:rPr>
        <w:t>)</w:t>
      </w:r>
      <w:r>
        <w:t>.</w:t>
      </w:r>
    </w:p>
    <w:p w:rsidR="00667608" w:rsidRDefault="00667608">
      <w:pPr>
        <w:pStyle w:val="A-Heading1"/>
        <w:rPr>
          <w:lang w:val="en-AU"/>
        </w:rPr>
      </w:pPr>
      <w:r>
        <w:rPr>
          <w:lang w:val="en-AU"/>
        </w:rPr>
        <w:t>DOSAGE AND ADMINISTRATION</w:t>
      </w:r>
    </w:p>
    <w:p w:rsidR="00667608" w:rsidRDefault="00667608">
      <w:r>
        <w:t>To reduce the development of drug-resistant bacteria and maintain the effectiveness of Zinforo and other antibiotics, Zinforo should be used to treat only cSSTI or CAP that are proven or strongly suspected to be caused by designated susceptible bacteria.  Appropriate specimens for microbiological examination should be obtained in order to isolate and identify the causative pathogens and to determine their susceptibility to ceftaroline.  When culture and susceptibility information are available, they should be considered in selecting or modifying antibiotic therapy.  In the absence of such data, local epidemiology and susceptibility patterns may contribute to the empiric selection of therapy.</w:t>
      </w:r>
    </w:p>
    <w:p w:rsidR="00667608" w:rsidRDefault="00667608">
      <w:pPr>
        <w:pStyle w:val="A-Heading2"/>
      </w:pPr>
      <w:r>
        <w:t>Adults (18 years and older)</w:t>
      </w:r>
    </w:p>
    <w:p w:rsidR="00667608" w:rsidRDefault="00667608">
      <w:r>
        <w:t>The recommended dosage of Zinforo is 600 mg administered every 12 hours by intravenous infusion over 60 minutes.  The duration of therapy should be guided by the type of infection to be treated, its severity and the patient’s clinical response.</w:t>
      </w:r>
    </w:p>
    <w:p w:rsidR="00667608" w:rsidRDefault="00FC26E7">
      <w:r>
        <w:br w:type="page"/>
      </w:r>
      <w:r w:rsidR="00667608">
        <w:lastRenderedPageBreak/>
        <w:t>Recommended dosage and administration by infection is as follows:</w:t>
      </w:r>
    </w:p>
    <w:p w:rsidR="00667608" w:rsidRDefault="00667608">
      <w:pPr>
        <w:pStyle w:val="A-TableTitle"/>
        <w:rPr>
          <w:sz w:val="22"/>
          <w:szCs w:val="22"/>
        </w:rPr>
      </w:pPr>
      <w:r>
        <w:rPr>
          <w:sz w:val="22"/>
          <w:szCs w:val="22"/>
        </w:rPr>
        <w:t xml:space="preserve">Table </w:t>
      </w:r>
      <w:r w:rsidR="00773E45">
        <w:rPr>
          <w:sz w:val="22"/>
          <w:szCs w:val="22"/>
        </w:rPr>
        <w:fldChar w:fldCharType="begin"/>
      </w:r>
      <w:r>
        <w:rPr>
          <w:sz w:val="22"/>
          <w:szCs w:val="22"/>
        </w:rPr>
        <w:instrText xml:space="preserve"> SEQ Table \* ARABIC </w:instrText>
      </w:r>
      <w:r w:rsidR="00773E45">
        <w:rPr>
          <w:sz w:val="22"/>
          <w:szCs w:val="22"/>
        </w:rPr>
        <w:fldChar w:fldCharType="separate"/>
      </w:r>
      <w:r>
        <w:rPr>
          <w:noProof/>
          <w:sz w:val="22"/>
          <w:szCs w:val="22"/>
        </w:rPr>
        <w:t>8</w:t>
      </w:r>
      <w:r w:rsidR="00773E45">
        <w:rPr>
          <w:sz w:val="22"/>
          <w:szCs w:val="22"/>
        </w:rPr>
        <w:fldChar w:fldCharType="end"/>
      </w:r>
      <w:r>
        <w:rPr>
          <w:sz w:val="22"/>
          <w:szCs w:val="22"/>
        </w:rPr>
        <w:tab/>
        <w:t>Adult dosage and administration recommendations</w:t>
      </w:r>
    </w:p>
    <w:tbl>
      <w:tblPr>
        <w:tblW w:w="0" w:type="auto"/>
        <w:tblLayout w:type="fixed"/>
        <w:tblLook w:val="0000"/>
      </w:tblPr>
      <w:tblGrid>
        <w:gridCol w:w="2518"/>
        <w:gridCol w:w="1134"/>
        <w:gridCol w:w="1276"/>
        <w:gridCol w:w="1276"/>
        <w:gridCol w:w="2802"/>
      </w:tblGrid>
      <w:tr w:rsidR="00667608">
        <w:trPr>
          <w:cantSplit/>
          <w:tblHeader/>
        </w:trPr>
        <w:tc>
          <w:tcPr>
            <w:tcW w:w="2518" w:type="dxa"/>
            <w:tcBorders>
              <w:top w:val="single" w:sz="12" w:space="0" w:color="auto"/>
              <w:bottom w:val="single" w:sz="6" w:space="0" w:color="auto"/>
            </w:tcBorders>
          </w:tcPr>
          <w:p w:rsidR="00667608" w:rsidRDefault="00667608">
            <w:pPr>
              <w:pStyle w:val="A-TableHeader"/>
            </w:pPr>
            <w:r>
              <w:t>Infection</w:t>
            </w:r>
          </w:p>
        </w:tc>
        <w:tc>
          <w:tcPr>
            <w:tcW w:w="1134" w:type="dxa"/>
            <w:tcBorders>
              <w:top w:val="single" w:sz="12" w:space="0" w:color="auto"/>
              <w:bottom w:val="single" w:sz="6" w:space="0" w:color="auto"/>
            </w:tcBorders>
          </w:tcPr>
          <w:p w:rsidR="00667608" w:rsidRDefault="00667608">
            <w:pPr>
              <w:pStyle w:val="A-TableHeader"/>
              <w:jc w:val="center"/>
            </w:pPr>
            <w:r>
              <w:t>Dosage</w:t>
            </w:r>
          </w:p>
        </w:tc>
        <w:tc>
          <w:tcPr>
            <w:tcW w:w="1276" w:type="dxa"/>
            <w:tcBorders>
              <w:top w:val="single" w:sz="12" w:space="0" w:color="auto"/>
              <w:bottom w:val="single" w:sz="6" w:space="0" w:color="auto"/>
            </w:tcBorders>
          </w:tcPr>
          <w:p w:rsidR="00667608" w:rsidRDefault="00667608">
            <w:pPr>
              <w:pStyle w:val="A-TableHeader"/>
              <w:jc w:val="center"/>
            </w:pPr>
            <w:r>
              <w:t>Frequency</w:t>
            </w:r>
          </w:p>
        </w:tc>
        <w:tc>
          <w:tcPr>
            <w:tcW w:w="1276" w:type="dxa"/>
            <w:tcBorders>
              <w:top w:val="single" w:sz="12" w:space="0" w:color="auto"/>
              <w:bottom w:val="single" w:sz="6" w:space="0" w:color="auto"/>
            </w:tcBorders>
          </w:tcPr>
          <w:p w:rsidR="00667608" w:rsidRDefault="00667608">
            <w:pPr>
              <w:pStyle w:val="A-TableHeader"/>
              <w:jc w:val="center"/>
            </w:pPr>
            <w:r>
              <w:t>Infusion time (min)</w:t>
            </w:r>
          </w:p>
        </w:tc>
        <w:tc>
          <w:tcPr>
            <w:tcW w:w="2802" w:type="dxa"/>
            <w:tcBorders>
              <w:top w:val="single" w:sz="12" w:space="0" w:color="auto"/>
              <w:bottom w:val="single" w:sz="6" w:space="0" w:color="auto"/>
            </w:tcBorders>
          </w:tcPr>
          <w:p w:rsidR="00667608" w:rsidRDefault="00667608">
            <w:pPr>
              <w:pStyle w:val="A-TableHeader"/>
              <w:jc w:val="center"/>
            </w:pPr>
            <w:r>
              <w:t>Recommended duration of antimicrobial treatment</w:t>
            </w:r>
          </w:p>
        </w:tc>
      </w:tr>
      <w:tr w:rsidR="00667608">
        <w:trPr>
          <w:cantSplit/>
        </w:trPr>
        <w:tc>
          <w:tcPr>
            <w:tcW w:w="2518" w:type="dxa"/>
            <w:tcBorders>
              <w:top w:val="single" w:sz="6" w:space="0" w:color="auto"/>
            </w:tcBorders>
          </w:tcPr>
          <w:p w:rsidR="00667608" w:rsidRDefault="00667608">
            <w:pPr>
              <w:pStyle w:val="A-TableText"/>
              <w:rPr>
                <w:sz w:val="20"/>
              </w:rPr>
            </w:pPr>
            <w:r>
              <w:rPr>
                <w:sz w:val="20"/>
              </w:rPr>
              <w:t xml:space="preserve">Complicated skin &amp; soft tissue infections </w:t>
            </w:r>
          </w:p>
        </w:tc>
        <w:tc>
          <w:tcPr>
            <w:tcW w:w="1134" w:type="dxa"/>
            <w:tcBorders>
              <w:top w:val="single" w:sz="6" w:space="0" w:color="auto"/>
            </w:tcBorders>
          </w:tcPr>
          <w:p w:rsidR="00667608" w:rsidRDefault="00667608">
            <w:pPr>
              <w:pStyle w:val="A-TableText"/>
              <w:jc w:val="center"/>
              <w:rPr>
                <w:sz w:val="20"/>
              </w:rPr>
            </w:pPr>
            <w:r>
              <w:rPr>
                <w:sz w:val="20"/>
              </w:rPr>
              <w:t>600 mg</w:t>
            </w:r>
          </w:p>
        </w:tc>
        <w:tc>
          <w:tcPr>
            <w:tcW w:w="1276" w:type="dxa"/>
            <w:tcBorders>
              <w:top w:val="single" w:sz="6" w:space="0" w:color="auto"/>
            </w:tcBorders>
          </w:tcPr>
          <w:p w:rsidR="00667608" w:rsidRDefault="00667608">
            <w:pPr>
              <w:pStyle w:val="A-TableText"/>
              <w:jc w:val="center"/>
              <w:rPr>
                <w:sz w:val="20"/>
              </w:rPr>
            </w:pPr>
            <w:r>
              <w:rPr>
                <w:sz w:val="20"/>
              </w:rPr>
              <w:t>every 12 hours</w:t>
            </w:r>
          </w:p>
        </w:tc>
        <w:tc>
          <w:tcPr>
            <w:tcW w:w="1276" w:type="dxa"/>
            <w:tcBorders>
              <w:top w:val="single" w:sz="6" w:space="0" w:color="auto"/>
            </w:tcBorders>
          </w:tcPr>
          <w:p w:rsidR="00667608" w:rsidRDefault="00667608">
            <w:pPr>
              <w:pStyle w:val="A-TableText"/>
              <w:jc w:val="center"/>
              <w:rPr>
                <w:sz w:val="20"/>
              </w:rPr>
            </w:pPr>
            <w:r>
              <w:rPr>
                <w:sz w:val="20"/>
              </w:rPr>
              <w:t>60</w:t>
            </w:r>
          </w:p>
        </w:tc>
        <w:tc>
          <w:tcPr>
            <w:tcW w:w="2802" w:type="dxa"/>
            <w:tcBorders>
              <w:top w:val="single" w:sz="6" w:space="0" w:color="auto"/>
            </w:tcBorders>
          </w:tcPr>
          <w:p w:rsidR="00667608" w:rsidRDefault="00667608">
            <w:pPr>
              <w:pStyle w:val="A-TableText"/>
              <w:jc w:val="center"/>
              <w:rPr>
                <w:sz w:val="20"/>
              </w:rPr>
            </w:pPr>
            <w:r>
              <w:rPr>
                <w:sz w:val="20"/>
              </w:rPr>
              <w:t>5</w:t>
            </w:r>
            <w:r>
              <w:rPr>
                <w:sz w:val="20"/>
              </w:rPr>
              <w:noBreakHyphen/>
              <w:t>14 days</w:t>
            </w:r>
          </w:p>
        </w:tc>
      </w:tr>
      <w:tr w:rsidR="00667608">
        <w:trPr>
          <w:cantSplit/>
        </w:trPr>
        <w:tc>
          <w:tcPr>
            <w:tcW w:w="2518" w:type="dxa"/>
            <w:tcBorders>
              <w:bottom w:val="single" w:sz="12" w:space="0" w:color="auto"/>
            </w:tcBorders>
          </w:tcPr>
          <w:p w:rsidR="00667608" w:rsidRDefault="00667608">
            <w:pPr>
              <w:pStyle w:val="A-TableText"/>
              <w:rPr>
                <w:sz w:val="20"/>
              </w:rPr>
            </w:pPr>
            <w:r>
              <w:rPr>
                <w:sz w:val="20"/>
              </w:rPr>
              <w:t xml:space="preserve">Community-acquired pneumonia </w:t>
            </w:r>
          </w:p>
        </w:tc>
        <w:tc>
          <w:tcPr>
            <w:tcW w:w="1134" w:type="dxa"/>
            <w:tcBorders>
              <w:bottom w:val="single" w:sz="12" w:space="0" w:color="auto"/>
            </w:tcBorders>
          </w:tcPr>
          <w:p w:rsidR="00667608" w:rsidRDefault="00667608">
            <w:pPr>
              <w:pStyle w:val="A-TableText"/>
              <w:jc w:val="center"/>
              <w:rPr>
                <w:sz w:val="20"/>
              </w:rPr>
            </w:pPr>
            <w:r>
              <w:rPr>
                <w:sz w:val="20"/>
              </w:rPr>
              <w:t>600 mg</w:t>
            </w:r>
          </w:p>
        </w:tc>
        <w:tc>
          <w:tcPr>
            <w:tcW w:w="1276" w:type="dxa"/>
            <w:tcBorders>
              <w:bottom w:val="single" w:sz="12" w:space="0" w:color="auto"/>
            </w:tcBorders>
          </w:tcPr>
          <w:p w:rsidR="00667608" w:rsidRDefault="00667608">
            <w:pPr>
              <w:pStyle w:val="A-TableText"/>
              <w:jc w:val="center"/>
              <w:rPr>
                <w:sz w:val="20"/>
              </w:rPr>
            </w:pPr>
            <w:r>
              <w:rPr>
                <w:sz w:val="20"/>
              </w:rPr>
              <w:t>every 12 hours</w:t>
            </w:r>
          </w:p>
        </w:tc>
        <w:tc>
          <w:tcPr>
            <w:tcW w:w="1276" w:type="dxa"/>
            <w:tcBorders>
              <w:bottom w:val="single" w:sz="12" w:space="0" w:color="auto"/>
            </w:tcBorders>
          </w:tcPr>
          <w:p w:rsidR="00667608" w:rsidRDefault="00667608">
            <w:pPr>
              <w:pStyle w:val="A-TableText"/>
              <w:jc w:val="center"/>
              <w:rPr>
                <w:sz w:val="20"/>
              </w:rPr>
            </w:pPr>
            <w:r>
              <w:rPr>
                <w:sz w:val="20"/>
              </w:rPr>
              <w:t>60</w:t>
            </w:r>
          </w:p>
        </w:tc>
        <w:tc>
          <w:tcPr>
            <w:tcW w:w="2802" w:type="dxa"/>
            <w:tcBorders>
              <w:bottom w:val="single" w:sz="12" w:space="0" w:color="auto"/>
            </w:tcBorders>
          </w:tcPr>
          <w:p w:rsidR="00667608" w:rsidRDefault="00667608">
            <w:pPr>
              <w:pStyle w:val="A-TableText"/>
              <w:jc w:val="center"/>
              <w:rPr>
                <w:sz w:val="20"/>
              </w:rPr>
            </w:pPr>
            <w:r>
              <w:rPr>
                <w:sz w:val="20"/>
              </w:rPr>
              <w:t>5</w:t>
            </w:r>
            <w:r>
              <w:rPr>
                <w:sz w:val="20"/>
              </w:rPr>
              <w:noBreakHyphen/>
              <w:t>7 days</w:t>
            </w:r>
          </w:p>
        </w:tc>
      </w:tr>
    </w:tbl>
    <w:p w:rsidR="00667608" w:rsidRDefault="00667608"/>
    <w:p w:rsidR="00667608" w:rsidRDefault="00667608">
      <w:pPr>
        <w:pStyle w:val="A-Heading3"/>
      </w:pPr>
      <w:r>
        <w:t>Patients with renal impairment</w:t>
      </w:r>
    </w:p>
    <w:p w:rsidR="00667608" w:rsidRDefault="00667608">
      <w:r>
        <w:t xml:space="preserve">The dose should be adjusted in patients with renal impairment when creatinine clearance (CrCl) levels are &gt;30 to ≤50 mL/min, as shown below (see </w:t>
      </w:r>
      <w:r>
        <w:rPr>
          <w:i/>
        </w:rPr>
        <w:t>Precautions</w:t>
      </w:r>
      <w:r>
        <w:t xml:space="preserve"> and </w:t>
      </w:r>
      <w:r>
        <w:rPr>
          <w:i/>
        </w:rPr>
        <w:t>Pharmacokinetics</w:t>
      </w:r>
      <w:r>
        <w:t>).</w:t>
      </w:r>
    </w:p>
    <w:tbl>
      <w:tblPr>
        <w:tblW w:w="9039" w:type="dxa"/>
        <w:tblLayout w:type="fixed"/>
        <w:tblLook w:val="0000"/>
      </w:tblPr>
      <w:tblGrid>
        <w:gridCol w:w="2518"/>
        <w:gridCol w:w="1134"/>
        <w:gridCol w:w="1276"/>
        <w:gridCol w:w="1417"/>
        <w:gridCol w:w="2694"/>
      </w:tblGrid>
      <w:tr w:rsidR="00667608">
        <w:trPr>
          <w:cantSplit/>
          <w:tblHeader/>
        </w:trPr>
        <w:tc>
          <w:tcPr>
            <w:tcW w:w="2518" w:type="dxa"/>
            <w:tcBorders>
              <w:top w:val="single" w:sz="12" w:space="0" w:color="auto"/>
              <w:bottom w:val="single" w:sz="6" w:space="0" w:color="auto"/>
            </w:tcBorders>
          </w:tcPr>
          <w:p w:rsidR="00667608" w:rsidRDefault="00667608">
            <w:pPr>
              <w:pStyle w:val="A-TableHeader"/>
            </w:pPr>
            <w:r>
              <w:t>Creatinine clearance (mL/min)</w:t>
            </w:r>
          </w:p>
        </w:tc>
        <w:tc>
          <w:tcPr>
            <w:tcW w:w="1134" w:type="dxa"/>
            <w:tcBorders>
              <w:top w:val="single" w:sz="12" w:space="0" w:color="auto"/>
              <w:bottom w:val="single" w:sz="6" w:space="0" w:color="auto"/>
            </w:tcBorders>
          </w:tcPr>
          <w:p w:rsidR="00667608" w:rsidRDefault="00667608">
            <w:pPr>
              <w:pStyle w:val="A-TableHeader"/>
              <w:jc w:val="center"/>
              <w:rPr>
                <w:b w:val="0"/>
                <w:bCs/>
              </w:rPr>
            </w:pPr>
            <w:r>
              <w:t>Dosage</w:t>
            </w:r>
          </w:p>
        </w:tc>
        <w:tc>
          <w:tcPr>
            <w:tcW w:w="1276" w:type="dxa"/>
            <w:tcBorders>
              <w:top w:val="single" w:sz="12" w:space="0" w:color="auto"/>
              <w:bottom w:val="single" w:sz="6" w:space="0" w:color="auto"/>
            </w:tcBorders>
          </w:tcPr>
          <w:p w:rsidR="00667608" w:rsidRDefault="00667608">
            <w:pPr>
              <w:pStyle w:val="A-TableHeader"/>
              <w:jc w:val="center"/>
            </w:pPr>
            <w:r>
              <w:t>Frequency</w:t>
            </w:r>
          </w:p>
        </w:tc>
        <w:tc>
          <w:tcPr>
            <w:tcW w:w="1417" w:type="dxa"/>
            <w:tcBorders>
              <w:top w:val="single" w:sz="12" w:space="0" w:color="auto"/>
              <w:bottom w:val="single" w:sz="6" w:space="0" w:color="auto"/>
            </w:tcBorders>
          </w:tcPr>
          <w:p w:rsidR="00667608" w:rsidRDefault="00667608">
            <w:pPr>
              <w:pStyle w:val="A-TableHeader"/>
              <w:jc w:val="center"/>
            </w:pPr>
            <w:r>
              <w:t>Infusion time (min)</w:t>
            </w:r>
          </w:p>
        </w:tc>
        <w:tc>
          <w:tcPr>
            <w:tcW w:w="2694" w:type="dxa"/>
            <w:tcBorders>
              <w:top w:val="single" w:sz="12" w:space="0" w:color="auto"/>
              <w:bottom w:val="single" w:sz="6" w:space="0" w:color="auto"/>
            </w:tcBorders>
          </w:tcPr>
          <w:p w:rsidR="00667608" w:rsidRDefault="00667608">
            <w:pPr>
              <w:pStyle w:val="A-TableHeader"/>
              <w:jc w:val="center"/>
            </w:pPr>
            <w:r>
              <w:t>Recommended duration of antimicrobial treatment</w:t>
            </w:r>
          </w:p>
        </w:tc>
      </w:tr>
      <w:tr w:rsidR="00667608">
        <w:trPr>
          <w:cantSplit/>
        </w:trPr>
        <w:tc>
          <w:tcPr>
            <w:tcW w:w="2518" w:type="dxa"/>
            <w:tcBorders>
              <w:top w:val="single" w:sz="6" w:space="0" w:color="auto"/>
              <w:bottom w:val="single" w:sz="12" w:space="0" w:color="auto"/>
            </w:tcBorders>
          </w:tcPr>
          <w:p w:rsidR="00667608" w:rsidRDefault="00667608">
            <w:pPr>
              <w:pStyle w:val="A-TableText"/>
              <w:rPr>
                <w:sz w:val="20"/>
              </w:rPr>
            </w:pPr>
            <w:r>
              <w:rPr>
                <w:sz w:val="20"/>
              </w:rPr>
              <w:t>&gt;30 to ≤50</w:t>
            </w:r>
          </w:p>
        </w:tc>
        <w:tc>
          <w:tcPr>
            <w:tcW w:w="1134" w:type="dxa"/>
            <w:tcBorders>
              <w:top w:val="single" w:sz="6" w:space="0" w:color="auto"/>
              <w:bottom w:val="single" w:sz="12" w:space="0" w:color="auto"/>
            </w:tcBorders>
          </w:tcPr>
          <w:p w:rsidR="00667608" w:rsidRDefault="00667608">
            <w:pPr>
              <w:pStyle w:val="A-TableText"/>
              <w:jc w:val="center"/>
              <w:rPr>
                <w:sz w:val="20"/>
              </w:rPr>
            </w:pPr>
            <w:r>
              <w:rPr>
                <w:sz w:val="20"/>
              </w:rPr>
              <w:t>400 mg</w:t>
            </w:r>
          </w:p>
        </w:tc>
        <w:tc>
          <w:tcPr>
            <w:tcW w:w="1276" w:type="dxa"/>
            <w:tcBorders>
              <w:top w:val="single" w:sz="6" w:space="0" w:color="auto"/>
              <w:bottom w:val="single" w:sz="12" w:space="0" w:color="auto"/>
            </w:tcBorders>
          </w:tcPr>
          <w:p w:rsidR="00667608" w:rsidRDefault="00667608">
            <w:pPr>
              <w:pStyle w:val="A-TableText"/>
              <w:jc w:val="center"/>
              <w:rPr>
                <w:sz w:val="20"/>
              </w:rPr>
            </w:pPr>
            <w:r>
              <w:rPr>
                <w:sz w:val="20"/>
              </w:rPr>
              <w:t>every 12 hours</w:t>
            </w:r>
          </w:p>
        </w:tc>
        <w:tc>
          <w:tcPr>
            <w:tcW w:w="1417" w:type="dxa"/>
            <w:tcBorders>
              <w:top w:val="single" w:sz="6" w:space="0" w:color="auto"/>
              <w:bottom w:val="single" w:sz="12" w:space="0" w:color="auto"/>
            </w:tcBorders>
          </w:tcPr>
          <w:p w:rsidR="00667608" w:rsidRDefault="00667608">
            <w:pPr>
              <w:pStyle w:val="A-TableText"/>
              <w:jc w:val="center"/>
              <w:rPr>
                <w:sz w:val="20"/>
              </w:rPr>
            </w:pPr>
            <w:r>
              <w:rPr>
                <w:sz w:val="20"/>
              </w:rPr>
              <w:t>60</w:t>
            </w:r>
          </w:p>
        </w:tc>
        <w:tc>
          <w:tcPr>
            <w:tcW w:w="2694" w:type="dxa"/>
            <w:tcBorders>
              <w:top w:val="single" w:sz="6" w:space="0" w:color="auto"/>
              <w:bottom w:val="single" w:sz="12" w:space="0" w:color="auto"/>
            </w:tcBorders>
          </w:tcPr>
          <w:p w:rsidR="00667608" w:rsidRDefault="00667608">
            <w:pPr>
              <w:pStyle w:val="A-TableText"/>
              <w:jc w:val="center"/>
              <w:rPr>
                <w:sz w:val="20"/>
              </w:rPr>
            </w:pPr>
            <w:r>
              <w:rPr>
                <w:sz w:val="20"/>
              </w:rPr>
              <w:t>Refer above</w:t>
            </w:r>
          </w:p>
        </w:tc>
      </w:tr>
    </w:tbl>
    <w:p w:rsidR="00667608" w:rsidRDefault="00667608"/>
    <w:p w:rsidR="00667608" w:rsidRDefault="00667608">
      <w:r>
        <w:t>There is insufficient data to make specific dosage adjustment recommendations for patients with severe renal impairment (CrCl ≤30 mL/min) and end-stage renal disease, including patients undergoing haemodialysis.</w:t>
      </w:r>
    </w:p>
    <w:p w:rsidR="00667608" w:rsidRDefault="00667608">
      <w:pPr>
        <w:pStyle w:val="A-Heading3"/>
      </w:pPr>
      <w:r>
        <w:t>Patients with hepatic impairment</w:t>
      </w:r>
    </w:p>
    <w:p w:rsidR="00667608" w:rsidRDefault="00667608">
      <w:r>
        <w:t xml:space="preserve">No dosage adjustment is considered necessary in patients with hepatic impairment (see </w:t>
      </w:r>
      <w:r>
        <w:rPr>
          <w:i/>
        </w:rPr>
        <w:t>Pharmacokinetics</w:t>
      </w:r>
      <w:r>
        <w:t>).</w:t>
      </w:r>
    </w:p>
    <w:p w:rsidR="00667608" w:rsidRDefault="00667608">
      <w:pPr>
        <w:pStyle w:val="A-Heading3"/>
      </w:pPr>
      <w:r>
        <w:t>Elderly patients</w:t>
      </w:r>
    </w:p>
    <w:p w:rsidR="00667608" w:rsidRDefault="00667608">
      <w:r>
        <w:t xml:space="preserve">No dosage adjustment is required for the elderly with CrCL values above 50 mL/min (see </w:t>
      </w:r>
      <w:r>
        <w:rPr>
          <w:i/>
        </w:rPr>
        <w:t>Pharmacokinetics</w:t>
      </w:r>
      <w:r>
        <w:t>).</w:t>
      </w:r>
    </w:p>
    <w:p w:rsidR="00667608" w:rsidRDefault="00667608">
      <w:pPr>
        <w:pStyle w:val="A-Heading2"/>
      </w:pPr>
      <w:r>
        <w:t>Children (&lt;18 years)</w:t>
      </w:r>
    </w:p>
    <w:p w:rsidR="00667608" w:rsidRDefault="00667608">
      <w:r>
        <w:t>The safety and efficacy in children have not yet been established.</w:t>
      </w:r>
    </w:p>
    <w:p w:rsidR="00667608" w:rsidRDefault="00667608">
      <w:pPr>
        <w:pStyle w:val="A-Heading2"/>
      </w:pPr>
      <w:r>
        <w:t>Constitution and compatibility</w:t>
      </w:r>
    </w:p>
    <w:p w:rsidR="00667608" w:rsidRDefault="00667608">
      <w:r>
        <w:t>The powder must be constituted with water for injections and the resulting constituted solution must then be immediately diluted prior to use.  The constituted solution is a pale yellow solution that is free of any particles.</w:t>
      </w:r>
    </w:p>
    <w:p w:rsidR="00667608" w:rsidRDefault="00667608">
      <w:r>
        <w:t>Standard aseptic techniques should be used for solution preparation and administration.</w:t>
      </w:r>
    </w:p>
    <w:p w:rsidR="00667608" w:rsidRDefault="00667608">
      <w:r>
        <w:lastRenderedPageBreak/>
        <w:t>Zinforo powder should be constituted with 20 mL of sterile water for injections.  The resulting constituted solution should be shaken prior to being transferred to an infusion bag or bottle containing one of the following diluents:</w:t>
      </w:r>
    </w:p>
    <w:p w:rsidR="00667608" w:rsidRDefault="00667608">
      <w:pPr>
        <w:pStyle w:val="A-ListBullet"/>
      </w:pPr>
      <w:r>
        <w:t>sodium chloride 9 mg/mL (0.9%) solution for injection</w:t>
      </w:r>
    </w:p>
    <w:p w:rsidR="00667608" w:rsidRDefault="00667608">
      <w:pPr>
        <w:pStyle w:val="A-ListBullet"/>
      </w:pPr>
      <w:r>
        <w:t>dextrose 50 mg/mL (5%) solution for injection</w:t>
      </w:r>
    </w:p>
    <w:p w:rsidR="00667608" w:rsidRDefault="00667608">
      <w:pPr>
        <w:pStyle w:val="A-ListBullet"/>
      </w:pPr>
      <w:r>
        <w:t>sodium chloride 4.5 mg/mL and dextrose 25 mg/mL (0.45% sodium chloride and 2.5% dextrose) solution for injection</w:t>
      </w:r>
    </w:p>
    <w:p w:rsidR="00667608" w:rsidRDefault="00667608">
      <w:pPr>
        <w:pStyle w:val="A-ListBullet"/>
      </w:pPr>
      <w:r>
        <w:t>lactated Ringer’s solution</w:t>
      </w:r>
    </w:p>
    <w:p w:rsidR="00667608" w:rsidRDefault="00667608">
      <w:pPr>
        <w:rPr>
          <w:i/>
        </w:rPr>
      </w:pPr>
      <w:r>
        <w:rPr>
          <w:i/>
        </w:rPr>
        <w:t>It must not be mixed with any other medications.</w:t>
      </w:r>
    </w:p>
    <w:p w:rsidR="00667608" w:rsidRDefault="00667608">
      <w:r>
        <w:t>Routinely, a 250 mL infusion bag should be used to prepare the infusion and only in exceptional patients for whom there could be great concern over volumes infused should a 50 mL or 100 mL infusion bag be used.</w:t>
      </w:r>
    </w:p>
    <w:p w:rsidR="00667608" w:rsidRDefault="00667608">
      <w:r>
        <w:t>The total time interval between starting constitution and completing preparation of the intravenous infusion should not exceed 30 minutes.</w:t>
      </w:r>
    </w:p>
    <w:p w:rsidR="00667608" w:rsidRDefault="00667608">
      <w:r>
        <w:t>One mL of the constituted solution contains 30 mg of ceftaroline fosamil.</w:t>
      </w:r>
    </w:p>
    <w:p w:rsidR="00667608" w:rsidRDefault="00667608">
      <w:r>
        <w:t>Each Zinforo vial is for single use in one patient only.</w:t>
      </w:r>
    </w:p>
    <w:p w:rsidR="00667608" w:rsidRDefault="00667608">
      <w:r>
        <w:t>Any unused product or waste material should be disposed of in accordance with local requirements.</w:t>
      </w:r>
    </w:p>
    <w:p w:rsidR="00667608" w:rsidRDefault="00667608">
      <w:pPr>
        <w:pStyle w:val="A-Heading3"/>
      </w:pPr>
      <w:r>
        <w:t>Stability after constitution and dilution</w:t>
      </w:r>
    </w:p>
    <w:p w:rsidR="00667608" w:rsidRDefault="00667608">
      <w:pPr>
        <w:pStyle w:val="A-Heading4"/>
      </w:pPr>
      <w:r>
        <w:t>After constitution</w:t>
      </w:r>
    </w:p>
    <w:p w:rsidR="00667608" w:rsidRDefault="00667608">
      <w:pPr>
        <w:rPr>
          <w:i/>
        </w:rPr>
      </w:pPr>
      <w:r>
        <w:t>The constituted vial should be used immediately.</w:t>
      </w:r>
    </w:p>
    <w:p w:rsidR="00667608" w:rsidRDefault="00667608">
      <w:pPr>
        <w:pStyle w:val="A-Heading4"/>
      </w:pPr>
      <w:r>
        <w:t>After dilution</w:t>
      </w:r>
    </w:p>
    <w:p w:rsidR="00667608" w:rsidRDefault="00667608">
      <w:r>
        <w:t>To reduce microbial hazard, Zinforo intravenous infusion should be administered as soon as practicable after preparation.  If storage is necessary, hold at 2 to 8°C for not more than 24 hours, or not more than 6 hours at room temperature (including infusion time).  The chemical and physical in-use stability has been demonstrated for up to 24 hours at 2 to 8</w:t>
      </w:r>
      <w:r>
        <w:rPr>
          <w:rFonts w:ascii="Calibri" w:hAnsi="Calibri"/>
        </w:rPr>
        <w:t>⁰</w:t>
      </w:r>
      <w:r>
        <w:t>C, and up to 6 hours at room temperature.</w:t>
      </w:r>
    </w:p>
    <w:p w:rsidR="00667608" w:rsidRDefault="00667608">
      <w:r>
        <w:t>If not used immediately, in-use storage times and conditions prior to use are the responsibility of the user.</w:t>
      </w:r>
    </w:p>
    <w:p w:rsidR="00667608" w:rsidRDefault="00667608">
      <w:pPr>
        <w:pStyle w:val="A-Heading1"/>
        <w:rPr>
          <w:lang w:val="en-AU"/>
        </w:rPr>
      </w:pPr>
      <w:r>
        <w:rPr>
          <w:lang w:val="en-AU"/>
        </w:rPr>
        <w:lastRenderedPageBreak/>
        <w:t>OVERDOSAGE</w:t>
      </w:r>
    </w:p>
    <w:p w:rsidR="00667608" w:rsidRDefault="00667608">
      <w:r>
        <w:t>Intentional overdosing of ceftaroline fosamil is unlikely, although relative overdosing can occur particularly in patients with moderate to severe renal impairment.  Limited data in patients receiving higher than recommended Zinforo dosages show similar adverse reactions as observed in the patients receiving recommended dosages.  Treatment under such circumstances should follow local standard medical practice.</w:t>
      </w:r>
    </w:p>
    <w:p w:rsidR="00667608" w:rsidRDefault="00667608">
      <w:r>
        <w:t>Ceftaroline can be partially removed by haemodialysis.</w:t>
      </w:r>
    </w:p>
    <w:p w:rsidR="00667608" w:rsidRDefault="00667608">
      <w:r>
        <w:t>For information on the management of overdose, contact the Poisons Information Centre on 13 11 26 (Australia).</w:t>
      </w:r>
    </w:p>
    <w:p w:rsidR="00667608" w:rsidRDefault="00667608">
      <w:pPr>
        <w:pStyle w:val="A-Heading1"/>
        <w:rPr>
          <w:lang w:val="en-AU"/>
        </w:rPr>
      </w:pPr>
      <w:r>
        <w:rPr>
          <w:lang w:val="en-AU"/>
        </w:rPr>
        <w:t>PRESENTATION AND STORAGE CONDITIONS</w:t>
      </w:r>
    </w:p>
    <w:p w:rsidR="00667608" w:rsidRDefault="00667608">
      <w:r>
        <w:t>Zinforo vials contain 600 mg of the prodrug ceftaroline fosamil (equivalent to 530 mg active ceftaroline), blended with 395 mg of L-arginine (for pH adjustment).</w:t>
      </w:r>
    </w:p>
    <w:p w:rsidR="00667608" w:rsidRDefault="00667608">
      <w:r>
        <w:t>Available as 10 x 20 mL glass (Type 1) vials closed with a rubber (halobutyl) stopper and aluminium seal with blue flip-off cap.</w:t>
      </w:r>
    </w:p>
    <w:p w:rsidR="00667608" w:rsidRDefault="00667608">
      <w:pPr>
        <w:pStyle w:val="A-Heading2"/>
      </w:pPr>
      <w:r>
        <w:t>Storage conditions</w:t>
      </w:r>
    </w:p>
    <w:p w:rsidR="00667608" w:rsidRDefault="00667608">
      <w:r>
        <w:t>Vials:  Store below 25°C.  Store in the original package in order to protect from light.</w:t>
      </w:r>
    </w:p>
    <w:p w:rsidR="00667608" w:rsidRDefault="00667608">
      <w:r>
        <w:t xml:space="preserve">Constituted and diluted product:  See </w:t>
      </w:r>
      <w:r>
        <w:rPr>
          <w:i/>
        </w:rPr>
        <w:t>Dosage and administration – Constitution and compatibility</w:t>
      </w:r>
      <w:r>
        <w:t>.</w:t>
      </w:r>
    </w:p>
    <w:p w:rsidR="00667608" w:rsidRDefault="00667608">
      <w:pPr>
        <w:pStyle w:val="A-Heading1"/>
      </w:pPr>
      <w:r>
        <w:t>NAME AND ADDRESS OF THE SPONSOR</w:t>
      </w:r>
    </w:p>
    <w:p w:rsidR="00667608" w:rsidRDefault="00667608">
      <w:r>
        <w:t>AstraZeneca Pty Ltd</w:t>
      </w:r>
      <w:r>
        <w:br/>
        <w:t>ABN 54 009 682 311</w:t>
      </w:r>
      <w:r>
        <w:br/>
        <w:t>Alma Road</w:t>
      </w:r>
      <w:r>
        <w:br/>
        <w:t>NORTH RYDE NSW 2113</w:t>
      </w:r>
    </w:p>
    <w:p w:rsidR="00667608" w:rsidRDefault="00667608">
      <w:pPr>
        <w:pStyle w:val="A-Heading1"/>
      </w:pPr>
      <w:r>
        <w:t>POISON SCHEDULE OF THE MEDICINE</w:t>
      </w:r>
    </w:p>
    <w:p w:rsidR="00667608" w:rsidRDefault="00667608">
      <w:r>
        <w:t>Prescription only medicine (Schedule 4)</w:t>
      </w:r>
    </w:p>
    <w:p w:rsidR="00667608" w:rsidRDefault="00667608">
      <w:pPr>
        <w:pStyle w:val="A-Heading1"/>
      </w:pPr>
      <w:r>
        <w:t>DATE OF first inclusion in the australian register of therapeutic goods (the artg)</w:t>
      </w:r>
    </w:p>
    <w:p w:rsidR="00667608" w:rsidRDefault="00667608">
      <w:r>
        <w:t>12</w:t>
      </w:r>
      <w:r>
        <w:rPr>
          <w:vertAlign w:val="superscript"/>
        </w:rPr>
        <w:t>th</w:t>
      </w:r>
      <w:r>
        <w:t xml:space="preserve"> February 2013</w:t>
      </w:r>
    </w:p>
    <w:p w:rsidR="00667608" w:rsidRDefault="00667608">
      <w:pPr>
        <w:pStyle w:val="A-Heading1"/>
      </w:pPr>
      <w:r>
        <w:lastRenderedPageBreak/>
        <w:t>DATE OF most recent amendment</w:t>
      </w:r>
    </w:p>
    <w:p w:rsidR="00667608" w:rsidRDefault="00AC5451">
      <w:r>
        <w:t>N/A</w:t>
      </w:r>
    </w:p>
    <w:p w:rsidR="00667608" w:rsidRDefault="00667608">
      <w:pPr>
        <w:rPr>
          <w:sz w:val="20"/>
        </w:rPr>
      </w:pPr>
      <w:r>
        <w:rPr>
          <w:sz w:val="20"/>
        </w:rPr>
        <w:t>Zinforo is a trademark licensed by the AstraZeneca group of companies</w:t>
      </w:r>
    </w:p>
    <w:p w:rsidR="00667608" w:rsidRDefault="00667608">
      <w:pPr>
        <w:rPr>
          <w:sz w:val="20"/>
        </w:rPr>
      </w:pPr>
      <w:r>
        <w:rPr>
          <w:rFonts w:cs="Arial"/>
          <w:sz w:val="20"/>
          <w:vertAlign w:val="superscript"/>
        </w:rPr>
        <w:t>©</w:t>
      </w:r>
      <w:r>
        <w:rPr>
          <w:rFonts w:cs="Arial"/>
          <w:sz w:val="20"/>
        </w:rPr>
        <w:t xml:space="preserve"> </w:t>
      </w:r>
      <w:r>
        <w:rPr>
          <w:sz w:val="20"/>
        </w:rPr>
        <w:t>AstraZeneca, 2013</w:t>
      </w:r>
    </w:p>
    <w:sectPr w:rsidR="00667608" w:rsidSect="00773E45">
      <w:headerReference w:type="default" r:id="rId9"/>
      <w:footerReference w:type="default" r:id="rId10"/>
      <w:pgSz w:w="11909" w:h="16834" w:code="9"/>
      <w:pgMar w:top="1418" w:right="1136" w:bottom="1418" w:left="1701" w:header="731" w:footer="7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F81" w:rsidRDefault="00A63F81">
      <w:pPr>
        <w:spacing w:after="0"/>
      </w:pPr>
      <w:r>
        <w:separator/>
      </w:r>
    </w:p>
    <w:p w:rsidR="00A63F81" w:rsidRDefault="00A63F81"/>
  </w:endnote>
  <w:endnote w:type="continuationSeparator" w:id="0">
    <w:p w:rsidR="00A63F81" w:rsidRDefault="00A63F81">
      <w:pPr>
        <w:spacing w:after="0"/>
      </w:pPr>
      <w:r>
        <w:continuationSeparator/>
      </w:r>
    </w:p>
    <w:p w:rsidR="00A63F81" w:rsidRDefault="00A63F8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08" w:rsidRDefault="00773E45">
    <w:pPr>
      <w:pStyle w:val="Footer"/>
      <w:tabs>
        <w:tab w:val="center" w:pos="4680"/>
      </w:tabs>
      <w:jc w:val="center"/>
      <w:rPr>
        <w:sz w:val="20"/>
      </w:rPr>
    </w:pPr>
    <w:r>
      <w:rPr>
        <w:rStyle w:val="PageNumber"/>
      </w:rPr>
      <w:fldChar w:fldCharType="begin"/>
    </w:r>
    <w:r w:rsidR="00667608">
      <w:rPr>
        <w:rStyle w:val="PageNumber"/>
      </w:rPr>
      <w:instrText xml:space="preserve"> PAGE </w:instrText>
    </w:r>
    <w:r>
      <w:rPr>
        <w:rStyle w:val="PageNumber"/>
      </w:rPr>
      <w:fldChar w:fldCharType="separate"/>
    </w:r>
    <w:r w:rsidR="00F20694">
      <w:rPr>
        <w:rStyle w:val="PageNumber"/>
        <w:noProof/>
      </w:rPr>
      <w:t>21</w:t>
    </w:r>
    <w:r>
      <w:rPr>
        <w:rStyle w:val="PageNumber"/>
      </w:rPr>
      <w:fldChar w:fldCharType="end"/>
    </w:r>
    <w:r w:rsidR="00667608">
      <w:rPr>
        <w:rStyle w:val="PageNumber"/>
      </w:rPr>
      <w:t xml:space="preserve"> (</w:t>
    </w:r>
    <w:r>
      <w:rPr>
        <w:rStyle w:val="PageNumber"/>
      </w:rPr>
      <w:fldChar w:fldCharType="begin"/>
    </w:r>
    <w:r w:rsidR="00667608">
      <w:rPr>
        <w:rStyle w:val="PageNumber"/>
      </w:rPr>
      <w:instrText xml:space="preserve"> NUMPAGES </w:instrText>
    </w:r>
    <w:r>
      <w:rPr>
        <w:rStyle w:val="PageNumber"/>
      </w:rPr>
      <w:fldChar w:fldCharType="separate"/>
    </w:r>
    <w:r w:rsidR="00F20694">
      <w:rPr>
        <w:rStyle w:val="PageNumber"/>
        <w:noProof/>
      </w:rPr>
      <w:t>21</w:t>
    </w:r>
    <w:r>
      <w:rPr>
        <w:rStyle w:val="PageNumber"/>
      </w:rPr>
      <w:fldChar w:fldCharType="end"/>
    </w:r>
    <w:r w:rsidR="00667608">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F81" w:rsidRDefault="00A63F81">
      <w:pPr>
        <w:spacing w:after="0"/>
      </w:pPr>
      <w:r>
        <w:separator/>
      </w:r>
    </w:p>
    <w:p w:rsidR="00A63F81" w:rsidRDefault="00A63F81"/>
  </w:footnote>
  <w:footnote w:type="continuationSeparator" w:id="0">
    <w:p w:rsidR="00A63F81" w:rsidRDefault="00A63F81">
      <w:pPr>
        <w:spacing w:after="0"/>
      </w:pPr>
      <w:r>
        <w:continuationSeparator/>
      </w:r>
    </w:p>
    <w:p w:rsidR="00A63F81" w:rsidRDefault="00A63F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9D0" w:rsidRPr="00A259D0" w:rsidRDefault="00A259D0" w:rsidP="00A259D0">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2"/>
        <w:szCs w:val="22"/>
      </w:rPr>
    </w:pPr>
    <w:r w:rsidRPr="00A259D0">
      <w:rPr>
        <w:rFonts w:ascii="Cambria" w:hAnsi="Cambria"/>
        <w:b/>
        <w:sz w:val="22"/>
        <w:szCs w:val="22"/>
      </w:rPr>
      <w:t xml:space="preserve">Attachment 1: Product information for </w:t>
    </w:r>
    <w:proofErr w:type="spellStart"/>
    <w:r w:rsidRPr="00A259D0">
      <w:rPr>
        <w:rFonts w:ascii="Cambria" w:hAnsi="Cambria"/>
        <w:b/>
        <w:sz w:val="22"/>
        <w:szCs w:val="22"/>
      </w:rPr>
      <w:t>AusPAR</w:t>
    </w:r>
    <w:proofErr w:type="spellEnd"/>
    <w:r w:rsidRPr="00A259D0">
      <w:rPr>
        <w:rFonts w:ascii="Cambria" w:hAnsi="Cambria"/>
        <w:b/>
        <w:sz w:val="22"/>
        <w:szCs w:val="22"/>
      </w:rPr>
      <w:t xml:space="preserve"> </w:t>
    </w:r>
    <w:proofErr w:type="spellStart"/>
    <w:r w:rsidRPr="00A259D0">
      <w:rPr>
        <w:rFonts w:ascii="Cambria" w:hAnsi="Cambria"/>
        <w:b/>
        <w:sz w:val="22"/>
        <w:szCs w:val="22"/>
      </w:rPr>
      <w:t>Zinforo</w:t>
    </w:r>
    <w:proofErr w:type="spellEnd"/>
    <w:r w:rsidRPr="00A259D0">
      <w:rPr>
        <w:rFonts w:ascii="Cambria" w:hAnsi="Cambria"/>
        <w:b/>
        <w:sz w:val="22"/>
        <w:szCs w:val="22"/>
      </w:rPr>
      <w:t xml:space="preserve"> </w:t>
    </w:r>
    <w:proofErr w:type="spellStart"/>
    <w:r w:rsidRPr="00A259D0">
      <w:rPr>
        <w:rFonts w:ascii="Cambria" w:hAnsi="Cambria"/>
        <w:b/>
        <w:sz w:val="22"/>
        <w:szCs w:val="22"/>
      </w:rPr>
      <w:t>Ceftaroline</w:t>
    </w:r>
    <w:proofErr w:type="spellEnd"/>
    <w:r w:rsidRPr="00A259D0">
      <w:rPr>
        <w:rFonts w:ascii="Cambria" w:hAnsi="Cambria"/>
        <w:b/>
        <w:sz w:val="22"/>
        <w:szCs w:val="22"/>
      </w:rPr>
      <w:t xml:space="preserve"> </w:t>
    </w:r>
    <w:proofErr w:type="spellStart"/>
    <w:r w:rsidRPr="00A259D0">
      <w:rPr>
        <w:rFonts w:ascii="Cambria" w:hAnsi="Cambria"/>
        <w:b/>
        <w:sz w:val="22"/>
        <w:szCs w:val="22"/>
      </w:rPr>
      <w:t>fosamil</w:t>
    </w:r>
    <w:proofErr w:type="spellEnd"/>
    <w:r w:rsidRPr="00A259D0">
      <w:rPr>
        <w:rFonts w:ascii="Cambria" w:hAnsi="Cambria"/>
        <w:b/>
        <w:sz w:val="22"/>
        <w:szCs w:val="22"/>
      </w:rPr>
      <w:t xml:space="preserve"> AstraZeneca Pty Ltd PM-2011-03149-3-2 Final 22 May 2013. This Product Information was approved at the time this </w:t>
    </w:r>
    <w:proofErr w:type="spellStart"/>
    <w:r w:rsidRPr="00A259D0">
      <w:rPr>
        <w:rFonts w:ascii="Cambria" w:hAnsi="Cambria"/>
        <w:b/>
        <w:sz w:val="22"/>
        <w:szCs w:val="22"/>
      </w:rPr>
      <w:t>AusPAR</w:t>
    </w:r>
    <w:proofErr w:type="spellEnd"/>
    <w:r w:rsidRPr="00A259D0">
      <w:rPr>
        <w:rFonts w:ascii="Cambria" w:hAnsi="Cambria"/>
        <w:b/>
        <w:sz w:val="22"/>
        <w:szCs w:val="22"/>
      </w:rPr>
      <w:t xml:space="preserve"> was published.</w:t>
    </w:r>
  </w:p>
  <w:p w:rsidR="00A259D0" w:rsidRDefault="00A259D0">
    <w:pPr>
      <w:pStyle w:val="Header"/>
      <w:rPr>
        <w:rFonts w:cs="Arial"/>
      </w:rPr>
    </w:pPr>
  </w:p>
  <w:p w:rsidR="00667608" w:rsidRDefault="00667608">
    <w:pPr>
      <w:pStyle w:val="Header"/>
      <w:rPr>
        <w:rFonts w:cs="Arial"/>
      </w:rPr>
    </w:pPr>
    <w:proofErr w:type="spellStart"/>
    <w:r>
      <w:rPr>
        <w:rFonts w:cs="Arial"/>
      </w:rPr>
      <w:t>Zinforo</w:t>
    </w:r>
    <w:proofErr w:type="spellEnd"/>
    <w:r>
      <w:rPr>
        <w:rFonts w:cs="Arial"/>
      </w:rPr>
      <w:t xml:space="preserve"> Product Information</w:t>
    </w:r>
  </w:p>
  <w:p w:rsidR="00667608" w:rsidRDefault="00667608">
    <w:r>
      <w:rPr>
        <w:rFonts w:cs="Arial"/>
        <w:sz w:val="16"/>
        <w:lang w:val="en-GB"/>
      </w:rPr>
      <w:t>INF.000-138-873.</w:t>
    </w:r>
    <w:r w:rsidR="00A34208">
      <w:rPr>
        <w:rFonts w:cs="Arial"/>
        <w:sz w:val="16"/>
        <w:lang w:val="en-GB"/>
      </w:rPr>
      <w:t>3.0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2">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F57878"/>
    <w:multiLevelType w:val="hybridMultilevel"/>
    <w:tmpl w:val="921CCB48"/>
    <w:lvl w:ilvl="0" w:tplc="2182F9F4">
      <w:start w:val="6"/>
      <w:numFmt w:val="bullet"/>
      <w:lvlText w:val="-"/>
      <w:lvlJc w:val="left"/>
      <w:pPr>
        <w:ind w:left="163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E906E8"/>
    <w:multiLevelType w:val="hybridMultilevel"/>
    <w:tmpl w:val="5224A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6">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7817E5"/>
    <w:rsid w:val="00217BDE"/>
    <w:rsid w:val="006215A3"/>
    <w:rsid w:val="00667608"/>
    <w:rsid w:val="00773E45"/>
    <w:rsid w:val="007817E5"/>
    <w:rsid w:val="00960738"/>
    <w:rsid w:val="00A259D0"/>
    <w:rsid w:val="00A34208"/>
    <w:rsid w:val="00A63F81"/>
    <w:rsid w:val="00AC5451"/>
    <w:rsid w:val="00D44BC2"/>
    <w:rsid w:val="00E741E0"/>
    <w:rsid w:val="00F20694"/>
    <w:rsid w:val="00FC26E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E45"/>
    <w:pPr>
      <w:spacing w:after="240"/>
    </w:pPr>
    <w:rPr>
      <w:rFonts w:ascii="Arial" w:hAnsi="Arial"/>
      <w:sz w:val="24"/>
      <w:lang w:eastAsia="en-US"/>
    </w:rPr>
  </w:style>
  <w:style w:type="paragraph" w:styleId="Heading1">
    <w:name w:val="heading 1"/>
    <w:next w:val="Normal"/>
    <w:qFormat/>
    <w:rsid w:val="00773E45"/>
    <w:pPr>
      <w:keepNext/>
      <w:numPr>
        <w:numId w:val="1"/>
      </w:numPr>
      <w:spacing w:before="480" w:after="240"/>
      <w:outlineLvl w:val="0"/>
    </w:pPr>
    <w:rPr>
      <w:b/>
      <w:caps/>
      <w:sz w:val="28"/>
      <w:lang w:val="en-GB" w:eastAsia="en-US"/>
    </w:rPr>
  </w:style>
  <w:style w:type="paragraph" w:styleId="Heading2">
    <w:name w:val="heading 2"/>
    <w:next w:val="Normal"/>
    <w:qFormat/>
    <w:rsid w:val="00773E45"/>
    <w:pPr>
      <w:keepNext/>
      <w:numPr>
        <w:ilvl w:val="1"/>
        <w:numId w:val="1"/>
      </w:numPr>
      <w:spacing w:before="120" w:after="120"/>
      <w:outlineLvl w:val="1"/>
    </w:pPr>
    <w:rPr>
      <w:b/>
      <w:sz w:val="28"/>
      <w:lang w:val="en-GB" w:eastAsia="en-US"/>
    </w:rPr>
  </w:style>
  <w:style w:type="paragraph" w:styleId="Heading3">
    <w:name w:val="heading 3"/>
    <w:next w:val="Normal"/>
    <w:qFormat/>
    <w:rsid w:val="00773E45"/>
    <w:pPr>
      <w:keepNext/>
      <w:numPr>
        <w:ilvl w:val="2"/>
        <w:numId w:val="1"/>
      </w:numPr>
      <w:spacing w:after="120"/>
      <w:outlineLvl w:val="2"/>
    </w:pPr>
    <w:rPr>
      <w:i/>
      <w:sz w:val="24"/>
      <w:lang w:val="en-GB" w:eastAsia="en-US"/>
    </w:rPr>
  </w:style>
  <w:style w:type="paragraph" w:styleId="Heading4">
    <w:name w:val="heading 4"/>
    <w:next w:val="Normal"/>
    <w:qFormat/>
    <w:rsid w:val="00773E45"/>
    <w:pPr>
      <w:keepNext/>
      <w:numPr>
        <w:ilvl w:val="3"/>
        <w:numId w:val="1"/>
      </w:numPr>
      <w:spacing w:after="120"/>
      <w:outlineLvl w:val="3"/>
    </w:pPr>
    <w:rPr>
      <w:i/>
      <w:sz w:val="24"/>
      <w:lang w:val="en-GB" w:eastAsia="en-US"/>
    </w:rPr>
  </w:style>
  <w:style w:type="paragraph" w:styleId="Heading5">
    <w:name w:val="heading 5"/>
    <w:basedOn w:val="Normal"/>
    <w:next w:val="Normal"/>
    <w:qFormat/>
    <w:rsid w:val="00773E45"/>
    <w:pPr>
      <w:keepNext/>
      <w:spacing w:after="120"/>
      <w:outlineLvl w:val="4"/>
    </w:pPr>
    <w:rPr>
      <w:u w:val="single"/>
      <w:lang w:val="en-GB"/>
    </w:rPr>
  </w:style>
  <w:style w:type="paragraph" w:styleId="Heading6">
    <w:name w:val="heading 6"/>
    <w:next w:val="Normal"/>
    <w:qFormat/>
    <w:rsid w:val="00773E45"/>
    <w:pPr>
      <w:keepNext/>
      <w:spacing w:after="120"/>
      <w:outlineLvl w:val="5"/>
    </w:pPr>
    <w:rPr>
      <w:b/>
      <w:sz w:val="24"/>
      <w:lang w:val="en-GB" w:eastAsia="en-US"/>
    </w:rPr>
  </w:style>
  <w:style w:type="paragraph" w:styleId="Heading7">
    <w:name w:val="heading 7"/>
    <w:next w:val="Normal"/>
    <w:qFormat/>
    <w:rsid w:val="00773E45"/>
    <w:pPr>
      <w:keepNext/>
      <w:spacing w:after="120"/>
      <w:outlineLvl w:val="6"/>
    </w:pPr>
    <w:rPr>
      <w:b/>
      <w:sz w:val="24"/>
      <w:lang w:val="en-GB" w:eastAsia="en-US"/>
    </w:rPr>
  </w:style>
  <w:style w:type="paragraph" w:styleId="Heading8">
    <w:name w:val="heading 8"/>
    <w:next w:val="Normal"/>
    <w:qFormat/>
    <w:rsid w:val="00773E45"/>
    <w:pPr>
      <w:keepNext/>
      <w:spacing w:after="120"/>
      <w:outlineLvl w:val="7"/>
    </w:pPr>
    <w:rPr>
      <w:b/>
      <w:sz w:val="24"/>
      <w:lang w:val="en-GB" w:eastAsia="en-US"/>
    </w:rPr>
  </w:style>
  <w:style w:type="paragraph" w:styleId="Heading9">
    <w:name w:val="heading 9"/>
    <w:next w:val="Normal"/>
    <w:qFormat/>
    <w:rsid w:val="00773E45"/>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773E45"/>
    <w:rPr>
      <w:rFonts w:ascii="Arial" w:hAnsi="Arial"/>
      <w:sz w:val="16"/>
      <w:lang w:val="en-GB" w:eastAsia="en-US"/>
    </w:rPr>
  </w:style>
  <w:style w:type="paragraph" w:styleId="Footer">
    <w:name w:val="footer"/>
    <w:semiHidden/>
    <w:rsid w:val="00773E45"/>
    <w:rPr>
      <w:rFonts w:ascii="Arial" w:hAnsi="Arial"/>
      <w:sz w:val="16"/>
      <w:lang w:val="en-GB" w:eastAsia="en-US"/>
    </w:rPr>
  </w:style>
  <w:style w:type="paragraph" w:customStyle="1" w:styleId="A-Guided">
    <w:name w:val="A-Guided"/>
    <w:basedOn w:val="Normal"/>
    <w:rsid w:val="00773E45"/>
    <w:pPr>
      <w:spacing w:before="60"/>
    </w:pPr>
    <w:rPr>
      <w:lang w:val="en-GB"/>
    </w:rPr>
  </w:style>
  <w:style w:type="paragraph" w:customStyle="1" w:styleId="A-GuidedBold">
    <w:name w:val="A-Guided Bold"/>
    <w:basedOn w:val="Normal"/>
    <w:rsid w:val="00773E45"/>
    <w:pPr>
      <w:spacing w:before="60" w:after="120"/>
    </w:pPr>
    <w:rPr>
      <w:b/>
      <w:lang w:val="en-GB"/>
    </w:rPr>
  </w:style>
  <w:style w:type="character" w:customStyle="1" w:styleId="Z-RedHidden">
    <w:name w:val="Z-Red Hidden"/>
    <w:basedOn w:val="DefaultParagraphFont"/>
    <w:rsid w:val="00773E45"/>
    <w:rPr>
      <w:rFonts w:ascii="Arial" w:hAnsi="Arial"/>
      <w:vanish/>
      <w:color w:val="FF0000"/>
      <w:sz w:val="16"/>
    </w:rPr>
  </w:style>
  <w:style w:type="paragraph" w:customStyle="1" w:styleId="A-StudyTitle">
    <w:name w:val="A-Study Title"/>
    <w:basedOn w:val="Normal"/>
    <w:rsid w:val="00773E45"/>
    <w:pPr>
      <w:spacing w:after="120"/>
      <w:jc w:val="center"/>
    </w:pPr>
    <w:rPr>
      <w:b/>
      <w:sz w:val="32"/>
      <w:lang w:val="en-GB"/>
    </w:rPr>
  </w:style>
  <w:style w:type="paragraph" w:styleId="TOC1">
    <w:name w:val="toc 1"/>
    <w:next w:val="TOC2"/>
    <w:semiHidden/>
    <w:rsid w:val="00773E45"/>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773E45"/>
    <w:rPr>
      <w:caps w:val="0"/>
    </w:rPr>
  </w:style>
  <w:style w:type="paragraph" w:styleId="TOC3">
    <w:name w:val="toc 3"/>
    <w:basedOn w:val="TOC1"/>
    <w:next w:val="TOC4"/>
    <w:semiHidden/>
    <w:rsid w:val="00773E45"/>
    <w:pPr>
      <w:spacing w:before="0"/>
    </w:pPr>
    <w:rPr>
      <w:caps w:val="0"/>
    </w:rPr>
  </w:style>
  <w:style w:type="paragraph" w:styleId="TOC4">
    <w:name w:val="toc 4"/>
    <w:basedOn w:val="TOC1"/>
    <w:semiHidden/>
    <w:rsid w:val="00773E45"/>
    <w:pPr>
      <w:spacing w:before="0"/>
    </w:pPr>
    <w:rPr>
      <w:caps w:val="0"/>
    </w:rPr>
  </w:style>
  <w:style w:type="character" w:styleId="PageNumber">
    <w:name w:val="page number"/>
    <w:basedOn w:val="DefaultParagraphFont"/>
    <w:semiHidden/>
    <w:rsid w:val="00773E45"/>
    <w:rPr>
      <w:rFonts w:ascii="Arial" w:hAnsi="Arial"/>
      <w:sz w:val="20"/>
    </w:rPr>
  </w:style>
  <w:style w:type="paragraph" w:customStyle="1" w:styleId="A-TableText">
    <w:name w:val="A-Table Text"/>
    <w:basedOn w:val="Normal"/>
    <w:rsid w:val="00773E45"/>
    <w:pPr>
      <w:spacing w:before="60" w:after="60"/>
    </w:pPr>
    <w:rPr>
      <w:sz w:val="22"/>
      <w:lang w:val="en-GB"/>
    </w:rPr>
  </w:style>
  <w:style w:type="paragraph" w:styleId="Caption">
    <w:name w:val="caption"/>
    <w:next w:val="Normal"/>
    <w:qFormat/>
    <w:rsid w:val="00773E45"/>
    <w:pPr>
      <w:keepNext/>
      <w:spacing w:after="120" w:line="280" w:lineRule="atLeast"/>
      <w:ind w:left="1418" w:hanging="1418"/>
    </w:pPr>
    <w:rPr>
      <w:b/>
      <w:sz w:val="24"/>
      <w:lang w:val="en-GB" w:eastAsia="en-US"/>
    </w:rPr>
  </w:style>
  <w:style w:type="paragraph" w:styleId="TOC5">
    <w:name w:val="toc 5"/>
    <w:basedOn w:val="TOC1"/>
    <w:next w:val="Normal"/>
    <w:semiHidden/>
    <w:rsid w:val="00773E45"/>
    <w:pPr>
      <w:ind w:firstLine="0"/>
    </w:pPr>
  </w:style>
  <w:style w:type="paragraph" w:styleId="TOC6">
    <w:name w:val="toc 6"/>
    <w:basedOn w:val="TOC2"/>
    <w:next w:val="Normal"/>
    <w:semiHidden/>
    <w:rsid w:val="00773E45"/>
    <w:pPr>
      <w:ind w:firstLine="0"/>
    </w:pPr>
  </w:style>
  <w:style w:type="paragraph" w:styleId="TOC7">
    <w:name w:val="toc 7"/>
    <w:basedOn w:val="TOC3"/>
    <w:next w:val="Normal"/>
    <w:semiHidden/>
    <w:rsid w:val="00773E45"/>
    <w:pPr>
      <w:ind w:firstLine="0"/>
    </w:pPr>
  </w:style>
  <w:style w:type="paragraph" w:styleId="TOC8">
    <w:name w:val="toc 8"/>
    <w:basedOn w:val="TOC4"/>
    <w:next w:val="Normal"/>
    <w:semiHidden/>
    <w:rsid w:val="00773E45"/>
    <w:pPr>
      <w:ind w:firstLine="0"/>
    </w:pPr>
  </w:style>
  <w:style w:type="paragraph" w:styleId="TOC9">
    <w:name w:val="toc 9"/>
    <w:basedOn w:val="TOC1"/>
    <w:next w:val="Normal"/>
    <w:semiHidden/>
    <w:rsid w:val="00773E45"/>
    <w:pPr>
      <w:ind w:firstLine="0"/>
    </w:pPr>
  </w:style>
  <w:style w:type="paragraph" w:customStyle="1" w:styleId="A-LandscapeFont">
    <w:name w:val="A-Landscape Font"/>
    <w:rsid w:val="00773E45"/>
    <w:pPr>
      <w:spacing w:line="280" w:lineRule="atLeast"/>
    </w:pPr>
    <w:rPr>
      <w:rFonts w:ascii="Courier" w:hAnsi="Courier"/>
      <w:sz w:val="16"/>
      <w:lang w:val="en-GB" w:eastAsia="en-US"/>
    </w:rPr>
  </w:style>
  <w:style w:type="paragraph" w:customStyle="1" w:styleId="A-TableHeader">
    <w:name w:val="A-Table Header"/>
    <w:basedOn w:val="Normal"/>
    <w:next w:val="A-TableText"/>
    <w:rsid w:val="00773E45"/>
    <w:pPr>
      <w:keepNext/>
      <w:spacing w:before="60" w:after="60"/>
    </w:pPr>
    <w:rPr>
      <w:b/>
      <w:sz w:val="20"/>
      <w:lang w:val="en-GB"/>
    </w:rPr>
  </w:style>
  <w:style w:type="paragraph" w:styleId="TableofFigures">
    <w:name w:val="table of figures"/>
    <w:next w:val="Normal"/>
    <w:semiHidden/>
    <w:rsid w:val="00773E45"/>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773E45"/>
    <w:pPr>
      <w:tabs>
        <w:tab w:val="left" w:pos="1800"/>
      </w:tabs>
      <w:spacing w:after="120"/>
      <w:ind w:left="1800" w:hanging="1800"/>
    </w:pPr>
    <w:rPr>
      <w:b/>
      <w:sz w:val="28"/>
      <w:lang w:val="en-GB"/>
    </w:rPr>
  </w:style>
  <w:style w:type="paragraph" w:customStyle="1" w:styleId="Z-Box">
    <w:name w:val="Z-Box"/>
    <w:basedOn w:val="Normal"/>
    <w:rsid w:val="00773E45"/>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773E45"/>
    <w:rPr>
      <w:lang w:val="en-GB"/>
    </w:rPr>
  </w:style>
  <w:style w:type="paragraph" w:customStyle="1" w:styleId="A-Unnumbered">
    <w:name w:val="A-Unnumbered"/>
    <w:basedOn w:val="Normal"/>
    <w:next w:val="Normal"/>
    <w:rsid w:val="00773E45"/>
    <w:pPr>
      <w:keepNext/>
      <w:spacing w:before="480"/>
    </w:pPr>
    <w:rPr>
      <w:b/>
      <w:caps/>
      <w:sz w:val="28"/>
      <w:lang w:val="en-GB"/>
    </w:rPr>
  </w:style>
  <w:style w:type="paragraph" w:customStyle="1" w:styleId="A-Unassigned">
    <w:name w:val="A-Unassigned"/>
    <w:basedOn w:val="Normal"/>
    <w:next w:val="Normal"/>
    <w:rsid w:val="00773E45"/>
    <w:pPr>
      <w:keepNext/>
      <w:spacing w:before="120" w:after="120"/>
    </w:pPr>
    <w:rPr>
      <w:b/>
      <w:lang w:val="en-GB"/>
    </w:rPr>
  </w:style>
  <w:style w:type="paragraph" w:customStyle="1" w:styleId="A-ListBullet">
    <w:name w:val="A-List Bullet"/>
    <w:basedOn w:val="Normal"/>
    <w:rsid w:val="00773E45"/>
    <w:pPr>
      <w:numPr>
        <w:numId w:val="2"/>
      </w:numPr>
    </w:pPr>
    <w:rPr>
      <w:lang w:val="en-GB"/>
    </w:rPr>
  </w:style>
  <w:style w:type="paragraph" w:customStyle="1" w:styleId="A-ListNumber">
    <w:name w:val="A-List Number"/>
    <w:basedOn w:val="Normal"/>
    <w:rsid w:val="00773E45"/>
    <w:pPr>
      <w:tabs>
        <w:tab w:val="left" w:pos="994"/>
      </w:tabs>
      <w:ind w:left="994" w:hanging="994"/>
    </w:pPr>
    <w:rPr>
      <w:lang w:val="en-GB"/>
    </w:rPr>
  </w:style>
  <w:style w:type="paragraph" w:customStyle="1" w:styleId="A-ListSubsidiary">
    <w:name w:val="A-List Subsidiary"/>
    <w:basedOn w:val="Normal"/>
    <w:rsid w:val="00773E45"/>
    <w:pPr>
      <w:numPr>
        <w:numId w:val="3"/>
      </w:numPr>
      <w:tabs>
        <w:tab w:val="clear" w:pos="1987"/>
        <w:tab w:val="left" w:pos="1440"/>
      </w:tabs>
      <w:ind w:left="1440" w:hanging="446"/>
    </w:pPr>
    <w:rPr>
      <w:lang w:val="en-GB"/>
    </w:rPr>
  </w:style>
  <w:style w:type="paragraph" w:customStyle="1" w:styleId="A-NormalIndent">
    <w:name w:val="A-Normal Indent"/>
    <w:basedOn w:val="Normal"/>
    <w:next w:val="Normal"/>
    <w:rsid w:val="00773E45"/>
    <w:pPr>
      <w:ind w:left="992"/>
    </w:pPr>
    <w:rPr>
      <w:lang w:val="en-GB"/>
    </w:rPr>
  </w:style>
  <w:style w:type="paragraph" w:customStyle="1" w:styleId="A-Lista">
    <w:name w:val="A-List (a)"/>
    <w:basedOn w:val="Normal"/>
    <w:next w:val="Normal"/>
    <w:rsid w:val="00773E45"/>
    <w:pPr>
      <w:numPr>
        <w:numId w:val="4"/>
      </w:numPr>
    </w:pPr>
    <w:rPr>
      <w:lang w:val="en-GB"/>
    </w:rPr>
  </w:style>
  <w:style w:type="paragraph" w:customStyle="1" w:styleId="A-Listi">
    <w:name w:val="A-List (i)"/>
    <w:basedOn w:val="Normal"/>
    <w:next w:val="Normal"/>
    <w:rsid w:val="00773E45"/>
    <w:pPr>
      <w:numPr>
        <w:numId w:val="5"/>
      </w:numPr>
    </w:pPr>
    <w:rPr>
      <w:lang w:val="en-GB"/>
    </w:rPr>
  </w:style>
  <w:style w:type="paragraph" w:customStyle="1" w:styleId="A-TableTitle">
    <w:name w:val="A-Table Title"/>
    <w:basedOn w:val="Normal"/>
    <w:next w:val="Normal"/>
    <w:rsid w:val="00773E45"/>
    <w:pPr>
      <w:keepNext/>
      <w:tabs>
        <w:tab w:val="left" w:pos="1800"/>
      </w:tabs>
      <w:spacing w:after="120"/>
      <w:ind w:left="1800" w:hanging="1800"/>
    </w:pPr>
    <w:rPr>
      <w:b/>
      <w:lang w:val="en-GB"/>
    </w:rPr>
  </w:style>
  <w:style w:type="paragraph" w:customStyle="1" w:styleId="A-FigureTitle">
    <w:name w:val="A-Figure Title"/>
    <w:basedOn w:val="Normal"/>
    <w:next w:val="Normal"/>
    <w:rsid w:val="00773E45"/>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773E45"/>
    <w:pPr>
      <w:tabs>
        <w:tab w:val="left" w:pos="432"/>
      </w:tabs>
      <w:ind w:left="432" w:hanging="432"/>
    </w:pPr>
    <w:rPr>
      <w:sz w:val="18"/>
      <w:lang w:val="en-GB"/>
    </w:rPr>
  </w:style>
  <w:style w:type="paragraph" w:customStyle="1" w:styleId="Z-LogoHeader">
    <w:name w:val="Z-Logo Header"/>
    <w:basedOn w:val="Header"/>
    <w:rsid w:val="00773E45"/>
    <w:pPr>
      <w:spacing w:before="240"/>
    </w:pPr>
  </w:style>
  <w:style w:type="paragraph" w:customStyle="1" w:styleId="Z-Signature">
    <w:name w:val="Z-Signature"/>
    <w:next w:val="Normal"/>
    <w:rsid w:val="00773E45"/>
    <w:pPr>
      <w:spacing w:before="360" w:line="280" w:lineRule="atLeast"/>
    </w:pPr>
    <w:rPr>
      <w:sz w:val="24"/>
      <w:lang w:val="en-GB" w:eastAsia="en-US"/>
    </w:rPr>
  </w:style>
  <w:style w:type="paragraph" w:customStyle="1" w:styleId="TocHeaders">
    <w:name w:val="TocHeaders"/>
    <w:next w:val="Normal"/>
    <w:rsid w:val="00773E45"/>
    <w:pPr>
      <w:keepNext/>
      <w:spacing w:before="480" w:after="240"/>
      <w:outlineLvl w:val="0"/>
    </w:pPr>
    <w:rPr>
      <w:b/>
      <w:caps/>
      <w:sz w:val="28"/>
      <w:lang w:val="en-GB" w:eastAsia="en-US"/>
    </w:rPr>
  </w:style>
  <w:style w:type="character" w:styleId="Hyperlink">
    <w:name w:val="Hyperlink"/>
    <w:basedOn w:val="DefaultParagraphFont"/>
    <w:semiHidden/>
    <w:rsid w:val="00773E45"/>
    <w:rPr>
      <w:color w:val="auto"/>
      <w:u w:val="none"/>
    </w:rPr>
  </w:style>
  <w:style w:type="character" w:styleId="FollowedHyperlink">
    <w:name w:val="FollowedHyperlink"/>
    <w:basedOn w:val="DefaultParagraphFont"/>
    <w:semiHidden/>
    <w:rsid w:val="00773E45"/>
    <w:rPr>
      <w:color w:val="auto"/>
      <w:u w:val="none"/>
    </w:rPr>
  </w:style>
  <w:style w:type="paragraph" w:customStyle="1" w:styleId="A-Heading1">
    <w:name w:val="A-Heading 1"/>
    <w:basedOn w:val="Normal"/>
    <w:next w:val="Normal"/>
    <w:rsid w:val="00773E45"/>
    <w:pPr>
      <w:keepNext/>
      <w:spacing w:before="480"/>
      <w:outlineLvl w:val="0"/>
    </w:pPr>
    <w:rPr>
      <w:b/>
      <w:caps/>
      <w:lang w:val="en-GB"/>
    </w:rPr>
  </w:style>
  <w:style w:type="paragraph" w:customStyle="1" w:styleId="A-Heading2">
    <w:name w:val="A-Heading 2"/>
    <w:basedOn w:val="Normal"/>
    <w:next w:val="Normal"/>
    <w:rsid w:val="00773E45"/>
    <w:pPr>
      <w:keepNext/>
      <w:spacing w:before="120" w:after="120"/>
      <w:outlineLvl w:val="1"/>
    </w:pPr>
    <w:rPr>
      <w:b/>
      <w:lang w:val="en-GB"/>
    </w:rPr>
  </w:style>
  <w:style w:type="paragraph" w:customStyle="1" w:styleId="A-Heading3">
    <w:name w:val="A-Heading 3"/>
    <w:basedOn w:val="Normal"/>
    <w:next w:val="Normal"/>
    <w:rsid w:val="00773E45"/>
    <w:pPr>
      <w:keepNext/>
      <w:spacing w:after="120"/>
      <w:outlineLvl w:val="2"/>
    </w:pPr>
    <w:rPr>
      <w:b/>
      <w:i/>
      <w:lang w:val="en-GB"/>
    </w:rPr>
  </w:style>
  <w:style w:type="paragraph" w:customStyle="1" w:styleId="A-Heading4">
    <w:name w:val="A-Heading 4"/>
    <w:basedOn w:val="Normal"/>
    <w:next w:val="Normal"/>
    <w:rsid w:val="00773E45"/>
    <w:pPr>
      <w:keepNext/>
      <w:spacing w:after="120"/>
      <w:outlineLvl w:val="3"/>
    </w:pPr>
    <w:rPr>
      <w:i/>
      <w:lang w:val="en-GB"/>
    </w:rPr>
  </w:style>
  <w:style w:type="paragraph" w:customStyle="1" w:styleId="Tableheading">
    <w:name w:val="Table heading"/>
    <w:basedOn w:val="Normal"/>
    <w:rsid w:val="00773E45"/>
    <w:rPr>
      <w:b/>
      <w:sz w:val="20"/>
      <w:szCs w:val="24"/>
    </w:rPr>
  </w:style>
  <w:style w:type="paragraph" w:styleId="FootnoteText">
    <w:name w:val="footnote text"/>
    <w:next w:val="Normal"/>
    <w:semiHidden/>
    <w:rsid w:val="00773E45"/>
    <w:pPr>
      <w:tabs>
        <w:tab w:val="left" w:pos="431"/>
      </w:tabs>
      <w:ind w:left="431" w:hanging="431"/>
    </w:pPr>
    <w:rPr>
      <w:rFonts w:ascii="Arial" w:hAnsi="Arial"/>
      <w:lang w:val="en-GB" w:eastAsia="en-US"/>
    </w:rPr>
  </w:style>
  <w:style w:type="paragraph" w:customStyle="1" w:styleId="Tabletext">
    <w:name w:val="Table text"/>
    <w:basedOn w:val="Normal"/>
    <w:rsid w:val="00773E45"/>
    <w:rPr>
      <w:sz w:val="20"/>
      <w:szCs w:val="24"/>
    </w:rPr>
  </w:style>
  <w:style w:type="paragraph" w:styleId="DocumentMap">
    <w:name w:val="Document Map"/>
    <w:basedOn w:val="Normal"/>
    <w:semiHidden/>
    <w:rsid w:val="00773E45"/>
    <w:pPr>
      <w:shd w:val="clear" w:color="auto" w:fill="000080"/>
    </w:pPr>
    <w:rPr>
      <w:rFonts w:ascii="Tahoma" w:hAnsi="Tahoma" w:cs="Tahoma"/>
    </w:rPr>
  </w:style>
  <w:style w:type="character" w:styleId="FootnoteReference">
    <w:name w:val="footnote reference"/>
    <w:basedOn w:val="DefaultParagraphFont"/>
    <w:semiHidden/>
    <w:unhideWhenUsed/>
    <w:rsid w:val="00773E45"/>
    <w:rPr>
      <w:vertAlign w:val="superscript"/>
    </w:rPr>
  </w:style>
  <w:style w:type="paragraph" w:customStyle="1" w:styleId="A-studytitle2">
    <w:name w:val="A-study title 2"/>
    <w:basedOn w:val="A-StudyTitle"/>
    <w:rsid w:val="00773E45"/>
    <w:rPr>
      <w:b w:val="0"/>
      <w:sz w:val="24"/>
    </w:rPr>
  </w:style>
  <w:style w:type="paragraph" w:customStyle="1" w:styleId="A-studytitle3">
    <w:name w:val="A-study title 3"/>
    <w:basedOn w:val="A-StudyTitle"/>
    <w:rsid w:val="00773E45"/>
    <w:rPr>
      <w:caps/>
      <w:sz w:val="24"/>
    </w:rPr>
  </w:style>
  <w:style w:type="paragraph" w:customStyle="1" w:styleId="A-Heading5">
    <w:name w:val="A-Heading 5"/>
    <w:basedOn w:val="A-Heading4"/>
    <w:rsid w:val="00773E45"/>
    <w:rPr>
      <w:i w:val="0"/>
      <w:u w:val="single"/>
    </w:rPr>
  </w:style>
  <w:style w:type="character" w:styleId="CommentReference">
    <w:name w:val="annotation reference"/>
    <w:basedOn w:val="DefaultParagraphFont"/>
    <w:semiHidden/>
    <w:unhideWhenUsed/>
    <w:rsid w:val="00773E45"/>
    <w:rPr>
      <w:sz w:val="16"/>
      <w:szCs w:val="16"/>
    </w:rPr>
  </w:style>
  <w:style w:type="paragraph" w:styleId="CommentText">
    <w:name w:val="annotation text"/>
    <w:basedOn w:val="Normal"/>
    <w:semiHidden/>
    <w:unhideWhenUsed/>
    <w:rsid w:val="00773E45"/>
    <w:rPr>
      <w:sz w:val="20"/>
    </w:rPr>
  </w:style>
  <w:style w:type="character" w:customStyle="1" w:styleId="CommentTextChar">
    <w:name w:val="Comment Text Char"/>
    <w:basedOn w:val="DefaultParagraphFont"/>
    <w:rsid w:val="00773E45"/>
    <w:rPr>
      <w:rFonts w:ascii="Arial" w:hAnsi="Arial"/>
      <w:lang w:eastAsia="en-US"/>
    </w:rPr>
  </w:style>
  <w:style w:type="paragraph" w:styleId="CommentSubject">
    <w:name w:val="annotation subject"/>
    <w:basedOn w:val="CommentText"/>
    <w:next w:val="CommentText"/>
    <w:semiHidden/>
    <w:unhideWhenUsed/>
    <w:rsid w:val="00773E45"/>
    <w:rPr>
      <w:b/>
      <w:bCs/>
    </w:rPr>
  </w:style>
  <w:style w:type="character" w:customStyle="1" w:styleId="CommentSubjectChar">
    <w:name w:val="Comment Subject Char"/>
    <w:basedOn w:val="CommentTextChar"/>
    <w:semiHidden/>
    <w:rsid w:val="00773E45"/>
    <w:rPr>
      <w:b/>
      <w:bCs/>
    </w:rPr>
  </w:style>
  <w:style w:type="paragraph" w:styleId="Revision">
    <w:name w:val="Revision"/>
    <w:hidden/>
    <w:semiHidden/>
    <w:rsid w:val="00773E45"/>
    <w:rPr>
      <w:rFonts w:ascii="Arial" w:hAnsi="Arial"/>
      <w:sz w:val="24"/>
      <w:lang w:eastAsia="en-US"/>
    </w:rPr>
  </w:style>
  <w:style w:type="paragraph" w:styleId="BalloonText">
    <w:name w:val="Balloon Text"/>
    <w:basedOn w:val="Normal"/>
    <w:semiHidden/>
    <w:unhideWhenUsed/>
    <w:rsid w:val="00773E45"/>
    <w:pPr>
      <w:spacing w:after="0"/>
    </w:pPr>
    <w:rPr>
      <w:rFonts w:ascii="Tahoma" w:hAnsi="Tahoma" w:cs="Tahoma"/>
      <w:sz w:val="16"/>
      <w:szCs w:val="16"/>
    </w:rPr>
  </w:style>
  <w:style w:type="character" w:customStyle="1" w:styleId="BalloonTextChar">
    <w:name w:val="Balloon Text Char"/>
    <w:basedOn w:val="DefaultParagraphFont"/>
    <w:semiHidden/>
    <w:rsid w:val="00773E45"/>
    <w:rPr>
      <w:rFonts w:ascii="Tahoma" w:hAnsi="Tahoma" w:cs="Tahoma"/>
      <w:sz w:val="16"/>
      <w:szCs w:val="16"/>
      <w:lang w:eastAsia="en-US"/>
    </w:rPr>
  </w:style>
  <w:style w:type="character" w:customStyle="1" w:styleId="FootnoteTextChar">
    <w:name w:val="Footnote Text Char"/>
    <w:basedOn w:val="DefaultParagraphFont"/>
    <w:semiHidden/>
    <w:rsid w:val="00773E45"/>
    <w:rPr>
      <w:rFonts w:ascii="Arial" w:hAnsi="Arial"/>
      <w:lang w:val="en-GB" w:eastAsia="en-US" w:bidi="ar-SA"/>
    </w:rPr>
  </w:style>
  <w:style w:type="paragraph" w:styleId="NormalWeb">
    <w:name w:val="Normal (Web)"/>
    <w:basedOn w:val="Normal"/>
    <w:semiHidden/>
    <w:unhideWhenUsed/>
    <w:rsid w:val="00773E45"/>
    <w:pPr>
      <w:spacing w:before="100" w:beforeAutospacing="1" w:after="100" w:afterAutospacing="1"/>
    </w:pPr>
    <w:rPr>
      <w:rFonts w:ascii="Times New Roman" w:eastAsia="Calibri" w:hAnsi="Times New Roman"/>
      <w:szCs w:val="24"/>
      <w:lang w:eastAsia="en-AU"/>
    </w:rPr>
  </w:style>
  <w:style w:type="table" w:styleId="TableGrid">
    <w:name w:val="Table Grid"/>
    <w:basedOn w:val="TableNormal"/>
    <w:uiPriority w:val="59"/>
    <w:rsid w:val="00A259D0"/>
    <w:rPr>
      <w:rFonts w:ascii="Calibri" w:eastAsia="Cambria"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5373</Words>
  <Characters>33021</Characters>
  <Application>Microsoft Office Word</Application>
  <DocSecurity>0</DocSecurity>
  <Lines>673</Lines>
  <Paragraphs>302</Paragraphs>
  <ScaleCrop>false</ScaleCrop>
  <HeadingPairs>
    <vt:vector size="2" baseType="variant">
      <vt:variant>
        <vt:lpstr>Title</vt:lpstr>
      </vt:variant>
      <vt:variant>
        <vt:i4>1</vt:i4>
      </vt:variant>
    </vt:vector>
  </HeadingPairs>
  <TitlesOfParts>
    <vt:vector size="1" baseType="lpstr">
      <vt:lpstr>Attachement 1: Product information for Zinforo (ceftaroline fosamil)</vt:lpstr>
    </vt:vector>
  </TitlesOfParts>
  <Company>AstraZeneca</Company>
  <LinksUpToDate>false</LinksUpToDate>
  <CharactersWithSpaces>38092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Attachement 1: Product information for Zinforo (ceftaroline fosamil)</dc:title>
  <dc:subject>prescription medicine regulation</dc:subject>
  <dc:creator>AstraZeneca Pty Ltd</dc:creator>
  <cp:keywords>prescription, medicine, product information, pi, regulation, zinforo, ceftaroline fosamil</cp:keywords>
  <dc:description>Word 2000_x000d_
File Date 16 March 2005</dc:description>
  <cp:lastModifiedBy>Sheppard, Fran</cp:lastModifiedBy>
  <cp:revision>3</cp:revision>
  <cp:lastPrinted>2013-01-31T03:22:00Z</cp:lastPrinted>
  <dcterms:created xsi:type="dcterms:W3CDTF">2013-08-19T07:57:00Z</dcterms:created>
  <dcterms:modified xsi:type="dcterms:W3CDTF">2013-09-03T07:16:00Z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