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216B6D" w:rsidP="00096AA7">
            <w:pPr>
              <w:rPr>
                <w:rFonts w:ascii="Arial" w:hAnsi="Arial" w:cs="Arial"/>
                <w:b/>
                <w:color w:val="002C47"/>
                <w:sz w:val="36"/>
                <w:szCs w:val="36"/>
              </w:rPr>
            </w:pPr>
            <w:bookmarkStart w:id="0" w:name="_GoBack"/>
            <w:bookmarkEnd w:id="0"/>
            <w:r>
              <w:rPr>
                <w:rFonts w:ascii="Arial" w:hAnsi="Arial" w:cs="Arial"/>
                <w:b/>
                <w:color w:val="002C47"/>
                <w:sz w:val="36"/>
                <w:szCs w:val="36"/>
              </w:rPr>
              <w:t>April</w:t>
            </w:r>
            <w:r w:rsidR="00802169">
              <w:rPr>
                <w:rFonts w:ascii="Arial" w:hAnsi="Arial" w:cs="Arial"/>
                <w:b/>
                <w:color w:val="002C47"/>
                <w:sz w:val="36"/>
                <w:szCs w:val="36"/>
              </w:rPr>
              <w:t xml:space="preserve"> 2014</w:t>
            </w:r>
          </w:p>
        </w:tc>
      </w:tr>
    </w:tbl>
    <w:p w:rsidR="009565DD" w:rsidRPr="009565DD" w:rsidRDefault="009565DD" w:rsidP="009565DD">
      <w:pPr>
        <w:spacing w:before="0" w:after="0"/>
        <w:rPr>
          <w:vanish/>
        </w:rPr>
      </w:pPr>
    </w:p>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rPr>
            </w:pPr>
            <w:r w:rsidRPr="00A964D1">
              <w:rPr>
                <w:color w:val="FFFFFF"/>
              </w:rPr>
              <w:t>Australian Pu</w:t>
            </w:r>
            <w:r w:rsidR="00AC24CF">
              <w:rPr>
                <w:color w:val="FFFFFF"/>
              </w:rPr>
              <w:t>blic Assessment Report for c</w:t>
            </w:r>
            <w:r w:rsidR="00AC24CF" w:rsidRPr="00AC24CF">
              <w:rPr>
                <w:color w:val="FFFFFF"/>
              </w:rPr>
              <w:t>atridecacog (rys)</w:t>
            </w:r>
          </w:p>
        </w:tc>
      </w:tr>
      <w:tr w:rsidR="0032583B" w:rsidRPr="00B64760" w:rsidTr="0032583B">
        <w:tc>
          <w:tcPr>
            <w:tcW w:w="9079" w:type="dxa"/>
          </w:tcPr>
          <w:p w:rsidR="0032583B" w:rsidRPr="00D506F8" w:rsidRDefault="00EA3204" w:rsidP="0032583B">
            <w:pPr>
              <w:pStyle w:val="Subtitle"/>
              <w:rPr>
                <w:color w:val="FFFFFF"/>
                <w:lang w:val="en-AU" w:eastAsia="en-US"/>
              </w:rPr>
            </w:pPr>
            <w:r w:rsidRPr="00D506F8">
              <w:rPr>
                <w:color w:val="FFFFFF"/>
                <w:lang w:val="en-AU" w:eastAsia="en-US"/>
              </w:rPr>
              <w:t>Proprietary Product Name</w:t>
            </w:r>
            <w:r w:rsidR="00527DB2" w:rsidRPr="00D506F8">
              <w:rPr>
                <w:color w:val="FFFFFF"/>
                <w:lang w:val="en-AU" w:eastAsia="en-US"/>
              </w:rPr>
              <w:t>: No</w:t>
            </w:r>
            <w:r w:rsidR="00AC24CF" w:rsidRPr="00D506F8">
              <w:rPr>
                <w:color w:val="FFFFFF"/>
                <w:lang w:val="en-AU" w:eastAsia="en-US"/>
              </w:rPr>
              <w:t>voThirteen</w:t>
            </w:r>
          </w:p>
        </w:tc>
      </w:tr>
      <w:tr w:rsidR="0032583B" w:rsidRPr="00B64760" w:rsidTr="0032583B">
        <w:trPr>
          <w:trHeight w:val="486"/>
        </w:trPr>
        <w:tc>
          <w:tcPr>
            <w:tcW w:w="9079" w:type="dxa"/>
          </w:tcPr>
          <w:p w:rsidR="0032583B" w:rsidRPr="00D506F8" w:rsidRDefault="00AC24CF" w:rsidP="0032583B">
            <w:pPr>
              <w:pStyle w:val="Subtitle"/>
              <w:rPr>
                <w:color w:val="FFFFFF"/>
                <w:lang w:val="en-AU" w:eastAsia="en-US"/>
              </w:rPr>
            </w:pPr>
            <w:r w:rsidRPr="00D506F8">
              <w:rPr>
                <w:color w:val="FFFFFF"/>
                <w:lang w:val="en-AU" w:eastAsia="en-US"/>
              </w:rPr>
              <w:t>Sponsor: Novo Nordisk Pharmaceuticals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9D4624">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9D4624">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9D4624">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9D4624">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9D4624">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9D4624">
      <w:pPr>
        <w:pStyle w:val="ListBullet"/>
        <w:numPr>
          <w:ilvl w:val="0"/>
          <w:numId w:val="1"/>
        </w:numPr>
        <w:ind w:left="357" w:hanging="357"/>
      </w:pPr>
      <w:r>
        <w:t>An Austr</w:t>
      </w:r>
      <w:r w:rsidR="0002560F">
        <w:t>alian Public Assessment Record (</w:t>
      </w:r>
      <w:r>
        <w:t>AusPAR) provides information about the evaluation of a prescription medicine and the considerations that led the TGA to approve or not approve a pr</w:t>
      </w:r>
      <w:r w:rsidR="003850F1">
        <w:t>escription medicine submission.</w:t>
      </w:r>
    </w:p>
    <w:p w:rsidR="008E7846" w:rsidRDefault="008E7846" w:rsidP="009D4624">
      <w:pPr>
        <w:pStyle w:val="ListBullet"/>
        <w:numPr>
          <w:ilvl w:val="0"/>
          <w:numId w:val="1"/>
        </w:numPr>
        <w:ind w:left="357" w:hanging="357"/>
      </w:pPr>
      <w:r>
        <w:t>AusPARs are prepared and published by the TGA.</w:t>
      </w:r>
    </w:p>
    <w:p w:rsidR="008E7846" w:rsidRDefault="008E7846" w:rsidP="009D4624">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9D4624">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9D4624">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55114">
        <w:rPr>
          <w:rFonts w:cs="Arial"/>
          <w:lang w:val="en-GB"/>
        </w:rPr>
        <w:t>4</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1" w:name="_Toc196046425"/>
      <w:bookmarkStart w:id="2" w:name="_Toc247691501"/>
      <w:r w:rsidRPr="0010788A">
        <w:lastRenderedPageBreak/>
        <w:t>Contents</w:t>
      </w:r>
    </w:p>
    <w:p w:rsidR="0001240F" w:rsidRPr="009D4624" w:rsidRDefault="00621C2E">
      <w:pPr>
        <w:pStyle w:val="TOC2"/>
        <w:rPr>
          <w:rFonts w:ascii="Calibri" w:eastAsia="Times New Roman" w:hAnsi="Calibri"/>
          <w:b w:val="0"/>
          <w:noProof/>
          <w:sz w:val="22"/>
          <w:lang w:eastAsia="en-AU"/>
        </w:rPr>
      </w:pPr>
      <w:r>
        <w:fldChar w:fldCharType="begin"/>
      </w:r>
      <w:r w:rsidR="0089635C">
        <w:instrText xml:space="preserve"> TOC \o "1-3" \h \z \u </w:instrText>
      </w:r>
      <w:r>
        <w:fldChar w:fldCharType="separate"/>
      </w:r>
      <w:hyperlink w:anchor="_Toc389413992" w:history="1">
        <w:r w:rsidR="0001240F" w:rsidRPr="0001626A">
          <w:rPr>
            <w:rStyle w:val="Hyperlink"/>
            <w:noProof/>
          </w:rPr>
          <w:t>I. Introduction to product submission</w:t>
        </w:r>
        <w:r w:rsidR="0001240F">
          <w:rPr>
            <w:noProof/>
            <w:webHidden/>
          </w:rPr>
          <w:tab/>
        </w:r>
        <w:r w:rsidR="0001240F">
          <w:rPr>
            <w:noProof/>
            <w:webHidden/>
          </w:rPr>
          <w:fldChar w:fldCharType="begin"/>
        </w:r>
        <w:r w:rsidR="0001240F">
          <w:rPr>
            <w:noProof/>
            <w:webHidden/>
          </w:rPr>
          <w:instrText xml:space="preserve"> PAGEREF _Toc389413992 \h </w:instrText>
        </w:r>
        <w:r w:rsidR="0001240F">
          <w:rPr>
            <w:noProof/>
            <w:webHidden/>
          </w:rPr>
        </w:r>
        <w:r w:rsidR="0001240F">
          <w:rPr>
            <w:noProof/>
            <w:webHidden/>
          </w:rPr>
          <w:fldChar w:fldCharType="separate"/>
        </w:r>
        <w:r w:rsidR="0001240F">
          <w:rPr>
            <w:noProof/>
            <w:webHidden/>
          </w:rPr>
          <w:t>4</w:t>
        </w:r>
        <w:r w:rsidR="0001240F">
          <w:rPr>
            <w:noProof/>
            <w:webHidden/>
          </w:rPr>
          <w:fldChar w:fldCharType="end"/>
        </w:r>
      </w:hyperlink>
    </w:p>
    <w:p w:rsidR="0001240F" w:rsidRPr="009D4624" w:rsidRDefault="0001240F">
      <w:pPr>
        <w:pStyle w:val="TOC3"/>
        <w:rPr>
          <w:rFonts w:ascii="Calibri" w:eastAsia="Times New Roman" w:hAnsi="Calibri"/>
          <w:noProof/>
          <w:lang w:eastAsia="en-AU"/>
        </w:rPr>
      </w:pPr>
      <w:hyperlink w:anchor="_Toc389413993" w:history="1">
        <w:r w:rsidRPr="0001626A">
          <w:rPr>
            <w:rStyle w:val="Hyperlink"/>
            <w:noProof/>
            <w:lang w:eastAsia="en-AU"/>
          </w:rPr>
          <w:t>Submission details</w:t>
        </w:r>
        <w:r>
          <w:rPr>
            <w:noProof/>
            <w:webHidden/>
          </w:rPr>
          <w:tab/>
        </w:r>
        <w:r>
          <w:rPr>
            <w:noProof/>
            <w:webHidden/>
          </w:rPr>
          <w:fldChar w:fldCharType="begin"/>
        </w:r>
        <w:r>
          <w:rPr>
            <w:noProof/>
            <w:webHidden/>
          </w:rPr>
          <w:instrText xml:space="preserve"> PAGEREF _Toc389413993 \h </w:instrText>
        </w:r>
        <w:r>
          <w:rPr>
            <w:noProof/>
            <w:webHidden/>
          </w:rPr>
        </w:r>
        <w:r>
          <w:rPr>
            <w:noProof/>
            <w:webHidden/>
          </w:rPr>
          <w:fldChar w:fldCharType="separate"/>
        </w:r>
        <w:r>
          <w:rPr>
            <w:noProof/>
            <w:webHidden/>
          </w:rPr>
          <w:t>4</w:t>
        </w:r>
        <w:r>
          <w:rPr>
            <w:noProof/>
            <w:webHidden/>
          </w:rPr>
          <w:fldChar w:fldCharType="end"/>
        </w:r>
      </w:hyperlink>
    </w:p>
    <w:p w:rsidR="0001240F" w:rsidRPr="009D4624" w:rsidRDefault="0001240F">
      <w:pPr>
        <w:pStyle w:val="TOC3"/>
        <w:rPr>
          <w:rFonts w:ascii="Calibri" w:eastAsia="Times New Roman" w:hAnsi="Calibri"/>
          <w:noProof/>
          <w:lang w:eastAsia="en-AU"/>
        </w:rPr>
      </w:pPr>
      <w:hyperlink w:anchor="_Toc389413994" w:history="1">
        <w:r w:rsidRPr="0001626A">
          <w:rPr>
            <w:rStyle w:val="Hyperlink"/>
            <w:noProof/>
          </w:rPr>
          <w:t>Product background</w:t>
        </w:r>
        <w:r>
          <w:rPr>
            <w:noProof/>
            <w:webHidden/>
          </w:rPr>
          <w:tab/>
        </w:r>
        <w:r>
          <w:rPr>
            <w:noProof/>
            <w:webHidden/>
          </w:rPr>
          <w:fldChar w:fldCharType="begin"/>
        </w:r>
        <w:r>
          <w:rPr>
            <w:noProof/>
            <w:webHidden/>
          </w:rPr>
          <w:instrText xml:space="preserve"> PAGEREF _Toc389413994 \h </w:instrText>
        </w:r>
        <w:r>
          <w:rPr>
            <w:noProof/>
            <w:webHidden/>
          </w:rPr>
        </w:r>
        <w:r>
          <w:rPr>
            <w:noProof/>
            <w:webHidden/>
          </w:rPr>
          <w:fldChar w:fldCharType="separate"/>
        </w:r>
        <w:r>
          <w:rPr>
            <w:noProof/>
            <w:webHidden/>
          </w:rPr>
          <w:t>4</w:t>
        </w:r>
        <w:r>
          <w:rPr>
            <w:noProof/>
            <w:webHidden/>
          </w:rPr>
          <w:fldChar w:fldCharType="end"/>
        </w:r>
      </w:hyperlink>
    </w:p>
    <w:p w:rsidR="0001240F" w:rsidRPr="009D4624" w:rsidRDefault="0001240F">
      <w:pPr>
        <w:pStyle w:val="TOC3"/>
        <w:rPr>
          <w:rFonts w:ascii="Calibri" w:eastAsia="Times New Roman" w:hAnsi="Calibri"/>
          <w:noProof/>
          <w:lang w:eastAsia="en-AU"/>
        </w:rPr>
      </w:pPr>
      <w:hyperlink w:anchor="_Toc389413995" w:history="1">
        <w:r w:rsidRPr="0001626A">
          <w:rPr>
            <w:rStyle w:val="Hyperlink"/>
            <w:noProof/>
          </w:rPr>
          <w:t>Regulatory status</w:t>
        </w:r>
        <w:r>
          <w:rPr>
            <w:noProof/>
            <w:webHidden/>
          </w:rPr>
          <w:tab/>
        </w:r>
        <w:r>
          <w:rPr>
            <w:noProof/>
            <w:webHidden/>
          </w:rPr>
          <w:fldChar w:fldCharType="begin"/>
        </w:r>
        <w:r>
          <w:rPr>
            <w:noProof/>
            <w:webHidden/>
          </w:rPr>
          <w:instrText xml:space="preserve"> PAGEREF _Toc389413995 \h </w:instrText>
        </w:r>
        <w:r>
          <w:rPr>
            <w:noProof/>
            <w:webHidden/>
          </w:rPr>
        </w:r>
        <w:r>
          <w:rPr>
            <w:noProof/>
            <w:webHidden/>
          </w:rPr>
          <w:fldChar w:fldCharType="separate"/>
        </w:r>
        <w:r>
          <w:rPr>
            <w:noProof/>
            <w:webHidden/>
          </w:rPr>
          <w:t>5</w:t>
        </w:r>
        <w:r>
          <w:rPr>
            <w:noProof/>
            <w:webHidden/>
          </w:rPr>
          <w:fldChar w:fldCharType="end"/>
        </w:r>
      </w:hyperlink>
    </w:p>
    <w:p w:rsidR="0001240F" w:rsidRPr="009D4624" w:rsidRDefault="0001240F">
      <w:pPr>
        <w:pStyle w:val="TOC3"/>
        <w:rPr>
          <w:rFonts w:ascii="Calibri" w:eastAsia="Times New Roman" w:hAnsi="Calibri"/>
          <w:noProof/>
          <w:lang w:eastAsia="en-AU"/>
        </w:rPr>
      </w:pPr>
      <w:hyperlink w:anchor="_Toc389413996" w:history="1">
        <w:r w:rsidRPr="0001626A">
          <w:rPr>
            <w:rStyle w:val="Hyperlink"/>
            <w:noProof/>
          </w:rPr>
          <w:t>Product Information</w:t>
        </w:r>
        <w:r>
          <w:rPr>
            <w:noProof/>
            <w:webHidden/>
          </w:rPr>
          <w:tab/>
        </w:r>
        <w:r>
          <w:rPr>
            <w:noProof/>
            <w:webHidden/>
          </w:rPr>
          <w:fldChar w:fldCharType="begin"/>
        </w:r>
        <w:r>
          <w:rPr>
            <w:noProof/>
            <w:webHidden/>
          </w:rPr>
          <w:instrText xml:space="preserve"> PAGEREF _Toc389413996 \h </w:instrText>
        </w:r>
        <w:r>
          <w:rPr>
            <w:noProof/>
            <w:webHidden/>
          </w:rPr>
        </w:r>
        <w:r>
          <w:rPr>
            <w:noProof/>
            <w:webHidden/>
          </w:rPr>
          <w:fldChar w:fldCharType="separate"/>
        </w:r>
        <w:r>
          <w:rPr>
            <w:noProof/>
            <w:webHidden/>
          </w:rPr>
          <w:t>6</w:t>
        </w:r>
        <w:r>
          <w:rPr>
            <w:noProof/>
            <w:webHidden/>
          </w:rPr>
          <w:fldChar w:fldCharType="end"/>
        </w:r>
      </w:hyperlink>
    </w:p>
    <w:p w:rsidR="0001240F" w:rsidRPr="009D4624" w:rsidRDefault="0001240F">
      <w:pPr>
        <w:pStyle w:val="TOC2"/>
        <w:rPr>
          <w:rFonts w:ascii="Calibri" w:eastAsia="Times New Roman" w:hAnsi="Calibri"/>
          <w:b w:val="0"/>
          <w:noProof/>
          <w:sz w:val="22"/>
          <w:lang w:eastAsia="en-AU"/>
        </w:rPr>
      </w:pPr>
      <w:hyperlink w:anchor="_Toc389413997" w:history="1">
        <w:r w:rsidRPr="0001626A">
          <w:rPr>
            <w:rStyle w:val="Hyperlink"/>
            <w:noProof/>
          </w:rPr>
          <w:t>II. Quality findings</w:t>
        </w:r>
        <w:r>
          <w:rPr>
            <w:noProof/>
            <w:webHidden/>
          </w:rPr>
          <w:tab/>
        </w:r>
        <w:r>
          <w:rPr>
            <w:noProof/>
            <w:webHidden/>
          </w:rPr>
          <w:fldChar w:fldCharType="begin"/>
        </w:r>
        <w:r>
          <w:rPr>
            <w:noProof/>
            <w:webHidden/>
          </w:rPr>
          <w:instrText xml:space="preserve"> PAGEREF _Toc389413997 \h </w:instrText>
        </w:r>
        <w:r>
          <w:rPr>
            <w:noProof/>
            <w:webHidden/>
          </w:rPr>
        </w:r>
        <w:r>
          <w:rPr>
            <w:noProof/>
            <w:webHidden/>
          </w:rPr>
          <w:fldChar w:fldCharType="separate"/>
        </w:r>
        <w:r>
          <w:rPr>
            <w:noProof/>
            <w:webHidden/>
          </w:rPr>
          <w:t>6</w:t>
        </w:r>
        <w:r>
          <w:rPr>
            <w:noProof/>
            <w:webHidden/>
          </w:rPr>
          <w:fldChar w:fldCharType="end"/>
        </w:r>
      </w:hyperlink>
    </w:p>
    <w:p w:rsidR="0001240F" w:rsidRPr="009D4624" w:rsidRDefault="0001240F">
      <w:pPr>
        <w:pStyle w:val="TOC3"/>
        <w:rPr>
          <w:rFonts w:ascii="Calibri" w:eastAsia="Times New Roman" w:hAnsi="Calibri"/>
          <w:noProof/>
          <w:lang w:eastAsia="en-AU"/>
        </w:rPr>
      </w:pPr>
      <w:hyperlink w:anchor="_Toc389413998" w:history="1">
        <w:r w:rsidRPr="0001626A">
          <w:rPr>
            <w:rStyle w:val="Hyperlink"/>
            <w:noProof/>
          </w:rPr>
          <w:t>Drug substance (active ingredient)</w:t>
        </w:r>
        <w:r>
          <w:rPr>
            <w:noProof/>
            <w:webHidden/>
          </w:rPr>
          <w:tab/>
        </w:r>
        <w:r>
          <w:rPr>
            <w:noProof/>
            <w:webHidden/>
          </w:rPr>
          <w:fldChar w:fldCharType="begin"/>
        </w:r>
        <w:r>
          <w:rPr>
            <w:noProof/>
            <w:webHidden/>
          </w:rPr>
          <w:instrText xml:space="preserve"> PAGEREF _Toc389413998 \h </w:instrText>
        </w:r>
        <w:r>
          <w:rPr>
            <w:noProof/>
            <w:webHidden/>
          </w:rPr>
        </w:r>
        <w:r>
          <w:rPr>
            <w:noProof/>
            <w:webHidden/>
          </w:rPr>
          <w:fldChar w:fldCharType="separate"/>
        </w:r>
        <w:r>
          <w:rPr>
            <w:noProof/>
            <w:webHidden/>
          </w:rPr>
          <w:t>6</w:t>
        </w:r>
        <w:r>
          <w:rPr>
            <w:noProof/>
            <w:webHidden/>
          </w:rPr>
          <w:fldChar w:fldCharType="end"/>
        </w:r>
      </w:hyperlink>
    </w:p>
    <w:p w:rsidR="0001240F" w:rsidRPr="009D4624" w:rsidRDefault="0001240F">
      <w:pPr>
        <w:pStyle w:val="TOC3"/>
        <w:rPr>
          <w:rFonts w:ascii="Calibri" w:eastAsia="Times New Roman" w:hAnsi="Calibri"/>
          <w:noProof/>
          <w:lang w:eastAsia="en-AU"/>
        </w:rPr>
      </w:pPr>
      <w:hyperlink w:anchor="_Toc389413999" w:history="1">
        <w:r w:rsidRPr="0001626A">
          <w:rPr>
            <w:rStyle w:val="Hyperlink"/>
            <w:noProof/>
          </w:rPr>
          <w:t>Drug product</w:t>
        </w:r>
        <w:r>
          <w:rPr>
            <w:noProof/>
            <w:webHidden/>
          </w:rPr>
          <w:tab/>
        </w:r>
        <w:r>
          <w:rPr>
            <w:noProof/>
            <w:webHidden/>
          </w:rPr>
          <w:fldChar w:fldCharType="begin"/>
        </w:r>
        <w:r>
          <w:rPr>
            <w:noProof/>
            <w:webHidden/>
          </w:rPr>
          <w:instrText xml:space="preserve"> PAGEREF _Toc389413999 \h </w:instrText>
        </w:r>
        <w:r>
          <w:rPr>
            <w:noProof/>
            <w:webHidden/>
          </w:rPr>
        </w:r>
        <w:r>
          <w:rPr>
            <w:noProof/>
            <w:webHidden/>
          </w:rPr>
          <w:fldChar w:fldCharType="separate"/>
        </w:r>
        <w:r>
          <w:rPr>
            <w:noProof/>
            <w:webHidden/>
          </w:rPr>
          <w:t>7</w:t>
        </w:r>
        <w:r>
          <w:rPr>
            <w:noProof/>
            <w:webHidden/>
          </w:rPr>
          <w:fldChar w:fldCharType="end"/>
        </w:r>
      </w:hyperlink>
    </w:p>
    <w:p w:rsidR="0001240F" w:rsidRPr="009D4624" w:rsidRDefault="0001240F">
      <w:pPr>
        <w:pStyle w:val="TOC3"/>
        <w:rPr>
          <w:rFonts w:ascii="Calibri" w:eastAsia="Times New Roman" w:hAnsi="Calibri"/>
          <w:noProof/>
          <w:lang w:eastAsia="en-AU"/>
        </w:rPr>
      </w:pPr>
      <w:hyperlink w:anchor="_Toc389414000" w:history="1">
        <w:r w:rsidRPr="0001626A">
          <w:rPr>
            <w:rStyle w:val="Hyperlink"/>
            <w:noProof/>
          </w:rPr>
          <w:t>Biopharmaceutics</w:t>
        </w:r>
        <w:r>
          <w:rPr>
            <w:noProof/>
            <w:webHidden/>
          </w:rPr>
          <w:tab/>
        </w:r>
        <w:r>
          <w:rPr>
            <w:noProof/>
            <w:webHidden/>
          </w:rPr>
          <w:fldChar w:fldCharType="begin"/>
        </w:r>
        <w:r>
          <w:rPr>
            <w:noProof/>
            <w:webHidden/>
          </w:rPr>
          <w:instrText xml:space="preserve"> PAGEREF _Toc389414000 \h </w:instrText>
        </w:r>
        <w:r>
          <w:rPr>
            <w:noProof/>
            <w:webHidden/>
          </w:rPr>
        </w:r>
        <w:r>
          <w:rPr>
            <w:noProof/>
            <w:webHidden/>
          </w:rPr>
          <w:fldChar w:fldCharType="separate"/>
        </w:r>
        <w:r>
          <w:rPr>
            <w:noProof/>
            <w:webHidden/>
          </w:rPr>
          <w:t>7</w:t>
        </w:r>
        <w:r>
          <w:rPr>
            <w:noProof/>
            <w:webHidden/>
          </w:rPr>
          <w:fldChar w:fldCharType="end"/>
        </w:r>
      </w:hyperlink>
    </w:p>
    <w:p w:rsidR="0001240F" w:rsidRPr="009D4624" w:rsidRDefault="0001240F">
      <w:pPr>
        <w:pStyle w:val="TOC3"/>
        <w:rPr>
          <w:rFonts w:ascii="Calibri" w:eastAsia="Times New Roman" w:hAnsi="Calibri"/>
          <w:noProof/>
          <w:lang w:eastAsia="en-AU"/>
        </w:rPr>
      </w:pPr>
      <w:hyperlink w:anchor="_Toc389414001" w:history="1">
        <w:r w:rsidRPr="0001626A">
          <w:rPr>
            <w:rStyle w:val="Hyperlink"/>
            <w:noProof/>
          </w:rPr>
          <w:t>Quality summary and conclusions</w:t>
        </w:r>
        <w:r>
          <w:rPr>
            <w:noProof/>
            <w:webHidden/>
          </w:rPr>
          <w:tab/>
        </w:r>
        <w:r>
          <w:rPr>
            <w:noProof/>
            <w:webHidden/>
          </w:rPr>
          <w:fldChar w:fldCharType="begin"/>
        </w:r>
        <w:r>
          <w:rPr>
            <w:noProof/>
            <w:webHidden/>
          </w:rPr>
          <w:instrText xml:space="preserve"> PAGEREF _Toc389414001 \h </w:instrText>
        </w:r>
        <w:r>
          <w:rPr>
            <w:noProof/>
            <w:webHidden/>
          </w:rPr>
        </w:r>
        <w:r>
          <w:rPr>
            <w:noProof/>
            <w:webHidden/>
          </w:rPr>
          <w:fldChar w:fldCharType="separate"/>
        </w:r>
        <w:r>
          <w:rPr>
            <w:noProof/>
            <w:webHidden/>
          </w:rPr>
          <w:t>7</w:t>
        </w:r>
        <w:r>
          <w:rPr>
            <w:noProof/>
            <w:webHidden/>
          </w:rPr>
          <w:fldChar w:fldCharType="end"/>
        </w:r>
      </w:hyperlink>
    </w:p>
    <w:p w:rsidR="0001240F" w:rsidRPr="009D4624" w:rsidRDefault="0001240F">
      <w:pPr>
        <w:pStyle w:val="TOC2"/>
        <w:rPr>
          <w:rFonts w:ascii="Calibri" w:eastAsia="Times New Roman" w:hAnsi="Calibri"/>
          <w:b w:val="0"/>
          <w:noProof/>
          <w:sz w:val="22"/>
          <w:lang w:eastAsia="en-AU"/>
        </w:rPr>
      </w:pPr>
      <w:hyperlink w:anchor="_Toc389414002" w:history="1">
        <w:r w:rsidRPr="0001626A">
          <w:rPr>
            <w:rStyle w:val="Hyperlink"/>
            <w:noProof/>
          </w:rPr>
          <w:t>III. Nonclinical findings</w:t>
        </w:r>
        <w:r>
          <w:rPr>
            <w:noProof/>
            <w:webHidden/>
          </w:rPr>
          <w:tab/>
        </w:r>
        <w:r>
          <w:rPr>
            <w:noProof/>
            <w:webHidden/>
          </w:rPr>
          <w:fldChar w:fldCharType="begin"/>
        </w:r>
        <w:r>
          <w:rPr>
            <w:noProof/>
            <w:webHidden/>
          </w:rPr>
          <w:instrText xml:space="preserve"> PAGEREF _Toc389414002 \h </w:instrText>
        </w:r>
        <w:r>
          <w:rPr>
            <w:noProof/>
            <w:webHidden/>
          </w:rPr>
        </w:r>
        <w:r>
          <w:rPr>
            <w:noProof/>
            <w:webHidden/>
          </w:rPr>
          <w:fldChar w:fldCharType="separate"/>
        </w:r>
        <w:r>
          <w:rPr>
            <w:noProof/>
            <w:webHidden/>
          </w:rPr>
          <w:t>8</w:t>
        </w:r>
        <w:r>
          <w:rPr>
            <w:noProof/>
            <w:webHidden/>
          </w:rPr>
          <w:fldChar w:fldCharType="end"/>
        </w:r>
      </w:hyperlink>
    </w:p>
    <w:p w:rsidR="0001240F" w:rsidRPr="009D4624" w:rsidRDefault="0001240F">
      <w:pPr>
        <w:pStyle w:val="TOC3"/>
        <w:rPr>
          <w:rFonts w:ascii="Calibri" w:eastAsia="Times New Roman" w:hAnsi="Calibri"/>
          <w:noProof/>
          <w:lang w:eastAsia="en-AU"/>
        </w:rPr>
      </w:pPr>
      <w:hyperlink w:anchor="_Toc389414003" w:history="1">
        <w:r w:rsidRPr="0001626A">
          <w:rPr>
            <w:rStyle w:val="Hyperlink"/>
            <w:noProof/>
          </w:rPr>
          <w:t>Introduction</w:t>
        </w:r>
        <w:r>
          <w:rPr>
            <w:noProof/>
            <w:webHidden/>
          </w:rPr>
          <w:tab/>
        </w:r>
        <w:r>
          <w:rPr>
            <w:noProof/>
            <w:webHidden/>
          </w:rPr>
          <w:fldChar w:fldCharType="begin"/>
        </w:r>
        <w:r>
          <w:rPr>
            <w:noProof/>
            <w:webHidden/>
          </w:rPr>
          <w:instrText xml:space="preserve"> PAGEREF _Toc389414003 \h </w:instrText>
        </w:r>
        <w:r>
          <w:rPr>
            <w:noProof/>
            <w:webHidden/>
          </w:rPr>
        </w:r>
        <w:r>
          <w:rPr>
            <w:noProof/>
            <w:webHidden/>
          </w:rPr>
          <w:fldChar w:fldCharType="separate"/>
        </w:r>
        <w:r>
          <w:rPr>
            <w:noProof/>
            <w:webHidden/>
          </w:rPr>
          <w:t>8</w:t>
        </w:r>
        <w:r>
          <w:rPr>
            <w:noProof/>
            <w:webHidden/>
          </w:rPr>
          <w:fldChar w:fldCharType="end"/>
        </w:r>
      </w:hyperlink>
    </w:p>
    <w:p w:rsidR="0001240F" w:rsidRPr="009D4624" w:rsidRDefault="0001240F">
      <w:pPr>
        <w:pStyle w:val="TOC3"/>
        <w:rPr>
          <w:rFonts w:ascii="Calibri" w:eastAsia="Times New Roman" w:hAnsi="Calibri"/>
          <w:noProof/>
          <w:lang w:eastAsia="en-AU"/>
        </w:rPr>
      </w:pPr>
      <w:hyperlink w:anchor="_Toc389414004" w:history="1">
        <w:r w:rsidRPr="0001626A">
          <w:rPr>
            <w:rStyle w:val="Hyperlink"/>
            <w:noProof/>
          </w:rPr>
          <w:t>Pharmacology</w:t>
        </w:r>
        <w:r>
          <w:rPr>
            <w:noProof/>
            <w:webHidden/>
          </w:rPr>
          <w:tab/>
        </w:r>
        <w:r>
          <w:rPr>
            <w:noProof/>
            <w:webHidden/>
          </w:rPr>
          <w:fldChar w:fldCharType="begin"/>
        </w:r>
        <w:r>
          <w:rPr>
            <w:noProof/>
            <w:webHidden/>
          </w:rPr>
          <w:instrText xml:space="preserve"> PAGEREF _Toc389414004 \h </w:instrText>
        </w:r>
        <w:r>
          <w:rPr>
            <w:noProof/>
            <w:webHidden/>
          </w:rPr>
        </w:r>
        <w:r>
          <w:rPr>
            <w:noProof/>
            <w:webHidden/>
          </w:rPr>
          <w:fldChar w:fldCharType="separate"/>
        </w:r>
        <w:r>
          <w:rPr>
            <w:noProof/>
            <w:webHidden/>
          </w:rPr>
          <w:t>9</w:t>
        </w:r>
        <w:r>
          <w:rPr>
            <w:noProof/>
            <w:webHidden/>
          </w:rPr>
          <w:fldChar w:fldCharType="end"/>
        </w:r>
      </w:hyperlink>
    </w:p>
    <w:p w:rsidR="0001240F" w:rsidRPr="009D4624" w:rsidRDefault="0001240F">
      <w:pPr>
        <w:pStyle w:val="TOC3"/>
        <w:rPr>
          <w:rFonts w:ascii="Calibri" w:eastAsia="Times New Roman" w:hAnsi="Calibri"/>
          <w:noProof/>
          <w:lang w:eastAsia="en-AU"/>
        </w:rPr>
      </w:pPr>
      <w:hyperlink w:anchor="_Toc389414005" w:history="1">
        <w:r w:rsidRPr="0001626A">
          <w:rPr>
            <w:rStyle w:val="Hyperlink"/>
            <w:noProof/>
          </w:rPr>
          <w:t>Pharmacokinetics</w:t>
        </w:r>
        <w:r>
          <w:rPr>
            <w:noProof/>
            <w:webHidden/>
          </w:rPr>
          <w:tab/>
        </w:r>
        <w:r>
          <w:rPr>
            <w:noProof/>
            <w:webHidden/>
          </w:rPr>
          <w:fldChar w:fldCharType="begin"/>
        </w:r>
        <w:r>
          <w:rPr>
            <w:noProof/>
            <w:webHidden/>
          </w:rPr>
          <w:instrText xml:space="preserve"> PAGEREF _Toc389414005 \h </w:instrText>
        </w:r>
        <w:r>
          <w:rPr>
            <w:noProof/>
            <w:webHidden/>
          </w:rPr>
        </w:r>
        <w:r>
          <w:rPr>
            <w:noProof/>
            <w:webHidden/>
          </w:rPr>
          <w:fldChar w:fldCharType="separate"/>
        </w:r>
        <w:r>
          <w:rPr>
            <w:noProof/>
            <w:webHidden/>
          </w:rPr>
          <w:t>11</w:t>
        </w:r>
        <w:r>
          <w:rPr>
            <w:noProof/>
            <w:webHidden/>
          </w:rPr>
          <w:fldChar w:fldCharType="end"/>
        </w:r>
      </w:hyperlink>
    </w:p>
    <w:p w:rsidR="0001240F" w:rsidRPr="009D4624" w:rsidRDefault="0001240F">
      <w:pPr>
        <w:pStyle w:val="TOC3"/>
        <w:rPr>
          <w:rFonts w:ascii="Calibri" w:eastAsia="Times New Roman" w:hAnsi="Calibri"/>
          <w:noProof/>
          <w:lang w:eastAsia="en-AU"/>
        </w:rPr>
      </w:pPr>
      <w:hyperlink w:anchor="_Toc389414006" w:history="1">
        <w:r w:rsidRPr="0001626A">
          <w:rPr>
            <w:rStyle w:val="Hyperlink"/>
            <w:noProof/>
          </w:rPr>
          <w:t>Toxicology</w:t>
        </w:r>
        <w:r>
          <w:rPr>
            <w:noProof/>
            <w:webHidden/>
          </w:rPr>
          <w:tab/>
        </w:r>
        <w:r>
          <w:rPr>
            <w:noProof/>
            <w:webHidden/>
          </w:rPr>
          <w:fldChar w:fldCharType="begin"/>
        </w:r>
        <w:r>
          <w:rPr>
            <w:noProof/>
            <w:webHidden/>
          </w:rPr>
          <w:instrText xml:space="preserve"> PAGEREF _Toc389414006 \h </w:instrText>
        </w:r>
        <w:r>
          <w:rPr>
            <w:noProof/>
            <w:webHidden/>
          </w:rPr>
        </w:r>
        <w:r>
          <w:rPr>
            <w:noProof/>
            <w:webHidden/>
          </w:rPr>
          <w:fldChar w:fldCharType="separate"/>
        </w:r>
        <w:r>
          <w:rPr>
            <w:noProof/>
            <w:webHidden/>
          </w:rPr>
          <w:t>12</w:t>
        </w:r>
        <w:r>
          <w:rPr>
            <w:noProof/>
            <w:webHidden/>
          </w:rPr>
          <w:fldChar w:fldCharType="end"/>
        </w:r>
      </w:hyperlink>
    </w:p>
    <w:p w:rsidR="0001240F" w:rsidRPr="009D4624" w:rsidRDefault="0001240F">
      <w:pPr>
        <w:pStyle w:val="TOC3"/>
        <w:rPr>
          <w:rFonts w:ascii="Calibri" w:eastAsia="Times New Roman" w:hAnsi="Calibri"/>
          <w:noProof/>
          <w:lang w:eastAsia="en-AU"/>
        </w:rPr>
      </w:pPr>
      <w:hyperlink w:anchor="_Toc389414007" w:history="1">
        <w:r w:rsidRPr="0001626A">
          <w:rPr>
            <w:rStyle w:val="Hyperlink"/>
            <w:noProof/>
          </w:rPr>
          <w:t>Nonclinical summary and conclusions</w:t>
        </w:r>
        <w:r>
          <w:rPr>
            <w:noProof/>
            <w:webHidden/>
          </w:rPr>
          <w:tab/>
        </w:r>
        <w:r>
          <w:rPr>
            <w:noProof/>
            <w:webHidden/>
          </w:rPr>
          <w:fldChar w:fldCharType="begin"/>
        </w:r>
        <w:r>
          <w:rPr>
            <w:noProof/>
            <w:webHidden/>
          </w:rPr>
          <w:instrText xml:space="preserve"> PAGEREF _Toc389414007 \h </w:instrText>
        </w:r>
        <w:r>
          <w:rPr>
            <w:noProof/>
            <w:webHidden/>
          </w:rPr>
        </w:r>
        <w:r>
          <w:rPr>
            <w:noProof/>
            <w:webHidden/>
          </w:rPr>
          <w:fldChar w:fldCharType="separate"/>
        </w:r>
        <w:r>
          <w:rPr>
            <w:noProof/>
            <w:webHidden/>
          </w:rPr>
          <w:t>15</w:t>
        </w:r>
        <w:r>
          <w:rPr>
            <w:noProof/>
            <w:webHidden/>
          </w:rPr>
          <w:fldChar w:fldCharType="end"/>
        </w:r>
      </w:hyperlink>
    </w:p>
    <w:p w:rsidR="0001240F" w:rsidRPr="009D4624" w:rsidRDefault="0001240F">
      <w:pPr>
        <w:pStyle w:val="TOC2"/>
        <w:rPr>
          <w:rFonts w:ascii="Calibri" w:eastAsia="Times New Roman" w:hAnsi="Calibri"/>
          <w:b w:val="0"/>
          <w:noProof/>
          <w:sz w:val="22"/>
          <w:lang w:eastAsia="en-AU"/>
        </w:rPr>
      </w:pPr>
      <w:hyperlink w:anchor="_Toc389414008" w:history="1">
        <w:r w:rsidRPr="0001626A">
          <w:rPr>
            <w:rStyle w:val="Hyperlink"/>
            <w:noProof/>
          </w:rPr>
          <w:t>IV. Clinical findings</w:t>
        </w:r>
        <w:r>
          <w:rPr>
            <w:noProof/>
            <w:webHidden/>
          </w:rPr>
          <w:tab/>
        </w:r>
        <w:r>
          <w:rPr>
            <w:noProof/>
            <w:webHidden/>
          </w:rPr>
          <w:fldChar w:fldCharType="begin"/>
        </w:r>
        <w:r>
          <w:rPr>
            <w:noProof/>
            <w:webHidden/>
          </w:rPr>
          <w:instrText xml:space="preserve"> PAGEREF _Toc389414008 \h </w:instrText>
        </w:r>
        <w:r>
          <w:rPr>
            <w:noProof/>
            <w:webHidden/>
          </w:rPr>
        </w:r>
        <w:r>
          <w:rPr>
            <w:noProof/>
            <w:webHidden/>
          </w:rPr>
          <w:fldChar w:fldCharType="separate"/>
        </w:r>
        <w:r>
          <w:rPr>
            <w:noProof/>
            <w:webHidden/>
          </w:rPr>
          <w:t>17</w:t>
        </w:r>
        <w:r>
          <w:rPr>
            <w:noProof/>
            <w:webHidden/>
          </w:rPr>
          <w:fldChar w:fldCharType="end"/>
        </w:r>
      </w:hyperlink>
    </w:p>
    <w:p w:rsidR="0001240F" w:rsidRPr="009D4624" w:rsidRDefault="0001240F">
      <w:pPr>
        <w:pStyle w:val="TOC3"/>
        <w:rPr>
          <w:rFonts w:ascii="Calibri" w:eastAsia="Times New Roman" w:hAnsi="Calibri"/>
          <w:noProof/>
          <w:lang w:eastAsia="en-AU"/>
        </w:rPr>
      </w:pPr>
      <w:hyperlink w:anchor="_Toc389414009" w:history="1">
        <w:r w:rsidRPr="0001626A">
          <w:rPr>
            <w:rStyle w:val="Hyperlink"/>
            <w:noProof/>
          </w:rPr>
          <w:t>Introduction</w:t>
        </w:r>
        <w:r>
          <w:rPr>
            <w:noProof/>
            <w:webHidden/>
          </w:rPr>
          <w:tab/>
        </w:r>
        <w:r>
          <w:rPr>
            <w:noProof/>
            <w:webHidden/>
          </w:rPr>
          <w:fldChar w:fldCharType="begin"/>
        </w:r>
        <w:r>
          <w:rPr>
            <w:noProof/>
            <w:webHidden/>
          </w:rPr>
          <w:instrText xml:space="preserve"> PAGEREF _Toc389414009 \h </w:instrText>
        </w:r>
        <w:r>
          <w:rPr>
            <w:noProof/>
            <w:webHidden/>
          </w:rPr>
        </w:r>
        <w:r>
          <w:rPr>
            <w:noProof/>
            <w:webHidden/>
          </w:rPr>
          <w:fldChar w:fldCharType="separate"/>
        </w:r>
        <w:r>
          <w:rPr>
            <w:noProof/>
            <w:webHidden/>
          </w:rPr>
          <w:t>17</w:t>
        </w:r>
        <w:r>
          <w:rPr>
            <w:noProof/>
            <w:webHidden/>
          </w:rPr>
          <w:fldChar w:fldCharType="end"/>
        </w:r>
      </w:hyperlink>
    </w:p>
    <w:p w:rsidR="0001240F" w:rsidRPr="009D4624" w:rsidRDefault="0001240F">
      <w:pPr>
        <w:pStyle w:val="TOC3"/>
        <w:rPr>
          <w:rFonts w:ascii="Calibri" w:eastAsia="Times New Roman" w:hAnsi="Calibri"/>
          <w:noProof/>
          <w:lang w:eastAsia="en-AU"/>
        </w:rPr>
      </w:pPr>
      <w:hyperlink w:anchor="_Toc389414010" w:history="1">
        <w:r w:rsidRPr="0001626A">
          <w:rPr>
            <w:rStyle w:val="Hyperlink"/>
            <w:noProof/>
          </w:rPr>
          <w:t>Pharmacokinetics</w:t>
        </w:r>
        <w:r>
          <w:rPr>
            <w:noProof/>
            <w:webHidden/>
          </w:rPr>
          <w:tab/>
        </w:r>
        <w:r>
          <w:rPr>
            <w:noProof/>
            <w:webHidden/>
          </w:rPr>
          <w:fldChar w:fldCharType="begin"/>
        </w:r>
        <w:r>
          <w:rPr>
            <w:noProof/>
            <w:webHidden/>
          </w:rPr>
          <w:instrText xml:space="preserve"> PAGEREF _Toc389414010 \h </w:instrText>
        </w:r>
        <w:r>
          <w:rPr>
            <w:noProof/>
            <w:webHidden/>
          </w:rPr>
        </w:r>
        <w:r>
          <w:rPr>
            <w:noProof/>
            <w:webHidden/>
          </w:rPr>
          <w:fldChar w:fldCharType="separate"/>
        </w:r>
        <w:r>
          <w:rPr>
            <w:noProof/>
            <w:webHidden/>
          </w:rPr>
          <w:t>18</w:t>
        </w:r>
        <w:r>
          <w:rPr>
            <w:noProof/>
            <w:webHidden/>
          </w:rPr>
          <w:fldChar w:fldCharType="end"/>
        </w:r>
      </w:hyperlink>
    </w:p>
    <w:p w:rsidR="0001240F" w:rsidRPr="009D4624" w:rsidRDefault="0001240F">
      <w:pPr>
        <w:pStyle w:val="TOC3"/>
        <w:rPr>
          <w:rFonts w:ascii="Calibri" w:eastAsia="Times New Roman" w:hAnsi="Calibri"/>
          <w:noProof/>
          <w:lang w:eastAsia="en-AU"/>
        </w:rPr>
      </w:pPr>
      <w:hyperlink w:anchor="_Toc389414011" w:history="1">
        <w:r w:rsidRPr="0001626A">
          <w:rPr>
            <w:rStyle w:val="Hyperlink"/>
            <w:noProof/>
          </w:rPr>
          <w:t>Pharmacodynamics</w:t>
        </w:r>
        <w:r>
          <w:rPr>
            <w:noProof/>
            <w:webHidden/>
          </w:rPr>
          <w:tab/>
        </w:r>
        <w:r>
          <w:rPr>
            <w:noProof/>
            <w:webHidden/>
          </w:rPr>
          <w:fldChar w:fldCharType="begin"/>
        </w:r>
        <w:r>
          <w:rPr>
            <w:noProof/>
            <w:webHidden/>
          </w:rPr>
          <w:instrText xml:space="preserve"> PAGEREF _Toc389414011 \h </w:instrText>
        </w:r>
        <w:r>
          <w:rPr>
            <w:noProof/>
            <w:webHidden/>
          </w:rPr>
        </w:r>
        <w:r>
          <w:rPr>
            <w:noProof/>
            <w:webHidden/>
          </w:rPr>
          <w:fldChar w:fldCharType="separate"/>
        </w:r>
        <w:r>
          <w:rPr>
            <w:noProof/>
            <w:webHidden/>
          </w:rPr>
          <w:t>21</w:t>
        </w:r>
        <w:r>
          <w:rPr>
            <w:noProof/>
            <w:webHidden/>
          </w:rPr>
          <w:fldChar w:fldCharType="end"/>
        </w:r>
      </w:hyperlink>
    </w:p>
    <w:p w:rsidR="0001240F" w:rsidRPr="009D4624" w:rsidRDefault="0001240F">
      <w:pPr>
        <w:pStyle w:val="TOC3"/>
        <w:rPr>
          <w:rFonts w:ascii="Calibri" w:eastAsia="Times New Roman" w:hAnsi="Calibri"/>
          <w:noProof/>
          <w:lang w:eastAsia="en-AU"/>
        </w:rPr>
      </w:pPr>
      <w:hyperlink w:anchor="_Toc389414012" w:history="1">
        <w:r w:rsidRPr="0001626A">
          <w:rPr>
            <w:rStyle w:val="Hyperlink"/>
            <w:noProof/>
          </w:rPr>
          <w:t>Efficacy</w:t>
        </w:r>
        <w:r>
          <w:rPr>
            <w:noProof/>
            <w:webHidden/>
          </w:rPr>
          <w:tab/>
        </w:r>
        <w:r>
          <w:rPr>
            <w:noProof/>
            <w:webHidden/>
          </w:rPr>
          <w:fldChar w:fldCharType="begin"/>
        </w:r>
        <w:r>
          <w:rPr>
            <w:noProof/>
            <w:webHidden/>
          </w:rPr>
          <w:instrText xml:space="preserve"> PAGEREF _Toc389414012 \h </w:instrText>
        </w:r>
        <w:r>
          <w:rPr>
            <w:noProof/>
            <w:webHidden/>
          </w:rPr>
        </w:r>
        <w:r>
          <w:rPr>
            <w:noProof/>
            <w:webHidden/>
          </w:rPr>
          <w:fldChar w:fldCharType="separate"/>
        </w:r>
        <w:r>
          <w:rPr>
            <w:noProof/>
            <w:webHidden/>
          </w:rPr>
          <w:t>22</w:t>
        </w:r>
        <w:r>
          <w:rPr>
            <w:noProof/>
            <w:webHidden/>
          </w:rPr>
          <w:fldChar w:fldCharType="end"/>
        </w:r>
      </w:hyperlink>
    </w:p>
    <w:p w:rsidR="0001240F" w:rsidRPr="009D4624" w:rsidRDefault="0001240F">
      <w:pPr>
        <w:pStyle w:val="TOC3"/>
        <w:rPr>
          <w:rFonts w:ascii="Calibri" w:eastAsia="Times New Roman" w:hAnsi="Calibri"/>
          <w:noProof/>
          <w:lang w:eastAsia="en-AU"/>
        </w:rPr>
      </w:pPr>
      <w:hyperlink w:anchor="_Toc389414013" w:history="1">
        <w:r w:rsidRPr="0001626A">
          <w:rPr>
            <w:rStyle w:val="Hyperlink"/>
            <w:noProof/>
          </w:rPr>
          <w:t>Safety</w:t>
        </w:r>
        <w:r>
          <w:rPr>
            <w:noProof/>
            <w:webHidden/>
          </w:rPr>
          <w:tab/>
        </w:r>
        <w:r>
          <w:rPr>
            <w:noProof/>
            <w:webHidden/>
          </w:rPr>
          <w:fldChar w:fldCharType="begin"/>
        </w:r>
        <w:r>
          <w:rPr>
            <w:noProof/>
            <w:webHidden/>
          </w:rPr>
          <w:instrText xml:space="preserve"> PAGEREF _Toc389414013 \h </w:instrText>
        </w:r>
        <w:r>
          <w:rPr>
            <w:noProof/>
            <w:webHidden/>
          </w:rPr>
        </w:r>
        <w:r>
          <w:rPr>
            <w:noProof/>
            <w:webHidden/>
          </w:rPr>
          <w:fldChar w:fldCharType="separate"/>
        </w:r>
        <w:r>
          <w:rPr>
            <w:noProof/>
            <w:webHidden/>
          </w:rPr>
          <w:t>25</w:t>
        </w:r>
        <w:r>
          <w:rPr>
            <w:noProof/>
            <w:webHidden/>
          </w:rPr>
          <w:fldChar w:fldCharType="end"/>
        </w:r>
      </w:hyperlink>
    </w:p>
    <w:p w:rsidR="0001240F" w:rsidRPr="009D4624" w:rsidRDefault="0001240F">
      <w:pPr>
        <w:pStyle w:val="TOC3"/>
        <w:rPr>
          <w:rFonts w:ascii="Calibri" w:eastAsia="Times New Roman" w:hAnsi="Calibri"/>
          <w:noProof/>
          <w:lang w:eastAsia="en-AU"/>
        </w:rPr>
      </w:pPr>
      <w:hyperlink w:anchor="_Toc389414014" w:history="1">
        <w:r w:rsidRPr="0001626A">
          <w:rPr>
            <w:rStyle w:val="Hyperlink"/>
            <w:noProof/>
          </w:rPr>
          <w:t>Clinical summary and conclusions</w:t>
        </w:r>
        <w:r>
          <w:rPr>
            <w:noProof/>
            <w:webHidden/>
          </w:rPr>
          <w:tab/>
        </w:r>
        <w:r>
          <w:rPr>
            <w:noProof/>
            <w:webHidden/>
          </w:rPr>
          <w:fldChar w:fldCharType="begin"/>
        </w:r>
        <w:r>
          <w:rPr>
            <w:noProof/>
            <w:webHidden/>
          </w:rPr>
          <w:instrText xml:space="preserve"> PAGEREF _Toc389414014 \h </w:instrText>
        </w:r>
        <w:r>
          <w:rPr>
            <w:noProof/>
            <w:webHidden/>
          </w:rPr>
        </w:r>
        <w:r>
          <w:rPr>
            <w:noProof/>
            <w:webHidden/>
          </w:rPr>
          <w:fldChar w:fldCharType="separate"/>
        </w:r>
        <w:r>
          <w:rPr>
            <w:noProof/>
            <w:webHidden/>
          </w:rPr>
          <w:t>26</w:t>
        </w:r>
        <w:r>
          <w:rPr>
            <w:noProof/>
            <w:webHidden/>
          </w:rPr>
          <w:fldChar w:fldCharType="end"/>
        </w:r>
      </w:hyperlink>
    </w:p>
    <w:p w:rsidR="0001240F" w:rsidRPr="009D4624" w:rsidRDefault="0001240F">
      <w:pPr>
        <w:pStyle w:val="TOC3"/>
        <w:rPr>
          <w:rFonts w:ascii="Calibri" w:eastAsia="Times New Roman" w:hAnsi="Calibri"/>
          <w:noProof/>
          <w:lang w:eastAsia="en-AU"/>
        </w:rPr>
      </w:pPr>
      <w:hyperlink w:anchor="_Toc389414015" w:history="1">
        <w:r w:rsidRPr="0001626A">
          <w:rPr>
            <w:rStyle w:val="Hyperlink"/>
            <w:noProof/>
          </w:rPr>
          <w:t>List of questions</w:t>
        </w:r>
        <w:r>
          <w:rPr>
            <w:noProof/>
            <w:webHidden/>
          </w:rPr>
          <w:tab/>
        </w:r>
        <w:r>
          <w:rPr>
            <w:noProof/>
            <w:webHidden/>
          </w:rPr>
          <w:fldChar w:fldCharType="begin"/>
        </w:r>
        <w:r>
          <w:rPr>
            <w:noProof/>
            <w:webHidden/>
          </w:rPr>
          <w:instrText xml:space="preserve"> PAGEREF _Toc389414015 \h </w:instrText>
        </w:r>
        <w:r>
          <w:rPr>
            <w:noProof/>
            <w:webHidden/>
          </w:rPr>
        </w:r>
        <w:r>
          <w:rPr>
            <w:noProof/>
            <w:webHidden/>
          </w:rPr>
          <w:fldChar w:fldCharType="separate"/>
        </w:r>
        <w:r>
          <w:rPr>
            <w:noProof/>
            <w:webHidden/>
          </w:rPr>
          <w:t>29</w:t>
        </w:r>
        <w:r>
          <w:rPr>
            <w:noProof/>
            <w:webHidden/>
          </w:rPr>
          <w:fldChar w:fldCharType="end"/>
        </w:r>
      </w:hyperlink>
    </w:p>
    <w:p w:rsidR="0001240F" w:rsidRPr="009D4624" w:rsidRDefault="0001240F">
      <w:pPr>
        <w:pStyle w:val="TOC2"/>
        <w:rPr>
          <w:rFonts w:ascii="Calibri" w:eastAsia="Times New Roman" w:hAnsi="Calibri"/>
          <w:b w:val="0"/>
          <w:noProof/>
          <w:sz w:val="22"/>
          <w:lang w:eastAsia="en-AU"/>
        </w:rPr>
      </w:pPr>
      <w:hyperlink w:anchor="_Toc389414016" w:history="1">
        <w:r w:rsidRPr="0001626A">
          <w:rPr>
            <w:rStyle w:val="Hyperlink"/>
            <w:noProof/>
          </w:rPr>
          <w:t>V. Pharmacovigilance findings</w:t>
        </w:r>
        <w:r>
          <w:rPr>
            <w:noProof/>
            <w:webHidden/>
          </w:rPr>
          <w:tab/>
        </w:r>
        <w:r>
          <w:rPr>
            <w:noProof/>
            <w:webHidden/>
          </w:rPr>
          <w:fldChar w:fldCharType="begin"/>
        </w:r>
        <w:r>
          <w:rPr>
            <w:noProof/>
            <w:webHidden/>
          </w:rPr>
          <w:instrText xml:space="preserve"> PAGEREF _Toc389414016 \h </w:instrText>
        </w:r>
        <w:r>
          <w:rPr>
            <w:noProof/>
            <w:webHidden/>
          </w:rPr>
        </w:r>
        <w:r>
          <w:rPr>
            <w:noProof/>
            <w:webHidden/>
          </w:rPr>
          <w:fldChar w:fldCharType="separate"/>
        </w:r>
        <w:r>
          <w:rPr>
            <w:noProof/>
            <w:webHidden/>
          </w:rPr>
          <w:t>55</w:t>
        </w:r>
        <w:r>
          <w:rPr>
            <w:noProof/>
            <w:webHidden/>
          </w:rPr>
          <w:fldChar w:fldCharType="end"/>
        </w:r>
      </w:hyperlink>
    </w:p>
    <w:p w:rsidR="0001240F" w:rsidRPr="009D4624" w:rsidRDefault="0001240F">
      <w:pPr>
        <w:pStyle w:val="TOC3"/>
        <w:rPr>
          <w:rFonts w:ascii="Calibri" w:eastAsia="Times New Roman" w:hAnsi="Calibri"/>
          <w:noProof/>
          <w:lang w:eastAsia="en-AU"/>
        </w:rPr>
      </w:pPr>
      <w:hyperlink w:anchor="_Toc389414017" w:history="1">
        <w:r w:rsidRPr="0001626A">
          <w:rPr>
            <w:rStyle w:val="Hyperlink"/>
            <w:noProof/>
            <w:lang w:eastAsia="en-AU"/>
          </w:rPr>
          <w:t>Risk management plan</w:t>
        </w:r>
        <w:r>
          <w:rPr>
            <w:noProof/>
            <w:webHidden/>
          </w:rPr>
          <w:tab/>
        </w:r>
        <w:r>
          <w:rPr>
            <w:noProof/>
            <w:webHidden/>
          </w:rPr>
          <w:fldChar w:fldCharType="begin"/>
        </w:r>
        <w:r>
          <w:rPr>
            <w:noProof/>
            <w:webHidden/>
          </w:rPr>
          <w:instrText xml:space="preserve"> PAGEREF _Toc389414017 \h </w:instrText>
        </w:r>
        <w:r>
          <w:rPr>
            <w:noProof/>
            <w:webHidden/>
          </w:rPr>
        </w:r>
        <w:r>
          <w:rPr>
            <w:noProof/>
            <w:webHidden/>
          </w:rPr>
          <w:fldChar w:fldCharType="separate"/>
        </w:r>
        <w:r>
          <w:rPr>
            <w:noProof/>
            <w:webHidden/>
          </w:rPr>
          <w:t>55</w:t>
        </w:r>
        <w:r>
          <w:rPr>
            <w:noProof/>
            <w:webHidden/>
          </w:rPr>
          <w:fldChar w:fldCharType="end"/>
        </w:r>
      </w:hyperlink>
    </w:p>
    <w:p w:rsidR="0001240F" w:rsidRPr="009D4624" w:rsidRDefault="0001240F">
      <w:pPr>
        <w:pStyle w:val="TOC2"/>
        <w:rPr>
          <w:rFonts w:ascii="Calibri" w:eastAsia="Times New Roman" w:hAnsi="Calibri"/>
          <w:b w:val="0"/>
          <w:noProof/>
          <w:sz w:val="22"/>
          <w:lang w:eastAsia="en-AU"/>
        </w:rPr>
      </w:pPr>
      <w:hyperlink w:anchor="_Toc389414018" w:history="1">
        <w:r w:rsidRPr="0001626A">
          <w:rPr>
            <w:rStyle w:val="Hyperlink"/>
            <w:noProof/>
          </w:rPr>
          <w:t>VI. Overall conclusion and risk/benefit assessment</w:t>
        </w:r>
        <w:r>
          <w:rPr>
            <w:noProof/>
            <w:webHidden/>
          </w:rPr>
          <w:tab/>
        </w:r>
        <w:r>
          <w:rPr>
            <w:noProof/>
            <w:webHidden/>
          </w:rPr>
          <w:fldChar w:fldCharType="begin"/>
        </w:r>
        <w:r>
          <w:rPr>
            <w:noProof/>
            <w:webHidden/>
          </w:rPr>
          <w:instrText xml:space="preserve"> PAGEREF _Toc389414018 \h </w:instrText>
        </w:r>
        <w:r>
          <w:rPr>
            <w:noProof/>
            <w:webHidden/>
          </w:rPr>
        </w:r>
        <w:r>
          <w:rPr>
            <w:noProof/>
            <w:webHidden/>
          </w:rPr>
          <w:fldChar w:fldCharType="separate"/>
        </w:r>
        <w:r>
          <w:rPr>
            <w:noProof/>
            <w:webHidden/>
          </w:rPr>
          <w:t>69</w:t>
        </w:r>
        <w:r>
          <w:rPr>
            <w:noProof/>
            <w:webHidden/>
          </w:rPr>
          <w:fldChar w:fldCharType="end"/>
        </w:r>
      </w:hyperlink>
    </w:p>
    <w:p w:rsidR="0001240F" w:rsidRPr="009D4624" w:rsidRDefault="0001240F">
      <w:pPr>
        <w:pStyle w:val="TOC3"/>
        <w:rPr>
          <w:rFonts w:ascii="Calibri" w:eastAsia="Times New Roman" w:hAnsi="Calibri"/>
          <w:noProof/>
          <w:lang w:eastAsia="en-AU"/>
        </w:rPr>
      </w:pPr>
      <w:hyperlink w:anchor="_Toc389414019" w:history="1">
        <w:r w:rsidRPr="0001626A">
          <w:rPr>
            <w:rStyle w:val="Hyperlink"/>
            <w:noProof/>
          </w:rPr>
          <w:t>Quality</w:t>
        </w:r>
        <w:r>
          <w:rPr>
            <w:noProof/>
            <w:webHidden/>
          </w:rPr>
          <w:tab/>
        </w:r>
        <w:r>
          <w:rPr>
            <w:noProof/>
            <w:webHidden/>
          </w:rPr>
          <w:fldChar w:fldCharType="begin"/>
        </w:r>
        <w:r>
          <w:rPr>
            <w:noProof/>
            <w:webHidden/>
          </w:rPr>
          <w:instrText xml:space="preserve"> PAGEREF _Toc389414019 \h </w:instrText>
        </w:r>
        <w:r>
          <w:rPr>
            <w:noProof/>
            <w:webHidden/>
          </w:rPr>
        </w:r>
        <w:r>
          <w:rPr>
            <w:noProof/>
            <w:webHidden/>
          </w:rPr>
          <w:fldChar w:fldCharType="separate"/>
        </w:r>
        <w:r>
          <w:rPr>
            <w:noProof/>
            <w:webHidden/>
          </w:rPr>
          <w:t>69</w:t>
        </w:r>
        <w:r>
          <w:rPr>
            <w:noProof/>
            <w:webHidden/>
          </w:rPr>
          <w:fldChar w:fldCharType="end"/>
        </w:r>
      </w:hyperlink>
    </w:p>
    <w:p w:rsidR="0001240F" w:rsidRPr="009D4624" w:rsidRDefault="0001240F">
      <w:pPr>
        <w:pStyle w:val="TOC3"/>
        <w:rPr>
          <w:rFonts w:ascii="Calibri" w:eastAsia="Times New Roman" w:hAnsi="Calibri"/>
          <w:noProof/>
          <w:lang w:eastAsia="en-AU"/>
        </w:rPr>
      </w:pPr>
      <w:hyperlink w:anchor="_Toc389414020" w:history="1">
        <w:r w:rsidRPr="0001626A">
          <w:rPr>
            <w:rStyle w:val="Hyperlink"/>
            <w:noProof/>
          </w:rPr>
          <w:t>Nonclinical</w:t>
        </w:r>
        <w:r>
          <w:rPr>
            <w:noProof/>
            <w:webHidden/>
          </w:rPr>
          <w:tab/>
        </w:r>
        <w:r>
          <w:rPr>
            <w:noProof/>
            <w:webHidden/>
          </w:rPr>
          <w:fldChar w:fldCharType="begin"/>
        </w:r>
        <w:r>
          <w:rPr>
            <w:noProof/>
            <w:webHidden/>
          </w:rPr>
          <w:instrText xml:space="preserve"> PAGEREF _Toc389414020 \h </w:instrText>
        </w:r>
        <w:r>
          <w:rPr>
            <w:noProof/>
            <w:webHidden/>
          </w:rPr>
        </w:r>
        <w:r>
          <w:rPr>
            <w:noProof/>
            <w:webHidden/>
          </w:rPr>
          <w:fldChar w:fldCharType="separate"/>
        </w:r>
        <w:r>
          <w:rPr>
            <w:noProof/>
            <w:webHidden/>
          </w:rPr>
          <w:t>69</w:t>
        </w:r>
        <w:r>
          <w:rPr>
            <w:noProof/>
            <w:webHidden/>
          </w:rPr>
          <w:fldChar w:fldCharType="end"/>
        </w:r>
      </w:hyperlink>
    </w:p>
    <w:p w:rsidR="0001240F" w:rsidRPr="009D4624" w:rsidRDefault="0001240F">
      <w:pPr>
        <w:pStyle w:val="TOC3"/>
        <w:rPr>
          <w:rFonts w:ascii="Calibri" w:eastAsia="Times New Roman" w:hAnsi="Calibri"/>
          <w:noProof/>
          <w:lang w:eastAsia="en-AU"/>
        </w:rPr>
      </w:pPr>
      <w:hyperlink w:anchor="_Toc389414021" w:history="1">
        <w:r w:rsidRPr="0001626A">
          <w:rPr>
            <w:rStyle w:val="Hyperlink"/>
            <w:noProof/>
          </w:rPr>
          <w:t>Clinical</w:t>
        </w:r>
        <w:r>
          <w:rPr>
            <w:noProof/>
            <w:webHidden/>
          </w:rPr>
          <w:tab/>
        </w:r>
        <w:r>
          <w:rPr>
            <w:noProof/>
            <w:webHidden/>
          </w:rPr>
          <w:fldChar w:fldCharType="begin"/>
        </w:r>
        <w:r>
          <w:rPr>
            <w:noProof/>
            <w:webHidden/>
          </w:rPr>
          <w:instrText xml:space="preserve"> PAGEREF _Toc389414021 \h </w:instrText>
        </w:r>
        <w:r>
          <w:rPr>
            <w:noProof/>
            <w:webHidden/>
          </w:rPr>
        </w:r>
        <w:r>
          <w:rPr>
            <w:noProof/>
            <w:webHidden/>
          </w:rPr>
          <w:fldChar w:fldCharType="separate"/>
        </w:r>
        <w:r>
          <w:rPr>
            <w:noProof/>
            <w:webHidden/>
          </w:rPr>
          <w:t>70</w:t>
        </w:r>
        <w:r>
          <w:rPr>
            <w:noProof/>
            <w:webHidden/>
          </w:rPr>
          <w:fldChar w:fldCharType="end"/>
        </w:r>
      </w:hyperlink>
    </w:p>
    <w:p w:rsidR="0001240F" w:rsidRPr="009D4624" w:rsidRDefault="0001240F">
      <w:pPr>
        <w:pStyle w:val="TOC3"/>
        <w:rPr>
          <w:rFonts w:ascii="Calibri" w:eastAsia="Times New Roman" w:hAnsi="Calibri"/>
          <w:noProof/>
          <w:lang w:eastAsia="en-AU"/>
        </w:rPr>
      </w:pPr>
      <w:hyperlink w:anchor="_Toc389414022" w:history="1">
        <w:r w:rsidRPr="0001626A">
          <w:rPr>
            <w:rStyle w:val="Hyperlink"/>
            <w:noProof/>
            <w:lang w:eastAsia="en-AU"/>
          </w:rPr>
          <w:t>Risk management plan</w:t>
        </w:r>
        <w:r>
          <w:rPr>
            <w:noProof/>
            <w:webHidden/>
          </w:rPr>
          <w:tab/>
        </w:r>
        <w:r>
          <w:rPr>
            <w:noProof/>
            <w:webHidden/>
          </w:rPr>
          <w:fldChar w:fldCharType="begin"/>
        </w:r>
        <w:r>
          <w:rPr>
            <w:noProof/>
            <w:webHidden/>
          </w:rPr>
          <w:instrText xml:space="preserve"> PAGEREF _Toc389414022 \h </w:instrText>
        </w:r>
        <w:r>
          <w:rPr>
            <w:noProof/>
            <w:webHidden/>
          </w:rPr>
        </w:r>
        <w:r>
          <w:rPr>
            <w:noProof/>
            <w:webHidden/>
          </w:rPr>
          <w:fldChar w:fldCharType="separate"/>
        </w:r>
        <w:r>
          <w:rPr>
            <w:noProof/>
            <w:webHidden/>
          </w:rPr>
          <w:t>72</w:t>
        </w:r>
        <w:r>
          <w:rPr>
            <w:noProof/>
            <w:webHidden/>
          </w:rPr>
          <w:fldChar w:fldCharType="end"/>
        </w:r>
      </w:hyperlink>
    </w:p>
    <w:p w:rsidR="0001240F" w:rsidRPr="009D4624" w:rsidRDefault="0001240F">
      <w:pPr>
        <w:pStyle w:val="TOC3"/>
        <w:rPr>
          <w:rFonts w:ascii="Calibri" w:eastAsia="Times New Roman" w:hAnsi="Calibri"/>
          <w:noProof/>
          <w:lang w:eastAsia="en-AU"/>
        </w:rPr>
      </w:pPr>
      <w:hyperlink w:anchor="_Toc389414023" w:history="1">
        <w:r w:rsidRPr="0001626A">
          <w:rPr>
            <w:rStyle w:val="Hyperlink"/>
            <w:noProof/>
          </w:rPr>
          <w:t>Risk-benefit analysis</w:t>
        </w:r>
        <w:r>
          <w:rPr>
            <w:noProof/>
            <w:webHidden/>
          </w:rPr>
          <w:tab/>
        </w:r>
        <w:r>
          <w:rPr>
            <w:noProof/>
            <w:webHidden/>
          </w:rPr>
          <w:fldChar w:fldCharType="begin"/>
        </w:r>
        <w:r>
          <w:rPr>
            <w:noProof/>
            <w:webHidden/>
          </w:rPr>
          <w:instrText xml:space="preserve"> PAGEREF _Toc389414023 \h </w:instrText>
        </w:r>
        <w:r>
          <w:rPr>
            <w:noProof/>
            <w:webHidden/>
          </w:rPr>
        </w:r>
        <w:r>
          <w:rPr>
            <w:noProof/>
            <w:webHidden/>
          </w:rPr>
          <w:fldChar w:fldCharType="separate"/>
        </w:r>
        <w:r>
          <w:rPr>
            <w:noProof/>
            <w:webHidden/>
          </w:rPr>
          <w:t>73</w:t>
        </w:r>
        <w:r>
          <w:rPr>
            <w:noProof/>
            <w:webHidden/>
          </w:rPr>
          <w:fldChar w:fldCharType="end"/>
        </w:r>
      </w:hyperlink>
    </w:p>
    <w:p w:rsidR="0001240F" w:rsidRPr="009D4624" w:rsidRDefault="0001240F">
      <w:pPr>
        <w:pStyle w:val="TOC3"/>
        <w:rPr>
          <w:rFonts w:ascii="Calibri" w:eastAsia="Times New Roman" w:hAnsi="Calibri"/>
          <w:noProof/>
          <w:lang w:eastAsia="en-AU"/>
        </w:rPr>
      </w:pPr>
      <w:hyperlink w:anchor="_Toc389414024" w:history="1">
        <w:r w:rsidRPr="0001626A">
          <w:rPr>
            <w:rStyle w:val="Hyperlink"/>
            <w:noProof/>
          </w:rPr>
          <w:t>Outcome</w:t>
        </w:r>
        <w:r>
          <w:rPr>
            <w:noProof/>
            <w:webHidden/>
          </w:rPr>
          <w:tab/>
        </w:r>
        <w:r>
          <w:rPr>
            <w:noProof/>
            <w:webHidden/>
          </w:rPr>
          <w:fldChar w:fldCharType="begin"/>
        </w:r>
        <w:r>
          <w:rPr>
            <w:noProof/>
            <w:webHidden/>
          </w:rPr>
          <w:instrText xml:space="preserve"> PAGEREF _Toc389414024 \h </w:instrText>
        </w:r>
        <w:r>
          <w:rPr>
            <w:noProof/>
            <w:webHidden/>
          </w:rPr>
        </w:r>
        <w:r>
          <w:rPr>
            <w:noProof/>
            <w:webHidden/>
          </w:rPr>
          <w:fldChar w:fldCharType="separate"/>
        </w:r>
        <w:r>
          <w:rPr>
            <w:noProof/>
            <w:webHidden/>
          </w:rPr>
          <w:t>79</w:t>
        </w:r>
        <w:r>
          <w:rPr>
            <w:noProof/>
            <w:webHidden/>
          </w:rPr>
          <w:fldChar w:fldCharType="end"/>
        </w:r>
      </w:hyperlink>
    </w:p>
    <w:p w:rsidR="0001240F" w:rsidRPr="009D4624" w:rsidRDefault="0001240F">
      <w:pPr>
        <w:pStyle w:val="TOC2"/>
        <w:tabs>
          <w:tab w:val="left" w:pos="2448"/>
        </w:tabs>
        <w:rPr>
          <w:rFonts w:ascii="Calibri" w:eastAsia="Times New Roman" w:hAnsi="Calibri"/>
          <w:b w:val="0"/>
          <w:noProof/>
          <w:sz w:val="22"/>
          <w:lang w:eastAsia="en-AU"/>
        </w:rPr>
      </w:pPr>
      <w:hyperlink w:anchor="_Toc389414025" w:history="1">
        <w:r w:rsidRPr="0001626A">
          <w:rPr>
            <w:rStyle w:val="Hyperlink"/>
            <w:noProof/>
          </w:rPr>
          <w:t>Attachment 1.</w:t>
        </w:r>
        <w:r w:rsidRPr="009D4624">
          <w:rPr>
            <w:rFonts w:ascii="Calibri" w:eastAsia="Times New Roman" w:hAnsi="Calibri"/>
            <w:b w:val="0"/>
            <w:noProof/>
            <w:sz w:val="22"/>
            <w:lang w:eastAsia="en-AU"/>
          </w:rPr>
          <w:tab/>
        </w:r>
        <w:r w:rsidRPr="0001626A">
          <w:rPr>
            <w:rStyle w:val="Hyperlink"/>
            <w:noProof/>
          </w:rPr>
          <w:t>Product Information</w:t>
        </w:r>
        <w:r>
          <w:rPr>
            <w:noProof/>
            <w:webHidden/>
          </w:rPr>
          <w:tab/>
        </w:r>
        <w:r>
          <w:rPr>
            <w:noProof/>
            <w:webHidden/>
          </w:rPr>
          <w:fldChar w:fldCharType="begin"/>
        </w:r>
        <w:r>
          <w:rPr>
            <w:noProof/>
            <w:webHidden/>
          </w:rPr>
          <w:instrText xml:space="preserve"> PAGEREF _Toc389414025 \h </w:instrText>
        </w:r>
        <w:r>
          <w:rPr>
            <w:noProof/>
            <w:webHidden/>
          </w:rPr>
        </w:r>
        <w:r>
          <w:rPr>
            <w:noProof/>
            <w:webHidden/>
          </w:rPr>
          <w:fldChar w:fldCharType="separate"/>
        </w:r>
        <w:r>
          <w:rPr>
            <w:noProof/>
            <w:webHidden/>
          </w:rPr>
          <w:t>80</w:t>
        </w:r>
        <w:r>
          <w:rPr>
            <w:noProof/>
            <w:webHidden/>
          </w:rPr>
          <w:fldChar w:fldCharType="end"/>
        </w:r>
      </w:hyperlink>
    </w:p>
    <w:p w:rsidR="0001240F" w:rsidRPr="009D4624" w:rsidRDefault="0001240F">
      <w:pPr>
        <w:pStyle w:val="TOC2"/>
        <w:rPr>
          <w:rFonts w:ascii="Calibri" w:eastAsia="Times New Roman" w:hAnsi="Calibri"/>
          <w:b w:val="0"/>
          <w:noProof/>
          <w:sz w:val="22"/>
          <w:lang w:eastAsia="en-AU"/>
        </w:rPr>
      </w:pPr>
      <w:hyperlink w:anchor="_Toc389414026" w:history="1">
        <w:r w:rsidRPr="0001626A">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_Toc389414026 \h </w:instrText>
        </w:r>
        <w:r>
          <w:rPr>
            <w:noProof/>
            <w:webHidden/>
          </w:rPr>
        </w:r>
        <w:r>
          <w:rPr>
            <w:noProof/>
            <w:webHidden/>
          </w:rPr>
          <w:fldChar w:fldCharType="separate"/>
        </w:r>
        <w:r>
          <w:rPr>
            <w:noProof/>
            <w:webHidden/>
          </w:rPr>
          <w:t>80</w:t>
        </w:r>
        <w:r>
          <w:rPr>
            <w:noProof/>
            <w:webHidden/>
          </w:rPr>
          <w:fldChar w:fldCharType="end"/>
        </w:r>
      </w:hyperlink>
    </w:p>
    <w:p w:rsidR="008E7846" w:rsidRDefault="00621C2E" w:rsidP="001D3ED3">
      <w:pPr>
        <w:pStyle w:val="Heading2"/>
      </w:pPr>
      <w:r>
        <w:lastRenderedPageBreak/>
        <w:fldChar w:fldCharType="end"/>
      </w:r>
      <w:bookmarkStart w:id="3" w:name="_Toc314842482"/>
      <w:bookmarkStart w:id="4" w:name="_Toc389413992"/>
      <w:r w:rsidR="00F53C07">
        <w:t>I.</w:t>
      </w:r>
      <w:r w:rsidR="008E7846">
        <w:t xml:space="preserve"> Introduction to product submission</w:t>
      </w:r>
      <w:bookmarkEnd w:id="2"/>
      <w:bookmarkEnd w:id="3"/>
      <w:bookmarkEnd w:id="4"/>
    </w:p>
    <w:p w:rsidR="008E7846" w:rsidRDefault="008E7846" w:rsidP="008E7846">
      <w:pPr>
        <w:pStyle w:val="Heading3"/>
        <w:rPr>
          <w:lang w:eastAsia="en-AU"/>
        </w:rPr>
      </w:pPr>
      <w:bookmarkStart w:id="5" w:name="_Toc247691502"/>
      <w:bookmarkStart w:id="6" w:name="_Toc314842483"/>
      <w:bookmarkStart w:id="7" w:name="_Toc389413993"/>
      <w:r>
        <w:rPr>
          <w:lang w:eastAsia="en-AU"/>
        </w:rPr>
        <w:t>Submission details</w:t>
      </w:r>
      <w:bookmarkEnd w:id="5"/>
      <w:bookmarkEnd w:id="6"/>
      <w:bookmarkEnd w:id="7"/>
    </w:p>
    <w:tbl>
      <w:tblPr>
        <w:tblW w:w="9497" w:type="dxa"/>
        <w:tblInd w:w="108" w:type="dxa"/>
        <w:tblLook w:val="01E0" w:firstRow="1" w:lastRow="1" w:firstColumn="1" w:lastColumn="1" w:noHBand="0" w:noVBand="0"/>
      </w:tblPr>
      <w:tblGrid>
        <w:gridCol w:w="2907"/>
        <w:gridCol w:w="6590"/>
      </w:tblGrid>
      <w:tr w:rsidR="008E7846" w:rsidRPr="003D1E62" w:rsidTr="0089635C">
        <w:trPr>
          <w:trHeight w:hRule="exact" w:val="454"/>
        </w:trPr>
        <w:tc>
          <w:tcPr>
            <w:tcW w:w="2907" w:type="dxa"/>
          </w:tcPr>
          <w:p w:rsidR="008E7846" w:rsidRPr="003D1E62" w:rsidRDefault="00CB705C" w:rsidP="003D1E62">
            <w:pPr>
              <w:rPr>
                <w:i/>
              </w:rPr>
            </w:pPr>
            <w:r>
              <w:rPr>
                <w:i/>
              </w:rPr>
              <w:t>Type of s</w:t>
            </w:r>
            <w:r w:rsidR="008E7846" w:rsidRPr="003D1E62">
              <w:rPr>
                <w:i/>
              </w:rPr>
              <w:t>ubmission</w:t>
            </w:r>
          </w:p>
        </w:tc>
        <w:tc>
          <w:tcPr>
            <w:tcW w:w="6590" w:type="dxa"/>
          </w:tcPr>
          <w:p w:rsidR="008E7846" w:rsidRPr="003D1E62" w:rsidRDefault="008E7846" w:rsidP="006E62B0">
            <w:r w:rsidRPr="003D1E62">
              <w:t xml:space="preserve">New </w:t>
            </w:r>
            <w:r w:rsidR="00A36B66">
              <w:t>Chemical (</w:t>
            </w:r>
            <w:r w:rsidR="006E62B0">
              <w:t>Biological</w:t>
            </w:r>
            <w:r w:rsidR="00A36B66">
              <w:t>)</w:t>
            </w:r>
            <w:r w:rsidRPr="003D1E62">
              <w:t xml:space="preserve"> Entity</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E7846" w:rsidP="007F1A60">
            <w:r w:rsidRPr="003D1E62">
              <w:t>Approved</w:t>
            </w:r>
          </w:p>
        </w:tc>
      </w:tr>
      <w:tr w:rsidR="008E7846" w:rsidRPr="003D1E62" w:rsidTr="0089635C">
        <w:trPr>
          <w:trHeight w:hRule="exact" w:val="454"/>
        </w:trPr>
        <w:tc>
          <w:tcPr>
            <w:tcW w:w="2907" w:type="dxa"/>
          </w:tcPr>
          <w:p w:rsidR="008E7846" w:rsidRPr="003D1E62" w:rsidRDefault="00CB705C" w:rsidP="003D1E62">
            <w:pPr>
              <w:rPr>
                <w:i/>
              </w:rPr>
            </w:pPr>
            <w:r>
              <w:rPr>
                <w:i/>
              </w:rPr>
              <w:t>Date of d</w:t>
            </w:r>
            <w:r w:rsidR="008E7846" w:rsidRPr="003D1E62">
              <w:rPr>
                <w:i/>
              </w:rPr>
              <w:t>ecision:</w:t>
            </w:r>
          </w:p>
        </w:tc>
        <w:tc>
          <w:tcPr>
            <w:tcW w:w="6590" w:type="dxa"/>
          </w:tcPr>
          <w:p w:rsidR="008E7846" w:rsidRPr="003D1E62" w:rsidRDefault="00674D27" w:rsidP="003D1E62">
            <w:r>
              <w:t>4 Novemb</w:t>
            </w:r>
            <w:r w:rsidR="007F1A60">
              <w:t>er 2013</w:t>
            </w:r>
          </w:p>
        </w:tc>
      </w:tr>
    </w:tbl>
    <w:p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rsidTr="00BF1190">
        <w:tc>
          <w:tcPr>
            <w:tcW w:w="2907" w:type="dxa"/>
          </w:tcPr>
          <w:p w:rsidR="008E7846" w:rsidRPr="00487162" w:rsidRDefault="001D3D31" w:rsidP="00E45619">
            <w:pPr>
              <w:rPr>
                <w:i/>
              </w:rPr>
            </w:pPr>
            <w:r>
              <w:rPr>
                <w:i/>
              </w:rPr>
              <w:t>Active ingredient</w:t>
            </w:r>
            <w:r w:rsidR="00CB705C">
              <w:rPr>
                <w:i/>
              </w:rPr>
              <w:t>:</w:t>
            </w:r>
          </w:p>
        </w:tc>
        <w:tc>
          <w:tcPr>
            <w:tcW w:w="6307" w:type="dxa"/>
          </w:tcPr>
          <w:p w:rsidR="008E7846" w:rsidRPr="00487162" w:rsidRDefault="00465454" w:rsidP="00E45619">
            <w:r>
              <w:t>C</w:t>
            </w:r>
            <w:r w:rsidRPr="00465454">
              <w:t>atridecacog (rys)</w:t>
            </w:r>
          </w:p>
        </w:tc>
      </w:tr>
      <w:tr w:rsidR="008E7846" w:rsidRPr="00487162" w:rsidTr="00BF1190">
        <w:tc>
          <w:tcPr>
            <w:tcW w:w="2907" w:type="dxa"/>
          </w:tcPr>
          <w:p w:rsidR="008E7846" w:rsidRPr="00487162" w:rsidRDefault="001D3D31" w:rsidP="00CB705C">
            <w:pPr>
              <w:rPr>
                <w:i/>
              </w:rPr>
            </w:pPr>
            <w:r>
              <w:rPr>
                <w:i/>
              </w:rPr>
              <w:t xml:space="preserve">Product </w:t>
            </w:r>
            <w:r w:rsidR="00CB705C">
              <w:rPr>
                <w:i/>
              </w:rPr>
              <w:t>n</w:t>
            </w:r>
            <w:r>
              <w:rPr>
                <w:i/>
              </w:rPr>
              <w:t>ame</w:t>
            </w:r>
            <w:r w:rsidR="00CB705C">
              <w:rPr>
                <w:i/>
              </w:rPr>
              <w:t>:</w:t>
            </w:r>
          </w:p>
        </w:tc>
        <w:tc>
          <w:tcPr>
            <w:tcW w:w="6307" w:type="dxa"/>
          </w:tcPr>
          <w:p w:rsidR="008E7846" w:rsidRPr="00487162" w:rsidRDefault="00D1159A" w:rsidP="00E45619">
            <w:r>
              <w:t>NovoThirtee</w:t>
            </w:r>
            <w:r w:rsidR="00180D7E">
              <w:t>n</w:t>
            </w:r>
          </w:p>
        </w:tc>
      </w:tr>
      <w:tr w:rsidR="008E7846" w:rsidRPr="00487162" w:rsidTr="00BF1190">
        <w:tc>
          <w:tcPr>
            <w:tcW w:w="2907" w:type="dxa"/>
          </w:tcPr>
          <w:p w:rsidR="008E7846" w:rsidRPr="00487162" w:rsidRDefault="008E7846" w:rsidP="00CB705C">
            <w:pPr>
              <w:rPr>
                <w:i/>
              </w:rPr>
            </w:pPr>
            <w:r w:rsidRPr="00487162">
              <w:rPr>
                <w:i/>
              </w:rPr>
              <w:t xml:space="preserve">Sponsor’s </w:t>
            </w:r>
            <w:r w:rsidR="00CB705C">
              <w:rPr>
                <w:i/>
              </w:rPr>
              <w:t>name and a</w:t>
            </w:r>
            <w:r w:rsidRPr="00487162">
              <w:rPr>
                <w:i/>
              </w:rPr>
              <w:t>ddress:</w:t>
            </w:r>
          </w:p>
        </w:tc>
        <w:tc>
          <w:tcPr>
            <w:tcW w:w="6307" w:type="dxa"/>
          </w:tcPr>
          <w:p w:rsidR="008E7846" w:rsidRPr="00487162" w:rsidRDefault="00A31C92" w:rsidP="00CB705C">
            <w:r w:rsidRPr="00A31C92">
              <w:t xml:space="preserve">Novo </w:t>
            </w:r>
            <w:r w:rsidR="00CB705C">
              <w:t>Nordisk Pharmaceuticals Pty Ltd</w:t>
            </w:r>
            <w:r w:rsidR="00CB705C">
              <w:br/>
            </w:r>
            <w:r w:rsidR="00823CCB">
              <w:t>P</w:t>
            </w:r>
            <w:r w:rsidRPr="00A31C92">
              <w:t>O Box 7586</w:t>
            </w:r>
            <w:r w:rsidR="00CB705C">
              <w:br/>
            </w:r>
            <w:r w:rsidRPr="00A31C92">
              <w:t>Baulkham Hills Business Centre</w:t>
            </w:r>
            <w:r>
              <w:t xml:space="preserve"> NSW </w:t>
            </w:r>
            <w:r w:rsidRPr="00A31C92">
              <w:t>2153</w:t>
            </w:r>
          </w:p>
        </w:tc>
      </w:tr>
      <w:tr w:rsidR="008E7846" w:rsidRPr="00487162" w:rsidTr="00BF1190">
        <w:tc>
          <w:tcPr>
            <w:tcW w:w="2907" w:type="dxa"/>
          </w:tcPr>
          <w:p w:rsidR="008E7846" w:rsidRPr="00487162" w:rsidRDefault="008E7846" w:rsidP="00E45619">
            <w:pPr>
              <w:rPr>
                <w:i/>
              </w:rPr>
            </w:pPr>
            <w:r w:rsidRPr="00487162">
              <w:rPr>
                <w:i/>
              </w:rPr>
              <w:t>D</w:t>
            </w:r>
            <w:r w:rsidR="001D3D31">
              <w:rPr>
                <w:i/>
              </w:rPr>
              <w:t>ose form</w:t>
            </w:r>
            <w:r w:rsidR="00CB705C">
              <w:rPr>
                <w:i/>
              </w:rPr>
              <w:t>:</w:t>
            </w:r>
          </w:p>
        </w:tc>
        <w:tc>
          <w:tcPr>
            <w:tcW w:w="6307" w:type="dxa"/>
          </w:tcPr>
          <w:p w:rsidR="008E7846" w:rsidRPr="00487162" w:rsidRDefault="00C53EEC" w:rsidP="00E45619">
            <w:r>
              <w:t>P</w:t>
            </w:r>
            <w:r w:rsidRPr="00C53EEC">
              <w:t>owder for injection with solvent</w:t>
            </w:r>
          </w:p>
        </w:tc>
      </w:tr>
      <w:tr w:rsidR="008E7846" w:rsidRPr="00487162" w:rsidTr="00BF1190">
        <w:tc>
          <w:tcPr>
            <w:tcW w:w="2907" w:type="dxa"/>
          </w:tcPr>
          <w:p w:rsidR="008E7846" w:rsidRPr="00487162" w:rsidRDefault="001D3D31" w:rsidP="00E45619">
            <w:pPr>
              <w:rPr>
                <w:i/>
              </w:rPr>
            </w:pPr>
            <w:r>
              <w:rPr>
                <w:i/>
              </w:rPr>
              <w:t>Strength</w:t>
            </w:r>
            <w:r w:rsidR="00CB705C">
              <w:rPr>
                <w:i/>
              </w:rPr>
              <w:t>:</w:t>
            </w:r>
          </w:p>
        </w:tc>
        <w:tc>
          <w:tcPr>
            <w:tcW w:w="6307" w:type="dxa"/>
          </w:tcPr>
          <w:p w:rsidR="008E7846" w:rsidRPr="00487162" w:rsidRDefault="00740A9A" w:rsidP="00E45619">
            <w:r w:rsidRPr="00740A9A">
              <w:t>2,500 IU</w:t>
            </w:r>
          </w:p>
        </w:tc>
      </w:tr>
      <w:tr w:rsidR="008E7846" w:rsidRPr="00487162" w:rsidTr="00BF1190">
        <w:tc>
          <w:tcPr>
            <w:tcW w:w="2907" w:type="dxa"/>
          </w:tcPr>
          <w:p w:rsidR="008E7846" w:rsidRPr="00487162" w:rsidRDefault="001D3D31" w:rsidP="00E45619">
            <w:pPr>
              <w:rPr>
                <w:i/>
              </w:rPr>
            </w:pPr>
            <w:r>
              <w:rPr>
                <w:i/>
              </w:rPr>
              <w:t>Container</w:t>
            </w:r>
            <w:r w:rsidR="008E7846" w:rsidRPr="00487162">
              <w:rPr>
                <w:i/>
              </w:rPr>
              <w:t>:</w:t>
            </w:r>
          </w:p>
        </w:tc>
        <w:tc>
          <w:tcPr>
            <w:tcW w:w="6307" w:type="dxa"/>
          </w:tcPr>
          <w:p w:rsidR="008E7846" w:rsidRPr="00487162" w:rsidRDefault="007767D0" w:rsidP="00E45619">
            <w:r>
              <w:t xml:space="preserve">Vials, </w:t>
            </w:r>
            <w:r w:rsidRPr="007767D0">
              <w:t>Glass Type I Clear</w:t>
            </w:r>
          </w:p>
        </w:tc>
      </w:tr>
      <w:tr w:rsidR="008E7846" w:rsidRPr="00487162" w:rsidTr="00BF1190">
        <w:tc>
          <w:tcPr>
            <w:tcW w:w="2907" w:type="dxa"/>
          </w:tcPr>
          <w:p w:rsidR="008E7846" w:rsidRPr="00487162" w:rsidRDefault="001D3D31" w:rsidP="00E45619">
            <w:pPr>
              <w:rPr>
                <w:i/>
              </w:rPr>
            </w:pPr>
            <w:r>
              <w:rPr>
                <w:i/>
              </w:rPr>
              <w:t>Pack size</w:t>
            </w:r>
            <w:r w:rsidR="008E7846" w:rsidRPr="00487162">
              <w:rPr>
                <w:i/>
              </w:rPr>
              <w:t>:</w:t>
            </w:r>
          </w:p>
        </w:tc>
        <w:tc>
          <w:tcPr>
            <w:tcW w:w="6307" w:type="dxa"/>
          </w:tcPr>
          <w:p w:rsidR="008E7846" w:rsidRPr="00487162" w:rsidRDefault="00D253E6" w:rsidP="00D253E6">
            <w:r w:rsidRPr="00D253E6">
              <w:t>Each pack contains one vial with the 2500 IU drug product and a vial with the water for solution with a vial adaptor for reconstitution</w:t>
            </w:r>
            <w:r w:rsidR="00784665">
              <w:t>.</w:t>
            </w:r>
          </w:p>
        </w:tc>
      </w:tr>
      <w:tr w:rsidR="008E7846" w:rsidRPr="00487162" w:rsidTr="00BF1190">
        <w:tc>
          <w:tcPr>
            <w:tcW w:w="2907" w:type="dxa"/>
          </w:tcPr>
          <w:p w:rsidR="008E7846" w:rsidRPr="00487162" w:rsidRDefault="008E7846" w:rsidP="00E45619">
            <w:pPr>
              <w:rPr>
                <w:i/>
              </w:rPr>
            </w:pPr>
            <w:r w:rsidRPr="00487162">
              <w:rPr>
                <w:i/>
              </w:rPr>
              <w:t>Approved</w:t>
            </w:r>
            <w:r w:rsidR="00CB705C">
              <w:rPr>
                <w:i/>
              </w:rPr>
              <w:t xml:space="preserve"> t</w:t>
            </w:r>
            <w:r w:rsidRPr="00487162">
              <w:rPr>
                <w:i/>
              </w:rPr>
              <w:t>herapeutic use:</w:t>
            </w:r>
          </w:p>
        </w:tc>
        <w:tc>
          <w:tcPr>
            <w:tcW w:w="6307" w:type="dxa"/>
          </w:tcPr>
          <w:p w:rsidR="008E7846" w:rsidRPr="00487162" w:rsidRDefault="00D838BE" w:rsidP="00E45619">
            <w:pPr>
              <w:rPr>
                <w:rFonts w:eastAsia="MS Mincho"/>
                <w:lang w:eastAsia="ja-JP"/>
              </w:rPr>
            </w:pPr>
            <w:r w:rsidRPr="00D838BE">
              <w:t>NovoThirteen is indicated for routine prophylaxis of bleeding in patients with congenital,</w:t>
            </w:r>
            <w:r>
              <w:t xml:space="preserve"> </w:t>
            </w:r>
            <w:r w:rsidRPr="00D838BE">
              <w:t>Factor XIII A-subunit deficiency</w:t>
            </w:r>
            <w:r>
              <w:t>.</w:t>
            </w:r>
          </w:p>
        </w:tc>
      </w:tr>
      <w:tr w:rsidR="008E7846" w:rsidRPr="00487162" w:rsidTr="00BF1190">
        <w:tc>
          <w:tcPr>
            <w:tcW w:w="2907" w:type="dxa"/>
          </w:tcPr>
          <w:p w:rsidR="008E7846" w:rsidRPr="00487162" w:rsidRDefault="001D3D31" w:rsidP="00E45619">
            <w:pPr>
              <w:rPr>
                <w:i/>
              </w:rPr>
            </w:pPr>
            <w:r>
              <w:rPr>
                <w:i/>
              </w:rPr>
              <w:t>Route</w:t>
            </w:r>
            <w:r w:rsidR="008E7846" w:rsidRPr="00487162">
              <w:rPr>
                <w:i/>
              </w:rPr>
              <w:t xml:space="preserve"> of administration:</w:t>
            </w:r>
          </w:p>
        </w:tc>
        <w:tc>
          <w:tcPr>
            <w:tcW w:w="6307" w:type="dxa"/>
          </w:tcPr>
          <w:p w:rsidR="008E7846" w:rsidRPr="00487162" w:rsidRDefault="00784665" w:rsidP="00E45619">
            <w:r>
              <w:t>Intravenous</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487162" w:rsidRDefault="00174A08" w:rsidP="00E45619">
            <w:r w:rsidRPr="00174A08">
              <w:t>The recommended dose is 35 IU/kg body weight (BW) o</w:t>
            </w:r>
            <w:r w:rsidR="002750DE">
              <w:t>nce monthly (every 28 days +/-</w:t>
            </w:r>
            <w:r w:rsidRPr="00174A08">
              <w:t xml:space="preserve"> 2 days) administered as an intravenous </w:t>
            </w:r>
            <w:r w:rsidR="002750DE">
              <w:t xml:space="preserve">(IV) </w:t>
            </w:r>
            <w:r w:rsidRPr="00174A08">
              <w:t>bolus injection</w:t>
            </w:r>
            <w:r w:rsidR="004C436E">
              <w:t>.</w:t>
            </w:r>
          </w:p>
        </w:tc>
      </w:tr>
      <w:tr w:rsidR="008E7846" w:rsidRPr="00487162" w:rsidTr="00BF1190">
        <w:tc>
          <w:tcPr>
            <w:tcW w:w="2907" w:type="dxa"/>
          </w:tcPr>
          <w:p w:rsidR="008E7846" w:rsidRPr="00487162" w:rsidRDefault="001D3D31" w:rsidP="0073215A">
            <w:pPr>
              <w:rPr>
                <w:i/>
              </w:rPr>
            </w:pPr>
            <w:r>
              <w:rPr>
                <w:i/>
              </w:rPr>
              <w:t xml:space="preserve">ARTG </w:t>
            </w:r>
            <w:r w:rsidR="0073215A">
              <w:rPr>
                <w:i/>
              </w:rPr>
              <w:t>n</w:t>
            </w:r>
            <w:r>
              <w:rPr>
                <w:i/>
              </w:rPr>
              <w:t>umber:</w:t>
            </w:r>
          </w:p>
        </w:tc>
        <w:tc>
          <w:tcPr>
            <w:tcW w:w="6307" w:type="dxa"/>
          </w:tcPr>
          <w:p w:rsidR="008E7846" w:rsidRPr="00487162" w:rsidRDefault="006928B8" w:rsidP="00E45619">
            <w:r w:rsidRPr="006928B8">
              <w:t>201776</w:t>
            </w:r>
          </w:p>
        </w:tc>
      </w:tr>
    </w:tbl>
    <w:p w:rsidR="008E7846" w:rsidRDefault="008E7846" w:rsidP="008E7846">
      <w:pPr>
        <w:pStyle w:val="Heading3"/>
      </w:pPr>
      <w:bookmarkStart w:id="8" w:name="_Toc247691503"/>
      <w:bookmarkStart w:id="9" w:name="_Toc314842484"/>
      <w:bookmarkStart w:id="10" w:name="_Toc389413994"/>
      <w:r>
        <w:t>Product background</w:t>
      </w:r>
      <w:bookmarkEnd w:id="8"/>
      <w:bookmarkEnd w:id="9"/>
      <w:bookmarkEnd w:id="10"/>
    </w:p>
    <w:p w:rsidR="005578E5" w:rsidRPr="00622BAF" w:rsidRDefault="00C86B1F" w:rsidP="00622BAF">
      <w:r w:rsidRPr="00622BAF">
        <w:t xml:space="preserve">This AusPAR describes a submission by the sponsor, Novo Nordisk Pharmaceuticals Pty Ltd, to </w:t>
      </w:r>
      <w:r w:rsidR="00A36B66" w:rsidRPr="00622BAF">
        <w:t>register a new chemical (biological) entity, catridecacog (rys), with the trade name NovoThirteen</w:t>
      </w:r>
      <w:r w:rsidRPr="00622BAF">
        <w:t>.</w:t>
      </w:r>
      <w:r w:rsidR="005578E5" w:rsidRPr="00622BAF">
        <w:t xml:space="preserve"> This is a recombinant form of the human coa</w:t>
      </w:r>
      <w:r w:rsidR="006C0352">
        <w:t>gulation factor XIII A-subunit.</w:t>
      </w:r>
    </w:p>
    <w:p w:rsidR="005578E5" w:rsidRPr="00622BAF" w:rsidRDefault="005578E5" w:rsidP="00622BAF">
      <w:r w:rsidRPr="00622BAF">
        <w:t>The proposed indication is</w:t>
      </w:r>
      <w:r w:rsidR="00A024C2">
        <w:t>:</w:t>
      </w:r>
    </w:p>
    <w:p w:rsidR="008E7846" w:rsidRPr="00622BAF" w:rsidRDefault="005578E5" w:rsidP="00622BAF">
      <w:pPr>
        <w:ind w:left="720"/>
        <w:rPr>
          <w:i/>
        </w:rPr>
      </w:pPr>
      <w:r w:rsidRPr="00622BAF">
        <w:rPr>
          <w:i/>
        </w:rPr>
        <w:t>routine prophylaxis of bleeding in patients with congenital Factor XIII A-subunit deficiency.</w:t>
      </w:r>
    </w:p>
    <w:p w:rsidR="00D72BCB" w:rsidRDefault="00D72BCB" w:rsidP="005578E5">
      <w:r w:rsidRPr="00D72BCB">
        <w:t>Congenital factor XIII (FXIII) is a rare autosomal recessive bleeding disorder with an estimated prevalence of 1 patient per 2 to 5 mi</w:t>
      </w:r>
      <w:r w:rsidR="00777C5D">
        <w:t>llion people.</w:t>
      </w:r>
      <w:r w:rsidR="00777C5D">
        <w:rPr>
          <w:rStyle w:val="FootnoteReference"/>
        </w:rPr>
        <w:footnoteReference w:id="1"/>
      </w:r>
      <w:r w:rsidRPr="00D72BCB">
        <w:t xml:space="preserve"> The Australian Bleeding </w:t>
      </w:r>
      <w:r w:rsidRPr="00D72BCB">
        <w:lastRenderedPageBreak/>
        <w:t>Disorders Registry (ABDR) Annual Report 2010-2011 indicates that there were 17 people in Australia with FXIII deficiency at 30 June 2011, and 7 of these individuals had received FXIII</w:t>
      </w:r>
      <w:r w:rsidR="00A20D92">
        <w:t xml:space="preserve"> </w:t>
      </w:r>
      <w:r w:rsidRPr="00D72BCB">
        <w:t>containing product in the 2010-2011 financial year.</w:t>
      </w:r>
      <w:r w:rsidR="00777C5D">
        <w:rPr>
          <w:rStyle w:val="FootnoteReference"/>
        </w:rPr>
        <w:footnoteReference w:id="2"/>
      </w:r>
    </w:p>
    <w:p w:rsidR="00777C5D" w:rsidRPr="008C4933" w:rsidRDefault="00777C5D" w:rsidP="008C4933">
      <w:r w:rsidRPr="008C4933">
        <w:t>FXIII is a pro</w:t>
      </w:r>
      <w:r w:rsidR="000B1D4B">
        <w:t xml:space="preserve"> </w:t>
      </w:r>
      <w:r w:rsidRPr="008C4933">
        <w:t>enzyme (pro</w:t>
      </w:r>
      <w:r w:rsidR="000B1D4B">
        <w:t xml:space="preserve"> </w:t>
      </w:r>
      <w:r w:rsidRPr="008C4933">
        <w:t>transglutaminase) and is the terminal enzyme in the coagulation cascade. In plasma, FXIII circulates as an i</w:t>
      </w:r>
      <w:r w:rsidR="00773985">
        <w:t>nactive zymogen heterotetramer (</w:t>
      </w:r>
      <w:r w:rsidRPr="008C4933">
        <w:t>A</w:t>
      </w:r>
      <w:r w:rsidRPr="008C4933">
        <w:rPr>
          <w:vertAlign w:val="subscript"/>
        </w:rPr>
        <w:t>2</w:t>
      </w:r>
      <w:r w:rsidRPr="008C4933">
        <w:t>B</w:t>
      </w:r>
      <w:r w:rsidRPr="008C4933">
        <w:rPr>
          <w:vertAlign w:val="subscript"/>
        </w:rPr>
        <w:t>2</w:t>
      </w:r>
      <w:r w:rsidR="00773985">
        <w:t>)</w:t>
      </w:r>
      <w:r w:rsidRPr="008C4933">
        <w:t xml:space="preserve"> held together by st</w:t>
      </w:r>
      <w:r w:rsidR="002374E6">
        <w:t xml:space="preserve">rong non </w:t>
      </w:r>
      <w:r w:rsidRPr="008C4933">
        <w:t xml:space="preserve">covalent interactions. </w:t>
      </w:r>
      <w:r w:rsidR="000B1D4B">
        <w:t>Intra</w:t>
      </w:r>
      <w:r w:rsidRPr="008C4933">
        <w:t>cellular FXIII is a homodimer of two A</w:t>
      </w:r>
      <w:r w:rsidR="008C4175">
        <w:t xml:space="preserve"> </w:t>
      </w:r>
      <w:r w:rsidR="00773985">
        <w:t>subunits (</w:t>
      </w:r>
      <w:r w:rsidRPr="008C4933">
        <w:t>A</w:t>
      </w:r>
      <w:r w:rsidRPr="008C4933">
        <w:rPr>
          <w:vertAlign w:val="subscript"/>
        </w:rPr>
        <w:t>2</w:t>
      </w:r>
      <w:r w:rsidR="00773985">
        <w:t>)</w:t>
      </w:r>
      <w:r w:rsidRPr="008C4933">
        <w:t xml:space="preserve"> and is found in circulating platelets and monocytes. The A subunits are synthesi</w:t>
      </w:r>
      <w:r w:rsidR="00D139C0">
        <w:t>s</w:t>
      </w:r>
      <w:r w:rsidRPr="008C4933">
        <w:t>ed in megakaryocytes and monocyte precursors in bone marrow and placenta, and the B subunits are synthesi</w:t>
      </w:r>
      <w:r w:rsidR="008C4175">
        <w:t>s</w:t>
      </w:r>
      <w:r w:rsidRPr="008C4933">
        <w:t xml:space="preserve">ed in hepatocytes. </w:t>
      </w:r>
      <w:r w:rsidR="008C4175">
        <w:t xml:space="preserve">The FXIII A </w:t>
      </w:r>
      <w:r w:rsidRPr="008C4933">
        <w:t>subunits are composed of 731 amino acids and possess the catalytic site of the FXIII enzyme.</w:t>
      </w:r>
    </w:p>
    <w:p w:rsidR="005578E5" w:rsidRDefault="00586002" w:rsidP="005578E5">
      <w:r>
        <w:t xml:space="preserve">NovoThirteen </w:t>
      </w:r>
      <w:r w:rsidRPr="00B31F51">
        <w:t>will be su</w:t>
      </w:r>
      <w:r>
        <w:t>pplied as a lyophili</w:t>
      </w:r>
      <w:r w:rsidR="00337487">
        <w:t>s</w:t>
      </w:r>
      <w:r>
        <w:t xml:space="preserve">ed powder </w:t>
      </w:r>
      <w:r w:rsidRPr="00B31F51">
        <w:t xml:space="preserve">in a glass vial </w:t>
      </w:r>
      <w:r>
        <w:t>containing</w:t>
      </w:r>
      <w:r w:rsidRPr="00B31F51">
        <w:t xml:space="preserve"> 2500 IU (15 mg). For reconstitution purposes, NovoThirteen </w:t>
      </w:r>
      <w:r>
        <w:t xml:space="preserve">will be </w:t>
      </w:r>
      <w:r w:rsidRPr="00B31F51">
        <w:t xml:space="preserve">supplied with a glass vial containing 3.2 mL of water for injection (as solvent) and a </w:t>
      </w:r>
      <w:r>
        <w:t xml:space="preserve">sterile vial adapter. After reconstitution, one </w:t>
      </w:r>
      <w:r w:rsidRPr="00B31F51">
        <w:t>vial of NovoThirteen nominally contains 2500 IU catridecacog per 3</w:t>
      </w:r>
      <w:r>
        <w:t xml:space="preserve"> </w:t>
      </w:r>
      <w:r w:rsidRPr="00B31F51">
        <w:t>mL</w:t>
      </w:r>
      <w:r>
        <w:t xml:space="preserve"> </w:t>
      </w:r>
      <w:r w:rsidRPr="00B31F51">
        <w:t>corresponding to</w:t>
      </w:r>
      <w:r>
        <w:t xml:space="preserve"> a concentration of 833 IU/mL. </w:t>
      </w:r>
      <w:r w:rsidRPr="00B31F51">
        <w:t>The specific activity of</w:t>
      </w:r>
      <w:r w:rsidR="00E671E1" w:rsidRPr="00E671E1">
        <w:t xml:space="preserve"> </w:t>
      </w:r>
      <w:r w:rsidR="00E671E1">
        <w:t>r</w:t>
      </w:r>
      <w:r w:rsidR="00E671E1" w:rsidRPr="00E671E1">
        <w:t>ecombinant Factor XIII</w:t>
      </w:r>
      <w:r w:rsidRPr="00B31F51">
        <w:t xml:space="preserve"> </w:t>
      </w:r>
      <w:r w:rsidR="00E671E1">
        <w:t>(</w:t>
      </w:r>
      <w:r w:rsidRPr="00B31F51">
        <w:t>rFXIII</w:t>
      </w:r>
      <w:r w:rsidR="00E671E1">
        <w:t>)</w:t>
      </w:r>
      <w:r w:rsidRPr="00B31F51">
        <w:t xml:space="preserve"> is approximately 165 IU/mg protein</w:t>
      </w:r>
      <w:r>
        <w:t>.</w:t>
      </w:r>
    </w:p>
    <w:p w:rsidR="008E7846" w:rsidRPr="006C0352" w:rsidRDefault="00386150" w:rsidP="008E7846">
      <w:pPr>
        <w:pStyle w:val="Heading3"/>
        <w:rPr>
          <w:lang w:val="en-AU"/>
        </w:rPr>
      </w:pPr>
      <w:bookmarkStart w:id="11" w:name="_Toc314842485"/>
      <w:bookmarkStart w:id="12" w:name="_Toc247691504"/>
      <w:bookmarkStart w:id="13" w:name="_Toc389413995"/>
      <w:r>
        <w:t>Regulatory s</w:t>
      </w:r>
      <w:r w:rsidR="008E7846">
        <w:t>tatus</w:t>
      </w:r>
      <w:bookmarkEnd w:id="11"/>
      <w:bookmarkEnd w:id="12"/>
      <w:bookmarkEnd w:id="13"/>
    </w:p>
    <w:p w:rsidR="008E7846" w:rsidRDefault="005C029B" w:rsidP="008E7846">
      <w:r>
        <w:t xml:space="preserve">The international regulatory status for NovoThirteen at the time of the Australian submission </w:t>
      </w:r>
      <w:r w:rsidR="003C77B6">
        <w:t xml:space="preserve">to the TGA </w:t>
      </w:r>
      <w:r>
        <w:t>is shown in Table 1.</w:t>
      </w:r>
    </w:p>
    <w:p w:rsidR="00DB493E" w:rsidRDefault="00DB493E" w:rsidP="00DB493E">
      <w:pPr>
        <w:pStyle w:val="TableTitle"/>
      </w:pPr>
      <w:r>
        <w:t>Table 1:</w:t>
      </w:r>
      <w:r w:rsidRPr="004C5C28">
        <w:t xml:space="preserve"> </w:t>
      </w:r>
      <w:r w:rsidRPr="006C6277">
        <w:t xml:space="preserve">International </w:t>
      </w:r>
      <w:r>
        <w:t>r</w:t>
      </w:r>
      <w:r w:rsidRPr="006C6277">
        <w:t xml:space="preserve">egulatory </w:t>
      </w:r>
      <w:r>
        <w:t>status for</w:t>
      </w:r>
      <w:r w:rsidRPr="006C6277">
        <w:t xml:space="preserve"> </w:t>
      </w:r>
      <w:r>
        <w:t>NovoThirteen.</w:t>
      </w:r>
    </w:p>
    <w:p w:rsidR="005C029B" w:rsidRDefault="00A938FA" w:rsidP="008E7846">
      <w:r>
        <w:rPr>
          <w:noProof/>
          <w:lang w:eastAsia="en-AU"/>
        </w:rPr>
        <w:drawing>
          <wp:inline distT="0" distB="0" distL="0" distR="0">
            <wp:extent cx="3343275" cy="2546985"/>
            <wp:effectExtent l="0" t="0" r="9525" b="5715"/>
            <wp:docPr id="31" name="Picture 1" descr="Table 1: International regulatory status for NovoThir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1: International regulatory status for NovoThirte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3275" cy="2546985"/>
                    </a:xfrm>
                    <a:prstGeom prst="rect">
                      <a:avLst/>
                    </a:prstGeom>
                    <a:noFill/>
                    <a:ln>
                      <a:noFill/>
                    </a:ln>
                  </pic:spPr>
                </pic:pic>
              </a:graphicData>
            </a:graphic>
          </wp:inline>
        </w:drawing>
      </w:r>
    </w:p>
    <w:p w:rsidR="00D25B5E" w:rsidRPr="00D25B5E" w:rsidRDefault="00DC5CC9" w:rsidP="00D25B5E">
      <w:r>
        <w:t>The a</w:t>
      </w:r>
      <w:r w:rsidR="00D25B5E" w:rsidRPr="00D25B5E">
        <w:t>pproved indication in</w:t>
      </w:r>
      <w:r>
        <w:t xml:space="preserve"> other jurisdictions is as follows</w:t>
      </w:r>
      <w:r w:rsidR="00D25B5E" w:rsidRPr="00D25B5E">
        <w:t>:</w:t>
      </w:r>
    </w:p>
    <w:p w:rsidR="00D25B5E" w:rsidRPr="00396AD1" w:rsidRDefault="00D25B5E" w:rsidP="00396AD1">
      <w:pPr>
        <w:ind w:left="720"/>
        <w:rPr>
          <w:i/>
        </w:rPr>
      </w:pPr>
      <w:r w:rsidRPr="00396AD1">
        <w:rPr>
          <w:i/>
        </w:rPr>
        <w:t>European Union (EU): Long term prophylactic treatment of bleeding in patients 6 years and above with congenital factor XIII A-subunit deficiency.</w:t>
      </w:r>
    </w:p>
    <w:p w:rsidR="00D25B5E" w:rsidRPr="00396AD1" w:rsidRDefault="00D25B5E" w:rsidP="00396AD1">
      <w:pPr>
        <w:ind w:left="720"/>
        <w:rPr>
          <w:i/>
        </w:rPr>
      </w:pPr>
      <w:r w:rsidRPr="00396AD1">
        <w:rPr>
          <w:i/>
        </w:rPr>
        <w:t>Canada: Tretten (catridecacog) is indicated for routine prophylaxis for bleeding in patients with congenital Factor XIII A-subunit deficiency</w:t>
      </w:r>
    </w:p>
    <w:p w:rsidR="00D25B5E" w:rsidRPr="00D25B5E" w:rsidRDefault="00D25B5E" w:rsidP="00396AD1">
      <w:pPr>
        <w:ind w:left="720"/>
      </w:pPr>
      <w:r w:rsidRPr="00396AD1">
        <w:rPr>
          <w:i/>
        </w:rPr>
        <w:t>Switzerland: Bleeding prophylaxis in patients over the age of 6 with a congenital factor XIII deficiency of A-subunit and a relevant risk of bleeding (family medical history of congenital factor XIII deficiency and/or bleedings requiring treatment in the case history).</w:t>
      </w:r>
    </w:p>
    <w:p w:rsidR="00D25B5E" w:rsidRPr="00D25B5E" w:rsidRDefault="00D25B5E" w:rsidP="00D25B5E">
      <w:r w:rsidRPr="00D25B5E">
        <w:lastRenderedPageBreak/>
        <w:t>The registration for NovoThirteen (catrid</w:t>
      </w:r>
      <w:r w:rsidR="00DF27CE">
        <w:t xml:space="preserve">ecacog) has been deferred by the US Food and Drug </w:t>
      </w:r>
      <w:r w:rsidR="00DF27CE" w:rsidRPr="00D25B5E">
        <w:t>Administration (FDA)</w:t>
      </w:r>
      <w:r w:rsidRPr="00D25B5E">
        <w:t>.</w:t>
      </w:r>
    </w:p>
    <w:p w:rsidR="00D25B5E" w:rsidRDefault="00D25B5E" w:rsidP="00D25B5E">
      <w:r w:rsidRPr="00D25B5E">
        <w:t>No application for registration of NovoThirteen (catridecacog) has been withdrawn or rejected in</w:t>
      </w:r>
      <w:r>
        <w:t xml:space="preserve"> </w:t>
      </w:r>
      <w:r w:rsidRPr="00D25B5E">
        <w:t>any country</w:t>
      </w:r>
      <w:r w:rsidR="00991E0C">
        <w:t>.</w:t>
      </w:r>
    </w:p>
    <w:p w:rsidR="00B85482" w:rsidRDefault="00B85482" w:rsidP="00B85482">
      <w:pPr>
        <w:pStyle w:val="Heading4"/>
      </w:pPr>
      <w:r>
        <w:t>Pending application</w:t>
      </w:r>
    </w:p>
    <w:p w:rsidR="00991E0C" w:rsidRPr="00991E0C" w:rsidRDefault="00991E0C" w:rsidP="00991E0C">
      <w:r w:rsidRPr="00991E0C">
        <w:t xml:space="preserve">Novo Nordisk has submitted a variation to </w:t>
      </w:r>
      <w:r>
        <w:t>the European Medicines Agency (</w:t>
      </w:r>
      <w:r w:rsidRPr="00991E0C">
        <w:t>EMA</w:t>
      </w:r>
      <w:r>
        <w:t>)</w:t>
      </w:r>
      <w:r w:rsidRPr="00991E0C">
        <w:t xml:space="preserve"> and SwissMedic including a</w:t>
      </w:r>
      <w:r>
        <w:t xml:space="preserve"> </w:t>
      </w:r>
      <w:r w:rsidRPr="00991E0C">
        <w:t>request for expansion of the indication for NovoThirteen to also include the possibility for</w:t>
      </w:r>
      <w:r w:rsidR="009D0E52" w:rsidRPr="009D0E52">
        <w:t xml:space="preserve"> treatment of children below the age of 6 years with congenital factor XIII A-subunit deficiency.</w:t>
      </w:r>
      <w:r w:rsidR="009D0E52">
        <w:t xml:space="preserve"> </w:t>
      </w:r>
      <w:r w:rsidR="009D0E52" w:rsidRPr="009D0E52">
        <w:t xml:space="preserve">Final approval from </w:t>
      </w:r>
      <w:r w:rsidR="00797117">
        <w:t xml:space="preserve">the </w:t>
      </w:r>
      <w:r w:rsidR="009D0E52" w:rsidRPr="009D0E52">
        <w:t>EMA is expected Q1 2014</w:t>
      </w:r>
      <w:r w:rsidR="003C188E">
        <w:t>.</w:t>
      </w:r>
    </w:p>
    <w:p w:rsidR="008E7846" w:rsidRDefault="008E7846" w:rsidP="008E7846">
      <w:pPr>
        <w:pStyle w:val="Heading3"/>
      </w:pPr>
      <w:bookmarkStart w:id="14" w:name="_Toc247691505"/>
      <w:bookmarkStart w:id="15" w:name="_Toc314842486"/>
      <w:bookmarkStart w:id="16" w:name="_Toc389413996"/>
      <w:r>
        <w:t>Product Information</w:t>
      </w:r>
      <w:bookmarkEnd w:id="14"/>
      <w:bookmarkEnd w:id="15"/>
      <w:bookmarkEnd w:id="16"/>
    </w:p>
    <w:p w:rsidR="008E7846" w:rsidRDefault="008E7846" w:rsidP="008E7846">
      <w:r>
        <w:t>The approved Product Information (PI) current at the time this AusPAR was prepared can be found as Attachment 1.</w:t>
      </w:r>
      <w:bookmarkStart w:id="17" w:name="_Toc247691506"/>
      <w:bookmarkStart w:id="18" w:name="_Toc314842487"/>
    </w:p>
    <w:p w:rsidR="008E7846" w:rsidRPr="003602A9" w:rsidRDefault="008E7846" w:rsidP="008E7846">
      <w:pPr>
        <w:pStyle w:val="Heading2"/>
        <w:ind w:left="-11"/>
      </w:pPr>
      <w:bookmarkStart w:id="19" w:name="_Toc389413997"/>
      <w:r>
        <w:t>II. Quality</w:t>
      </w:r>
      <w:bookmarkEnd w:id="1"/>
      <w:r>
        <w:t xml:space="preserve"> findings</w:t>
      </w:r>
      <w:bookmarkEnd w:id="17"/>
      <w:bookmarkEnd w:id="18"/>
      <w:bookmarkEnd w:id="19"/>
    </w:p>
    <w:p w:rsidR="008E7846" w:rsidRDefault="008E7846" w:rsidP="008E7846">
      <w:pPr>
        <w:pStyle w:val="Heading3"/>
      </w:pPr>
      <w:bookmarkStart w:id="20" w:name="_Toc247691507"/>
      <w:bookmarkStart w:id="21" w:name="_Toc314842488"/>
      <w:bookmarkStart w:id="22" w:name="_Toc389413998"/>
      <w:r w:rsidRPr="008751DC">
        <w:t xml:space="preserve">Drug </w:t>
      </w:r>
      <w:r>
        <w:t>s</w:t>
      </w:r>
      <w:r w:rsidRPr="008751DC">
        <w:t>ubstance</w:t>
      </w:r>
      <w:r>
        <w:t xml:space="preserve"> (active ingredient)</w:t>
      </w:r>
      <w:bookmarkEnd w:id="20"/>
      <w:bookmarkEnd w:id="21"/>
      <w:bookmarkEnd w:id="22"/>
    </w:p>
    <w:p w:rsidR="00040488" w:rsidRPr="002179C2" w:rsidRDefault="00040488" w:rsidP="002179C2">
      <w:r w:rsidRPr="002179C2">
        <w:t xml:space="preserve">Catridecacog (rys) is a FXIII-A2 homodimer expressed intracellularly in </w:t>
      </w:r>
      <w:r w:rsidRPr="00546A25">
        <w:rPr>
          <w:i/>
        </w:rPr>
        <w:t>Saccharomyces cerevisiae</w:t>
      </w:r>
      <w:r w:rsidRPr="002179C2">
        <w:t xml:space="preserve"> and is identical is structure and function to cellular FXIII. The rFXIII monomer is a 731 amino acid chain with an acetylated N-terminal serine. There are no glycosylations or disulfide bonds present in rFXIII.</w:t>
      </w:r>
    </w:p>
    <w:p w:rsidR="00040488" w:rsidRPr="002179C2" w:rsidRDefault="00040488" w:rsidP="002179C2">
      <w:r w:rsidRPr="002179C2">
        <w:t>The relat</w:t>
      </w:r>
      <w:r w:rsidR="002179C2">
        <w:t>ive molecular mass is 83,179 Da.</w:t>
      </w:r>
    </w:p>
    <w:p w:rsidR="00040488" w:rsidRPr="002179C2" w:rsidRDefault="00040488" w:rsidP="002179C2">
      <w:r w:rsidRPr="002179C2">
        <w:t>The primary structure of the r FXIII A-subunit is:</w:t>
      </w:r>
    </w:p>
    <w:p w:rsidR="00040488" w:rsidRPr="002179C2" w:rsidRDefault="00040488" w:rsidP="00567169">
      <w:pPr>
        <w:ind w:left="720"/>
      </w:pPr>
      <w:r w:rsidRPr="002179C2">
        <w:t>SETSRTAFGGRRAVPPNNSNAAEDDLPTVELQGVVPRGVNLQEFLNVTSVHLFKERWDTNKVDHHTDKYENNKLIVRRGQSFYVQIDFSRPYDPRRDLFRVEYVIGRYPQENKGTYIPVPIVSELQSGKWGAKIVMREDRSVRLSIQSSPKCIVGKFRMYVAVWTPYGVLRTSRNPETDTYILFNPWCEDDAVYLDNEKEREEYVLNDIGVIFYGEVNDIKTRSWSYGQFEDGILDTCLYVMDRAQMDLSGRGNPIKVSRVGSAMVNAKDDEGVLVGSWDNIYAYGVPPSAWTGSVDILLEYRSSENPVRYGQCWVFAGVFNTFLRCLGIPARIVTNYFSAHDNDANLQMDIFLEEDGNSKLTKDSVWNYHCWNEAWMTRPDLPVGFGGWQAVDSTPQENSDGMYRCGPASVQAIKHGHVCFQFDAPFVFAEVNSDLIYITAKKDGTHVVENVDATHIGKLIVTKQIGGDGMMDITDTYKFQEGQEEERLALETALMYGAKKPLNTEGVMKSRSNVDMDFEVENAVLGKDFKLSITFRNNSHNRYTITAYLSANITFYTGVPKAEFKKETFDVTLEPLSFKKEAVLIQAGEYMGQLLEQASLHFFVTARINETRDVLAKQKSTVLTIPEIIIKVRGTQVVGSDMTVTVEFTNPLKETLRNVWVHLDGPGVTRPMKKMFREIRPNSTVQWEEVCRPWVSGHRKLIASMSSDSLRHVYGELDVQIQRRPSM (731).</w:t>
      </w:r>
    </w:p>
    <w:p w:rsidR="00040488" w:rsidRDefault="00902398" w:rsidP="002179C2">
      <w:r>
        <w:t>The higher order structure of rFXIII (A</w:t>
      </w:r>
      <w:r w:rsidRPr="00872B4E">
        <w:rPr>
          <w:vertAlign w:val="subscript"/>
        </w:rPr>
        <w:t>2</w:t>
      </w:r>
      <w:r>
        <w:t xml:space="preserve"> homodimer) is shown in Figure 1.</w:t>
      </w:r>
    </w:p>
    <w:p w:rsidR="00872B4E" w:rsidRDefault="00872B4E" w:rsidP="00872B4E">
      <w:pPr>
        <w:pStyle w:val="FigureTitle"/>
      </w:pPr>
      <w:r>
        <w:lastRenderedPageBreak/>
        <w:t>Figure</w:t>
      </w:r>
      <w:r w:rsidRPr="00C337CB">
        <w:t xml:space="preserve"> 1. </w:t>
      </w:r>
      <w:r>
        <w:t>H</w:t>
      </w:r>
      <w:r w:rsidRPr="00872B4E">
        <w:t>igher order structure of rFXIII (A</w:t>
      </w:r>
      <w:r w:rsidRPr="00872B4E">
        <w:rPr>
          <w:vertAlign w:val="subscript"/>
        </w:rPr>
        <w:t>2</w:t>
      </w:r>
      <w:r w:rsidRPr="00872B4E">
        <w:t xml:space="preserve"> homodimer)</w:t>
      </w:r>
      <w:r>
        <w:t>.</w:t>
      </w:r>
    </w:p>
    <w:p w:rsidR="00872B4E" w:rsidRPr="002179C2" w:rsidRDefault="00A938FA" w:rsidP="002179C2">
      <w:r>
        <w:rPr>
          <w:noProof/>
          <w:lang w:eastAsia="en-AU"/>
        </w:rPr>
        <w:drawing>
          <wp:inline distT="0" distB="0" distL="0" distR="0">
            <wp:extent cx="2731770" cy="3012440"/>
            <wp:effectExtent l="0" t="0" r="0" b="0"/>
            <wp:docPr id="1" name="Picture 2" descr="Figure 1. Higher order structure of rFXIII (A2 homod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Higher order structure of rFXIII (A2 homodim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1770" cy="3012440"/>
                    </a:xfrm>
                    <a:prstGeom prst="rect">
                      <a:avLst/>
                    </a:prstGeom>
                    <a:noFill/>
                    <a:ln>
                      <a:noFill/>
                    </a:ln>
                  </pic:spPr>
                </pic:pic>
              </a:graphicData>
            </a:graphic>
          </wp:inline>
        </w:drawing>
      </w:r>
    </w:p>
    <w:p w:rsidR="00872B4E" w:rsidRDefault="00872B4E" w:rsidP="00FF1227">
      <w:pPr>
        <w:pStyle w:val="TableDescription"/>
      </w:pPr>
      <w:bookmarkStart w:id="23" w:name="_Toc247691508"/>
      <w:bookmarkStart w:id="24" w:name="_Toc314842490"/>
      <w:r>
        <w:t>Cylinder: alpha helix; Arrow: beta strand; Grey sphere: active site. N- and C-termini subunits are labelled.</w:t>
      </w:r>
    </w:p>
    <w:p w:rsidR="008B7705" w:rsidRPr="00683AEF" w:rsidRDefault="008B7705" w:rsidP="00683AEF">
      <w:r w:rsidRPr="008B7705">
        <w:t>Based on the long term, real time, and accelerated stability data submitted, the proposed shelf life and storage conditions for the drug substance are supported and considered satisfactory.</w:t>
      </w:r>
    </w:p>
    <w:p w:rsidR="008E7846" w:rsidRDefault="008E7846" w:rsidP="008E7846">
      <w:pPr>
        <w:pStyle w:val="Heading3"/>
      </w:pPr>
      <w:bookmarkStart w:id="25" w:name="_Toc389413999"/>
      <w:r w:rsidRPr="008751DC">
        <w:t xml:space="preserve">Drug </w:t>
      </w:r>
      <w:r>
        <w:t>p</w:t>
      </w:r>
      <w:r w:rsidRPr="008751DC">
        <w:t>roduct</w:t>
      </w:r>
      <w:bookmarkEnd w:id="23"/>
      <w:bookmarkEnd w:id="24"/>
      <w:bookmarkEnd w:id="25"/>
    </w:p>
    <w:p w:rsidR="00182B34" w:rsidRPr="00966781" w:rsidRDefault="00182B34" w:rsidP="00966781">
      <w:r w:rsidRPr="00966781">
        <w:t>The product is supplied in one strength</w:t>
      </w:r>
      <w:r w:rsidR="009E1113">
        <w:t xml:space="preserve"> </w:t>
      </w:r>
      <w:r w:rsidRPr="00966781">
        <w:t>of lyophilised powder for reconstitution with a diluent vial containing 3.2</w:t>
      </w:r>
      <w:r w:rsidR="00A7359B">
        <w:t xml:space="preserve"> </w:t>
      </w:r>
      <w:r w:rsidRPr="00966781">
        <w:t>mL Water for Injection</w:t>
      </w:r>
      <w:r w:rsidR="00966781">
        <w:t xml:space="preserve"> (WFI)</w:t>
      </w:r>
      <w:r w:rsidRPr="00966781">
        <w:t>. The pack also includes an adaptor with filter for the reconstitution.</w:t>
      </w:r>
    </w:p>
    <w:p w:rsidR="00182B34" w:rsidRDefault="00182B34" w:rsidP="00FD3DF6">
      <w:r w:rsidRPr="00FD3DF6">
        <w:t>The product is to be reconstituted with the water prior to use and may be furth</w:t>
      </w:r>
      <w:r w:rsidR="00077844">
        <w:t xml:space="preserve">er diluted if necessary. The in </w:t>
      </w:r>
      <w:r w:rsidRPr="00FD3DF6">
        <w:t>us</w:t>
      </w:r>
      <w:r w:rsidR="00077844">
        <w:t>e storage conditions are 3 h</w:t>
      </w:r>
      <w:r w:rsidRPr="00FD3DF6">
        <w:t xml:space="preserve"> at ≤ 25°</w:t>
      </w:r>
      <w:r w:rsidR="00382D96">
        <w:t>C or 24 h</w:t>
      </w:r>
      <w:r w:rsidRPr="00FD3DF6">
        <w:t xml:space="preserve"> at 2-8°C. The product contains no preservative and is for use in one patient on one occasion only.</w:t>
      </w:r>
    </w:p>
    <w:p w:rsidR="008B7705" w:rsidRPr="00FD3DF6" w:rsidRDefault="008B7705" w:rsidP="008B7705">
      <w:r w:rsidRPr="00FD3DF6">
        <w:t xml:space="preserve">Stability studies have been performed in accordance with the current </w:t>
      </w:r>
      <w:r w:rsidRPr="00E92626">
        <w:t xml:space="preserve">International Conference on Harmonisation </w:t>
      </w:r>
      <w:r>
        <w:t>(</w:t>
      </w:r>
      <w:r w:rsidRPr="00FD3DF6">
        <w:t>ICH</w:t>
      </w:r>
      <w:r>
        <w:t>)</w:t>
      </w:r>
      <w:r w:rsidRPr="00FD3DF6">
        <w:t xml:space="preserve"> stability guidelines.</w:t>
      </w:r>
      <w:r>
        <w:t xml:space="preserve">  Based on the real-time, long term and accelerated stability data submitted, the</w:t>
      </w:r>
      <w:r w:rsidRPr="00FD3DF6">
        <w:t xml:space="preserve"> proposed shelf life and storage conditions for rFXIII 2500 IU are 36 months when stored at 2-8°C protected from light</w:t>
      </w:r>
      <w:r>
        <w:t xml:space="preserve"> are considered acceptable</w:t>
      </w:r>
      <w:r w:rsidRPr="00FD3DF6">
        <w:t>.</w:t>
      </w:r>
    </w:p>
    <w:p w:rsidR="008B7705" w:rsidRPr="00FD3DF6" w:rsidRDefault="008B7705" w:rsidP="008B7705">
      <w:r>
        <w:t xml:space="preserve">The proposed in </w:t>
      </w:r>
      <w:r w:rsidRPr="00FD3DF6">
        <w:t xml:space="preserve">use period is </w:t>
      </w:r>
      <w:r>
        <w:t>24 h at 5°C ± 3°C or 3 h</w:t>
      </w:r>
      <w:r w:rsidRPr="00FD3DF6">
        <w:t xml:space="preserve"> at a maximum 25°C for reconstituted rFXIII 2500 IU and for diluted rFXIII 2500</w:t>
      </w:r>
      <w:r>
        <w:t xml:space="preserve"> </w:t>
      </w:r>
      <w:r w:rsidRPr="00FD3DF6">
        <w:t>IU.</w:t>
      </w:r>
      <w:r>
        <w:t xml:space="preserve"> This is acceptable.</w:t>
      </w:r>
    </w:p>
    <w:p w:rsidR="008E7846" w:rsidRDefault="008E7846" w:rsidP="008E7846">
      <w:pPr>
        <w:pStyle w:val="Heading3"/>
      </w:pPr>
      <w:bookmarkStart w:id="26" w:name="_Toc314842491"/>
      <w:bookmarkStart w:id="27" w:name="_Toc389414000"/>
      <w:r>
        <w:t>Biopharmaceutics</w:t>
      </w:r>
      <w:bookmarkEnd w:id="26"/>
      <w:bookmarkEnd w:id="27"/>
    </w:p>
    <w:p w:rsidR="008E7846" w:rsidRDefault="00FD3DF6" w:rsidP="008E7846">
      <w:r w:rsidRPr="00FD3DF6">
        <w:t>Biopharmaceutic data are not required for this product because the route of administration is intravenous</w:t>
      </w:r>
      <w:r>
        <w:t xml:space="preserve"> (IV)</w:t>
      </w:r>
      <w:r w:rsidRPr="00FD3DF6">
        <w:t>.</w:t>
      </w:r>
    </w:p>
    <w:p w:rsidR="008E7846" w:rsidRPr="008751DC" w:rsidRDefault="008E7846" w:rsidP="008E7846">
      <w:pPr>
        <w:pStyle w:val="Heading3"/>
      </w:pPr>
      <w:bookmarkStart w:id="28" w:name="_Toc247691509"/>
      <w:bookmarkStart w:id="29" w:name="_Toc314842493"/>
      <w:bookmarkStart w:id="30" w:name="_Toc389414001"/>
      <w:r>
        <w:t>Quality s</w:t>
      </w:r>
      <w:r w:rsidRPr="008751DC">
        <w:t>ummary</w:t>
      </w:r>
      <w:r>
        <w:t xml:space="preserve"> and conclusions</w:t>
      </w:r>
      <w:bookmarkEnd w:id="28"/>
      <w:bookmarkEnd w:id="29"/>
      <w:bookmarkEnd w:id="30"/>
    </w:p>
    <w:p w:rsidR="008E7846" w:rsidRPr="002A783A" w:rsidRDefault="00E76671" w:rsidP="002A783A">
      <w:r w:rsidRPr="002A783A">
        <w:t>The administrative, product usage, chemical, pharmaceutical, microbiological and biopharmaceutic data (as applicable) submitted in support of this application have been evaluated in accordance with the Australian legislation, pharmacopeial standards and relevant technical guidelines adopted by the TGA.</w:t>
      </w:r>
    </w:p>
    <w:p w:rsidR="00E76671" w:rsidRPr="002A783A" w:rsidRDefault="00E76671" w:rsidP="002A783A">
      <w:r w:rsidRPr="002A783A">
        <w:lastRenderedPageBreak/>
        <w:t>There are no objections from a quality and safety perspective to the registration of NovoThirteen catridecacog (rys</w:t>
      </w:r>
      <w:r w:rsidR="00B279E0">
        <w:t>).</w:t>
      </w:r>
    </w:p>
    <w:p w:rsidR="008E7846" w:rsidRDefault="008E7846" w:rsidP="008E7846">
      <w:pPr>
        <w:pStyle w:val="Heading2"/>
      </w:pPr>
      <w:bookmarkStart w:id="31" w:name="_Toc196046439"/>
      <w:bookmarkStart w:id="32" w:name="_Toc247691510"/>
      <w:bookmarkStart w:id="33" w:name="_Toc314842494"/>
      <w:bookmarkStart w:id="34" w:name="_Toc389414002"/>
      <w:r>
        <w:t>III. Nonclinical</w:t>
      </w:r>
      <w:bookmarkEnd w:id="31"/>
      <w:r>
        <w:t xml:space="preserve"> findings</w:t>
      </w:r>
      <w:bookmarkEnd w:id="32"/>
      <w:bookmarkEnd w:id="33"/>
      <w:bookmarkEnd w:id="34"/>
    </w:p>
    <w:p w:rsidR="008E7846" w:rsidRPr="00FF1227" w:rsidRDefault="008E7846" w:rsidP="008E7846">
      <w:pPr>
        <w:pStyle w:val="Heading3"/>
        <w:rPr>
          <w:lang w:val="en-AU"/>
        </w:rPr>
      </w:pPr>
      <w:bookmarkStart w:id="35" w:name="_Toc247691511"/>
      <w:bookmarkStart w:id="36" w:name="_Toc314842495"/>
      <w:bookmarkStart w:id="37" w:name="_Toc389414003"/>
      <w:r>
        <w:t>Introduction</w:t>
      </w:r>
      <w:bookmarkEnd w:id="35"/>
      <w:bookmarkEnd w:id="36"/>
      <w:bookmarkEnd w:id="37"/>
    </w:p>
    <w:p w:rsidR="00764D1F" w:rsidRPr="00764D1F" w:rsidRDefault="00764D1F" w:rsidP="00764D1F">
      <w:r w:rsidRPr="00764D1F">
        <w:t>Novo Nordisk Pharmaceuticals Pty Ltd has applied to register a new chemical (biological) entity, catridecacog (rys) (NovoThirteen) for routine prophylaxis in patients with congenital Factor XIIIA</w:t>
      </w:r>
      <w:r w:rsidR="008B04D0">
        <w:t xml:space="preserve"> </w:t>
      </w:r>
      <w:r w:rsidRPr="00764D1F">
        <w:t>subunit deficiency to prevent bleeding.</w:t>
      </w:r>
      <w:r w:rsidR="00CD52B1">
        <w:t xml:space="preserve"> </w:t>
      </w:r>
      <w:r w:rsidRPr="00764D1F">
        <w:t xml:space="preserve">Catridecacog (rys) is recombinant human Factor XIII (rFXIII) produced in the yeast </w:t>
      </w:r>
      <w:r w:rsidRPr="00E809A8">
        <w:rPr>
          <w:i/>
        </w:rPr>
        <w:t>S. cerevisiae</w:t>
      </w:r>
      <w:r w:rsidRPr="00764D1F">
        <w:t>. The product will be supplied as a lyophili</w:t>
      </w:r>
      <w:r w:rsidR="00BA1A74">
        <w:t>s</w:t>
      </w:r>
      <w:r w:rsidRPr="00764D1F">
        <w:t>ed powder in a glass vial containing a nominal dose of 2500 IU (15 mg).</w:t>
      </w:r>
      <w:r w:rsidR="00CD52B1">
        <w:t xml:space="preserve"> </w:t>
      </w:r>
      <w:r w:rsidRPr="00764D1F">
        <w:t>The proposed dosing regimen involves injection of 35 IU/kg (0.21 mg/kg) once monthly.</w:t>
      </w:r>
    </w:p>
    <w:p w:rsidR="00764D1F" w:rsidRPr="00764D1F" w:rsidRDefault="00764D1F" w:rsidP="00764D1F">
      <w:r w:rsidRPr="00764D1F">
        <w:t>During the period of pre</w:t>
      </w:r>
      <w:r w:rsidR="00E6186E">
        <w:t xml:space="preserve"> </w:t>
      </w:r>
      <w:r w:rsidRPr="00764D1F">
        <w:t>clinical investigation</w:t>
      </w:r>
      <w:r w:rsidR="00E03610">
        <w:t>,</w:t>
      </w:r>
      <w:r w:rsidRPr="00764D1F">
        <w:t xml:space="preserve"> the production site for manufacture of the rFXIII was change</w:t>
      </w:r>
      <w:r w:rsidR="00BD0B16">
        <w:t xml:space="preserve">d from Avecia to Novo Nordisk. </w:t>
      </w:r>
      <w:r w:rsidRPr="00764D1F">
        <w:t>The sponsor indicated that no new impurities were seen in the Novo Nordisk material, and performed a local tolerance study in rabbits and a repeat dose comparability toxicity study in rats comparing the safety profiles of the materials manufactured at the two sites.</w:t>
      </w:r>
      <w:r w:rsidR="00CD52B1">
        <w:t xml:space="preserve"> </w:t>
      </w:r>
      <w:r w:rsidRPr="00764D1F">
        <w:t>No differences between rFXIII from the two sources wer</w:t>
      </w:r>
      <w:r w:rsidR="00E03610">
        <w:t xml:space="preserve">e observed in either the repeat </w:t>
      </w:r>
      <w:r w:rsidRPr="00764D1F">
        <w:t xml:space="preserve">dose toxicity study (NN209502) or local tolerance study (NN209504). The pharmacodynamic </w:t>
      </w:r>
      <w:r w:rsidR="0068409E">
        <w:t xml:space="preserve">(PD) </w:t>
      </w:r>
      <w:r w:rsidRPr="00764D1F">
        <w:t xml:space="preserve">activity of the product from each site was not compared in </w:t>
      </w:r>
      <w:r w:rsidR="0068409E">
        <w:t>PD</w:t>
      </w:r>
      <w:r w:rsidRPr="00764D1F">
        <w:t xml:space="preserve"> studies. In rats there did not appear to be any differences in systemic exposure between the Novo Nordisk and the Avecia drug products in the repeat</w:t>
      </w:r>
      <w:r w:rsidR="00FA312D">
        <w:t xml:space="preserve"> </w:t>
      </w:r>
      <w:r w:rsidRPr="00764D1F">
        <w:t>dose toxicity study.</w:t>
      </w:r>
    </w:p>
    <w:p w:rsidR="00764D1F" w:rsidRPr="00764D1F" w:rsidRDefault="00764D1F" w:rsidP="00764D1F">
      <w:r w:rsidRPr="00764D1F">
        <w:t xml:space="preserve">The submitted </w:t>
      </w:r>
      <w:r w:rsidR="007D164D">
        <w:t>nonclinical</w:t>
      </w:r>
      <w:r w:rsidRPr="00764D1F">
        <w:t xml:space="preserve"> data were in general accorda</w:t>
      </w:r>
      <w:r w:rsidR="00BC28C2">
        <w:t xml:space="preserve">nce with the </w:t>
      </w:r>
      <w:r w:rsidR="005A529B" w:rsidRPr="005A529B">
        <w:t xml:space="preserve">International Conference on Harmonisation </w:t>
      </w:r>
      <w:r w:rsidR="005A529B">
        <w:t>(</w:t>
      </w:r>
      <w:r w:rsidR="00BC28C2">
        <w:t>ICH</w:t>
      </w:r>
      <w:r w:rsidR="005A529B">
        <w:t>)</w:t>
      </w:r>
      <w:r w:rsidR="00BC28C2">
        <w:t xml:space="preserve"> guideline </w:t>
      </w:r>
      <w:r w:rsidRPr="00764D1F">
        <w:t>on the nonclinical evaluation of biotechnology</w:t>
      </w:r>
      <w:r w:rsidR="000D219A">
        <w:t xml:space="preserve"> </w:t>
      </w:r>
      <w:r w:rsidRPr="00764D1F">
        <w:t>derived pharmaceuticals.</w:t>
      </w:r>
      <w:r w:rsidR="0072625A">
        <w:rPr>
          <w:rStyle w:val="FootnoteReference"/>
        </w:rPr>
        <w:footnoteReference w:id="3"/>
      </w:r>
      <w:r w:rsidRPr="00764D1F">
        <w:t xml:space="preserve"> All pivotal repeat</w:t>
      </w:r>
      <w:r w:rsidR="00F437A6">
        <w:t xml:space="preserve"> </w:t>
      </w:r>
      <w:r w:rsidRPr="00764D1F">
        <w:t xml:space="preserve">dose toxicity studies were </w:t>
      </w:r>
      <w:r w:rsidR="00122863">
        <w:t>Good Laboratory Practice (</w:t>
      </w:r>
      <w:r w:rsidRPr="00764D1F">
        <w:t>GLP</w:t>
      </w:r>
      <w:r w:rsidR="00122863">
        <w:t>)</w:t>
      </w:r>
      <w:r w:rsidR="000D219A">
        <w:t xml:space="preserve"> </w:t>
      </w:r>
      <w:r w:rsidRPr="00764D1F">
        <w:t>compliant. The sponsor used two animal models to investigate the kinetics and toxicity of catrideca</w:t>
      </w:r>
      <w:r w:rsidR="00600DDC">
        <w:t>cog: cynomolgus monkey and rat.</w:t>
      </w:r>
    </w:p>
    <w:p w:rsidR="00764D1F" w:rsidRPr="00764D1F" w:rsidRDefault="00764D1F" w:rsidP="00764D1F">
      <w:r w:rsidRPr="00764D1F">
        <w:t>The sponsor included a number of reports not directly relevant to the present application.</w:t>
      </w:r>
      <w:r w:rsidR="00CD52B1">
        <w:t xml:space="preserve"> </w:t>
      </w:r>
      <w:r w:rsidRPr="00764D1F">
        <w:t xml:space="preserve">These were combination studies of catridecacog with rFVIIa in monkeys (NN205070, NN205148 and NN206100) and combination studies </w:t>
      </w:r>
      <w:r w:rsidRPr="000F5605">
        <w:rPr>
          <w:i/>
        </w:rPr>
        <w:t>in vitro</w:t>
      </w:r>
      <w:r w:rsidRPr="00764D1F">
        <w:t xml:space="preserve"> of catridecacog with protamine and heparin.</w:t>
      </w:r>
      <w:r w:rsidR="00CD52B1">
        <w:t xml:space="preserve"> </w:t>
      </w:r>
      <w:r w:rsidRPr="00764D1F">
        <w:t xml:space="preserve">The relevant results of these studies are discussed under </w:t>
      </w:r>
      <w:r w:rsidR="007C685E">
        <w:t>the section ‘</w:t>
      </w:r>
      <w:r w:rsidRPr="00764D1F">
        <w:t xml:space="preserve">Secondary </w:t>
      </w:r>
      <w:r w:rsidR="00B017AE">
        <w:t>p</w:t>
      </w:r>
      <w:r w:rsidRPr="00764D1F">
        <w:t>harmacodynamics</w:t>
      </w:r>
      <w:r w:rsidR="00EC4BAB" w:rsidRPr="00EC4BAB">
        <w:t xml:space="preserve"> and safety pharmacology</w:t>
      </w:r>
      <w:r w:rsidR="00B017AE">
        <w:t>’</w:t>
      </w:r>
      <w:r w:rsidRPr="00764D1F">
        <w:t>.</w:t>
      </w:r>
    </w:p>
    <w:p w:rsidR="00764D1F" w:rsidRPr="00764D1F" w:rsidRDefault="00764D1F" w:rsidP="00764D1F">
      <w:r w:rsidRPr="00764D1F">
        <w:t>The sponsor also included repeat</w:t>
      </w:r>
      <w:r w:rsidR="003E71AC">
        <w:t xml:space="preserve"> </w:t>
      </w:r>
      <w:r w:rsidRPr="00764D1F">
        <w:t xml:space="preserve">dose toxicity studies conducted in rats and beagle dogs using rFXIII produced in a different strain (ZM146) of </w:t>
      </w:r>
      <w:r w:rsidRPr="009338A3">
        <w:rPr>
          <w:i/>
        </w:rPr>
        <w:t>S. cerevisiae</w:t>
      </w:r>
      <w:r w:rsidRPr="00764D1F">
        <w:t xml:space="preserve"> (SNBL.002.02, HWA 2642-100, HWA 2642-101, HWA 2642-102).</w:t>
      </w:r>
      <w:r w:rsidR="00CD52B1">
        <w:t xml:space="preserve"> </w:t>
      </w:r>
      <w:r w:rsidRPr="00764D1F">
        <w:t>rFXIII produced by a different strain of yeast is, by definition, a different product and so results of these studies are not directly relevant to the present submission.</w:t>
      </w:r>
      <w:r w:rsidR="00CD52B1">
        <w:t xml:space="preserve"> </w:t>
      </w:r>
      <w:r w:rsidRPr="00764D1F">
        <w:t>The sponsor indicated that they were included as the studies are referred to in several minutes from regulatory interactions, and because the data provide information on the role of activated rFXIII (rFXIIIa) in relation to the observed toxicity.</w:t>
      </w:r>
      <w:r w:rsidR="00CD52B1">
        <w:t xml:space="preserve"> </w:t>
      </w:r>
      <w:r w:rsidRPr="00764D1F">
        <w:t>The greater toxicity seen with the rFXIII produced by ZM146 was thought to be related to the presence of greater amounts (up to ~13%) of spontaneously activated rFXIII (rFXIIIa</w:t>
      </w:r>
      <w:r w:rsidR="009F0036" w:rsidRPr="00764D1F">
        <w:t>°</w:t>
      </w:r>
      <w:r w:rsidRPr="00764D1F">
        <w:t>). The amount of rFXIIIa° in the material produced using strain BJ2n-5-La for clinical use is stated to be 0.80% with a potential increase of 0.1% over 6 hours of use reaching a maximum of 0.9%.</w:t>
      </w:r>
    </w:p>
    <w:p w:rsidR="00764D1F" w:rsidRPr="00764D1F" w:rsidRDefault="00764D1F" w:rsidP="00764D1F">
      <w:r w:rsidRPr="00764D1F">
        <w:lastRenderedPageBreak/>
        <w:t>It was necessary in many place</w:t>
      </w:r>
      <w:r w:rsidR="00AA085A">
        <w:t>s to distinguish between the un</w:t>
      </w:r>
      <w:r w:rsidRPr="00764D1F">
        <w:t>activated form of rFXIII (catridecacog) and the two activated forms of rFXIII (rFXIIIa* and rFXIIIa</w:t>
      </w:r>
      <w:r w:rsidR="00EF4347" w:rsidRPr="00764D1F">
        <w:t>°</w:t>
      </w:r>
      <w:r w:rsidR="00E6186E">
        <w:t xml:space="preserve">, thrombin </w:t>
      </w:r>
      <w:r w:rsidRPr="00764D1F">
        <w:t>activated and non</w:t>
      </w:r>
      <w:r w:rsidR="00E6186E">
        <w:t xml:space="preserve"> </w:t>
      </w:r>
      <w:r w:rsidRPr="00764D1F">
        <w:t>proteolytically activate</w:t>
      </w:r>
      <w:r w:rsidR="008B7705">
        <w:t xml:space="preserve">d, respectively). rFXIII is in </w:t>
      </w:r>
      <w:r w:rsidRPr="00764D1F">
        <w:t>reference to c</w:t>
      </w:r>
      <w:r w:rsidR="003D0AB8">
        <w:t>atridecacog where this avoids co</w:t>
      </w:r>
      <w:r w:rsidRPr="00764D1F">
        <w:t>nfusion.</w:t>
      </w:r>
    </w:p>
    <w:p w:rsidR="008E7846" w:rsidRDefault="008E7846" w:rsidP="008E7846">
      <w:pPr>
        <w:pStyle w:val="Heading3"/>
      </w:pPr>
      <w:bookmarkStart w:id="38" w:name="_Toc247691512"/>
      <w:bookmarkStart w:id="39" w:name="_Toc314842496"/>
      <w:bookmarkStart w:id="40" w:name="_Toc389414004"/>
      <w:r w:rsidRPr="00020030">
        <w:t>Pharmacology</w:t>
      </w:r>
      <w:bookmarkEnd w:id="38"/>
      <w:bookmarkEnd w:id="39"/>
      <w:bookmarkEnd w:id="40"/>
    </w:p>
    <w:p w:rsidR="005003CC" w:rsidRDefault="005003CC" w:rsidP="005003CC">
      <w:pPr>
        <w:pStyle w:val="Heading4"/>
        <w:rPr>
          <w:kern w:val="2"/>
        </w:rPr>
      </w:pPr>
      <w:r>
        <w:rPr>
          <w:kern w:val="2"/>
        </w:rPr>
        <w:t>Primary pharmacology</w:t>
      </w:r>
    </w:p>
    <w:p w:rsidR="005003CC" w:rsidRPr="005003CC" w:rsidRDefault="005003CC" w:rsidP="005003CC">
      <w:r w:rsidRPr="005003CC">
        <w:t>Catridecacog (rys) has been developed for the treatment of congenital deficiency of Factor XIII (FXIII).</w:t>
      </w:r>
      <w:r w:rsidR="00CD52B1">
        <w:t xml:space="preserve"> </w:t>
      </w:r>
      <w:r w:rsidRPr="005003CC">
        <w:t>The life</w:t>
      </w:r>
      <w:r w:rsidR="00A6529C">
        <w:t xml:space="preserve"> </w:t>
      </w:r>
      <w:r w:rsidRPr="005003CC">
        <w:t>threatening consequences of FXIII deficiency require prophylactic administration of FXIII as soon as the diagnosis is established, usually in infancy or early childhood. In plasma, FXIII circulates as an i</w:t>
      </w:r>
      <w:r w:rsidR="00275056">
        <w:t>nactive zymogen heterotetramer (A</w:t>
      </w:r>
      <w:r w:rsidR="00275056" w:rsidRPr="008E2154">
        <w:rPr>
          <w:vertAlign w:val="subscript"/>
        </w:rPr>
        <w:t>2</w:t>
      </w:r>
      <w:r w:rsidR="00275056">
        <w:t>B</w:t>
      </w:r>
      <w:r w:rsidR="00275056" w:rsidRPr="008E2154">
        <w:rPr>
          <w:vertAlign w:val="subscript"/>
        </w:rPr>
        <w:t>2</w:t>
      </w:r>
      <w:r w:rsidR="00275056">
        <w:t>)</w:t>
      </w:r>
      <w:r w:rsidRPr="005003CC">
        <w:t xml:space="preserve"> co</w:t>
      </w:r>
      <w:r w:rsidR="00275056">
        <w:t>mposed of two FXIII A</w:t>
      </w:r>
      <w:r w:rsidR="00D07579">
        <w:t xml:space="preserve"> </w:t>
      </w:r>
      <w:r w:rsidR="00275056">
        <w:t>subunits (</w:t>
      </w:r>
      <w:r w:rsidRPr="005003CC">
        <w:t>A</w:t>
      </w:r>
      <w:r w:rsidRPr="00275056">
        <w:rPr>
          <w:vertAlign w:val="subscript"/>
        </w:rPr>
        <w:t>2</w:t>
      </w:r>
      <w:r w:rsidR="00275056">
        <w:t>)</w:t>
      </w:r>
      <w:r w:rsidRPr="005003CC">
        <w:t xml:space="preserve"> an</w:t>
      </w:r>
      <w:r w:rsidR="00275056">
        <w:t>d two carrier FXIII B</w:t>
      </w:r>
      <w:r w:rsidR="004E6199">
        <w:t xml:space="preserve"> </w:t>
      </w:r>
      <w:r w:rsidR="00275056">
        <w:t>subunits (</w:t>
      </w:r>
      <w:r w:rsidRPr="005003CC">
        <w:t>B</w:t>
      </w:r>
      <w:r w:rsidRPr="00275056">
        <w:rPr>
          <w:vertAlign w:val="subscript"/>
        </w:rPr>
        <w:t>2</w:t>
      </w:r>
      <w:r w:rsidR="00275056">
        <w:t>)</w:t>
      </w:r>
      <w:r w:rsidRPr="005003CC">
        <w:t>. Following injury, FXIII is converted by calcium and thrombin into the acti</w:t>
      </w:r>
      <w:r w:rsidR="00113D86">
        <w:t xml:space="preserve">ve enzyme (FXIIIa): the FXIII A </w:t>
      </w:r>
      <w:r w:rsidRPr="005003CC">
        <w:t>subunits are released from the FXIII B</w:t>
      </w:r>
      <w:r w:rsidR="004E6199">
        <w:t xml:space="preserve"> </w:t>
      </w:r>
      <w:r w:rsidRPr="005003CC">
        <w:t>subunits, and the active site of the FXIII enzyme is exposed (</w:t>
      </w:r>
      <w:r w:rsidR="005B3B9C">
        <w:t>Figure 2</w:t>
      </w:r>
      <w:r w:rsidRPr="005003CC">
        <w:t>).</w:t>
      </w:r>
      <w:r w:rsidR="00CD52B1">
        <w:t xml:space="preserve"> </w:t>
      </w:r>
      <w:r w:rsidRPr="005003CC">
        <w:t>Factor XIII is the terminal enzyme in the coagulation cascade. Thrombin converts fibrinogen to fibrin monomers, which polymerise and form a fibrin clot at the site of injury. Factor XIII then stabili</w:t>
      </w:r>
      <w:r>
        <w:t>s</w:t>
      </w:r>
      <w:r w:rsidRPr="005003CC">
        <w:t>es the fibrin clot and increases clot strength.</w:t>
      </w:r>
    </w:p>
    <w:p w:rsidR="005B3B9C" w:rsidRDefault="005B3B9C" w:rsidP="005B3B9C">
      <w:pPr>
        <w:pStyle w:val="FigureTitle"/>
      </w:pPr>
      <w:r>
        <w:t>Figure</w:t>
      </w:r>
      <w:r w:rsidRPr="00C337CB">
        <w:t xml:space="preserve"> </w:t>
      </w:r>
      <w:r>
        <w:t>2</w:t>
      </w:r>
      <w:r w:rsidRPr="00C337CB">
        <w:t xml:space="preserve">. </w:t>
      </w:r>
      <w:r w:rsidR="00FB6073" w:rsidRPr="00FB6073">
        <w:t>Activation of plasma FXIII</w:t>
      </w:r>
      <w:r>
        <w:t>.</w:t>
      </w:r>
    </w:p>
    <w:p w:rsidR="005003CC" w:rsidRDefault="00A938FA" w:rsidP="005003CC">
      <w:r>
        <w:rPr>
          <w:noProof/>
          <w:lang w:eastAsia="en-AU"/>
        </w:rPr>
        <w:drawing>
          <wp:inline distT="0" distB="0" distL="0" distR="0">
            <wp:extent cx="3742055" cy="2546985"/>
            <wp:effectExtent l="0" t="0" r="0" b="5715"/>
            <wp:docPr id="3" name="Picture 3" descr="Figure 2. Activation of plasma FX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Activation of plasma FXII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2055" cy="2546985"/>
                    </a:xfrm>
                    <a:prstGeom prst="rect">
                      <a:avLst/>
                    </a:prstGeom>
                    <a:noFill/>
                    <a:ln>
                      <a:noFill/>
                    </a:ln>
                  </pic:spPr>
                </pic:pic>
              </a:graphicData>
            </a:graphic>
          </wp:inline>
        </w:drawing>
      </w:r>
    </w:p>
    <w:p w:rsidR="00B03BEF" w:rsidRPr="00B03BEF" w:rsidRDefault="00B03BEF" w:rsidP="00B03BEF">
      <w:r w:rsidRPr="00B03BEF">
        <w:t xml:space="preserve">Primary pharmacology studies were directed towards establishing that rFXIII has the same </w:t>
      </w:r>
      <w:r w:rsidR="0068409E">
        <w:t>PD</w:t>
      </w:r>
      <w:r w:rsidRPr="00B03BEF">
        <w:t xml:space="preserve"> properties in plasma as those described for endogenous FXIII.</w:t>
      </w:r>
      <w:r w:rsidR="00CD52B1">
        <w:t xml:space="preserve"> </w:t>
      </w:r>
      <w:r w:rsidRPr="00B03BEF">
        <w:t>These properties are the ability to bind to the endogenous B</w:t>
      </w:r>
      <w:r w:rsidR="002E43D1" w:rsidRPr="009A3899">
        <w:rPr>
          <w:vertAlign w:val="subscript"/>
        </w:rPr>
        <w:t>2</w:t>
      </w:r>
      <w:r w:rsidR="002E43D1">
        <w:t xml:space="preserve"> subunit, the ability to cross</w:t>
      </w:r>
      <w:r w:rsidR="00DE1BD5">
        <w:t xml:space="preserve"> </w:t>
      </w:r>
      <w:r w:rsidRPr="00B03BEF">
        <w:t>link fibrin and the ability to incorporate anti</w:t>
      </w:r>
      <w:r w:rsidR="002E43D1">
        <w:t xml:space="preserve"> </w:t>
      </w:r>
      <w:r w:rsidRPr="00B03BEF">
        <w:t>fibrinolytic proteins and adhesion molecules into the clot.</w:t>
      </w:r>
    </w:p>
    <w:p w:rsidR="00B03BEF" w:rsidRPr="00B03BEF" w:rsidRDefault="00B03BEF" w:rsidP="00B03BEF">
      <w:r w:rsidRPr="00B03BEF">
        <w:t>In the coagulation process</w:t>
      </w:r>
      <w:r w:rsidR="00623283">
        <w:t>,</w:t>
      </w:r>
      <w:r w:rsidRPr="00B03BEF">
        <w:t xml:space="preserve"> FXIIIA</w:t>
      </w:r>
      <w:r w:rsidRPr="00C52DF7">
        <w:rPr>
          <w:vertAlign w:val="subscript"/>
        </w:rPr>
        <w:t>2</w:t>
      </w:r>
      <w:r w:rsidRPr="00B03BEF">
        <w:t xml:space="preserve"> is activated by thrombin.</w:t>
      </w:r>
      <w:r w:rsidR="00CD52B1">
        <w:t xml:space="preserve"> </w:t>
      </w:r>
      <w:r w:rsidR="002E43D1">
        <w:t xml:space="preserve">However, FXIII and rFXIII can </w:t>
      </w:r>
      <w:r w:rsidRPr="00B03BEF">
        <w:t>both undergo spontaneous (non</w:t>
      </w:r>
      <w:r w:rsidR="00CD277B">
        <w:t xml:space="preserve"> </w:t>
      </w:r>
      <w:r w:rsidRPr="00B03BEF">
        <w:t>proteolytic) activation. The active site of the FXIIIA</w:t>
      </w:r>
      <w:r w:rsidRPr="00C52DF7">
        <w:rPr>
          <w:vertAlign w:val="subscript"/>
        </w:rPr>
        <w:t>2</w:t>
      </w:r>
      <w:r w:rsidRPr="00B03BEF">
        <w:t xml:space="preserve"> subunit is shielded from unintentional activation when bound to the FXIIIB</w:t>
      </w:r>
      <w:r w:rsidRPr="00C52DF7">
        <w:rPr>
          <w:vertAlign w:val="subscript"/>
        </w:rPr>
        <w:t>2</w:t>
      </w:r>
      <w:r w:rsidRPr="00B03BEF">
        <w:t xml:space="preserve"> subunit in plasma. Normal plasma levels of endogenous FXIIIA</w:t>
      </w:r>
      <w:r w:rsidRPr="00C52DF7">
        <w:rPr>
          <w:vertAlign w:val="subscript"/>
        </w:rPr>
        <w:t>2</w:t>
      </w:r>
      <w:r w:rsidR="00C52DF7">
        <w:t xml:space="preserve"> are ~</w:t>
      </w:r>
      <w:r w:rsidRPr="00B03BEF">
        <w:t>10 μg/ml. The recommended clinical dose of 35 IU/kg rFXIII once monthly will result in a maximum plasma concentration of 5 μg/ml and is not expected to exceed the available free FXIIIB</w:t>
      </w:r>
      <w:r w:rsidRPr="001C0A0D">
        <w:rPr>
          <w:vertAlign w:val="subscript"/>
        </w:rPr>
        <w:t>2</w:t>
      </w:r>
      <w:r w:rsidRPr="00B03BEF">
        <w:t xml:space="preserve"> subunit.</w:t>
      </w:r>
    </w:p>
    <w:p w:rsidR="00B03BEF" w:rsidRPr="00B03BEF" w:rsidRDefault="0068409E" w:rsidP="00B03BEF">
      <w:r>
        <w:t>PD</w:t>
      </w:r>
      <w:r w:rsidR="00B03BEF" w:rsidRPr="00B03BEF">
        <w:t xml:space="preserve"> studies were generally performed using rFXIII from a different source from that used in the pharmacokinetic </w:t>
      </w:r>
      <w:r w:rsidR="001C3720">
        <w:t xml:space="preserve">(PK) </w:t>
      </w:r>
      <w:r w:rsidR="00B03BEF" w:rsidRPr="00B03BEF">
        <w:t>and toxicity studies.</w:t>
      </w:r>
      <w:r w:rsidR="00CD52B1">
        <w:t xml:space="preserve"> </w:t>
      </w:r>
      <w:r w:rsidR="00B03BEF" w:rsidRPr="00B03BEF">
        <w:t xml:space="preserve">Most of the primary pharmacology studies were conducted using rFXIII prepared by </w:t>
      </w:r>
      <w:r w:rsidR="008B7705">
        <w:t>a development partner</w:t>
      </w:r>
      <w:r w:rsidR="00C417D3">
        <w:t>; this</w:t>
      </w:r>
      <w:r w:rsidR="00C417D3" w:rsidRPr="00B03BEF">
        <w:t xml:space="preserve"> material was prepared using several different strains of </w:t>
      </w:r>
      <w:r w:rsidR="00C417D3" w:rsidRPr="00621D6A">
        <w:rPr>
          <w:i/>
        </w:rPr>
        <w:t>S. cerevisiae</w:t>
      </w:r>
      <w:r w:rsidR="00C417D3" w:rsidRPr="00B03BEF">
        <w:t xml:space="preserve"> (ZM118/pD16, ZM146 and </w:t>
      </w:r>
      <w:r w:rsidR="00C417D3" w:rsidRPr="00B03BEF">
        <w:lastRenderedPageBreak/>
        <w:t>BJ2n-5-LA).</w:t>
      </w:r>
      <w:r w:rsidR="00C417D3">
        <w:t xml:space="preserve"> </w:t>
      </w:r>
      <w:r w:rsidR="00B03BEF" w:rsidRPr="00B03BEF">
        <w:t>One study (LCP051125) used rFXIII from Novo Nordisk. No differences between the material from the different strains were noted where this was investigated.</w:t>
      </w:r>
    </w:p>
    <w:p w:rsidR="00B03BEF" w:rsidRPr="00B03BEF" w:rsidRDefault="00B03BEF" w:rsidP="00B03BEF">
      <w:r w:rsidRPr="002C752C">
        <w:rPr>
          <w:i/>
        </w:rPr>
        <w:t>In vitro</w:t>
      </w:r>
      <w:r w:rsidRPr="00B03BEF">
        <w:t xml:space="preserve"> rFXIII bound to endogenous B subunits from mouse, rat rabbit, dog, monkey and human plasma.</w:t>
      </w:r>
      <w:r w:rsidR="00CD52B1">
        <w:t xml:space="preserve"> </w:t>
      </w:r>
      <w:r w:rsidR="00DE1BD5">
        <w:t xml:space="preserve">Cross linked γ </w:t>
      </w:r>
      <w:r w:rsidRPr="00B03BEF">
        <w:t>fibrin dimers were detected following the addition of rFXIII (activated with thrombin and CaCl</w:t>
      </w:r>
      <w:r w:rsidRPr="009C1719">
        <w:rPr>
          <w:vertAlign w:val="subscript"/>
        </w:rPr>
        <w:t>2</w:t>
      </w:r>
      <w:r w:rsidRPr="00B03BEF">
        <w:t>) to depleted human or monkey plasma.</w:t>
      </w:r>
      <w:r w:rsidR="00CD52B1">
        <w:t xml:space="preserve"> </w:t>
      </w:r>
      <w:r w:rsidRPr="00B03BEF">
        <w:t>In this assay</w:t>
      </w:r>
      <w:r w:rsidR="009C1719">
        <w:t>,</w:t>
      </w:r>
      <w:r w:rsidRPr="00B03BEF">
        <w:t xml:space="preserve"> a concentration of 10 µg/mL rFXIII had approximately the same activity as that observed with normal endogenous levels of FXIII in cynomolgus monkey or human plasma. All three forms of rFXIII (rFXIII, rFXIIIa* and rFXIIIa</w:t>
      </w:r>
      <w:r w:rsidRPr="00950E12">
        <w:rPr>
          <w:vertAlign w:val="superscript"/>
        </w:rPr>
        <w:t>o</w:t>
      </w:r>
      <w:r w:rsidRPr="00B03BEF">
        <w:t>) were shown to cross</w:t>
      </w:r>
      <w:r w:rsidR="00BE582C">
        <w:t xml:space="preserve"> </w:t>
      </w:r>
      <w:r w:rsidRPr="00B03BEF">
        <w:t>link fibrin in FXIIIA2 deficient human plasma.</w:t>
      </w:r>
      <w:r w:rsidR="00CD52B1">
        <w:t xml:space="preserve"> </w:t>
      </w:r>
      <w:r w:rsidRPr="00B03BEF">
        <w:t>rFXIIIa* and rFXIIIa</w:t>
      </w:r>
      <w:r w:rsidRPr="00950E12">
        <w:rPr>
          <w:vertAlign w:val="superscript"/>
        </w:rPr>
        <w:t>o</w:t>
      </w:r>
      <w:r w:rsidRPr="00B03BEF">
        <w:t xml:space="preserve"> cross</w:t>
      </w:r>
      <w:r w:rsidR="00BE582C">
        <w:t xml:space="preserve"> </w:t>
      </w:r>
      <w:r w:rsidRPr="00B03BEF">
        <w:t>linked fibrin at low concentrations (2-50 µg/mL).</w:t>
      </w:r>
      <w:r w:rsidR="00CD52B1">
        <w:t xml:space="preserve"> </w:t>
      </w:r>
      <w:r w:rsidRPr="00B03BEF">
        <w:t>Significant cross</w:t>
      </w:r>
      <w:r w:rsidR="00BE582C">
        <w:t xml:space="preserve"> </w:t>
      </w:r>
      <w:r w:rsidRPr="00B03BEF">
        <w:t>linking with non</w:t>
      </w:r>
      <w:r w:rsidR="00BE582C">
        <w:t xml:space="preserve"> </w:t>
      </w:r>
      <w:r w:rsidRPr="00B03BEF">
        <w:t>activated rF</w:t>
      </w:r>
      <w:r w:rsidR="009C1719">
        <w:t>XIII was seen only after 4 h</w:t>
      </w:r>
      <w:r w:rsidRPr="00B03BEF">
        <w:t xml:space="preserve"> and at high concentrations (≥ 400 μg/mL, ~80x the maximum clinical concentration obtained at the recommended monthly clinical dose of 35 IU/kg).</w:t>
      </w:r>
      <w:r w:rsidR="00CD52B1">
        <w:t xml:space="preserve"> </w:t>
      </w:r>
      <w:r w:rsidRPr="00B03BEF">
        <w:t xml:space="preserve">In </w:t>
      </w:r>
      <w:r w:rsidRPr="009C1719">
        <w:rPr>
          <w:i/>
        </w:rPr>
        <w:t>in vitro</w:t>
      </w:r>
      <w:r w:rsidRPr="00B03BEF">
        <w:t xml:space="preserve"> studies</w:t>
      </w:r>
      <w:r w:rsidR="009C1719">
        <w:t>,</w:t>
      </w:r>
      <w:r w:rsidRPr="00B03BEF">
        <w:t xml:space="preserve"> activated rFXIII was shown to enhance clot development and to increase the maximal mechanical strength of clots as measured using thromboelastography.</w:t>
      </w:r>
      <w:r w:rsidR="00CD52B1">
        <w:t xml:space="preserve"> </w:t>
      </w:r>
      <w:r w:rsidRPr="00B03BEF">
        <w:t>Activated rFXIII also retarded the fibrinolysis of fibrin clots prolonging clo</w:t>
      </w:r>
      <w:r w:rsidR="00003994">
        <w:t xml:space="preserve">t lysis time in a concentration </w:t>
      </w:r>
      <w:r w:rsidRPr="00B03BEF">
        <w:t>dependent manner.</w:t>
      </w:r>
    </w:p>
    <w:p w:rsidR="00B03BEF" w:rsidRPr="00B03BEF" w:rsidRDefault="00B03BEF" w:rsidP="00B03BEF">
      <w:r w:rsidRPr="00B03BEF">
        <w:t>Plasma samples from monkeys following doses up to 30 mg/kg (~5010 IU/kg) rFXIII showed the presence of multiple high molecular weight protein complexes which appeared to contain va</w:t>
      </w:r>
      <w:r w:rsidR="009C1719">
        <w:t xml:space="preserve">rious oligomers of fibrinogen α and γ </w:t>
      </w:r>
      <w:r w:rsidRPr="00B03BEF">
        <w:t>chains either alone or in combin</w:t>
      </w:r>
      <w:r w:rsidR="009C1719">
        <w:t xml:space="preserve">ation with α-2 antiplasmin, α-2 </w:t>
      </w:r>
      <w:r w:rsidRPr="00B03BEF">
        <w:t>macroglobulin and fibronectin.</w:t>
      </w:r>
      <w:r w:rsidR="009C1719">
        <w:t xml:space="preserve"> </w:t>
      </w:r>
      <w:r w:rsidRPr="00B03BEF">
        <w:t>These proteins are important for increasing the strength of fibrin clots and increasing resistance to fibrinolysis.</w:t>
      </w:r>
    </w:p>
    <w:p w:rsidR="00B03BEF" w:rsidRPr="00B03BEF" w:rsidRDefault="00B03BEF" w:rsidP="00B03BEF">
      <w:r w:rsidRPr="00B03BEF">
        <w:t>Overall</w:t>
      </w:r>
      <w:r w:rsidR="00003994">
        <w:t>,</w:t>
      </w:r>
      <w:r w:rsidRPr="00B03BEF">
        <w:t xml:space="preserve"> the primary pharmacology studies established that the properties and actions of rFXIII are similar to those of endogenous FXIII.</w:t>
      </w:r>
      <w:r w:rsidR="00CD52B1">
        <w:t xml:space="preserve"> </w:t>
      </w:r>
      <w:r w:rsidRPr="00B03BEF">
        <w:t>rFXIII binds to endogenous FXIIIB</w:t>
      </w:r>
      <w:r w:rsidRPr="00623283">
        <w:rPr>
          <w:vertAlign w:val="subscript"/>
        </w:rPr>
        <w:t>2</w:t>
      </w:r>
      <w:r w:rsidRPr="00B03BEF">
        <w:t xml:space="preserve"> and plays a key role in the maintenance and stability of fibrin clots.</w:t>
      </w:r>
    </w:p>
    <w:p w:rsidR="00B03BEF" w:rsidRPr="00B03BEF" w:rsidRDefault="00B03BEF" w:rsidP="00B03BEF">
      <w:pPr>
        <w:pStyle w:val="Heading4"/>
      </w:pPr>
      <w:r w:rsidRPr="00B03BEF">
        <w:t>Secondary pharmacodynamics and safety pharmacology</w:t>
      </w:r>
    </w:p>
    <w:p w:rsidR="00B03BEF" w:rsidRPr="00B03BEF" w:rsidRDefault="00B03BEF" w:rsidP="00B03BEF">
      <w:r w:rsidRPr="00B03BEF">
        <w:t>Secondary pharmacology studies examined the binding of rFXIII and rFXIIIa* to a variety of cells.</w:t>
      </w:r>
      <w:r w:rsidR="00CD52B1">
        <w:t xml:space="preserve"> </w:t>
      </w:r>
      <w:r w:rsidRPr="00B03BEF">
        <w:t>rFXIIIa* bou</w:t>
      </w:r>
      <w:r w:rsidR="009C1719">
        <w:t xml:space="preserve">nd to both resting and thrombin </w:t>
      </w:r>
      <w:r w:rsidRPr="00B03BEF">
        <w:t>activated platelets, endothelial cells, intestinal epithelial cells, fibroblasts and aortic smooth muscle cells.</w:t>
      </w:r>
      <w:r w:rsidR="00CD52B1">
        <w:t xml:space="preserve"> </w:t>
      </w:r>
      <w:r w:rsidRPr="00B03BEF">
        <w:t>rFXIII did not bind to any of these cells and neither the activated nor the inactivated form bound to lymphocytes, granulocytes or monocytes.</w:t>
      </w:r>
      <w:r w:rsidR="00CD52B1">
        <w:t xml:space="preserve"> </w:t>
      </w:r>
      <w:r w:rsidRPr="00B03BEF">
        <w:t>This pattern of binding is comparable to that reported in the literature for endogenous FXIII</w:t>
      </w:r>
      <w:r w:rsidR="00003994">
        <w:t>.</w:t>
      </w:r>
      <w:r w:rsidR="00003994">
        <w:rPr>
          <w:rStyle w:val="FootnoteReference"/>
        </w:rPr>
        <w:footnoteReference w:id="4"/>
      </w:r>
    </w:p>
    <w:p w:rsidR="00B03BEF" w:rsidRPr="00B03BEF" w:rsidRDefault="00B03BEF" w:rsidP="00B03BEF">
      <w:r w:rsidRPr="00B03BEF">
        <w:t xml:space="preserve">Safety pharmacology assessment of the </w:t>
      </w:r>
      <w:r w:rsidR="00094266">
        <w:t>central nervous system (</w:t>
      </w:r>
      <w:r w:rsidRPr="00B03BEF">
        <w:t>CNS</w:t>
      </w:r>
      <w:r w:rsidR="00094266">
        <w:t>)</w:t>
      </w:r>
      <w:r w:rsidRPr="00B03BEF">
        <w:t xml:space="preserve"> effects relied on cage</w:t>
      </w:r>
      <w:r w:rsidR="00D928AA">
        <w:t xml:space="preserve"> </w:t>
      </w:r>
      <w:r w:rsidRPr="00B03BEF">
        <w:t>side observations for changes in general appearance and behaviour made in the repeat</w:t>
      </w:r>
      <w:r w:rsidR="00D928AA">
        <w:t xml:space="preserve"> </w:t>
      </w:r>
      <w:r w:rsidRPr="00B03BEF">
        <w:t>dose studies in cynomolgus monkeys.</w:t>
      </w:r>
      <w:r w:rsidR="00CD52B1">
        <w:t xml:space="preserve"> </w:t>
      </w:r>
      <w:r w:rsidRPr="00B03BEF">
        <w:t>Cardiovascula</w:t>
      </w:r>
      <w:r w:rsidR="00D209E2">
        <w:t>r safety (</w:t>
      </w:r>
      <w:r w:rsidR="00D209E2" w:rsidRPr="00D209E2">
        <w:t>electrocardiogram</w:t>
      </w:r>
      <w:r w:rsidR="00D209E2">
        <w:t xml:space="preserve"> [ECG]</w:t>
      </w:r>
      <w:r w:rsidRPr="00B03BEF">
        <w:t>, blood pressure</w:t>
      </w:r>
      <w:r w:rsidR="00D209E2">
        <w:t>,</w:t>
      </w:r>
      <w:r w:rsidRPr="00B03BEF">
        <w:t xml:space="preserve"> heart rate) was also assessed in these studies.</w:t>
      </w:r>
      <w:r w:rsidR="00CD52B1">
        <w:t xml:space="preserve"> </w:t>
      </w:r>
      <w:r w:rsidRPr="00B03BEF">
        <w:t>No adverse effects of catridecacog on the CNS or the cardiovascular system were observed after single and repeat d</w:t>
      </w:r>
      <w:r w:rsidR="009A3899">
        <w:t>osing (doses up to 10 mg/kg, which is ~48</w:t>
      </w:r>
      <w:r w:rsidRPr="00B03BEF">
        <w:t>x the recommended monthly dose of 35 IU/kg).</w:t>
      </w:r>
      <w:r w:rsidR="00CD52B1">
        <w:t xml:space="preserve"> </w:t>
      </w:r>
      <w:r w:rsidRPr="00B03BEF">
        <w:t>Possible cardiovascular effects were also examined in a monkey cardiopulmonary bypass model. In this model</w:t>
      </w:r>
      <w:r w:rsidR="00370094">
        <w:t>,</w:t>
      </w:r>
      <w:r w:rsidRPr="00B03BEF">
        <w:t xml:space="preserve"> cat</w:t>
      </w:r>
      <w:r w:rsidR="00370094">
        <w:t>ridecacog 300 and 1000 IU/kg (~9-29</w:t>
      </w:r>
      <w:r w:rsidRPr="00B03BEF">
        <w:t>x a single clinical dose) had no effects on respiration, ECG, heart rate, blood pressure or body temperature in anaesthetized monkeys.</w:t>
      </w:r>
    </w:p>
    <w:p w:rsidR="00B03BEF" w:rsidRPr="00B03BEF" w:rsidRDefault="00B03BEF" w:rsidP="00B03BEF">
      <w:r w:rsidRPr="00B03BEF">
        <w:t>The potential of catridecacog to increase clot formation, as distinct from clot stabili</w:t>
      </w:r>
      <w:r w:rsidR="00370094">
        <w:t>s</w:t>
      </w:r>
      <w:r w:rsidRPr="00B03BEF">
        <w:t>ation, was evaluated in an arteriovenous shunt model with cotton thread activated platelets in rabbits. Catridecacog had no effect on clot growth, blood flow, blood pressure or mean p</w:t>
      </w:r>
      <w:r w:rsidR="00997F21">
        <w:t>latelet levels at 0.4 mg/kg (~2</w:t>
      </w:r>
      <w:r w:rsidRPr="00B03BEF">
        <w:t>x the recommended clinical dose).</w:t>
      </w:r>
    </w:p>
    <w:p w:rsidR="00B03BEF" w:rsidRPr="00B03BEF" w:rsidRDefault="00B03BEF" w:rsidP="00B03BEF">
      <w:r w:rsidRPr="00997F21">
        <w:rPr>
          <w:i/>
        </w:rPr>
        <w:t>In vitro</w:t>
      </w:r>
      <w:r w:rsidRPr="00B03BEF">
        <w:t xml:space="preserve"> studies conducted to assess the potential of rFXIII and rFXIIIa* (thrombin activated rFXIII) to damage endothelium found no evidence of endothelial cell cytotoxicity </w:t>
      </w:r>
      <w:r w:rsidRPr="00B03BEF">
        <w:lastRenderedPageBreak/>
        <w:t>at conc</w:t>
      </w:r>
      <w:r w:rsidR="00623283">
        <w:t>entrations up to 100 µg/mL (~20</w:t>
      </w:r>
      <w:r w:rsidRPr="00B03BEF">
        <w:t>x the plasma concentration following a single clinical dose of 35 IU/kg).</w:t>
      </w:r>
      <w:r w:rsidR="00CD52B1">
        <w:t xml:space="preserve"> </w:t>
      </w:r>
      <w:r w:rsidRPr="00B03BEF">
        <w:t>Some evidence of a cytostatic effect on proliferating endothelial cells was seen with rFXIIIa* at 100 µg/mL.</w:t>
      </w:r>
      <w:r w:rsidR="00CD52B1">
        <w:t xml:space="preserve"> </w:t>
      </w:r>
      <w:r w:rsidRPr="00B03BEF">
        <w:t>This concentration is substantially greater than a plasma concentration of ~5 µg/ml which would be expected following the recommended clinical dose of 35 IU/kg (~0.21 mg/kg).</w:t>
      </w:r>
      <w:r w:rsidR="00CD52B1">
        <w:t xml:space="preserve"> </w:t>
      </w:r>
      <w:r w:rsidRPr="00B03BEF">
        <w:t>The potential for pro</w:t>
      </w:r>
      <w:r w:rsidR="00ED3ACD">
        <w:t xml:space="preserve"> </w:t>
      </w:r>
      <w:r w:rsidRPr="00B03BEF">
        <w:t xml:space="preserve">inflammatory effects of rFXIII was evaluated in endothelial cells </w:t>
      </w:r>
      <w:r w:rsidRPr="00ED3ACD">
        <w:rPr>
          <w:i/>
        </w:rPr>
        <w:t>in vitro</w:t>
      </w:r>
      <w:r w:rsidRPr="00B03BEF">
        <w:t xml:space="preserve"> and whole blood </w:t>
      </w:r>
      <w:r w:rsidRPr="00ED3ACD">
        <w:rPr>
          <w:i/>
        </w:rPr>
        <w:t>ex vivo</w:t>
      </w:r>
      <w:r w:rsidRPr="00B03BEF">
        <w:t>.</w:t>
      </w:r>
      <w:r w:rsidR="00CD52B1">
        <w:t xml:space="preserve"> </w:t>
      </w:r>
      <w:r w:rsidRPr="00B03BEF">
        <w:t>rFXIII (≤100 µg/mL) and rFXIIIa* (≤10 µg/mL) had no effects on the expression of pro</w:t>
      </w:r>
      <w:r w:rsidR="00542F05">
        <w:t xml:space="preserve"> </w:t>
      </w:r>
      <w:r w:rsidRPr="00B03BEF">
        <w:t xml:space="preserve">adhesion molecules in endothelial cells </w:t>
      </w:r>
      <w:r w:rsidRPr="00542F05">
        <w:rPr>
          <w:i/>
        </w:rPr>
        <w:t>in vitro</w:t>
      </w:r>
      <w:r w:rsidRPr="00B03BEF">
        <w:t>.</w:t>
      </w:r>
      <w:r w:rsidR="00CD52B1">
        <w:t xml:space="preserve"> </w:t>
      </w:r>
      <w:r w:rsidRPr="00B03BEF">
        <w:t>Some increase in the expression of these molecules was seen with rFXIIIa* at a concentration of 100 µg/mL.</w:t>
      </w:r>
      <w:r w:rsidR="00CD52B1">
        <w:t xml:space="preserve"> </w:t>
      </w:r>
      <w:r w:rsidRPr="00B03BEF">
        <w:t>rFXIII (≤100 µg/mL) and rFXIIIa* (≤10 µg/mL) had no effects on the production of pro</w:t>
      </w:r>
      <w:r w:rsidR="00676EBD">
        <w:t xml:space="preserve"> </w:t>
      </w:r>
      <w:r w:rsidRPr="00B03BEF">
        <w:t>inflammatory cytokines in whole blood from healthy donors.</w:t>
      </w:r>
      <w:r w:rsidR="00CD52B1">
        <w:t xml:space="preserve"> </w:t>
      </w:r>
      <w:r w:rsidRPr="00B03BEF">
        <w:t>Some increase in TNFα and IL-6 production was seen with 100 µg/mL rFXIIIa* in one experiment.</w:t>
      </w:r>
    </w:p>
    <w:p w:rsidR="00B03BEF" w:rsidRPr="00B03BEF" w:rsidRDefault="00B03BEF" w:rsidP="00B03BEF">
      <w:r w:rsidRPr="00B03BEF">
        <w:t>Although not directly relevant to the present submission</w:t>
      </w:r>
      <w:r w:rsidR="00676EBD">
        <w:t>,</w:t>
      </w:r>
      <w:r w:rsidRPr="00B03BEF">
        <w:t xml:space="preserve"> the sponsor included several studies on possible interactions between rFXIII and other agents used to modify coagulation.</w:t>
      </w:r>
      <w:r w:rsidR="00CD52B1">
        <w:t xml:space="preserve"> </w:t>
      </w:r>
      <w:r w:rsidRPr="00B03BEF">
        <w:t xml:space="preserve">Heparin and protamine are drugs used to regulate coagulation in connection with cardiopulmonary bypass surgery and many other types of surgery. </w:t>
      </w:r>
      <w:r w:rsidRPr="00676EBD">
        <w:rPr>
          <w:i/>
        </w:rPr>
        <w:t>In vitro</w:t>
      </w:r>
      <w:r w:rsidRPr="00B03BEF">
        <w:t xml:space="preserve"> studies demonstrated that rFXIII at conce</w:t>
      </w:r>
      <w:r w:rsidR="009A3899">
        <w:t>ntrations up to 100 µg/ml (~ 20</w:t>
      </w:r>
      <w:r w:rsidR="00676EBD">
        <w:t>x</w:t>
      </w:r>
      <w:r w:rsidRPr="00B03BEF">
        <w:t xml:space="preserve"> the anticipated clinical concentration) did not influence the effects of heparin and protamine on activated partial thromboplastin time.</w:t>
      </w:r>
      <w:r w:rsidR="00CD52B1">
        <w:t xml:space="preserve"> </w:t>
      </w:r>
      <w:r w:rsidRPr="00B03BEF">
        <w:t xml:space="preserve">Neither heparin nor protamine had an effect on the </w:t>
      </w:r>
      <w:r w:rsidRPr="00676EBD">
        <w:rPr>
          <w:i/>
        </w:rPr>
        <w:t>in vitro</w:t>
      </w:r>
      <w:r w:rsidRPr="00B03BEF">
        <w:t xml:space="preserve"> cross</w:t>
      </w:r>
      <w:r w:rsidR="00676EBD">
        <w:t xml:space="preserve"> </w:t>
      </w:r>
      <w:r w:rsidRPr="00B03BEF">
        <w:t>linking activity of rFXIII.</w:t>
      </w:r>
    </w:p>
    <w:p w:rsidR="00B03BEF" w:rsidRPr="00B03BEF" w:rsidRDefault="00B03BEF" w:rsidP="00B03BEF">
      <w:r w:rsidRPr="00B03BEF">
        <w:t xml:space="preserve">In </w:t>
      </w:r>
      <w:r w:rsidRPr="00676EBD">
        <w:rPr>
          <w:i/>
        </w:rPr>
        <w:t>in vivo</w:t>
      </w:r>
      <w:r w:rsidRPr="00B03BEF">
        <w:t xml:space="preserve"> toxicity studies in cynomolgus monkeys with combined rFXIII and rFVIIa</w:t>
      </w:r>
      <w:r w:rsidR="00676EBD">
        <w:t>,</w:t>
      </w:r>
      <w:r w:rsidRPr="00B03BEF">
        <w:t xml:space="preserve"> there was no clear evidence of an additive or synergistic effect of the two factors in combination.</w:t>
      </w:r>
      <w:r w:rsidR="00CD52B1">
        <w:t xml:space="preserve"> </w:t>
      </w:r>
      <w:r w:rsidRPr="00B03BEF">
        <w:t>However</w:t>
      </w:r>
      <w:r w:rsidR="00676EBD">
        <w:t>,</w:t>
      </w:r>
      <w:r w:rsidRPr="00B03BEF">
        <w:t xml:space="preserve"> a single animal died following 1 mg/kg rFVIIa and 3.5 mg/kg rFXIII</w:t>
      </w:r>
      <w:r w:rsidR="00676EBD">
        <w:t>,</w:t>
      </w:r>
      <w:r w:rsidRPr="00B03BEF">
        <w:t xml:space="preserve"> so the possibility of additive/synergistic effects cannot be entirely ruled out.</w:t>
      </w:r>
    </w:p>
    <w:p w:rsidR="008E7846" w:rsidRDefault="008E7846" w:rsidP="008E7846">
      <w:pPr>
        <w:pStyle w:val="Heading3"/>
      </w:pPr>
      <w:bookmarkStart w:id="41" w:name="_Toc247691513"/>
      <w:bookmarkStart w:id="42" w:name="_Toc314842497"/>
      <w:bookmarkStart w:id="43" w:name="_Toc389414005"/>
      <w:r>
        <w:t>Pharmacokinetics</w:t>
      </w:r>
      <w:bookmarkEnd w:id="41"/>
      <w:bookmarkEnd w:id="42"/>
      <w:bookmarkEnd w:id="43"/>
    </w:p>
    <w:p w:rsidR="00024888" w:rsidRDefault="005B0B15" w:rsidP="005B0B15">
      <w:r w:rsidRPr="005B0B15">
        <w:t>Pharmacokinetics of total (bound and unbound) FXIIIA</w:t>
      </w:r>
      <w:r w:rsidRPr="00577216">
        <w:rPr>
          <w:vertAlign w:val="subscript"/>
        </w:rPr>
        <w:t>2</w:t>
      </w:r>
      <w:r w:rsidRPr="005B0B15">
        <w:t xml:space="preserve"> and FXIIIA</w:t>
      </w:r>
      <w:r w:rsidRPr="00577216">
        <w:rPr>
          <w:vertAlign w:val="subscript"/>
        </w:rPr>
        <w:t>2</w:t>
      </w:r>
      <w:r w:rsidRPr="005B0B15">
        <w:t>B</w:t>
      </w:r>
      <w:r w:rsidRPr="00577216">
        <w:rPr>
          <w:vertAlign w:val="subscript"/>
        </w:rPr>
        <w:t>2</w:t>
      </w:r>
      <w:r w:rsidRPr="005B0B15">
        <w:t xml:space="preserve"> were investigated in monkeys and in rat toxicity studies. Plasma free FXIIIB</w:t>
      </w:r>
      <w:r w:rsidRPr="00577216">
        <w:rPr>
          <w:vertAlign w:val="subscript"/>
        </w:rPr>
        <w:t>2</w:t>
      </w:r>
      <w:r w:rsidRPr="005B0B15">
        <w:t xml:space="preserve"> were also determined in some studies. In monkeys</w:t>
      </w:r>
      <w:r w:rsidR="00577216">
        <w:t>,</w:t>
      </w:r>
      <w:r w:rsidRPr="005B0B15">
        <w:t xml:space="preserve"> the half</w:t>
      </w:r>
      <w:r w:rsidR="00577216">
        <w:t xml:space="preserve"> </w:t>
      </w:r>
      <w:r w:rsidRPr="005B0B15">
        <w:t xml:space="preserve">life of unbound </w:t>
      </w:r>
      <w:r w:rsidRPr="005B0B15">
        <w:rPr>
          <w:vertAlign w:val="superscript"/>
        </w:rPr>
        <w:t>125</w:t>
      </w:r>
      <w:r w:rsidRPr="005B0B15">
        <w:t>I-catrid</w:t>
      </w:r>
      <w:r w:rsidR="00577216">
        <w:t>ecacog was approximately 4 h</w:t>
      </w:r>
      <w:r w:rsidRPr="005B0B15">
        <w:t xml:space="preserve"> for doses of 0.5 and 5 mg/kg</w:t>
      </w:r>
      <w:r w:rsidR="00577216">
        <w:t>,</w:t>
      </w:r>
      <w:r w:rsidRPr="005B0B15">
        <w:t xml:space="preserve"> while the corresponding half</w:t>
      </w:r>
      <w:r w:rsidR="00577216">
        <w:t xml:space="preserve"> </w:t>
      </w:r>
      <w:r w:rsidRPr="005B0B15">
        <w:t>life values for total (bound and unbound) recombinant A</w:t>
      </w:r>
      <w:r w:rsidRPr="00577216">
        <w:rPr>
          <w:vertAlign w:val="subscript"/>
        </w:rPr>
        <w:t>2</w:t>
      </w:r>
      <w:r w:rsidRPr="005B0B15">
        <w:t xml:space="preserve"> (cat</w:t>
      </w:r>
      <w:r w:rsidR="00253D65">
        <w:t xml:space="preserve">ridecacog) were around 100 h; this is shorter than the half </w:t>
      </w:r>
      <w:r w:rsidRPr="005B0B15">
        <w:t>life of catridecacog in patients with congenital A</w:t>
      </w:r>
      <w:r w:rsidRPr="00253D65">
        <w:rPr>
          <w:vertAlign w:val="subscript"/>
        </w:rPr>
        <w:t>2</w:t>
      </w:r>
      <w:r w:rsidR="00253D65">
        <w:t xml:space="preserve"> subunit deficiency (~</w:t>
      </w:r>
      <w:r w:rsidR="009A3899">
        <w:t xml:space="preserve">11 days or 264 h). </w:t>
      </w:r>
      <w:r w:rsidRPr="005B0B15">
        <w:t>The understood role of the B</w:t>
      </w:r>
      <w:r w:rsidRPr="00647775">
        <w:rPr>
          <w:vertAlign w:val="subscript"/>
        </w:rPr>
        <w:t>2</w:t>
      </w:r>
      <w:r w:rsidRPr="005B0B15">
        <w:t xml:space="preserve"> dimer is to act as a carrier m</w:t>
      </w:r>
      <w:r w:rsidR="00024888">
        <w:t xml:space="preserve">olecule which prolongs the half </w:t>
      </w:r>
      <w:r w:rsidRPr="005B0B15">
        <w:t>life of the A</w:t>
      </w:r>
      <w:r w:rsidRPr="00024888">
        <w:rPr>
          <w:vertAlign w:val="subscript"/>
        </w:rPr>
        <w:t>2</w:t>
      </w:r>
      <w:r w:rsidRPr="005B0B15">
        <w:t xml:space="preserve"> dimer.</w:t>
      </w:r>
      <w:r w:rsidR="00CD52B1">
        <w:t xml:space="preserve"> </w:t>
      </w:r>
      <w:r w:rsidRPr="005B0B15">
        <w:t>Plasma half</w:t>
      </w:r>
      <w:r w:rsidR="00024888">
        <w:t xml:space="preserve"> </w:t>
      </w:r>
      <w:r w:rsidRPr="005B0B15">
        <w:t>life of catridecacog in patients with congenital A</w:t>
      </w:r>
      <w:r w:rsidRPr="00024888">
        <w:rPr>
          <w:vertAlign w:val="subscript"/>
        </w:rPr>
        <w:t>2</w:t>
      </w:r>
      <w:r w:rsidRPr="005B0B15">
        <w:t xml:space="preserve"> subun</w:t>
      </w:r>
      <w:r w:rsidR="00024888">
        <w:t>it deficiency was ~</w:t>
      </w:r>
      <w:r w:rsidRPr="005B0B15">
        <w:t>11 days.</w:t>
      </w:r>
      <w:r w:rsidR="009A3899">
        <w:t xml:space="preserve"> </w:t>
      </w:r>
      <w:r w:rsidRPr="005B0B15">
        <w:t>This half</w:t>
      </w:r>
      <w:r w:rsidR="00024888">
        <w:t xml:space="preserve"> </w:t>
      </w:r>
      <w:r w:rsidRPr="005B0B15">
        <w:t>life is consistent with the action of the B subunit prolonging the circulation time of the A</w:t>
      </w:r>
      <w:r w:rsidRPr="00623283">
        <w:rPr>
          <w:vertAlign w:val="subscript"/>
        </w:rPr>
        <w:t>2</w:t>
      </w:r>
      <w:r w:rsidRPr="005B0B15">
        <w:t xml:space="preserve"> dimer. In monkeys and in humans, the free B subunit level decreased rapidly after dosing and </w:t>
      </w:r>
      <w:r>
        <w:t>returned to baseline within 24-</w:t>
      </w:r>
      <w:r w:rsidRPr="005B0B15">
        <w:t xml:space="preserve">72 </w:t>
      </w:r>
      <w:r>
        <w:t>h</w:t>
      </w:r>
      <w:r w:rsidR="00024888">
        <w:t>.</w:t>
      </w:r>
    </w:p>
    <w:p w:rsidR="005B0B15" w:rsidRPr="005B0B15" w:rsidRDefault="005B0B15" w:rsidP="005B0B15">
      <w:r w:rsidRPr="005B0B15">
        <w:t xml:space="preserve">Distribution was examined using whole body autoradiography in cynomolgus monkeys receiving a single IV dose of </w:t>
      </w:r>
      <w:r w:rsidRPr="005B0B15">
        <w:rPr>
          <w:vertAlign w:val="superscript"/>
        </w:rPr>
        <w:t>125</w:t>
      </w:r>
      <w:r w:rsidRPr="005B0B15">
        <w:t>I-catridecacog. Radioactivity was distributed to blood and highly perfused tissues and crossed the blood/testes and blood/brain barrier at low levels. Distribution into the cellular fraction of the blood was low. No tissues showed tissue:plasma exposure ratios greater than o</w:t>
      </w:r>
      <w:r>
        <w:t>ne at either 2 h or 72 h</w:t>
      </w:r>
      <w:r w:rsidRPr="005B0B15">
        <w:t xml:space="preserve"> post</w:t>
      </w:r>
      <w:r w:rsidR="00B326D6">
        <w:t xml:space="preserve"> </w:t>
      </w:r>
      <w:r w:rsidRPr="005B0B15">
        <w:t>dose (with the exception of thyroid due to the iodine radiolabel).</w:t>
      </w:r>
    </w:p>
    <w:p w:rsidR="005B0B15" w:rsidRPr="005B0B15" w:rsidRDefault="005B0B15" w:rsidP="005B0B15">
      <w:r w:rsidRPr="005B0B15">
        <w:t>No metabolism studies were performed since catridecacog is a member of a therapeutic class understood to be degraded into smaller peptides and individual amino acids.</w:t>
      </w:r>
    </w:p>
    <w:p w:rsidR="005B0B15" w:rsidRPr="005B0B15" w:rsidRDefault="005B0B15" w:rsidP="005B0B15">
      <w:r w:rsidRPr="005B0B15">
        <w:t xml:space="preserve">The primary route of excretion was established as via the urine, and to a much lesser extent the biliary route is also an excretory route based on radioactivity levels following an IV dose of </w:t>
      </w:r>
      <w:r w:rsidRPr="005B0B15">
        <w:rPr>
          <w:vertAlign w:val="superscript"/>
        </w:rPr>
        <w:t>125</w:t>
      </w:r>
      <w:r w:rsidRPr="005B0B15">
        <w:t>I-catridecacog.</w:t>
      </w:r>
    </w:p>
    <w:p w:rsidR="005B0B15" w:rsidRPr="005B0B15" w:rsidRDefault="005B0B15" w:rsidP="005B0B15">
      <w:r w:rsidRPr="005B0B15">
        <w:t>A comparison of catridecacog disposition (single 1</w:t>
      </w:r>
      <w:r w:rsidR="00B326D6">
        <w:t xml:space="preserve"> </w:t>
      </w:r>
      <w:r w:rsidRPr="005B0B15">
        <w:t xml:space="preserve">mg/kg dose) in mature and juvenile monkeys revealed significantly lower exposure in juvenile monkeys indicating a higher </w:t>
      </w:r>
      <w:r w:rsidRPr="005B0B15">
        <w:lastRenderedPageBreak/>
        <w:t xml:space="preserve">clearance and/or higher volume of distribution in juvenile animals. The results indicate that there may be the need for clinical </w:t>
      </w:r>
      <w:r w:rsidR="001C3720">
        <w:t>PK</w:t>
      </w:r>
      <w:r w:rsidRPr="005B0B15">
        <w:t xml:space="preserve"> assessment in children to determine whether paediatr</w:t>
      </w:r>
      <w:r w:rsidR="00600DDC">
        <w:t>ic dose adjustment is required.</w:t>
      </w:r>
    </w:p>
    <w:p w:rsidR="005B0B15" w:rsidRPr="005B0B15" w:rsidRDefault="005B0B15" w:rsidP="005B0B15">
      <w:r w:rsidRPr="005B0B15">
        <w:t xml:space="preserve">The submitted studies were adequate for the characterisation of catridecacog </w:t>
      </w:r>
      <w:r w:rsidR="001C3720">
        <w:t>PK</w:t>
      </w:r>
      <w:r w:rsidRPr="005B0B15">
        <w:t xml:space="preserve"> parameters. A similar </w:t>
      </w:r>
      <w:r w:rsidR="001C3720">
        <w:t>PK</w:t>
      </w:r>
      <w:r w:rsidRPr="005B0B15">
        <w:t xml:space="preserve"> profile was observed in rats and monkeys with no differences between sexes in either species.</w:t>
      </w:r>
      <w:r w:rsidR="00CD52B1">
        <w:t xml:space="preserve"> </w:t>
      </w:r>
      <w:r w:rsidRPr="005B0B15">
        <w:t>In rats</w:t>
      </w:r>
      <w:r w:rsidR="000E3313">
        <w:t>,</w:t>
      </w:r>
      <w:r w:rsidRPr="005B0B15">
        <w:t xml:space="preserve"> a less than dose proportional increase in </w:t>
      </w:r>
      <w:r w:rsidR="009C14DB">
        <w:t>the a</w:t>
      </w:r>
      <w:r w:rsidR="009C14DB" w:rsidRPr="009C14DB">
        <w:t>rea under the plasma concentration</w:t>
      </w:r>
      <w:r w:rsidR="00844412">
        <w:t xml:space="preserve"> </w:t>
      </w:r>
      <w:r w:rsidR="009C14DB" w:rsidRPr="009C14DB">
        <w:t xml:space="preserve">time curve </w:t>
      </w:r>
      <w:r w:rsidR="009C14DB">
        <w:t>(</w:t>
      </w:r>
      <w:r w:rsidRPr="005B0B15">
        <w:t>AUC</w:t>
      </w:r>
      <w:r w:rsidR="009C14DB">
        <w:t>)</w:t>
      </w:r>
      <w:r w:rsidRPr="005B0B15">
        <w:t xml:space="preserve"> was seen consistent with the formation of the heterotetramer.</w:t>
      </w:r>
      <w:r w:rsidR="00CD52B1">
        <w:t xml:space="preserve"> </w:t>
      </w:r>
      <w:r w:rsidRPr="005B0B15">
        <w:t xml:space="preserve">The reduction in free subunit B in cynomolgus monkeys following drug administration was consistent with heterotetramer formation and this </w:t>
      </w:r>
      <w:r w:rsidR="001C3720">
        <w:t>PK</w:t>
      </w:r>
      <w:r w:rsidRPr="005B0B15">
        <w:t xml:space="preserve"> pattern was similar to that seen in humans. The elimination profile in monkeys with a long half</w:t>
      </w:r>
      <w:r w:rsidR="00057BE5">
        <w:t xml:space="preserve"> </w:t>
      </w:r>
      <w:r w:rsidRPr="005B0B15">
        <w:t>life for the A</w:t>
      </w:r>
      <w:r w:rsidRPr="00E16361">
        <w:rPr>
          <w:vertAlign w:val="subscript"/>
        </w:rPr>
        <w:t>2</w:t>
      </w:r>
      <w:r w:rsidRPr="005B0B15">
        <w:t>B</w:t>
      </w:r>
      <w:r w:rsidRPr="00E16361">
        <w:rPr>
          <w:vertAlign w:val="subscript"/>
        </w:rPr>
        <w:t>2</w:t>
      </w:r>
      <w:r w:rsidRPr="005B0B15">
        <w:t xml:space="preserve"> tetramer and relatively short half</w:t>
      </w:r>
      <w:r w:rsidR="002D79BD">
        <w:t xml:space="preserve"> </w:t>
      </w:r>
      <w:r w:rsidRPr="005B0B15">
        <w:t>life for the A</w:t>
      </w:r>
      <w:r w:rsidRPr="00E16361">
        <w:rPr>
          <w:vertAlign w:val="subscript"/>
        </w:rPr>
        <w:t>2</w:t>
      </w:r>
      <w:r w:rsidRPr="005B0B15">
        <w:t xml:space="preserve"> dimer was qualitatively similar to that in humans. Thus</w:t>
      </w:r>
      <w:r w:rsidR="00524C51">
        <w:t>,</w:t>
      </w:r>
      <w:r w:rsidRPr="005B0B15">
        <w:t xml:space="preserve"> overall the animal models used were appropriate and adequate for the safety assessment of catridecacog.</w:t>
      </w:r>
    </w:p>
    <w:p w:rsidR="005B0B15" w:rsidRPr="005B0B15" w:rsidRDefault="005B0B15" w:rsidP="005B0B15">
      <w:pPr>
        <w:pStyle w:val="Heading4"/>
      </w:pPr>
      <w:bookmarkStart w:id="44" w:name="_Toc294861725"/>
      <w:r w:rsidRPr="005B0B15">
        <w:t>Pharmacokinetic drug interactions</w:t>
      </w:r>
      <w:bookmarkEnd w:id="44"/>
    </w:p>
    <w:p w:rsidR="005B0B15" w:rsidRPr="005B0B15" w:rsidRDefault="005B0B15" w:rsidP="005B0B15">
      <w:r w:rsidRPr="005B0B15">
        <w:t>The sponsor investigated the potential for drug interactions between catridecacog and rFVIIa in a single</w:t>
      </w:r>
      <w:r w:rsidR="00517DAE">
        <w:t xml:space="preserve"> </w:t>
      </w:r>
      <w:r w:rsidRPr="005B0B15">
        <w:t xml:space="preserve">dose study in monkey. No effect on exposure or other </w:t>
      </w:r>
      <w:r w:rsidR="001C3720">
        <w:t>PK</w:t>
      </w:r>
      <w:r w:rsidRPr="005B0B15">
        <w:t xml:space="preserve"> parameters was observed. </w:t>
      </w:r>
    </w:p>
    <w:p w:rsidR="008E7846" w:rsidRDefault="008E7846" w:rsidP="008E7846">
      <w:pPr>
        <w:pStyle w:val="Heading3"/>
      </w:pPr>
      <w:bookmarkStart w:id="45" w:name="_Toc247691514"/>
      <w:bookmarkStart w:id="46" w:name="_Toc314842498"/>
      <w:bookmarkStart w:id="47" w:name="_Toc389414006"/>
      <w:r>
        <w:t>Toxicology</w:t>
      </w:r>
      <w:bookmarkEnd w:id="45"/>
      <w:bookmarkEnd w:id="46"/>
      <w:bookmarkEnd w:id="47"/>
    </w:p>
    <w:p w:rsidR="00D82904" w:rsidRPr="00D82904" w:rsidRDefault="00D82904" w:rsidP="00D82904">
      <w:pPr>
        <w:pStyle w:val="Heading4"/>
      </w:pPr>
      <w:bookmarkStart w:id="48" w:name="_Toc294861727"/>
      <w:r w:rsidRPr="00D82904">
        <w:t>Acute toxicity</w:t>
      </w:r>
      <w:bookmarkEnd w:id="48"/>
    </w:p>
    <w:p w:rsidR="00D82904" w:rsidRPr="00D82904" w:rsidRDefault="00D82904" w:rsidP="00D82904">
      <w:r w:rsidRPr="00D82904">
        <w:t>Acute toxicity was assessed in cynomolgus monkeys at doses up to 30 mg/kg.</w:t>
      </w:r>
      <w:r w:rsidR="00CD52B1">
        <w:t xml:space="preserve"> </w:t>
      </w:r>
      <w:r w:rsidRPr="00D82904">
        <w:t>The maximum non</w:t>
      </w:r>
      <w:r w:rsidR="00524C51">
        <w:t xml:space="preserve"> </w:t>
      </w:r>
      <w:r w:rsidRPr="00D82904">
        <w:t>lethal dose was 21.2 mg/kg (100x the recommended clinical dose of 35 IU/kg) and animals given doses ≥</w:t>
      </w:r>
      <w:r w:rsidR="009A3899">
        <w:t xml:space="preserve"> </w:t>
      </w:r>
      <w:r w:rsidRPr="00D82904">
        <w:t>21.9 mg/kg died or were sacrificed moribund.</w:t>
      </w:r>
      <w:r w:rsidR="00CD52B1">
        <w:t xml:space="preserve"> </w:t>
      </w:r>
      <w:r w:rsidRPr="00D82904">
        <w:t xml:space="preserve">Affected animals developed generalised occlusive coagulopathy </w:t>
      </w:r>
      <w:r w:rsidR="00D81974">
        <w:t>(</w:t>
      </w:r>
      <w:r w:rsidRPr="00D82904">
        <w:t>intravascular congestion, thrombosis and subsequent ischemic necrosis</w:t>
      </w:r>
      <w:r w:rsidR="003770B9">
        <w:t>)</w:t>
      </w:r>
      <w:r w:rsidRPr="00D82904">
        <w:t xml:space="preserve"> in many organs and tissues consistent with disseminated intravascular coagulation (DIC).</w:t>
      </w:r>
      <w:r w:rsidR="00CD52B1">
        <w:t xml:space="preserve"> </w:t>
      </w:r>
      <w:r w:rsidRPr="00D82904">
        <w:t xml:space="preserve"> The observed gross and microscopic changes correlated with the observed changes in clinical pathology parameters.</w:t>
      </w:r>
      <w:r w:rsidR="00CD52B1">
        <w:t xml:space="preserve"> </w:t>
      </w:r>
      <w:r w:rsidRPr="00D82904">
        <w:t xml:space="preserve">These were decreased platelet counts, increased blood urea nitrogen, creatinine, potassium, </w:t>
      </w:r>
      <w:r w:rsidR="007A5BAF" w:rsidRPr="007A5BAF">
        <w:t xml:space="preserve">lactic acid dehydrogenase </w:t>
      </w:r>
      <w:r w:rsidR="00623283">
        <w:t>(</w:t>
      </w:r>
      <w:r w:rsidRPr="00D82904">
        <w:t>LDH</w:t>
      </w:r>
      <w:r w:rsidR="00623283">
        <w:t>)</w:t>
      </w:r>
      <w:r w:rsidRPr="00D82904">
        <w:t xml:space="preserve">, </w:t>
      </w:r>
      <w:r w:rsidR="00985CA3">
        <w:t>a</w:t>
      </w:r>
      <w:r w:rsidR="00985CA3" w:rsidRPr="00985CA3">
        <w:t xml:space="preserve">spartate transaminase </w:t>
      </w:r>
      <w:r w:rsidR="00623283">
        <w:t>(</w:t>
      </w:r>
      <w:r w:rsidRPr="00D82904">
        <w:t>AST</w:t>
      </w:r>
      <w:r w:rsidR="00623283">
        <w:t>)</w:t>
      </w:r>
      <w:r w:rsidRPr="00D82904">
        <w:t xml:space="preserve">, and </w:t>
      </w:r>
      <w:r w:rsidR="00680672">
        <w:t>ala</w:t>
      </w:r>
      <w:r w:rsidR="00680672" w:rsidRPr="00680672">
        <w:t>nine transaminase</w:t>
      </w:r>
      <w:r w:rsidR="00680672">
        <w:t xml:space="preserve"> </w:t>
      </w:r>
      <w:r w:rsidR="00623283">
        <w:t>(</w:t>
      </w:r>
      <w:r w:rsidRPr="00D82904">
        <w:t>ALT</w:t>
      </w:r>
      <w:r w:rsidR="00623283">
        <w:t xml:space="preserve">) </w:t>
      </w:r>
      <w:r w:rsidRPr="00D82904">
        <w:t>levels, increased C-reactive protein, and decre</w:t>
      </w:r>
      <w:r w:rsidR="00600DDC">
        <w:t>ased total protein and albumin.</w:t>
      </w:r>
    </w:p>
    <w:p w:rsidR="00D82904" w:rsidRPr="00D82904" w:rsidRDefault="00D82904" w:rsidP="00D82904">
      <w:r w:rsidRPr="00D82904">
        <w:t>The toxicity of catridecacog is directly related to the primary action of stabili</w:t>
      </w:r>
      <w:r w:rsidR="008733E9">
        <w:t>s</w:t>
      </w:r>
      <w:r w:rsidRPr="00D82904">
        <w:t>ing fibrin clots and consequent development of DIC.</w:t>
      </w:r>
      <w:r w:rsidR="00CD52B1">
        <w:t xml:space="preserve"> </w:t>
      </w:r>
      <w:r w:rsidRPr="00D82904">
        <w:t>At the doses tested there were no indications of any toxicity related to any other effects of the drug.</w:t>
      </w:r>
      <w:r w:rsidR="00CD52B1">
        <w:t xml:space="preserve"> </w:t>
      </w:r>
      <w:r w:rsidRPr="00D82904">
        <w:t xml:space="preserve">It is important to note that the primary pharmacological action of rFXIII is performed by activated rFXIII. Activation can occur due to thrombin or spontaneously either </w:t>
      </w:r>
      <w:r w:rsidRPr="00761BD6">
        <w:rPr>
          <w:i/>
        </w:rPr>
        <w:t>in vitro</w:t>
      </w:r>
      <w:r w:rsidRPr="00D82904">
        <w:t xml:space="preserve"> or in the circulation.</w:t>
      </w:r>
      <w:r w:rsidR="00CD52B1">
        <w:t xml:space="preserve"> </w:t>
      </w:r>
      <w:r w:rsidRPr="00D82904">
        <w:t>The sponsor has indicated that the clinic</w:t>
      </w:r>
      <w:r w:rsidR="00F7352F">
        <w:t>al preparation contains 0.8</w:t>
      </w:r>
      <w:r w:rsidRPr="00D82904">
        <w:t>% rFXIIIa° (spontaneously activated rFXIII) at end of shelf life specification. Preparations used in animal experiments contained varying amounts of rFXIIIa°, with rFXIIIa° doses greater than the clinical dose.</w:t>
      </w:r>
    </w:p>
    <w:p w:rsidR="00D82904" w:rsidRPr="00D82904" w:rsidRDefault="00D82904" w:rsidP="00D82904">
      <w:pPr>
        <w:pStyle w:val="Heading4"/>
      </w:pPr>
      <w:bookmarkStart w:id="49" w:name="_Toc294861728"/>
      <w:r w:rsidRPr="00D82904">
        <w:t>Repeat</w:t>
      </w:r>
      <w:r w:rsidR="00434E71">
        <w:t xml:space="preserve"> </w:t>
      </w:r>
      <w:r w:rsidRPr="00D82904">
        <w:t>dose toxicity</w:t>
      </w:r>
      <w:bookmarkEnd w:id="49"/>
    </w:p>
    <w:p w:rsidR="00D82904" w:rsidRPr="00D82904" w:rsidRDefault="00D82904" w:rsidP="00D82904">
      <w:r w:rsidRPr="00D82904">
        <w:t>Repeat dose toxicity studies were conducted in rats (up to 4 weeks) and cynomolgus monkeys (up to 27 weeks).</w:t>
      </w:r>
      <w:r w:rsidR="00CD52B1">
        <w:t xml:space="preserve"> </w:t>
      </w:r>
      <w:r w:rsidRPr="00D82904">
        <w:t>All studies employed the clinical route (IV), which is appropriate for this substance.</w:t>
      </w:r>
    </w:p>
    <w:p w:rsidR="00D82904" w:rsidRPr="00D82904" w:rsidRDefault="00D82904" w:rsidP="00D82904">
      <w:pPr>
        <w:pStyle w:val="Heading5"/>
      </w:pPr>
      <w:r w:rsidRPr="00D82904">
        <w:t>Relative exposure</w:t>
      </w:r>
    </w:p>
    <w:p w:rsidR="00D82904" w:rsidRPr="00D82904" w:rsidRDefault="00D82904" w:rsidP="00D82904">
      <w:r w:rsidRPr="00D82904">
        <w:t>The proposed dose in humans with congenital FXIII A</w:t>
      </w:r>
      <w:r w:rsidR="00BC0EDD">
        <w:t xml:space="preserve"> </w:t>
      </w:r>
      <w:r w:rsidRPr="00D82904">
        <w:t>subunit deficiency is 35 IU/kg/month IV with a plasma total FXIII A</w:t>
      </w:r>
      <w:r w:rsidRPr="00BC0EDD">
        <w:rPr>
          <w:vertAlign w:val="subscript"/>
        </w:rPr>
        <w:t>2</w:t>
      </w:r>
      <w:r w:rsidRPr="00D82904">
        <w:t xml:space="preserve"> activity of 0.90 IU/mL at 0.5 h, </w:t>
      </w:r>
      <w:r w:rsidR="00844412">
        <w:t>the a</w:t>
      </w:r>
      <w:r w:rsidR="00844412" w:rsidRPr="00844412">
        <w:t xml:space="preserve">rea under </w:t>
      </w:r>
      <w:r w:rsidR="00844412" w:rsidRPr="00844412">
        <w:lastRenderedPageBreak/>
        <w:t>the plasma concentration</w:t>
      </w:r>
      <w:r w:rsidR="00080756">
        <w:t xml:space="preserve"> </w:t>
      </w:r>
      <w:r w:rsidR="00844412" w:rsidRPr="00844412">
        <w:t>time curve from</w:t>
      </w:r>
      <w:r w:rsidR="00844412">
        <w:t xml:space="preserve"> </w:t>
      </w:r>
      <w:r w:rsidR="00844412" w:rsidRPr="00844412">
        <w:t xml:space="preserve">time zero to infinity </w:t>
      </w:r>
      <w:r w:rsidR="00844412">
        <w:t>(</w:t>
      </w:r>
      <w:r w:rsidRPr="00D82904">
        <w:t>AUC</w:t>
      </w:r>
      <w:r w:rsidRPr="00A93761">
        <w:rPr>
          <w:vertAlign w:val="subscript"/>
        </w:rPr>
        <w:t>0-∞</w:t>
      </w:r>
      <w:r w:rsidR="00844412">
        <w:t xml:space="preserve">) </w:t>
      </w:r>
      <w:r w:rsidRPr="00D82904">
        <w:t>316 IU/mL and AUC</w:t>
      </w:r>
      <w:r w:rsidRPr="00A93761">
        <w:rPr>
          <w:vertAlign w:val="subscript"/>
        </w:rPr>
        <w:t xml:space="preserve">0-28d </w:t>
      </w:r>
      <w:r w:rsidRPr="00D82904">
        <w:t>234 IU.h/mL (Study NN1841-3788 in healthy volunteers).</w:t>
      </w:r>
    </w:p>
    <w:p w:rsidR="00D82904" w:rsidRPr="00D82904" w:rsidRDefault="00D82904" w:rsidP="00D82904">
      <w:r w:rsidRPr="00D82904">
        <w:t>Total A</w:t>
      </w:r>
      <w:r w:rsidRPr="00A93761">
        <w:rPr>
          <w:vertAlign w:val="subscript"/>
        </w:rPr>
        <w:t>2</w:t>
      </w:r>
      <w:r w:rsidR="00A93761">
        <w:t xml:space="preserve"> AUC was</w:t>
      </w:r>
      <w:r w:rsidRPr="00D82904">
        <w:t xml:space="preserve"> obtained from animal studies and in humans; however, exposures cannot be relia</w:t>
      </w:r>
      <w:r w:rsidR="009C14DB">
        <w:t>bly compared based on AUC</w:t>
      </w:r>
      <w:r w:rsidRPr="00D82904">
        <w:t xml:space="preserve"> because of different AUC values (AUC</w:t>
      </w:r>
      <w:r w:rsidR="002A649B" w:rsidRPr="003A3234">
        <w:rPr>
          <w:vertAlign w:val="subscript"/>
        </w:rPr>
        <w:t>0-24</w:t>
      </w:r>
      <w:r w:rsidRPr="003A3234">
        <w:rPr>
          <w:vertAlign w:val="subscript"/>
        </w:rPr>
        <w:t>h</w:t>
      </w:r>
      <w:r w:rsidRPr="00D82904">
        <w:t xml:space="preserve">, </w:t>
      </w:r>
      <w:r w:rsidR="002A649B">
        <w:t>AUC</w:t>
      </w:r>
      <w:r w:rsidR="002A649B" w:rsidRPr="003A3234">
        <w:rPr>
          <w:vertAlign w:val="subscript"/>
        </w:rPr>
        <w:t>0-48</w:t>
      </w:r>
      <w:r w:rsidRPr="003A3234">
        <w:rPr>
          <w:vertAlign w:val="subscript"/>
        </w:rPr>
        <w:t>h</w:t>
      </w:r>
      <w:r w:rsidRPr="00D82904">
        <w:t xml:space="preserve">, and </w:t>
      </w:r>
      <w:r w:rsidR="002A649B">
        <w:t>AUC</w:t>
      </w:r>
      <w:r w:rsidR="002A649B" w:rsidRPr="003A3234">
        <w:rPr>
          <w:vertAlign w:val="subscript"/>
        </w:rPr>
        <w:t>0-</w:t>
      </w:r>
      <w:r w:rsidR="003A3234" w:rsidRPr="003A3234">
        <w:rPr>
          <w:vertAlign w:val="subscript"/>
        </w:rPr>
        <w:t>∞</w:t>
      </w:r>
      <w:r w:rsidRPr="00D82904">
        <w:t>) calculated in different studies, and long (and different) elimination half lives in different species. The most appropriate exposure comparis</w:t>
      </w:r>
      <w:r w:rsidR="00600DDC">
        <w:t>on for this protein is by dose.</w:t>
      </w:r>
    </w:p>
    <w:p w:rsidR="00D82904" w:rsidRPr="00D82904" w:rsidRDefault="00D82904" w:rsidP="00D82904">
      <w:r w:rsidRPr="00D82904">
        <w:t>Exposure levels achieved in animals in the pivotal toxicity studies were high on the basis of dose comparison (</w:t>
      </w:r>
      <w:r>
        <w:t>T</w:t>
      </w:r>
      <w:r w:rsidR="00B8542A">
        <w:t>able 2</w:t>
      </w:r>
      <w:r w:rsidRPr="00D82904">
        <w:t>).</w:t>
      </w:r>
      <w:r w:rsidR="00D0152E">
        <w:t xml:space="preserve"> </w:t>
      </w:r>
      <w:r w:rsidRPr="00D82904">
        <w:t xml:space="preserve">The doses given to the experimental animals were significantly higher than the proposed clinical dose, reaching a level up to 72 fold in rats and 60 fold in monkeys. Exposures are also compared based on </w:t>
      </w:r>
      <w:r w:rsidR="001657DF">
        <w:t xml:space="preserve">the maximum </w:t>
      </w:r>
      <w:r w:rsidR="001657DF" w:rsidRPr="001657DF">
        <w:t xml:space="preserve">plasma drug concentration </w:t>
      </w:r>
      <w:r w:rsidR="001657DF">
        <w:t>(</w:t>
      </w:r>
      <w:r w:rsidRPr="00D82904">
        <w:t>C</w:t>
      </w:r>
      <w:r w:rsidRPr="0016494D">
        <w:rPr>
          <w:vertAlign w:val="subscript"/>
        </w:rPr>
        <w:t>max</w:t>
      </w:r>
      <w:r w:rsidR="001657DF">
        <w:t xml:space="preserve">) </w:t>
      </w:r>
      <w:r w:rsidRPr="00D82904">
        <w:t>(C</w:t>
      </w:r>
      <w:r w:rsidRPr="0016494D">
        <w:rPr>
          <w:vertAlign w:val="subscript"/>
        </w:rPr>
        <w:t>0</w:t>
      </w:r>
      <w:r w:rsidRPr="00D82904">
        <w:t xml:space="preserve"> to C</w:t>
      </w:r>
      <w:r w:rsidRPr="0016494D">
        <w:rPr>
          <w:vertAlign w:val="subscript"/>
        </w:rPr>
        <w:t>0.5h</w:t>
      </w:r>
      <w:r w:rsidRPr="00D82904">
        <w:t>), giving animal/human exposure ratios similar to or slightly lower than the relative exposure by dose.</w:t>
      </w:r>
    </w:p>
    <w:p w:rsidR="00B8542A" w:rsidRDefault="00B8542A" w:rsidP="00B8542A">
      <w:pPr>
        <w:pStyle w:val="TableTitle"/>
      </w:pPr>
      <w:r>
        <w:t>Table 2:</w:t>
      </w:r>
      <w:r w:rsidRPr="004C5C28">
        <w:t xml:space="preserve"> </w:t>
      </w:r>
      <w:r w:rsidR="00A3573B" w:rsidRPr="00A3573B">
        <w:t xml:space="preserve">Relative </w:t>
      </w:r>
      <w:r w:rsidR="001657DF">
        <w:t xml:space="preserve">exposure in selected GLP repeat </w:t>
      </w:r>
      <w:r w:rsidR="00A3573B" w:rsidRPr="00A3573B">
        <w:t>dose toxicity studies</w:t>
      </w:r>
      <w:r>
        <w:t>.</w:t>
      </w:r>
    </w:p>
    <w:p w:rsidR="00D82904" w:rsidRDefault="00A938FA" w:rsidP="00D82904">
      <w:r>
        <w:rPr>
          <w:noProof/>
          <w:lang w:eastAsia="en-AU"/>
        </w:rPr>
        <w:drawing>
          <wp:inline distT="0" distB="0" distL="0" distR="0">
            <wp:extent cx="5396865" cy="2905760"/>
            <wp:effectExtent l="0" t="0" r="0" b="8890"/>
            <wp:docPr id="4" name="Picture 4" descr="Table 2: Relative exposure in selected GLP repeat dose toxici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2: Relative exposure in selected GLP repeat dose toxicity studi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6865" cy="2905760"/>
                    </a:xfrm>
                    <a:prstGeom prst="rect">
                      <a:avLst/>
                    </a:prstGeom>
                    <a:noFill/>
                    <a:ln>
                      <a:noFill/>
                    </a:ln>
                  </pic:spPr>
                </pic:pic>
              </a:graphicData>
            </a:graphic>
          </wp:inline>
        </w:drawing>
      </w:r>
    </w:p>
    <w:p w:rsidR="00C049E0" w:rsidRPr="00C049E0" w:rsidRDefault="00C049E0" w:rsidP="00436567">
      <w:pPr>
        <w:pStyle w:val="TableDescription"/>
      </w:pPr>
      <w:r w:rsidRPr="00436567">
        <w:rPr>
          <w:vertAlign w:val="superscript"/>
        </w:rPr>
        <w:t>a</w:t>
      </w:r>
      <w:r w:rsidRPr="00C049E0">
        <w:t>, C</w:t>
      </w:r>
      <w:r w:rsidRPr="00C049E0">
        <w:rPr>
          <w:vertAlign w:val="subscript"/>
        </w:rPr>
        <w:t>0.25h</w:t>
      </w:r>
      <w:r w:rsidRPr="00C049E0">
        <w:t xml:space="preserve">; </w:t>
      </w:r>
      <w:r w:rsidRPr="00436567">
        <w:rPr>
          <w:vertAlign w:val="superscript"/>
        </w:rPr>
        <w:t>b</w:t>
      </w:r>
      <w:r w:rsidRPr="00C049E0">
        <w:t>, C</w:t>
      </w:r>
      <w:r w:rsidRPr="00C049E0">
        <w:rPr>
          <w:vertAlign w:val="subscript"/>
        </w:rPr>
        <w:t>0.5h</w:t>
      </w:r>
      <w:r w:rsidRPr="00C049E0">
        <w:t xml:space="preserve">; </w:t>
      </w:r>
      <w:r w:rsidRPr="00436567">
        <w:rPr>
          <w:vertAlign w:val="superscript"/>
        </w:rPr>
        <w:t>#</w:t>
      </w:r>
      <w:r w:rsidRPr="00C049E0">
        <w:t xml:space="preserve"> Dose in mg/kg and concentration in mg/mL was converted to IU/kg and IU/mL, respectively, using the conversion factor of 167; </w:t>
      </w:r>
      <w:r w:rsidRPr="00436567">
        <w:t>*</w:t>
      </w:r>
      <w:r w:rsidRPr="00C049E0">
        <w:t xml:space="preserve"> Animal/human exposure ratio based on rFXIII dose or maximum plasma total FXIII activity (C</w:t>
      </w:r>
      <w:r w:rsidRPr="00C049E0">
        <w:rPr>
          <w:vertAlign w:val="subscript"/>
        </w:rPr>
        <w:t xml:space="preserve">0 </w:t>
      </w:r>
      <w:r w:rsidRPr="00C049E0">
        <w:t>to C</w:t>
      </w:r>
      <w:r w:rsidRPr="00C049E0">
        <w:rPr>
          <w:vertAlign w:val="subscript"/>
        </w:rPr>
        <w:t>0.5h</w:t>
      </w:r>
      <w:r w:rsidR="00436567">
        <w:t>).</w:t>
      </w:r>
    </w:p>
    <w:p w:rsidR="00C049E0" w:rsidRPr="00C049E0" w:rsidRDefault="00C049E0" w:rsidP="00D92487">
      <w:pPr>
        <w:pStyle w:val="Heading5"/>
      </w:pPr>
      <w:r w:rsidRPr="00C049E0">
        <w:t>Major toxicities</w:t>
      </w:r>
    </w:p>
    <w:p w:rsidR="00C049E0" w:rsidRPr="00C049E0" w:rsidRDefault="00C049E0" w:rsidP="00C049E0">
      <w:r w:rsidRPr="00C049E0">
        <w:t>Repeated doses of catridecacog were well</w:t>
      </w:r>
      <w:r w:rsidR="00922D79">
        <w:t xml:space="preserve"> </w:t>
      </w:r>
      <w:r w:rsidRPr="00C049E0">
        <w:t>tolerated up to</w:t>
      </w:r>
      <w:r w:rsidR="00AB0A94">
        <w:t xml:space="preserve"> </w:t>
      </w:r>
      <w:r w:rsidRPr="00C049E0">
        <w:t>15 mg/kg/day in rats (72</w:t>
      </w:r>
      <w:r w:rsidR="00790E0D">
        <w:t xml:space="preserve">x </w:t>
      </w:r>
      <w:r w:rsidRPr="00C049E0">
        <w:t>the recommended monthly clinical dose of 35 IU/kg or 0.21 mg/kg), up to</w:t>
      </w:r>
      <w:r w:rsidR="00A96B7B">
        <w:t xml:space="preserve"> 6 mg/kg/day in monkeys (29x</w:t>
      </w:r>
      <w:r w:rsidRPr="00C049E0">
        <w:t xml:space="preserve"> the recommended monthly clinical dose) and 8 m</w:t>
      </w:r>
      <w:r w:rsidR="00A96B7B">
        <w:t>g/kg/2 weeks in monkeys (38x</w:t>
      </w:r>
      <w:r w:rsidRPr="00C049E0">
        <w:t xml:space="preserve"> the recommended monthly clinical dose). The major toxicity associated with the administration is widespread thrombosis and ischaemic n</w:t>
      </w:r>
      <w:r w:rsidR="00A96B7B">
        <w:t>ecrosis consistent with DIC</w:t>
      </w:r>
      <w:r w:rsidRPr="00C049E0">
        <w:t>. These effects are the result of an exaggeration of the pharmacological action and observed in monkeys injected two doses of catridecacog at 12.5-17.5 mg/kg in 4 days.</w:t>
      </w:r>
      <w:r w:rsidR="00CD52B1">
        <w:t xml:space="preserve"> </w:t>
      </w:r>
      <w:r w:rsidRPr="00C049E0">
        <w:t xml:space="preserve">No DIC was observed in monkeys at up </w:t>
      </w:r>
      <w:r w:rsidR="00C75A62">
        <w:t>to 12.5 mg/kg/fortnight (60x</w:t>
      </w:r>
      <w:r w:rsidRPr="00C049E0">
        <w:t xml:space="preserve"> the clinical dose). Toxicity studies were performed in animals with normal (for that species) levels of circulating FXIIIA</w:t>
      </w:r>
      <w:r w:rsidRPr="000E3313">
        <w:rPr>
          <w:vertAlign w:val="subscript"/>
        </w:rPr>
        <w:t>2</w:t>
      </w:r>
      <w:r w:rsidRPr="00C049E0">
        <w:t xml:space="preserve"> and FXIIIB</w:t>
      </w:r>
      <w:r w:rsidRPr="000E3313">
        <w:rPr>
          <w:vertAlign w:val="subscript"/>
        </w:rPr>
        <w:t>2</w:t>
      </w:r>
      <w:r w:rsidRPr="00C049E0">
        <w:t>.</w:t>
      </w:r>
      <w:r w:rsidR="00CD52B1">
        <w:t xml:space="preserve"> </w:t>
      </w:r>
      <w:r w:rsidRPr="00C049E0">
        <w:t>Administration of increasing doses of rFXIII will ultimately saturate circulating FXIIIB</w:t>
      </w:r>
      <w:r w:rsidRPr="000E3313">
        <w:rPr>
          <w:vertAlign w:val="subscript"/>
        </w:rPr>
        <w:t>2</w:t>
      </w:r>
      <w:r w:rsidRPr="00C049E0">
        <w:t xml:space="preserve"> leaving rFXIIIA</w:t>
      </w:r>
      <w:r w:rsidRPr="000E3313">
        <w:rPr>
          <w:vertAlign w:val="subscript"/>
        </w:rPr>
        <w:t>2</w:t>
      </w:r>
      <w:r w:rsidRPr="00C049E0">
        <w:t>, the form which can be activated, fre</w:t>
      </w:r>
      <w:r w:rsidR="000E3313">
        <w:t xml:space="preserve">e in the circulation. The cross </w:t>
      </w:r>
      <w:r w:rsidRPr="00C049E0">
        <w:t>linking role of activated FXIII and formation of high molecular weight protein complexes causes blood vessel obstruction.</w:t>
      </w:r>
      <w:r w:rsidR="00CD52B1">
        <w:t xml:space="preserve"> </w:t>
      </w:r>
      <w:r w:rsidRPr="00C049E0">
        <w:t>Subsequent ischaemia and cellular damage occurs and leads to activation of the coagulation cascade, which in the worst case leads to fatal DIC.</w:t>
      </w:r>
      <w:r w:rsidR="00CD52B1">
        <w:t xml:space="preserve"> </w:t>
      </w:r>
      <w:r w:rsidRPr="00C049E0">
        <w:t>As the proposed clinical use is in patients deficient in FXIIIA</w:t>
      </w:r>
      <w:r w:rsidRPr="000E3313">
        <w:rPr>
          <w:vertAlign w:val="subscript"/>
        </w:rPr>
        <w:t>2</w:t>
      </w:r>
      <w:r w:rsidR="000E3313">
        <w:t xml:space="preserve">, </w:t>
      </w:r>
      <w:r w:rsidRPr="00C049E0">
        <w:t>this effect is less likely to occur in this patient group.</w:t>
      </w:r>
    </w:p>
    <w:p w:rsidR="00C049E0" w:rsidRPr="00C049E0" w:rsidRDefault="00C049E0" w:rsidP="00C049E0">
      <w:r w:rsidRPr="00C049E0">
        <w:lastRenderedPageBreak/>
        <w:t>The only possible toxicity other than that related to the pharmacological action of rFXIII on fibrin clots was the occurrence of lymphoid hyperplasia in spleen seen in a 4</w:t>
      </w:r>
      <w:r w:rsidR="0029204D">
        <w:t xml:space="preserve"> </w:t>
      </w:r>
      <w:r w:rsidRPr="00C049E0">
        <w:t>week rat study (NN-209502) and a 4</w:t>
      </w:r>
      <w:r w:rsidR="0029204D">
        <w:t xml:space="preserve"> </w:t>
      </w:r>
      <w:r w:rsidRPr="00C049E0">
        <w:t>week monkey study (SBI-1266-175).</w:t>
      </w:r>
      <w:r w:rsidR="00CD52B1">
        <w:t xml:space="preserve"> </w:t>
      </w:r>
      <w:r w:rsidRPr="00C049E0">
        <w:t>The same lesion was present in some control animals in both species, but the incidences were higher at &gt; 5 mg/kg/day for 4 weeks in rats and &gt; 8 mg/kg/fortnight for 4 weeks in monkeys than the control groups.</w:t>
      </w:r>
      <w:r w:rsidR="00CD52B1">
        <w:t xml:space="preserve"> </w:t>
      </w:r>
      <w:r w:rsidRPr="00C049E0">
        <w:t>There is evidence that injection of foreign antigens, including proteins, can induce lymphoid hyperplasia.</w:t>
      </w:r>
      <w:r w:rsidR="00CD52B1">
        <w:t xml:space="preserve"> </w:t>
      </w:r>
      <w:r w:rsidRPr="00C049E0">
        <w:t>However, lymphoid hyperplasia was not seen in monkeys at up to 10 mg/kg/fortnight for 27 weeks (48</w:t>
      </w:r>
      <w:r w:rsidR="00B64BDD">
        <w:t xml:space="preserve"> </w:t>
      </w:r>
      <w:r w:rsidRPr="00C049E0">
        <w:t>fold the clinical dose). Lymphoid hyperplasia is not anticipated to occur in patients receiving catridecacog.</w:t>
      </w:r>
    </w:p>
    <w:p w:rsidR="00C049E0" w:rsidRPr="00C049E0" w:rsidRDefault="00C049E0" w:rsidP="00D92487">
      <w:pPr>
        <w:pStyle w:val="Heading4"/>
      </w:pPr>
      <w:bookmarkStart w:id="50" w:name="_Toc294861729"/>
      <w:r w:rsidRPr="00C049E0">
        <w:t>Genotoxicity</w:t>
      </w:r>
      <w:bookmarkEnd w:id="50"/>
    </w:p>
    <w:p w:rsidR="00C049E0" w:rsidRPr="00C049E0" w:rsidRDefault="00C049E0" w:rsidP="00C049E0">
      <w:r w:rsidRPr="00C049E0">
        <w:t>No genotoxicity studies were conducted.</w:t>
      </w:r>
      <w:r w:rsidR="00CD52B1">
        <w:t xml:space="preserve"> </w:t>
      </w:r>
      <w:r w:rsidRPr="00C049E0">
        <w:t>This is considered acceptable and in accordance with the relevant EMA/ICH guideline</w:t>
      </w:r>
      <w:r w:rsidR="00AE78AE">
        <w:t>.</w:t>
      </w:r>
      <w:r w:rsidR="00922A86">
        <w:rPr>
          <w:rStyle w:val="FootnoteReference"/>
        </w:rPr>
        <w:footnoteReference w:id="5"/>
      </w:r>
    </w:p>
    <w:p w:rsidR="00C049E0" w:rsidRPr="00C049E0" w:rsidRDefault="00C049E0" w:rsidP="00D92487">
      <w:pPr>
        <w:pStyle w:val="Heading4"/>
      </w:pPr>
      <w:bookmarkStart w:id="51" w:name="_Toc294861730"/>
      <w:r w:rsidRPr="00C049E0">
        <w:t>Carcinogenicity</w:t>
      </w:r>
      <w:bookmarkEnd w:id="51"/>
    </w:p>
    <w:p w:rsidR="00C049E0" w:rsidRPr="00C049E0" w:rsidRDefault="00C049E0" w:rsidP="00C049E0">
      <w:r w:rsidRPr="00C049E0">
        <w:t>No carcinogenicity studies were conducted.</w:t>
      </w:r>
      <w:r w:rsidR="00CD52B1">
        <w:t xml:space="preserve"> </w:t>
      </w:r>
      <w:r w:rsidRPr="00C049E0">
        <w:t>This is considered acceptable and in accordance with the relevant EMA/ICH guideline</w:t>
      </w:r>
      <w:r w:rsidR="008136B7">
        <w:t>.</w:t>
      </w:r>
      <w:r w:rsidR="008136B7">
        <w:rPr>
          <w:rStyle w:val="FootnoteReference"/>
        </w:rPr>
        <w:footnoteReference w:id="6"/>
      </w:r>
      <w:r w:rsidR="008136B7">
        <w:t xml:space="preserve"> </w:t>
      </w:r>
      <w:r w:rsidRPr="00C049E0">
        <w:t>One possible area of concern in relation to rFXIII is that supra</w:t>
      </w:r>
      <w:r w:rsidR="008F4471">
        <w:t xml:space="preserve"> </w:t>
      </w:r>
      <w:r w:rsidRPr="00C049E0">
        <w:t>physiological levels of FXIII have been shown to stimulate cell proliferation and enhance angiogenesis at high local concentrations</w:t>
      </w:r>
      <w:r w:rsidR="00E76C86">
        <w:t>.</w:t>
      </w:r>
      <w:r w:rsidR="00E76C86">
        <w:rPr>
          <w:rStyle w:val="FootnoteReference"/>
        </w:rPr>
        <w:footnoteReference w:id="7"/>
      </w:r>
    </w:p>
    <w:p w:rsidR="00C049E0" w:rsidRPr="00C049E0" w:rsidRDefault="00C049E0" w:rsidP="00C049E0">
      <w:r w:rsidRPr="00C049E0">
        <w:t xml:space="preserve">The sponsor conducted a literature review on the potential of rFXIII/FXIII to induce proliferation. Activated FXIII stimulates cell proliferation and enhances angiogenesis at high local concentrations </w:t>
      </w:r>
      <w:r w:rsidRPr="00D24945">
        <w:rPr>
          <w:i/>
        </w:rPr>
        <w:t>in vivo</w:t>
      </w:r>
      <w:r w:rsidRPr="00C049E0">
        <w:t xml:space="preserve">. This is in accordance with the proliferative properties of FXIIIa observed </w:t>
      </w:r>
      <w:r w:rsidRPr="00765778">
        <w:rPr>
          <w:i/>
        </w:rPr>
        <w:t>in vitro</w:t>
      </w:r>
      <w:r w:rsidRPr="00C049E0">
        <w:t>, and with the role of FXIII in wound healing and tissue reorganization following activation of plasma FXIII at the site of injury. The literature review was thorough and no further literature on the effect of FXIII on proliferation or tumour growth/metastasis was found by the TGA evaluator. One study in mice injected with Lewis lung carcinoma and B16-BL6 melanoma cells showed that FXIII is an important factor of metastasis and supports metastasis probably through impeding natural killer cell-mediated clearance of tumour cells, but FXIIIa was not required for the growth of established tumours or tumour stroma formation</w:t>
      </w:r>
      <w:r w:rsidR="00231256">
        <w:t>.</w:t>
      </w:r>
      <w:r w:rsidR="00231256">
        <w:rPr>
          <w:rStyle w:val="FootnoteReference"/>
        </w:rPr>
        <w:footnoteReference w:id="8"/>
      </w:r>
      <w:r w:rsidRPr="00C049E0">
        <w:t xml:space="preserve"> There was no indication of cell proliferation or increased angiogenesis in the 27</w:t>
      </w:r>
      <w:r w:rsidR="0029204D">
        <w:t xml:space="preserve"> </w:t>
      </w:r>
      <w:r w:rsidRPr="00C049E0">
        <w:t>week repeat</w:t>
      </w:r>
      <w:r w:rsidR="0029204D">
        <w:t xml:space="preserve"> </w:t>
      </w:r>
      <w:r w:rsidRPr="00C049E0">
        <w:t>dose toxicity study in cynomolgu</w:t>
      </w:r>
      <w:r w:rsidR="0029204D">
        <w:t>s monkeys at rFXIII and rFXIIIa</w:t>
      </w:r>
      <w:r w:rsidR="0029204D" w:rsidRPr="00D82904">
        <w:t>°</w:t>
      </w:r>
      <w:r w:rsidR="0029204D">
        <w:t xml:space="preserve"> </w:t>
      </w:r>
      <w:r w:rsidRPr="00C049E0">
        <w:t>dose levels 48 and 32 times, respectively, the recommended clinical dose of 35 IU/kg/month and end</w:t>
      </w:r>
      <w:r w:rsidR="008920CC">
        <w:t xml:space="preserve"> </w:t>
      </w:r>
      <w:r w:rsidRPr="00C049E0">
        <w:t>of</w:t>
      </w:r>
      <w:r w:rsidR="008920CC">
        <w:t xml:space="preserve"> </w:t>
      </w:r>
      <w:r w:rsidRPr="00C049E0">
        <w:t>shelf</w:t>
      </w:r>
      <w:r w:rsidR="008920CC">
        <w:t xml:space="preserve"> </w:t>
      </w:r>
      <w:r w:rsidRPr="00C049E0">
        <w:t>life specification for rFXIIIa</w:t>
      </w:r>
      <w:r w:rsidR="00A5419B" w:rsidRPr="00D82904">
        <w:t>°</w:t>
      </w:r>
      <w:r w:rsidRPr="00C049E0">
        <w:t xml:space="preserve"> (0.8%).</w:t>
      </w:r>
      <w:r w:rsidR="00CD52B1">
        <w:t xml:space="preserve"> </w:t>
      </w:r>
      <w:r w:rsidRPr="00C049E0">
        <w:t>The proposed indication is for the use of rFXIII in individuals who lack the endogenous protein and the targeted plasma concentrations (geometric mean 0.9 IU/mL) are within the range of FXIII concentrations (0.60 to 2.60 IU/mL) in the normal population.</w:t>
      </w:r>
    </w:p>
    <w:p w:rsidR="00C049E0" w:rsidRPr="00C049E0" w:rsidRDefault="00C049E0" w:rsidP="00D92487">
      <w:pPr>
        <w:pStyle w:val="Heading4"/>
      </w:pPr>
      <w:r w:rsidRPr="00C049E0">
        <w:t>Reproductive toxicity</w:t>
      </w:r>
    </w:p>
    <w:p w:rsidR="00C049E0" w:rsidRPr="00C049E0" w:rsidRDefault="00C049E0" w:rsidP="00C049E0">
      <w:r w:rsidRPr="00C049E0">
        <w:t>No specific reproductive or developmental studies were conducted.</w:t>
      </w:r>
      <w:r w:rsidR="00CD52B1">
        <w:t xml:space="preserve"> </w:t>
      </w:r>
      <w:r w:rsidRPr="00C049E0">
        <w:t>Histopathological examination of the reproductive organs of sexually mature male and female rats or monkeys did not reveal any effects of rFXIII on these structures.</w:t>
      </w:r>
    </w:p>
    <w:p w:rsidR="00C049E0" w:rsidRPr="00C049E0" w:rsidRDefault="00C049E0" w:rsidP="00D92487">
      <w:pPr>
        <w:pStyle w:val="Heading5"/>
      </w:pPr>
      <w:r w:rsidRPr="00C049E0">
        <w:lastRenderedPageBreak/>
        <w:t>Pregnancy classification</w:t>
      </w:r>
    </w:p>
    <w:p w:rsidR="00C049E0" w:rsidRPr="00C049E0" w:rsidRDefault="00C049E0" w:rsidP="00C049E0">
      <w:r w:rsidRPr="00C049E0">
        <w:t>The sponsor has proposed Pregnancy Category B2. This is appropriate.</w:t>
      </w:r>
    </w:p>
    <w:p w:rsidR="00C049E0" w:rsidRPr="00436567" w:rsidRDefault="00436567" w:rsidP="00D92487">
      <w:pPr>
        <w:pStyle w:val="Heading4"/>
        <w:rPr>
          <w:lang w:val="en-AU"/>
        </w:rPr>
      </w:pPr>
      <w:r>
        <w:t>Local tolerance</w:t>
      </w:r>
    </w:p>
    <w:p w:rsidR="00C049E0" w:rsidRPr="00C049E0" w:rsidRDefault="00C049E0" w:rsidP="00C049E0">
      <w:r w:rsidRPr="00C049E0">
        <w:t>Local tolerance was monitored in the repeat</w:t>
      </w:r>
      <w:r w:rsidR="00C514D5">
        <w:t xml:space="preserve"> </w:t>
      </w:r>
      <w:r w:rsidRPr="00C049E0">
        <w:t>dose studies in rats and monkeys.</w:t>
      </w:r>
      <w:r w:rsidR="00CD52B1">
        <w:t xml:space="preserve"> </w:t>
      </w:r>
      <w:r w:rsidRPr="00C049E0">
        <w:t>Only occasional minor reactions were observed in these studies.</w:t>
      </w:r>
      <w:r w:rsidR="00CD52B1">
        <w:t xml:space="preserve"> </w:t>
      </w:r>
      <w:r w:rsidRPr="00C049E0">
        <w:t xml:space="preserve">Two studies in New Zealand White rabbits looked specifically at the effects of </w:t>
      </w:r>
      <w:r w:rsidR="00C514D5">
        <w:t xml:space="preserve">IV, intra </w:t>
      </w:r>
      <w:r w:rsidRPr="00C049E0">
        <w:t>arterial and perivenous injection.</w:t>
      </w:r>
      <w:r w:rsidR="00CD52B1">
        <w:t xml:space="preserve"> </w:t>
      </w:r>
      <w:r w:rsidRPr="00C049E0">
        <w:t>One study (NN205496) used rFXIII manufactured by Avecia DS and sterile water as the vehicle, and the other study (NN209504) used rFXIII manufactured by Novo Nordisk DS and the intended clinical vehicle.</w:t>
      </w:r>
      <w:r w:rsidR="00CD52B1">
        <w:t xml:space="preserve"> </w:t>
      </w:r>
      <w:r w:rsidRPr="00C049E0">
        <w:t>The only notable effects were some mild local reactions (haemorrhage and inflammation) around the i</w:t>
      </w:r>
      <w:r w:rsidR="000F79B2">
        <w:t xml:space="preserve">njections sites following intra </w:t>
      </w:r>
      <w:r w:rsidRPr="00C049E0">
        <w:t>arterial and perivenous injections.</w:t>
      </w:r>
    </w:p>
    <w:p w:rsidR="00C049E0" w:rsidRPr="00C049E0" w:rsidRDefault="00C049E0" w:rsidP="00D92487">
      <w:pPr>
        <w:pStyle w:val="Heading4"/>
      </w:pPr>
      <w:r w:rsidRPr="00C049E0">
        <w:t>Impurities</w:t>
      </w:r>
    </w:p>
    <w:p w:rsidR="00C049E0" w:rsidRPr="00C049E0" w:rsidRDefault="00C049E0" w:rsidP="00C049E0">
      <w:r w:rsidRPr="00C049E0">
        <w:t>The proposed limits for activated rFXIII are considered adequately qualified. Since the level of activated rFXIII could increase with time after reconstitution, it is suggested that the product should be used as soon as possible after reconstitution to mi</w:t>
      </w:r>
      <w:r w:rsidR="00436567">
        <w:t>nimise toxicity of the product.</w:t>
      </w:r>
    </w:p>
    <w:p w:rsidR="00C049E0" w:rsidRPr="00C049E0" w:rsidRDefault="00C049E0" w:rsidP="00D92487">
      <w:pPr>
        <w:pStyle w:val="Heading4"/>
      </w:pPr>
      <w:r w:rsidRPr="00C049E0">
        <w:t>Paediatric use</w:t>
      </w:r>
    </w:p>
    <w:p w:rsidR="00C049E0" w:rsidRPr="00C049E0" w:rsidRDefault="00C049E0" w:rsidP="00C049E0">
      <w:r w:rsidRPr="00C049E0">
        <w:t>There were no toxicity studies in juvenile animals.</w:t>
      </w:r>
      <w:r w:rsidR="00CD52B1">
        <w:t xml:space="preserve"> </w:t>
      </w:r>
      <w:r w:rsidRPr="00C049E0">
        <w:t xml:space="preserve">A comparison of the disposition of catridecacog (single 1 mg/kg dose) in mature and juvenile monkeys revealed significantly lower exposure in juvenile monkeys indicating a higher clearance and/or higher volume of distribution in juvenile animals. The results indicate that there may be the need for clinical </w:t>
      </w:r>
      <w:r w:rsidR="001C3720">
        <w:t>PK</w:t>
      </w:r>
      <w:r w:rsidRPr="00C049E0">
        <w:t xml:space="preserve"> assessment in children to determine whether paediatr</w:t>
      </w:r>
      <w:r w:rsidR="00F1781A">
        <w:t>ic dose adjustment is required.</w:t>
      </w:r>
    </w:p>
    <w:p w:rsidR="00C049E0" w:rsidRPr="00C049E0" w:rsidRDefault="00436567" w:rsidP="00D92487">
      <w:pPr>
        <w:pStyle w:val="Heading4"/>
      </w:pPr>
      <w:bookmarkStart w:id="52" w:name="_Toc295290868"/>
      <w:bookmarkStart w:id="53" w:name="_Toc356379912"/>
      <w:r>
        <w:t xml:space="preserve">Comments on the </w:t>
      </w:r>
      <w:r>
        <w:rPr>
          <w:lang w:val="en-AU"/>
        </w:rPr>
        <w:t>s</w:t>
      </w:r>
      <w:r>
        <w:t xml:space="preserve">afety </w:t>
      </w:r>
      <w:r>
        <w:rPr>
          <w:lang w:val="en-AU"/>
        </w:rPr>
        <w:t>s</w:t>
      </w:r>
      <w:r w:rsidR="00C049E0" w:rsidRPr="00C049E0">
        <w:t>pecification of the Risk Management Plan</w:t>
      </w:r>
      <w:bookmarkEnd w:id="52"/>
      <w:bookmarkEnd w:id="53"/>
      <w:r w:rsidR="00866CA5">
        <w:t xml:space="preserve"> (RMP)</w:t>
      </w:r>
    </w:p>
    <w:p w:rsidR="00C049E0" w:rsidRPr="00C049E0" w:rsidRDefault="00C049E0" w:rsidP="00C049E0">
      <w:r w:rsidRPr="00C049E0">
        <w:t xml:space="preserve">Results and conclusions drawn from the nonclinical program for catridecacog detailed in the sponsor’s draft </w:t>
      </w:r>
      <w:r w:rsidR="003014DC">
        <w:t>RMP</w:t>
      </w:r>
      <w:r w:rsidR="000F79B2">
        <w:t xml:space="preserve"> (Edition 8.0</w:t>
      </w:r>
      <w:r w:rsidRPr="00C049E0">
        <w:t xml:space="preserve">) are in general concordance with those of the </w:t>
      </w:r>
      <w:r w:rsidR="000F79B2">
        <w:t>n</w:t>
      </w:r>
      <w:r w:rsidRPr="00C049E0">
        <w:t xml:space="preserve">onclinical </w:t>
      </w:r>
      <w:r w:rsidR="000F79B2">
        <w:t>e</w:t>
      </w:r>
      <w:r w:rsidRPr="00C049E0">
        <w:t xml:space="preserve">valuator. The statement “fertility was assessed by histopathology of reproductive organs in the repeat </w:t>
      </w:r>
      <w:r w:rsidR="000F79B2">
        <w:t xml:space="preserve">dose toxicity studies” </w:t>
      </w:r>
      <w:r w:rsidRPr="00C049E0">
        <w:t>is, however, not appropriate.</w:t>
      </w:r>
      <w:r w:rsidR="00CD52B1">
        <w:t xml:space="preserve"> </w:t>
      </w:r>
      <w:r w:rsidRPr="00C049E0">
        <w:t>Fertility can only be assessed by evidence of reproduction, absence of histopathological changes can only suggest effects on this process are unlikely.</w:t>
      </w:r>
      <w:r w:rsidR="00CD52B1">
        <w:t xml:space="preserve"> </w:t>
      </w:r>
      <w:r w:rsidRPr="00C049E0">
        <w:t>A statement such as “No effects on reproducti</w:t>
      </w:r>
      <w:r w:rsidR="000F79B2">
        <w:t>ve organs have been seen in non</w:t>
      </w:r>
      <w:r w:rsidRPr="00C049E0">
        <w:t>clinical studies” (which the sponsor proposed in the PI) is more appropriate.</w:t>
      </w:r>
    </w:p>
    <w:p w:rsidR="008E7846" w:rsidRDefault="008E7846" w:rsidP="008E7846">
      <w:pPr>
        <w:pStyle w:val="Heading3"/>
      </w:pPr>
      <w:bookmarkStart w:id="54" w:name="_Toc247691515"/>
      <w:bookmarkStart w:id="55" w:name="_Toc314842499"/>
      <w:bookmarkStart w:id="56" w:name="_Toc389414007"/>
      <w:r>
        <w:t>Nonclinical summary and conclusions</w:t>
      </w:r>
      <w:bookmarkEnd w:id="54"/>
      <w:bookmarkEnd w:id="55"/>
      <w:bookmarkEnd w:id="56"/>
    </w:p>
    <w:p w:rsidR="008E7846" w:rsidRPr="00B357B1" w:rsidRDefault="00B357B1" w:rsidP="00B357B1">
      <w:pPr>
        <w:pStyle w:val="Heading4"/>
      </w:pPr>
      <w:r w:rsidRPr="00B357B1">
        <w:t>Summary</w:t>
      </w:r>
    </w:p>
    <w:p w:rsidR="00B357B1" w:rsidRPr="00B357B1" w:rsidRDefault="00B357B1" w:rsidP="00DF73E7">
      <w:pPr>
        <w:pStyle w:val="ListBullet"/>
      </w:pPr>
      <w:r w:rsidRPr="00B357B1">
        <w:t>Novo Nordisk Pharmaceuticals Pty Ltd has applied to register a new chemical (biological) entity, catridecacog (rys) (NovoThirteen) for routine prophylaxis of bleeding in patients with congenital Factor XIIIA</w:t>
      </w:r>
      <w:r w:rsidRPr="000F79B2">
        <w:rPr>
          <w:vertAlign w:val="subscript"/>
        </w:rPr>
        <w:t>2</w:t>
      </w:r>
      <w:r w:rsidRPr="00B357B1">
        <w:t xml:space="preserve"> subunit deficiency.</w:t>
      </w:r>
      <w:r w:rsidR="00CD52B1">
        <w:t xml:space="preserve"> </w:t>
      </w:r>
      <w:r w:rsidRPr="00B357B1">
        <w:t>The product will be supplied as a lyophili</w:t>
      </w:r>
      <w:r w:rsidR="00A533ED">
        <w:t>s</w:t>
      </w:r>
      <w:r w:rsidRPr="00B357B1">
        <w:t>ed powder in a glass vial containing a nominal dose of 2500 IU (15 mg).</w:t>
      </w:r>
      <w:r w:rsidR="00CD52B1">
        <w:t xml:space="preserve"> </w:t>
      </w:r>
      <w:r w:rsidRPr="00B357B1">
        <w:t>The proposed dosing regimen involves injection of 35 IU/kg once monthly.</w:t>
      </w:r>
    </w:p>
    <w:p w:rsidR="00B357B1" w:rsidRPr="00B357B1" w:rsidRDefault="00B357B1" w:rsidP="00DF73E7">
      <w:pPr>
        <w:pStyle w:val="ListBullet"/>
      </w:pPr>
      <w:r w:rsidRPr="00B357B1">
        <w:t xml:space="preserve">The submitted </w:t>
      </w:r>
      <w:r w:rsidR="002478F1">
        <w:t>nonclinical</w:t>
      </w:r>
      <w:r w:rsidRPr="00B357B1">
        <w:t xml:space="preserve"> data were in general accordance with the ICH guideline (ICH S6)</w:t>
      </w:r>
      <w:r w:rsidR="0029204D">
        <w:rPr>
          <w:rStyle w:val="FootnoteReference"/>
        </w:rPr>
        <w:footnoteReference w:id="9"/>
      </w:r>
      <w:r w:rsidRPr="00B357B1">
        <w:t xml:space="preserve"> on the nonclinical evaluation of biotechnology</w:t>
      </w:r>
      <w:r w:rsidR="00D16457">
        <w:t xml:space="preserve"> </w:t>
      </w:r>
      <w:r w:rsidRPr="00B357B1">
        <w:t xml:space="preserve">derived pharmaceuticals. All </w:t>
      </w:r>
      <w:r w:rsidRPr="00B357B1">
        <w:lastRenderedPageBreak/>
        <w:t>pivotal repeat</w:t>
      </w:r>
      <w:r w:rsidR="000F79B2">
        <w:t xml:space="preserve"> </w:t>
      </w:r>
      <w:r w:rsidRPr="00B357B1">
        <w:t>dose toxicity studies were GLP</w:t>
      </w:r>
      <w:r w:rsidR="00D16457">
        <w:t xml:space="preserve"> </w:t>
      </w:r>
      <w:r w:rsidRPr="00B357B1">
        <w:t>compliant. The sponsor used two animal models to investigate the kinetics and toxicity of catridecacog: cynomolgus monkeys and rats.</w:t>
      </w:r>
      <w:r w:rsidR="00CD52B1">
        <w:t xml:space="preserve"> </w:t>
      </w:r>
      <w:r w:rsidRPr="00B357B1">
        <w:t>Catridecacog was shown to bind specifically to endogenous B subunit in both of these species.</w:t>
      </w:r>
    </w:p>
    <w:p w:rsidR="00B357B1" w:rsidRPr="00B357B1" w:rsidRDefault="00B357B1" w:rsidP="00DF73E7">
      <w:pPr>
        <w:pStyle w:val="ListBullet"/>
      </w:pPr>
      <w:r w:rsidRPr="00B357B1">
        <w:t>Primary pharmacology studies established that catridecacog (recombinant Factor XIII [rFXIII]) had similar properties to native FXIII: the ability to bind to the endogenous B subunit, the ability to cross</w:t>
      </w:r>
      <w:r w:rsidR="000F79B2">
        <w:t xml:space="preserve"> </w:t>
      </w:r>
      <w:r w:rsidRPr="00B357B1">
        <w:t>link fibrin and the ability to incorporate anti</w:t>
      </w:r>
      <w:r w:rsidR="000F79B2">
        <w:t xml:space="preserve"> </w:t>
      </w:r>
      <w:r w:rsidRPr="00B357B1">
        <w:t>fibrinolytic proteins and adhesion molecules into the fibrin clot.</w:t>
      </w:r>
      <w:r w:rsidR="00CD52B1">
        <w:t xml:space="preserve"> </w:t>
      </w:r>
      <w:r w:rsidRPr="00B357B1">
        <w:t>The pattern of binding of rFXIII and rFXIIIa (activated recombinant Factor XIII) to circulating cells and to endothelial cells, intestinal epithelial cells, fibroblasts and aortic smooth muscle cells was similar t</w:t>
      </w:r>
      <w:r w:rsidR="00436567">
        <w:t>o that of the endogenous forms.</w:t>
      </w:r>
    </w:p>
    <w:p w:rsidR="00B357B1" w:rsidRPr="00B357B1" w:rsidRDefault="00B357B1" w:rsidP="00DF73E7">
      <w:pPr>
        <w:pStyle w:val="ListBullet"/>
      </w:pPr>
      <w:r w:rsidRPr="00B357B1">
        <w:t>CNS and cardiovascular safety were assessed in repeat</w:t>
      </w:r>
      <w:r w:rsidR="00633581">
        <w:t xml:space="preserve"> </w:t>
      </w:r>
      <w:r w:rsidRPr="00B357B1">
        <w:t>dose studies in cynomolgus monkeys.</w:t>
      </w:r>
      <w:r w:rsidR="00CD52B1">
        <w:t xml:space="preserve"> </w:t>
      </w:r>
      <w:r w:rsidRPr="00B357B1">
        <w:t>Catridecacog had no effects on these systems at doses up to 1</w:t>
      </w:r>
      <w:r w:rsidR="00633581">
        <w:t>2.5 mg/kg (2088 IU/kg; ~60x</w:t>
      </w:r>
      <w:r w:rsidRPr="00B357B1">
        <w:t xml:space="preserve"> the anticipated clinical dose).</w:t>
      </w:r>
      <w:r w:rsidR="00CD52B1">
        <w:t xml:space="preserve"> </w:t>
      </w:r>
      <w:r w:rsidRPr="00633581">
        <w:rPr>
          <w:i/>
        </w:rPr>
        <w:t>In vitro</w:t>
      </w:r>
      <w:r w:rsidRPr="00B357B1">
        <w:t xml:space="preserve"> high concentrations (100 µg/mL) of activated rFXIII (~20x the anticipated clinical exposure) had small effects on endothelial cell proliferation, expression of pro</w:t>
      </w:r>
      <w:r w:rsidR="00E2147B">
        <w:t xml:space="preserve"> </w:t>
      </w:r>
      <w:r w:rsidRPr="00B357B1">
        <w:t>adhesion molecules in endothelial cells and production of pro-inflammatory cytokines in whole blood.</w:t>
      </w:r>
      <w:r w:rsidR="00CD52B1">
        <w:t xml:space="preserve"> </w:t>
      </w:r>
      <w:r w:rsidR="00E2147B">
        <w:t>The un</w:t>
      </w:r>
      <w:r w:rsidRPr="00B357B1">
        <w:t>activated form had no effects at</w:t>
      </w:r>
      <w:r w:rsidR="00436567">
        <w:t xml:space="preserve"> concentrations up to100 µg/mL.</w:t>
      </w:r>
    </w:p>
    <w:p w:rsidR="00B357B1" w:rsidRPr="00B357B1" w:rsidRDefault="00B357B1" w:rsidP="00DF73E7">
      <w:pPr>
        <w:pStyle w:val="ListBullet"/>
      </w:pPr>
      <w:r w:rsidRPr="00B357B1">
        <w:t xml:space="preserve">Since catridecacog is a recombinant FXIII, the </w:t>
      </w:r>
      <w:r w:rsidR="001C3720">
        <w:t>PK</w:t>
      </w:r>
      <w:r w:rsidRPr="00B357B1">
        <w:t xml:space="preserve"> profile was determined using analysis of total A</w:t>
      </w:r>
      <w:r w:rsidR="00AD17B7" w:rsidRPr="00AD17B7">
        <w:rPr>
          <w:vertAlign w:val="subscript"/>
        </w:rPr>
        <w:t>2</w:t>
      </w:r>
      <w:r w:rsidRPr="00B357B1">
        <w:t xml:space="preserve"> (including free and bound A</w:t>
      </w:r>
      <w:r w:rsidR="00AD17B7" w:rsidRPr="00AD17B7">
        <w:rPr>
          <w:vertAlign w:val="subscript"/>
        </w:rPr>
        <w:t>2</w:t>
      </w:r>
      <w:r w:rsidRPr="00B357B1">
        <w:t xml:space="preserve"> both recombinant and endogenous), free B</w:t>
      </w:r>
      <w:r w:rsidR="00AD17B7">
        <w:t xml:space="preserve"> </w:t>
      </w:r>
      <w:r w:rsidRPr="00B357B1">
        <w:t>subunit, and A</w:t>
      </w:r>
      <w:r w:rsidRPr="00AD17B7">
        <w:rPr>
          <w:vertAlign w:val="subscript"/>
        </w:rPr>
        <w:t>2</w:t>
      </w:r>
      <w:r w:rsidRPr="00B357B1">
        <w:t>B</w:t>
      </w:r>
      <w:r w:rsidR="00AD17B7" w:rsidRPr="00AD17B7">
        <w:rPr>
          <w:vertAlign w:val="subscript"/>
        </w:rPr>
        <w:t>2</w:t>
      </w:r>
      <w:r w:rsidRPr="00B357B1">
        <w:t xml:space="preserve">. The </w:t>
      </w:r>
      <w:r w:rsidR="001C3720">
        <w:t>PK</w:t>
      </w:r>
      <w:r w:rsidRPr="00B357B1">
        <w:t xml:space="preserve"> profile of catridecacog following IV administration in rats and monkeys was qualitatively similar to that in humans. Plasma half</w:t>
      </w:r>
      <w:r w:rsidR="00A4261B">
        <w:t xml:space="preserve"> </w:t>
      </w:r>
      <w:r w:rsidRPr="00B357B1">
        <w:t>life of catridecaco</w:t>
      </w:r>
      <w:r w:rsidR="00A4261B">
        <w:t>g in patients was ~</w:t>
      </w:r>
      <w:r w:rsidRPr="00B357B1">
        <w:t>11 days, consistent with the heterotetramer being the dominant form in plasma, the understood role of the B</w:t>
      </w:r>
      <w:r w:rsidR="00B65222" w:rsidRPr="00AD17B7">
        <w:rPr>
          <w:vertAlign w:val="subscript"/>
        </w:rPr>
        <w:t>2</w:t>
      </w:r>
      <w:r w:rsidRPr="00B357B1">
        <w:t xml:space="preserve"> dimer as a carrier molecule, and prolonged circulation time of the A</w:t>
      </w:r>
      <w:r w:rsidR="00B65222" w:rsidRPr="00AD17B7">
        <w:rPr>
          <w:vertAlign w:val="subscript"/>
        </w:rPr>
        <w:t>2</w:t>
      </w:r>
      <w:r w:rsidRPr="00B357B1">
        <w:t>B</w:t>
      </w:r>
      <w:r w:rsidR="00B65222" w:rsidRPr="00AD17B7">
        <w:rPr>
          <w:vertAlign w:val="subscript"/>
        </w:rPr>
        <w:t>2</w:t>
      </w:r>
      <w:r w:rsidR="00B65222">
        <w:t xml:space="preserve"> dimer. Long elimination half life</w:t>
      </w:r>
      <w:r w:rsidRPr="00B357B1">
        <w:t xml:space="preserve"> was also observed in monkeys (</w:t>
      </w:r>
      <w:r w:rsidR="00B65222">
        <w:t xml:space="preserve">~4 days), and much shorter half life </w:t>
      </w:r>
      <w:r w:rsidRPr="00B357B1">
        <w:t>was reported in rats (6-10 h). Catridecacog was distributed to blood and highly perfused tissues and was shown to cross the blood/testes and blood/brain barrier at low levels. Distribution into the cellular fraction of the blood was low. No tissues showed tissue:plasma ratios greater than o</w:t>
      </w:r>
      <w:r w:rsidR="00B65222">
        <w:t xml:space="preserve">ne at either 2 h or 72 h post </w:t>
      </w:r>
      <w:r w:rsidRPr="00B357B1">
        <w:t>dose (with the exception of thyroid due to the iodine radiolabel). The primary route of excretion was via the urine.</w:t>
      </w:r>
    </w:p>
    <w:p w:rsidR="00B357B1" w:rsidRPr="00B357B1" w:rsidRDefault="00B357B1" w:rsidP="00DF73E7">
      <w:pPr>
        <w:pStyle w:val="ListBullet"/>
      </w:pPr>
      <w:r w:rsidRPr="00B357B1">
        <w:t>A comparison of catridecacog disposition (single 1</w:t>
      </w:r>
      <w:r w:rsidR="00B65222">
        <w:t xml:space="preserve"> </w:t>
      </w:r>
      <w:r w:rsidRPr="00B357B1">
        <w:t xml:space="preserve">mg/kg dose) in mature and juvenile monkeys revealed significantly lower plasma levels in juvenile monkeys indicating a higher clearance and/or higher volume of distribution in juvenile animals. The results indicate that there may be the need for clinical </w:t>
      </w:r>
      <w:r w:rsidR="001C3720">
        <w:t>PK</w:t>
      </w:r>
      <w:r w:rsidRPr="00B357B1">
        <w:t xml:space="preserve"> assessment in children to determine whether paediatr</w:t>
      </w:r>
      <w:r w:rsidR="00436567">
        <w:t>ic dose adjustment is required.</w:t>
      </w:r>
    </w:p>
    <w:p w:rsidR="00B357B1" w:rsidRPr="00B357B1" w:rsidRDefault="00B357B1" w:rsidP="00DF73E7">
      <w:pPr>
        <w:pStyle w:val="ListBullet"/>
      </w:pPr>
      <w:r w:rsidRPr="00B357B1">
        <w:t>Toxicity to catridecacog in monkeys occurred after a single dose ≥ 21.9 mg/kg or two doses &gt; 13 mg/kg in 4 days (~62 times the monthly clinical dose of 35 IU/kg or 0.21 mg/kg) and was characteri</w:t>
      </w:r>
      <w:r w:rsidR="00B65222">
        <w:t>s</w:t>
      </w:r>
      <w:r w:rsidRPr="00B357B1">
        <w:t>ed by disseminated intravascular coagulation.</w:t>
      </w:r>
      <w:r w:rsidR="00CD52B1">
        <w:t xml:space="preserve"> </w:t>
      </w:r>
      <w:r w:rsidRPr="00B357B1">
        <w:t>This toxicity is directly related to the primary pharmacological action of catridecacog.</w:t>
      </w:r>
      <w:r w:rsidR="00CD52B1">
        <w:t xml:space="preserve"> </w:t>
      </w:r>
      <w:r w:rsidRPr="00B357B1">
        <w:t>Lymphoid hyperplasia of spleen was seen in control and treated rats and monkeys after repeated dosing for 4 weeks with incidences in treated groups at &gt; 5 mg/kg/day in rats and &gt; 8 mg/kg/fortnight in monkeys higher than in control groups.</w:t>
      </w:r>
      <w:r w:rsidR="00CD52B1">
        <w:t xml:space="preserve"> </w:t>
      </w:r>
      <w:r w:rsidRPr="00B357B1">
        <w:t>No lymphoid hyperplasia was seen in monkeys at up to 10 mg/kg/fortnight for 27 weeks (48 times the clinical dose).</w:t>
      </w:r>
    </w:p>
    <w:p w:rsidR="00B357B1" w:rsidRPr="00B357B1" w:rsidRDefault="00B357B1" w:rsidP="002436E7">
      <w:pPr>
        <w:pStyle w:val="ListBullet"/>
      </w:pPr>
      <w:r w:rsidRPr="00B357B1">
        <w:t>Studies on rFXIII prepared from a different yeast strain were included in the submission.</w:t>
      </w:r>
      <w:r w:rsidR="00CD52B1">
        <w:t xml:space="preserve"> </w:t>
      </w:r>
      <w:r w:rsidRPr="00B357B1">
        <w:t xml:space="preserve">This material contained levels of rFXIIIa° (spontaneously activated rFXIII) up to </w:t>
      </w:r>
      <w:r w:rsidR="00F3735B">
        <w:t>13.2 % and higher toxicity was s</w:t>
      </w:r>
      <w:r w:rsidRPr="00B357B1">
        <w:t>een with this material.</w:t>
      </w:r>
      <w:r w:rsidR="00CD52B1">
        <w:t xml:space="preserve"> </w:t>
      </w:r>
      <w:r w:rsidRPr="00B357B1">
        <w:t>Studies with rFXIII containing variable levels of activated FXIII showed that toxicity was associated with the rFXIIIa° (non</w:t>
      </w:r>
      <w:r w:rsidR="00437500">
        <w:t xml:space="preserve"> </w:t>
      </w:r>
      <w:r w:rsidRPr="00B357B1">
        <w:t>proteolytically activated) or rFXIIIa* (thrombin act</w:t>
      </w:r>
      <w:r w:rsidR="00C545CC">
        <w:t xml:space="preserve">ivated) dose. The </w:t>
      </w:r>
      <w:r w:rsidR="009B3491">
        <w:t>N</w:t>
      </w:r>
      <w:r w:rsidR="00C545CC">
        <w:t xml:space="preserve">o </w:t>
      </w:r>
      <w:r w:rsidR="009B3491">
        <w:t>O</w:t>
      </w:r>
      <w:r w:rsidR="00C545CC">
        <w:t xml:space="preserve">bserved </w:t>
      </w:r>
      <w:r w:rsidR="009B3491">
        <w:t>E</w:t>
      </w:r>
      <w:r w:rsidRPr="00B357B1">
        <w:t>ffect</w:t>
      </w:r>
      <w:r w:rsidR="00C545CC">
        <w:t xml:space="preserve"> </w:t>
      </w:r>
      <w:r w:rsidR="009B3491">
        <w:t>L</w:t>
      </w:r>
      <w:r w:rsidRPr="00B357B1">
        <w:t xml:space="preserve">evel </w:t>
      </w:r>
      <w:r w:rsidR="00C545CC">
        <w:t xml:space="preserve">(NOEL) </w:t>
      </w:r>
      <w:r w:rsidRPr="00B357B1">
        <w:t xml:space="preserve">for activated FXIII in repeat dose studies was 0.5 </w:t>
      </w:r>
      <w:r w:rsidRPr="00B357B1">
        <w:lastRenderedPageBreak/>
        <w:t>mg/kg. The dose of this impurity administered in GLP repeat dose studies with catridec</w:t>
      </w:r>
      <w:r w:rsidR="00C545CC">
        <w:t xml:space="preserve">acog at the </w:t>
      </w:r>
      <w:r w:rsidR="002436E7" w:rsidRPr="002436E7">
        <w:t xml:space="preserve">No Observed Adverse Effect Level </w:t>
      </w:r>
      <w:r w:rsidR="002436E7">
        <w:t>(</w:t>
      </w:r>
      <w:r w:rsidR="00C545CC">
        <w:t>NOAEL</w:t>
      </w:r>
      <w:r w:rsidR="002436E7">
        <w:t>)</w:t>
      </w:r>
      <w:r w:rsidR="00C545CC">
        <w:t xml:space="preserve"> were 5-36x</w:t>
      </w:r>
      <w:r w:rsidRPr="00B357B1">
        <w:t xml:space="preserve"> higher than the clinical dose of rFXIIIa° at the max</w:t>
      </w:r>
      <w:r w:rsidR="00436567">
        <w:t>imum shelf life limit of 0.80%.</w:t>
      </w:r>
    </w:p>
    <w:p w:rsidR="00B357B1" w:rsidRPr="00B357B1" w:rsidRDefault="00B357B1" w:rsidP="00B357B1">
      <w:pPr>
        <w:pStyle w:val="Heading4"/>
      </w:pPr>
      <w:r w:rsidRPr="00B357B1">
        <w:t>Conclusions and recommendation</w:t>
      </w:r>
    </w:p>
    <w:p w:rsidR="00B357B1" w:rsidRPr="00B357B1" w:rsidRDefault="00B357B1" w:rsidP="00DF73E7">
      <w:pPr>
        <w:pStyle w:val="ListBullet"/>
      </w:pPr>
      <w:r w:rsidRPr="00B357B1">
        <w:t xml:space="preserve">There are no major deficiencies </w:t>
      </w:r>
      <w:r>
        <w:t>with the nonclinical submission</w:t>
      </w:r>
      <w:r w:rsidR="00436567">
        <w:t>.</w:t>
      </w:r>
    </w:p>
    <w:p w:rsidR="00B357B1" w:rsidRPr="00B357B1" w:rsidRDefault="00B357B1" w:rsidP="00DF73E7">
      <w:pPr>
        <w:pStyle w:val="ListBullet"/>
      </w:pPr>
      <w:r w:rsidRPr="00B357B1">
        <w:t>Primary pharmacology studies confirmed that catridecacog, the recombinant form of FXIIIA</w:t>
      </w:r>
      <w:r w:rsidRPr="00121808">
        <w:rPr>
          <w:vertAlign w:val="subscript"/>
        </w:rPr>
        <w:t>2</w:t>
      </w:r>
      <w:r w:rsidRPr="00B357B1">
        <w:t>, functions in a manner identical to the endogenous form.</w:t>
      </w:r>
    </w:p>
    <w:p w:rsidR="00B357B1" w:rsidRPr="00B357B1" w:rsidRDefault="00B357B1" w:rsidP="00DF73E7">
      <w:pPr>
        <w:pStyle w:val="ListBullet"/>
      </w:pPr>
      <w:r w:rsidRPr="00B357B1">
        <w:t>No hazards beyond those associated with the primary action of catridecacog were seen.</w:t>
      </w:r>
      <w:r w:rsidR="00CD52B1">
        <w:t xml:space="preserve"> </w:t>
      </w:r>
      <w:r w:rsidRPr="00B357B1">
        <w:t>In the intended patient population (</w:t>
      </w:r>
      <w:r w:rsidR="00121808">
        <w:t xml:space="preserve">individuals deficient in FXIIIA </w:t>
      </w:r>
      <w:r w:rsidRPr="00B357B1">
        <w:t>subunit), the proposed clinical dose is not expected to cause toxicity.</w:t>
      </w:r>
    </w:p>
    <w:p w:rsidR="00B357B1" w:rsidRPr="00B357B1" w:rsidRDefault="00B357B1" w:rsidP="00DF73E7">
      <w:pPr>
        <w:pStyle w:val="ListBullet"/>
      </w:pPr>
      <w:r w:rsidRPr="00B357B1">
        <w:t xml:space="preserve">The results of a single study comparing catridecacog disposition in mature and juvenile monkeys indicate that there may be the need for clinical </w:t>
      </w:r>
      <w:r w:rsidR="001C3720">
        <w:t>PK</w:t>
      </w:r>
      <w:r w:rsidRPr="00B357B1">
        <w:t xml:space="preserve"> assessment in children to determine whether paediatr</w:t>
      </w:r>
      <w:r w:rsidR="00436567">
        <w:t>ic dose adjustment is required.</w:t>
      </w:r>
    </w:p>
    <w:p w:rsidR="00B357B1" w:rsidRPr="00B357B1" w:rsidRDefault="00B357B1" w:rsidP="00DF73E7">
      <w:pPr>
        <w:pStyle w:val="ListBullet"/>
      </w:pPr>
      <w:r w:rsidRPr="00B357B1">
        <w:t>No toxicity was seen in repeat</w:t>
      </w:r>
      <w:r w:rsidR="001F692D">
        <w:t xml:space="preserve"> </w:t>
      </w:r>
      <w:r w:rsidRPr="00B357B1">
        <w:t>dose studies in rats</w:t>
      </w:r>
      <w:r w:rsidR="00121808">
        <w:t xml:space="preserve"> (doses up to 15 mg/kg/day, which is </w:t>
      </w:r>
      <w:r w:rsidR="00AC07F6">
        <w:t>~70x</w:t>
      </w:r>
      <w:r w:rsidRPr="00B357B1">
        <w:t xml:space="preserve"> the recommended monthly clinical dose of 35 IU/kg) and monkeys (doses up to 8 mg/kg/fortnight, 38</w:t>
      </w:r>
      <w:r w:rsidR="00121808">
        <w:t>x</w:t>
      </w:r>
      <w:r w:rsidRPr="00B357B1">
        <w:t xml:space="preserve"> the recommended monthly clinical dose).</w:t>
      </w:r>
    </w:p>
    <w:p w:rsidR="00B357B1" w:rsidRPr="00B357B1" w:rsidRDefault="00B357B1" w:rsidP="00DF73E7">
      <w:pPr>
        <w:pStyle w:val="ListBullet"/>
      </w:pPr>
      <w:r w:rsidRPr="00B357B1">
        <w:t>Since the level of activated rFXIII could increase after reconstitution, it is recommended that the product should be used as soon as possible after reconstitution to minimise toxicity of the product.</w:t>
      </w:r>
    </w:p>
    <w:p w:rsidR="00B357B1" w:rsidRPr="00B357B1" w:rsidRDefault="00B357B1" w:rsidP="00DF73E7">
      <w:pPr>
        <w:pStyle w:val="ListBullet"/>
      </w:pPr>
      <w:r w:rsidRPr="00B357B1">
        <w:t>There are no nonclinical objections to registration of catridecacog.</w:t>
      </w:r>
    </w:p>
    <w:p w:rsidR="00B357B1" w:rsidRPr="00B357B1" w:rsidRDefault="00B357B1" w:rsidP="00DF73E7">
      <w:pPr>
        <w:pStyle w:val="ListBullet"/>
      </w:pPr>
      <w:r w:rsidRPr="00B357B1">
        <w:t xml:space="preserve">The draft </w:t>
      </w:r>
      <w:r w:rsidR="006A783F">
        <w:t>PI</w:t>
      </w:r>
      <w:r w:rsidRPr="00B357B1">
        <w:t xml:space="preserve"> should be amended as directed.</w:t>
      </w:r>
    </w:p>
    <w:p w:rsidR="008E7846" w:rsidRPr="00254787" w:rsidRDefault="008E7846" w:rsidP="008E7846">
      <w:pPr>
        <w:pStyle w:val="Heading2"/>
      </w:pPr>
      <w:bookmarkStart w:id="57" w:name="_Toc196046462"/>
      <w:bookmarkStart w:id="58" w:name="_Toc247691516"/>
      <w:bookmarkStart w:id="59" w:name="_Toc314842500"/>
      <w:bookmarkStart w:id="60" w:name="_Toc163441353"/>
      <w:bookmarkStart w:id="61" w:name="_Toc163441348"/>
      <w:bookmarkStart w:id="62" w:name="_Toc389414008"/>
      <w:r>
        <w:t xml:space="preserve">IV. </w:t>
      </w:r>
      <w:r w:rsidRPr="00254787">
        <w:t>Clinical</w:t>
      </w:r>
      <w:bookmarkEnd w:id="57"/>
      <w:r>
        <w:t xml:space="preserve"> </w:t>
      </w:r>
      <w:r w:rsidR="003A7F6C">
        <w:t>f</w:t>
      </w:r>
      <w:r>
        <w:t>indings</w:t>
      </w:r>
      <w:bookmarkEnd w:id="58"/>
      <w:bookmarkEnd w:id="59"/>
      <w:bookmarkEnd w:id="62"/>
    </w:p>
    <w:p w:rsidR="00C80137" w:rsidRPr="005F4B65" w:rsidRDefault="00C80137" w:rsidP="008E7846">
      <w:bookmarkStart w:id="63" w:name="_Toc196046463"/>
      <w:r w:rsidRPr="005F4B65">
        <w:t>A summary of the clinical findings is presented in this section. Further details of these clinical findings can be found in Attachment 2.</w:t>
      </w:r>
    </w:p>
    <w:p w:rsidR="008E7846" w:rsidRDefault="008E7846" w:rsidP="008E7846">
      <w:pPr>
        <w:pStyle w:val="Heading3"/>
      </w:pPr>
      <w:bookmarkStart w:id="64" w:name="_Toc247691517"/>
      <w:bookmarkStart w:id="65" w:name="_Toc314842501"/>
      <w:bookmarkStart w:id="66" w:name="_Toc389414009"/>
      <w:r w:rsidRPr="00254787">
        <w:t>Introduction</w:t>
      </w:r>
      <w:bookmarkEnd w:id="63"/>
      <w:bookmarkEnd w:id="64"/>
      <w:bookmarkEnd w:id="65"/>
      <w:bookmarkEnd w:id="66"/>
    </w:p>
    <w:p w:rsidR="005B7362" w:rsidRPr="005B7362" w:rsidRDefault="005B7362" w:rsidP="005B7362">
      <w:r w:rsidRPr="005B7362">
        <w:t>The submission contained the following clinical information:</w:t>
      </w:r>
    </w:p>
    <w:p w:rsidR="005B7362" w:rsidRPr="005B7362" w:rsidRDefault="005B7362" w:rsidP="005B7362">
      <w:pPr>
        <w:pStyle w:val="ListBullet"/>
      </w:pPr>
      <w:r w:rsidRPr="005B7362">
        <w:t>5 clinical pharmaco</w:t>
      </w:r>
      <w:r w:rsidR="002F5708">
        <w:t>logy studies including 1 Phase I</w:t>
      </w:r>
      <w:r w:rsidRPr="005B7362">
        <w:t xml:space="preserve"> bioequivalence stud</w:t>
      </w:r>
      <w:r w:rsidR="002F5708">
        <w:t xml:space="preserve">y in healthy subjects, 3 Phase I </w:t>
      </w:r>
      <w:r w:rsidR="001C3720">
        <w:t>PK</w:t>
      </w:r>
      <w:r w:rsidRPr="005B7362">
        <w:t xml:space="preserve"> studies in healthy subjects and 1 Phase </w:t>
      </w:r>
      <w:r w:rsidR="001C3720">
        <w:t>PK</w:t>
      </w:r>
      <w:r w:rsidRPr="005B7362">
        <w:t xml:space="preserve"> study in patients with congenital FXIII</w:t>
      </w:r>
      <w:r w:rsidR="004C4B14">
        <w:t xml:space="preserve"> deficiency;</w:t>
      </w:r>
    </w:p>
    <w:p w:rsidR="005B7362" w:rsidRPr="005B7362" w:rsidRDefault="005B7362" w:rsidP="005B7362">
      <w:pPr>
        <w:pStyle w:val="ListBullet"/>
      </w:pPr>
      <w:r w:rsidRPr="005B7362">
        <w:t xml:space="preserve">1 pivotal Phase </w:t>
      </w:r>
      <w:r w:rsidR="00A44A88">
        <w:t>III</w:t>
      </w:r>
      <w:r w:rsidRPr="005B7362">
        <w:t xml:space="preserve"> efficacy/safety study in patients with congenital FXIII deficiency and 1 Phase </w:t>
      </w:r>
      <w:r w:rsidR="00A44A88">
        <w:t>III</w:t>
      </w:r>
      <w:r w:rsidRPr="005B7362">
        <w:t xml:space="preserve"> extension study</w:t>
      </w:r>
      <w:r w:rsidR="00A44A88">
        <w:t xml:space="preserve"> of the pivotal study; 2 Phase III</w:t>
      </w:r>
      <w:r w:rsidRPr="005B7362">
        <w:t>b study synopsis relating to studies in children aged 1-6 years wi</w:t>
      </w:r>
      <w:r w:rsidR="004C4B14">
        <w:t>th congenital FXIII deficiency;</w:t>
      </w:r>
    </w:p>
    <w:p w:rsidR="005B7362" w:rsidRPr="005B7362" w:rsidRDefault="005B7362" w:rsidP="005B7362">
      <w:pPr>
        <w:pStyle w:val="ListBullet"/>
      </w:pPr>
      <w:r w:rsidRPr="005B7362">
        <w:t>2 clinical reports in patients undergoing cardiac surgery administered a single</w:t>
      </w:r>
      <w:r w:rsidR="00A44A88">
        <w:t xml:space="preserve"> </w:t>
      </w:r>
      <w:r w:rsidRPr="005B7362">
        <w:t xml:space="preserve">dose of rFXIII provided </w:t>
      </w:r>
      <w:r w:rsidR="004C4B14">
        <w:t>for safety purposes;</w:t>
      </w:r>
    </w:p>
    <w:p w:rsidR="005B7362" w:rsidRPr="005B7362" w:rsidRDefault="004C4B14" w:rsidP="005B7362">
      <w:pPr>
        <w:pStyle w:val="ListBullet"/>
      </w:pPr>
      <w:r>
        <w:t>Literature references;</w:t>
      </w:r>
    </w:p>
    <w:p w:rsidR="005B7362" w:rsidRPr="005B7362" w:rsidRDefault="005B7362" w:rsidP="005B7362">
      <w:pPr>
        <w:pStyle w:val="ListBullet"/>
      </w:pPr>
      <w:r w:rsidRPr="005B7362">
        <w:t>Reports of Bioanalytical and Analyt</w:t>
      </w:r>
      <w:r w:rsidR="00436567">
        <w:t>ical Methods for Human Studies.</w:t>
      </w:r>
    </w:p>
    <w:p w:rsidR="008E7846" w:rsidRPr="00254787" w:rsidRDefault="008E7846" w:rsidP="008E7846">
      <w:pPr>
        <w:pStyle w:val="Heading3"/>
      </w:pPr>
      <w:bookmarkStart w:id="67" w:name="_Toc196046464"/>
      <w:bookmarkStart w:id="68" w:name="_Toc247691518"/>
      <w:bookmarkStart w:id="69" w:name="_Toc314842502"/>
      <w:bookmarkStart w:id="70" w:name="_Toc389414010"/>
      <w:r w:rsidRPr="00254787">
        <w:lastRenderedPageBreak/>
        <w:t>Pharmacokinetics</w:t>
      </w:r>
      <w:bookmarkEnd w:id="60"/>
      <w:bookmarkEnd w:id="67"/>
      <w:bookmarkEnd w:id="68"/>
      <w:bookmarkEnd w:id="69"/>
      <w:bookmarkEnd w:id="70"/>
    </w:p>
    <w:p w:rsidR="008E7846" w:rsidRDefault="008716FD" w:rsidP="008716FD">
      <w:pPr>
        <w:pStyle w:val="Heading4"/>
      </w:pPr>
      <w:r>
        <w:t xml:space="preserve">Overview of </w:t>
      </w:r>
      <w:r w:rsidR="001C3720">
        <w:t>PK</w:t>
      </w:r>
      <w:r>
        <w:t xml:space="preserve"> studies</w:t>
      </w:r>
    </w:p>
    <w:p w:rsidR="008716FD" w:rsidRPr="008716FD" w:rsidRDefault="008716FD" w:rsidP="008716FD">
      <w:r w:rsidRPr="008716FD">
        <w:t>The pharmacokinetics of rFXIII were investigated in five Phas</w:t>
      </w:r>
      <w:r w:rsidR="00D171BD">
        <w:t>e I</w:t>
      </w:r>
      <w:r w:rsidRPr="008716FD">
        <w:t xml:space="preserve"> clinical pharmacology studies, including four studies (both single and multiple dose) in 148 healthy subjects and one study in 9 patients with congenital FXIII deficiency. In addition, </w:t>
      </w:r>
      <w:r w:rsidR="001C3720">
        <w:t>PK</w:t>
      </w:r>
      <w:r w:rsidRPr="008716FD">
        <w:t xml:space="preserve"> data were assessed in patients with congenital FXIII deficiency from two Phase </w:t>
      </w:r>
      <w:r w:rsidR="003E1D8A">
        <w:t>III</w:t>
      </w:r>
      <w:r w:rsidRPr="008716FD">
        <w:t xml:space="preserve"> studies, including 41 patients from </w:t>
      </w:r>
      <w:r w:rsidR="007B712F">
        <w:t xml:space="preserve">Study </w:t>
      </w:r>
      <w:r w:rsidRPr="008716FD">
        <w:t>F13CD-1725 wit</w:t>
      </w:r>
      <w:r w:rsidR="003E1D8A">
        <w:t>h PK data from before and 1 h</w:t>
      </w:r>
      <w:r w:rsidRPr="008716FD">
        <w:t xml:space="preserve"> after each monthly dose of rFXIII and from 14 days after the initial dose, and 33 patients who continued treatment in the extension </w:t>
      </w:r>
      <w:r w:rsidR="003E1D8A">
        <w:t>S</w:t>
      </w:r>
      <w:r w:rsidR="006C14F6">
        <w:t xml:space="preserve">tudy F13CD-3720 with </w:t>
      </w:r>
      <w:r w:rsidR="001C3720">
        <w:t>PK</w:t>
      </w:r>
      <w:r w:rsidRPr="008716FD">
        <w:t xml:space="preserve"> data (trough levels) from befo</w:t>
      </w:r>
      <w:r w:rsidR="00F37FB9">
        <w:t>re each monthly dose of rFXIII.</w:t>
      </w:r>
    </w:p>
    <w:p w:rsidR="008716FD" w:rsidRPr="008716FD" w:rsidRDefault="008716FD" w:rsidP="008716FD">
      <w:r w:rsidRPr="008716FD">
        <w:t>Of the five Phase 1 PK studies, three were conducted in Europe (NN1841-3788</w:t>
      </w:r>
      <w:r w:rsidR="007B712F">
        <w:t>,</w:t>
      </w:r>
      <w:r w:rsidRPr="008716FD">
        <w:t xml:space="preserve"> F13CD-1661</w:t>
      </w:r>
      <w:r w:rsidR="007B712F">
        <w:t>,</w:t>
      </w:r>
      <w:r w:rsidRPr="008716FD">
        <w:t xml:space="preserve"> F13CD-1662), one in the US (F13CD-1663)</w:t>
      </w:r>
      <w:r w:rsidR="007B712F">
        <w:t>,</w:t>
      </w:r>
      <w:r w:rsidRPr="008716FD">
        <w:t xml:space="preserve"> and one in Japan (NN1810-3733). The Phase </w:t>
      </w:r>
      <w:r w:rsidR="004E7A8A">
        <w:t>III</w:t>
      </w:r>
      <w:r w:rsidRPr="008716FD">
        <w:t xml:space="preserve"> studies F13CD-1725 and F13CD-37</w:t>
      </w:r>
      <w:r w:rsidR="007B712F">
        <w:t>20 were conducted in Europe, US</w:t>
      </w:r>
      <w:r w:rsidRPr="008716FD">
        <w:t xml:space="preserve">, Canada and Israel. The majority of subjects with PK data were Caucasian, apart from healthy Japanese males with PK data from </w:t>
      </w:r>
      <w:r w:rsidR="00B95708">
        <w:t>S</w:t>
      </w:r>
      <w:r w:rsidRPr="008716FD">
        <w:t>tudy NN1810-3733.</w:t>
      </w:r>
      <w:r w:rsidR="00CD52B1">
        <w:t xml:space="preserve"> </w:t>
      </w:r>
      <w:r w:rsidRPr="008716FD">
        <w:t xml:space="preserve">The age range of healthy subjects in the Phase </w:t>
      </w:r>
      <w:r w:rsidR="00FE7851">
        <w:t>I</w:t>
      </w:r>
      <w:r w:rsidRPr="008716FD">
        <w:t xml:space="preserve"> studies was 18 to 55 years, while the studies in patients with FXIII deficiency inc</w:t>
      </w:r>
      <w:r w:rsidR="00EC7E38">
        <w:t xml:space="preserve">luded a wider range of ages (19 </w:t>
      </w:r>
      <w:r w:rsidRPr="008716FD">
        <w:t xml:space="preserve">to 76 years and 7 to 60 years for the Phase </w:t>
      </w:r>
      <w:r w:rsidR="00FE7851">
        <w:t>I</w:t>
      </w:r>
      <w:r w:rsidRPr="008716FD">
        <w:t xml:space="preserve"> and Phase </w:t>
      </w:r>
      <w:r w:rsidR="00FE7851">
        <w:t>III</w:t>
      </w:r>
      <w:r w:rsidRPr="008716FD">
        <w:t xml:space="preserve"> studies, respectively). The PK data included information on both males and females.</w:t>
      </w:r>
    </w:p>
    <w:p w:rsidR="008716FD" w:rsidRPr="008716FD" w:rsidRDefault="008716FD" w:rsidP="008716FD">
      <w:r w:rsidRPr="008716FD">
        <w:t xml:space="preserve">The main features of the studies with PK data are outlined below in </w:t>
      </w:r>
      <w:r>
        <w:t>Table 3.</w:t>
      </w:r>
    </w:p>
    <w:p w:rsidR="00CF676C" w:rsidRDefault="00CF676C" w:rsidP="00CF676C">
      <w:pPr>
        <w:pStyle w:val="TableTitle"/>
      </w:pPr>
      <w:r>
        <w:t>Table 3:</w:t>
      </w:r>
      <w:r w:rsidRPr="004C5C28">
        <w:t xml:space="preserve"> </w:t>
      </w:r>
      <w:r w:rsidRPr="00CF676C">
        <w:t xml:space="preserve">Overview of studies providing </w:t>
      </w:r>
      <w:r w:rsidR="001C3720">
        <w:t>PK</w:t>
      </w:r>
      <w:r w:rsidRPr="00CF676C">
        <w:t xml:space="preserve"> data</w:t>
      </w:r>
      <w:r>
        <w:t>.</w:t>
      </w:r>
    </w:p>
    <w:p w:rsidR="008716FD" w:rsidRDefault="00A938FA" w:rsidP="008E7846">
      <w:r>
        <w:rPr>
          <w:noProof/>
          <w:lang w:eastAsia="en-AU"/>
        </w:rPr>
        <w:drawing>
          <wp:inline distT="0" distB="0" distL="0" distR="0">
            <wp:extent cx="5391150" cy="2692400"/>
            <wp:effectExtent l="0" t="0" r="0" b="0"/>
            <wp:docPr id="5" name="Picture 5" descr="Table 3: Overview of studies providing PK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3: Overview of studies providing PK dat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2692400"/>
                    </a:xfrm>
                    <a:prstGeom prst="rect">
                      <a:avLst/>
                    </a:prstGeom>
                    <a:noFill/>
                    <a:ln>
                      <a:noFill/>
                    </a:ln>
                  </pic:spPr>
                </pic:pic>
              </a:graphicData>
            </a:graphic>
          </wp:inline>
        </w:drawing>
      </w:r>
    </w:p>
    <w:p w:rsidR="00BC0DA4" w:rsidRPr="00BC0DA4" w:rsidRDefault="00BC0DA4" w:rsidP="00F37FB9">
      <w:pPr>
        <w:pStyle w:val="TableDescription"/>
      </w:pPr>
      <w:r>
        <w:t xml:space="preserve">a. </w:t>
      </w:r>
      <w:r w:rsidRPr="00BC0DA4">
        <w:t>PK assessment at the two hi</w:t>
      </w:r>
      <w:r w:rsidR="00E91AD7">
        <w:t>ghest dose levels for Berichrom</w:t>
      </w:r>
      <w:r w:rsidRPr="00BC0DA4">
        <w:t xml:space="preserve"> assay. For </w:t>
      </w:r>
      <w:r w:rsidR="007B712F" w:rsidRPr="007B712F">
        <w:t>en</w:t>
      </w:r>
      <w:r w:rsidR="007B712F">
        <w:t>zyme linked immunosorbent assays (</w:t>
      </w:r>
      <w:r w:rsidRPr="00BC0DA4">
        <w:t>ELISAs</w:t>
      </w:r>
      <w:r w:rsidR="007B712F">
        <w:t>)</w:t>
      </w:r>
      <w:r w:rsidRPr="00BC0DA4">
        <w:t>, more dose levels were investigated.</w:t>
      </w:r>
    </w:p>
    <w:p w:rsidR="00BC0DA4" w:rsidRPr="00BC0DA4" w:rsidRDefault="00BC0DA4" w:rsidP="00F37FB9">
      <w:pPr>
        <w:pStyle w:val="TableDescription"/>
      </w:pPr>
      <w:r>
        <w:t xml:space="preserve">b. </w:t>
      </w:r>
      <w:r w:rsidRPr="00BC0DA4">
        <w:t>PK assessment at the three highest dose levels.</w:t>
      </w:r>
    </w:p>
    <w:p w:rsidR="00BC0DA4" w:rsidRPr="00BC0DA4" w:rsidRDefault="00BC0DA4" w:rsidP="00F37FB9">
      <w:pPr>
        <w:pStyle w:val="TableDescription"/>
      </w:pPr>
      <w:r w:rsidRPr="00BC0DA4">
        <w:t>c</w:t>
      </w:r>
      <w:r>
        <w:t xml:space="preserve">. </w:t>
      </w:r>
      <w:r w:rsidRPr="00BC0DA4">
        <w:t>Two (2) patients receiving 2 IU/kg rFXIII were re-enrolled at higher dose levels.</w:t>
      </w:r>
    </w:p>
    <w:p w:rsidR="00BC0DA4" w:rsidRPr="00BC0DA4" w:rsidRDefault="00BC0DA4" w:rsidP="00F37FB9">
      <w:pPr>
        <w:pStyle w:val="TableDescription"/>
      </w:pPr>
      <w:r>
        <w:t xml:space="preserve">d. </w:t>
      </w:r>
      <w:r w:rsidRPr="00BC0DA4">
        <w:t xml:space="preserve">To expand the safety database, the </w:t>
      </w:r>
      <w:r w:rsidR="007B712F">
        <w:t xml:space="preserve">Study </w:t>
      </w:r>
      <w:r w:rsidRPr="00BC0DA4">
        <w:t>F13CD-3720 protocol was amended to allow for inclusion of additional patients into the trial. As of the cut-off date of 11 February 2011</w:t>
      </w:r>
      <w:r w:rsidR="007B712F">
        <w:t>,</w:t>
      </w:r>
      <w:r w:rsidRPr="00BC0DA4">
        <w:t xml:space="preserve"> this had resulted in exposure to single additional dose in 1 patient (not included </w:t>
      </w:r>
      <w:r>
        <w:t xml:space="preserve">in 33 </w:t>
      </w:r>
      <w:r w:rsidRPr="00BC0DA4">
        <w:t xml:space="preserve">patients). </w:t>
      </w:r>
    </w:p>
    <w:p w:rsidR="00CF676C" w:rsidRPr="00CF676C" w:rsidRDefault="00CF676C" w:rsidP="00CF676C">
      <w:r w:rsidRPr="00CF676C">
        <w:t xml:space="preserve">In the earlier studies, rFXIII dose was expressed as U/kg while in the later studies rFXIII dose was expressed as IU/kg. The sponsor stated that the dose was expressed in U before the new rFXIII guideline was introduced, which is calibrated against an international FXIII plasma standard (WHO plasma standard). The link between U and IU is: 1 U = 1.19 IU and 0.84 IU = </w:t>
      </w:r>
      <w:r w:rsidR="004E3B20">
        <w:t>1 U, or 1 mg = 167 IU or 140 U.</w:t>
      </w:r>
    </w:p>
    <w:p w:rsidR="00CF676C" w:rsidRPr="00CF676C" w:rsidRDefault="00CF676C" w:rsidP="00CF676C">
      <w:r w:rsidRPr="00CF676C">
        <w:t>The PK parameters for FXIII activity were calculated using non</w:t>
      </w:r>
      <w:r w:rsidR="007B712F">
        <w:t xml:space="preserve"> </w:t>
      </w:r>
      <w:r w:rsidRPr="00CF676C">
        <w:t xml:space="preserve">compartmental analyses (NCA). In the PK studies in healthy subjects, the effect of baseline level of FXIII activity was </w:t>
      </w:r>
      <w:r w:rsidRPr="00CF676C">
        <w:lastRenderedPageBreak/>
        <w:t>accounted for by subtracting the median (NN1841-3788 and NN1810-3733) or the mean (F13CD-1661 and F13CD-1662) of three pre</w:t>
      </w:r>
      <w:r w:rsidR="006D73C3">
        <w:t xml:space="preserve"> </w:t>
      </w:r>
      <w:r w:rsidRPr="00CF676C">
        <w:t>dose values from all post</w:t>
      </w:r>
      <w:r w:rsidR="006D73C3">
        <w:t xml:space="preserve"> </w:t>
      </w:r>
      <w:r w:rsidRPr="00CF676C">
        <w:t>dose values prior to ca</w:t>
      </w:r>
      <w:r w:rsidR="004E3B20">
        <w:t>lculation of the PK parameters.</w:t>
      </w:r>
    </w:p>
    <w:p w:rsidR="00702034" w:rsidRPr="00702034" w:rsidRDefault="00702034" w:rsidP="00702034">
      <w:pPr>
        <w:pStyle w:val="Heading4"/>
      </w:pPr>
      <w:bookmarkStart w:id="71" w:name="_Toc241374296"/>
      <w:bookmarkStart w:id="72" w:name="_Ref269982040"/>
      <w:bookmarkStart w:id="73" w:name="_Ref271018704"/>
      <w:bookmarkStart w:id="74" w:name="_Ref271018755"/>
      <w:bookmarkStart w:id="75" w:name="_Toc272414635"/>
      <w:bookmarkStart w:id="76" w:name="_Toc290846258"/>
      <w:bookmarkStart w:id="77" w:name="_Toc218077426"/>
      <w:r w:rsidRPr="00702034">
        <w:t>Evaluator’s overall conclusions on pharmacokinetics</w:t>
      </w:r>
      <w:bookmarkEnd w:id="71"/>
      <w:bookmarkEnd w:id="72"/>
      <w:bookmarkEnd w:id="73"/>
      <w:bookmarkEnd w:id="74"/>
      <w:bookmarkEnd w:id="75"/>
      <w:bookmarkEnd w:id="76"/>
      <w:bookmarkEnd w:id="77"/>
    </w:p>
    <w:p w:rsidR="00702034" w:rsidRPr="00702034" w:rsidRDefault="00702034" w:rsidP="00702034">
      <w:r w:rsidRPr="00702034">
        <w:t>Overall, the PK submitted data for rFXIII is considered to be adequate for a therapeutic protein with an identical structure to the corresponding endogenous protein in humans. However, there were no specific PK studies exclusively in children or adolescents younger than 18 years with congenital FXIII deficiency, and the were no PK data at all in children younger than 7 years of age. The lack of PK data in children younger than 7 years, and the absence of exclusive data in children and adolescents aged 7 to 17 years is considered to be a significant deficiency in the submission.</w:t>
      </w:r>
    </w:p>
    <w:p w:rsidR="00702034" w:rsidRPr="00702034" w:rsidRDefault="00702034" w:rsidP="00702034">
      <w:r w:rsidRPr="00702034">
        <w:t>Of the four, Phase I studies in 148 healthy subjects aged at least 18 years, the single</w:t>
      </w:r>
      <w:r w:rsidR="006D73C3">
        <w:t xml:space="preserve"> </w:t>
      </w:r>
      <w:r w:rsidRPr="00702034">
        <w:t>dose bioequivalence study (N1841-3788) included the greatest number of exposures to rFXIII (98 exposures in 50 subjects) at the proposed dose (35 IU kg/mL). Consequently, the PK data from this study are considered to be the most valid in healthy subjects. There was one small Phase I study in 7 patients with congenital FXIII deficiency given single</w:t>
      </w:r>
      <w:r w:rsidR="006D73C3">
        <w:t xml:space="preserve"> </w:t>
      </w:r>
      <w:r w:rsidRPr="00702034">
        <w:t>doses of rFXIII of 24 IU/kg (n</w:t>
      </w:r>
      <w:r w:rsidR="006D73C3">
        <w:t xml:space="preserve"> </w:t>
      </w:r>
      <w:r w:rsidRPr="00702034">
        <w:t>=</w:t>
      </w:r>
      <w:r w:rsidR="006D73C3">
        <w:t xml:space="preserve"> </w:t>
      </w:r>
      <w:r w:rsidRPr="00702034">
        <w:t>2), 60 IU/kg (n</w:t>
      </w:r>
      <w:r w:rsidR="006D73C3">
        <w:t xml:space="preserve"> </w:t>
      </w:r>
      <w:r w:rsidRPr="00702034">
        <w:t>=</w:t>
      </w:r>
      <w:r w:rsidR="006D73C3">
        <w:t xml:space="preserve"> </w:t>
      </w:r>
      <w:r w:rsidRPr="00702034">
        <w:t>3), or 89 IU/kg (n</w:t>
      </w:r>
      <w:r w:rsidR="006D73C3">
        <w:t xml:space="preserve"> </w:t>
      </w:r>
      <w:r w:rsidRPr="00702034">
        <w:t>=</w:t>
      </w:r>
      <w:r w:rsidR="006D73C3">
        <w:t xml:space="preserve"> </w:t>
      </w:r>
      <w:r w:rsidRPr="00702034">
        <w:t xml:space="preserve">2). There were no Phase I PK studies in patients with congenital FXIII deficiency that investigated the proposed dose of 35 IU/kg. However, limited PK data for </w:t>
      </w:r>
      <w:r w:rsidR="006D73C3">
        <w:t>the proposed dose of 35 IU/kg IV</w:t>
      </w:r>
      <w:r w:rsidRPr="00702034">
        <w:t xml:space="preserve"> was investigated </w:t>
      </w:r>
      <w:r w:rsidR="006D73C3">
        <w:t>in the Phase III</w:t>
      </w:r>
      <w:r w:rsidRPr="00702034">
        <w:t xml:space="preserve"> study (F13CD-1725) in patients with congenital FXIII deficiency. In this study, FXIII activity, total A</w:t>
      </w:r>
      <w:r w:rsidRPr="006D73C3">
        <w:rPr>
          <w:vertAlign w:val="subscript"/>
        </w:rPr>
        <w:t>2</w:t>
      </w:r>
      <w:r w:rsidRPr="00702034">
        <w:t>, FXIII tetramer (rA</w:t>
      </w:r>
      <w:r w:rsidR="006D73C3" w:rsidRPr="006D73C3">
        <w:rPr>
          <w:vertAlign w:val="subscript"/>
        </w:rPr>
        <w:t>2</w:t>
      </w:r>
      <w:r w:rsidRPr="00702034">
        <w:t>B</w:t>
      </w:r>
      <w:r w:rsidRPr="006D73C3">
        <w:rPr>
          <w:vertAlign w:val="subscript"/>
        </w:rPr>
        <w:t>2</w:t>
      </w:r>
      <w:r w:rsidRPr="00702034">
        <w:t xml:space="preserve"> and A</w:t>
      </w:r>
      <w:r w:rsidR="006D73C3" w:rsidRPr="006D73C3">
        <w:rPr>
          <w:vertAlign w:val="subscript"/>
        </w:rPr>
        <w:t>2</w:t>
      </w:r>
      <w:r w:rsidRPr="00702034">
        <w:t>B</w:t>
      </w:r>
      <w:r w:rsidR="006D73C3" w:rsidRPr="006D73C3">
        <w:rPr>
          <w:vertAlign w:val="subscript"/>
        </w:rPr>
        <w:t>2</w:t>
      </w:r>
      <w:r w:rsidRPr="00702034">
        <w:t>), and uncomplexed B</w:t>
      </w:r>
      <w:r w:rsidR="006D73C3">
        <w:t xml:space="preserve"> </w:t>
      </w:r>
      <w:r w:rsidRPr="00702034">
        <w:t>subunit concentrations were measured pre</w:t>
      </w:r>
      <w:r w:rsidR="006D73C3">
        <w:t xml:space="preserve"> dose and 1 h post </w:t>
      </w:r>
      <w:r w:rsidRPr="00702034">
        <w:t>dose each 28 ± days for 48 weeks in 41 patients (471 exposures). In addition, in the extension (</w:t>
      </w:r>
      <w:r w:rsidR="005B01D1">
        <w:t>S</w:t>
      </w:r>
      <w:r w:rsidRPr="00702034">
        <w:t xml:space="preserve">tudy FCD-1725) to </w:t>
      </w:r>
      <w:r w:rsidR="00C34F45">
        <w:t>S</w:t>
      </w:r>
      <w:r w:rsidRPr="00702034">
        <w:t>tudy FCD-1720, preliminary pre</w:t>
      </w:r>
      <w:r w:rsidR="00C34F45">
        <w:t xml:space="preserve"> dose (that is</w:t>
      </w:r>
      <w:r w:rsidRPr="00702034">
        <w:t>, trough) levels for FXIII activity were provided each 28 ± 2 d</w:t>
      </w:r>
      <w:r w:rsidR="00C34F45">
        <w:t>ays for a further 24 weeks (that is</w:t>
      </w:r>
      <w:r w:rsidRPr="00702034">
        <w:t>, up to 72 weeks post</w:t>
      </w:r>
      <w:r w:rsidR="00C34F45">
        <w:t xml:space="preserve"> </w:t>
      </w:r>
      <w:r w:rsidRPr="00702034">
        <w:t>fi</w:t>
      </w:r>
      <w:r w:rsidR="004E3B20">
        <w:t>rst dose) in up to 33 patients.</w:t>
      </w:r>
    </w:p>
    <w:p w:rsidR="00702034" w:rsidRPr="00702034" w:rsidRDefault="00702034" w:rsidP="00702034">
      <w:r w:rsidRPr="00702034">
        <w:t>Study N184</w:t>
      </w:r>
      <w:r w:rsidR="005928D4">
        <w:t>1-3788 established that IV</w:t>
      </w:r>
      <w:r w:rsidRPr="00702034">
        <w:t xml:space="preserve"> doses of 35 IU/kg of rFXIIIAvecia (used in nonclinical and clinical studies) and rFXIIINN (proposed formulation for registration) were bioequivalent as regards the AUC</w:t>
      </w:r>
      <w:r w:rsidRPr="005928D4">
        <w:rPr>
          <w:vertAlign w:val="subscript"/>
        </w:rPr>
        <w:t>0-28</w:t>
      </w:r>
      <w:r w:rsidR="005928D4" w:rsidRPr="005928D4">
        <w:rPr>
          <w:vertAlign w:val="subscript"/>
        </w:rPr>
        <w:t xml:space="preserve">d </w:t>
      </w:r>
      <w:r w:rsidR="005928D4">
        <w:t>of rFXIII activity (Berichrom</w:t>
      </w:r>
      <w:r w:rsidRPr="00702034">
        <w:t xml:space="preserve"> assay). The baseline adjusted geometric mean (CV%) </w:t>
      </w:r>
      <w:r w:rsidR="004A12D2" w:rsidRPr="00702034">
        <w:t>AUC</w:t>
      </w:r>
      <w:r w:rsidR="004A12D2" w:rsidRPr="005928D4">
        <w:rPr>
          <w:vertAlign w:val="subscript"/>
        </w:rPr>
        <w:t xml:space="preserve">0-28d </w:t>
      </w:r>
      <w:r w:rsidRPr="00702034">
        <w:t>values were 213.2 (23.0%) IU•h/mL for rFXIIIAvecia (n</w:t>
      </w:r>
      <w:r w:rsidR="00C27462">
        <w:t xml:space="preserve"> </w:t>
      </w:r>
      <w:r w:rsidRPr="00702034">
        <w:t>=</w:t>
      </w:r>
      <w:r w:rsidR="00C27462">
        <w:t xml:space="preserve"> </w:t>
      </w:r>
      <w:r w:rsidRPr="00702034">
        <w:t>49) and 227.6 IU•h/mL (24.4%) for rFXIIINN (n</w:t>
      </w:r>
      <w:r w:rsidR="00C27462">
        <w:t xml:space="preserve"> </w:t>
      </w:r>
      <w:r w:rsidRPr="00702034">
        <w:t>=</w:t>
      </w:r>
      <w:r w:rsidR="00C27462">
        <w:t xml:space="preserve"> </w:t>
      </w:r>
      <w:r w:rsidRPr="00702034">
        <w:t>49), and the corresponding geometric means for the C</w:t>
      </w:r>
      <w:r w:rsidRPr="007739EF">
        <w:rPr>
          <w:vertAlign w:val="subscript"/>
        </w:rPr>
        <w:t>30min</w:t>
      </w:r>
      <w:r w:rsidRPr="00702034">
        <w:t xml:space="preserve"> were 0.85 IU/mL in both treatment groups (respective CV% of 28.2% and 20%). The pooled geometric mean (CV%) for the </w:t>
      </w:r>
      <w:r w:rsidR="009431E0" w:rsidRPr="00702034">
        <w:t>AUC</w:t>
      </w:r>
      <w:r w:rsidR="009431E0" w:rsidRPr="005928D4">
        <w:rPr>
          <w:vertAlign w:val="subscript"/>
        </w:rPr>
        <w:t xml:space="preserve">0-28d </w:t>
      </w:r>
      <w:r w:rsidRPr="00702034">
        <w:t xml:space="preserve">was 220.3 (23.8%) IU•h/mL, and the corresponding geometric mean for the </w:t>
      </w:r>
      <w:r w:rsidR="00E20B0E" w:rsidRPr="00702034">
        <w:t>C</w:t>
      </w:r>
      <w:r w:rsidR="00E20B0E" w:rsidRPr="007739EF">
        <w:rPr>
          <w:vertAlign w:val="subscript"/>
        </w:rPr>
        <w:t>30min</w:t>
      </w:r>
      <w:r w:rsidR="004E3B20">
        <w:t xml:space="preserve"> was 0.85 (24.1%).</w:t>
      </w:r>
    </w:p>
    <w:p w:rsidR="00702034" w:rsidRPr="00702034" w:rsidRDefault="00ED5B6E" w:rsidP="00702034">
      <w:r>
        <w:t>In S</w:t>
      </w:r>
      <w:r w:rsidR="00702034" w:rsidRPr="00702034">
        <w:t>tudy NN1841-3788 in healthy males (n</w:t>
      </w:r>
      <w:r>
        <w:t xml:space="preserve"> </w:t>
      </w:r>
      <w:r w:rsidR="00702034" w:rsidRPr="00702034">
        <w:t>=</w:t>
      </w:r>
      <w:r>
        <w:t xml:space="preserve"> 50), following single IV</w:t>
      </w:r>
      <w:r w:rsidR="00702034" w:rsidRPr="00702034">
        <w:t xml:space="preserve"> doses (35 UI/kg) of rFXIIIAvecia and rFXIIINN the pooled geometric mean (%CV) PK parameters</w:t>
      </w:r>
      <w:r>
        <w:t xml:space="preserve"> for rFXIII activity (Berichrom</w:t>
      </w:r>
      <w:r w:rsidR="00E806FE">
        <w:t xml:space="preserve"> assay) were half life </w:t>
      </w:r>
      <w:r w:rsidR="00D938C8">
        <w:t>266 (64%) h</w:t>
      </w:r>
      <w:r w:rsidR="00702034" w:rsidRPr="00702034">
        <w:t xml:space="preserve">, </w:t>
      </w:r>
      <w:r w:rsidR="00D938C8">
        <w:t>a</w:t>
      </w:r>
      <w:r w:rsidR="00D938C8" w:rsidRPr="00D938C8">
        <w:t xml:space="preserve">pparent total body clearance of the drug from plasma </w:t>
      </w:r>
      <w:r w:rsidR="00D938C8">
        <w:t>(</w:t>
      </w:r>
      <w:r w:rsidR="00702034" w:rsidRPr="00702034">
        <w:t>CL</w:t>
      </w:r>
      <w:r w:rsidR="00D938C8">
        <w:t>)</w:t>
      </w:r>
      <w:r w:rsidR="00702034" w:rsidRPr="00702034">
        <w:t xml:space="preserve"> 0.13 (36%) mL/h/kg, </w:t>
      </w:r>
      <w:r w:rsidR="00580330">
        <w:t>a</w:t>
      </w:r>
      <w:r w:rsidR="00580330" w:rsidRPr="00580330">
        <w:t xml:space="preserve">pparent volume of distribution at steady state </w:t>
      </w:r>
      <w:r w:rsidR="00580330">
        <w:t>(</w:t>
      </w:r>
      <w:r w:rsidR="00702034" w:rsidRPr="00702034">
        <w:t>V</w:t>
      </w:r>
      <w:r w:rsidR="00702034" w:rsidRPr="00980853">
        <w:rPr>
          <w:vertAlign w:val="subscript"/>
        </w:rPr>
        <w:t>ss</w:t>
      </w:r>
      <w:r w:rsidR="00580330">
        <w:t>)</w:t>
      </w:r>
      <w:r w:rsidR="00702034" w:rsidRPr="00702034">
        <w:t xml:space="preserve"> 47 (24.9%) </w:t>
      </w:r>
      <w:r w:rsidR="009F7A94">
        <w:t xml:space="preserve">mL/kg, and </w:t>
      </w:r>
      <w:r w:rsidR="00AE4FAE">
        <w:t>m</w:t>
      </w:r>
      <w:r w:rsidR="00966DF8" w:rsidRPr="00966DF8">
        <w:t xml:space="preserve">ean </w:t>
      </w:r>
      <w:r w:rsidR="00AE4FAE">
        <w:t>r</w:t>
      </w:r>
      <w:r w:rsidR="00966DF8" w:rsidRPr="00966DF8">
        <w:t xml:space="preserve">esidence </w:t>
      </w:r>
      <w:r w:rsidR="00AE4FAE">
        <w:t>t</w:t>
      </w:r>
      <w:r w:rsidR="00966DF8" w:rsidRPr="00966DF8">
        <w:t>ime</w:t>
      </w:r>
      <w:r w:rsidR="00966DF8">
        <w:t xml:space="preserve"> (MRT) </w:t>
      </w:r>
      <w:r w:rsidR="009F7A94">
        <w:t>372 (66.8%) h</w:t>
      </w:r>
      <w:r w:rsidR="00702034" w:rsidRPr="00702034">
        <w:t xml:space="preserve">. The </w:t>
      </w:r>
      <w:r w:rsidR="004826DD">
        <w:t xml:space="preserve">mean geometric elimination half </w:t>
      </w:r>
      <w:r w:rsidR="00702034" w:rsidRPr="00702034">
        <w:t>life for FXIII activity ob</w:t>
      </w:r>
      <w:r w:rsidR="005C47F3">
        <w:t>served in healthy volunteers (~</w:t>
      </w:r>
      <w:r w:rsidR="00702034" w:rsidRPr="00702034">
        <w:t>11.1 days) was consistent with that observed in pa</w:t>
      </w:r>
      <w:r w:rsidR="005C47F3">
        <w:t>tients with FXIII deficiency (~</w:t>
      </w:r>
      <w:r w:rsidR="00702034" w:rsidRPr="00702034">
        <w:t>11.5 days). The small V</w:t>
      </w:r>
      <w:r w:rsidR="00702034" w:rsidRPr="00980853">
        <w:rPr>
          <w:vertAlign w:val="subscript"/>
        </w:rPr>
        <w:t>ss</w:t>
      </w:r>
      <w:r w:rsidR="005C47F3">
        <w:t xml:space="preserve"> of ~</w:t>
      </w:r>
      <w:r w:rsidR="00702034" w:rsidRPr="00702034">
        <w:t>47 mL/kg suggests that rFXIII remains primarily in the vascular compartment with negligible distribution to the extravascular compartments. The CV% values for the PK parameters suggest that inter</w:t>
      </w:r>
      <w:r w:rsidR="00580330">
        <w:t xml:space="preserve"> </w:t>
      </w:r>
      <w:r w:rsidR="00702034" w:rsidRPr="00702034">
        <w:t>s</w:t>
      </w:r>
      <w:r w:rsidR="004E3B20">
        <w:t>ubject variability is moderate.</w:t>
      </w:r>
    </w:p>
    <w:p w:rsidR="00702034" w:rsidRPr="00702034" w:rsidRDefault="00702034" w:rsidP="00702034">
      <w:r w:rsidRPr="00702034">
        <w:t xml:space="preserve">In </w:t>
      </w:r>
      <w:r w:rsidR="00556301">
        <w:t>S</w:t>
      </w:r>
      <w:r w:rsidRPr="00702034">
        <w:t>tudy NN1810-3733 in healthy Japanese males (n</w:t>
      </w:r>
      <w:r w:rsidR="00980853">
        <w:t xml:space="preserve"> </w:t>
      </w:r>
      <w:r w:rsidRPr="00702034">
        <w:t>=</w:t>
      </w:r>
      <w:r w:rsidR="00980853">
        <w:t xml:space="preserve"> </w:t>
      </w:r>
      <w:r w:rsidRPr="00702034">
        <w:t>8), the geometric mean AUC</w:t>
      </w:r>
      <w:r w:rsidRPr="00980853">
        <w:rPr>
          <w:vertAlign w:val="subscript"/>
        </w:rPr>
        <w:t xml:space="preserve">0-28d </w:t>
      </w:r>
      <w:r w:rsidRPr="00702034">
        <w:t>increased in a less than dose</w:t>
      </w:r>
      <w:r w:rsidR="00556301">
        <w:t xml:space="preserve"> </w:t>
      </w:r>
      <w:r w:rsidRPr="00702034">
        <w:t>proportional manner</w:t>
      </w:r>
      <w:r w:rsidR="005F066B">
        <w:t xml:space="preserve"> following single IV</w:t>
      </w:r>
      <w:r w:rsidRPr="00702034">
        <w:t xml:space="preserve"> dose</w:t>
      </w:r>
      <w:r w:rsidR="008429D2">
        <w:t>s of 12 IU/kg and 35 IU/kg (that is</w:t>
      </w:r>
      <w:r w:rsidRPr="00702034">
        <w:t>, 71.5 v</w:t>
      </w:r>
      <w:r w:rsidR="008429D2">
        <w:t>ersu</w:t>
      </w:r>
      <w:r w:rsidRPr="00702034">
        <w:t xml:space="preserve">s 152.6 IU•h/mL, respectively). In agreement with this observation, the geometric mean clearance of rFXIII was higher after 35 IU/kg than after 12 IU/kg (0.198 </w:t>
      </w:r>
      <w:r w:rsidR="008429D2" w:rsidRPr="00702034">
        <w:t>v</w:t>
      </w:r>
      <w:r w:rsidR="008429D2">
        <w:t>ersu</w:t>
      </w:r>
      <w:r w:rsidR="008429D2" w:rsidRPr="00702034">
        <w:t>s</w:t>
      </w:r>
      <w:r w:rsidRPr="00702034">
        <w:t xml:space="preserve"> 0.122 mL/kg, respectively). Free FXIII B</w:t>
      </w:r>
      <w:r w:rsidR="00762B85">
        <w:t xml:space="preserve"> </w:t>
      </w:r>
      <w:r w:rsidRPr="00702034">
        <w:t xml:space="preserve">subunit levels declined shortly after administration of rFXIII, which is consistent with binding of administered </w:t>
      </w:r>
      <w:r w:rsidRPr="00702034">
        <w:lastRenderedPageBreak/>
        <w:t>rFX</w:t>
      </w:r>
      <w:r w:rsidR="00762B85">
        <w:t xml:space="preserve">III to free circulating FXIII B </w:t>
      </w:r>
      <w:r w:rsidRPr="00702034">
        <w:t>subunits</w:t>
      </w:r>
      <w:r w:rsidR="00762B85">
        <w:t xml:space="preserve"> to form FXIII heterotetramers (rA</w:t>
      </w:r>
      <w:r w:rsidR="00762B85" w:rsidRPr="00762B85">
        <w:rPr>
          <w:vertAlign w:val="subscript"/>
        </w:rPr>
        <w:t>2</w:t>
      </w:r>
      <w:r w:rsidR="00762B85">
        <w:t>B</w:t>
      </w:r>
      <w:r w:rsidR="00762B85" w:rsidRPr="00762B85">
        <w:rPr>
          <w:vertAlign w:val="subscript"/>
        </w:rPr>
        <w:t>2</w:t>
      </w:r>
      <w:r w:rsidR="00762B85">
        <w:t>)</w:t>
      </w:r>
      <w:r w:rsidRPr="00702034">
        <w:t>. The decreases in FXIII B</w:t>
      </w:r>
      <w:r w:rsidR="00AB0CE4">
        <w:t xml:space="preserve"> </w:t>
      </w:r>
      <w:r w:rsidRPr="00702034">
        <w:t>subunit concentrations were not dose</w:t>
      </w:r>
      <w:r w:rsidR="00AB0CE4">
        <w:t xml:space="preserve"> </w:t>
      </w:r>
      <w:r w:rsidRPr="00702034">
        <w:t>proportional following rFXIII doses of 12 IU/kg and 35 IU/kg. The sponsor speculates that this might be explained by saturation of the binding capacity of FXIII B</w:t>
      </w:r>
      <w:r w:rsidR="00AB0CE4">
        <w:t xml:space="preserve"> </w:t>
      </w:r>
      <w:r w:rsidRPr="00702034">
        <w:t>subunits for rFXIII A</w:t>
      </w:r>
      <w:r w:rsidRPr="00AB0CE4">
        <w:rPr>
          <w:vertAlign w:val="subscript"/>
        </w:rPr>
        <w:t>2</w:t>
      </w:r>
      <w:r w:rsidR="00AB0CE4">
        <w:t xml:space="preserve"> </w:t>
      </w:r>
      <w:r w:rsidRPr="00702034">
        <w:t>subunits at the higher dose level of 35 IU/kg. Excess r</w:t>
      </w:r>
      <w:r w:rsidR="00AB0CE4">
        <w:t>FXIII A</w:t>
      </w:r>
      <w:r w:rsidR="00AB0CE4" w:rsidRPr="00AB0CE4">
        <w:rPr>
          <w:vertAlign w:val="subscript"/>
        </w:rPr>
        <w:t>2</w:t>
      </w:r>
      <w:r w:rsidR="00AB0CE4">
        <w:t xml:space="preserve"> </w:t>
      </w:r>
      <w:r w:rsidRPr="00702034">
        <w:t>subunits are rapidly cleared from the plasma, and this might contribute to a lower than dose</w:t>
      </w:r>
      <w:r w:rsidR="00AB0CE4">
        <w:t xml:space="preserve"> </w:t>
      </w:r>
      <w:r w:rsidRPr="00702034">
        <w:t>proportional exposure (AUC</w:t>
      </w:r>
      <w:r w:rsidRPr="00AB0CE4">
        <w:rPr>
          <w:vertAlign w:val="subscript"/>
        </w:rPr>
        <w:t>0-28d</w:t>
      </w:r>
      <w:r w:rsidRPr="00702034">
        <w:t>) when comparing the 12 IU/kg and 35 IU/kg doses. However, only 8 subjects were included at each dose level and, consequently, random variation among subjects might have influenced th</w:t>
      </w:r>
      <w:r w:rsidR="004E3B20">
        <w:t>e results.</w:t>
      </w:r>
    </w:p>
    <w:p w:rsidR="00702034" w:rsidRPr="00702034" w:rsidRDefault="00702034" w:rsidP="00702034">
      <w:r w:rsidRPr="00702034">
        <w:t>In the multiple</w:t>
      </w:r>
      <w:r w:rsidR="00CC6819">
        <w:t xml:space="preserve"> </w:t>
      </w:r>
      <w:r w:rsidRPr="00702034">
        <w:t>dose PK study (</w:t>
      </w:r>
      <w:r w:rsidR="00CC6819">
        <w:t xml:space="preserve">Study </w:t>
      </w:r>
      <w:r w:rsidRPr="00702034">
        <w:t>F13-1662) in healthy volunteers (n</w:t>
      </w:r>
      <w:r w:rsidR="00CC6819">
        <w:t xml:space="preserve"> </w:t>
      </w:r>
      <w:r w:rsidRPr="00702034">
        <w:t>=</w:t>
      </w:r>
      <w:r w:rsidR="00CC6819">
        <w:t xml:space="preserve"> </w:t>
      </w:r>
      <w:r w:rsidRPr="00702034">
        <w:t>8), rFXIII doses of 30 IU/kg daily for 5 days resulted in mean (SD) accumulation indices (</w:t>
      </w:r>
      <w:r w:rsidR="00CC6819">
        <w:t>D</w:t>
      </w:r>
      <w:r w:rsidRPr="00702034">
        <w:t xml:space="preserve">ay 4 to </w:t>
      </w:r>
      <w:r w:rsidR="00CC6819">
        <w:t>D</w:t>
      </w:r>
      <w:r w:rsidRPr="00702034">
        <w:t>ay 0) for AUC</w:t>
      </w:r>
      <w:r w:rsidRPr="00A7010B">
        <w:rPr>
          <w:vertAlign w:val="subscript"/>
        </w:rPr>
        <w:t xml:space="preserve">0-24h </w:t>
      </w:r>
      <w:r w:rsidRPr="00702034">
        <w:t>of 7.46 (5.47), 4.64 (3.57) and 3.26 (1.66) for FXIII activity, A</w:t>
      </w:r>
      <w:r w:rsidRPr="00A7010B">
        <w:rPr>
          <w:vertAlign w:val="subscript"/>
        </w:rPr>
        <w:t>2</w:t>
      </w:r>
      <w:r w:rsidRPr="00702034">
        <w:t>B</w:t>
      </w:r>
      <w:r w:rsidRPr="00A7010B">
        <w:rPr>
          <w:vertAlign w:val="subscript"/>
        </w:rPr>
        <w:t>2</w:t>
      </w:r>
      <w:r w:rsidRPr="00702034">
        <w:t>, levels and total A</w:t>
      </w:r>
      <w:r w:rsidRPr="00A7010B">
        <w:rPr>
          <w:vertAlign w:val="subscript"/>
        </w:rPr>
        <w:t>2</w:t>
      </w:r>
      <w:r w:rsidRPr="00702034">
        <w:t xml:space="preserve"> levels, respectively, and 2.98 (0.45), 3.16 (1.44), and 2.44 (1.06) IU/mL, respectively, for the corresponding C</w:t>
      </w:r>
      <w:r w:rsidRPr="00A7010B">
        <w:rPr>
          <w:vertAlign w:val="subscript"/>
        </w:rPr>
        <w:t xml:space="preserve">max </w:t>
      </w:r>
      <w:r w:rsidR="004E3B20">
        <w:t>accumulation indices.</w:t>
      </w:r>
    </w:p>
    <w:p w:rsidR="00702034" w:rsidRPr="00702034" w:rsidRDefault="00A7010B" w:rsidP="00702034">
      <w:r>
        <w:t>In the Phase III</w:t>
      </w:r>
      <w:r w:rsidR="00702034" w:rsidRPr="00702034">
        <w:t xml:space="preserve"> study (F13CD-1725) in patients (n</w:t>
      </w:r>
      <w:r>
        <w:t xml:space="preserve"> </w:t>
      </w:r>
      <w:r w:rsidR="00702034" w:rsidRPr="00702034">
        <w:t>=</w:t>
      </w:r>
      <w:r>
        <w:t xml:space="preserve"> </w:t>
      </w:r>
      <w:r w:rsidR="00702034" w:rsidRPr="00702034">
        <w:t>41) with congenital FXIII deficiency, the mean pre</w:t>
      </w:r>
      <w:r>
        <w:t xml:space="preserve"> dose (that is</w:t>
      </w:r>
      <w:r w:rsidR="00702034" w:rsidRPr="00702034">
        <w:t>, trough) leve</w:t>
      </w:r>
      <w:r>
        <w:t>l for FXIII activity (Berichrom</w:t>
      </w:r>
      <w:r w:rsidR="00702034" w:rsidRPr="00702034">
        <w:t xml:space="preserve"> assay) was approximately 0.2 IU/mL over 52 weeks with once monthly dosing with rFXIII (35 IU/kg). In this study, FXIII activity increased from pre</w:t>
      </w:r>
      <w:r w:rsidR="00E1330C">
        <w:t xml:space="preserve"> dose levels of ~</w:t>
      </w:r>
      <w:r w:rsidR="00702034" w:rsidRPr="00702034">
        <w:t>0.2 IU/mL to post</w:t>
      </w:r>
      <w:r w:rsidR="00E1330C">
        <w:t xml:space="preserve"> dose levels at 1 h</w:t>
      </w:r>
      <w:r w:rsidR="0006139D">
        <w:t xml:space="preserve"> of ~</w:t>
      </w:r>
      <w:r w:rsidR="00702034" w:rsidRPr="00702034">
        <w:t>0.7 to 0.9 IU/mL. In the extension s</w:t>
      </w:r>
      <w:r w:rsidR="0006139D">
        <w:t>tudy (F13CD-3720), the mean pre dose (that is</w:t>
      </w:r>
      <w:r w:rsidR="00702034" w:rsidRPr="00702034">
        <w:t xml:space="preserve">, trough) levels for FXIII activity through to 72 weeks from initiation of treatment were consistent with the corresponding levels in F13CD-1725 through to </w:t>
      </w:r>
      <w:r w:rsidR="0006139D">
        <w:t>W</w:t>
      </w:r>
      <w:r w:rsidR="00702034" w:rsidRPr="00702034">
        <w:t>eek 5</w:t>
      </w:r>
      <w:r w:rsidR="004E3B20">
        <w:t>2 from initiation of treatment.</w:t>
      </w:r>
    </w:p>
    <w:p w:rsidR="00702034" w:rsidRPr="00702034" w:rsidRDefault="00702034" w:rsidP="00702034">
      <w:r w:rsidRPr="00702034">
        <w:t xml:space="preserve">In </w:t>
      </w:r>
      <w:r w:rsidR="00905019">
        <w:t>S</w:t>
      </w:r>
      <w:r w:rsidRPr="00702034">
        <w:t>tudy F13CD-1725 in patients with congenital FXIII</w:t>
      </w:r>
      <w:r w:rsidR="00905019">
        <w:t xml:space="preserve"> deficiency, mean concentration-</w:t>
      </w:r>
      <w:r w:rsidRPr="00702034">
        <w:t>time profiles for the A</w:t>
      </w:r>
      <w:r w:rsidRPr="00905019">
        <w:rPr>
          <w:vertAlign w:val="subscript"/>
        </w:rPr>
        <w:t>2</w:t>
      </w:r>
      <w:r w:rsidRPr="00702034">
        <w:t>B</w:t>
      </w:r>
      <w:r w:rsidRPr="00905019">
        <w:rPr>
          <w:vertAlign w:val="subscript"/>
        </w:rPr>
        <w:t>2</w:t>
      </w:r>
      <w:r w:rsidRPr="00702034">
        <w:t xml:space="preserve"> tetramer and for total FXIII A</w:t>
      </w:r>
      <w:r w:rsidR="00905019" w:rsidRPr="00905019">
        <w:rPr>
          <w:vertAlign w:val="subscript"/>
        </w:rPr>
        <w:t>2</w:t>
      </w:r>
      <w:r w:rsidRPr="00702034">
        <w:t xml:space="preserve"> corresponded to that for FXIII activity, indicating that concentrations increased sharply after each rFXIII administration followed by a gradual decline over the subsequent month. The mean concentration</w:t>
      </w:r>
      <w:r w:rsidR="00905019">
        <w:t xml:space="preserve">-time profile for uncomplexed B </w:t>
      </w:r>
      <w:r w:rsidRPr="00702034">
        <w:t>subunit was reversed with the lowest concentrations immediately after i</w:t>
      </w:r>
      <w:r w:rsidR="00905019">
        <w:t xml:space="preserve">njection of rFXIII. The FXIII B </w:t>
      </w:r>
      <w:r w:rsidRPr="00702034">
        <w:t>subunits are postulated to function as a carrier in the circulation, which explains t</w:t>
      </w:r>
      <w:r w:rsidR="00905019">
        <w:t xml:space="preserve">he observed decrease in FXIII B </w:t>
      </w:r>
      <w:r w:rsidRPr="00702034">
        <w:t>subunit concentration following administratio</w:t>
      </w:r>
      <w:r w:rsidR="00905019">
        <w:t>n of rFXIII (A</w:t>
      </w:r>
      <w:r w:rsidR="00905019" w:rsidRPr="00905019">
        <w:rPr>
          <w:vertAlign w:val="subscript"/>
        </w:rPr>
        <w:t>2</w:t>
      </w:r>
      <w:r w:rsidR="00905019">
        <w:t>)</w:t>
      </w:r>
      <w:r w:rsidR="004E3B20">
        <w:t>.</w:t>
      </w:r>
    </w:p>
    <w:p w:rsidR="00702034" w:rsidRPr="00702034" w:rsidRDefault="00702034" w:rsidP="00702034">
      <w:r w:rsidRPr="00702034">
        <w:t xml:space="preserve">There were no PK data in the submission investigating </w:t>
      </w:r>
      <w:r w:rsidRPr="00B751F3">
        <w:rPr>
          <w:i/>
        </w:rPr>
        <w:t>in vivo</w:t>
      </w:r>
      <w:r w:rsidRPr="00702034">
        <w:t xml:space="preserve"> or </w:t>
      </w:r>
      <w:r w:rsidRPr="00B751F3">
        <w:rPr>
          <w:i/>
        </w:rPr>
        <w:t>in vitro</w:t>
      </w:r>
      <w:r w:rsidRPr="00702034">
        <w:t xml:space="preserve"> metabolism of rFXIII or the elimination pathways of rFXIII. There were no data in the submission investigating the effects of renal or hepatic impairment on the PKs of rFXIII. The subject population for PK analysis was primarily Caucasian, but there was one PK study in healthy Japanese males. There were no PK data in the submission investigating the effect of interactions between rFXIII and other therapeutic product</w:t>
      </w:r>
      <w:r w:rsidR="0061172A">
        <w:t>s. As rFXIII (</w:t>
      </w:r>
      <w:r w:rsidRPr="00702034">
        <w:t>A</w:t>
      </w:r>
      <w:r w:rsidR="0061172A" w:rsidRPr="00905019">
        <w:rPr>
          <w:vertAlign w:val="subscript"/>
        </w:rPr>
        <w:t>2</w:t>
      </w:r>
      <w:r w:rsidR="0061172A">
        <w:t>)</w:t>
      </w:r>
      <w:r w:rsidRPr="00702034">
        <w:t xml:space="preserve"> is structurally </w:t>
      </w:r>
      <w:r w:rsidR="00CF3E21">
        <w:t xml:space="preserve">identical to endogenous FXIII A </w:t>
      </w:r>
      <w:r w:rsidRPr="00702034">
        <w:t>subunits, and the product is intended to replenish physiological levels, the absence of the identified PK data is considered not to pr</w:t>
      </w:r>
      <w:r w:rsidR="004E3B20">
        <w:t>ejudice registration of rFXIII.</w:t>
      </w:r>
    </w:p>
    <w:p w:rsidR="00702034" w:rsidRPr="00702034" w:rsidRDefault="00702034" w:rsidP="00702034">
      <w:r w:rsidRPr="00702034">
        <w:t>The major deficiency in the PK data related to the lack of studies exclusively in patients aged &lt; 18 years. There were no Phase I PK studies in healthy subjects or patients with congenital FXIII deficiency specifically in subjects aged less than 18 years. There were no PK data f</w:t>
      </w:r>
      <w:r w:rsidR="00CF3E21">
        <w:t>rom the Phase III</w:t>
      </w:r>
      <w:r w:rsidRPr="00702034">
        <w:t xml:space="preserve"> studies in patients with congenital FXIII deficiency in children aged less than 7 years, and the PK data were presented for the total patient population aged</w:t>
      </w:r>
      <w:r w:rsidR="00DE68BA">
        <w:t xml:space="preserve"> from 7 to 60 years (mean age ~</w:t>
      </w:r>
      <w:r w:rsidRPr="00702034">
        <w:t>26 years in the initial study and ~28 years in the extension study). This is a noteworthy deficiency in the submitted data.</w:t>
      </w:r>
    </w:p>
    <w:p w:rsidR="008E7846" w:rsidRDefault="008E7846" w:rsidP="008E7846">
      <w:pPr>
        <w:pStyle w:val="Heading3"/>
      </w:pPr>
      <w:bookmarkStart w:id="78" w:name="_Toc196046481"/>
      <w:bookmarkStart w:id="79" w:name="_Toc247691520"/>
      <w:bookmarkStart w:id="80" w:name="_Toc314842503"/>
      <w:bookmarkStart w:id="81" w:name="_Toc389414011"/>
      <w:r w:rsidRPr="00254787">
        <w:lastRenderedPageBreak/>
        <w:t>Pharmacodynamics</w:t>
      </w:r>
      <w:bookmarkEnd w:id="61"/>
      <w:bookmarkEnd w:id="78"/>
      <w:bookmarkEnd w:id="79"/>
      <w:bookmarkEnd w:id="80"/>
      <w:bookmarkEnd w:id="81"/>
    </w:p>
    <w:p w:rsidR="009E4FA6" w:rsidRPr="004E3B20" w:rsidRDefault="009E4FA6" w:rsidP="004C20A9">
      <w:pPr>
        <w:pStyle w:val="Heading4"/>
        <w:rPr>
          <w:lang w:val="en-AU"/>
        </w:rPr>
      </w:pPr>
      <w:bookmarkStart w:id="82" w:name="_Toc218077428"/>
      <w:r w:rsidRPr="009E4FA6">
        <w:t>General comment</w:t>
      </w:r>
      <w:bookmarkEnd w:id="82"/>
    </w:p>
    <w:p w:rsidR="009E4FA6" w:rsidRPr="009E4FA6" w:rsidRDefault="009E4FA6" w:rsidP="009E4FA6">
      <w:r w:rsidRPr="009E4FA6">
        <w:t xml:space="preserve">The sponsor stated that “at present there are no markers that can quantitatively assess the </w:t>
      </w:r>
      <w:r w:rsidRPr="00C02C05">
        <w:rPr>
          <w:i/>
        </w:rPr>
        <w:t>in vivo</w:t>
      </w:r>
      <w:r w:rsidRPr="009E4FA6">
        <w:t xml:space="preserve"> pharmacodynamics of FXIII.” The sponsor noted that as FXIII deficiency affects the quality of the clot, the results of standard coagulation screening tests such as prothrombin time, activated partial thromboplastin time, fibrinogen level, platelet count and bleeding time are all normal in FXIII deficiency. Therefore, the sponsor tested clot solubility with a qualitative assay which “when performed correctly is positive only when FXIII activity in the sample is close to zero”. The sponsor indicates that the assay “is based on the ability of urea or monochloracetic acid to dissolve fibrin clot</w:t>
      </w:r>
      <w:r w:rsidR="007D6112">
        <w:t xml:space="preserve">s that have not undergone FXIII </w:t>
      </w:r>
      <w:r w:rsidRPr="009E4FA6">
        <w:t>induced stabili</w:t>
      </w:r>
      <w:r w:rsidR="00AD078A">
        <w:t>s</w:t>
      </w:r>
      <w:r w:rsidRPr="009E4FA6">
        <w:t>ation. Normal blood clots gene</w:t>
      </w:r>
      <w:r w:rsidR="007D6112">
        <w:t>rally remain stable for 24 h</w:t>
      </w:r>
      <w:r w:rsidRPr="009E4FA6">
        <w:t xml:space="preserve"> or more, while clots in which fibrin molec</w:t>
      </w:r>
      <w:r w:rsidR="007D6112">
        <w:t xml:space="preserve">ules have not been cross </w:t>
      </w:r>
      <w:r w:rsidRPr="009E4FA6">
        <w:t xml:space="preserve">linked are soluble within minutes. Elevation of the plasma activity to </w:t>
      </w:r>
      <w:r w:rsidR="008F3172">
        <w:t xml:space="preserve">levels </w:t>
      </w:r>
      <w:r w:rsidRPr="009E4FA6">
        <w:t>as little as 1-3% of normal renders the clot insoluble”. Data on the clot solubility was provided for patients with congenital FXIII</w:t>
      </w:r>
      <w:r w:rsidR="007D6112">
        <w:t xml:space="preserve"> deficiency from the two Phase III</w:t>
      </w:r>
      <w:r w:rsidRPr="009E4FA6">
        <w:t xml:space="preserve"> studies (F13CD1725 and F13CD-3720) and the one Phase I study (F13-1663). The results for the clot solubility assay from the pivotal Phase III efficacy and safety study (FCD13-</w:t>
      </w:r>
      <w:r w:rsidR="004E3B20">
        <w:t>1725) study are outlined below.</w:t>
      </w:r>
    </w:p>
    <w:p w:rsidR="009E4FA6" w:rsidRPr="009E4FA6" w:rsidRDefault="009E4FA6" w:rsidP="009E4FA6">
      <w:r w:rsidRPr="009E4FA6">
        <w:t xml:space="preserve">In addition to the clot solubility test, the Phase I study (F13-1663) in patients with FXIII deficiency included a clot strength test measured by thromboelastography (TEG). This test measures the elastic shear modulus of a blood clot during formation and lysis. A mechanical/electrical transducer and amplifier produce a tracing in which the amplitude of the tracing is directly proportional to clot strength. The TEG tests were undertaken in the laboratory of the study’s Principal Investigator. The TEG tests are considered to be exploratory and are not standard tests used in clinical practice. The TEG results are not </w:t>
      </w:r>
      <w:r w:rsidR="00AB04EA">
        <w:t>discussed in this clinical evaluation report</w:t>
      </w:r>
      <w:r w:rsidR="004E3B20">
        <w:t>.</w:t>
      </w:r>
    </w:p>
    <w:p w:rsidR="009E4FA6" w:rsidRPr="004E3B20" w:rsidRDefault="009E4FA6" w:rsidP="004C20A9">
      <w:pPr>
        <w:pStyle w:val="Heading4"/>
        <w:rPr>
          <w:lang w:val="en-AU"/>
        </w:rPr>
      </w:pPr>
      <w:bookmarkStart w:id="83" w:name="_Toc218077429"/>
      <w:r w:rsidRPr="009E4FA6">
        <w:t>Study F13CD-1725 (</w:t>
      </w:r>
      <w:r w:rsidR="00AB04EA">
        <w:t>pivotal Phase III</w:t>
      </w:r>
      <w:r w:rsidR="008446B7">
        <w:t xml:space="preserve"> study): </w:t>
      </w:r>
      <w:r w:rsidRPr="009E4FA6">
        <w:t>clot solubility</w:t>
      </w:r>
      <w:bookmarkEnd w:id="83"/>
    </w:p>
    <w:p w:rsidR="009E4FA6" w:rsidRPr="009E4FA6" w:rsidRDefault="00244E31" w:rsidP="009E4FA6">
      <w:r>
        <w:t>The pivotal Phase III</w:t>
      </w:r>
      <w:r w:rsidR="009E4FA6" w:rsidRPr="009E4FA6">
        <w:t xml:space="preserve"> clinical efficacy and safety study in patients with congenital FXIII deficiency (F13CD-1725) included an assessment of clot solubility. Blood samples were drawn for analysis of clot solubility at screening, </w:t>
      </w:r>
      <w:r>
        <w:t>V</w:t>
      </w:r>
      <w:r w:rsidR="009E4FA6" w:rsidRPr="009E4FA6">
        <w:t>isits 1-16 and at any unscheduled visit. At dosing visits (</w:t>
      </w:r>
      <w:r>
        <w:t>V</w:t>
      </w:r>
      <w:r w:rsidR="009E4FA6" w:rsidRPr="009E4FA6">
        <w:t xml:space="preserve">isits 2-15 except </w:t>
      </w:r>
      <w:r>
        <w:t>V</w:t>
      </w:r>
      <w:r w:rsidR="009E4FA6" w:rsidRPr="009E4FA6">
        <w:t>isit 3), sam</w:t>
      </w:r>
      <w:r>
        <w:t>ples were drawn before and 1 h</w:t>
      </w:r>
      <w:r w:rsidR="009E4FA6" w:rsidRPr="009E4FA6">
        <w:t xml:space="preserve"> after administration of rFXIII. At unscheduled visits, samples were drawn before administration rFXIII. The assay was performed at a</w:t>
      </w:r>
      <w:r w:rsidR="004E3B20">
        <w:t xml:space="preserve"> designated central laboratory.</w:t>
      </w:r>
    </w:p>
    <w:p w:rsidR="009E4FA6" w:rsidRPr="009E4FA6" w:rsidRDefault="009E4FA6" w:rsidP="009E4FA6">
      <w:r w:rsidRPr="009E4FA6">
        <w:t>The results for the qualitative clot assay are provided. From pre</w:t>
      </w:r>
      <w:r w:rsidR="00244E31">
        <w:t xml:space="preserve"> </w:t>
      </w:r>
      <w:r w:rsidRPr="009E4FA6">
        <w:t xml:space="preserve">dose </w:t>
      </w:r>
      <w:r w:rsidR="00244E31">
        <w:t>W</w:t>
      </w:r>
      <w:r w:rsidRPr="009E4FA6">
        <w:t>eek 4 to pre</w:t>
      </w:r>
      <w:r w:rsidR="00244E31">
        <w:t xml:space="preserve"> </w:t>
      </w:r>
      <w:r w:rsidRPr="009E4FA6">
        <w:t xml:space="preserve">dose </w:t>
      </w:r>
      <w:r w:rsidR="00244E31">
        <w:t>W</w:t>
      </w:r>
      <w:r w:rsidRPr="009E4FA6">
        <w:t>eek 52, the lowest number of patients with clot lysis prior to dosing was 0 (0%) and the highest number was 7 (17.1%). The number of patients with clot lysis at screening and baseline was 2 (4.9%) and 8 (19.5%), respectively. Overall, at all dosing visits (n</w:t>
      </w:r>
      <w:r w:rsidR="00244E31">
        <w:t xml:space="preserve"> </w:t>
      </w:r>
      <w:r w:rsidRPr="009E4FA6">
        <w:t>=</w:t>
      </w:r>
      <w:r w:rsidR="00244E31">
        <w:t xml:space="preserve"> </w:t>
      </w:r>
      <w:r w:rsidRPr="009E4FA6">
        <w:t>533, all visit subjects count) the proportion of patients with abnormal clot solubility was greater pre</w:t>
      </w:r>
      <w:r w:rsidR="00244E31">
        <w:t xml:space="preserve"> </w:t>
      </w:r>
      <w:r w:rsidRPr="009E4FA6">
        <w:t>dose (7.5% [40/533]) compared with post</w:t>
      </w:r>
      <w:r w:rsidR="00244E31">
        <w:t xml:space="preserve"> </w:t>
      </w:r>
      <w:r w:rsidR="004E3B20">
        <w:t>dose (1.5% [8/533]).</w:t>
      </w:r>
    </w:p>
    <w:p w:rsidR="009E4FA6" w:rsidRPr="00266DE2" w:rsidRDefault="009E4FA6" w:rsidP="009E4FA6">
      <w:pPr>
        <w:ind w:left="720"/>
        <w:rPr>
          <w:i/>
        </w:rPr>
      </w:pPr>
      <w:r w:rsidRPr="00266DE2">
        <w:rPr>
          <w:i/>
        </w:rPr>
        <w:t>Comment: As expected, the proportion of patients</w:t>
      </w:r>
      <w:r w:rsidR="00A700B9" w:rsidRPr="00266DE2">
        <w:rPr>
          <w:i/>
        </w:rPr>
        <w:t xml:space="preserve"> exhibiting clot lysis at 1 h</w:t>
      </w:r>
      <w:r w:rsidRPr="00266DE2">
        <w:rPr>
          <w:i/>
        </w:rPr>
        <w:t xml:space="preserve"> after rFXIII dosing was lower compared with pre</w:t>
      </w:r>
      <w:r w:rsidR="002E6660" w:rsidRPr="00266DE2">
        <w:rPr>
          <w:i/>
        </w:rPr>
        <w:t xml:space="preserve"> </w:t>
      </w:r>
      <w:r w:rsidR="00A700B9" w:rsidRPr="00266DE2">
        <w:rPr>
          <w:i/>
        </w:rPr>
        <w:t>dose (1.5% versus</w:t>
      </w:r>
      <w:r w:rsidRPr="00266DE2">
        <w:rPr>
          <w:i/>
        </w:rPr>
        <w:t xml:space="preserve"> 7.5%, respectively). However, clot lysis occurred sporadically both pre</w:t>
      </w:r>
      <w:r w:rsidR="002E6660" w:rsidRPr="00266DE2">
        <w:rPr>
          <w:i/>
        </w:rPr>
        <w:t xml:space="preserve"> </w:t>
      </w:r>
      <w:r w:rsidRPr="00266DE2">
        <w:rPr>
          <w:i/>
        </w:rPr>
        <w:t>dose and</w:t>
      </w:r>
      <w:r w:rsidR="002E6660" w:rsidRPr="00266DE2">
        <w:rPr>
          <w:i/>
        </w:rPr>
        <w:t xml:space="preserve"> post </w:t>
      </w:r>
      <w:r w:rsidRPr="00266DE2">
        <w:rPr>
          <w:i/>
        </w:rPr>
        <w:t>dose throughout the study, and did not show a consistent trend in the investigated patients. The sponsor commented that 46 observations of clot lysis were observed for FXIII activity levels (Berichrom assay) &gt; 0.10 IU/mL, which “reflects that the Berichrom assay for quantifying FXIII activity levels is prone to stochastic variations (especially at low activity levels)”. Furthermore, 7 reports of</w:t>
      </w:r>
      <w:r w:rsidR="00A700B9" w:rsidRPr="00266DE2">
        <w:rPr>
          <w:i/>
        </w:rPr>
        <w:t xml:space="preserve"> clot lysis were reported 1 h</w:t>
      </w:r>
      <w:r w:rsidRPr="00266DE2">
        <w:rPr>
          <w:i/>
        </w:rPr>
        <w:t xml:space="preserve"> after rFXIII administration (4 in one patient). The sponsor comments that th</w:t>
      </w:r>
      <w:r w:rsidR="00A700B9" w:rsidRPr="00266DE2">
        <w:rPr>
          <w:i/>
        </w:rPr>
        <w:t>e 7 reports of clot lysis 1 h</w:t>
      </w:r>
      <w:r w:rsidRPr="00266DE2">
        <w:rPr>
          <w:i/>
        </w:rPr>
        <w:t xml:space="preserve"> post</w:t>
      </w:r>
      <w:r w:rsidR="003C0474" w:rsidRPr="00266DE2">
        <w:rPr>
          <w:i/>
        </w:rPr>
        <w:t xml:space="preserve"> </w:t>
      </w:r>
      <w:r w:rsidRPr="00266DE2">
        <w:rPr>
          <w:i/>
        </w:rPr>
        <w:t>dose were “credible” and might reflect laboratory issues with handling of the clot solubility assay for the corresponding samples and/or well</w:t>
      </w:r>
      <w:r w:rsidR="003C0474" w:rsidRPr="00266DE2">
        <w:rPr>
          <w:i/>
        </w:rPr>
        <w:t xml:space="preserve"> </w:t>
      </w:r>
      <w:r w:rsidRPr="00266DE2">
        <w:rPr>
          <w:i/>
        </w:rPr>
        <w:t xml:space="preserve">known </w:t>
      </w:r>
      <w:r w:rsidRPr="00266DE2">
        <w:rPr>
          <w:i/>
        </w:rPr>
        <w:lastRenderedPageBreak/>
        <w:t>difficulties with interpretation of the clot solubility assay. The sponsor commented that the occurrence of clot lysis in the study did not appear to be associa</w:t>
      </w:r>
      <w:r w:rsidR="00A700B9" w:rsidRPr="00266DE2">
        <w:rPr>
          <w:i/>
        </w:rPr>
        <w:t xml:space="preserve">ted with the onset of treatment </w:t>
      </w:r>
      <w:r w:rsidRPr="00266DE2">
        <w:rPr>
          <w:i/>
        </w:rPr>
        <w:t>requiring bleeds or with temp</w:t>
      </w:r>
      <w:r w:rsidR="00A700B9" w:rsidRPr="00266DE2">
        <w:rPr>
          <w:i/>
        </w:rPr>
        <w:t xml:space="preserve">oral trends in the level of pre </w:t>
      </w:r>
      <w:r w:rsidRPr="00266DE2">
        <w:rPr>
          <w:i/>
        </w:rPr>
        <w:t>dose or post</w:t>
      </w:r>
      <w:r w:rsidR="00A700B9" w:rsidRPr="00266DE2">
        <w:rPr>
          <w:i/>
        </w:rPr>
        <w:t xml:space="preserve"> </w:t>
      </w:r>
      <w:r w:rsidRPr="00266DE2">
        <w:rPr>
          <w:i/>
        </w:rPr>
        <w:t>dose FXIII activity for the investigated patients. The results of clot solubility testing are considered to be exploratory. The qualitative assay is recogni</w:t>
      </w:r>
      <w:r w:rsidR="00A700B9" w:rsidRPr="00266DE2">
        <w:rPr>
          <w:i/>
        </w:rPr>
        <w:t>s</w:t>
      </w:r>
      <w:r w:rsidRPr="00266DE2">
        <w:rPr>
          <w:i/>
        </w:rPr>
        <w:t>ed as being difficult to standardi</w:t>
      </w:r>
      <w:r w:rsidR="00A05400" w:rsidRPr="00266DE2">
        <w:rPr>
          <w:i/>
        </w:rPr>
        <w:t>s</w:t>
      </w:r>
      <w:r w:rsidRPr="00266DE2">
        <w:rPr>
          <w:i/>
        </w:rPr>
        <w:t>e.</w:t>
      </w:r>
      <w:r w:rsidR="00CA2E22" w:rsidRPr="00266DE2">
        <w:rPr>
          <w:rStyle w:val="FootnoteReference"/>
          <w:i/>
        </w:rPr>
        <w:footnoteReference w:id="10"/>
      </w:r>
      <w:r w:rsidRPr="00266DE2">
        <w:rPr>
          <w:i/>
        </w:rPr>
        <w:t xml:space="preserve"> Recommendations against the use of the clot solubility assay as the screening test for FXIII deficiency have been made as the test can only detect very severe FXIII deficiency.</w:t>
      </w:r>
      <w:r w:rsidRPr="00266DE2">
        <w:rPr>
          <w:rStyle w:val="FootnoteReference"/>
          <w:i/>
        </w:rPr>
        <w:footnoteReference w:id="11"/>
      </w:r>
      <w:r w:rsidRPr="00266DE2">
        <w:rPr>
          <w:i/>
        </w:rPr>
        <w:t xml:space="preserve"> The test is only sensitive at very low levels of FXIII activity (zero or close to zero) and elevating FXIII activity to as little as 1-3% of normal renders the clot insoluble.</w:t>
      </w:r>
      <w:r w:rsidRPr="00266DE2">
        <w:rPr>
          <w:rStyle w:val="FootnoteReference"/>
          <w:i/>
        </w:rPr>
        <w:footnoteReference w:id="12"/>
      </w:r>
    </w:p>
    <w:p w:rsidR="008E7846" w:rsidRPr="00254787" w:rsidRDefault="008E7846" w:rsidP="008E7846">
      <w:pPr>
        <w:pStyle w:val="Heading3"/>
      </w:pPr>
      <w:bookmarkStart w:id="84" w:name="_Toc163441372"/>
      <w:bookmarkStart w:id="85" w:name="_Toc196046485"/>
      <w:bookmarkStart w:id="86" w:name="_Toc247691521"/>
      <w:bookmarkStart w:id="87" w:name="_Toc314842504"/>
      <w:bookmarkStart w:id="88" w:name="_Toc389414012"/>
      <w:r w:rsidRPr="00254787">
        <w:t>Efficacy</w:t>
      </w:r>
      <w:bookmarkEnd w:id="84"/>
      <w:bookmarkEnd w:id="85"/>
      <w:bookmarkEnd w:id="86"/>
      <w:bookmarkEnd w:id="87"/>
      <w:bookmarkEnd w:id="88"/>
    </w:p>
    <w:p w:rsidR="001B0784" w:rsidRPr="004E3B20" w:rsidRDefault="001B0784" w:rsidP="001B0784">
      <w:pPr>
        <w:pStyle w:val="Heading4"/>
        <w:rPr>
          <w:lang w:val="en-AU"/>
        </w:rPr>
      </w:pPr>
      <w:bookmarkStart w:id="89" w:name="_Toc184439992"/>
      <w:bookmarkStart w:id="90" w:name="_Toc184440279"/>
      <w:bookmarkStart w:id="91" w:name="_Toc184444657"/>
      <w:bookmarkStart w:id="92" w:name="_Toc196046487"/>
      <w:bookmarkStart w:id="93" w:name="_Toc218077432"/>
      <w:r>
        <w:t>Overview</w:t>
      </w:r>
      <w:bookmarkEnd w:id="93"/>
    </w:p>
    <w:p w:rsidR="001B0784" w:rsidRDefault="001B0784" w:rsidP="001B0784">
      <w:r w:rsidRPr="001B0784">
        <w:t>The efficacy of NovoThirteen for the proposed indication was supported by two clinical studies (</w:t>
      </w:r>
      <w:r w:rsidR="00CB38EC">
        <w:t>Table 4</w:t>
      </w:r>
      <w:r w:rsidRPr="001B0784">
        <w:t>). Study F13CD-1725 was the pivotal efficacy and safety study in patients with congenital FXIII</w:t>
      </w:r>
      <w:r w:rsidR="00692834">
        <w:t xml:space="preserve"> </w:t>
      </w:r>
      <w:r w:rsidRPr="001B0784">
        <w:t>deficiency (n</w:t>
      </w:r>
      <w:r w:rsidR="00BC523E">
        <w:t xml:space="preserve"> </w:t>
      </w:r>
      <w:r w:rsidRPr="001B0784">
        <w:t>=</w:t>
      </w:r>
      <w:r w:rsidR="00BC523E">
        <w:t xml:space="preserve"> </w:t>
      </w:r>
      <w:r w:rsidRPr="001B0784">
        <w:t xml:space="preserve">41), and </w:t>
      </w:r>
      <w:r w:rsidR="00692834">
        <w:t>S</w:t>
      </w:r>
      <w:r w:rsidRPr="001B0784">
        <w:t>tudy F13CD-3720 was a safety extension study (preliminary report) in patients (n</w:t>
      </w:r>
      <w:r w:rsidR="00BC523E">
        <w:t xml:space="preserve"> </w:t>
      </w:r>
      <w:r w:rsidRPr="001B0784">
        <w:t>=</w:t>
      </w:r>
      <w:r w:rsidR="00BC523E">
        <w:t xml:space="preserve"> </w:t>
      </w:r>
      <w:r w:rsidRPr="001B0784">
        <w:t>33) who had completed the pivotal study (subsequently amended to include patients who had not part</w:t>
      </w:r>
      <w:r w:rsidR="008164CE">
        <w:t>icipated in the pivotal study).</w:t>
      </w:r>
    </w:p>
    <w:p w:rsidR="00CB38EC" w:rsidRDefault="00CB38EC" w:rsidP="004E3B20">
      <w:pPr>
        <w:pStyle w:val="TableTitle"/>
      </w:pPr>
      <w:r>
        <w:t>Table 4:</w:t>
      </w:r>
      <w:r w:rsidRPr="004C5C28">
        <w:t xml:space="preserve"> </w:t>
      </w:r>
      <w:r w:rsidR="009F0DF1" w:rsidRPr="009F0DF1">
        <w:t>Congen</w:t>
      </w:r>
      <w:r w:rsidR="00044A53">
        <w:t>ital FXlll deficiency:</w:t>
      </w:r>
      <w:r w:rsidR="00692834">
        <w:t xml:space="preserve"> Phase III</w:t>
      </w:r>
      <w:r w:rsidR="009F0DF1" w:rsidRPr="009F0DF1">
        <w:t xml:space="preserve"> </w:t>
      </w:r>
      <w:r w:rsidR="009F0DF1" w:rsidRPr="004E3B20">
        <w:t>clinical</w:t>
      </w:r>
      <w:r w:rsidR="009F0DF1" w:rsidRPr="009F0DF1">
        <w:t xml:space="preserve"> studies supporting the indication</w:t>
      </w:r>
      <w:r>
        <w:t>.</w:t>
      </w:r>
    </w:p>
    <w:p w:rsidR="008164CE" w:rsidRDefault="00A938FA" w:rsidP="001B0784">
      <w:r>
        <w:rPr>
          <w:noProof/>
          <w:lang w:eastAsia="en-AU"/>
        </w:rPr>
        <w:drawing>
          <wp:inline distT="0" distB="0" distL="0" distR="0">
            <wp:extent cx="5396865" cy="1419225"/>
            <wp:effectExtent l="0" t="0" r="0" b="9525"/>
            <wp:docPr id="6" name="Picture 6" descr="Table 4: Congenital FXlll deficiency: Phase III clinical studies supporting the in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4: Congenital FXlll deficiency: Phase III clinical studies supporting the indic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6865" cy="1419225"/>
                    </a:xfrm>
                    <a:prstGeom prst="rect">
                      <a:avLst/>
                    </a:prstGeom>
                    <a:noFill/>
                    <a:ln>
                      <a:noFill/>
                    </a:ln>
                  </pic:spPr>
                </pic:pic>
              </a:graphicData>
            </a:graphic>
          </wp:inline>
        </w:drawing>
      </w:r>
    </w:p>
    <w:p w:rsidR="00CC2060" w:rsidRDefault="00CC2060" w:rsidP="004E3B20">
      <w:pPr>
        <w:pStyle w:val="TableDescription"/>
      </w:pPr>
      <w:r w:rsidRPr="00CC2060">
        <w:t>To expand the safety data base, the F13CD-3720 protocol was amended to allow for inclusion of additional patients</w:t>
      </w:r>
      <w:r>
        <w:t xml:space="preserve"> </w:t>
      </w:r>
      <w:r w:rsidRPr="00CC2060">
        <w:t>into the trial. As of the cut-off date of 11 February 2011, this had resulted in exposure to a single additional dose in one</w:t>
      </w:r>
      <w:r>
        <w:t xml:space="preserve"> </w:t>
      </w:r>
      <w:r w:rsidRPr="00CC2060">
        <w:t>such patient. The only information on this additional patient at the time of analysis was the absence of any serious</w:t>
      </w:r>
      <w:r>
        <w:t xml:space="preserve"> </w:t>
      </w:r>
      <w:r w:rsidRPr="00CC2060">
        <w:t>adverse events</w:t>
      </w:r>
      <w:r w:rsidR="00B4009C">
        <w:t xml:space="preserve"> (SAEs)</w:t>
      </w:r>
      <w:r>
        <w:t>.</w:t>
      </w:r>
    </w:p>
    <w:p w:rsidR="008164CE" w:rsidRPr="004E3B20" w:rsidRDefault="008164CE" w:rsidP="008164CE">
      <w:pPr>
        <w:pStyle w:val="Heading4"/>
        <w:rPr>
          <w:lang w:val="en-AU"/>
        </w:rPr>
      </w:pPr>
      <w:bookmarkStart w:id="94" w:name="_Toc218077466"/>
      <w:r>
        <w:t>Evaluator’s overall conclusions on efficacy</w:t>
      </w:r>
      <w:bookmarkEnd w:id="94"/>
    </w:p>
    <w:p w:rsidR="008164CE" w:rsidRPr="008164CE" w:rsidRDefault="008164CE" w:rsidP="008164CE">
      <w:r w:rsidRPr="008164CE">
        <w:t>The efficacy of rFXIII was supported by one pivotal study (F13CD-1725) in 44 patients with congenital FXIII deficiency, and interim data from one extension study (F13CD-3720) in 33 patients continuing from the pivotal study. Of the 41 patients in the pivotal study, 33 received all 13 planned monthly doses of rFXIII with the mean (SD) number of doses being 11.5 (13.9) and the median (range) number of doses being 13 (2, 24). Of the 33 patients continuing treatment in the extension phase the median observation period was 359 days.</w:t>
      </w:r>
    </w:p>
    <w:p w:rsidR="008164CE" w:rsidRPr="008164CE" w:rsidRDefault="008164CE" w:rsidP="008164CE">
      <w:r w:rsidRPr="008164CE">
        <w:t>The patient numbers supporting the efficacy of rFXIII are very small. However, this is not unexpected for a submission seeking registration of an orphan drug and is therefore considered to be acceptable. The sponsor stated that “the 41 patients recru</w:t>
      </w:r>
      <w:r w:rsidR="00D47569">
        <w:t>ited into the F13CD-1725 Phase III</w:t>
      </w:r>
      <w:r w:rsidRPr="008164CE">
        <w:t xml:space="preserve"> trial represent approximately 6-10% of the worldw</w:t>
      </w:r>
      <w:r w:rsidR="005B2957">
        <w:t>ide pool of diagnosed patients.”</w:t>
      </w:r>
    </w:p>
    <w:p w:rsidR="008164CE" w:rsidRPr="008164CE" w:rsidRDefault="008164CE" w:rsidP="008164CE">
      <w:r w:rsidRPr="008164CE">
        <w:lastRenderedPageBreak/>
        <w:t>The pivotal clinical study was open</w:t>
      </w:r>
      <w:r w:rsidR="005C5309">
        <w:t xml:space="preserve"> </w:t>
      </w:r>
      <w:r w:rsidRPr="008164CE">
        <w:t>label and single</w:t>
      </w:r>
      <w:r w:rsidR="005C5309">
        <w:t xml:space="preserve"> </w:t>
      </w:r>
      <w:r w:rsidRPr="008164CE">
        <w:t>arm in design with the primary efficacy endpoint of the rate of bleeding episodes requir</w:t>
      </w:r>
      <w:r w:rsidR="005C5309">
        <w:t xml:space="preserve">ing treatment with RFXIII </w:t>
      </w:r>
      <w:r w:rsidRPr="008164CE">
        <w:t xml:space="preserve">containing products being compared with data from a historical control. The number of patients in the historical control with </w:t>
      </w:r>
      <w:r w:rsidR="009854A5">
        <w:t>on-demand</w:t>
      </w:r>
      <w:r w:rsidRPr="008164CE">
        <w:t xml:space="preserve"> treatment with FXIII</w:t>
      </w:r>
      <w:r w:rsidR="005C5309">
        <w:t xml:space="preserve"> </w:t>
      </w:r>
      <w:r w:rsidRPr="008164CE">
        <w:t>containing products for bleeding episodes used to calculate the fixed “placebo” rate was only 16 compared with 60 in the prophylaxis group who received regular prophylaxis with RFXIII</w:t>
      </w:r>
      <w:r w:rsidR="005C5309">
        <w:t xml:space="preserve"> </w:t>
      </w:r>
      <w:r w:rsidRPr="008164CE">
        <w:t>containing products. The difference in patient numbers between the two historical treatment groups reflects the fact that regular treatment with FXIII</w:t>
      </w:r>
      <w:r w:rsidR="005C5309">
        <w:t xml:space="preserve"> </w:t>
      </w:r>
      <w:r w:rsidRPr="008164CE">
        <w:t xml:space="preserve">containing products for prophylaxis rather than </w:t>
      </w:r>
      <w:r w:rsidR="009854A5">
        <w:t>on-demand</w:t>
      </w:r>
      <w:r w:rsidRPr="008164CE">
        <w:t xml:space="preserve"> treatment is standard therapy f</w:t>
      </w:r>
      <w:r w:rsidR="004E3B20">
        <w:t>or congenital FXIII deficiency.</w:t>
      </w:r>
    </w:p>
    <w:p w:rsidR="008164CE" w:rsidRPr="008164CE" w:rsidRDefault="008164CE" w:rsidP="008164CE">
      <w:r w:rsidRPr="008164CE">
        <w:t>The absence of a control group (which in this case would need to be active treatment with a rFXIII</w:t>
      </w:r>
      <w:r w:rsidR="005C5309">
        <w:t xml:space="preserve"> </w:t>
      </w:r>
      <w:r w:rsidRPr="008164CE">
        <w:t>containing product), lack of randomi</w:t>
      </w:r>
      <w:r w:rsidR="005C5309">
        <w:t>s</w:t>
      </w:r>
      <w:r w:rsidRPr="008164CE">
        <w:t>ation and lack of double</w:t>
      </w:r>
      <w:r w:rsidR="005C5309">
        <w:t xml:space="preserve"> </w:t>
      </w:r>
      <w:r w:rsidRPr="008164CE">
        <w:t>blinding exposes the trial to the well known biases of studies without these design elements. However, the primary endpoint of the pivotal of trial of a bleeding episode requiring treatment with a FXIII</w:t>
      </w:r>
      <w:r w:rsidR="005C5309">
        <w:t xml:space="preserve"> </w:t>
      </w:r>
      <w:r w:rsidRPr="008164CE">
        <w:t>containing product is considered to be a reasona</w:t>
      </w:r>
      <w:r w:rsidR="005C5309">
        <w:t xml:space="preserve">ble and clinically relevant end </w:t>
      </w:r>
      <w:r w:rsidRPr="008164CE">
        <w:t>point, but is subject to potential inter</w:t>
      </w:r>
      <w:r w:rsidR="005C5309">
        <w:t xml:space="preserve"> </w:t>
      </w:r>
      <w:r w:rsidRPr="008164CE">
        <w:t>subject variability due to differences in clinical practice among the trial centres. Overall, the design of the pivotal trial is considered to be acceptable for an orphan drug for a condition with such a low prevalence rate in the general population (1 p</w:t>
      </w:r>
      <w:r w:rsidR="004E3B20">
        <w:t>atient per 2-5 million people).</w:t>
      </w:r>
    </w:p>
    <w:p w:rsidR="008164CE" w:rsidRPr="008164CE" w:rsidRDefault="008164CE" w:rsidP="008164CE">
      <w:r w:rsidRPr="008164CE">
        <w:t>The pivotal clinical study satisfactorily demonstrated the efficacy of rFXIII compared with a historical control based on a lower yearly rate of bleeding episodes requiring treatment with a FXIII</w:t>
      </w:r>
      <w:r w:rsidR="005C5309">
        <w:t xml:space="preserve"> </w:t>
      </w:r>
      <w:r w:rsidRPr="008164CE">
        <w:t>containing product (treatment</w:t>
      </w:r>
      <w:r w:rsidR="005C5309">
        <w:t xml:space="preserve"> </w:t>
      </w:r>
      <w:r w:rsidRPr="008164CE">
        <w:t>requiring bleeding). In the pivotal trial, rFXIII was administered once monthly (28</w:t>
      </w:r>
      <w:r w:rsidR="005C5309">
        <w:t xml:space="preserve"> </w:t>
      </w:r>
      <w:r w:rsidRPr="008164CE">
        <w:t>±</w:t>
      </w:r>
      <w:r w:rsidR="005C5309">
        <w:t xml:space="preserve"> </w:t>
      </w:r>
      <w:r w:rsidRPr="008164CE">
        <w:t>2 days) at a dose of 35 IU/kg to patients (n</w:t>
      </w:r>
      <w:r w:rsidR="005C5309">
        <w:t xml:space="preserve"> </w:t>
      </w:r>
      <w:r w:rsidRPr="008164CE">
        <w:t>=</w:t>
      </w:r>
      <w:r w:rsidR="005C5309">
        <w:t xml:space="preserve"> </w:t>
      </w:r>
      <w:r w:rsidRPr="008164CE">
        <w:t>41) with congenital FXIII deficiency and the age</w:t>
      </w:r>
      <w:r w:rsidR="005C5309">
        <w:t xml:space="preserve"> </w:t>
      </w:r>
      <w:r w:rsidRPr="008164CE">
        <w:t>adjusted rate (number per subject year) of treatment</w:t>
      </w:r>
      <w:r w:rsidR="005C5309">
        <w:t xml:space="preserve"> </w:t>
      </w:r>
      <w:r w:rsidRPr="008164CE">
        <w:t>requiring bleeding</w:t>
      </w:r>
      <w:r w:rsidR="0035200F">
        <w:t xml:space="preserve"> episodes was 0.048/year (95% Confidence Interval [CI]</w:t>
      </w:r>
      <w:r w:rsidRPr="008164CE">
        <w:t>: 0.0094, 0.2501). The upper 95% CI of this rate (0.2501) was less than 2.91,</w:t>
      </w:r>
      <w:r w:rsidR="007A5CEC">
        <w:t xml:space="preserve"> which was the yearly treatment </w:t>
      </w:r>
      <w:r w:rsidRPr="008164CE">
        <w:t xml:space="preserve">requiring bleeding rate in the </w:t>
      </w:r>
      <w:r w:rsidR="009854A5">
        <w:t>on-demand</w:t>
      </w:r>
      <w:r w:rsidRPr="008164CE">
        <w:t xml:space="preserve"> historical contr</w:t>
      </w:r>
      <w:r w:rsidR="007A5CEC">
        <w:t xml:space="preserve">ol group. Consequently, the age </w:t>
      </w:r>
      <w:r w:rsidRPr="008164CE">
        <w:t>adjusted rate (number per subject year) for treatment</w:t>
      </w:r>
      <w:r w:rsidR="007A5CEC">
        <w:t xml:space="preserve"> </w:t>
      </w:r>
      <w:r w:rsidRPr="008164CE">
        <w:t>requiring bleeding episodes was determined to be statistically significantly lower in patients in the pivotal study compared with the historical control group. In the pivotal study there were 5 treatment</w:t>
      </w:r>
      <w:r w:rsidR="007A5CEC">
        <w:t xml:space="preserve"> </w:t>
      </w:r>
      <w:r w:rsidRPr="008164CE">
        <w:t>requiring bleeding events (all traumatic) in 4 patients. The estimated mean probability of a subject not having any treatment</w:t>
      </w:r>
      <w:r w:rsidR="007A5CEC">
        <w:t xml:space="preserve"> </w:t>
      </w:r>
      <w:r w:rsidRPr="008164CE">
        <w:t>requiring bleeding in the pivotal study was 0.9851/year (95% CI: 0.7242, 0.9950). In the pivotal study, age was a significant covariate the annuali</w:t>
      </w:r>
      <w:r w:rsidR="007A5CEC">
        <w:t>s</w:t>
      </w:r>
      <w:r w:rsidRPr="008164CE">
        <w:t>ed treatment</w:t>
      </w:r>
      <w:r w:rsidR="007A5CEC">
        <w:t xml:space="preserve"> </w:t>
      </w:r>
      <w:r w:rsidRPr="008164CE">
        <w:t>requiring bleeding rate (p</w:t>
      </w:r>
      <w:r w:rsidR="007A5CEC">
        <w:t xml:space="preserve"> </w:t>
      </w:r>
      <w:r w:rsidRPr="008164CE">
        <w:t>=</w:t>
      </w:r>
      <w:r w:rsidR="007A5CEC">
        <w:t xml:space="preserve"> </w:t>
      </w:r>
      <w:r w:rsidRPr="008164CE">
        <w:t>0.022), and the subgroup comparison suggested that patients aged &lt; 18 years were at a greater risk of treatment</w:t>
      </w:r>
      <w:r w:rsidR="007A5CEC">
        <w:t xml:space="preserve"> </w:t>
      </w:r>
      <w:r w:rsidRPr="008164CE">
        <w:t>requiring bleeding than patients</w:t>
      </w:r>
      <w:r w:rsidR="004E3B20">
        <w:t xml:space="preserve"> aged ≥ 18 years.</w:t>
      </w:r>
    </w:p>
    <w:p w:rsidR="008164CE" w:rsidRPr="008164CE" w:rsidRDefault="008164CE" w:rsidP="008164CE">
      <w:r w:rsidRPr="008164CE">
        <w:t>The extension study showed that efficacy could be maintained long</w:t>
      </w:r>
      <w:r w:rsidR="008F02CB">
        <w:t xml:space="preserve"> </w:t>
      </w:r>
      <w:r w:rsidRPr="008164CE">
        <w:t>term, based on the age</w:t>
      </w:r>
      <w:r w:rsidR="008F02CB">
        <w:t xml:space="preserve"> </w:t>
      </w:r>
      <w:r w:rsidRPr="008164CE">
        <w:t>adjusted rate (number per subject year) of treatment</w:t>
      </w:r>
      <w:r w:rsidR="008F02CB">
        <w:t xml:space="preserve"> </w:t>
      </w:r>
      <w:r w:rsidRPr="008164CE">
        <w:t>requiring bleeding episodes. The age</w:t>
      </w:r>
      <w:r w:rsidR="008F02CB">
        <w:t xml:space="preserve"> </w:t>
      </w:r>
      <w:r w:rsidRPr="008164CE">
        <w:t>adjusted rate (number per subject) of treatment</w:t>
      </w:r>
      <w:r w:rsidR="008F02CB">
        <w:t xml:space="preserve"> </w:t>
      </w:r>
      <w:r w:rsidRPr="008164CE">
        <w:t>requiring bleeding episodes was 0.038/year (95%</w:t>
      </w:r>
      <w:r w:rsidR="008F02CB">
        <w:t xml:space="preserve"> </w:t>
      </w:r>
      <w:r w:rsidRPr="008164CE">
        <w:t>CI: 0.0034, 0.4355), and the upper 95% CI (0.4355) was less than 2.91 indicating that the observed rate was statistically significantly lower compared with the historical control group. In the extension study there were 5 treatment</w:t>
      </w:r>
      <w:r w:rsidR="008F02CB">
        <w:t xml:space="preserve"> </w:t>
      </w:r>
      <w:r w:rsidRPr="008164CE">
        <w:t>requiring bleeding events (3 spontaneous, 2 traumatic) in 3 patients. In the extension study, age was not a statistically significant covariate (p</w:t>
      </w:r>
      <w:r w:rsidR="008F02CB">
        <w:t xml:space="preserve"> </w:t>
      </w:r>
      <w:r w:rsidRPr="008164CE">
        <w:t>=</w:t>
      </w:r>
      <w:r w:rsidR="008F02CB">
        <w:t xml:space="preserve"> </w:t>
      </w:r>
      <w:r w:rsidRPr="008164CE">
        <w:t>0.058), but the total number of treatment</w:t>
      </w:r>
      <w:r w:rsidR="008F02CB">
        <w:t xml:space="preserve"> </w:t>
      </w:r>
      <w:r w:rsidRPr="008164CE">
        <w:t xml:space="preserve">requiring bleeding episodes (5 events in 3 patients) was too low to satisfactorily compare the results in patients </w:t>
      </w:r>
      <w:r w:rsidR="004E3B20">
        <w:t>aged &lt; 18 years and ≥ 18 years.</w:t>
      </w:r>
    </w:p>
    <w:p w:rsidR="008164CE" w:rsidRPr="008164CE" w:rsidRDefault="008164CE" w:rsidP="008164CE">
      <w:r w:rsidRPr="008164CE">
        <w:t>A limitation of the pivotal and extension studies relates to the lack of adequate characteri</w:t>
      </w:r>
      <w:r w:rsidR="008F02CB">
        <w:t>s</w:t>
      </w:r>
      <w:r w:rsidRPr="008164CE">
        <w:t>ation of break</w:t>
      </w:r>
      <w:r w:rsidR="008F02CB">
        <w:t xml:space="preserve"> </w:t>
      </w:r>
      <w:r w:rsidRPr="008164CE">
        <w:t>through bleeding (all) occurring during the rFXIII treatment period. In the pivotal study there were 59 bleeding episodes (traumatic or spontaneous; irrespective of FXIII</w:t>
      </w:r>
      <w:r w:rsidR="008F02CB">
        <w:t xml:space="preserve"> </w:t>
      </w:r>
      <w:r w:rsidRPr="008164CE">
        <w:t xml:space="preserve">containing treatment) in 20 of the 41 patients in the FAS. These figures give a crude bleeding rate of 1.4 events/patient. In the extension study, there were 20 bleeding episodes (all) in 33 patients in the FAS, giving a crude bleeding rate of 0.6 </w:t>
      </w:r>
      <w:r w:rsidRPr="008164CE">
        <w:lastRenderedPageBreak/>
        <w:t>events/patient. No estimated yearly rates for all break</w:t>
      </w:r>
      <w:r w:rsidR="008F02CB">
        <w:t xml:space="preserve"> </w:t>
      </w:r>
      <w:r w:rsidRPr="008164CE">
        <w:t>through bleeding events in the two studies could be identified in the submitted data. The sponsor stated that the age</w:t>
      </w:r>
      <w:r w:rsidR="008F02CB">
        <w:t xml:space="preserve"> </w:t>
      </w:r>
      <w:r w:rsidRPr="008164CE">
        <w:t>related rate (number per subject year) of treatment</w:t>
      </w:r>
      <w:r w:rsidR="008F02CB">
        <w:t xml:space="preserve"> </w:t>
      </w:r>
      <w:r w:rsidRPr="008164CE">
        <w:t>requiring bleeding episodes in the pivotal study (0.048/year [95%CI: 0.0094, 0.2501]) was similar to, or lower than that in the historical control patients treated with regular FXIII</w:t>
      </w:r>
      <w:r w:rsidR="008F02CB">
        <w:t xml:space="preserve"> </w:t>
      </w:r>
      <w:r w:rsidRPr="008164CE">
        <w:t>containing products (0.3/year). However, the bleeding rate of 0.3/year derived from the patients in the retrospective analysis (F13CD-Quest)</w:t>
      </w:r>
      <w:r w:rsidR="008F02CB">
        <w:t xml:space="preserve"> appears to relate to all break </w:t>
      </w:r>
      <w:r w:rsidRPr="008164CE">
        <w:t>through bleeding episodes rather than just treatment-requiring bleeds. In a small published retrospective study, the rate of spontaneous blee</w:t>
      </w:r>
      <w:r w:rsidR="008F02CB">
        <w:t>ding during regular Fibrogammin</w:t>
      </w:r>
      <w:r w:rsidRPr="008164CE">
        <w:t xml:space="preserve"> P therapy was estimated to be 0.2 events/year compared with 2.5 events/year for patients not on prophylactic therapy calculated from a historical c</w:t>
      </w:r>
      <w:r w:rsidR="00452704">
        <w:t>ontrol.</w:t>
      </w:r>
      <w:r w:rsidR="00452704">
        <w:rPr>
          <w:rStyle w:val="FootnoteReference"/>
        </w:rPr>
        <w:footnoteReference w:id="13"/>
      </w:r>
    </w:p>
    <w:p w:rsidR="008164CE" w:rsidRPr="008164CE" w:rsidRDefault="008164CE" w:rsidP="008164CE">
      <w:r w:rsidRPr="008164CE">
        <w:t>In the pivotal and extension studies, there were a total of 10 treatment</w:t>
      </w:r>
      <w:r w:rsidR="001A08C8">
        <w:t xml:space="preserve"> </w:t>
      </w:r>
      <w:r w:rsidRPr="008164CE">
        <w:t>requiring bleeds at the cut</w:t>
      </w:r>
      <w:r w:rsidR="001A08C8">
        <w:t xml:space="preserve"> </w:t>
      </w:r>
      <w:r w:rsidRPr="008164CE">
        <w:t>off date of 11 February 2011, and these occurred post</w:t>
      </w:r>
      <w:r w:rsidR="001A08C8">
        <w:t xml:space="preserve"> </w:t>
      </w:r>
      <w:r w:rsidRPr="008164CE">
        <w:t xml:space="preserve">dose on </w:t>
      </w:r>
      <w:r w:rsidR="001A08C8">
        <w:t>D</w:t>
      </w:r>
      <w:r w:rsidRPr="008164CE">
        <w:t>ays 5, 13, 14, 15,</w:t>
      </w:r>
      <w:r w:rsidR="001A08C8">
        <w:t xml:space="preserve"> 17, 19, 22, 23, 24 and 27 (that is</w:t>
      </w:r>
      <w:r w:rsidRPr="008164CE">
        <w:t>, on average 17.9 days after rFXIII administration). The onset of the treatment</w:t>
      </w:r>
      <w:r w:rsidR="001A08C8">
        <w:t xml:space="preserve"> </w:t>
      </w:r>
      <w:r w:rsidRPr="008164CE">
        <w:t>requiring bleeds are skewed towards those occurring ≥ 15 days after dosing (7 bleed</w:t>
      </w:r>
      <w:r w:rsidR="004B3914">
        <w:t>s) compared with those</w:t>
      </w:r>
      <w:r w:rsidRPr="008164CE">
        <w:t xml:space="preserve"> &lt; 15 days after dosing (3 bleeds). This is consistent with FXIII activity being lower ≥ 15 days after dosing compared with &lt; 15 days after dosing. However, information on the FXIII activity level at the time of bleeding was not available to the physician when deciding wheth</w:t>
      </w:r>
      <w:r w:rsidR="004B3914">
        <w:t xml:space="preserve">er or not to treat with a FXIII </w:t>
      </w:r>
      <w:r w:rsidRPr="008164CE">
        <w:t>containing product. Therefore, the assoc</w:t>
      </w:r>
      <w:r w:rsidR="004B3914">
        <w:t xml:space="preserve">iation between treatment </w:t>
      </w:r>
      <w:r w:rsidRPr="008164CE">
        <w:t xml:space="preserve">requiring bleeds and FXIII activity level is confounded by the fact that the decision to dose may have been influenced by knowledge of the </w:t>
      </w:r>
      <w:r w:rsidR="00663C1E">
        <w:t>date of the preceding dose (that is</w:t>
      </w:r>
      <w:r w:rsidRPr="008164CE">
        <w:t>, a longer time interval between dosing and bleed might provide greater m</w:t>
      </w:r>
      <w:r w:rsidR="00663C1E">
        <w:t xml:space="preserve">otivation to administer a FXIII </w:t>
      </w:r>
      <w:r w:rsidRPr="008164CE">
        <w:t>containing product than a shorter time interval).</w:t>
      </w:r>
    </w:p>
    <w:p w:rsidR="008164CE" w:rsidRPr="008164CE" w:rsidRDefault="008164CE" w:rsidP="008164CE">
      <w:r w:rsidRPr="008164CE">
        <w:t>Treatment</w:t>
      </w:r>
      <w:r w:rsidR="00663C1E">
        <w:t xml:space="preserve"> </w:t>
      </w:r>
      <w:r w:rsidRPr="008164CE">
        <w:t>requiring bleeding reported in the pivotal study (5 episodes in 4 patients) and the extension study (5 episodes in 3 patients) were not correlated with low FXIII activity levels. In both studies, treatment</w:t>
      </w:r>
      <w:r w:rsidR="00663C1E">
        <w:t xml:space="preserve"> </w:t>
      </w:r>
      <w:r w:rsidRPr="008164CE">
        <w:t>requiring bleeding generally occurred at FXIII act</w:t>
      </w:r>
      <w:r w:rsidR="00663C1E">
        <w:t>ivity levels of ≥ 0.3 IU/L (that is</w:t>
      </w:r>
      <w:r w:rsidRPr="008164CE">
        <w:t>, ≥ 25%). The dosage regimen of monthly administration of 35 IU/kg rFXIII resulted in mean pre</w:t>
      </w:r>
      <w:r w:rsidR="00663C1E">
        <w:t xml:space="preserve"> </w:t>
      </w:r>
      <w:r w:rsidRPr="008164CE">
        <w:t xml:space="preserve">dose “trough” FXIII activity levels of 15.9% and 18.2% in the pivotal and extension trials, respectively. Levels of FXIII activity down to 3% to 10% are considered sufficient to prevent spontaneous </w:t>
      </w:r>
      <w:r w:rsidR="00663C1E">
        <w:t>haemorrhage in most patients,</w:t>
      </w:r>
      <w:r w:rsidR="00663C1E">
        <w:rPr>
          <w:rStyle w:val="FootnoteReference"/>
        </w:rPr>
        <w:footnoteReference w:id="14"/>
      </w:r>
      <w:r w:rsidRPr="008164CE">
        <w:t xml:space="preserve"> but bleeding events have been reported at higher</w:t>
      </w:r>
      <w:r w:rsidR="00663C1E">
        <w:t xml:space="preserve"> FXIII activity levels.</w:t>
      </w:r>
      <w:r w:rsidR="00663C1E">
        <w:rPr>
          <w:rStyle w:val="FootnoteReference"/>
        </w:rPr>
        <w:footnoteReference w:id="15"/>
      </w:r>
    </w:p>
    <w:p w:rsidR="008164CE" w:rsidRPr="008164CE" w:rsidRDefault="008164CE" w:rsidP="008164CE">
      <w:r w:rsidRPr="008164CE">
        <w:t>The submission did not include clinical studies assessing the efficacy of rFXIII specifically in a paediatric population with congenital FXIII A</w:t>
      </w:r>
      <w:r w:rsidR="00C05B8D">
        <w:t xml:space="preserve"> </w:t>
      </w:r>
      <w:r w:rsidRPr="008164CE">
        <w:t>subunit deficiency. This is considered to be a deficiency in the submission. In the pivotal study (n</w:t>
      </w:r>
      <w:r w:rsidR="00C05B8D">
        <w:t xml:space="preserve"> </w:t>
      </w:r>
      <w:r w:rsidRPr="008164CE">
        <w:t>=</w:t>
      </w:r>
      <w:r w:rsidR="00C05B8D">
        <w:t xml:space="preserve"> </w:t>
      </w:r>
      <w:r w:rsidRPr="008164CE">
        <w:t>41), the mean age of the study population was 26.4 years (SD</w:t>
      </w:r>
      <w:r w:rsidR="00C05B8D">
        <w:t xml:space="preserve"> </w:t>
      </w:r>
      <w:r w:rsidRPr="008164CE">
        <w:t>=</w:t>
      </w:r>
      <w:r w:rsidR="00C05B8D">
        <w:t xml:space="preserve"> </w:t>
      </w:r>
      <w:r w:rsidRPr="008164CE">
        <w:t>15.9) with a range of 7 to 60 years, with 15 patients being aged &lt; 18 years and 26 patients being aged ≥ 18 years. Information in the submission indicates that there is one on</w:t>
      </w:r>
      <w:r w:rsidR="00C05B8D">
        <w:t xml:space="preserve"> </w:t>
      </w:r>
      <w:r w:rsidRPr="008164CE">
        <w:t>going study in children aged 1 to &lt; 6 years with congenital FXIII deficiency designed to characteri</w:t>
      </w:r>
      <w:r w:rsidR="00C05B8D">
        <w:t>s</w:t>
      </w:r>
      <w:r w:rsidRPr="008164CE">
        <w:t>e the PKs of rFXIII following a single</w:t>
      </w:r>
      <w:r w:rsidR="0013292B">
        <w:t xml:space="preserve"> </w:t>
      </w:r>
      <w:r w:rsidRPr="008164CE">
        <w:t>dose (F13CD-3760), and one on</w:t>
      </w:r>
      <w:r w:rsidR="00C05B8D">
        <w:t xml:space="preserve"> </w:t>
      </w:r>
      <w:r w:rsidRPr="008164CE">
        <w:t>going safety extension trial (F13CD-3835) in patients from F13CD-3760 designed to evaluate the long</w:t>
      </w:r>
      <w:r w:rsidR="00C05B8D">
        <w:t xml:space="preserve"> </w:t>
      </w:r>
      <w:r w:rsidRPr="008164CE">
        <w:t>term safety (primary objective) and efficacy (secondary objective) of rFXIII administered monthly t</w:t>
      </w:r>
      <w:r w:rsidR="004E3B20">
        <w:t>o children aged 1 to &lt; 6 years.</w:t>
      </w:r>
    </w:p>
    <w:p w:rsidR="008E7846" w:rsidRPr="002E238E" w:rsidRDefault="008E7846" w:rsidP="008E7846">
      <w:pPr>
        <w:pStyle w:val="Heading3"/>
      </w:pPr>
      <w:bookmarkStart w:id="95" w:name="_Toc163441378"/>
      <w:bookmarkStart w:id="96" w:name="_Toc196046495"/>
      <w:bookmarkStart w:id="97" w:name="_Toc247691522"/>
      <w:bookmarkStart w:id="98" w:name="_Toc314842505"/>
      <w:bookmarkStart w:id="99" w:name="_Toc389414013"/>
      <w:bookmarkEnd w:id="89"/>
      <w:bookmarkEnd w:id="90"/>
      <w:bookmarkEnd w:id="91"/>
      <w:bookmarkEnd w:id="92"/>
      <w:r w:rsidRPr="002E238E">
        <w:lastRenderedPageBreak/>
        <w:t>Safety</w:t>
      </w:r>
      <w:bookmarkEnd w:id="95"/>
      <w:bookmarkEnd w:id="96"/>
      <w:bookmarkEnd w:id="97"/>
      <w:bookmarkEnd w:id="98"/>
      <w:bookmarkEnd w:id="99"/>
    </w:p>
    <w:p w:rsidR="005A1762" w:rsidRPr="004B259C" w:rsidRDefault="005A1762" w:rsidP="005A1762">
      <w:pPr>
        <w:pStyle w:val="Heading4"/>
      </w:pPr>
      <w:bookmarkStart w:id="100" w:name="_Toc163441387"/>
      <w:bookmarkStart w:id="101" w:name="_Toc272414659"/>
      <w:bookmarkStart w:id="102" w:name="_Toc290846284"/>
      <w:bookmarkStart w:id="103" w:name="_Toc218077468"/>
      <w:r>
        <w:t>Studies providing evaluable safety data</w:t>
      </w:r>
      <w:bookmarkEnd w:id="101"/>
      <w:bookmarkEnd w:id="102"/>
      <w:bookmarkEnd w:id="103"/>
    </w:p>
    <w:p w:rsidR="005A1762" w:rsidRPr="005A1762" w:rsidRDefault="005A1762" w:rsidP="005A1762">
      <w:r w:rsidRPr="005A1762">
        <w:t>The submission included safety data from 5 studies in patients with congenital FXIII deficiency, 4 studies in healthy subjects and 2 single</w:t>
      </w:r>
      <w:r w:rsidR="007D1AD9">
        <w:t xml:space="preserve"> </w:t>
      </w:r>
      <w:r w:rsidRPr="005A1762">
        <w:t>dose studies in patients undergoing cardiac surgery. The primary safety data relate to the patients from the pivotal trial F13CD-1725 and the long</w:t>
      </w:r>
      <w:r w:rsidR="007D1AD9">
        <w:t xml:space="preserve"> </w:t>
      </w:r>
      <w:r w:rsidRPr="005A1762">
        <w:t xml:space="preserve">term extension trial F13CD-3720. The </w:t>
      </w:r>
      <w:r w:rsidR="007D1AD9">
        <w:t>safety review in this clinical evaluation report</w:t>
      </w:r>
      <w:r w:rsidRPr="005A1762">
        <w:t xml:space="preserve"> focuses on the data from these two studies.</w:t>
      </w:r>
    </w:p>
    <w:p w:rsidR="005A1762" w:rsidRPr="005A1762" w:rsidRDefault="005A1762" w:rsidP="005A1762">
      <w:pPr>
        <w:pStyle w:val="Heading4"/>
      </w:pPr>
      <w:bookmarkStart w:id="104" w:name="_Toc241374328"/>
      <w:bookmarkStart w:id="105" w:name="_Toc272414691"/>
      <w:bookmarkStart w:id="106" w:name="_Toc290846329"/>
      <w:bookmarkStart w:id="107" w:name="_Toc218077502"/>
      <w:r w:rsidRPr="005A1762">
        <w:t>Evaluator’s overall conclusions on clinical safety</w:t>
      </w:r>
      <w:bookmarkEnd w:id="104"/>
      <w:bookmarkEnd w:id="105"/>
      <w:bookmarkEnd w:id="106"/>
      <w:bookmarkEnd w:id="107"/>
    </w:p>
    <w:p w:rsidR="005A1762" w:rsidRPr="005A1762" w:rsidRDefault="005A1762" w:rsidP="005A1762">
      <w:r w:rsidRPr="005A1762">
        <w:t>In all clinical studies assessing the effects of rFXIII, a total of 651 individuals were exposed to rFXIII (51 patients with congenital FXIII deficiency, 452 patients undergoing cardiac surgery, and 148 healthy subjects). The key safety data relate to the 41 patients with congenital FXIII d</w:t>
      </w:r>
      <w:r w:rsidR="00AA5D76">
        <w:t>eficiency in the pivotal Phase III</w:t>
      </w:r>
      <w:r w:rsidRPr="005A1762">
        <w:t xml:space="preserve"> study F13CD-1725, and to 33 of these 41 patients who continued with tr</w:t>
      </w:r>
      <w:r w:rsidR="00AA5D76">
        <w:t>eatment in the extension Phase III</w:t>
      </w:r>
      <w:r w:rsidRPr="005A1762">
        <w:t xml:space="preserve"> study F13CD-3720. In the pivotal and extension studies all patients were treated with 35 IU/kg rFXIII once monthly (28</w:t>
      </w:r>
      <w:r w:rsidR="00FB195B">
        <w:t xml:space="preserve"> </w:t>
      </w:r>
      <w:r w:rsidRPr="005A1762">
        <w:t>±</w:t>
      </w:r>
      <w:r w:rsidR="00FB195B">
        <w:t xml:space="preserve"> </w:t>
      </w:r>
      <w:r w:rsidRPr="005A1762">
        <w:t>2 days). It is considered that the small pooled safety data</w:t>
      </w:r>
      <w:r w:rsidR="00AA5D76">
        <w:t xml:space="preserve"> set in the two Phase III</w:t>
      </w:r>
      <w:r w:rsidRPr="005A1762">
        <w:t xml:space="preserve"> studies in patients with congenital FXIII deficiency has satisfactorily established the safety of rFXIII for this extremely rare condition. The following summary of clinical safety focuses on the pooled safety data</w:t>
      </w:r>
      <w:r w:rsidR="00AA5D76">
        <w:t xml:space="preserve"> </w:t>
      </w:r>
      <w:r w:rsidRPr="005A1762">
        <w:t>set from the pivotal and extension s</w:t>
      </w:r>
      <w:r w:rsidR="00213FF0">
        <w:t>tudies unless otherwise stated.</w:t>
      </w:r>
    </w:p>
    <w:p w:rsidR="005A1762" w:rsidRPr="005A1762" w:rsidRDefault="005A1762" w:rsidP="005A1762">
      <w:r w:rsidRPr="005A1762">
        <w:t xml:space="preserve">In </w:t>
      </w:r>
      <w:r w:rsidR="00AA5D76">
        <w:t xml:space="preserve">Study </w:t>
      </w:r>
      <w:r w:rsidRPr="005A1762">
        <w:t xml:space="preserve">F13CD-1725, 41 patients completed the study and were exposed to a total of 471 doses of rFXIII, and the mean (SD) number of doses in these patients was 11.5 (3.6). Of these 41 patients, 33 continued in the extension study F13CD-3720 and were exposed to 439 doses of rFXIII with a mean (SD) of 13.3 (3.6) doses. In the two studies combined, 41 patients were exposed to </w:t>
      </w:r>
      <w:r w:rsidR="00213FF0">
        <w:t>a total of 910 doses of rFXIII.</w:t>
      </w:r>
    </w:p>
    <w:p w:rsidR="005A1762" w:rsidRPr="005A1762" w:rsidRDefault="005A1762" w:rsidP="005A1762">
      <w:r w:rsidRPr="005A1762">
        <w:t>In the pooled safety data</w:t>
      </w:r>
      <w:r w:rsidR="00AA5D76">
        <w:t xml:space="preserve"> </w:t>
      </w:r>
      <w:r w:rsidRPr="005A1762">
        <w:t xml:space="preserve">set (FAS) for </w:t>
      </w:r>
      <w:r w:rsidR="00AA5D76">
        <w:t xml:space="preserve">Studies </w:t>
      </w:r>
      <w:r w:rsidRPr="005A1762">
        <w:t xml:space="preserve">F13CD-1725 and F13CD-3720, 32 of the 41 patients (78.0%) exposed to rFXIII experienced a total of 352 </w:t>
      </w:r>
      <w:r w:rsidR="00BD6B16">
        <w:t>adverse events (</w:t>
      </w:r>
      <w:r w:rsidRPr="005A1762">
        <w:t>AEs</w:t>
      </w:r>
      <w:r w:rsidR="00BD6B16">
        <w:t>)</w:t>
      </w:r>
      <w:r w:rsidRPr="005A1762">
        <w:t xml:space="preserve"> (38.7 AEs/100 exposures). The majority of AEs were rated as mild in intensity (288) while the remainder were rated as moderate (59) or severe (5). Of the 352 AEs in the pooled safety data</w:t>
      </w:r>
      <w:r w:rsidR="002A3E5A">
        <w:t xml:space="preserve"> </w:t>
      </w:r>
      <w:r w:rsidRPr="005A1762">
        <w:t>set, 231 occurred in the pivotal study (49.1 AEs/100 exposures) and 121 occurred in the extension study (27.6 AEs/100 exposures). The difference in the AE rates between the pivotal and extension studies suggest that the risk of experiencing an AE decre</w:t>
      </w:r>
      <w:r w:rsidR="00213FF0">
        <w:t>ases with duration of exposure.</w:t>
      </w:r>
    </w:p>
    <w:p w:rsidR="005A1762" w:rsidRPr="005A1762" w:rsidRDefault="005A1762" w:rsidP="005A1762">
      <w:r w:rsidRPr="005A1762">
        <w:t>The most commonly reported (≥10% of patients) AEs in the 41 patients in the pooled safety data</w:t>
      </w:r>
      <w:r w:rsidR="00B81F2F">
        <w:t xml:space="preserve"> </w:t>
      </w:r>
      <w:r w:rsidRPr="005A1762">
        <w:t>set, in diminishing order of frequency, were: headache (31.7%); nasopharyngitis (26.8%); pyrexia (19.5%); arthralgia (17.1%); pain in extremity (17.1%); nasal congestion (17.1%); oropharyngeal pain (17.1%); excoriation (12.2%); incorrect dose administered (12.2%); and joint sprain (12.2%). No thromboembolic events had been reported in the pivotal and extension studies at the date of data cut</w:t>
      </w:r>
      <w:r w:rsidR="00B81F2F">
        <w:t xml:space="preserve"> </w:t>
      </w:r>
      <w:r w:rsidR="00213FF0">
        <w:t>off.</w:t>
      </w:r>
    </w:p>
    <w:p w:rsidR="005A1762" w:rsidRPr="005A1762" w:rsidRDefault="005A1762" w:rsidP="005A1762">
      <w:r w:rsidRPr="005A1762">
        <w:t>There were a total 14 AEs in 9 patients considered by the investigator to be possibly or probably related to treatment with rFXIII. These treatment</w:t>
      </w:r>
      <w:r w:rsidR="00B81F2F">
        <w:t xml:space="preserve"> </w:t>
      </w:r>
      <w:r w:rsidRPr="005A1762">
        <w:t>related AEs were: antibody test positive in 4 patients; incorrect dose administered on 2 occasions in 1 patient, and on 1 occasion in 1 patient; pain in extremity in 1 patient; headache in 1 patient; worsening of leukopenia and neutropenia in 1 patient; injection site pain, fibrin D</w:t>
      </w:r>
      <w:r w:rsidR="00B81F2F">
        <w:t xml:space="preserve"> </w:t>
      </w:r>
      <w:r w:rsidRPr="005A1762">
        <w:t>dimer increased, and overdose in 1 patient. Full recovery occurred for all 14 AEs considered to be possibly or probably related to rFXIII.</w:t>
      </w:r>
    </w:p>
    <w:p w:rsidR="005A1762" w:rsidRPr="005A1762" w:rsidRDefault="005A1762" w:rsidP="005A1762">
      <w:r w:rsidRPr="005A1762">
        <w:t xml:space="preserve">There were no deaths in the pivotal and extension studies. There were a total of 10 SAEs recorded in 7 patients and, except for 3 </w:t>
      </w:r>
      <w:r w:rsidR="00B81F2F">
        <w:t>serious adverse events (</w:t>
      </w:r>
      <w:r w:rsidRPr="005A1762">
        <w:t>SAEs</w:t>
      </w:r>
      <w:r w:rsidR="00B81F2F">
        <w:t>)</w:t>
      </w:r>
      <w:r w:rsidRPr="005A1762">
        <w:t xml:space="preserve"> of anti</w:t>
      </w:r>
      <w:r w:rsidR="00B81F2F">
        <w:t xml:space="preserve"> </w:t>
      </w:r>
      <w:r w:rsidRPr="005A1762">
        <w:t xml:space="preserve">rFXIII antibodies, all SAEs were considered by the investigator as being unlikely to be related to </w:t>
      </w:r>
      <w:r w:rsidRPr="005A1762">
        <w:lastRenderedPageBreak/>
        <w:t>rFXIII. The 10 SAEs were:</w:t>
      </w:r>
      <w:r w:rsidR="007424B7">
        <w:t xml:space="preserve"> 3 antibody positive events (1</w:t>
      </w:r>
      <w:r w:rsidRPr="005A1762">
        <w:t xml:space="preserve"> probably rel</w:t>
      </w:r>
      <w:r w:rsidR="007424B7">
        <w:t xml:space="preserve">ated; 2 possibly related); 1 diverticulitis; 1 </w:t>
      </w:r>
      <w:r w:rsidRPr="005A1762">
        <w:t>non</w:t>
      </w:r>
      <w:r w:rsidR="007424B7">
        <w:t xml:space="preserve"> cardiac chest pain; 1 headache; 1 carpal tunnel syndrome; 1 road traffic accident; 1</w:t>
      </w:r>
      <w:r w:rsidRPr="005A1762">
        <w:t xml:space="preserve"> small intestinal obstruct</w:t>
      </w:r>
      <w:r w:rsidR="007424B7">
        <w:t>ion; 1</w:t>
      </w:r>
      <w:r w:rsidRPr="005A1762">
        <w:t xml:space="preserve"> skin laceration. Discontinuations due to AEs occurred in 4 (9.8%) patients, </w:t>
      </w:r>
      <w:r w:rsidR="007424B7">
        <w:t xml:space="preserve">all from the pivotal study (non </w:t>
      </w:r>
      <w:r w:rsidRPr="005A1762">
        <w:t>neutrali</w:t>
      </w:r>
      <w:r w:rsidR="007424B7">
        <w:t xml:space="preserve">sing anti </w:t>
      </w:r>
      <w:r w:rsidRPr="005A1762">
        <w:t>rFXIII antibodies in 3 patients, and worsening leukopenia and neutropenia in 1 patient)</w:t>
      </w:r>
      <w:r w:rsidR="003B51E1">
        <w:t>.</w:t>
      </w:r>
    </w:p>
    <w:p w:rsidR="005A1762" w:rsidRPr="005A1762" w:rsidRDefault="005A1762" w:rsidP="005A1762">
      <w:r w:rsidRPr="005A1762">
        <w:t xml:space="preserve">In </w:t>
      </w:r>
      <w:r w:rsidR="00EE28BE">
        <w:t xml:space="preserve">Study </w:t>
      </w:r>
      <w:r w:rsidRPr="005A1762">
        <w:t xml:space="preserve">F13CD-1725, </w:t>
      </w:r>
      <w:r w:rsidR="00EE28BE">
        <w:t xml:space="preserve">a total of </w:t>
      </w:r>
      <w:r w:rsidRPr="005A1762">
        <w:t>4 patients developed transient, low</w:t>
      </w:r>
      <w:r w:rsidR="00EE28BE">
        <w:t xml:space="preserve"> </w:t>
      </w:r>
      <w:r w:rsidRPr="005A1762">
        <w:t>titre, non</w:t>
      </w:r>
      <w:r w:rsidR="00EE28BE">
        <w:t xml:space="preserve"> </w:t>
      </w:r>
      <w:r w:rsidRPr="005A1762">
        <w:t>neutralizing anti</w:t>
      </w:r>
      <w:r w:rsidR="00EE28BE">
        <w:t xml:space="preserve"> </w:t>
      </w:r>
      <w:r w:rsidRPr="005A1762">
        <w:t xml:space="preserve">rFXIII antibodies (titre = 2.3 to 2.6; lowest level of quantification = 2.0). No anaphylactic or allergic reactions, bleeding episodes or changes in </w:t>
      </w:r>
      <w:r w:rsidR="001C3720">
        <w:t>PK</w:t>
      </w:r>
      <w:r w:rsidRPr="005A1762">
        <w:t xml:space="preserve"> were observed in any of these patients at any time durin</w:t>
      </w:r>
      <w:r w:rsidR="00FC4A58">
        <w:t xml:space="preserve">g the presence of the non </w:t>
      </w:r>
      <w:r w:rsidRPr="005A1762">
        <w:t>neutrali</w:t>
      </w:r>
      <w:r w:rsidR="00FC4A58">
        <w:t>s</w:t>
      </w:r>
      <w:r w:rsidRPr="005A1762">
        <w:t>ing anti</w:t>
      </w:r>
      <w:r w:rsidR="00FC4A58">
        <w:t xml:space="preserve"> </w:t>
      </w:r>
      <w:r w:rsidRPr="005A1762">
        <w:t>rFXIII antibodies or during the follow</w:t>
      </w:r>
      <w:r w:rsidR="00FC4A58">
        <w:t xml:space="preserve"> </w:t>
      </w:r>
      <w:r w:rsidRPr="005A1762">
        <w:t>up period. Furthermore, the antibodies declined below the limit of detection in 2 patients despite repeated exposure to rFXIII and in 2 patients following exposure to other FXIII</w:t>
      </w:r>
      <w:r w:rsidR="00FC4A58">
        <w:t xml:space="preserve"> </w:t>
      </w:r>
      <w:r w:rsidRPr="005A1762">
        <w:t>containing products. No testing for anti</w:t>
      </w:r>
      <w:r w:rsidR="00FC4A58">
        <w:t xml:space="preserve"> </w:t>
      </w:r>
      <w:r w:rsidRPr="005A1762">
        <w:t>yeast antibodies was undertaken in the pivotal or extension studies.</w:t>
      </w:r>
    </w:p>
    <w:p w:rsidR="005A1762" w:rsidRPr="005A1762" w:rsidRDefault="005A1762" w:rsidP="005A1762">
      <w:r w:rsidRPr="005A1762">
        <w:t>In both the pivotal and extension studies, haematological, biochemical, and urinalysis parameters were assessed at local laboratories and coagulation parameters were assessed at a central laboratory. The parameters were measured at screening, baseline, post</w:t>
      </w:r>
      <w:r w:rsidR="00FC4A58">
        <w:t xml:space="preserve"> </w:t>
      </w:r>
      <w:r w:rsidRPr="005A1762">
        <w:t xml:space="preserve">dose </w:t>
      </w:r>
      <w:r w:rsidR="00FC4A58">
        <w:t>W</w:t>
      </w:r>
      <w:r w:rsidRPr="005A1762">
        <w:t>eeks 2 and 4, and then post</w:t>
      </w:r>
      <w:r w:rsidR="00FC4A58">
        <w:t xml:space="preserve"> </w:t>
      </w:r>
      <w:r w:rsidRPr="005A1762">
        <w:t>dose every 4 weeks until the end of the study. There were no noteworthy changes in any of the assessed laboratory parameters during treatment with rFXIII, apart from considerable variations in D</w:t>
      </w:r>
      <w:r w:rsidR="00FC4A58">
        <w:t xml:space="preserve"> </w:t>
      </w:r>
      <w:r w:rsidRPr="005A1762">
        <w:t>dimer levels. The sponsor speculates that individual D</w:t>
      </w:r>
      <w:r w:rsidR="00FC4A58">
        <w:t xml:space="preserve"> </w:t>
      </w:r>
      <w:r w:rsidRPr="005A1762">
        <w:t>dimer level outliers may have been caused by inappropriate sampling handling at some study centres, but no data were provided to support this argument. There were no noteworthy changes in vital signs or physical examination over the course of treatment in the patients in the</w:t>
      </w:r>
      <w:r w:rsidR="003B51E1">
        <w:t xml:space="preserve"> pivotal and extension studies.</w:t>
      </w:r>
    </w:p>
    <w:p w:rsidR="005A1762" w:rsidRPr="005A1762" w:rsidRDefault="005A1762" w:rsidP="005A1762">
      <w:r w:rsidRPr="005A1762">
        <w:t xml:space="preserve">There was no evidence of hepatic, renal, haematological or cardiovascular toxicity in the pivotal and extension studies. In these two studies, patients with renal insufficiency defined as current dialysis therapy were excluded based on the nonclinical finding of mild glomerulonephropathy in one cynomolgus monkey administered at a dose of 12.5 mg/kg. In addition, patients with any history of confirmed venous or arterial thromboembolic events were excluded from the studies. Although patients with hepatic impairment or cardiac disorders were not excluded from the pivotal and extension studies, there were no data from these studies on </w:t>
      </w:r>
      <w:r w:rsidR="003B51E1">
        <w:t>patients with these conditions.</w:t>
      </w:r>
    </w:p>
    <w:p w:rsidR="005A1762" w:rsidRPr="005A1762" w:rsidRDefault="005A1762" w:rsidP="005A1762">
      <w:r w:rsidRPr="005A1762">
        <w:t>The safety data from the other studies in healthy volunteers, patients with congenital FXIII deficiency and patients undergoing cardiac surgery were consistent with the</w:t>
      </w:r>
      <w:r w:rsidR="003B51E1">
        <w:t xml:space="preserve"> pivotal and extension studies.</w:t>
      </w:r>
    </w:p>
    <w:p w:rsidR="005A1762" w:rsidRPr="005A1762" w:rsidRDefault="005A1762" w:rsidP="005A1762">
      <w:r w:rsidRPr="005A1762">
        <w:t>The safety of rFXIII in special populations was not investigated due to the small number of patients with congenital FXIII deficiency in the safety data</w:t>
      </w:r>
      <w:r w:rsidR="00FB3A1B">
        <w:t xml:space="preserve"> </w:t>
      </w:r>
      <w:r w:rsidRPr="005A1762">
        <w:t>set. Therefore, the are no adequate data on safety in children aged &lt; 7 years, patients aged &gt; 60 years, pregnant women, patients from different racial groups, patients with hepatic, renal or cardiovascular disease, or patients concomitantly treated with rFXIII and other medicines. There were nonclinical data suggesting a synergistic effect between</w:t>
      </w:r>
      <w:r w:rsidR="00FB3A1B">
        <w:t xml:space="preserve"> rFXIII and rFVIIa at levels 17 fold and 11 </w:t>
      </w:r>
      <w:r w:rsidRPr="005A1762">
        <w:t>fold above the recommended clinical doses, respectively, in an advanced cardiovascular model in cynomolgus monkeys where thrombosis and death occurred in 1 out o</w:t>
      </w:r>
      <w:r w:rsidR="003B51E1">
        <w:t>f 12 monkeys tested.</w:t>
      </w:r>
    </w:p>
    <w:p w:rsidR="008E7846" w:rsidRDefault="008E7846" w:rsidP="008E7846">
      <w:pPr>
        <w:pStyle w:val="Heading3"/>
      </w:pPr>
      <w:bookmarkStart w:id="108" w:name="_Toc247691523"/>
      <w:bookmarkStart w:id="109" w:name="_Toc314842507"/>
      <w:bookmarkStart w:id="110" w:name="_Toc184440295"/>
      <w:bookmarkStart w:id="111" w:name="_Toc184444673"/>
      <w:bookmarkStart w:id="112" w:name="_Toc196046503"/>
      <w:bookmarkStart w:id="113" w:name="_Toc389414014"/>
      <w:bookmarkEnd w:id="100"/>
      <w:r>
        <w:t>Clinical summary and conclusions</w:t>
      </w:r>
      <w:bookmarkEnd w:id="108"/>
      <w:bookmarkEnd w:id="109"/>
      <w:bookmarkEnd w:id="113"/>
    </w:p>
    <w:p w:rsidR="001A04EB" w:rsidRPr="001A04EB" w:rsidRDefault="001A04EB" w:rsidP="001A04EB">
      <w:pPr>
        <w:pStyle w:val="Heading4"/>
      </w:pPr>
      <w:r>
        <w:t>First round benefit-risk assessment</w:t>
      </w:r>
    </w:p>
    <w:p w:rsidR="001A04EB" w:rsidRDefault="001A04EB" w:rsidP="001A04EB">
      <w:pPr>
        <w:pStyle w:val="Heading5"/>
      </w:pPr>
      <w:bookmarkStart w:id="114" w:name="_Toc196046504"/>
      <w:bookmarkStart w:id="115" w:name="_Toc163441390"/>
      <w:bookmarkStart w:id="116" w:name="_Toc236802592"/>
      <w:bookmarkStart w:id="117" w:name="_Toc241374331"/>
      <w:bookmarkStart w:id="118" w:name="_Ref272160836"/>
      <w:bookmarkStart w:id="119" w:name="_Toc272414693"/>
      <w:bookmarkStart w:id="120" w:name="_Toc290846331"/>
      <w:bookmarkStart w:id="121" w:name="_Toc218077504"/>
      <w:bookmarkEnd w:id="110"/>
      <w:bookmarkEnd w:id="111"/>
      <w:bookmarkEnd w:id="112"/>
      <w:r>
        <w:t>First round assessment of benefits</w:t>
      </w:r>
      <w:bookmarkEnd w:id="116"/>
      <w:bookmarkEnd w:id="117"/>
      <w:bookmarkEnd w:id="118"/>
      <w:bookmarkEnd w:id="119"/>
      <w:bookmarkEnd w:id="120"/>
      <w:bookmarkEnd w:id="121"/>
    </w:p>
    <w:p w:rsidR="001A04EB" w:rsidRPr="001A04EB" w:rsidRDefault="001A04EB" w:rsidP="001A04EB">
      <w:r w:rsidRPr="001A04EB">
        <w:t>The pivotal trial (F13CD-1725) showed that rFXIII (35 IU/kg; once monthly) significantly reduced the risk of experiencing bleeding episodes req</w:t>
      </w:r>
      <w:r w:rsidR="00787269">
        <w:t xml:space="preserve">uiring treatment with FXIII </w:t>
      </w:r>
      <w:r w:rsidRPr="001A04EB">
        <w:lastRenderedPageBreak/>
        <w:t>containing products in patients (n</w:t>
      </w:r>
      <w:r w:rsidR="00787269">
        <w:t xml:space="preserve"> </w:t>
      </w:r>
      <w:r w:rsidRPr="001A04EB">
        <w:t>=</w:t>
      </w:r>
      <w:r w:rsidR="00787269">
        <w:t xml:space="preserve"> </w:t>
      </w:r>
      <w:r w:rsidRPr="001A04EB">
        <w:t>41) of</w:t>
      </w:r>
      <w:r w:rsidR="00787269">
        <w:t xml:space="preserve"> mean age 26.4 years (range: 7 to </w:t>
      </w:r>
      <w:r w:rsidRPr="001A04EB">
        <w:t>60</w:t>
      </w:r>
      <w:r w:rsidR="00787269">
        <w:t xml:space="preserve"> years</w:t>
      </w:r>
      <w:r w:rsidRPr="001A04EB">
        <w:t>) with congenital FXIII</w:t>
      </w:r>
      <w:r w:rsidR="00787269">
        <w:t xml:space="preserve"> </w:t>
      </w:r>
      <w:r w:rsidRPr="001A04EB">
        <w:t>deficiency compared with historical controls</w:t>
      </w:r>
      <w:r w:rsidR="00787269">
        <w:t xml:space="preserve">. In the pivotal study, the age </w:t>
      </w:r>
      <w:r w:rsidRPr="001A04EB">
        <w:t>adjusted rate (number per subject year) of bleeding episodes requiring treatment with a FXIII</w:t>
      </w:r>
      <w:r w:rsidR="00787269">
        <w:t xml:space="preserve"> </w:t>
      </w:r>
      <w:r w:rsidRPr="001A04EB">
        <w:t xml:space="preserve">containing product was 0.048/year (95% CI: 0.0094, 0.2501). The upper 95% CI of this rate (0.2501/year) was less than 2.91/year, which was the fixed “placebo” rate in the control group treated with a FXIII-containing product </w:t>
      </w:r>
      <w:r w:rsidR="009854A5">
        <w:t>on-demand</w:t>
      </w:r>
      <w:r w:rsidRPr="001A04EB">
        <w:t>. In the pivotal study, 5 bleeding events (all traumatic) in 4 patients required treatment with a FXIII</w:t>
      </w:r>
      <w:r w:rsidR="00787269">
        <w:t xml:space="preserve"> </w:t>
      </w:r>
      <w:r w:rsidRPr="001A04EB">
        <w:t>containing product. Of the 41 patients in the pivotal trial, 33 received all 13 planned monthly doses of rFXIII and the mean (SD) and median (range) number of doses was 11.5 (13.9</w:t>
      </w:r>
      <w:r w:rsidR="003B51E1">
        <w:t>) and 13 (2, 24), respectively.</w:t>
      </w:r>
    </w:p>
    <w:p w:rsidR="001A04EB" w:rsidRPr="001A04EB" w:rsidRDefault="001A04EB" w:rsidP="001A04EB">
      <w:r w:rsidRPr="001A04EB">
        <w:t>The interim extension data from the long</w:t>
      </w:r>
      <w:r w:rsidR="00787269">
        <w:t xml:space="preserve"> </w:t>
      </w:r>
      <w:r w:rsidRPr="001A04EB">
        <w:t>term extension trial (F13CD-3720) showed that the benefits of regular rFXIII treatment persisted following the initial 12 months of treatment. In the 33 patients (mean age 28.8 years, range 7 to 60) who completed the pivotal trial and continued in the extension trial, the age</w:t>
      </w:r>
      <w:r w:rsidR="00787269">
        <w:t xml:space="preserve"> </w:t>
      </w:r>
      <w:r w:rsidRPr="001A04EB">
        <w:t xml:space="preserve">adjusted rate (number per subject year) of bleeding episodes requiring treatment was 0.038/year (95% CI: 0.0034, 0.4355). The upper 95% CI of the observed rate in the patients in the extension trial (0.4335/year) was less than the fixed “placebo” rate of 2.91/year, and consequently the difference between the observed and control rates was statistically significant. In the extension trial, 5 bleeds (3 spontaneous. 2 traumatic) in 3 patients </w:t>
      </w:r>
      <w:r w:rsidR="00787269">
        <w:t xml:space="preserve">required treatment with a FXIII </w:t>
      </w:r>
      <w:r w:rsidRPr="001A04EB">
        <w:t>containing product. Of the 33 patients continuing treatment in the extension phase the median observation period was 359 days.</w:t>
      </w:r>
    </w:p>
    <w:p w:rsidR="001A04EB" w:rsidRPr="001A04EB" w:rsidRDefault="001A04EB" w:rsidP="001A04EB">
      <w:r w:rsidRPr="001A04EB">
        <w:t>In the pivotal study, age was a statistically significant covariate (p</w:t>
      </w:r>
      <w:r w:rsidR="00787269">
        <w:t xml:space="preserve"> </w:t>
      </w:r>
      <w:r w:rsidRPr="001A04EB">
        <w:t>=</w:t>
      </w:r>
      <w:r w:rsidR="00787269">
        <w:t xml:space="preserve"> </w:t>
      </w:r>
      <w:r w:rsidRPr="001A04EB">
        <w:t>0.022) for the rate (number per subject year) of bleeding episodes requiring treatment with FXIII</w:t>
      </w:r>
      <w:r w:rsidR="00787269">
        <w:t xml:space="preserve"> </w:t>
      </w:r>
      <w:r w:rsidRPr="001A04EB">
        <w:t>containing products, and the subgroup comparison based on age suggested that patients aged &lt; 18 years were at a greater risk of bleeding requiring treatment with a FXIII</w:t>
      </w:r>
      <w:r w:rsidR="00787269">
        <w:t xml:space="preserve"> </w:t>
      </w:r>
      <w:r w:rsidRPr="001A04EB">
        <w:t>containing product than patients aged ≥ 18 years. However, in the extension study age was not found to be a statistically significant covariate, but the number of bleeding events requiring treatment with FXIII</w:t>
      </w:r>
      <w:r w:rsidR="00787269">
        <w:t xml:space="preserve"> </w:t>
      </w:r>
      <w:r w:rsidRPr="001A04EB">
        <w:t>containing products was too small to allow a meaningful comparison to be made between pat</w:t>
      </w:r>
      <w:r w:rsidR="001A080E">
        <w:t>ients aged &lt; 18 and ≥ 18 years.</w:t>
      </w:r>
    </w:p>
    <w:p w:rsidR="001A04EB" w:rsidRPr="001A04EB" w:rsidRDefault="001A04EB" w:rsidP="001A04EB">
      <w:r w:rsidRPr="001A04EB">
        <w:t>In the pivotal and extension studies, in the monthly treatment cycle (28</w:t>
      </w:r>
      <w:r w:rsidR="00787269">
        <w:t xml:space="preserve"> </w:t>
      </w:r>
      <w:r w:rsidRPr="001A04EB">
        <w:t>±</w:t>
      </w:r>
      <w:r w:rsidR="00787269">
        <w:t xml:space="preserve"> </w:t>
      </w:r>
      <w:r w:rsidRPr="001A04EB">
        <w:t>2 days) bleeding episodes requiring treatment with FXIII</w:t>
      </w:r>
      <w:r w:rsidR="00787269">
        <w:t xml:space="preserve"> </w:t>
      </w:r>
      <w:r w:rsidRPr="001A04EB">
        <w:t>containing products occurred more frequently ≥ 15 days after dosing (7 bleeds) compared with &lt; 15 days after dosing (3 bleeds). However, the observed association might be confounded by investigators being unblinded to the date of rFXIII administration.</w:t>
      </w:r>
    </w:p>
    <w:p w:rsidR="001A04EB" w:rsidRPr="001A04EB" w:rsidRDefault="001A04EB" w:rsidP="001A04EB">
      <w:r w:rsidRPr="001A04EB">
        <w:t>The submission did not adequately characteri</w:t>
      </w:r>
      <w:r w:rsidR="004D6BA6">
        <w:t>s</w:t>
      </w:r>
      <w:r w:rsidRPr="001A04EB">
        <w:t>e the benefits of regular treatment with rFXIII in preventing all bleeding episodes, irrespective of whether treatment with FXIII-containing products was required. The crude bleeding rates (all) in the pivotal and extension studies were 1.4 bleeds/patient and 0.6 bleeds/patient, but no data could be identified for estimated yearly rates. The sponsor stated that the yearly rate of treatment-requiring bleeding was 0.3/year in historical control patients (n</w:t>
      </w:r>
      <w:r w:rsidR="004D6BA6">
        <w:t xml:space="preserve"> </w:t>
      </w:r>
      <w:r w:rsidRPr="001A04EB">
        <w:t>=</w:t>
      </w:r>
      <w:r w:rsidR="004D6BA6">
        <w:t xml:space="preserve"> </w:t>
      </w:r>
      <w:r w:rsidRPr="001A04EB">
        <w:t>60) treated with regular FXIII-containing product, and that the corresponding rate in patients from the pivotal study of 0.048/year (95% CI: 0.0094, 0.2501) was similar to, or lower than the historical control rate. However, the data from the historical control study (F13CD-Quest) suggests that the figure of 0.3 bleeds/year relates to all bleeds, irrespective of whether treatment with FXIII-containing products was required.</w:t>
      </w:r>
    </w:p>
    <w:p w:rsidR="001A04EB" w:rsidRDefault="001A04EB" w:rsidP="001A04EB">
      <w:pPr>
        <w:pStyle w:val="Heading5"/>
      </w:pPr>
      <w:bookmarkStart w:id="122" w:name="_Toc236802596"/>
      <w:bookmarkStart w:id="123" w:name="_Toc241374334"/>
      <w:bookmarkStart w:id="124" w:name="_Ref272160964"/>
      <w:bookmarkStart w:id="125" w:name="_Toc272414694"/>
      <w:bookmarkStart w:id="126" w:name="_Toc290846332"/>
      <w:bookmarkStart w:id="127" w:name="_Toc218077505"/>
      <w:r>
        <w:t>First round assessment of risks</w:t>
      </w:r>
      <w:bookmarkEnd w:id="122"/>
      <w:bookmarkEnd w:id="123"/>
      <w:bookmarkEnd w:id="124"/>
      <w:bookmarkEnd w:id="125"/>
      <w:bookmarkEnd w:id="126"/>
      <w:bookmarkEnd w:id="127"/>
    </w:p>
    <w:p w:rsidR="001A04EB" w:rsidRPr="001A04EB" w:rsidRDefault="004D6BA6" w:rsidP="001A04EB">
      <w:r>
        <w:t>The Phase III</w:t>
      </w:r>
      <w:r w:rsidR="001A04EB" w:rsidRPr="001A04EB">
        <w:t xml:space="preserve"> pivotal and extensions studies are considered to have satisfactorily established the safety of rFXIII for the regular (once monthly) treatment of congenital rFXIII deficiency. The most commonly reported AEs occurring in ≥ 10% of patients in the pooled safety data</w:t>
      </w:r>
      <w:r>
        <w:t xml:space="preserve"> </w:t>
      </w:r>
      <w:r w:rsidR="001A04EB" w:rsidRPr="001A04EB">
        <w:t>set from the pivotal and extension studies (n</w:t>
      </w:r>
      <w:r>
        <w:t xml:space="preserve"> </w:t>
      </w:r>
      <w:r w:rsidR="001A04EB" w:rsidRPr="001A04EB">
        <w:t>=</w:t>
      </w:r>
      <w:r>
        <w:t xml:space="preserve"> </w:t>
      </w:r>
      <w:r w:rsidR="001A04EB" w:rsidRPr="001A04EB">
        <w:t xml:space="preserve">41) in diminishing order of frequency were: headache (31.7%); nasopharyngitis (26.8%); pyrexia (19.5%); arthralgia (17.1%); pain in extremity (17.1%); nasal congestion (17.1%); oropharyngeal </w:t>
      </w:r>
      <w:r w:rsidR="001A04EB" w:rsidRPr="001A04EB">
        <w:lastRenderedPageBreak/>
        <w:t>pain (17.1%); excoriation (12.2%); incorrect dose administered (12.2%); and joint sprain (12.2%). No thromboembolic events had been reported in the pivotal and extension trials at the date of data cut</w:t>
      </w:r>
      <w:r>
        <w:t xml:space="preserve"> </w:t>
      </w:r>
      <w:r w:rsidR="001A080E">
        <w:t>off.</w:t>
      </w:r>
    </w:p>
    <w:p w:rsidR="001A04EB" w:rsidRPr="001A04EB" w:rsidRDefault="001A04EB" w:rsidP="001A04EB">
      <w:r w:rsidRPr="001A04EB">
        <w:t>The</w:t>
      </w:r>
      <w:r w:rsidR="004D6BA6">
        <w:t>re were no deaths in the Phase III</w:t>
      </w:r>
      <w:r w:rsidRPr="001A04EB">
        <w:t xml:space="preserve"> pivotal and extension studies. There were a total of 10 SAEs recorded in 7 patients, and except for 3 SAEs of non</w:t>
      </w:r>
      <w:r w:rsidR="004D6BA6">
        <w:t xml:space="preserve"> </w:t>
      </w:r>
      <w:r w:rsidRPr="001A04EB">
        <w:t>neutrali</w:t>
      </w:r>
      <w:r w:rsidR="004D6BA6">
        <w:t>s</w:t>
      </w:r>
      <w:r w:rsidRPr="001A04EB">
        <w:t>ing anti</w:t>
      </w:r>
      <w:r w:rsidR="004D6BA6">
        <w:t xml:space="preserve"> </w:t>
      </w:r>
      <w:r w:rsidRPr="001A04EB">
        <w:t xml:space="preserve">rFXIII antibodies, all events were evaluated by the investigator as being unlikely to be related to rFXIII. The 10 SAEs were: </w:t>
      </w:r>
      <w:r w:rsidR="004D6BA6">
        <w:t>3 antibody positive events (1 probably related, 2</w:t>
      </w:r>
      <w:r w:rsidRPr="001A04EB">
        <w:t xml:space="preserve"> possibly related)</w:t>
      </w:r>
      <w:r w:rsidR="004D6BA6">
        <w:t>, 1 diverticulitis, 1</w:t>
      </w:r>
      <w:r w:rsidRPr="001A04EB">
        <w:t xml:space="preserve"> non</w:t>
      </w:r>
      <w:r w:rsidR="004D6BA6">
        <w:t xml:space="preserve"> </w:t>
      </w:r>
      <w:r w:rsidRPr="001A04EB">
        <w:t xml:space="preserve">cardiac chest </w:t>
      </w:r>
      <w:r w:rsidR="004D6BA6">
        <w:t>pain, 1 headache, 1 carpal tunnel syndrome,</w:t>
      </w:r>
      <w:r w:rsidRPr="001A04EB">
        <w:t xml:space="preserve"> 1 </w:t>
      </w:r>
      <w:r w:rsidR="004D6BA6">
        <w:t xml:space="preserve">road traffic accident, 1 </w:t>
      </w:r>
      <w:r w:rsidRPr="001A04EB">
        <w:t>s</w:t>
      </w:r>
      <w:r w:rsidR="004D6BA6">
        <w:t>mall intestinal obstruction, 1</w:t>
      </w:r>
      <w:r w:rsidRPr="001A04EB">
        <w:t xml:space="preserve"> skin laceration. Discontinuation from the studies due to AEs occurred in 4 (9.8%) patients, all from the pivotal study. The premature discontinuations were due the presence of non</w:t>
      </w:r>
      <w:r w:rsidR="004D6BA6">
        <w:t xml:space="preserve"> </w:t>
      </w:r>
      <w:r w:rsidRPr="001A04EB">
        <w:t>neutralizing anti</w:t>
      </w:r>
      <w:r w:rsidR="004D6BA6">
        <w:t xml:space="preserve"> </w:t>
      </w:r>
      <w:r w:rsidRPr="001A04EB">
        <w:t>rFXIII antibodies in 3 patients, and worsening leukopen</w:t>
      </w:r>
      <w:r w:rsidR="001A080E">
        <w:t>ia and neutropenia in1 patients.</w:t>
      </w:r>
    </w:p>
    <w:p w:rsidR="001A04EB" w:rsidRPr="001A04EB" w:rsidRDefault="001A04EB" w:rsidP="001A04EB">
      <w:r w:rsidRPr="001A04EB">
        <w:t xml:space="preserve">In the pivotal Phase </w:t>
      </w:r>
      <w:r w:rsidR="005D628A">
        <w:t>III</w:t>
      </w:r>
      <w:r w:rsidRPr="001A04EB">
        <w:t xml:space="preserve"> study, </w:t>
      </w:r>
      <w:r w:rsidR="005D628A">
        <w:t xml:space="preserve">a total of </w:t>
      </w:r>
      <w:r w:rsidRPr="001A04EB">
        <w:t>4 patients developed transient, low</w:t>
      </w:r>
      <w:r w:rsidR="005D628A">
        <w:t xml:space="preserve"> titre and non </w:t>
      </w:r>
      <w:r w:rsidRPr="001A04EB">
        <w:t>neutrali</w:t>
      </w:r>
      <w:r w:rsidR="005D628A">
        <w:t xml:space="preserve">sing anti </w:t>
      </w:r>
      <w:r w:rsidRPr="001A04EB">
        <w:t xml:space="preserve">rFXIII antibodies (titre = 2.3 to 2.6; lowest level of quantification = 2.0). No anaphylactic or allergic reactions, bleeding episodes or changes in </w:t>
      </w:r>
      <w:r w:rsidR="001C3720">
        <w:t>PK</w:t>
      </w:r>
      <w:r w:rsidRPr="001A04EB">
        <w:t xml:space="preserve"> were observed in any of the patients at any time during the presence of the non</w:t>
      </w:r>
      <w:r w:rsidR="005D628A">
        <w:t xml:space="preserve"> </w:t>
      </w:r>
      <w:r w:rsidRPr="001A04EB">
        <w:t>neutrali</w:t>
      </w:r>
      <w:r w:rsidR="005D628A">
        <w:t>s</w:t>
      </w:r>
      <w:r w:rsidRPr="001A04EB">
        <w:t>ing antibodies or during the follow</w:t>
      </w:r>
      <w:r w:rsidR="005D628A">
        <w:t xml:space="preserve"> </w:t>
      </w:r>
      <w:r w:rsidRPr="001A04EB">
        <w:t>up period. Furthermore, the antibodies declined below the limit of detection in 2 patients despite repeated exposure to rFXIII and in 2 patients following exposure to other FXIII</w:t>
      </w:r>
      <w:r w:rsidR="005D628A">
        <w:t xml:space="preserve"> </w:t>
      </w:r>
      <w:r w:rsidRPr="001A04EB">
        <w:t>containing products. No testing for anti</w:t>
      </w:r>
      <w:r w:rsidR="005D628A">
        <w:t xml:space="preserve"> </w:t>
      </w:r>
      <w:r w:rsidRPr="001A04EB">
        <w:t>yeast antibodies was undertaken in the pivotal or extension studies.</w:t>
      </w:r>
    </w:p>
    <w:p w:rsidR="001A04EB" w:rsidRPr="001A04EB" w:rsidRDefault="001A04EB" w:rsidP="001A04EB">
      <w:r w:rsidRPr="001A04EB">
        <w:t>In both the pivotal and extension studies, haematological, biochemical, and urinalysis parameters were assessed at local laboratories and coagulation parameters were assessed at a central laboratory. The clinical laboratory parameters were measured at screening, baseline, post</w:t>
      </w:r>
      <w:r w:rsidR="005D628A">
        <w:t xml:space="preserve"> </w:t>
      </w:r>
      <w:r w:rsidRPr="001A04EB">
        <w:t xml:space="preserve">dose </w:t>
      </w:r>
      <w:r w:rsidR="005D628A">
        <w:t xml:space="preserve">Weeks 2 and 4, and then post </w:t>
      </w:r>
      <w:r w:rsidRPr="001A04EB">
        <w:t>dose every 4 weeks until the end of the study. There were no noteworthy changes in any of the assessed laboratory parameters during treatment with rFXIII. However, considerable variation in D</w:t>
      </w:r>
      <w:r w:rsidR="005D628A">
        <w:t xml:space="preserve"> </w:t>
      </w:r>
      <w:r w:rsidRPr="001A04EB">
        <w:t>dimer levels was observed over the course of the studies. The sponsor speculates that individual D</w:t>
      </w:r>
      <w:r w:rsidR="005D628A">
        <w:t xml:space="preserve"> </w:t>
      </w:r>
      <w:r w:rsidRPr="001A04EB">
        <w:t>dimer outliers may have been caused by inappropriate sampling handling at some study centres, but no data were provided to support this argument. There were no noteworthy changes in vital signs or physical examination in patients in the studies during treatment with rFXIII.</w:t>
      </w:r>
    </w:p>
    <w:p w:rsidR="001A04EB" w:rsidRPr="001A04EB" w:rsidRDefault="001A04EB" w:rsidP="001A04EB">
      <w:r w:rsidRPr="001A04EB">
        <w:t>There was no evidence of hepatic, renal, haematological or cardiovascular toxicity in the pivotal and extension studies, nor were there reports of serious skin reactions occurring in these two studies. The safety of rFXIII in special populations was not investigated due to the small number of patients with congenital FXIII deficiency in the safety data</w:t>
      </w:r>
      <w:r w:rsidR="005D628A">
        <w:t xml:space="preserve"> </w:t>
      </w:r>
      <w:r w:rsidRPr="001A04EB">
        <w:t>set.</w:t>
      </w:r>
      <w:r w:rsidR="00CD52B1">
        <w:t xml:space="preserve"> </w:t>
      </w:r>
      <w:r w:rsidRPr="001A04EB">
        <w:t>Therefore, the are no data adequate on safety in</w:t>
      </w:r>
      <w:r w:rsidR="005D628A">
        <w:t xml:space="preserve"> the following groups:</w:t>
      </w:r>
      <w:r w:rsidRPr="001A04EB">
        <w:t xml:space="preserve"> children aged &lt; 7 years</w:t>
      </w:r>
      <w:r w:rsidR="005D628A">
        <w:t>;</w:t>
      </w:r>
      <w:r w:rsidRPr="001A04EB">
        <w:t xml:space="preserve"> patients aged &gt; 60 years</w:t>
      </w:r>
      <w:r w:rsidR="005D628A">
        <w:t>;</w:t>
      </w:r>
      <w:r w:rsidRPr="001A04EB">
        <w:t xml:space="preserve"> pregnant women</w:t>
      </w:r>
      <w:r w:rsidR="005D628A">
        <w:t>;</w:t>
      </w:r>
      <w:r w:rsidRPr="001A04EB">
        <w:t xml:space="preserve"> patients from different racial groups</w:t>
      </w:r>
      <w:r w:rsidR="005D628A">
        <w:t>;</w:t>
      </w:r>
      <w:r w:rsidRPr="001A04EB">
        <w:t xml:space="preserve"> patients with hepatic, renal or cardiovascular disease</w:t>
      </w:r>
      <w:r w:rsidR="005D628A">
        <w:t>;</w:t>
      </w:r>
      <w:r w:rsidRPr="001A04EB">
        <w:t xml:space="preserve"> or patients being treated with rFXIII in co</w:t>
      </w:r>
      <w:r w:rsidR="001A080E">
        <w:t>mbination with other medicines.</w:t>
      </w:r>
    </w:p>
    <w:p w:rsidR="001A04EB" w:rsidRDefault="001A04EB" w:rsidP="001A04EB">
      <w:pPr>
        <w:pStyle w:val="Heading5"/>
      </w:pPr>
      <w:bookmarkStart w:id="128" w:name="_Toc218077506"/>
      <w:r>
        <w:t>First round assessment of benefit-risk balance</w:t>
      </w:r>
      <w:bookmarkEnd w:id="128"/>
    </w:p>
    <w:p w:rsidR="001A04EB" w:rsidRDefault="001A04EB" w:rsidP="001A04EB">
      <w:r w:rsidRPr="001A04EB">
        <w:t>The benefit-risk balance of rFXIII for routine prophylaxis of bleeding in patients with congenital FXIII deficiency aged 7 years and above is favourable. However, while the submission has satisfactorily demonstrated that regular treatment with rFXIII significantly reduces the risk of bleeding events requiring treatment with FXIII-containing products, the effect of rFXIII on reducing the risk of all bleeding events is</w:t>
      </w:r>
      <w:r>
        <w:t xml:space="preserve"> unclear.</w:t>
      </w:r>
    </w:p>
    <w:p w:rsidR="001A04EB" w:rsidRDefault="001A04EB" w:rsidP="001A04EB">
      <w:pPr>
        <w:pStyle w:val="Heading4"/>
      </w:pPr>
      <w:r>
        <w:t>First round recommendation regarding authorisation</w:t>
      </w:r>
    </w:p>
    <w:p w:rsidR="001A04EB" w:rsidRDefault="001A04EB" w:rsidP="001A04EB">
      <w:r w:rsidRPr="001A04EB">
        <w:t xml:space="preserve">It is recommended that NovoThirteen be approved for routine prophylaxis of bleeding in patients aged 7 years and above with congenital FXIII A-subunit deficiency. However, the recommendation for approval is subject to satisfactory resolution of the issue relating to the incidence of all bleeding events in patients treated with rFXIII compared with </w:t>
      </w:r>
      <w:r w:rsidRPr="001A04EB">
        <w:lastRenderedPageBreak/>
        <w:t>historical control subjects treated with regular FXIII</w:t>
      </w:r>
      <w:r w:rsidR="008171FB">
        <w:t xml:space="preserve"> </w:t>
      </w:r>
      <w:r w:rsidRPr="001A04EB">
        <w:t>containing products (F13CD-Quest). It is recommended that approval be limited to patients aged 7 years and above due to the absence of adequate data in p</w:t>
      </w:r>
      <w:r w:rsidR="001A080E">
        <w:t>atients aged less than 7 years.</w:t>
      </w:r>
    </w:p>
    <w:p w:rsidR="001A04EB" w:rsidRDefault="001A04EB" w:rsidP="001A04EB">
      <w:pPr>
        <w:pStyle w:val="Heading3"/>
      </w:pPr>
      <w:bookmarkStart w:id="129" w:name="_Toc255919423"/>
      <w:bookmarkStart w:id="130" w:name="_Toc241374329"/>
      <w:bookmarkStart w:id="131" w:name="_Toc270320087"/>
      <w:bookmarkStart w:id="132" w:name="_Toc314842506"/>
      <w:bookmarkStart w:id="133" w:name="_Toc389414015"/>
      <w:r>
        <w:t>List of questions</w:t>
      </w:r>
      <w:bookmarkEnd w:id="129"/>
      <w:bookmarkEnd w:id="130"/>
      <w:bookmarkEnd w:id="131"/>
      <w:bookmarkEnd w:id="132"/>
      <w:bookmarkEnd w:id="133"/>
    </w:p>
    <w:p w:rsidR="00C94B40" w:rsidRPr="00C94B40" w:rsidRDefault="00C94B40" w:rsidP="00C94B40">
      <w:pPr>
        <w:pStyle w:val="Heading4"/>
      </w:pPr>
      <w:bookmarkStart w:id="134" w:name="_Toc218077514"/>
      <w:r w:rsidRPr="00C94B40">
        <w:t>General issue</w:t>
      </w:r>
      <w:bookmarkEnd w:id="134"/>
    </w:p>
    <w:p w:rsidR="00CC7BE6" w:rsidRDefault="00CC7BE6" w:rsidP="00CC7BE6">
      <w:pPr>
        <w:pStyle w:val="Heading5"/>
      </w:pPr>
      <w:r>
        <w:t>Question 1</w:t>
      </w:r>
    </w:p>
    <w:p w:rsidR="00C94B40" w:rsidRPr="00C94B40" w:rsidRDefault="00C94B40" w:rsidP="00C94B40">
      <w:r w:rsidRPr="00C94B40">
        <w:t>In a press release dated 23 December 2011, Novo Nordisk (US) indicated that it had received a Complete Response Letter from the FDA informing the company that the agency had completed its review of the application and will require additional information prior to considering the product for approval. Please provide a copy of the FDA’s Complete Response Letter to Novo Nordisk (US) identifying the additional information required by that agency, and provide information relating to the steps that the company has taken to address the iss</w:t>
      </w:r>
      <w:r w:rsidR="001A080E">
        <w:t>ues raised in the FDA’s letter.</w:t>
      </w:r>
    </w:p>
    <w:p w:rsidR="00C94B40" w:rsidRPr="00C94B40" w:rsidRDefault="00C94B40" w:rsidP="00C94B40">
      <w:pPr>
        <w:pStyle w:val="Heading4"/>
      </w:pPr>
      <w:bookmarkStart w:id="135" w:name="_Toc272414702"/>
      <w:bookmarkStart w:id="136" w:name="_Toc290846342"/>
      <w:bookmarkStart w:id="137" w:name="_Toc218077515"/>
      <w:r w:rsidRPr="00C94B40">
        <w:t>Pharmacokinetics</w:t>
      </w:r>
      <w:bookmarkEnd w:id="135"/>
      <w:bookmarkEnd w:id="136"/>
      <w:bookmarkEnd w:id="137"/>
    </w:p>
    <w:p w:rsidR="004A3E06" w:rsidRDefault="004A3E06" w:rsidP="004A3E06">
      <w:pPr>
        <w:pStyle w:val="Heading5"/>
      </w:pPr>
      <w:r>
        <w:t xml:space="preserve">Question </w:t>
      </w:r>
      <w:r w:rsidR="00F668D4">
        <w:t>2</w:t>
      </w:r>
    </w:p>
    <w:p w:rsidR="00C94B40" w:rsidRPr="00C94B40" w:rsidRDefault="00C94B40" w:rsidP="00C94B40">
      <w:r w:rsidRPr="00C94B40">
        <w:t xml:space="preserve">In </w:t>
      </w:r>
      <w:r w:rsidR="00DF6FCA">
        <w:t>S</w:t>
      </w:r>
      <w:r w:rsidRPr="00C94B40">
        <w:t>tudy NN1841-3788, please account for the difference between the pooled results (97 exposures) for the FXIII activity at 30 m</w:t>
      </w:r>
      <w:r w:rsidR="00DF6FCA">
        <w:t>inutes given in Table 11-2 (for example</w:t>
      </w:r>
      <w:r w:rsidRPr="00C94B40">
        <w:t>, geometric mean = 0.</w:t>
      </w:r>
      <w:r w:rsidR="00A714B8">
        <w:t>85 IU/mL) and Table 14.2.2 (</w:t>
      </w:r>
      <w:r w:rsidR="001A080E">
        <w:t>geometric mean = 0.87 IU/mL).</w:t>
      </w:r>
    </w:p>
    <w:p w:rsidR="00C94B40" w:rsidRPr="001A080E" w:rsidRDefault="00C94B40" w:rsidP="00C94B40">
      <w:pPr>
        <w:pStyle w:val="Heading4"/>
        <w:rPr>
          <w:lang w:val="en-AU"/>
        </w:rPr>
      </w:pPr>
      <w:bookmarkStart w:id="138" w:name="_Toc218077516"/>
      <w:r w:rsidRPr="00C94B40">
        <w:t>Pharmacodynamics</w:t>
      </w:r>
      <w:bookmarkEnd w:id="138"/>
    </w:p>
    <w:p w:rsidR="00C94B40" w:rsidRPr="00C94B40" w:rsidRDefault="001A080E" w:rsidP="00C94B40">
      <w:r>
        <w:t>No questions.</w:t>
      </w:r>
    </w:p>
    <w:p w:rsidR="00C94B40" w:rsidRPr="00C94B40" w:rsidRDefault="00C94B40" w:rsidP="00C94B40">
      <w:pPr>
        <w:pStyle w:val="Heading4"/>
      </w:pPr>
      <w:bookmarkStart w:id="139" w:name="_Toc272414704"/>
      <w:bookmarkStart w:id="140" w:name="_Toc290846344"/>
      <w:bookmarkStart w:id="141" w:name="_Toc218077517"/>
      <w:r w:rsidRPr="00C94B40">
        <w:t>Efficacy</w:t>
      </w:r>
      <w:bookmarkEnd w:id="139"/>
      <w:bookmarkEnd w:id="140"/>
      <w:bookmarkEnd w:id="141"/>
    </w:p>
    <w:p w:rsidR="004A3E06" w:rsidRDefault="004A3E06" w:rsidP="004A3E06">
      <w:pPr>
        <w:pStyle w:val="Heading5"/>
      </w:pPr>
      <w:r>
        <w:t xml:space="preserve">Question </w:t>
      </w:r>
      <w:r w:rsidR="00F668D4">
        <w:t>3</w:t>
      </w:r>
    </w:p>
    <w:p w:rsidR="00C94B40" w:rsidRPr="00C94B40" w:rsidRDefault="00C94B40" w:rsidP="00C94B40">
      <w:r w:rsidRPr="00C94B40">
        <w:t xml:space="preserve">The submission included no clinical dose ranging studies in patients with congenital FXIII deficiency. Therefore, please explain the rationale for selecting the dose of 35 IU/kg administered once monthly used in the pivotal Phase </w:t>
      </w:r>
      <w:r w:rsidR="00B144D8">
        <w:t>III</w:t>
      </w:r>
      <w:r w:rsidR="001A080E">
        <w:t xml:space="preserve"> study (F13CD-1725).</w:t>
      </w:r>
    </w:p>
    <w:p w:rsidR="004A3E06" w:rsidRDefault="004A3E06" w:rsidP="004A3E06">
      <w:pPr>
        <w:pStyle w:val="Heading5"/>
      </w:pPr>
      <w:r>
        <w:t xml:space="preserve">Question </w:t>
      </w:r>
      <w:r w:rsidR="00F668D4">
        <w:t>4</w:t>
      </w:r>
    </w:p>
    <w:p w:rsidR="00C94B40" w:rsidRPr="00C94B40" w:rsidRDefault="00C94B40" w:rsidP="00C94B40">
      <w:r w:rsidRPr="00C94B40">
        <w:t xml:space="preserve">In the pivotal Phase </w:t>
      </w:r>
      <w:r w:rsidR="00B144D8">
        <w:t>III</w:t>
      </w:r>
      <w:r w:rsidRPr="00C94B40">
        <w:t xml:space="preserve"> study (F13CD-1725) and Phase </w:t>
      </w:r>
      <w:r w:rsidR="00B144D8">
        <w:t>III</w:t>
      </w:r>
      <w:r w:rsidRPr="00C94B40">
        <w:t xml:space="preserve"> extension study (F13CD-3720), FXIII</w:t>
      </w:r>
      <w:r w:rsidR="00B144D8">
        <w:t xml:space="preserve"> </w:t>
      </w:r>
      <w:r w:rsidRPr="00C94B40">
        <w:t>containing products were used for treatment</w:t>
      </w:r>
      <w:r w:rsidR="005A4EDC">
        <w:t xml:space="preserve"> </w:t>
      </w:r>
      <w:r w:rsidRPr="00C94B40">
        <w:t>requiring bleeds during the rFXIII treatment period. Please explain why additional doses of rFXIII were not used for these bleeding episodes rather than FXIII</w:t>
      </w:r>
      <w:r w:rsidR="00B144D8">
        <w:t xml:space="preserve"> </w:t>
      </w:r>
      <w:r w:rsidR="001A080E">
        <w:t>containing products.</w:t>
      </w:r>
    </w:p>
    <w:p w:rsidR="004A3E06" w:rsidRDefault="004A3E06" w:rsidP="004A3E06">
      <w:pPr>
        <w:pStyle w:val="Heading5"/>
      </w:pPr>
      <w:r>
        <w:t xml:space="preserve">Question </w:t>
      </w:r>
      <w:r w:rsidR="00F668D4">
        <w:t>5</w:t>
      </w:r>
    </w:p>
    <w:p w:rsidR="00C94B40" w:rsidRPr="00C94B40" w:rsidRDefault="00C94B40" w:rsidP="00C94B40">
      <w:r w:rsidRPr="00C94B40">
        <w:t xml:space="preserve">In the pivotal Phase </w:t>
      </w:r>
      <w:r w:rsidR="00B144D8">
        <w:t>III</w:t>
      </w:r>
      <w:r w:rsidRPr="00C94B40">
        <w:t xml:space="preserve"> study (F13CD-1725), the screening visit (Visit 1) was planned 4 weeks (± 2 days) before the baseline visit (Visit 2). For subjects treated with regular replacement therapy before entering the trial, the screening visit was scheduled to be the same day as the subject was scheduled for administration of their usual FXIII</w:t>
      </w:r>
      <w:r w:rsidR="00B144D8">
        <w:t xml:space="preserve"> </w:t>
      </w:r>
      <w:r w:rsidRPr="00C94B40">
        <w:t>containing product.</w:t>
      </w:r>
      <w:r w:rsidR="00CD52B1">
        <w:t xml:space="preserve"> </w:t>
      </w:r>
      <w:r w:rsidRPr="00C94B40">
        <w:t>Therefore, based on a half</w:t>
      </w:r>
      <w:r w:rsidR="00B144D8">
        <w:t xml:space="preserve"> </w:t>
      </w:r>
      <w:r w:rsidRPr="00C94B40">
        <w:t>life of approximately 11 days, the “wash</w:t>
      </w:r>
      <w:r w:rsidR="00B144D8">
        <w:t xml:space="preserve"> </w:t>
      </w:r>
      <w:r w:rsidRPr="00C94B40">
        <w:t>out period” of 4 weeks (± 2 days) may have been too short to ensur</w:t>
      </w:r>
      <w:r w:rsidR="00B144D8">
        <w:t xml:space="preserve">e complete elimination of FXIII </w:t>
      </w:r>
      <w:r w:rsidRPr="00C94B40">
        <w:t>containing product prior to the first dose of rFXIII administered at the baseline visit, and a carry</w:t>
      </w:r>
      <w:r w:rsidR="00B144D8">
        <w:t xml:space="preserve"> </w:t>
      </w:r>
      <w:r w:rsidRPr="00C94B40">
        <w:t>over effect might have been present between the first and second doses in the first month of treatment. The EMA assessment report, provided in the submission, includes an analysis of bleeding rates excluding data from the first month. This analysis showed that the Poisson</w:t>
      </w:r>
      <w:r w:rsidR="00B144D8">
        <w:t xml:space="preserve"> </w:t>
      </w:r>
      <w:r w:rsidRPr="00C94B40">
        <w:t>based bleeding rate was 0.053/year (95% CI:</w:t>
      </w:r>
      <w:r w:rsidR="00B144D8">
        <w:t xml:space="preserve"> 0.010, 0.272). Was this a post </w:t>
      </w:r>
      <w:r w:rsidRPr="00C94B40">
        <w:t xml:space="preserve">hoc analysis undertaken by the sponsor at the request of the EMA? Please provide the </w:t>
      </w:r>
      <w:r w:rsidRPr="00C94B40">
        <w:lastRenderedPageBreak/>
        <w:t>results of the analysis calculated by the sponsor using the same methodology as used for the primary efficacy analysis, and comment on the likelihood of a carry</w:t>
      </w:r>
      <w:r w:rsidR="00B144D8">
        <w:t xml:space="preserve"> </w:t>
      </w:r>
      <w:r w:rsidRPr="00C94B40">
        <w:t>over effect from FXIII</w:t>
      </w:r>
      <w:r w:rsidR="00B144D8">
        <w:t xml:space="preserve"> </w:t>
      </w:r>
      <w:r w:rsidRPr="00C94B40">
        <w:t>containing product in the first month of treatment and the effect that this might have on</w:t>
      </w:r>
      <w:r w:rsidR="001A080E">
        <w:t xml:space="preserve"> the primary efficacy analysis.</w:t>
      </w:r>
    </w:p>
    <w:p w:rsidR="004A3E06" w:rsidRDefault="004A3E06" w:rsidP="004A3E06">
      <w:pPr>
        <w:pStyle w:val="Heading5"/>
      </w:pPr>
      <w:r>
        <w:t xml:space="preserve">Question </w:t>
      </w:r>
      <w:r w:rsidR="00F668D4">
        <w:t>6</w:t>
      </w:r>
    </w:p>
    <w:p w:rsidR="00C94B40" w:rsidRPr="00C94B40" w:rsidRDefault="00C94B40" w:rsidP="00C94B40">
      <w:r w:rsidRPr="00C94B40">
        <w:t xml:space="preserve">In the pivotal Phase </w:t>
      </w:r>
      <w:r w:rsidR="00B144D8">
        <w:t>III</w:t>
      </w:r>
      <w:r w:rsidRPr="00C94B40">
        <w:t xml:space="preserve"> study (F13CD-1</w:t>
      </w:r>
      <w:r w:rsidR="00B144D8">
        <w:t xml:space="preserve">725), the efficacy conclusions </w:t>
      </w:r>
      <w:r w:rsidRPr="00C94B40">
        <w:t>state “when compared with retrospectively collected data from patients with congenital FXIII deficiency, the bleeding frequency observed in the present trial was similar to or lower than the bleeding frequency for patients on regular replacement therapy (on average approximately 0.3 treatment</w:t>
      </w:r>
      <w:r w:rsidR="00B144D8">
        <w:t xml:space="preserve"> </w:t>
      </w:r>
      <w:r w:rsidRPr="00C94B40">
        <w:t>requiring bleeds/year)”. However, the data from the retrospective analysis (F13CD-QUEST) suggests that in patients on regular replacement therapy the average number of bleeds/year of 0.3 refers to all break</w:t>
      </w:r>
      <w:r w:rsidR="00B144D8">
        <w:t xml:space="preserve"> </w:t>
      </w:r>
      <w:r w:rsidRPr="00C94B40">
        <w:t>through bleeds (F13CD-Quest). Please clarify whether the 0.3/year rate quoted for F13CD-Quest relates to all bleeding events or is specific to bleeding events requiring</w:t>
      </w:r>
      <w:r w:rsidR="007B76CC">
        <w:t xml:space="preserve"> treatment with FXIII </w:t>
      </w:r>
      <w:r w:rsidRPr="00C94B40">
        <w:t>containing products.</w:t>
      </w:r>
    </w:p>
    <w:p w:rsidR="004A3E06" w:rsidRDefault="004A3E06" w:rsidP="004A3E06">
      <w:pPr>
        <w:pStyle w:val="Heading5"/>
      </w:pPr>
      <w:r>
        <w:t xml:space="preserve">Question </w:t>
      </w:r>
      <w:r w:rsidR="00F668D4">
        <w:t>7</w:t>
      </w:r>
    </w:p>
    <w:p w:rsidR="00C94B40" w:rsidRPr="00C94B40" w:rsidRDefault="000A68CA" w:rsidP="00C94B40">
      <w:r>
        <w:t>In the Phase III</w:t>
      </w:r>
      <w:r w:rsidR="00C94B40" w:rsidRPr="00C94B40">
        <w:t xml:space="preserve"> studies F13CD-1725 and F13CD-3720, what were the bleeding rates/year for all bleeding events, traumatic and spontaneous, and irrespective of whether treatment with a FXIII</w:t>
      </w:r>
      <w:r>
        <w:t xml:space="preserve"> </w:t>
      </w:r>
      <w:r w:rsidR="00C94B40" w:rsidRPr="00C94B40">
        <w:t>containing product was required?</w:t>
      </w:r>
      <w:r w:rsidR="00CD52B1">
        <w:t xml:space="preserve"> </w:t>
      </w:r>
      <w:r w:rsidR="00C94B40" w:rsidRPr="00C94B40">
        <w:t xml:space="preserve">Please compare these rates with the comparable rate from the retrospective analysis (F13CD-Quest) for the regular treatment (prophylaxis) subgroup. Please comment on the differences between the rates in the Phase </w:t>
      </w:r>
      <w:r>
        <w:t xml:space="preserve">III </w:t>
      </w:r>
      <w:r w:rsidR="00C94B40" w:rsidRPr="00C94B40">
        <w:t>trials and the rate in F13CD-Quest. In addition, please comment on the differences between the calculated rates and the rates for spontaneous bleeding during regular Fibrogammin P therapy of 0.2 events/year and 2.5 events/per year for patients not on prophylactic ther</w:t>
      </w:r>
      <w:r w:rsidR="00FC4A58">
        <w:t>apy reported by Lusher et al.</w:t>
      </w:r>
      <w:r w:rsidR="00FC4A58">
        <w:rPr>
          <w:rStyle w:val="FootnoteReference"/>
        </w:rPr>
        <w:footnoteReference w:id="16"/>
      </w:r>
      <w:r w:rsidR="00C94B40" w:rsidRPr="00C94B40">
        <w:t xml:space="preserve"> Furthermore, if the annuali</w:t>
      </w:r>
      <w:r w:rsidR="005D25F5">
        <w:t>s</w:t>
      </w:r>
      <w:r w:rsidR="00C94B40" w:rsidRPr="00C94B40">
        <w:t xml:space="preserve">ed bleeding rates (all) in the pivotal and extension studies are greater than the comparative rate in the historical control please justify why rFXIII should be approved for the treatment </w:t>
      </w:r>
      <w:r w:rsidR="001A080E">
        <w:t>of congenital FXIII deficiency.</w:t>
      </w:r>
    </w:p>
    <w:p w:rsidR="004A3E06" w:rsidRDefault="004A3E06" w:rsidP="004A3E06">
      <w:pPr>
        <w:pStyle w:val="Heading5"/>
      </w:pPr>
      <w:r>
        <w:t xml:space="preserve">Question </w:t>
      </w:r>
      <w:r w:rsidR="00F668D4">
        <w:t>8</w:t>
      </w:r>
    </w:p>
    <w:p w:rsidR="00C94B40" w:rsidRPr="00C94B40" w:rsidRDefault="00C94B40" w:rsidP="00C94B40">
      <w:r w:rsidRPr="00C94B40">
        <w:t>If the bleeding rate of 0.3/year in the historical control group treated with regular FXIII therapy is not due entirely to patients with bleeding episodes requiring treatment with FXIII</w:t>
      </w:r>
      <w:r w:rsidR="00CD1CE4">
        <w:t xml:space="preserve"> </w:t>
      </w:r>
      <w:r w:rsidRPr="00C94B40">
        <w:t>containing products, then please provide the bleeding rate for treatment</w:t>
      </w:r>
      <w:r w:rsidR="00BD5DBD">
        <w:t xml:space="preserve"> </w:t>
      </w:r>
      <w:r w:rsidRPr="00C94B40">
        <w:t>requiring e</w:t>
      </w:r>
      <w:r w:rsidR="001A080E">
        <w:t>pisodes for this patient group.</w:t>
      </w:r>
    </w:p>
    <w:p w:rsidR="00C94B40" w:rsidRPr="00C94B40" w:rsidRDefault="00C94B40" w:rsidP="00C94B40">
      <w:pPr>
        <w:pStyle w:val="Heading4"/>
      </w:pPr>
      <w:bookmarkStart w:id="142" w:name="_Toc272414705"/>
      <w:bookmarkStart w:id="143" w:name="_Toc290846345"/>
      <w:bookmarkStart w:id="144" w:name="_Toc218077518"/>
      <w:r w:rsidRPr="00C94B40">
        <w:t>Safety</w:t>
      </w:r>
      <w:bookmarkEnd w:id="142"/>
      <w:bookmarkEnd w:id="143"/>
      <w:bookmarkEnd w:id="144"/>
    </w:p>
    <w:p w:rsidR="00A06F03" w:rsidRDefault="00A06F03" w:rsidP="00A06F03">
      <w:pPr>
        <w:pStyle w:val="Heading5"/>
      </w:pPr>
      <w:r>
        <w:t xml:space="preserve">Question </w:t>
      </w:r>
      <w:r w:rsidR="00F668D4">
        <w:t>9</w:t>
      </w:r>
    </w:p>
    <w:p w:rsidR="00C94B40" w:rsidRPr="00C94B40" w:rsidRDefault="00C94B40" w:rsidP="00C94B40">
      <w:r w:rsidRPr="00C94B40">
        <w:t xml:space="preserve">In the </w:t>
      </w:r>
      <w:r w:rsidR="00067AB8">
        <w:t>Phase III</w:t>
      </w:r>
      <w:r w:rsidRPr="00C94B40">
        <w:t xml:space="preserve"> pivotal study (F13CD-1725) and the extension study (F13CD-3720), testing for ant</w:t>
      </w:r>
      <w:r w:rsidR="00D92D0E">
        <w:t xml:space="preserve">i </w:t>
      </w:r>
      <w:r w:rsidRPr="00C94B40">
        <w:t>yeast antibodies appears not to have been undertaken. Please justify why testing was not</w:t>
      </w:r>
      <w:r w:rsidR="00ED3FF8">
        <w:t xml:space="preserve"> undertaken in these two Phase III</w:t>
      </w:r>
      <w:r w:rsidRPr="00C94B40">
        <w:t xml:space="preserve"> studies</w:t>
      </w:r>
      <w:r w:rsidR="00DF2664">
        <w:t>.</w:t>
      </w:r>
    </w:p>
    <w:p w:rsidR="00A06F03" w:rsidRDefault="004A3E06" w:rsidP="00A06F03">
      <w:pPr>
        <w:pStyle w:val="Heading5"/>
      </w:pPr>
      <w:r>
        <w:t xml:space="preserve">Question </w:t>
      </w:r>
      <w:r w:rsidR="00F668D4">
        <w:t>10</w:t>
      </w:r>
    </w:p>
    <w:p w:rsidR="00C94B40" w:rsidRPr="00C94B40" w:rsidRDefault="00C94B40" w:rsidP="00C94B40">
      <w:r w:rsidRPr="00C94B40">
        <w:t>Please provide a summary of all subjects exposed to rFXIII in the clinical development program who developed anti</w:t>
      </w:r>
      <w:r w:rsidR="00067AB8">
        <w:t xml:space="preserve"> </w:t>
      </w:r>
      <w:r w:rsidRPr="00C94B40">
        <w:t>yeast antibodies. Include an es</w:t>
      </w:r>
      <w:r w:rsidR="00067AB8">
        <w:t xml:space="preserve">timate of the incidence of anti </w:t>
      </w:r>
      <w:r w:rsidRPr="00C94B40">
        <w:t>yeast antibodies</w:t>
      </w:r>
      <w:r w:rsidR="00345D18">
        <w:t xml:space="preserve"> in subjects exposed to rFXIII.</w:t>
      </w:r>
    </w:p>
    <w:p w:rsidR="001E3474" w:rsidRDefault="001E3474" w:rsidP="000C27D3">
      <w:pPr>
        <w:pStyle w:val="Heading4"/>
        <w:rPr>
          <w:lang w:val="en-US"/>
        </w:rPr>
      </w:pPr>
      <w:bookmarkStart w:id="145" w:name="_Toc234564380"/>
      <w:r>
        <w:rPr>
          <w:lang w:val="en-US"/>
        </w:rPr>
        <w:lastRenderedPageBreak/>
        <w:t>Sponsor’s response to questions</w:t>
      </w:r>
    </w:p>
    <w:bookmarkEnd w:id="145"/>
    <w:p w:rsidR="001E3474" w:rsidRPr="001E3474" w:rsidRDefault="001E3474" w:rsidP="001E3474">
      <w:r w:rsidRPr="001E3474">
        <w:t xml:space="preserve">The sponsor provided a consolidated response to the </w:t>
      </w:r>
      <w:r w:rsidR="00AD6DC2" w:rsidRPr="001E3474">
        <w:t xml:space="preserve">Section </w:t>
      </w:r>
      <w:r w:rsidRPr="001E3474">
        <w:t>31 questions raised by the TGA following the first round evaluat</w:t>
      </w:r>
      <w:r w:rsidR="004B052C">
        <w:t xml:space="preserve">ion of the submission. The </w:t>
      </w:r>
      <w:r w:rsidR="00AD6DC2" w:rsidRPr="001E3474">
        <w:t xml:space="preserve">Section </w:t>
      </w:r>
      <w:r w:rsidR="004B052C">
        <w:t>31 r</w:t>
      </w:r>
      <w:r w:rsidRPr="001E3474">
        <w:t>esponse included information addressing the clinical ques</w:t>
      </w:r>
      <w:r w:rsidR="00AD6DC2">
        <w:t>tions raised by the clinical eva</w:t>
      </w:r>
      <w:r w:rsidRPr="001E3474">
        <w:t>luator follow</w:t>
      </w:r>
      <w:r w:rsidR="00345D18">
        <w:t>ing the first round evaluation.</w:t>
      </w:r>
    </w:p>
    <w:p w:rsidR="001E3474" w:rsidRPr="001E3474" w:rsidRDefault="001E3474" w:rsidP="001E3474">
      <w:r w:rsidRPr="001E3474">
        <w:t>The clinical information included a new completed clinical report from the paediatric trial F13CD-3760 in children (n</w:t>
      </w:r>
      <w:r w:rsidR="004B052C">
        <w:t xml:space="preserve"> </w:t>
      </w:r>
      <w:r w:rsidRPr="001E3474">
        <w:t>=</w:t>
      </w:r>
      <w:r w:rsidR="004B052C">
        <w:t xml:space="preserve"> </w:t>
      </w:r>
      <w:r w:rsidRPr="001E3474">
        <w:t>6) aged 1 to less than 6 years. The sponsor stated that this trial was provided to address the clinical evaluator’s proposal, following the first round clinical evaluation, to restrict the indication to patients aged 7 years and above.</w:t>
      </w:r>
      <w:r w:rsidR="00CD52B1">
        <w:t xml:space="preserve"> </w:t>
      </w:r>
      <w:r w:rsidR="00574F2C">
        <w:t xml:space="preserve">The Section </w:t>
      </w:r>
      <w:r w:rsidRPr="001E3474">
        <w:t xml:space="preserve">31 </w:t>
      </w:r>
      <w:r w:rsidR="00AD6DC2">
        <w:t>r</w:t>
      </w:r>
      <w:r w:rsidRPr="001E3474">
        <w:t xml:space="preserve">esponse covering letter “acknowledges that it is not standard practice to include updates to the clinical data package at this point in the evaluation process. However, in view of the nature of the condition being treated, the absence of a registered FXIII replacement treatment in Australia and the limited size of this additional trial report, we request consideration of this additional trial report. As noted in the Section 31 response document, </w:t>
      </w:r>
      <w:r w:rsidR="00AD6DC2">
        <w:t>“</w:t>
      </w:r>
      <w:r w:rsidRPr="001E3474">
        <w:t xml:space="preserve">removing an age restriction of 7 years will extend the currently treated patient pool by only one patient in </w:t>
      </w:r>
      <w:r w:rsidR="00AD6DC2">
        <w:t>Australia.”</w:t>
      </w:r>
      <w:r w:rsidRPr="001E3474">
        <w:t xml:space="preserve"> The sponsor’s arguments regarding the submission of trial FICD-3760 at this point of the evaluation process are considered to be acceptable, and the trial has been reviewed as part of this se</w:t>
      </w:r>
      <w:r w:rsidR="00345D18">
        <w:t>cond round clinical evaluation.</w:t>
      </w:r>
    </w:p>
    <w:p w:rsidR="001E3474" w:rsidRPr="001E3474" w:rsidRDefault="001E3474" w:rsidP="001E3474">
      <w:r w:rsidRPr="001E3474">
        <w:t>The general approach</w:t>
      </w:r>
      <w:r w:rsidR="00E05E83">
        <w:t xml:space="preserve"> to evaluation of the </w:t>
      </w:r>
      <w:r w:rsidR="00E05E83" w:rsidRPr="001E3474">
        <w:t xml:space="preserve">Section </w:t>
      </w:r>
      <w:r w:rsidRPr="001E3474">
        <w:t xml:space="preserve">31 </w:t>
      </w:r>
      <w:r w:rsidR="00E05E83">
        <w:t>r</w:t>
      </w:r>
      <w:r w:rsidRPr="001E3474">
        <w:t xml:space="preserve">esponse has been to provide the question and response in full and then comment on the response. In cases where the questions and/or responses have been abridged, the clinical evaluator warrants that key information relevant to the sponsor’s </w:t>
      </w:r>
      <w:r w:rsidR="00E05E83" w:rsidRPr="001E3474">
        <w:t xml:space="preserve">Section </w:t>
      </w:r>
      <w:r w:rsidRPr="001E3474">
        <w:t xml:space="preserve">31 </w:t>
      </w:r>
      <w:r w:rsidR="00E05E83">
        <w:t>r</w:t>
      </w:r>
      <w:r w:rsidRPr="001E3474">
        <w:t>esponse has not been omitted. The complete appendices and references submitted by the sponsor have not been included in the clinical evaluation report, but relevant information from these documents have been provided in the body of the sponsor’s responses and/or the clinical evaluator</w:t>
      </w:r>
      <w:r w:rsidR="005F273B">
        <w:t>’</w:t>
      </w:r>
      <w:r w:rsidRPr="001E3474">
        <w:t>s comments on the responses and/or in the additional tables provided in the clinical evaluation report.</w:t>
      </w:r>
    </w:p>
    <w:p w:rsidR="001E3474" w:rsidRPr="001E3474" w:rsidRDefault="001E3474" w:rsidP="001E3474">
      <w:r w:rsidRPr="001E3474">
        <w:t xml:space="preserve">The first </w:t>
      </w:r>
      <w:r w:rsidR="007F3867">
        <w:t xml:space="preserve">round clinical evaluation report </w:t>
      </w:r>
      <w:r w:rsidRPr="001E3474">
        <w:t xml:space="preserve">(CER1) and second round </w:t>
      </w:r>
      <w:r w:rsidR="007F3867">
        <w:t>clinical evaluation report</w:t>
      </w:r>
      <w:r w:rsidRPr="001E3474">
        <w:t xml:space="preserve"> (CER2) for the submission are considered to be complementary and should be considered together. Bo</w:t>
      </w:r>
      <w:r w:rsidR="007F3867">
        <w:t>th CER1 and CER2</w:t>
      </w:r>
      <w:r w:rsidRPr="001E3474">
        <w:t xml:space="preserve"> have been prepared </w:t>
      </w:r>
      <w:r w:rsidR="00345D18">
        <w:t>by the same clinical evaluator.</w:t>
      </w:r>
    </w:p>
    <w:p w:rsidR="001E3474" w:rsidRDefault="001E3474" w:rsidP="001E3474">
      <w:pPr>
        <w:pStyle w:val="Heading4"/>
      </w:pPr>
      <w:bookmarkStart w:id="146" w:name="_Toc234564382"/>
      <w:r>
        <w:t xml:space="preserve">General </w:t>
      </w:r>
      <w:r w:rsidR="00345D18">
        <w:rPr>
          <w:lang w:val="en-AU"/>
        </w:rPr>
        <w:t>i</w:t>
      </w:r>
      <w:r>
        <w:t>ssue</w:t>
      </w:r>
      <w:bookmarkEnd w:id="146"/>
    </w:p>
    <w:p w:rsidR="001E3474" w:rsidRPr="00345D18" w:rsidRDefault="001E3474" w:rsidP="001E3474">
      <w:pPr>
        <w:pStyle w:val="Heading5"/>
        <w:rPr>
          <w:lang w:val="en-AU"/>
        </w:rPr>
      </w:pPr>
      <w:bookmarkStart w:id="147" w:name="_Toc234564383"/>
      <w:r>
        <w:t>Question 1</w:t>
      </w:r>
      <w:bookmarkEnd w:id="147"/>
    </w:p>
    <w:p w:rsidR="001E3474" w:rsidRPr="006F2877" w:rsidRDefault="001E3474" w:rsidP="001E3474">
      <w:pPr>
        <w:widowControl w:val="0"/>
        <w:autoSpaceDE w:val="0"/>
        <w:autoSpaceDN w:val="0"/>
        <w:adjustRightInd w:val="0"/>
        <w:rPr>
          <w:rFonts w:cs="?ˇøˆ–"/>
          <w:i/>
          <w:lang w:val="en-US"/>
        </w:rPr>
      </w:pPr>
      <w:r w:rsidRPr="006F2877">
        <w:rPr>
          <w:rFonts w:cs="?ˇøˆ–"/>
          <w:i/>
          <w:lang w:val="en-US"/>
        </w:rPr>
        <w:t>In a press release dated 23 December 2011, Novo Nordisk (US) indicated that it had received a</w:t>
      </w:r>
      <w:r>
        <w:rPr>
          <w:rFonts w:cs="?ˇøˆ–"/>
          <w:i/>
          <w:lang w:val="en-US"/>
        </w:rPr>
        <w:t xml:space="preserve"> </w:t>
      </w:r>
      <w:r w:rsidRPr="006F2877">
        <w:rPr>
          <w:rFonts w:cs="?ˇøˆ–"/>
          <w:i/>
          <w:lang w:val="en-US"/>
        </w:rPr>
        <w:t>Complete Response Letter from the FDA informing the company that the agency had completed its review of the application and will require additional information prior to considering the product for approval.</w:t>
      </w:r>
    </w:p>
    <w:p w:rsidR="001E3474" w:rsidRPr="006F2877" w:rsidRDefault="001E3474" w:rsidP="001E3474">
      <w:pPr>
        <w:widowControl w:val="0"/>
        <w:autoSpaceDE w:val="0"/>
        <w:autoSpaceDN w:val="0"/>
        <w:adjustRightInd w:val="0"/>
        <w:rPr>
          <w:rFonts w:cs="?ˇøˆ–"/>
          <w:i/>
          <w:lang w:val="en-US"/>
        </w:rPr>
      </w:pPr>
      <w:r w:rsidRPr="006F2877">
        <w:rPr>
          <w:rFonts w:cs="?ˇøˆ–"/>
          <w:i/>
          <w:lang w:val="en-US"/>
        </w:rPr>
        <w:t>Please provide a copy of the FDA's Complete Response Letter to Novo Nordisk (US) identifying the additional information required by that agency, and provide information relating to the steps that the company has taken to address the issues raised in the FDA's letter.</w:t>
      </w:r>
    </w:p>
    <w:p w:rsidR="00E90894" w:rsidRDefault="001E3474" w:rsidP="00E90894">
      <w:pPr>
        <w:pStyle w:val="Heading5"/>
      </w:pPr>
      <w:r w:rsidRPr="000B581D">
        <w:t xml:space="preserve">Sponsor’s </w:t>
      </w:r>
      <w:r w:rsidR="00345D18">
        <w:rPr>
          <w:lang w:val="en-AU"/>
        </w:rPr>
        <w:t>r</w:t>
      </w:r>
      <w:r w:rsidRPr="000B581D">
        <w:t>esponse</w:t>
      </w:r>
    </w:p>
    <w:p w:rsidR="001E3474" w:rsidRPr="00E90894" w:rsidRDefault="001E3474" w:rsidP="00E90894">
      <w:r w:rsidRPr="00E90894">
        <w:t>The FDA complete response letter of 23 December 2011</w:t>
      </w:r>
      <w:r w:rsidR="003A01F9">
        <w:t xml:space="preserve"> has been replied to</w:t>
      </w:r>
      <w:r w:rsidRPr="00E90894">
        <w:t xml:space="preserve">. A </w:t>
      </w:r>
      <w:r w:rsidR="006A1349" w:rsidRPr="006A1349">
        <w:t xml:space="preserve">Chemistry, Manufacturing and Controls </w:t>
      </w:r>
      <w:r w:rsidR="006A1349">
        <w:t>(</w:t>
      </w:r>
      <w:r w:rsidRPr="00E90894">
        <w:t>CMC</w:t>
      </w:r>
      <w:r w:rsidR="006A1349">
        <w:t>)</w:t>
      </w:r>
      <w:r w:rsidRPr="00E90894">
        <w:t xml:space="preserve"> response document </w:t>
      </w:r>
      <w:r w:rsidR="0071354E">
        <w:t>and</w:t>
      </w:r>
      <w:r w:rsidRPr="00E90894">
        <w:t xml:space="preserve"> a clinical response document have been prepared</w:t>
      </w:r>
      <w:r w:rsidR="0071354E">
        <w:t>,</w:t>
      </w:r>
      <w:r w:rsidRPr="00E90894">
        <w:t xml:space="preserve"> and Novo Nordisk responded to the complete response letter with a </w:t>
      </w:r>
      <w:r w:rsidR="0071354E" w:rsidRPr="0071354E">
        <w:t>Biologics License Application (BLA</w:t>
      </w:r>
      <w:r w:rsidR="0071354E">
        <w:t xml:space="preserve">) </w:t>
      </w:r>
      <w:r w:rsidRPr="00E90894">
        <w:t xml:space="preserve">resubmission </w:t>
      </w:r>
      <w:r w:rsidR="0071354E">
        <w:t xml:space="preserve">on </w:t>
      </w:r>
      <w:r w:rsidRPr="00E90894">
        <w:t xml:space="preserve">27 December 2012. A key issue in the complete response letter was a request for steady state PK. Novo Nordisk included a PK evaluation on patients participating in the </w:t>
      </w:r>
      <w:r w:rsidR="00450863">
        <w:t>on</w:t>
      </w:r>
      <w:r w:rsidR="0079498E">
        <w:t>going extension trial F13</w:t>
      </w:r>
      <w:r w:rsidR="007C19B0">
        <w:t>CD-</w:t>
      </w:r>
      <w:r w:rsidRPr="00E90894">
        <w:t>3720. The FDA concern relates to the developme</w:t>
      </w:r>
      <w:r w:rsidR="00450863">
        <w:t>nt of non neutralising, low tit</w:t>
      </w:r>
      <w:r w:rsidRPr="00E90894">
        <w:t>r</w:t>
      </w:r>
      <w:r w:rsidR="00450863">
        <w:t xml:space="preserve">e anti </w:t>
      </w:r>
      <w:r w:rsidRPr="00E90894">
        <w:t xml:space="preserve">rFXIII </w:t>
      </w:r>
      <w:r w:rsidRPr="00E90894">
        <w:lastRenderedPageBreak/>
        <w:t>antibodies and the impact on the PK. It was agreed with the FDA that PK profiles for 9 specific patients were prepared. Novo Nordisk managed to include PK profiles for 8 out of the 9 requested patients in the PK evaluation report. PK profiles for an additional 15 patients resulting in a total of 23 PK profiles presented in the PK evaluation report.</w:t>
      </w:r>
    </w:p>
    <w:p w:rsidR="00E90894" w:rsidRDefault="00E90894" w:rsidP="00E90894">
      <w:pPr>
        <w:pStyle w:val="Heading5"/>
      </w:pPr>
      <w:r>
        <w:t xml:space="preserve">Clinical </w:t>
      </w:r>
      <w:r w:rsidR="002352A4">
        <w:t>e</w:t>
      </w:r>
      <w:r>
        <w:t xml:space="preserve">valuator’s </w:t>
      </w:r>
      <w:r w:rsidR="002352A4">
        <w:t>c</w:t>
      </w:r>
      <w:r>
        <w:t>omment</w:t>
      </w:r>
    </w:p>
    <w:p w:rsidR="001E3474" w:rsidRPr="00E90894" w:rsidRDefault="001E3474" w:rsidP="00E90894">
      <w:r w:rsidRPr="00E90894">
        <w:t xml:space="preserve">The FDA letter of 23 December 2011 to the sponsor (Novo Disk, USA) outlined a number of deficiencies that the agency had identified in its </w:t>
      </w:r>
      <w:r w:rsidR="00E96642">
        <w:t>review of the BLA</w:t>
      </w:r>
      <w:r w:rsidRPr="00E90894">
        <w:t xml:space="preserve"> for NovoThirteen. These deficiencies were grouped under broad headings of Inspectional, Chemistry, Manufacturing and Controls, Clinical, and Labe</w:t>
      </w:r>
      <w:r w:rsidR="00E96642">
        <w:t>l</w:t>
      </w:r>
      <w:r w:rsidRPr="00E90894">
        <w:t>ling. The FDA questions relevant to the TGA clinical evaluation relate to matters in the Novo Disk, USA, response to the FDA identified under the separate headings of Clinical, Safety, and Statistics. The relevant FDA questions (Items), the Novo Nordisk, USA, responses and the clinic</w:t>
      </w:r>
      <w:r w:rsidR="00A83243">
        <w:t>al evaluator’s comments follow.</w:t>
      </w:r>
    </w:p>
    <w:p w:rsidR="001E3474" w:rsidRPr="000132BC" w:rsidRDefault="00BF0F29" w:rsidP="000132BC">
      <w:pPr>
        <w:pStyle w:val="ListBullet"/>
      </w:pPr>
      <w:r>
        <w:rPr>
          <w:b/>
        </w:rPr>
        <w:t>FDA Item</w:t>
      </w:r>
      <w:r w:rsidR="001E3474" w:rsidRPr="000132BC">
        <w:rPr>
          <w:b/>
        </w:rPr>
        <w:t xml:space="preserve"> 18 (C</w:t>
      </w:r>
      <w:r>
        <w:rPr>
          <w:b/>
        </w:rPr>
        <w:t>linical</w:t>
      </w:r>
      <w:r w:rsidR="001E3474" w:rsidRPr="000132BC">
        <w:rPr>
          <w:b/>
        </w:rPr>
        <w:t>) -</w:t>
      </w:r>
      <w:r w:rsidR="001E3474" w:rsidRPr="000132BC">
        <w:t xml:space="preserve"> The immunogenicity of NovoThirteen and the potential clinical consequences of an antibody response to the product have not been fully characteri</w:t>
      </w:r>
      <w:r w:rsidR="00E96642">
        <w:t>s</w:t>
      </w:r>
      <w:r w:rsidR="001E3474" w:rsidRPr="000132BC">
        <w:t xml:space="preserve">ed by the clinical studies conducted to date. Three of the four subjects who scored positive for antibodies in your in-house assays were discontinued from dosing with NovoThirteen and followed only for safety. Remaining concerns for patients that make antibodies include: (i) that the antibodies may effect </w:t>
      </w:r>
      <w:r w:rsidR="001C3720">
        <w:t>PK</w:t>
      </w:r>
      <w:r w:rsidR="001E3474" w:rsidRPr="000132BC">
        <w:t xml:space="preserve"> requiring adjustment of dosing; and (ii) eventually these patients may make neutralising antibodies against NovoThirteen and possibly against plasma</w:t>
      </w:r>
      <w:r w:rsidR="006D3229">
        <w:t xml:space="preserve"> </w:t>
      </w:r>
      <w:r w:rsidR="001E3474" w:rsidRPr="000132BC">
        <w:t>derived Factor XIII. Therefore, further studies are required to provide additional safety information on patients who will be receiving the product post</w:t>
      </w:r>
      <w:r w:rsidR="006D3229">
        <w:t xml:space="preserve"> </w:t>
      </w:r>
      <w:r w:rsidR="001E3474" w:rsidRPr="000132BC">
        <w:t>licensure, and who will form antibodies against NovoThirteen for this patient group.</w:t>
      </w:r>
    </w:p>
    <w:p w:rsidR="00E90894" w:rsidRDefault="001E3474" w:rsidP="00E90894">
      <w:pPr>
        <w:pStyle w:val="Heading5"/>
        <w:rPr>
          <w:lang w:val="en-US"/>
        </w:rPr>
      </w:pPr>
      <w:r w:rsidRPr="00FA08CE">
        <w:rPr>
          <w:lang w:val="en-US"/>
        </w:rPr>
        <w:t xml:space="preserve">Sponsor’s </w:t>
      </w:r>
      <w:r w:rsidR="002352A4">
        <w:rPr>
          <w:lang w:val="en-US"/>
        </w:rPr>
        <w:t>r</w:t>
      </w:r>
      <w:r w:rsidRPr="00FA08CE">
        <w:rPr>
          <w:lang w:val="en-US"/>
        </w:rPr>
        <w:t>esponse</w:t>
      </w:r>
    </w:p>
    <w:p w:rsidR="001E3474" w:rsidRPr="00E90894" w:rsidRDefault="001E3474" w:rsidP="00E90894">
      <w:r w:rsidRPr="00E90894">
        <w:t>The sponsor’s response included reference to 2,540 estimated doses of rFXIII administered as of 30 September 2012 in completed and ongoing clinical trials. These clinical trials included 5 clinical trials in patients with congenital FXIII deficiency (1,990 doses), 4 PK studies in healthy volunteers (234 doses)</w:t>
      </w:r>
      <w:r w:rsidR="005D3801">
        <w:t>,</w:t>
      </w:r>
      <w:r w:rsidRPr="00E90894">
        <w:t xml:space="preserve"> and 2 clinical trials in patients undergoing cardiac surgery (316 doses). The new data included at the cut-off date of 30 September 2012 provided an additional 22 months of exposure data and more than 1,000 additional exposures to rFXIII since the data</w:t>
      </w:r>
      <w:r w:rsidR="006D51E8">
        <w:t xml:space="preserve"> </w:t>
      </w:r>
      <w:r w:rsidRPr="00E90894">
        <w:t>lock of 30 November 2010, which was applied in the original BLA submission. In monthly testing for anti</w:t>
      </w:r>
      <w:r w:rsidR="006D51E8">
        <w:t xml:space="preserve"> </w:t>
      </w:r>
      <w:r w:rsidRPr="00E90894">
        <w:t>FXIII antibodies, no new incidences of antibodies have been detected. No additional anti</w:t>
      </w:r>
      <w:r w:rsidR="006D51E8">
        <w:t xml:space="preserve"> </w:t>
      </w:r>
      <w:r w:rsidRPr="00E90894">
        <w:t xml:space="preserve">rFXIII binding antibodies have been reported up to 30 September 2012 in patients with congenital FXIII deficiency beyond the </w:t>
      </w:r>
      <w:r w:rsidR="00A83243">
        <w:t>four cited in the FDA’s letter.</w:t>
      </w:r>
    </w:p>
    <w:p w:rsidR="001E3474" w:rsidRPr="00E90894" w:rsidRDefault="001E3474" w:rsidP="00E90894">
      <w:r w:rsidRPr="00E90894">
        <w:t>The sponsor’s response also provided an</w:t>
      </w:r>
      <w:r w:rsidR="003C5398">
        <w:t xml:space="preserve"> overview of the planned Phase IV</w:t>
      </w:r>
      <w:r w:rsidRPr="00E90894">
        <w:t xml:space="preserve"> post</w:t>
      </w:r>
      <w:r w:rsidR="003C5398">
        <w:t xml:space="preserve"> </w:t>
      </w:r>
      <w:r w:rsidRPr="00E90894">
        <w:t xml:space="preserve">marketing study that will include information on rFXIII antibodies, allergic reactions, thromboembolic events, and lack of therapeutic effect. The sponsor also referred to an amendment to the on-going </w:t>
      </w:r>
      <w:r w:rsidR="003C5398">
        <w:t>S</w:t>
      </w:r>
      <w:r w:rsidRPr="00E90894">
        <w:t>tudy F13CD-3720, which is investigating the PKs of rFXIII at steady</w:t>
      </w:r>
      <w:r w:rsidR="00C527BB">
        <w:t xml:space="preserve"> </w:t>
      </w:r>
      <w:r w:rsidRPr="00E90894">
        <w:t>state, in order to support the</w:t>
      </w:r>
      <w:r w:rsidR="00A83243">
        <w:t xml:space="preserve"> safety and efficacy of rFXIII.</w:t>
      </w:r>
    </w:p>
    <w:p w:rsidR="001E3474" w:rsidRPr="00E90894" w:rsidRDefault="001E3474" w:rsidP="00E90894">
      <w:r w:rsidRPr="00E90894">
        <w:t>The sponsor’s response noted that there had been four patients who developed low</w:t>
      </w:r>
      <w:r w:rsidR="00AA6677">
        <w:t xml:space="preserve"> </w:t>
      </w:r>
      <w:r w:rsidRPr="00E90894">
        <w:t>level, transient anti</w:t>
      </w:r>
      <w:r w:rsidR="00AA6677">
        <w:t xml:space="preserve"> </w:t>
      </w:r>
      <w:r w:rsidRPr="00E90894">
        <w:t xml:space="preserve">rFXIII antibodies early on following initiation of treatment with rFXIII in </w:t>
      </w:r>
      <w:r w:rsidR="00AA6677">
        <w:t>S</w:t>
      </w:r>
      <w:r w:rsidRPr="00E90894">
        <w:t xml:space="preserve">tudy F13CD-1725. No </w:t>
      </w:r>
      <w:r w:rsidR="00B4009C">
        <w:t>AEs</w:t>
      </w:r>
      <w:r w:rsidRPr="00E90894">
        <w:t xml:space="preserve"> of anaphylactic, allergic reactions or treatment</w:t>
      </w:r>
      <w:r w:rsidR="001C0B0D">
        <w:t xml:space="preserve"> </w:t>
      </w:r>
      <w:r w:rsidRPr="00E90894">
        <w:t>requiring bleeding episodes were observed in any of the patients at any time during the presence of the antibodies or during the follow</w:t>
      </w:r>
      <w:r w:rsidR="001C0B0D">
        <w:t xml:space="preserve"> </w:t>
      </w:r>
      <w:r w:rsidRPr="00E90894">
        <w:t>up period. One of the four patients remained on rFXIII treatment, while the other three patients</w:t>
      </w:r>
      <w:r w:rsidR="00CD52B1">
        <w:t xml:space="preserve"> </w:t>
      </w:r>
      <w:r w:rsidRPr="00E90894">
        <w:t>discontinued rFXIII treatment following 2-3 administrations. There was no change in FXIII activity (peak and through levels) after dosing with rFXIII (following the detection of anti</w:t>
      </w:r>
      <w:r w:rsidR="0083263B">
        <w:t xml:space="preserve"> </w:t>
      </w:r>
      <w:r w:rsidRPr="00E90894">
        <w:t xml:space="preserve">rFXIII antibodies in any of </w:t>
      </w:r>
      <w:r w:rsidR="00A83243">
        <w:t>the four patients.</w:t>
      </w:r>
    </w:p>
    <w:p w:rsidR="00E90894" w:rsidRDefault="001E3474" w:rsidP="00E90894">
      <w:pPr>
        <w:pStyle w:val="Heading5"/>
        <w:rPr>
          <w:lang w:val="en-US"/>
        </w:rPr>
      </w:pPr>
      <w:r w:rsidRPr="00062F53">
        <w:rPr>
          <w:lang w:val="en-US"/>
        </w:rPr>
        <w:lastRenderedPageBreak/>
        <w:t xml:space="preserve">Clinical </w:t>
      </w:r>
      <w:r w:rsidR="002352A4">
        <w:rPr>
          <w:lang w:val="en-US"/>
        </w:rPr>
        <w:t>e</w:t>
      </w:r>
      <w:r>
        <w:rPr>
          <w:lang w:val="en-US"/>
        </w:rPr>
        <w:t xml:space="preserve">valuator’s </w:t>
      </w:r>
      <w:r w:rsidR="002352A4">
        <w:rPr>
          <w:lang w:val="en-US"/>
        </w:rPr>
        <w:t>c</w:t>
      </w:r>
      <w:r w:rsidRPr="00062F53">
        <w:rPr>
          <w:lang w:val="en-US"/>
        </w:rPr>
        <w:t>omment</w:t>
      </w:r>
    </w:p>
    <w:p w:rsidR="001E3474" w:rsidRPr="00E90894" w:rsidRDefault="001E3474" w:rsidP="00E90894">
      <w:r w:rsidRPr="00E90894">
        <w:t>There have been 4 (9.8%) patients with non</w:t>
      </w:r>
      <w:r w:rsidR="0083263B">
        <w:t xml:space="preserve"> </w:t>
      </w:r>
      <w:r w:rsidRPr="00E90894">
        <w:t>neutralising anti</w:t>
      </w:r>
      <w:r w:rsidR="0083263B">
        <w:t xml:space="preserve"> </w:t>
      </w:r>
      <w:r w:rsidRPr="00E90894">
        <w:t>rFXIII antibodies in 41 patients with congenital FXIII deficiency exposed to rFXIII. The 4 patients who developed non</w:t>
      </w:r>
      <w:r w:rsidR="00D15357">
        <w:t xml:space="preserve"> </w:t>
      </w:r>
      <w:r w:rsidRPr="00E90894">
        <w:t>neutralising anti</w:t>
      </w:r>
      <w:r w:rsidR="00D15357">
        <w:t xml:space="preserve"> </w:t>
      </w:r>
      <w:r w:rsidRPr="00E90894">
        <w:t xml:space="preserve">rFXIII antibodies in </w:t>
      </w:r>
      <w:r w:rsidR="00D15357">
        <w:t xml:space="preserve">Study </w:t>
      </w:r>
      <w:r w:rsidRPr="00E90894">
        <w:t xml:space="preserve">F13CD-1725 are discussed </w:t>
      </w:r>
      <w:r w:rsidR="00154968">
        <w:t>in CER1.</w:t>
      </w:r>
      <w:r w:rsidRPr="00E90894">
        <w:t xml:space="preserve"> It is reassuring that there have been no further reports of anti</w:t>
      </w:r>
      <w:r w:rsidR="00B738AD">
        <w:t xml:space="preserve"> </w:t>
      </w:r>
      <w:r w:rsidRPr="00E90894">
        <w:t>rFXIII antibodies in subjects through to 30 September 2012. The sponsor’s commitment t</w:t>
      </w:r>
      <w:r w:rsidR="00B738AD">
        <w:t xml:space="preserve">o undertake a Phase IV post </w:t>
      </w:r>
      <w:r w:rsidRPr="00E90894">
        <w:t xml:space="preserve">marketing observational </w:t>
      </w:r>
      <w:r w:rsidR="00B738AD">
        <w:t>S</w:t>
      </w:r>
      <w:r w:rsidRPr="00E90894">
        <w:t>tudy (NN1841-3868) that will further investigate the potential immunogenicity of rFXIII is noted. It is considered that the immunogenicity of rFXIII should not pre</w:t>
      </w:r>
      <w:r w:rsidR="00A83243">
        <w:t>clude approval of the medicine.</w:t>
      </w:r>
    </w:p>
    <w:p w:rsidR="001E3474" w:rsidRPr="000132BC" w:rsidRDefault="003E0C69" w:rsidP="000132BC">
      <w:pPr>
        <w:pStyle w:val="ListBullet"/>
      </w:pPr>
      <w:r>
        <w:rPr>
          <w:b/>
        </w:rPr>
        <w:t>FDA Item</w:t>
      </w:r>
      <w:r w:rsidR="001E3474" w:rsidRPr="000132BC">
        <w:rPr>
          <w:b/>
        </w:rPr>
        <w:t xml:space="preserve"> 19 (C</w:t>
      </w:r>
      <w:r>
        <w:rPr>
          <w:b/>
        </w:rPr>
        <w:t>linical</w:t>
      </w:r>
      <w:r w:rsidR="001E3474" w:rsidRPr="000132BC">
        <w:rPr>
          <w:b/>
        </w:rPr>
        <w:t>) -</w:t>
      </w:r>
      <w:r w:rsidR="001E3474" w:rsidRPr="000132BC">
        <w:t xml:space="preserve"> There is no formal repeat</w:t>
      </w:r>
      <w:r w:rsidR="00097D36">
        <w:t xml:space="preserve"> </w:t>
      </w:r>
      <w:r w:rsidR="001E3474" w:rsidRPr="000132BC">
        <w:t xml:space="preserve">dose </w:t>
      </w:r>
      <w:r w:rsidR="001C3720">
        <w:t>PK</w:t>
      </w:r>
      <w:r w:rsidR="001E3474" w:rsidRPr="000132BC">
        <w:t xml:space="preserve"> study in the indicated population. This is now of concern due to the observation of antibody formation to the study agent in 4 of the enrolled subjects, and the lack of information on the clinical effects of antibody formation due to the removal of most of these subjects from further exposure to the product. M</w:t>
      </w:r>
      <w:r w:rsidR="002E3401">
        <w:t>any of the other subjects had 1 h</w:t>
      </w:r>
      <w:r w:rsidR="001E3474" w:rsidRPr="000132BC">
        <w:t xml:space="preserve"> post</w:t>
      </w:r>
      <w:r w:rsidR="00C93A21">
        <w:t xml:space="preserve"> </w:t>
      </w:r>
      <w:r w:rsidR="001E3474" w:rsidRPr="000132BC">
        <w:t>dose FXIII activity levels that were less than the targeted level of 1 IU mL, and yet there are no data to show what levels they maintain over the month until their following study visit. To address this safety concern, please submit a final study report for a PK study conducted in FXIII congenitally</w:t>
      </w:r>
      <w:r w:rsidR="009E6CB2">
        <w:t xml:space="preserve"> </w:t>
      </w:r>
      <w:r w:rsidR="001E3474" w:rsidRPr="000132BC">
        <w:t>deficient subjects who have been exposed to at least two monthly exposures to NovoThirteen through a routine prophylaxis dose schedule.</w:t>
      </w:r>
    </w:p>
    <w:p w:rsidR="00E90894" w:rsidRDefault="001E3474" w:rsidP="00E90894">
      <w:pPr>
        <w:pStyle w:val="Heading5"/>
        <w:rPr>
          <w:lang w:val="en-US"/>
        </w:rPr>
      </w:pPr>
      <w:r w:rsidRPr="00FA08CE">
        <w:rPr>
          <w:lang w:val="en-US"/>
        </w:rPr>
        <w:t xml:space="preserve">Sponsor’s </w:t>
      </w:r>
      <w:r w:rsidR="002352A4">
        <w:rPr>
          <w:lang w:val="en-US"/>
        </w:rPr>
        <w:t>r</w:t>
      </w:r>
      <w:r w:rsidRPr="00FA08CE">
        <w:rPr>
          <w:lang w:val="en-US"/>
        </w:rPr>
        <w:t>esponse</w:t>
      </w:r>
    </w:p>
    <w:p w:rsidR="001E3474" w:rsidRPr="00FF3DE3" w:rsidRDefault="001E3474" w:rsidP="001E3474">
      <w:pPr>
        <w:widowControl w:val="0"/>
        <w:autoSpaceDE w:val="0"/>
        <w:autoSpaceDN w:val="0"/>
        <w:adjustRightInd w:val="0"/>
        <w:rPr>
          <w:rFonts w:cs="?ˇøˆ–"/>
          <w:lang w:val="en-US"/>
        </w:rPr>
      </w:pPr>
      <w:r w:rsidRPr="00FF3DE3">
        <w:rPr>
          <w:rFonts w:cs="?ˇøˆ–"/>
          <w:lang w:val="en-US"/>
        </w:rPr>
        <w:t xml:space="preserve">In order to fully evaluate the consequences of repeat dosing with rFXIII, the sponsor amended </w:t>
      </w:r>
      <w:r w:rsidR="009E6CB2">
        <w:rPr>
          <w:rFonts w:cs="?ˇøˆ–"/>
          <w:lang w:val="en-US"/>
        </w:rPr>
        <w:t>S</w:t>
      </w:r>
      <w:r w:rsidRPr="00FF3DE3">
        <w:rPr>
          <w:rFonts w:cs="?ˇøˆ–"/>
          <w:lang w:val="en-US"/>
        </w:rPr>
        <w:t>tudy F13CD-3720 in order to obtain additional PK data. At a follow</w:t>
      </w:r>
      <w:r w:rsidR="009E6CB2">
        <w:rPr>
          <w:rFonts w:cs="?ˇøˆ–"/>
          <w:lang w:val="en-US"/>
        </w:rPr>
        <w:t xml:space="preserve"> </w:t>
      </w:r>
      <w:r w:rsidRPr="00FF3DE3">
        <w:rPr>
          <w:rFonts w:cs="?ˇøˆ–"/>
          <w:lang w:val="en-US"/>
        </w:rPr>
        <w:t xml:space="preserve">up teleconference between the </w:t>
      </w:r>
      <w:r w:rsidR="009E6CB2">
        <w:rPr>
          <w:rFonts w:cs="?ˇøˆ–"/>
          <w:lang w:val="en-US"/>
        </w:rPr>
        <w:t xml:space="preserve">FDA and Novo Nordisk on 11 May </w:t>
      </w:r>
      <w:r w:rsidRPr="00FF3DE3">
        <w:rPr>
          <w:rFonts w:cs="?ˇøˆ–"/>
          <w:lang w:val="en-US"/>
        </w:rPr>
        <w:t>2012, the FDA suggested that Novo Nordisk assess the full PK profiles over 28 days</w:t>
      </w:r>
      <w:r w:rsidR="00CD52B1">
        <w:rPr>
          <w:rFonts w:cs="?ˇøˆ–"/>
          <w:lang w:val="en-US"/>
        </w:rPr>
        <w:t xml:space="preserve"> </w:t>
      </w:r>
      <w:r w:rsidRPr="00FF3DE3">
        <w:rPr>
          <w:rFonts w:cs="?ˇøˆ–"/>
          <w:lang w:val="en-US"/>
        </w:rPr>
        <w:t xml:space="preserve">for 9 FDA specified patients that were included in </w:t>
      </w:r>
      <w:r w:rsidR="00132E72">
        <w:rPr>
          <w:rFonts w:cs="?ˇøˆ–"/>
          <w:lang w:val="en-US"/>
        </w:rPr>
        <w:t>S</w:t>
      </w:r>
      <w:r w:rsidRPr="00FF3DE3">
        <w:rPr>
          <w:rFonts w:cs="?ˇøˆ–"/>
          <w:lang w:val="en-US"/>
        </w:rPr>
        <w:t>tudy F13CD-1</w:t>
      </w:r>
      <w:r>
        <w:rPr>
          <w:rFonts w:cs="?ˇøˆ–"/>
          <w:lang w:val="en-US"/>
        </w:rPr>
        <w:t xml:space="preserve">725 trial </w:t>
      </w:r>
      <w:r w:rsidRPr="00FF3DE3">
        <w:rPr>
          <w:rFonts w:cs="?ˇøˆ–"/>
          <w:lang w:val="en-US"/>
        </w:rPr>
        <w:t>to investigate if these subjects have adequate FXIII coverage during the dosing interval. In this PK assessment</w:t>
      </w:r>
      <w:r w:rsidR="00132E72">
        <w:rPr>
          <w:rFonts w:cs="?ˇøˆ–"/>
          <w:lang w:val="en-US"/>
        </w:rPr>
        <w:t>,</w:t>
      </w:r>
      <w:r w:rsidRPr="00FF3DE3">
        <w:rPr>
          <w:rFonts w:cs="?ˇøˆ–"/>
          <w:lang w:val="en-US"/>
        </w:rPr>
        <w:t xml:space="preserve"> samples were collected at the following time points: pre</w:t>
      </w:r>
      <w:r w:rsidR="00132E72">
        <w:rPr>
          <w:rFonts w:cs="?ˇøˆ–"/>
          <w:lang w:val="en-US"/>
        </w:rPr>
        <w:t xml:space="preserve"> </w:t>
      </w:r>
      <w:r w:rsidRPr="00FF3DE3">
        <w:rPr>
          <w:rFonts w:cs="?ˇøˆ–"/>
          <w:lang w:val="en-US"/>
        </w:rPr>
        <w:t>dose and then post</w:t>
      </w:r>
      <w:r w:rsidR="00132E72">
        <w:rPr>
          <w:rFonts w:cs="?ˇøˆ–"/>
          <w:lang w:val="en-US"/>
        </w:rPr>
        <w:t xml:space="preserve"> dose at 1 and 2 h</w:t>
      </w:r>
      <w:r w:rsidRPr="00FF3DE3">
        <w:rPr>
          <w:rFonts w:cs="?ˇøˆ–"/>
          <w:lang w:val="en-US"/>
        </w:rPr>
        <w:t xml:space="preserve">, and then 7, 14, 21 and 28 days. In total, 23 subjects, already enrolled in </w:t>
      </w:r>
      <w:r w:rsidR="00132E72">
        <w:rPr>
          <w:rFonts w:cs="?ˇøˆ–"/>
          <w:lang w:val="en-US"/>
        </w:rPr>
        <w:t xml:space="preserve">Study </w:t>
      </w:r>
      <w:r w:rsidRPr="00FF3DE3">
        <w:rPr>
          <w:rFonts w:cs="?ˇøˆ–"/>
          <w:lang w:val="en-US"/>
        </w:rPr>
        <w:t>F13CD-3720, including 8 of the 9 FDA specified subjects,</w:t>
      </w:r>
      <w:r w:rsidR="00132E72">
        <w:rPr>
          <w:rFonts w:cs="?ˇøˆ–"/>
          <w:lang w:val="en-US"/>
        </w:rPr>
        <w:t xml:space="preserve"> agreed to participate. One </w:t>
      </w:r>
      <w:r w:rsidR="002C0148">
        <w:rPr>
          <w:rFonts w:cs="?ˇøˆ–"/>
          <w:lang w:val="en-US"/>
        </w:rPr>
        <w:t>of the nine</w:t>
      </w:r>
      <w:r w:rsidRPr="00FF3DE3">
        <w:rPr>
          <w:rFonts w:cs="?ˇøˆ–"/>
          <w:lang w:val="en-US"/>
        </w:rPr>
        <w:t xml:space="preserve"> FDA specified subjects had been withdrawn during </w:t>
      </w:r>
      <w:r w:rsidR="002C0148">
        <w:rPr>
          <w:rFonts w:cs="?ˇøˆ–"/>
          <w:lang w:val="en-US"/>
        </w:rPr>
        <w:t>S</w:t>
      </w:r>
      <w:r w:rsidRPr="00FF3DE3">
        <w:rPr>
          <w:rFonts w:cs="?ˇøˆ–"/>
          <w:lang w:val="en-US"/>
        </w:rPr>
        <w:t>tudy F13CD-1725 due to worsening of neutropenia and leukopenia and was not willing to pa</w:t>
      </w:r>
      <w:r w:rsidR="00A83243">
        <w:rPr>
          <w:rFonts w:cs="?ˇøˆ–"/>
          <w:lang w:val="en-US"/>
        </w:rPr>
        <w:t>rticipate in any PK assessment.</w:t>
      </w:r>
    </w:p>
    <w:p w:rsidR="001E3474" w:rsidRPr="00FF3DE3" w:rsidRDefault="001E3474" w:rsidP="001E3474">
      <w:pPr>
        <w:widowControl w:val="0"/>
        <w:autoSpaceDE w:val="0"/>
        <w:autoSpaceDN w:val="0"/>
        <w:adjustRightInd w:val="0"/>
        <w:rPr>
          <w:rFonts w:cs="èÚø∂›"/>
          <w:lang w:val="en-US"/>
        </w:rPr>
      </w:pPr>
      <w:r w:rsidRPr="00FF3DE3">
        <w:rPr>
          <w:rFonts w:cs="?ˇøˆ–"/>
          <w:lang w:val="en-US"/>
        </w:rPr>
        <w:t>The steady</w:t>
      </w:r>
      <w:r w:rsidR="00ED055A">
        <w:rPr>
          <w:rFonts w:cs="?ˇøˆ–"/>
          <w:lang w:val="en-US"/>
        </w:rPr>
        <w:t xml:space="preserve"> </w:t>
      </w:r>
      <w:r w:rsidRPr="00FF3DE3">
        <w:rPr>
          <w:rFonts w:cs="?ˇøˆ–"/>
          <w:lang w:val="en-US"/>
        </w:rPr>
        <w:t xml:space="preserve">state PK profiles, </w:t>
      </w:r>
      <w:r w:rsidRPr="00FF3DE3">
        <w:rPr>
          <w:rFonts w:cs="¸ø&amp;‘"/>
          <w:lang w:val="en-US"/>
        </w:rPr>
        <w:t xml:space="preserve">obtained from the eight FDA requested subjects participating in the PK session of the F13CD-3720 trial, clearly show that mean FXIII activity levels are within the targeted range of 0.1 and 1 IU/mL throughout the entire dosing interval, with only one individual measurement below 0.1 IU/mL. </w:t>
      </w:r>
      <w:r w:rsidRPr="00FF3DE3">
        <w:rPr>
          <w:rFonts w:cs="èÚø∂›"/>
          <w:lang w:val="en-US"/>
        </w:rPr>
        <w:t>The mean FXIII activity profile in the total number of patients in the F13CD-3720 trial de</w:t>
      </w:r>
      <w:r w:rsidR="00ED055A">
        <w:rPr>
          <w:rFonts w:cs="èÚø∂›"/>
          <w:lang w:val="en-US"/>
        </w:rPr>
        <w:t xml:space="preserve">monstrated that there is a mono </w:t>
      </w:r>
      <w:r w:rsidRPr="00FF3DE3">
        <w:rPr>
          <w:rFonts w:cs="èÚø∂›"/>
          <w:lang w:val="en-US"/>
        </w:rPr>
        <w:t>exponential decline in the inte</w:t>
      </w:r>
      <w:r w:rsidR="00ED055A">
        <w:rPr>
          <w:rFonts w:cs="èÚø∂›"/>
          <w:lang w:val="en-US"/>
        </w:rPr>
        <w:t xml:space="preserve">rval between 3 and 28 days post </w:t>
      </w:r>
      <w:r w:rsidRPr="00FF3DE3">
        <w:rPr>
          <w:rFonts w:cs="èÚø∂›"/>
          <w:lang w:val="en-US"/>
        </w:rPr>
        <w:t>do</w:t>
      </w:r>
      <w:r w:rsidR="00ED055A">
        <w:rPr>
          <w:rFonts w:cs="èÚø∂›"/>
          <w:lang w:val="en-US"/>
        </w:rPr>
        <w:t xml:space="preserve">se. The resulting mean half </w:t>
      </w:r>
      <w:r w:rsidRPr="00FF3DE3">
        <w:rPr>
          <w:rFonts w:cs="èÚø∂›"/>
          <w:lang w:val="en-US"/>
        </w:rPr>
        <w:t>life of 13.9 days in the total population (n</w:t>
      </w:r>
      <w:r w:rsidR="00ED055A">
        <w:rPr>
          <w:rFonts w:cs="èÚø∂›"/>
          <w:lang w:val="en-US"/>
        </w:rPr>
        <w:t xml:space="preserve"> </w:t>
      </w:r>
      <w:r w:rsidRPr="00FF3DE3">
        <w:rPr>
          <w:rFonts w:cs="èÚø∂›"/>
          <w:lang w:val="en-US"/>
        </w:rPr>
        <w:t>=</w:t>
      </w:r>
      <w:r w:rsidR="00ED055A">
        <w:rPr>
          <w:rFonts w:cs="èÚø∂›"/>
          <w:lang w:val="en-US"/>
        </w:rPr>
        <w:t xml:space="preserve"> </w:t>
      </w:r>
      <w:r w:rsidRPr="00FF3DE3">
        <w:rPr>
          <w:rFonts w:cs="èÚø∂›"/>
          <w:lang w:val="en-US"/>
        </w:rPr>
        <w:t xml:space="preserve">20) is supportive of a monthly (28 ± 2 days) dosing schedule, where the mean FXIII activities are above the intended targeted activity range throughout the entire dosing interval. </w:t>
      </w:r>
      <w:r w:rsidRPr="00FF3DE3">
        <w:rPr>
          <w:rFonts w:cs="¸ø&amp;‘"/>
          <w:lang w:val="en-US"/>
        </w:rPr>
        <w:t>No extrinsic or intrinsic factors seem to effect the FXIII activity over time, further supported by the lack of spontaneous treatment requiring bleeding episodes as well as the absence of anti</w:t>
      </w:r>
      <w:r w:rsidR="00570069">
        <w:rPr>
          <w:rFonts w:cs="¸ø&amp;‘"/>
          <w:lang w:val="en-US"/>
        </w:rPr>
        <w:t xml:space="preserve"> </w:t>
      </w:r>
      <w:r w:rsidRPr="00FF3DE3">
        <w:rPr>
          <w:rFonts w:cs="¸ø&amp;‘"/>
          <w:lang w:val="en-US"/>
        </w:rPr>
        <w:t xml:space="preserve">rFXIII antibodies. A dosing schedule of 35 IU/kg once monthly (28 ± 2 days) with rFXIII is thus considered sufficient to maintain adequate activity levels of FXIII in subjects with congenital deficiency of FXIII, during the entire dosing interval. The steady state PK parameters for the FDA specified subjects in </w:t>
      </w:r>
      <w:r w:rsidR="00570069">
        <w:rPr>
          <w:rFonts w:cs="¸ø&amp;‘"/>
          <w:lang w:val="en-US"/>
        </w:rPr>
        <w:t>S</w:t>
      </w:r>
      <w:r w:rsidRPr="00FF3DE3">
        <w:rPr>
          <w:rFonts w:cs="¸ø&amp;‘"/>
          <w:lang w:val="en-US"/>
        </w:rPr>
        <w:t>tudy F13CD-3720 are similar to the corresponding PK pa</w:t>
      </w:r>
      <w:r>
        <w:rPr>
          <w:rFonts w:cs="¸ø&amp;‘"/>
          <w:lang w:val="en-US"/>
        </w:rPr>
        <w:t xml:space="preserve">rameters from </w:t>
      </w:r>
      <w:r w:rsidR="00F94F69">
        <w:rPr>
          <w:rFonts w:cs="¸ø&amp;‘"/>
          <w:lang w:val="en-US"/>
        </w:rPr>
        <w:t>S</w:t>
      </w:r>
      <w:r>
        <w:rPr>
          <w:rFonts w:cs="¸ø&amp;‘"/>
          <w:lang w:val="en-US"/>
        </w:rPr>
        <w:t>tudy F13CD-1725 (</w:t>
      </w:r>
      <w:r w:rsidR="00B54C10">
        <w:rPr>
          <w:rFonts w:cs="¸ø&amp;‘"/>
          <w:lang w:val="en-US"/>
        </w:rPr>
        <w:t>Table 5</w:t>
      </w:r>
      <w:r>
        <w:rPr>
          <w:rFonts w:cs="¸ø&amp;‘"/>
          <w:lang w:val="en-US"/>
        </w:rPr>
        <w:t>)</w:t>
      </w:r>
      <w:r w:rsidR="00A83243">
        <w:rPr>
          <w:rFonts w:cs="¸ø&amp;‘"/>
          <w:lang w:val="en-US"/>
        </w:rPr>
        <w:t>.</w:t>
      </w:r>
    </w:p>
    <w:p w:rsidR="00B54C10" w:rsidRDefault="00B54C10" w:rsidP="00B54C10">
      <w:pPr>
        <w:pStyle w:val="TableTitle"/>
      </w:pPr>
      <w:r>
        <w:lastRenderedPageBreak/>
        <w:t>Table 5:</w:t>
      </w:r>
      <w:r w:rsidRPr="004C5C28">
        <w:t xml:space="preserve"> </w:t>
      </w:r>
      <w:r w:rsidR="00D17DA2">
        <w:t>Sponsor’s FDA response: mean PK steady state data from S</w:t>
      </w:r>
      <w:r w:rsidR="001730AA" w:rsidRPr="001730AA">
        <w:t>tudies F13CD-1725 and F13CD-3720</w:t>
      </w:r>
      <w:r>
        <w:t>.</w:t>
      </w:r>
    </w:p>
    <w:p w:rsidR="001A04EB" w:rsidRDefault="00A938FA" w:rsidP="00C94B40">
      <w:r>
        <w:rPr>
          <w:noProof/>
          <w:lang w:eastAsia="en-AU"/>
        </w:rPr>
        <w:drawing>
          <wp:inline distT="0" distB="0" distL="0" distR="0">
            <wp:extent cx="5447030" cy="1856740"/>
            <wp:effectExtent l="0" t="0" r="1270" b="0"/>
            <wp:docPr id="7" name="Picture 7" descr="Table 5: Sponsor’s FDA response: mean PK steady state data from Studies F13CD-1725 and F13CD-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5: Sponsor’s FDA response: mean PK steady state data from Studies F13CD-1725 and F13CD-37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7030" cy="1856740"/>
                    </a:xfrm>
                    <a:prstGeom prst="rect">
                      <a:avLst/>
                    </a:prstGeom>
                    <a:noFill/>
                    <a:ln>
                      <a:noFill/>
                    </a:ln>
                  </pic:spPr>
                </pic:pic>
              </a:graphicData>
            </a:graphic>
          </wp:inline>
        </w:drawing>
      </w:r>
    </w:p>
    <w:p w:rsidR="002168B9" w:rsidRDefault="002168B9" w:rsidP="00A83243">
      <w:pPr>
        <w:pStyle w:val="TableDescription"/>
      </w:pPr>
      <w:r w:rsidRPr="002168B9">
        <w:t>1 = Data presented to the FDA requested subjects only</w:t>
      </w:r>
      <w:r w:rsidR="008853AB">
        <w:t>.</w:t>
      </w:r>
    </w:p>
    <w:p w:rsidR="00C84507" w:rsidRDefault="00C84507" w:rsidP="00C84507">
      <w:pPr>
        <w:pStyle w:val="Heading5"/>
      </w:pPr>
      <w:r w:rsidRPr="00C84507">
        <w:t xml:space="preserve">Clinical </w:t>
      </w:r>
      <w:r>
        <w:t>e</w:t>
      </w:r>
      <w:r w:rsidRPr="00C84507">
        <w:t xml:space="preserve">valuator’s </w:t>
      </w:r>
      <w:r>
        <w:t>comment</w:t>
      </w:r>
    </w:p>
    <w:p w:rsidR="00C84507" w:rsidRPr="00C84507" w:rsidRDefault="00C84507" w:rsidP="00C84507">
      <w:r w:rsidRPr="00C84507">
        <w:t>The initial submission included repeat</w:t>
      </w:r>
      <w:r w:rsidR="008853AB">
        <w:t xml:space="preserve"> </w:t>
      </w:r>
      <w:r w:rsidRPr="00C84507">
        <w:t xml:space="preserve">dose PK data in patients with FXIII deficiency from the pivotal </w:t>
      </w:r>
      <w:r w:rsidR="00067AB8">
        <w:t>Phase III</w:t>
      </w:r>
      <w:r w:rsidRPr="00C84507">
        <w:t xml:space="preserve"> trial (F13CD-1725) and the extension to this trial (F13CD-3720). In the pivotal trial (F13CD-1725), the mean trough level for FXIII activity in 41 patients was approximately 0.2 IU/mL over 52 weeks with once monthly dosing with rFXIII 35 IU/kg. In this trial, FXIII activity increased from pre</w:t>
      </w:r>
      <w:r w:rsidR="008853AB">
        <w:t xml:space="preserve"> </w:t>
      </w:r>
      <w:r w:rsidRPr="00C84507">
        <w:t xml:space="preserve">dose levels of </w:t>
      </w:r>
      <w:r w:rsidR="008853AB">
        <w:t>approximately 0.2 IU/mL to post dose levels at 1 h</w:t>
      </w:r>
      <w:r w:rsidRPr="00C84507">
        <w:t xml:space="preserve"> of approximately 0.7 to 0.9 IU/mL. In the extension trial (F13CD-3720), the mean trough levels for FXIII activity through to 72 weeks from initiation of treatment were consistent with the corresponding levels in </w:t>
      </w:r>
      <w:r w:rsidR="008853AB">
        <w:t xml:space="preserve">Study </w:t>
      </w:r>
      <w:r w:rsidRPr="00C84507">
        <w:t xml:space="preserve">F13CD-1725 through to </w:t>
      </w:r>
      <w:r w:rsidR="000132BC">
        <w:t>W</w:t>
      </w:r>
      <w:r w:rsidRPr="00C84507">
        <w:t>eek 5</w:t>
      </w:r>
      <w:r w:rsidR="00A83243">
        <w:t>2 from initiation of treatment.</w:t>
      </w:r>
    </w:p>
    <w:p w:rsidR="00C84507" w:rsidRPr="00C84507" w:rsidRDefault="00C84507" w:rsidP="00C84507">
      <w:r w:rsidRPr="00C84507">
        <w:t xml:space="preserve">The additional PK data submitted to the FDA, based on an amendment to trial F13CD-3720, showed that satisfactory FXIII activity levels were maintained over the </w:t>
      </w:r>
      <w:r w:rsidR="00314DDF" w:rsidRPr="00FF3DE3">
        <w:rPr>
          <w:rFonts w:cs="¸ø&amp;‘"/>
          <w:lang w:val="en-US"/>
        </w:rPr>
        <w:t xml:space="preserve">28 ± 2 </w:t>
      </w:r>
      <w:r w:rsidRPr="00C84507">
        <w:t>days dosing interval in the FDA specified patients from trial F13CD-1725. It was not entirely clear, either from the sponsor’s response to the FDA or from the amended report for F13CD-3720, why the FDA selected the 9 specified patients for analysis. It is assumed that the FDA was concerned about the ability of the specified patients to maintain adequate FXIII activity levels over the 28 day dosing interval. The PK steady</w:t>
      </w:r>
      <w:r w:rsidR="00C078AF">
        <w:t xml:space="preserve"> </w:t>
      </w:r>
      <w:r w:rsidRPr="00C84507">
        <w:t xml:space="preserve">state amendment to F13CD-3720 is outlined in </w:t>
      </w:r>
      <w:r w:rsidR="000B013C">
        <w:t>CER1</w:t>
      </w:r>
      <w:r w:rsidRPr="00C84507">
        <w:t>. The baseline demographic characteristics of the FDA specified and non</w:t>
      </w:r>
      <w:r w:rsidR="000B013C">
        <w:t xml:space="preserve"> </w:t>
      </w:r>
      <w:r w:rsidRPr="00C84507">
        <w:t xml:space="preserve">FDA specified patients included in the F13CD-3720 amendment are provided </w:t>
      </w:r>
      <w:r w:rsidR="000B013C" w:rsidRPr="00C84507">
        <w:t xml:space="preserve">in </w:t>
      </w:r>
      <w:r w:rsidR="000B013C">
        <w:t>CER1</w:t>
      </w:r>
      <w:r w:rsidRPr="00C84507">
        <w:t>. The FXIII activity PK parameters for the FDA specified and the non</w:t>
      </w:r>
      <w:r w:rsidR="00EB4E4D">
        <w:t xml:space="preserve"> </w:t>
      </w:r>
      <w:r w:rsidRPr="00C84507">
        <w:t xml:space="preserve">FDA specified patients assessed in </w:t>
      </w:r>
      <w:r w:rsidR="006310C2">
        <w:t>F13CD-3720 were comparable</w:t>
      </w:r>
      <w:r w:rsidRPr="00C84507">
        <w:t xml:space="preserve">, as were the FXIII activity parameters from F13CD-1725 and the total </w:t>
      </w:r>
      <w:r w:rsidR="006310C2">
        <w:t>population from F13CD-3720</w:t>
      </w:r>
      <w:r w:rsidR="00A83243">
        <w:t>.</w:t>
      </w:r>
    </w:p>
    <w:p w:rsidR="00C84507" w:rsidRPr="000132BC" w:rsidRDefault="00D30951" w:rsidP="000132BC">
      <w:pPr>
        <w:pStyle w:val="ListBullet"/>
      </w:pPr>
      <w:r>
        <w:rPr>
          <w:b/>
        </w:rPr>
        <w:t>FDA Item 20 (Clinical</w:t>
      </w:r>
      <w:r w:rsidR="00C84507" w:rsidRPr="000132BC">
        <w:rPr>
          <w:b/>
        </w:rPr>
        <w:t>) –</w:t>
      </w:r>
      <w:r w:rsidR="00C84507" w:rsidRPr="000132BC">
        <w:t xml:space="preserve"> This question concer</w:t>
      </w:r>
      <w:r w:rsidR="00983056">
        <w:t xml:space="preserve">ned a difference between plasma </w:t>
      </w:r>
      <w:r w:rsidR="00C84507" w:rsidRPr="000132BC">
        <w:t>derived Factor XIII (Fibrogammin P) and NovoThirteen relating to the extent to which each compete for the anti</w:t>
      </w:r>
      <w:r w:rsidR="00983056">
        <w:t xml:space="preserve"> </w:t>
      </w:r>
      <w:r w:rsidR="00C84507" w:rsidRPr="000132BC">
        <w:t>rFXIII A2 positive control antibodies in an ELISA (final report titled “NN0665-979-B Anti-Factor XIII antibodies Determination of the Isotype and Cross reactivity of anti-FXIII Antibodies in Human plasma [EDTA] Using ELISA"). NovoThirteen inhibits in the range of 77-82%, whereas Fibrogammin P inhibits in the range of 52-72%. The FDA noted that the report conjectures that this difference is due to the B</w:t>
      </w:r>
      <w:r w:rsidR="00983056">
        <w:t xml:space="preserve"> </w:t>
      </w:r>
      <w:r w:rsidR="00C84507" w:rsidRPr="000132BC">
        <w:t>subunit of Factor XIII blocking an epitope on the A</w:t>
      </w:r>
      <w:r w:rsidR="00983056">
        <w:t xml:space="preserve"> </w:t>
      </w:r>
      <w:r w:rsidR="00C84507" w:rsidRPr="000132BC">
        <w:t>subunit in Fibrogammin P, but not in NovoThirteen. However, the FDA conjectures that another possibility is that NovoThirteen contains antigenic determinants that are not present in Fibrogammin P. The FDA requested the sponsor to submit a final study report for a nonclinical study that can explain the apparent differences in antigenic structure between NovoThirteen and Fibrogammin P.</w:t>
      </w:r>
    </w:p>
    <w:p w:rsidR="00C84507" w:rsidRDefault="00C84507" w:rsidP="00C84507">
      <w:pPr>
        <w:pStyle w:val="Heading5"/>
      </w:pPr>
      <w:r>
        <w:lastRenderedPageBreak/>
        <w:t>Sponsor’s response</w:t>
      </w:r>
    </w:p>
    <w:p w:rsidR="00C84507" w:rsidRPr="00C84507" w:rsidRDefault="00C84507" w:rsidP="00C84507">
      <w:r w:rsidRPr="00C84507">
        <w:t>The study report NN0665-978-B showed an apparent lower level of signal reduction using Fibrogammin P compared to NovoThirteen (rFXIII, FXIII A</w:t>
      </w:r>
      <w:r w:rsidRPr="00461258">
        <w:rPr>
          <w:vertAlign w:val="subscript"/>
        </w:rPr>
        <w:t>2</w:t>
      </w:r>
      <w:r w:rsidRPr="00C84507">
        <w:t>). We acknowledge that this could be interpreted as if NovoThirteen contains unique antigenic determinants not present</w:t>
      </w:r>
      <w:r w:rsidR="00790DAA">
        <w:t xml:space="preserve"> in Fibrogammin P. In a new non</w:t>
      </w:r>
      <w:r w:rsidRPr="00C84507">
        <w:t>clinical study we have investigated these results further and found that the apparent lower level of signal reduction by Fibrogammin P is par</w:t>
      </w:r>
      <w:r w:rsidR="00790DAA">
        <w:t xml:space="preserve">tly due to a Fibrogammin P dose </w:t>
      </w:r>
      <w:r w:rsidRPr="00C84507">
        <w:t>dependent signal increase in the anti</w:t>
      </w:r>
      <w:r w:rsidR="00AA1D5A">
        <w:t xml:space="preserve"> </w:t>
      </w:r>
      <w:r w:rsidRPr="00C84507">
        <w:t>FXIII antibo</w:t>
      </w:r>
      <w:r w:rsidR="00790DAA">
        <w:t xml:space="preserve">dy ELISA in the absence of anti </w:t>
      </w:r>
      <w:r w:rsidRPr="00C84507">
        <w:t>FXIII antibodies. This unspecific Fibrogammin P signal is seen using an antibody negative monkey plasma. In this new nonclinical study</w:t>
      </w:r>
      <w:r w:rsidR="00461258">
        <w:t>,</w:t>
      </w:r>
      <w:r w:rsidRPr="00C84507">
        <w:t xml:space="preserve"> we have therefore background adjusted the signal and by that also the level of inhibition based on signal obtained from negative monkey plasma. However, there still appears to be a lower level (69% versus 96%) of inhibition using Fi</w:t>
      </w:r>
      <w:r w:rsidR="00461258">
        <w:t>brogammin P than NovoThirteen. However, s</w:t>
      </w:r>
      <w:r w:rsidRPr="00C84507">
        <w:t>imilar inhibition</w:t>
      </w:r>
      <w:r w:rsidR="00461258">
        <w:t xml:space="preserve"> (91% versus 96%) can </w:t>
      </w:r>
      <w:r w:rsidRPr="00C84507">
        <w:t>be obtained by increasing the concentration of Fibrogammin P antigen to 4 U/ml in the assay. The need for higher concentration of Fibrogammin P may be due to the B</w:t>
      </w:r>
      <w:r w:rsidR="00461258">
        <w:t xml:space="preserve"> </w:t>
      </w:r>
      <w:r w:rsidRPr="00C84507">
        <w:t>subunit of Factor XIII (or the high albumin content of the product) partially blocking epitopes on the A subunit in Fibrogammin P but not in NovoThir</w:t>
      </w:r>
      <w:r w:rsidR="00461258">
        <w:t>teen. Nevertheless, the new non</w:t>
      </w:r>
      <w:r w:rsidRPr="00C84507">
        <w:t>clinical study demonstrates that immunogenic epitopes of NovoThirteen (in antibody positive monkey serum) are also present in Fibrogammin P. The results are summari</w:t>
      </w:r>
      <w:r w:rsidR="00020F31">
        <w:t>s</w:t>
      </w:r>
      <w:r w:rsidRPr="00C84507">
        <w:t xml:space="preserve">ed in the </w:t>
      </w:r>
      <w:r w:rsidR="00020F31">
        <w:t>Table 6</w:t>
      </w:r>
      <w:r w:rsidRPr="00C84507">
        <w:t>.</w:t>
      </w:r>
    </w:p>
    <w:p w:rsidR="00541A74" w:rsidRDefault="00541A74" w:rsidP="00541A74">
      <w:pPr>
        <w:pStyle w:val="TableTitle"/>
      </w:pPr>
      <w:r>
        <w:t>Table 6:</w:t>
      </w:r>
      <w:r w:rsidRPr="004C5C28">
        <w:t xml:space="preserve"> </w:t>
      </w:r>
      <w:r w:rsidR="00461258">
        <w:t>Sponsor’s FDA response: r</w:t>
      </w:r>
      <w:r w:rsidR="00DC6EF7" w:rsidRPr="00DC6EF7">
        <w:t>esults of adding additional Fibrogammin P for signal reduction</w:t>
      </w:r>
      <w:r>
        <w:t>.</w:t>
      </w:r>
    </w:p>
    <w:p w:rsidR="000B2C18" w:rsidRDefault="00A938FA" w:rsidP="00C84507">
      <w:r>
        <w:rPr>
          <w:noProof/>
          <w:lang w:eastAsia="en-AU"/>
        </w:rPr>
        <w:drawing>
          <wp:inline distT="0" distB="0" distL="0" distR="0">
            <wp:extent cx="5391150" cy="1957705"/>
            <wp:effectExtent l="0" t="0" r="0" b="4445"/>
            <wp:docPr id="8" name="Picture 8" descr="Table 6: Sponsor’s FDA response: results of adding additional Fibrogammin P for signal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6: Sponsor’s FDA response: results of adding additional Fibrogammin P for signal reduc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1957705"/>
                    </a:xfrm>
                    <a:prstGeom prst="rect">
                      <a:avLst/>
                    </a:prstGeom>
                    <a:noFill/>
                    <a:ln>
                      <a:noFill/>
                    </a:ln>
                  </pic:spPr>
                </pic:pic>
              </a:graphicData>
            </a:graphic>
          </wp:inline>
        </w:drawing>
      </w:r>
    </w:p>
    <w:p w:rsidR="00BF5985" w:rsidRDefault="00BF5985" w:rsidP="00BF5985">
      <w:pPr>
        <w:pStyle w:val="Heading5"/>
      </w:pPr>
      <w:r w:rsidRPr="00BF5985">
        <w:t xml:space="preserve">Clinical </w:t>
      </w:r>
      <w:r>
        <w:t>e</w:t>
      </w:r>
      <w:r w:rsidRPr="00BF5985">
        <w:t>val</w:t>
      </w:r>
      <w:r>
        <w:t>uator’s comment</w:t>
      </w:r>
    </w:p>
    <w:p w:rsidR="00BF5985" w:rsidRPr="00BF5985" w:rsidRDefault="00BF5985" w:rsidP="00BF5985">
      <w:r w:rsidRPr="00BF5985">
        <w:t>The available data suggest that the immunogenicity of NovoThirteen is potentially greater than that of NovoThirteen due to the presence of unique antigenic determinants in the product not found in Fibrogammin P. However, from a clinical perspective the immunogenicity of rFXIII in patients with congenital FXIII deficiency has been relatively well characteri</w:t>
      </w:r>
      <w:r w:rsidR="00EE3CEB">
        <w:t>s</w:t>
      </w:r>
      <w:r w:rsidRPr="00BF5985">
        <w:t xml:space="preserve">ed and does not give rise to serious concern. Nevertheless, it is suggested that the </w:t>
      </w:r>
      <w:r w:rsidR="004C7398">
        <w:t>clinical and nonclinical</w:t>
      </w:r>
      <w:r w:rsidRPr="00BF5985">
        <w:t xml:space="preserve"> evaluators review the FDA question and the sponsor’s response</w:t>
      </w:r>
      <w:r w:rsidR="00A74F4E">
        <w:t>.</w:t>
      </w:r>
    </w:p>
    <w:p w:rsidR="00BF5985" w:rsidRPr="000132BC" w:rsidRDefault="00EB0DD9" w:rsidP="000132BC">
      <w:pPr>
        <w:pStyle w:val="ListBullet"/>
      </w:pPr>
      <w:r>
        <w:rPr>
          <w:b/>
        </w:rPr>
        <w:t>FDA Item</w:t>
      </w:r>
      <w:r w:rsidR="00BF5985" w:rsidRPr="000132BC">
        <w:rPr>
          <w:b/>
        </w:rPr>
        <w:t xml:space="preserve"> 21 (</w:t>
      </w:r>
      <w:r>
        <w:rPr>
          <w:b/>
        </w:rPr>
        <w:t>Clinical</w:t>
      </w:r>
      <w:r w:rsidR="00BF5985" w:rsidRPr="000132BC">
        <w:rPr>
          <w:b/>
        </w:rPr>
        <w:t>) –</w:t>
      </w:r>
      <w:r w:rsidR="00BF5985" w:rsidRPr="000132BC">
        <w:t xml:space="preserve"> In this question</w:t>
      </w:r>
      <w:r w:rsidR="00675388">
        <w:t>,</w:t>
      </w:r>
      <w:r w:rsidR="00BF5985" w:rsidRPr="000132BC">
        <w:t xml:space="preserve"> the FDA raised concerns about several patients being classified as having “antigen specific” (AS) antibodies at certain study visits, but as having “not</w:t>
      </w:r>
      <w:r w:rsidR="00675388">
        <w:t xml:space="preserve"> </w:t>
      </w:r>
      <w:r w:rsidR="00BF5985" w:rsidRPr="000132BC">
        <w:t>antigen specific antibodies” (NAS) at study visits immediately preceding or following (Item 21a). The FDA states that if the operative definition of "antigen spe</w:t>
      </w:r>
      <w:r w:rsidR="00ED6B5D">
        <w:t>cificity" depends upon the titre</w:t>
      </w:r>
      <w:r w:rsidR="00BF5985" w:rsidRPr="000132BC">
        <w:t xml:space="preserve"> of the antibody that is formed in response to exposure to the study agent, then this definition should not be used to describe the results of a clinical trial unless the two classifications AS and NAS can be shown to have clinically important correlates. The FDA also considered it inappropriate to describe the anti</w:t>
      </w:r>
      <w:r w:rsidR="00ED6B5D">
        <w:t xml:space="preserve"> </w:t>
      </w:r>
      <w:r w:rsidR="00BF5985" w:rsidRPr="000132BC">
        <w:t xml:space="preserve">FXIII antibodies observed in </w:t>
      </w:r>
      <w:r w:rsidR="00ED6B5D">
        <w:t>S</w:t>
      </w:r>
      <w:r w:rsidR="00BF5985" w:rsidRPr="000132BC">
        <w:t>tudy F13CD-</w:t>
      </w:r>
      <w:r w:rsidR="00ED6B5D">
        <w:t>1725 as “non neutralising”</w:t>
      </w:r>
      <w:r w:rsidR="00BF5985" w:rsidRPr="000132BC">
        <w:t xml:space="preserve">. The study protocol definition of "neutralising antibody" is based on the ability of the antibody to inhibit the Berichrom FXIII activity assay, which uses a synthetic peptide </w:t>
      </w:r>
      <w:r w:rsidR="00BF5985" w:rsidRPr="000132BC">
        <w:lastRenderedPageBreak/>
        <w:t>substrate to generate free ammonia consumed in a subsequent enzymatic reaction, resulting in a change in nicotinamide adenine dinucleotide (NADH) levels detected photometrically. Although the Berichrom assay has some advantages for measuring FXIII activity levels in clinical samples, this def</w:t>
      </w:r>
      <w:r w:rsidR="00ED6B5D">
        <w:t>inition of “neutralising antibody”</w:t>
      </w:r>
      <w:r w:rsidR="00BF5985" w:rsidRPr="000132BC">
        <w:t xml:space="preserve"> may not be sufficient because the Berichrom FXIII activity assay has not been clinically validated for this use. There may be antibodies that alter the clinical effect of FXIII, perhaps by altering its </w:t>
      </w:r>
      <w:r w:rsidR="001C3720">
        <w:t>PK</w:t>
      </w:r>
      <w:r w:rsidR="00BF5985" w:rsidRPr="000132BC">
        <w:t xml:space="preserve"> or by altering its ability to properly interact with its fibrin substrate, but which do not interfere with its activity as measured by the Berichrom assay. Due to this uncertainty about the clinical meaning of the observation of antibodies to FXIII which do not interfere with the Berichrom assay, but which may interfere with some FXIII functions (</w:t>
      </w:r>
      <w:r w:rsidR="001C3720">
        <w:t>PK</w:t>
      </w:r>
      <w:r w:rsidR="00886706">
        <w:t xml:space="preserve">, fibrin cross </w:t>
      </w:r>
      <w:r w:rsidR="00BF5985" w:rsidRPr="000132BC">
        <w:t>linking), the FDA thought it not appropriate to describe the anti</w:t>
      </w:r>
      <w:r w:rsidR="00886706">
        <w:t xml:space="preserve"> </w:t>
      </w:r>
      <w:r w:rsidR="00BF5985" w:rsidRPr="000132BC">
        <w:t xml:space="preserve">FXIII antibodies observed in </w:t>
      </w:r>
      <w:r w:rsidR="00886706">
        <w:t>S</w:t>
      </w:r>
      <w:r w:rsidR="00BF5985" w:rsidRPr="000132BC">
        <w:t xml:space="preserve">tudy </w:t>
      </w:r>
      <w:r w:rsidR="00886706">
        <w:t>F13CD-1725 as “non neutralising”</w:t>
      </w:r>
      <w:r w:rsidR="00BF5985" w:rsidRPr="000132BC">
        <w:t>. It requested the sponsor to remove categorizations of antibody forma</w:t>
      </w:r>
      <w:r w:rsidR="00886706">
        <w:t>tion to the product based upon “</w:t>
      </w:r>
      <w:r w:rsidR="00BF5985" w:rsidRPr="000132BC">
        <w:t>neutrali</w:t>
      </w:r>
      <w:r w:rsidR="00886706">
        <w:t>sation”</w:t>
      </w:r>
      <w:r w:rsidR="00BF5985" w:rsidRPr="000132BC">
        <w:t xml:space="preserve"> from the product label, or submit a final report that clinically validates the use of the Berichrom assay for the detection of neutralising antibodies to the product.</w:t>
      </w:r>
    </w:p>
    <w:p w:rsidR="00BF5985" w:rsidRDefault="00BF5985" w:rsidP="000132BC">
      <w:pPr>
        <w:pStyle w:val="Heading5"/>
      </w:pPr>
      <w:r>
        <w:t>Sponsor’s response</w:t>
      </w:r>
    </w:p>
    <w:p w:rsidR="00BF5985" w:rsidRPr="00BF5985" w:rsidRDefault="00BF5985" w:rsidP="00BF5985">
      <w:r w:rsidRPr="00BF5985">
        <w:t>In response to Item 21a, the sponsor stated that the tiered analytical approach applied for detection of anti</w:t>
      </w:r>
      <w:r w:rsidR="00283C8A">
        <w:t xml:space="preserve"> </w:t>
      </w:r>
      <w:r w:rsidRPr="00BF5985">
        <w:t>FXIII antibodies is in line with scientific</w:t>
      </w:r>
      <w:r w:rsidR="008339CE">
        <w:t xml:space="preserve"> whitepapers</w:t>
      </w:r>
      <w:r w:rsidRPr="00BF5985">
        <w:t>,</w:t>
      </w:r>
      <w:r w:rsidR="008339CE">
        <w:rPr>
          <w:rStyle w:val="FootnoteReference"/>
        </w:rPr>
        <w:footnoteReference w:id="17"/>
      </w:r>
      <w:r w:rsidRPr="00BF5985">
        <w:t xml:space="preserve"> and draft regulatory guidelines</w:t>
      </w:r>
      <w:r w:rsidR="00CF0B74">
        <w:t>.</w:t>
      </w:r>
      <w:r w:rsidR="00CF0B74">
        <w:rPr>
          <w:rStyle w:val="FootnoteReference"/>
        </w:rPr>
        <w:footnoteReference w:id="18"/>
      </w:r>
      <w:r w:rsidR="00296FC3">
        <w:t xml:space="preserve"> </w:t>
      </w:r>
      <w:r w:rsidRPr="00BF5985">
        <w:t>Following an ini</w:t>
      </w:r>
      <w:r w:rsidR="003908D5">
        <w:t xml:space="preserve">tial screening result above cut </w:t>
      </w:r>
      <w:r w:rsidRPr="00BF5985">
        <w:t>point (samples described as R, reactive), samples were subjected to a</w:t>
      </w:r>
      <w:r w:rsidR="00C37F77">
        <w:t xml:space="preserve"> confirmatory assay through pre </w:t>
      </w:r>
      <w:r w:rsidRPr="00BF5985">
        <w:t>incubation with buffer, rFXIII or an unrelated antigen. The analytical method validation defines a sample as antibody POSITIVE (</w:t>
      </w:r>
      <w:r w:rsidR="003E7452">
        <w:t>AS</w:t>
      </w:r>
      <w:r w:rsidRPr="00BF5985">
        <w:t>) if:</w:t>
      </w:r>
      <w:r w:rsidR="00CD52B1">
        <w:t xml:space="preserve"> </w:t>
      </w:r>
      <w:r w:rsidRPr="00BF5985">
        <w:t>(i) ≥ 30% decrease in signal absorbance units (compared to buffer alone) upon pre-incubation with rFXIII; and (ii) &lt; 20% decrease in signal absorbance units (compared to buffer alone) upon pre</w:t>
      </w:r>
      <w:r w:rsidR="00BF1851">
        <w:t xml:space="preserve"> </w:t>
      </w:r>
      <w:r w:rsidRPr="00BF5985">
        <w:t xml:space="preserve">incubation with rFVIIa. If the criteria are not met, </w:t>
      </w:r>
      <w:r w:rsidR="003E7452">
        <w:t xml:space="preserve">the sample is NEGATIVE for anti </w:t>
      </w:r>
      <w:r w:rsidRPr="00BF5985">
        <w:t xml:space="preserve">rFXIII antibodies (NAS). Titration of antibody positive samples is performed subsequently on antibody positive samples only and this evaluation has no impact on the qualification of the sample as being positive or negative for specific antibodies against rFXIII. The procedure is outlined in </w:t>
      </w:r>
      <w:r w:rsidR="00927674">
        <w:t>Figure 3</w:t>
      </w:r>
      <w:r w:rsidR="00A83243">
        <w:t>.</w:t>
      </w:r>
    </w:p>
    <w:p w:rsidR="00D54268" w:rsidRDefault="00EF635E" w:rsidP="00D54268">
      <w:pPr>
        <w:pStyle w:val="FigureTitle"/>
      </w:pPr>
      <w:r>
        <w:br w:type="page"/>
      </w:r>
      <w:r w:rsidR="00D54268">
        <w:lastRenderedPageBreak/>
        <w:t>Figure 3</w:t>
      </w:r>
      <w:r w:rsidR="00D54268" w:rsidRPr="00C337CB">
        <w:t xml:space="preserve">. </w:t>
      </w:r>
      <w:r w:rsidR="0053346B">
        <w:t>Sponsor’s FDA response: a</w:t>
      </w:r>
      <w:r w:rsidR="004C69EF" w:rsidRPr="004C69EF">
        <w:t>nalytical flow for detection and evaluation of antibodies against rFXIII</w:t>
      </w:r>
      <w:r w:rsidR="00D54268">
        <w:t>.</w:t>
      </w:r>
    </w:p>
    <w:p w:rsidR="004C69EF" w:rsidRDefault="00A938FA" w:rsidP="00C84507">
      <w:r>
        <w:rPr>
          <w:noProof/>
          <w:lang w:eastAsia="en-AU"/>
        </w:rPr>
        <w:drawing>
          <wp:inline distT="0" distB="0" distL="0" distR="0">
            <wp:extent cx="2788285" cy="2552700"/>
            <wp:effectExtent l="0" t="0" r="0" b="0"/>
            <wp:docPr id="9" name="Picture 9" descr="Figure 3. Sponsor’s FDA response: analytical flow for detection and evaluation of antibodies against rFX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3. Sponsor’s FDA response: analytical flow for detection and evaluation of antibodies against rFXII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8285" cy="2552700"/>
                    </a:xfrm>
                    <a:prstGeom prst="rect">
                      <a:avLst/>
                    </a:prstGeom>
                    <a:noFill/>
                    <a:ln>
                      <a:noFill/>
                    </a:ln>
                  </pic:spPr>
                </pic:pic>
              </a:graphicData>
            </a:graphic>
          </wp:inline>
        </w:drawing>
      </w:r>
    </w:p>
    <w:p w:rsidR="003E11E9" w:rsidRPr="003E11E9" w:rsidRDefault="003E11E9" w:rsidP="003E11E9">
      <w:r w:rsidRPr="003E11E9">
        <w:t xml:space="preserve">In response to Item 21b, the sponsor stated that FXIII deficiency is a very rare disease and there is limited experience with antibody development in this patient population. As antibody positive samples from patients with clinical manifestations are not available, the applied assay for the </w:t>
      </w:r>
      <w:r w:rsidRPr="00A31A0B">
        <w:rPr>
          <w:i/>
        </w:rPr>
        <w:t>in vitro</w:t>
      </w:r>
      <w:r w:rsidRPr="003E11E9">
        <w:t xml:space="preserve"> evaluation of activity neutralising antibodies has not been clinically validated. However, the assay adheres to recently published recommendations by the Factor XIII and Fibrinogen subcommittee </w:t>
      </w:r>
      <w:r w:rsidR="00E926F7">
        <w:t xml:space="preserve">of the </w:t>
      </w:r>
      <w:r w:rsidR="00301C93">
        <w:t>International Society on Thrombosis and Haemostasis (</w:t>
      </w:r>
      <w:r w:rsidR="00E926F7">
        <w:t>ISTH</w:t>
      </w:r>
      <w:r w:rsidR="00301C93">
        <w:t>)</w:t>
      </w:r>
      <w:r w:rsidRPr="003E11E9">
        <w:t>.</w:t>
      </w:r>
      <w:r w:rsidR="00E926F7">
        <w:rPr>
          <w:rStyle w:val="FootnoteReference"/>
        </w:rPr>
        <w:footnoteReference w:id="19"/>
      </w:r>
      <w:r w:rsidRPr="003E11E9">
        <w:t xml:space="preserve"> As there are no indications that the antibodi</w:t>
      </w:r>
      <w:r w:rsidR="00A45C91">
        <w:t xml:space="preserve">es observed have a neutralising or inhibitory effect, </w:t>
      </w:r>
      <w:r w:rsidRPr="003E11E9">
        <w:t>we find it appropriate to d</w:t>
      </w:r>
      <w:r w:rsidR="00A45C91">
        <w:t xml:space="preserve">escribe these antibodies as non </w:t>
      </w:r>
      <w:r w:rsidRPr="003E11E9">
        <w:t>neutralising in the product labelling.</w:t>
      </w:r>
    </w:p>
    <w:p w:rsidR="003E11E9" w:rsidRDefault="003E11E9" w:rsidP="003E11E9">
      <w:pPr>
        <w:pStyle w:val="Heading5"/>
      </w:pPr>
      <w:r>
        <w:t>Clinical evaluator’s comment</w:t>
      </w:r>
    </w:p>
    <w:p w:rsidR="003E11E9" w:rsidRPr="003E11E9" w:rsidRDefault="003E11E9" w:rsidP="003E11E9">
      <w:r w:rsidRPr="003E11E9">
        <w:t xml:space="preserve">The sponsor’s response is considered to be reasonable from a clinical perspective. However, is suggested that the </w:t>
      </w:r>
      <w:r w:rsidR="00A62474">
        <w:t>chemistry</w:t>
      </w:r>
      <w:r w:rsidRPr="003E11E9">
        <w:t xml:space="preserve"> evaluator review the FDA quest</w:t>
      </w:r>
      <w:r w:rsidR="00A83243">
        <w:t>ion and the sponsor’s response.</w:t>
      </w:r>
    </w:p>
    <w:p w:rsidR="00FC4DB9" w:rsidRDefault="00EF00CD" w:rsidP="00A31A0B">
      <w:pPr>
        <w:pStyle w:val="ListBullet"/>
      </w:pPr>
      <w:r>
        <w:rPr>
          <w:b/>
        </w:rPr>
        <w:t>FDA Item</w:t>
      </w:r>
      <w:r w:rsidR="00A31A0B" w:rsidRPr="00A31A0B">
        <w:rPr>
          <w:b/>
        </w:rPr>
        <w:t xml:space="preserve"> 22 (C</w:t>
      </w:r>
      <w:r>
        <w:rPr>
          <w:b/>
        </w:rPr>
        <w:t>linical</w:t>
      </w:r>
      <w:r w:rsidR="00A31A0B" w:rsidRPr="00A31A0B">
        <w:rPr>
          <w:b/>
        </w:rPr>
        <w:t>) -</w:t>
      </w:r>
      <w:r w:rsidR="00A31A0B" w:rsidRPr="00A31A0B">
        <w:t xml:space="preserve"> On page 53 of 705 of the F13CD-1725 study report, in section 11.3.1.2 Clot Sol</w:t>
      </w:r>
      <w:r w:rsidR="00FC4DB9">
        <w:t>ubility, you state as follows:</w:t>
      </w:r>
    </w:p>
    <w:p w:rsidR="00FC4DB9" w:rsidRPr="00FC4DB9" w:rsidRDefault="00A31A0B" w:rsidP="00FC4DB9">
      <w:pPr>
        <w:pStyle w:val="ListBullet"/>
        <w:numPr>
          <w:ilvl w:val="0"/>
          <w:numId w:val="0"/>
        </w:numPr>
        <w:ind w:left="720"/>
        <w:rPr>
          <w:i/>
        </w:rPr>
      </w:pPr>
      <w:r w:rsidRPr="00FC4DB9">
        <w:rPr>
          <w:i/>
        </w:rPr>
        <w:t>“The fact that there are 46 clot lysis observations for FXIII activity levels &gt;0.10 IU/mL reflects that the Berichrom assay for quantifying FXIII activity levels is prone to stochastic variations (espec</w:t>
      </w:r>
      <w:r w:rsidR="00FC4DB9" w:rsidRPr="00FC4DB9">
        <w:rPr>
          <w:i/>
        </w:rPr>
        <w:t>ially at low activity levels)</w:t>
      </w:r>
      <w:r w:rsidR="00FC4DB9">
        <w:rPr>
          <w:i/>
        </w:rPr>
        <w:t>.”</w:t>
      </w:r>
    </w:p>
    <w:p w:rsidR="00A31A0B" w:rsidRPr="00A31A0B" w:rsidRDefault="00A31A0B" w:rsidP="00FC4DB9">
      <w:pPr>
        <w:pStyle w:val="ListBullet"/>
        <w:numPr>
          <w:ilvl w:val="0"/>
          <w:numId w:val="0"/>
        </w:numPr>
        <w:ind w:left="360"/>
      </w:pPr>
      <w:r w:rsidRPr="00A31A0B">
        <w:t>However, the FDA noted that another possible explanation for this finding may be that subjects may have antibodies to the product that interfere with the clot stabili</w:t>
      </w:r>
      <w:r w:rsidR="00A8211E">
        <w:t>s</w:t>
      </w:r>
      <w:r w:rsidRPr="00A31A0B">
        <w:t>ation process, but not with the chromogenic Berichrom assay, which measures NADH absorbance changes due to enzyme action on free ammonia that is released from a small peptide that is used as an artificial substrate for the measurement of circulating Factor XIII.</w:t>
      </w:r>
    </w:p>
    <w:p w:rsidR="00A31A0B" w:rsidRDefault="00A31A0B" w:rsidP="00A31A0B">
      <w:pPr>
        <w:pStyle w:val="Heading5"/>
      </w:pPr>
      <w:r w:rsidRPr="00A31A0B">
        <w:t xml:space="preserve">Sponsor’s </w:t>
      </w:r>
      <w:r>
        <w:t>r</w:t>
      </w:r>
      <w:r w:rsidRPr="00A31A0B">
        <w:t>esponse</w:t>
      </w:r>
    </w:p>
    <w:p w:rsidR="00A31A0B" w:rsidRPr="00A31A0B" w:rsidRDefault="00A31A0B" w:rsidP="00A31A0B">
      <w:r w:rsidRPr="00A31A0B">
        <w:t>The clot solubility test is a qualitative assay to assess the clot strength. This assay is commonly used as a primary screening test for the detection of FXIII deficiency, but this assay only detects severe deficiencies. The assay is poorly standardi</w:t>
      </w:r>
      <w:r w:rsidR="009D1C95">
        <w:t>s</w:t>
      </w:r>
      <w:r w:rsidRPr="00A31A0B">
        <w:t xml:space="preserve">ed and varies in </w:t>
      </w:r>
      <w:r w:rsidRPr="00A31A0B">
        <w:lastRenderedPageBreak/>
        <w:t>degree of sensitivity</w:t>
      </w:r>
      <w:r w:rsidR="001C0135">
        <w:t>.</w:t>
      </w:r>
      <w:r w:rsidR="001C0135">
        <w:rPr>
          <w:rStyle w:val="FootnoteReference"/>
        </w:rPr>
        <w:footnoteReference w:id="20"/>
      </w:r>
      <w:r w:rsidR="00E9457A">
        <w:t xml:space="preserve"> </w:t>
      </w:r>
      <w:r w:rsidRPr="00A31A0B">
        <w:t xml:space="preserve">The immunogenicity of rFXIII and the clinical effects of any immunological reactions towards rFXIII were studied in the context of the pivotal </w:t>
      </w:r>
      <w:r w:rsidR="00067AB8">
        <w:t>Phase III</w:t>
      </w:r>
      <w:r w:rsidRPr="00A31A0B">
        <w:t xml:space="preserve"> Trial F13CD-1725 and the extension Trial F13CD-3720. In addition, the steady</w:t>
      </w:r>
      <w:r w:rsidR="007E08C8">
        <w:t xml:space="preserve"> </w:t>
      </w:r>
      <w:r w:rsidRPr="00A31A0B">
        <w:t>state PK assessment was recently performed and concluded that the PK parameters as well as the clearance of rFXIII are not affected by any extrinsic or intrinsic factors.</w:t>
      </w:r>
    </w:p>
    <w:p w:rsidR="00A31A0B" w:rsidRDefault="00A31A0B" w:rsidP="00A31A0B">
      <w:pPr>
        <w:pStyle w:val="Heading5"/>
      </w:pPr>
      <w:r>
        <w:t>Clinical evaluator’s comment</w:t>
      </w:r>
    </w:p>
    <w:p w:rsidR="00A31A0B" w:rsidRPr="00A31A0B" w:rsidRDefault="00A31A0B" w:rsidP="00A31A0B">
      <w:r w:rsidRPr="00A31A0B">
        <w:t>The sponsor’s response is</w:t>
      </w:r>
      <w:r w:rsidR="00A83243">
        <w:t xml:space="preserve"> considered to be satisfactory.</w:t>
      </w:r>
    </w:p>
    <w:p w:rsidR="00A31A0B" w:rsidRPr="00A31A0B" w:rsidRDefault="00EF00CD" w:rsidP="00A31A0B">
      <w:pPr>
        <w:pStyle w:val="ListBullet"/>
      </w:pPr>
      <w:r>
        <w:rPr>
          <w:b/>
        </w:rPr>
        <w:t>FDA Item</w:t>
      </w:r>
      <w:r w:rsidR="00A31A0B" w:rsidRPr="00C130D3">
        <w:rPr>
          <w:b/>
        </w:rPr>
        <w:t xml:space="preserve"> 23 (C</w:t>
      </w:r>
      <w:r>
        <w:rPr>
          <w:b/>
        </w:rPr>
        <w:t>linical</w:t>
      </w:r>
      <w:r w:rsidR="00A31A0B" w:rsidRPr="00C130D3">
        <w:rPr>
          <w:b/>
        </w:rPr>
        <w:t>) –</w:t>
      </w:r>
      <w:r w:rsidR="00A31A0B" w:rsidRPr="00A31A0B">
        <w:t xml:space="preserve"> The FDA question related to two siblings, both of whom formed anti</w:t>
      </w:r>
      <w:r w:rsidR="000F4D7E">
        <w:t xml:space="preserve"> </w:t>
      </w:r>
      <w:r w:rsidR="00A31A0B" w:rsidRPr="00A31A0B">
        <w:t>rFXIIIA</w:t>
      </w:r>
      <w:r w:rsidR="00A31A0B" w:rsidRPr="000F4D7E">
        <w:rPr>
          <w:vertAlign w:val="subscript"/>
        </w:rPr>
        <w:t>2</w:t>
      </w:r>
      <w:r w:rsidR="00A31A0B" w:rsidRPr="00A31A0B">
        <w:t xml:space="preserve"> antibodies very soon after initial exposure to NovoThirteen and were removed from treatment </w:t>
      </w:r>
      <w:r w:rsidR="00423ADE">
        <w:t xml:space="preserve">but monitored for safety. The 1 h post </w:t>
      </w:r>
      <w:r w:rsidR="00A31A0B" w:rsidRPr="00A31A0B">
        <w:t>dose FXIII activity levels for each of these subjects remained low for the full study period, and the</w:t>
      </w:r>
      <w:r w:rsidR="00DE0A40">
        <w:t xml:space="preserve"> A</w:t>
      </w:r>
      <w:r w:rsidR="00DE0A40" w:rsidRPr="00B44AAA">
        <w:rPr>
          <w:vertAlign w:val="subscript"/>
        </w:rPr>
        <w:t>2</w:t>
      </w:r>
      <w:r w:rsidR="00DE0A40">
        <w:t>B</w:t>
      </w:r>
      <w:r w:rsidR="00DE0A40" w:rsidRPr="00B44AAA">
        <w:rPr>
          <w:vertAlign w:val="subscript"/>
        </w:rPr>
        <w:t>2</w:t>
      </w:r>
      <w:r w:rsidR="00DE0A40">
        <w:t xml:space="preserve"> heterotetramer levels (that is,</w:t>
      </w:r>
      <w:r w:rsidR="00A31A0B" w:rsidRPr="00A31A0B">
        <w:t xml:space="preserve"> the FXIII antigenic levels) also remained l</w:t>
      </w:r>
      <w:r w:rsidR="00B44AAA">
        <w:t>ow at the 1 h</w:t>
      </w:r>
      <w:r w:rsidR="00DE0A40">
        <w:t xml:space="preserve"> post </w:t>
      </w:r>
      <w:r w:rsidR="00A31A0B" w:rsidRPr="00A31A0B">
        <w:t>dose time point for the full study period. The FDA requested the sponsor to submit the routine prophylaxis dose schedule for each of these subjects for the full</w:t>
      </w:r>
      <w:r w:rsidR="00DE0A40">
        <w:t xml:space="preserve"> study period and analyse the 1 </w:t>
      </w:r>
      <w:r w:rsidR="00A31A0B" w:rsidRPr="00A31A0B">
        <w:t>h post</w:t>
      </w:r>
      <w:r w:rsidR="00DE0A40">
        <w:t xml:space="preserve"> </w:t>
      </w:r>
      <w:r w:rsidR="00A31A0B" w:rsidRPr="00A31A0B">
        <w:t>dose FXIII activity data to determine whether anti</w:t>
      </w:r>
      <w:r w:rsidR="008A1F9A">
        <w:t xml:space="preserve"> </w:t>
      </w:r>
      <w:r w:rsidR="00A31A0B" w:rsidRPr="00A31A0B">
        <w:t xml:space="preserve">FXIII antibodies may have decreased the expected level of FXIII activity, based upon what is known about the </w:t>
      </w:r>
      <w:r w:rsidR="0029289B">
        <w:t xml:space="preserve">PK </w:t>
      </w:r>
      <w:r w:rsidR="00B44AAA">
        <w:t xml:space="preserve">of the FXIII </w:t>
      </w:r>
      <w:r w:rsidR="00A31A0B" w:rsidRPr="00A31A0B">
        <w:t>containing product they received for routine prophylaxis. In addition, the FDA requested the sponsor to determine whether antibodies in patients receiving NovoThirteen react with plasma derived Factor XIII in binding and functional assays.</w:t>
      </w:r>
    </w:p>
    <w:p w:rsidR="00A31A0B" w:rsidRDefault="00A31A0B" w:rsidP="00A31A0B">
      <w:pPr>
        <w:pStyle w:val="Heading5"/>
      </w:pPr>
      <w:r>
        <w:t>Sponsor’s response</w:t>
      </w:r>
    </w:p>
    <w:p w:rsidR="00A31A0B" w:rsidRPr="00A31A0B" w:rsidRDefault="00A31A0B" w:rsidP="00A31A0B">
      <w:r w:rsidRPr="00A31A0B">
        <w:t>The sponsor reviewed the data for t</w:t>
      </w:r>
      <w:r w:rsidR="00C130D3">
        <w:t>he two siblings and undertook a</w:t>
      </w:r>
      <w:r w:rsidRPr="00A31A0B">
        <w:t xml:space="preserve"> statistical analysis (ANOVA) of antibody influence on the </w:t>
      </w:r>
      <w:r w:rsidR="00C130D3">
        <w:t xml:space="preserve">FXIII activity levels at both 1 </w:t>
      </w:r>
      <w:r w:rsidRPr="00A31A0B">
        <w:t>h post</w:t>
      </w:r>
      <w:r w:rsidR="00C130D3">
        <w:t xml:space="preserve"> </w:t>
      </w:r>
      <w:r w:rsidRPr="00A31A0B">
        <w:t>dose and 28</w:t>
      </w:r>
      <w:r w:rsidR="00C130D3">
        <w:t xml:space="preserve"> </w:t>
      </w:r>
      <w:r w:rsidRPr="00A31A0B">
        <w:t>days post</w:t>
      </w:r>
      <w:r w:rsidR="00C130D3">
        <w:t xml:space="preserve"> </w:t>
      </w:r>
      <w:r w:rsidRPr="00A31A0B">
        <w:t>dose during the entire trial (F13CD-1725) for all four subjects with antibodies. The sponsor stated that the two siblings, who changed treatment from rFXIII to cryoprecipitate, had no specific adjustment of dose as a result of the antibody formation. However, the change in treatment is likely to have resulted in a lower amount of FXIII being administered via the cryoprecipitate (4.1 to 15.1 U/kg), which in turn resulted in lower FXIII activity and antigen levels. There was no apparent difference in rFXIII activity in the presence or absence of antibodies in the two siblings. The ANOVA of the influence of rFXIII antibodies on FXIII activity demonstrated no statistical influence (</w:t>
      </w:r>
      <w:r>
        <w:t>Table 7</w:t>
      </w:r>
      <w:r w:rsidRPr="00A31A0B">
        <w:t>). The sponsor concluded that the results of the statis</w:t>
      </w:r>
      <w:r w:rsidR="0017605D">
        <w:t>tical analysis strongly support</w:t>
      </w:r>
      <w:r w:rsidRPr="00A31A0B">
        <w:t xml:space="preserve"> the conclusion that rFXIII antibodie</w:t>
      </w:r>
      <w:r w:rsidR="00A83243">
        <w:t>s do not affect FXIII activity.</w:t>
      </w:r>
    </w:p>
    <w:p w:rsidR="00A31A0B" w:rsidRDefault="00A31A0B" w:rsidP="00A31A0B">
      <w:pPr>
        <w:pStyle w:val="TableTitle"/>
      </w:pPr>
      <w:r>
        <w:t>Table 7:</w:t>
      </w:r>
      <w:r w:rsidRPr="004C5C28">
        <w:t xml:space="preserve"> </w:t>
      </w:r>
      <w:r w:rsidR="001D6381">
        <w:t>Sponsor’s FDA response: s</w:t>
      </w:r>
      <w:r w:rsidR="007F7A86" w:rsidRPr="007F7A86">
        <w:t>tatistical analysis of antibody influence on FXIII activity; ANOVA model with administered treatment, antibody presence, and subjects have been used as fixed factors in the model</w:t>
      </w:r>
      <w:r>
        <w:t>.</w:t>
      </w:r>
    </w:p>
    <w:p w:rsidR="004C69EF" w:rsidRDefault="00A938FA" w:rsidP="00A31A0B">
      <w:r>
        <w:rPr>
          <w:noProof/>
          <w:lang w:eastAsia="en-AU"/>
        </w:rPr>
        <w:drawing>
          <wp:inline distT="0" distB="0" distL="0" distR="0">
            <wp:extent cx="4762500" cy="1778000"/>
            <wp:effectExtent l="0" t="0" r="0" b="0"/>
            <wp:docPr id="10" name="Picture 10" descr="Table 7: Sponsor’s FDA response: statistical analysis of antibody influence on FXIII activity; ANOVA model with administered treatment, antibody presence, and subjects have been used as fixed factors in th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7: Sponsor’s FDA response: statistical analysis of antibody influence on FXIII activity; ANOVA model with administered treatment, antibody presence, and subjects have been used as fixed factors in the mod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1778000"/>
                    </a:xfrm>
                    <a:prstGeom prst="rect">
                      <a:avLst/>
                    </a:prstGeom>
                    <a:noFill/>
                    <a:ln>
                      <a:noFill/>
                    </a:ln>
                  </pic:spPr>
                </pic:pic>
              </a:graphicData>
            </a:graphic>
          </wp:inline>
        </w:drawing>
      </w:r>
    </w:p>
    <w:p w:rsidR="00F60AE4" w:rsidRPr="00F60AE4" w:rsidRDefault="00F60AE4" w:rsidP="00F60AE4">
      <w:r w:rsidRPr="00F60AE4">
        <w:lastRenderedPageBreak/>
        <w:t xml:space="preserve">The sponsor also considers that the data from the amendment to protocol F13CD-3720 (see FDA Item 19 above) demonstrates that rFXIII antibodies have no impact on the PKs of rFXIII activity. The PK data from the amended study in 23 patients with congenital FXIII deficiency demonstrated that the PK parameters, including recovery and trough levels, are comparable with the PK parameters obtained through sparse sampling during to the first exposure to rFXIII observed in </w:t>
      </w:r>
      <w:r w:rsidR="00A16E54">
        <w:t xml:space="preserve">Study </w:t>
      </w:r>
      <w:r w:rsidRPr="00F60AE4">
        <w:t>F13CD-1725, indicating that the clearance of rFXIII is not affected by any extrinsic or intrinsic factors. These data were also consistent with the PK parameters established in children aged 1 to less than 6 years (F13CD-3760). The data confirmed that the FXIII activity was above the lower target level at all time-points and gradually decreased over time rea</w:t>
      </w:r>
      <w:r w:rsidR="00A83243">
        <w:t>ching mean trough level of 21%.</w:t>
      </w:r>
    </w:p>
    <w:p w:rsidR="00F60AE4" w:rsidRDefault="00F60AE4" w:rsidP="00F60AE4">
      <w:pPr>
        <w:pStyle w:val="Heading5"/>
      </w:pPr>
      <w:r>
        <w:t>Clinical evaluator’s comment</w:t>
      </w:r>
    </w:p>
    <w:p w:rsidR="00F60AE4" w:rsidRPr="00F60AE4" w:rsidRDefault="00F60AE4" w:rsidP="00F60AE4">
      <w:r w:rsidRPr="00F60AE4">
        <w:t>The sponsor’s response is considered to be satisfactory. The available data indicate that development of rFXIII antibodies do not significantly affect rFXIII activity.</w:t>
      </w:r>
    </w:p>
    <w:p w:rsidR="00F60AE4" w:rsidRPr="00F60AE4" w:rsidRDefault="00F60AE4" w:rsidP="00F60AE4">
      <w:pPr>
        <w:pStyle w:val="ListBullet"/>
      </w:pPr>
      <w:r w:rsidRPr="00F60AE4">
        <w:rPr>
          <w:b/>
        </w:rPr>
        <w:t>FDA I</w:t>
      </w:r>
      <w:r w:rsidR="00EF00CD">
        <w:rPr>
          <w:b/>
        </w:rPr>
        <w:t>tem</w:t>
      </w:r>
      <w:r w:rsidRPr="00F60AE4">
        <w:rPr>
          <w:b/>
        </w:rPr>
        <w:t xml:space="preserve"> 24 (S</w:t>
      </w:r>
      <w:r w:rsidR="00EF00CD">
        <w:rPr>
          <w:b/>
        </w:rPr>
        <w:t>afety</w:t>
      </w:r>
      <w:r w:rsidRPr="00F60AE4">
        <w:rPr>
          <w:b/>
        </w:rPr>
        <w:t>) –</w:t>
      </w:r>
      <w:r w:rsidRPr="00F60AE4">
        <w:t xml:space="preserve"> The FDA questions related to: (i) a request for additional information for three patients experiencing the adverse events of po</w:t>
      </w:r>
      <w:r w:rsidR="00382312">
        <w:t>llakiuria, dysuria or polyuria (Item 24a)</w:t>
      </w:r>
      <w:r w:rsidRPr="00F60AE4">
        <w:t xml:space="preserve">; (ii) a discrepancy in the number of treatment emergent AEs identified by the FDA for </w:t>
      </w:r>
      <w:r w:rsidR="00382312">
        <w:t>S</w:t>
      </w:r>
      <w:r w:rsidRPr="00F60AE4">
        <w:t>tudy F13CD-1725 (232 events in 32 subjects) and reported by the sponsor for this stu</w:t>
      </w:r>
      <w:r w:rsidR="00382312">
        <w:t>dy (231 events in 32 subjects) (Item 24b)</w:t>
      </w:r>
      <w:r w:rsidRPr="00F60AE4">
        <w:t xml:space="preserve">; and (iii) a discrepancy in the number of treatment emergent AEs identified by the FDA for </w:t>
      </w:r>
      <w:r w:rsidR="00382312">
        <w:t>S</w:t>
      </w:r>
      <w:r w:rsidRPr="00F60AE4">
        <w:t>tudy F13CD-1725 (99 events in 20 subjects) and reported by the sponsor for this study (98 events in 20 subject</w:t>
      </w:r>
      <w:r w:rsidR="00382312">
        <w:t>s) (Item 24c)</w:t>
      </w:r>
      <w:r w:rsidR="00A83243">
        <w:t>.</w:t>
      </w:r>
    </w:p>
    <w:p w:rsidR="00F60AE4" w:rsidRDefault="00F60AE4" w:rsidP="00F60AE4">
      <w:pPr>
        <w:pStyle w:val="Heading5"/>
      </w:pPr>
      <w:r>
        <w:t>Sponsor’s response</w:t>
      </w:r>
    </w:p>
    <w:p w:rsidR="00F60AE4" w:rsidRPr="00F60AE4" w:rsidRDefault="00F60AE4" w:rsidP="00F60AE4">
      <w:r w:rsidRPr="00F60AE4">
        <w:t>As regards Item 24a, the sponsor provided the requested additional information (</w:t>
      </w:r>
      <w:r w:rsidR="00B97E76">
        <w:t>Table 8</w:t>
      </w:r>
      <w:r w:rsidRPr="00F60AE4">
        <w:t>). In all cases, the reported events were assessed by the investigator a</w:t>
      </w:r>
      <w:r w:rsidR="00A83243">
        <w:t>s being unrelated to treatment.</w:t>
      </w:r>
    </w:p>
    <w:p w:rsidR="00B97E76" w:rsidRDefault="00B97E76" w:rsidP="00B97E76">
      <w:pPr>
        <w:pStyle w:val="TableTitle"/>
      </w:pPr>
      <w:r>
        <w:t>Table 8:</w:t>
      </w:r>
      <w:r w:rsidRPr="004C5C28">
        <w:t xml:space="preserve"> </w:t>
      </w:r>
      <w:r w:rsidR="004A4332">
        <w:t>Sponsor’s FDA r</w:t>
      </w:r>
      <w:r w:rsidRPr="00B97E76">
        <w:t>espon</w:t>
      </w:r>
      <w:r w:rsidR="004A4332">
        <w:t>se: a</w:t>
      </w:r>
      <w:r w:rsidRPr="00B97E76">
        <w:t>dditional safety information</w:t>
      </w:r>
      <w:r>
        <w:t>.</w:t>
      </w:r>
    </w:p>
    <w:p w:rsidR="003E3D6A" w:rsidRDefault="00A938FA" w:rsidP="00F60AE4">
      <w:r>
        <w:rPr>
          <w:noProof/>
          <w:lang w:eastAsia="en-AU"/>
        </w:rPr>
        <w:drawing>
          <wp:inline distT="0" distB="0" distL="0" distR="0">
            <wp:extent cx="4572000" cy="1301750"/>
            <wp:effectExtent l="0" t="0" r="0" b="0"/>
            <wp:docPr id="11" name="Picture 11" descr="Table 8: Sponsor’s FDA response: additional safet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8: Sponsor’s FDA response: additional safety inform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301750"/>
                    </a:xfrm>
                    <a:prstGeom prst="rect">
                      <a:avLst/>
                    </a:prstGeom>
                    <a:noFill/>
                    <a:ln>
                      <a:noFill/>
                    </a:ln>
                  </pic:spPr>
                </pic:pic>
              </a:graphicData>
            </a:graphic>
          </wp:inline>
        </w:drawing>
      </w:r>
    </w:p>
    <w:p w:rsidR="0090181C" w:rsidRPr="0090181C" w:rsidRDefault="0090181C" w:rsidP="0090181C">
      <w:r w:rsidRPr="0090181C">
        <w:t xml:space="preserve">As regards Item 24b, the sponsor identified the reason for the discrepancy in the number of treatment emergent AEs as being due to an AE of influenza linked to nasopharyngitis that was included in the listings but not in the summary tabulations and text. The investigator reported the events to represent a single condition and, consequently, only nasopharyngitis was presented in the </w:t>
      </w:r>
      <w:r w:rsidR="00A83243">
        <w:t>summary tabulations and text.</w:t>
      </w:r>
    </w:p>
    <w:p w:rsidR="0090181C" w:rsidRPr="0090181C" w:rsidRDefault="0090181C" w:rsidP="0090181C">
      <w:r w:rsidRPr="0090181C">
        <w:t>As regards Item 24c, the sponsor identified the reason for the discrepancy in the number of treatment emergent AEs as being due to an AE of “Limb injury” reported for one subject, which was reported by the investigator to be covered by AEs of “pain in the right arm” and “inflammation in the right arm”</w:t>
      </w:r>
      <w:r w:rsidR="00A83243">
        <w:t xml:space="preserve"> with an onset on the same day.</w:t>
      </w:r>
    </w:p>
    <w:p w:rsidR="0090181C" w:rsidRDefault="0090181C" w:rsidP="0090181C">
      <w:pPr>
        <w:pStyle w:val="Heading5"/>
      </w:pPr>
      <w:r w:rsidRPr="0090181C">
        <w:t xml:space="preserve">Clinical </w:t>
      </w:r>
      <w:r w:rsidR="00A83243">
        <w:rPr>
          <w:lang w:val="en-AU"/>
        </w:rPr>
        <w:t>e</w:t>
      </w:r>
      <w:r w:rsidRPr="0090181C">
        <w:t>va</w:t>
      </w:r>
      <w:r>
        <w:t xml:space="preserve">luator’s </w:t>
      </w:r>
      <w:r w:rsidR="00A83243">
        <w:rPr>
          <w:lang w:val="en-AU"/>
        </w:rPr>
        <w:t>c</w:t>
      </w:r>
      <w:r>
        <w:t>omment</w:t>
      </w:r>
    </w:p>
    <w:p w:rsidR="0090181C" w:rsidRPr="0090181C" w:rsidRDefault="0090181C" w:rsidP="0090181C">
      <w:r w:rsidRPr="0090181C">
        <w:t>The additional safety da</w:t>
      </w:r>
      <w:r w:rsidR="00A83243">
        <w:t>ta do not give rise to concern.</w:t>
      </w:r>
    </w:p>
    <w:p w:rsidR="0090181C" w:rsidRPr="0090181C" w:rsidRDefault="00EF00CD" w:rsidP="0090181C">
      <w:pPr>
        <w:pStyle w:val="ListBullet"/>
      </w:pPr>
      <w:r>
        <w:rPr>
          <w:b/>
        </w:rPr>
        <w:t>FDA Item</w:t>
      </w:r>
      <w:r w:rsidR="0090181C" w:rsidRPr="0090181C">
        <w:rPr>
          <w:b/>
        </w:rPr>
        <w:t xml:space="preserve"> 25 (S</w:t>
      </w:r>
      <w:r>
        <w:rPr>
          <w:b/>
        </w:rPr>
        <w:t>afety</w:t>
      </w:r>
      <w:r w:rsidR="0090181C" w:rsidRPr="0090181C">
        <w:rPr>
          <w:b/>
        </w:rPr>
        <w:t xml:space="preserve">) </w:t>
      </w:r>
      <w:r w:rsidR="00655A3F">
        <w:rPr>
          <w:b/>
        </w:rPr>
        <w:t>–</w:t>
      </w:r>
      <w:r w:rsidR="0090181C" w:rsidRPr="0090181C">
        <w:t xml:space="preserve"> </w:t>
      </w:r>
      <w:r w:rsidR="00655A3F">
        <w:t>One subject</w:t>
      </w:r>
      <w:r w:rsidR="0090181C" w:rsidRPr="0090181C">
        <w:t xml:space="preserve"> w</w:t>
      </w:r>
      <w:r w:rsidR="00525643">
        <w:t>as withdrawn after visit 6 for “</w:t>
      </w:r>
      <w:r w:rsidR="0090181C" w:rsidRPr="0090181C">
        <w:t>worsening leukop</w:t>
      </w:r>
      <w:r w:rsidR="00F96F8E">
        <w:t>enia and worsening neutropenia”.</w:t>
      </w:r>
      <w:r w:rsidR="0090181C" w:rsidRPr="0090181C">
        <w:t xml:space="preserve"> This subject had repeat</w:t>
      </w:r>
      <w:r w:rsidR="005B10BB">
        <w:t xml:space="preserve"> </w:t>
      </w:r>
      <w:r w:rsidR="0090181C" w:rsidRPr="0090181C">
        <w:t>reactive</w:t>
      </w:r>
      <w:r w:rsidR="00F96F8E">
        <w:t xml:space="preserve">, antigen non </w:t>
      </w:r>
      <w:r w:rsidR="0090181C" w:rsidRPr="0090181C">
        <w:t>specific, antibodie</w:t>
      </w:r>
      <w:r w:rsidR="005B10BB">
        <w:t xml:space="preserve">s at </w:t>
      </w:r>
      <w:r w:rsidR="00F96F8E">
        <w:t>V</w:t>
      </w:r>
      <w:r w:rsidR="005B10BB">
        <w:t>isit 6, none of the 1 h</w:t>
      </w:r>
      <w:r w:rsidR="0090181C" w:rsidRPr="0090181C">
        <w:t xml:space="preserve"> post</w:t>
      </w:r>
      <w:r w:rsidR="005B10BB">
        <w:t xml:space="preserve"> </w:t>
      </w:r>
      <w:r w:rsidR="0090181C" w:rsidRPr="0090181C">
        <w:t>dose FXIII activity</w:t>
      </w:r>
      <w:r w:rsidR="00C62509">
        <w:t xml:space="preserve"> levels exceeded 0.5 IU/ml (that is</w:t>
      </w:r>
      <w:r w:rsidR="0090181C" w:rsidRPr="0090181C">
        <w:t xml:space="preserve">, less than the targeted level of 1.0 IU/mL), and for the final two visits </w:t>
      </w:r>
      <w:r w:rsidR="0090181C" w:rsidRPr="0090181C">
        <w:lastRenderedPageBreak/>
        <w:t>the pre-to-post-dose changes in B subunit were small (in the bottom 10%). These res</w:t>
      </w:r>
      <w:r w:rsidR="00617802">
        <w:t xml:space="preserve">ults are characteristic of anti </w:t>
      </w:r>
      <w:r w:rsidR="0090181C" w:rsidRPr="0090181C">
        <w:t>FXIII antibody formation. Please submit a narrative describing the adverse events that caused the withdrawal of this subject. Please submit an update of the medical status of this, including data on t</w:t>
      </w:r>
      <w:r w:rsidR="00617802">
        <w:t xml:space="preserve">he current anti </w:t>
      </w:r>
      <w:r w:rsidR="0090181C" w:rsidRPr="0090181C">
        <w:t>FXIII antibody status.</w:t>
      </w:r>
    </w:p>
    <w:p w:rsidR="00486E6B" w:rsidRDefault="0090181C" w:rsidP="00486E6B">
      <w:pPr>
        <w:pStyle w:val="Heading5"/>
      </w:pPr>
      <w:r w:rsidRPr="0090181C">
        <w:t>Sponsor’</w:t>
      </w:r>
      <w:r w:rsidR="00486E6B">
        <w:t>s response</w:t>
      </w:r>
    </w:p>
    <w:p w:rsidR="0090181C" w:rsidRDefault="0090181C" w:rsidP="0090181C">
      <w:r w:rsidRPr="0090181C">
        <w:t xml:space="preserve">The investigator confirmed that the subject from </w:t>
      </w:r>
      <w:r w:rsidR="008360AC">
        <w:t xml:space="preserve">Study </w:t>
      </w:r>
      <w:r w:rsidRPr="0090181C">
        <w:t>F13CD-1725 is in good health with no issues (last dose of rFXIII ad</w:t>
      </w:r>
      <w:r w:rsidR="008360AC">
        <w:t>ministered on 12 July 2009). The subject</w:t>
      </w:r>
      <w:r w:rsidRPr="0090181C">
        <w:t xml:space="preserve"> receives monthly </w:t>
      </w:r>
      <w:r w:rsidR="00D5215E" w:rsidRPr="00D5215E">
        <w:t>plasma</w:t>
      </w:r>
      <w:r w:rsidR="00D5215E">
        <w:t xml:space="preserve"> </w:t>
      </w:r>
      <w:r w:rsidR="00D5215E" w:rsidRPr="00D5215E">
        <w:t xml:space="preserve">derived </w:t>
      </w:r>
      <w:r w:rsidRPr="0090181C">
        <w:t>FXIII without any additional medication. The s</w:t>
      </w:r>
      <w:r w:rsidR="00D5215E">
        <w:t xml:space="preserve">ubject was confirmed to be anti </w:t>
      </w:r>
      <w:r w:rsidRPr="0090181C">
        <w:t xml:space="preserve">FXIII antibody negative at all visits while being treated with rFXIII, including </w:t>
      </w:r>
      <w:r w:rsidR="00E373C9">
        <w:t>V</w:t>
      </w:r>
      <w:r w:rsidRPr="0090181C">
        <w:t>isit 1 to 6 and a follow</w:t>
      </w:r>
      <w:r w:rsidR="00237EB5">
        <w:t xml:space="preserve"> </w:t>
      </w:r>
      <w:r w:rsidRPr="0090181C">
        <w:t xml:space="preserve">up visit at one month after </w:t>
      </w:r>
      <w:r w:rsidR="00237EB5">
        <w:t>V</w:t>
      </w:r>
      <w:r w:rsidRPr="0090181C">
        <w:t xml:space="preserve">isit 6. The events of “worsening leukopenia and worsening neutropenia” </w:t>
      </w:r>
      <w:r w:rsidR="00F61D84">
        <w:t xml:space="preserve">were recorded as non </w:t>
      </w:r>
      <w:r w:rsidRPr="0090181C">
        <w:t xml:space="preserve">serious AEs. Prior to the first administration of rFXIII at Visit 2, mild neutropenia and leukopenia were found. The neutrophil and leucocyte counts are summarised in </w:t>
      </w:r>
      <w:r w:rsidR="00FF0739">
        <w:t>Table 9</w:t>
      </w:r>
      <w:r w:rsidRPr="0090181C">
        <w:t>. No other AEs were reported and no concomitant medications were administered. The patient was withdrawn by the investigator due to worsening of neutropenia and leukopenia, as a causal relationship between rFXIII and the worsening of neutropenia and leukopenia was assessed as possible. At the end of trial visit one month after the last dose of rFXIII</w:t>
      </w:r>
      <w:r w:rsidR="00F61D84">
        <w:t>,</w:t>
      </w:r>
      <w:r w:rsidRPr="0090181C">
        <w:t xml:space="preserve"> the </w:t>
      </w:r>
      <w:r w:rsidR="00F61D84">
        <w:t>AEs</w:t>
      </w:r>
      <w:r w:rsidRPr="0090181C">
        <w:t xml:space="preserve"> were reported as recovered. The neutrophil count was still supp</w:t>
      </w:r>
      <w:r w:rsidR="00F61D84">
        <w:t xml:space="preserve">ressed but had returned to pre </w:t>
      </w:r>
      <w:r w:rsidRPr="0090181C">
        <w:t>tr</w:t>
      </w:r>
      <w:r w:rsidR="00A83243">
        <w:t>eatment levels.</w:t>
      </w:r>
    </w:p>
    <w:p w:rsidR="00FF0739" w:rsidRDefault="00FF0739" w:rsidP="00FF0739">
      <w:pPr>
        <w:pStyle w:val="TableTitle"/>
      </w:pPr>
      <w:r>
        <w:t>Table 9:</w:t>
      </w:r>
      <w:r w:rsidRPr="004C5C28">
        <w:t xml:space="preserve"> </w:t>
      </w:r>
      <w:r w:rsidRPr="00FF0739">
        <w:t xml:space="preserve">Sponsor’s </w:t>
      </w:r>
      <w:r w:rsidR="00574F2C">
        <w:t>S</w:t>
      </w:r>
      <w:r>
        <w:t xml:space="preserve">ection </w:t>
      </w:r>
      <w:r w:rsidR="00F61D84">
        <w:t>31 response: o</w:t>
      </w:r>
      <w:r w:rsidRPr="00FF0739">
        <w:t xml:space="preserve">verview of </w:t>
      </w:r>
      <w:r w:rsidR="006E2C69">
        <w:t>neutrophil and leucocyte counts</w:t>
      </w:r>
      <w:r>
        <w:t>.</w:t>
      </w:r>
    </w:p>
    <w:p w:rsidR="00FF0739" w:rsidRPr="0090181C" w:rsidRDefault="00A938FA" w:rsidP="0090181C">
      <w:r>
        <w:rPr>
          <w:noProof/>
          <w:lang w:eastAsia="en-AU"/>
        </w:rPr>
        <w:drawing>
          <wp:inline distT="0" distB="0" distL="0" distR="0">
            <wp:extent cx="5396865" cy="1638300"/>
            <wp:effectExtent l="0" t="0" r="0" b="0"/>
            <wp:docPr id="12" name="Picture 12" descr="Table 9: Sponsor’s Section 31 response: overview of neutrophil and leucocyte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9: Sponsor’s Section 31 response: overview of neutrophil and leucocyte coun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6865" cy="1638300"/>
                    </a:xfrm>
                    <a:prstGeom prst="rect">
                      <a:avLst/>
                    </a:prstGeom>
                    <a:noFill/>
                    <a:ln>
                      <a:noFill/>
                    </a:ln>
                  </pic:spPr>
                </pic:pic>
              </a:graphicData>
            </a:graphic>
          </wp:inline>
        </w:drawing>
      </w:r>
    </w:p>
    <w:p w:rsidR="00403A71" w:rsidRDefault="00403A71" w:rsidP="00286D9F">
      <w:pPr>
        <w:pStyle w:val="Heading5"/>
      </w:pPr>
      <w:r w:rsidRPr="00403A71">
        <w:t xml:space="preserve">Clinical </w:t>
      </w:r>
      <w:r w:rsidR="00D31743">
        <w:t>e</w:t>
      </w:r>
      <w:r w:rsidRPr="00403A71">
        <w:t xml:space="preserve">valuator’s </w:t>
      </w:r>
      <w:r w:rsidR="00D31743">
        <w:t>c</w:t>
      </w:r>
      <w:r w:rsidRPr="00403A71">
        <w:t>omment</w:t>
      </w:r>
    </w:p>
    <w:p w:rsidR="00403A71" w:rsidRPr="00403A71" w:rsidRDefault="00403A71" w:rsidP="00403A71">
      <w:r w:rsidRPr="00403A71">
        <w:t>The additional safety da</w:t>
      </w:r>
      <w:r w:rsidR="00A83243">
        <w:t>ta do not give rise to concern.</w:t>
      </w:r>
    </w:p>
    <w:p w:rsidR="00403A71" w:rsidRPr="00403A71" w:rsidRDefault="00E614A4" w:rsidP="00403A71">
      <w:pPr>
        <w:pStyle w:val="ListBullet"/>
      </w:pPr>
      <w:r>
        <w:rPr>
          <w:b/>
        </w:rPr>
        <w:t>FDA Item</w:t>
      </w:r>
      <w:r w:rsidR="00403A71" w:rsidRPr="00286D9F">
        <w:rPr>
          <w:b/>
        </w:rPr>
        <w:t xml:space="preserve"> 26 (S</w:t>
      </w:r>
      <w:r>
        <w:rPr>
          <w:b/>
        </w:rPr>
        <w:t>afety</w:t>
      </w:r>
      <w:r w:rsidR="00403A71" w:rsidRPr="00286D9F">
        <w:rPr>
          <w:b/>
        </w:rPr>
        <w:t>) -</w:t>
      </w:r>
      <w:r w:rsidR="00403A71" w:rsidRPr="00403A71">
        <w:t xml:space="preserve"> Please submit a narrativ</w:t>
      </w:r>
      <w:r w:rsidR="00311F71">
        <w:t>e describing the AE “pain in extremity”,</w:t>
      </w:r>
      <w:r w:rsidR="00403A71" w:rsidRPr="00403A71">
        <w:t xml:space="preserve"> judged possibly related to the study agent and categori</w:t>
      </w:r>
      <w:r w:rsidR="00F61D84">
        <w:t>s</w:t>
      </w:r>
      <w:r w:rsidR="00311F71">
        <w:t>ed as “</w:t>
      </w:r>
      <w:r w:rsidR="00403A71" w:rsidRPr="00403A71">
        <w:t>not rec</w:t>
      </w:r>
      <w:r w:rsidR="00E14958">
        <w:t>overed”</w:t>
      </w:r>
      <w:r w:rsidR="00403A71" w:rsidRPr="00403A71">
        <w:t xml:space="preserve">, for </w:t>
      </w:r>
      <w:r w:rsidR="003824FB">
        <w:t>this subject</w:t>
      </w:r>
      <w:r w:rsidR="00403A71" w:rsidRPr="00403A71">
        <w:t>. Please explain how the event is thought to be possibly related to the study agent.</w:t>
      </w:r>
    </w:p>
    <w:p w:rsidR="00403A71" w:rsidRDefault="00111164" w:rsidP="00286D9F">
      <w:pPr>
        <w:pStyle w:val="Heading5"/>
      </w:pPr>
      <w:r>
        <w:t>Sponsor’s r</w:t>
      </w:r>
      <w:r w:rsidR="00403A71">
        <w:t>esponse</w:t>
      </w:r>
    </w:p>
    <w:p w:rsidR="00403A71" w:rsidRPr="00403A71" w:rsidRDefault="00403A71" w:rsidP="00403A71">
      <w:r w:rsidRPr="00403A71">
        <w:t xml:space="preserve">The </w:t>
      </w:r>
      <w:r w:rsidR="005D6530">
        <w:t>AE</w:t>
      </w:r>
      <w:r w:rsidRPr="00403A71">
        <w:t xml:space="preserve"> was recorded as a non</w:t>
      </w:r>
      <w:r w:rsidR="003451EC">
        <w:t xml:space="preserve"> SAE</w:t>
      </w:r>
      <w:r w:rsidRPr="00403A71">
        <w:t xml:space="preserve">, and detailed narrative safety information was therefore not collected as per protocol. </w:t>
      </w:r>
      <w:r w:rsidR="00035E15">
        <w:t xml:space="preserve">Another subject </w:t>
      </w:r>
      <w:r w:rsidRPr="00403A71">
        <w:t xml:space="preserve">was reported as experiencing “pain in both legs” with an onset 303 days after the first dose of rFXIII in the trial and 22 days after the most recent dose of rFXIII administered at </w:t>
      </w:r>
      <w:r w:rsidR="00B71D45">
        <w:t>V</w:t>
      </w:r>
      <w:r w:rsidRPr="00403A71">
        <w:t>isit 13. The pain in the legs was described as mild and intermittent. No other AEs were associated with the AE. At the e</w:t>
      </w:r>
      <w:r w:rsidR="00A23573">
        <w:t>nd of trial visit ~</w:t>
      </w:r>
      <w:r w:rsidRPr="00403A71">
        <w:t>2 months after the event onset</w:t>
      </w:r>
      <w:r w:rsidR="00A23573">
        <w:t>,</w:t>
      </w:r>
      <w:r w:rsidRPr="00403A71">
        <w:t xml:space="preserve"> the ou</w:t>
      </w:r>
      <w:r w:rsidR="00A23573">
        <w:t xml:space="preserve">tcome was not recovered. Follow </w:t>
      </w:r>
      <w:r w:rsidRPr="00403A71">
        <w:t xml:space="preserve">up inquires confirmed that the patient had recovered from the event approximately 10 months after onset of the event. The patient was under observation during this period, and there were no indications of thromboembolism demonstrated by clinical examination and laboratory evaluation (coagulation parameters and D-dimer). The </w:t>
      </w:r>
      <w:r w:rsidR="00A23573">
        <w:t>p</w:t>
      </w:r>
      <w:r w:rsidRPr="00403A71">
        <w:t xml:space="preserve">rincipal investigator assessed the event of pain in both legs to be possibly related to the administration of </w:t>
      </w:r>
      <w:r w:rsidRPr="00403A71">
        <w:lastRenderedPageBreak/>
        <w:t>rFXIII. There is no further information concerning the assessment of the causal relationship to rFXIII.</w:t>
      </w:r>
    </w:p>
    <w:p w:rsidR="00403A71" w:rsidRDefault="00403A71" w:rsidP="00286D9F">
      <w:pPr>
        <w:pStyle w:val="Heading5"/>
      </w:pPr>
      <w:r>
        <w:t xml:space="preserve">Clinical </w:t>
      </w:r>
      <w:r w:rsidR="00D31743">
        <w:t>e</w:t>
      </w:r>
      <w:r>
        <w:t xml:space="preserve">valuator’s </w:t>
      </w:r>
      <w:r w:rsidR="00D31743">
        <w:t>c</w:t>
      </w:r>
      <w:r>
        <w:t>omment</w:t>
      </w:r>
    </w:p>
    <w:p w:rsidR="00403A71" w:rsidRPr="00403A71" w:rsidRDefault="00403A71" w:rsidP="00403A71">
      <w:r w:rsidRPr="00403A71">
        <w:t>The additional safety da</w:t>
      </w:r>
      <w:r w:rsidR="00A83243">
        <w:t>ta do not give rise to concern.</w:t>
      </w:r>
    </w:p>
    <w:p w:rsidR="00403A71" w:rsidRPr="00403A71" w:rsidRDefault="00315B60" w:rsidP="00403A71">
      <w:pPr>
        <w:pStyle w:val="ListBullet"/>
      </w:pPr>
      <w:r>
        <w:rPr>
          <w:b/>
        </w:rPr>
        <w:t>FDA Item</w:t>
      </w:r>
      <w:r w:rsidR="00403A71" w:rsidRPr="00286D9F">
        <w:rPr>
          <w:b/>
        </w:rPr>
        <w:t xml:space="preserve"> 27 (S</w:t>
      </w:r>
      <w:r>
        <w:rPr>
          <w:b/>
        </w:rPr>
        <w:t>tatistics</w:t>
      </w:r>
      <w:r w:rsidR="00403A71" w:rsidRPr="00286D9F">
        <w:rPr>
          <w:b/>
        </w:rPr>
        <w:t>) -</w:t>
      </w:r>
      <w:r w:rsidR="00BF6AF8">
        <w:t xml:space="preserve"> Listing 7, titled “</w:t>
      </w:r>
      <w:r w:rsidR="00403A71" w:rsidRPr="00403A71">
        <w:t xml:space="preserve">After initiation of </w:t>
      </w:r>
      <w:r w:rsidR="00BF6AF8">
        <w:t>treatment - On-demand Treatment”</w:t>
      </w:r>
      <w:r w:rsidR="00403A71" w:rsidRPr="00403A71">
        <w:t xml:space="preserve"> (page 26 of 26 in the selected listings for the report of Trial ID: F13CD-QUEST), lists the reported number of bleeds per year requiring </w:t>
      </w:r>
      <w:r w:rsidR="009854A5">
        <w:t>on-demand</w:t>
      </w:r>
      <w:r w:rsidR="00403A71" w:rsidRPr="00403A71">
        <w:t xml:space="preserve"> treatment. This listing provides the data for the historical control group that is used to demonstrate the efficacy of NovoThirteen for the routine prophylaxis indication. Please remove </w:t>
      </w:r>
      <w:r w:rsidR="00BF6AF8">
        <w:t xml:space="preserve">two </w:t>
      </w:r>
      <w:r w:rsidR="00403A71" w:rsidRPr="00403A71">
        <w:t>subject</w:t>
      </w:r>
      <w:r w:rsidR="00BF6AF8">
        <w:t>s</w:t>
      </w:r>
      <w:r w:rsidR="00403A71" w:rsidRPr="00403A71">
        <w:t xml:space="preserve"> </w:t>
      </w:r>
      <w:r w:rsidR="00BF6AF8">
        <w:t>(</w:t>
      </w:r>
      <w:r w:rsidR="00403A71" w:rsidRPr="00403A71">
        <w:t>11</w:t>
      </w:r>
      <w:r w:rsidR="00BF6AF8">
        <w:t xml:space="preserve"> and 12</w:t>
      </w:r>
      <w:r w:rsidR="00403A71" w:rsidRPr="00403A71">
        <w:t xml:space="preserve"> bleeds per year reported) from the database because their reported bleed rates are outliers. Please recalculate the statistical analysis of </w:t>
      </w:r>
      <w:r w:rsidR="00C60826">
        <w:t>S</w:t>
      </w:r>
      <w:r w:rsidR="00403A71" w:rsidRPr="00403A71">
        <w:t>tudy F13CD-1725 and submit the results. We acknowledge your response to the previous FDA request (</w:t>
      </w:r>
      <w:r w:rsidR="00C60826">
        <w:t xml:space="preserve">22 September </w:t>
      </w:r>
      <w:r w:rsidR="00403A71" w:rsidRPr="00403A71">
        <w:t>2011) to re-analy</w:t>
      </w:r>
      <w:r w:rsidR="009E3581">
        <w:t>s</w:t>
      </w:r>
      <w:r w:rsidR="00403A71" w:rsidRPr="00403A71">
        <w:t>e the data after removing these two outliers from the control group, in which you state these two subjects may represent the natural variation in bleed rates for this rare disorder. However, the use of a historical control group can introduce bias into the analysis due to imbalances in baseline characteristics; therefore, a more conservative approach is needed.</w:t>
      </w:r>
    </w:p>
    <w:p w:rsidR="00403A71" w:rsidRDefault="00403A71" w:rsidP="00286D9F">
      <w:pPr>
        <w:pStyle w:val="Heading5"/>
      </w:pPr>
      <w:r>
        <w:t xml:space="preserve">Sponsor’s </w:t>
      </w:r>
      <w:r w:rsidR="00D31743">
        <w:t>r</w:t>
      </w:r>
      <w:r>
        <w:t>esponse</w:t>
      </w:r>
    </w:p>
    <w:p w:rsidR="00403A71" w:rsidRPr="00403A71" w:rsidRDefault="00403A71" w:rsidP="00403A71">
      <w:r w:rsidRPr="00403A71">
        <w:t>The sponsor recalculated the treatment</w:t>
      </w:r>
      <w:r w:rsidR="00DA36C1">
        <w:t xml:space="preserve"> </w:t>
      </w:r>
      <w:r w:rsidRPr="00403A71">
        <w:t>requiring bleeding rate excluding the data from the two outliers. The mean (S</w:t>
      </w:r>
      <w:r w:rsidR="00DA36C1">
        <w:t>D) recalculated rate for 14 “</w:t>
      </w:r>
      <w:r w:rsidR="009854A5">
        <w:t>on-demand</w:t>
      </w:r>
      <w:r w:rsidRPr="00403A71">
        <w:t>” patients was 1.68 (1.6) bleeds per year, ranging from 0 to 5.0 bleeds per year, and the median rate was 1.75 bleeds per year. The demographics and bleeding frequency for the retrosp</w:t>
      </w:r>
      <w:r w:rsidR="002E7A2D">
        <w:t xml:space="preserve">ective </w:t>
      </w:r>
      <w:r w:rsidR="009854A5">
        <w:t>on-demand</w:t>
      </w:r>
      <w:r w:rsidRPr="00403A71">
        <w:t xml:space="preserve"> subjects (n</w:t>
      </w:r>
      <w:r w:rsidR="00DA36C1">
        <w:t xml:space="preserve"> </w:t>
      </w:r>
      <w:r w:rsidRPr="00403A71">
        <w:t>=</w:t>
      </w:r>
      <w:r w:rsidR="00DA36C1">
        <w:t xml:space="preserve"> </w:t>
      </w:r>
      <w:r w:rsidRPr="00403A71">
        <w:t>14), excluding</w:t>
      </w:r>
      <w:r w:rsidR="00A83243">
        <w:t xml:space="preserve"> the two outliers, is provided.</w:t>
      </w:r>
    </w:p>
    <w:p w:rsidR="00403A71" w:rsidRDefault="00403A71" w:rsidP="00286D9F">
      <w:pPr>
        <w:pStyle w:val="Heading5"/>
      </w:pPr>
      <w:r>
        <w:t xml:space="preserve">Clinical </w:t>
      </w:r>
      <w:r w:rsidR="00D31743">
        <w:t>e</w:t>
      </w:r>
      <w:r>
        <w:t>valuator</w:t>
      </w:r>
      <w:r w:rsidR="00286D9F">
        <w:t>’</w:t>
      </w:r>
      <w:r>
        <w:t xml:space="preserve">s </w:t>
      </w:r>
      <w:r w:rsidR="00D31743">
        <w:t>r</w:t>
      </w:r>
      <w:r>
        <w:t>esponse</w:t>
      </w:r>
    </w:p>
    <w:p w:rsidR="00403A71" w:rsidRPr="00403A71" w:rsidRDefault="00403A71" w:rsidP="00403A71">
      <w:r w:rsidRPr="00403A71">
        <w:t xml:space="preserve">The data for </w:t>
      </w:r>
      <w:r w:rsidR="009854A5">
        <w:t>on-demand</w:t>
      </w:r>
      <w:r w:rsidRPr="00403A71">
        <w:t xml:space="preserve"> treatment provided in the original submission, without exclusion of the outliers, indicated that the bleeding rate was 2.91 bleeds per year</w:t>
      </w:r>
      <w:r w:rsidR="00701BD3">
        <w:t xml:space="preserve"> in the historical control (that is</w:t>
      </w:r>
      <w:r w:rsidR="00305575">
        <w:t>, 46.5 episodes in 16 patients)</w:t>
      </w:r>
      <w:r w:rsidRPr="00403A71">
        <w:t>. It is arguable whether the calculation</w:t>
      </w:r>
      <w:r w:rsidR="00305575">
        <w:t xml:space="preserve"> of the bleeding rate in the </w:t>
      </w:r>
      <w:r w:rsidR="009854A5">
        <w:t>on-demand</w:t>
      </w:r>
      <w:r w:rsidRPr="00403A71">
        <w:t xml:space="preserve"> historical control should include or exclude the outliers. In any event, it does not alter the conclusions relating to the compariso</w:t>
      </w:r>
      <w:r w:rsidR="00305575">
        <w:t xml:space="preserve">n between the rate of treatment </w:t>
      </w:r>
      <w:r w:rsidRPr="00403A71">
        <w:t xml:space="preserve">requiring bleeding episodes in </w:t>
      </w:r>
      <w:r w:rsidR="00305575">
        <w:t xml:space="preserve">Study </w:t>
      </w:r>
      <w:r w:rsidRPr="00403A71">
        <w:t>F13CD-1725 and the rate of bleeding ep</w:t>
      </w:r>
      <w:r w:rsidR="003449F8">
        <w:t xml:space="preserve">isodes in patients receiving </w:t>
      </w:r>
      <w:r w:rsidR="009854A5">
        <w:t>on-demand</w:t>
      </w:r>
      <w:r w:rsidRPr="00403A71">
        <w:t xml:space="preserve"> treatment in the historical co</w:t>
      </w:r>
      <w:r w:rsidR="00A83243">
        <w:t>ntrol (see FDA Item 28, below).</w:t>
      </w:r>
    </w:p>
    <w:p w:rsidR="00403A71" w:rsidRPr="00403A71" w:rsidRDefault="007F55FA" w:rsidP="00403A71">
      <w:pPr>
        <w:pStyle w:val="ListBullet"/>
      </w:pPr>
      <w:r>
        <w:rPr>
          <w:b/>
        </w:rPr>
        <w:t>FDA Item</w:t>
      </w:r>
      <w:r w:rsidR="00403A71" w:rsidRPr="00286D9F">
        <w:rPr>
          <w:b/>
        </w:rPr>
        <w:t xml:space="preserve"> 28 (S</w:t>
      </w:r>
      <w:r>
        <w:rPr>
          <w:b/>
        </w:rPr>
        <w:t>tatistics</w:t>
      </w:r>
      <w:r w:rsidR="00403A71" w:rsidRPr="00286D9F">
        <w:rPr>
          <w:b/>
        </w:rPr>
        <w:t>) -</w:t>
      </w:r>
      <w:r w:rsidR="00403A71" w:rsidRPr="00403A71">
        <w:t xml:space="preserve"> In addition to the planned analysis for efficacy, please submit separate analyses for the p</w:t>
      </w:r>
      <w:r w:rsidR="000167E8">
        <w:t>a</w:t>
      </w:r>
      <w:r w:rsidR="00403A71" w:rsidRPr="00403A71">
        <w:t xml:space="preserve">ediatric and adult age groups. As the mean yearly bleeding rate is substantially higher in </w:t>
      </w:r>
      <w:r w:rsidR="006B76C9">
        <w:t xml:space="preserve">subjects </w:t>
      </w:r>
      <w:r w:rsidR="00403A71" w:rsidRPr="00403A71">
        <w:t>young</w:t>
      </w:r>
      <w:r w:rsidR="00FB3496">
        <w:t xml:space="preserve">er than 18 years, using the age </w:t>
      </w:r>
      <w:r w:rsidR="00403A71" w:rsidRPr="00403A71">
        <w:t xml:space="preserve">adjust Poisson model may not actually reflect the yearly bleeding rate for all patients. Please include the results of estimate of bleeding rate with </w:t>
      </w:r>
      <w:r w:rsidR="00C605DF">
        <w:t>CIs</w:t>
      </w:r>
      <w:r w:rsidR="00403A71" w:rsidRPr="00403A71">
        <w:t xml:space="preserve"> using unadjusted Poisson model for all patients as well as for two age groups separately to support your efficacy conclusion.</w:t>
      </w:r>
    </w:p>
    <w:p w:rsidR="00403A71" w:rsidRDefault="00403A71" w:rsidP="00286D9F">
      <w:pPr>
        <w:pStyle w:val="Heading5"/>
      </w:pPr>
      <w:r>
        <w:t xml:space="preserve">Sponsor’s </w:t>
      </w:r>
      <w:r w:rsidR="00D31743">
        <w:t>r</w:t>
      </w:r>
      <w:r>
        <w:t>esponse</w:t>
      </w:r>
    </w:p>
    <w:p w:rsidR="00403A71" w:rsidRPr="00403A71" w:rsidRDefault="00403A71" w:rsidP="00403A71">
      <w:r w:rsidRPr="00403A71">
        <w:t>A simple Poisson analysis without adjustment for age and over</w:t>
      </w:r>
      <w:r w:rsidR="00FB3496">
        <w:t xml:space="preserve"> </w:t>
      </w:r>
      <w:r w:rsidRPr="00403A71">
        <w:t>dispersion has been conducted by age group for subjects below and above 18 years of age. The same simple Poisson analysis has further been conducted for all patients as tabulated below</w:t>
      </w:r>
      <w:r w:rsidR="00E23F85">
        <w:t xml:space="preserve"> (Table 10</w:t>
      </w:r>
      <w:r w:rsidRPr="00403A71">
        <w:t xml:space="preserve">). In all three cases, the upper 95% </w:t>
      </w:r>
      <w:r w:rsidR="00C605DF">
        <w:t>CI</w:t>
      </w:r>
      <w:r w:rsidRPr="00403A71">
        <w:t xml:space="preserve"> of the yearly bleeding rate is below the recalculated bleeding rate of 1.68 for the </w:t>
      </w:r>
      <w:r w:rsidR="009854A5">
        <w:t>on-demand</w:t>
      </w:r>
      <w:r w:rsidRPr="00403A71">
        <w:t xml:space="preserve"> patients in the historical control group.</w:t>
      </w:r>
    </w:p>
    <w:p w:rsidR="00E23F85" w:rsidRDefault="00E23F85" w:rsidP="00E23F85">
      <w:pPr>
        <w:pStyle w:val="TableTitle"/>
      </w:pPr>
      <w:r>
        <w:lastRenderedPageBreak/>
        <w:t>Table 10:</w:t>
      </w:r>
      <w:r w:rsidRPr="004C5C28">
        <w:t xml:space="preserve"> </w:t>
      </w:r>
      <w:r w:rsidR="00FB3496">
        <w:t>Sponsor’s FDA response: Study</w:t>
      </w:r>
      <w:r w:rsidR="00C64739" w:rsidRPr="00C64739">
        <w:t xml:space="preserve"> FICD-1725 bleeding rates and 95% CIs from a simple Poisson model</w:t>
      </w:r>
      <w:r>
        <w:t>.</w:t>
      </w:r>
    </w:p>
    <w:p w:rsidR="0090181C" w:rsidRDefault="00A938FA" w:rsidP="00403A71">
      <w:r>
        <w:rPr>
          <w:noProof/>
          <w:lang w:eastAsia="en-AU"/>
        </w:rPr>
        <w:drawing>
          <wp:inline distT="0" distB="0" distL="0" distR="0">
            <wp:extent cx="4841240" cy="1335405"/>
            <wp:effectExtent l="0" t="0" r="0" b="0"/>
            <wp:docPr id="13" name="Picture 13" descr="Table 10: Sponsor’s FDA response: Study FICD-1725 bleeding rates and 95% CIs from a simple Poiss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10: Sponsor’s FDA response: Study FICD-1725 bleeding rates and 95% CIs from a simple Poisson mode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41240" cy="1335405"/>
                    </a:xfrm>
                    <a:prstGeom prst="rect">
                      <a:avLst/>
                    </a:prstGeom>
                    <a:noFill/>
                    <a:ln>
                      <a:noFill/>
                    </a:ln>
                  </pic:spPr>
                </pic:pic>
              </a:graphicData>
            </a:graphic>
          </wp:inline>
        </w:drawing>
      </w:r>
    </w:p>
    <w:p w:rsidR="00EE79C7" w:rsidRDefault="00EE79C7" w:rsidP="00663255">
      <w:pPr>
        <w:pStyle w:val="Heading5"/>
      </w:pPr>
      <w:r>
        <w:t xml:space="preserve">Clinical </w:t>
      </w:r>
      <w:r w:rsidR="00D31743">
        <w:t>e</w:t>
      </w:r>
      <w:r>
        <w:t xml:space="preserve">valuator’s </w:t>
      </w:r>
      <w:r w:rsidR="00D31743">
        <w:t>c</w:t>
      </w:r>
      <w:r>
        <w:t>omment</w:t>
      </w:r>
    </w:p>
    <w:p w:rsidR="00EE79C7" w:rsidRPr="00EE79C7" w:rsidRDefault="00EE79C7" w:rsidP="00EE79C7">
      <w:r w:rsidRPr="00EE79C7">
        <w:t xml:space="preserve">The sponsor’s response demonstrates the superior efficacy of rFXIII prophylaxis in patients in </w:t>
      </w:r>
      <w:r w:rsidR="00046E5E">
        <w:t xml:space="preserve">Study </w:t>
      </w:r>
      <w:r w:rsidRPr="00EE79C7">
        <w:t xml:space="preserve">F13CD-1725 compared with </w:t>
      </w:r>
      <w:r w:rsidR="009854A5">
        <w:t>on-demand</w:t>
      </w:r>
      <w:r w:rsidRPr="00EE79C7">
        <w:t xml:space="preserve"> treatment as regards the yearly bleeding rate. The estimated bleeding rate in </w:t>
      </w:r>
      <w:r w:rsidR="007625D8">
        <w:t xml:space="preserve">Study </w:t>
      </w:r>
      <w:r w:rsidRPr="00EE79C7">
        <w:t>F13CD-1725 was notably higher in patients aged &lt; 18 years compared with patients aged ≥ 18 years. However, the number of bleeds in the total population (n</w:t>
      </w:r>
      <w:r w:rsidR="00BB4808">
        <w:t xml:space="preserve"> </w:t>
      </w:r>
      <w:r w:rsidRPr="00EE79C7">
        <w:t>=</w:t>
      </w:r>
      <w:r w:rsidR="00BB4808">
        <w:t xml:space="preserve"> </w:t>
      </w:r>
      <w:r w:rsidRPr="00EE79C7">
        <w:t>41) was low (5 bleeds in 4 subjects). There were 4 bleeds in 3 patients aged &lt; 18 years and 1 bleed in 1 patient aged ≥ 18 years.</w:t>
      </w:r>
    </w:p>
    <w:p w:rsidR="00EE79C7" w:rsidRPr="00EE79C7" w:rsidRDefault="005962BC" w:rsidP="00EE79C7">
      <w:pPr>
        <w:pStyle w:val="ListBullet"/>
      </w:pPr>
      <w:r>
        <w:rPr>
          <w:b/>
        </w:rPr>
        <w:t>FDA Item</w:t>
      </w:r>
      <w:r w:rsidR="00EE79C7" w:rsidRPr="00EE79C7">
        <w:rPr>
          <w:b/>
        </w:rPr>
        <w:t xml:space="preserve"> 29 (S</w:t>
      </w:r>
      <w:r>
        <w:rPr>
          <w:b/>
        </w:rPr>
        <w:t>tatistics</w:t>
      </w:r>
      <w:r w:rsidR="00EE79C7" w:rsidRPr="00EE79C7">
        <w:rPr>
          <w:b/>
        </w:rPr>
        <w:t>) -</w:t>
      </w:r>
      <w:r w:rsidR="00EE79C7" w:rsidRPr="00EE79C7">
        <w:t xml:space="preserve"> Please submit a dot</w:t>
      </w:r>
      <w:r w:rsidR="00BB4808">
        <w:t xml:space="preserve"> plot of the 1 h</w:t>
      </w:r>
      <w:r w:rsidR="00D1053A">
        <w:t xml:space="preserve"> post </w:t>
      </w:r>
      <w:r w:rsidR="00EE79C7" w:rsidRPr="00EE79C7">
        <w:t xml:space="preserve">dose data for </w:t>
      </w:r>
      <w:r w:rsidR="00D1053A">
        <w:t>S</w:t>
      </w:r>
      <w:r w:rsidR="00EE79C7" w:rsidRPr="00EE79C7">
        <w:t>tudy F13CD-1725 in database ADPROF for the A</w:t>
      </w:r>
      <w:r w:rsidR="00EE79C7" w:rsidRPr="00D1053A">
        <w:rPr>
          <w:vertAlign w:val="subscript"/>
        </w:rPr>
        <w:t>2</w:t>
      </w:r>
      <w:r w:rsidR="00EE79C7" w:rsidRPr="00EE79C7">
        <w:t>B</w:t>
      </w:r>
      <w:r w:rsidR="00EE79C7" w:rsidRPr="00D1053A">
        <w:rPr>
          <w:vertAlign w:val="subscript"/>
        </w:rPr>
        <w:t>2</w:t>
      </w:r>
      <w:r w:rsidR="00D1053A">
        <w:t xml:space="preserve"> heterotetramer levels (that is, </w:t>
      </w:r>
      <w:r w:rsidR="00EE79C7" w:rsidRPr="00EE79C7">
        <w:t>antigenic FXIII levels) plotted on the ordinate versus the FXIII activity levels plotted on abscissa. Please analy</w:t>
      </w:r>
      <w:r w:rsidR="003269B5">
        <w:t>s</w:t>
      </w:r>
      <w:r w:rsidR="00EE79C7" w:rsidRPr="00EE79C7">
        <w:t>e the data to evaluate the correlation coefficients for the regions FXIII activity &lt; 1 IU/mL and FXIII activity &gt; 1 IU/mL, and describe the extent to which the results are to be expected based upon the study procedures and the analytical procedures that were employed.</w:t>
      </w:r>
    </w:p>
    <w:p w:rsidR="00663255" w:rsidRDefault="00663255" w:rsidP="00663255">
      <w:pPr>
        <w:pStyle w:val="Heading5"/>
      </w:pPr>
      <w:r>
        <w:t xml:space="preserve">Sponsor’s </w:t>
      </w:r>
      <w:r w:rsidR="00D31743">
        <w:t>r</w:t>
      </w:r>
      <w:r>
        <w:t>esponse</w:t>
      </w:r>
    </w:p>
    <w:p w:rsidR="00EE79C7" w:rsidRPr="00EE79C7" w:rsidRDefault="00EE79C7" w:rsidP="00EE79C7">
      <w:r w:rsidRPr="00EE79C7">
        <w:t>The sponso</w:t>
      </w:r>
      <w:r w:rsidR="00696D04">
        <w:t xml:space="preserve">r’s response included three dot </w:t>
      </w:r>
      <w:r w:rsidRPr="00EE79C7">
        <w:t>plots. The data were grouped according to three FXIII activity intervals requested by the FDA (0-0.5 IU/mL, 0.5-1.0 IU/mL, &gt;1.0 IU/mL). In each of the intervals, a linear regression was conducted for each of three rFXIII activity intervals. In the initial analysis, excluding FXIII activity values relating to the treatment that three patients reverted to following withdrawal, a numerically slightly higher slope was observed in the low FXIII activity interval (&lt; 0.5 IU/mL) compared to the intermediary FXIII activity interval (0.5-1.0 IU/mL). This difference was to a large extent driven by a single data point for subject 20101, who by mistake was dosed at Visit 4 with sterile water only, instead of rFXIII. When excluding this data point, the linear regression trend line in the low FXIII activity interval (&lt; 0.5 IU/L) had essentially the same slope as in the intermediate FXIII activity interval (0.5 to 1.0 IU/L). However, in this analysis the slope in the high FXIII activity interval (&gt;1.0) was noticeably lower than in the other two intervals and was essentially flat. This was primarily driven by three data points for rFXIII outside the upper limit for the plot of 2.0 IU/L. These three dat</w:t>
      </w:r>
      <w:r w:rsidR="006761A2">
        <w:t>a points from two subjects (that is</w:t>
      </w:r>
      <w:r w:rsidRPr="00EE79C7">
        <w:t>, rFXIII activity 2.93, 3.33 and 5.55 IU/L) were considered by the sponsor to be most likely due to ex vivo contamination due to using the same tubing for administration of rFXIII and post dose blood sampling. When excluding these data points, the linear regression trend line in the high activity interval has essentially the same slope as in the other two FXIII intervals (</w:t>
      </w:r>
      <w:r w:rsidR="00663255">
        <w:t>Figure 4</w:t>
      </w:r>
      <w:r w:rsidRPr="00EE79C7">
        <w:t>).</w:t>
      </w:r>
    </w:p>
    <w:p w:rsidR="00663255" w:rsidRDefault="00663255" w:rsidP="00663255">
      <w:pPr>
        <w:pStyle w:val="FigureTitle"/>
      </w:pPr>
      <w:r>
        <w:lastRenderedPageBreak/>
        <w:t xml:space="preserve">Figure </w:t>
      </w:r>
      <w:r w:rsidR="00F94C46">
        <w:t>4</w:t>
      </w:r>
      <w:r w:rsidRPr="00C337CB">
        <w:t xml:space="preserve">. </w:t>
      </w:r>
      <w:r w:rsidR="000D011E" w:rsidRPr="000D011E">
        <w:t xml:space="preserve">Sponsor’s FDA </w:t>
      </w:r>
      <w:r w:rsidR="008563F5">
        <w:t xml:space="preserve">response: </w:t>
      </w:r>
      <w:r w:rsidR="000D011E" w:rsidRPr="000D011E">
        <w:t>FXIII activity v</w:t>
      </w:r>
      <w:r w:rsidR="008563F5">
        <w:t>ers</w:t>
      </w:r>
      <w:r w:rsidR="00443C47">
        <w:t>u</w:t>
      </w:r>
      <w:r w:rsidR="000D011E" w:rsidRPr="000D011E">
        <w:t>s FXIII A</w:t>
      </w:r>
      <w:r w:rsidR="000D011E" w:rsidRPr="00D30E29">
        <w:rPr>
          <w:vertAlign w:val="subscript"/>
        </w:rPr>
        <w:t>2</w:t>
      </w:r>
      <w:r w:rsidR="000D011E" w:rsidRPr="000D011E">
        <w:t>B</w:t>
      </w:r>
      <w:r w:rsidR="000D011E" w:rsidRPr="00D30E29">
        <w:rPr>
          <w:vertAlign w:val="subscript"/>
        </w:rPr>
        <w:t>2</w:t>
      </w:r>
      <w:r w:rsidR="00D30E29">
        <w:t xml:space="preserve"> ELISA measured 1 h</w:t>
      </w:r>
      <w:r w:rsidR="000D011E" w:rsidRPr="000D011E">
        <w:t xml:space="preserve"> after dosing, excluding value from </w:t>
      </w:r>
      <w:r w:rsidR="00C84092">
        <w:t>one subject</w:t>
      </w:r>
      <w:r w:rsidR="000D011E" w:rsidRPr="000D011E">
        <w:t xml:space="preserve"> dosed with sterile water (only) at </w:t>
      </w:r>
      <w:r w:rsidR="00597B58">
        <w:t>V</w:t>
      </w:r>
      <w:r w:rsidR="00D30E29">
        <w:t>isit 4 as well as three</w:t>
      </w:r>
      <w:r w:rsidR="000D011E" w:rsidRPr="000D011E">
        <w:t xml:space="preserve"> outlier values </w:t>
      </w:r>
      <w:r w:rsidR="00373020">
        <w:t>(</w:t>
      </w:r>
      <w:r w:rsidR="000D011E" w:rsidRPr="000D011E">
        <w:t>2.93, 3.33 and 5.55</w:t>
      </w:r>
      <w:r w:rsidR="00373020">
        <w:t>)</w:t>
      </w:r>
      <w:r>
        <w:t>.</w:t>
      </w:r>
    </w:p>
    <w:p w:rsidR="00C64739" w:rsidRDefault="00A938FA" w:rsidP="00EE79C7">
      <w:r>
        <w:rPr>
          <w:noProof/>
          <w:lang w:eastAsia="en-AU"/>
        </w:rPr>
        <w:drawing>
          <wp:inline distT="0" distB="0" distL="0" distR="0">
            <wp:extent cx="4718050" cy="2900045"/>
            <wp:effectExtent l="0" t="0" r="6350" b="0"/>
            <wp:docPr id="14" name="Picture 14" descr="Figure 4. Sponsor’s FDA response: FXIII activity versus FXIII A2B2 ELISA measured 1 h after dosing, excluding value from one subject dosed with sterile water (only) at Visit 4 as well as three outlier values (2.93, 3.33 and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4. Sponsor’s FDA response: FXIII activity versus FXIII A2B2 ELISA measured 1 h after dosing, excluding value from one subject dosed with sterile water (only) at Visit 4 as well as three outlier values (2.93, 3.33 and 5.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8050" cy="2900045"/>
                    </a:xfrm>
                    <a:prstGeom prst="rect">
                      <a:avLst/>
                    </a:prstGeom>
                    <a:noFill/>
                    <a:ln>
                      <a:noFill/>
                    </a:ln>
                  </pic:spPr>
                </pic:pic>
              </a:graphicData>
            </a:graphic>
          </wp:inline>
        </w:drawing>
      </w:r>
    </w:p>
    <w:p w:rsidR="00F91C14" w:rsidRDefault="0015419B" w:rsidP="00A83243">
      <w:pPr>
        <w:pStyle w:val="TableDescription"/>
      </w:pPr>
      <w:r>
        <w:t>The best regression lines across 3 intervals are shown (</w:t>
      </w:r>
      <w:r>
        <w:rPr>
          <w:rFonts w:cs="Arial"/>
        </w:rPr>
        <w:t>≤</w:t>
      </w:r>
      <w:r>
        <w:t xml:space="preserve">0.5, 0.5-1.0 and &gt;1.0). Values </w:t>
      </w:r>
      <w:r w:rsidR="003E05D7">
        <w:t xml:space="preserve">reaching </w:t>
      </w:r>
      <w:r w:rsidR="00953894" w:rsidRPr="00953894">
        <w:t xml:space="preserve">Lower Limit of Quantification </w:t>
      </w:r>
      <w:r w:rsidR="00953894">
        <w:t>(</w:t>
      </w:r>
      <w:r w:rsidR="003E05D7">
        <w:t>LLOQ</w:t>
      </w:r>
      <w:r w:rsidR="00953894">
        <w:t>)</w:t>
      </w:r>
      <w:r w:rsidR="003E05D7">
        <w:t xml:space="preserve"> = 0.10 IU/mL for FXIII activity and LLOQ = 1.57 </w:t>
      </w:r>
      <w:r w:rsidR="0030044F">
        <w:rPr>
          <w:rFonts w:cs="Arial"/>
        </w:rPr>
        <w:t>µ</w:t>
      </w:r>
      <w:r w:rsidR="0030044F">
        <w:t>g/mL for A</w:t>
      </w:r>
      <w:r w:rsidR="0030044F" w:rsidRPr="00953894">
        <w:rPr>
          <w:vertAlign w:val="subscript"/>
        </w:rPr>
        <w:t>2</w:t>
      </w:r>
      <w:r w:rsidR="0030044F">
        <w:t>B</w:t>
      </w:r>
      <w:r w:rsidR="0030044F" w:rsidRPr="00953894">
        <w:rPr>
          <w:vertAlign w:val="subscript"/>
        </w:rPr>
        <w:t>2</w:t>
      </w:r>
      <w:r w:rsidR="0030044F">
        <w:t xml:space="preserve"> are set equal to ½ x LLOQ. LLOQ limits are illustrated with dashed green lines. For 3 subjects withdrawn from treatment, only values following dosing with rFXIII are shown. In addition, 3 outliers about FXIII activity 2.5 (IU/mL) are excluded (for 2 subjects).</w:t>
      </w:r>
    </w:p>
    <w:p w:rsidR="004A4969" w:rsidRDefault="000D011E" w:rsidP="00F91C14">
      <w:pPr>
        <w:pStyle w:val="Heading5"/>
      </w:pPr>
      <w:r w:rsidRPr="000D011E">
        <w:t xml:space="preserve">Clinical </w:t>
      </w:r>
      <w:r w:rsidR="00D31743">
        <w:t>e</w:t>
      </w:r>
      <w:r w:rsidRPr="000D011E">
        <w:t xml:space="preserve">valuator’s </w:t>
      </w:r>
      <w:r w:rsidR="00D31743">
        <w:t>c</w:t>
      </w:r>
      <w:r w:rsidRPr="000D011E">
        <w:t>omment</w:t>
      </w:r>
    </w:p>
    <w:p w:rsidR="000D011E" w:rsidRPr="000D011E" w:rsidRDefault="000D011E" w:rsidP="000D011E">
      <w:r w:rsidRPr="000D011E">
        <w:t>When the data from the subject dosed with sterile water and the three subjects with outlying FXIII activity values are excluded, a linear relationship was observed between FXIII activity and A</w:t>
      </w:r>
      <w:r w:rsidR="00817225" w:rsidRPr="00817225">
        <w:rPr>
          <w:vertAlign w:val="subscript"/>
        </w:rPr>
        <w:t>2</w:t>
      </w:r>
      <w:r w:rsidRPr="000D011E">
        <w:t>B</w:t>
      </w:r>
      <w:r w:rsidRPr="00817225">
        <w:rPr>
          <w:vertAlign w:val="subscript"/>
        </w:rPr>
        <w:t>2</w:t>
      </w:r>
      <w:r w:rsidR="00817225">
        <w:t xml:space="preserve"> heterotetramer levels (that is</w:t>
      </w:r>
      <w:r w:rsidR="00A83243">
        <w:t>, antigenic FXIII levels).</w:t>
      </w:r>
    </w:p>
    <w:p w:rsidR="000D011E" w:rsidRPr="000D011E" w:rsidRDefault="000D011E" w:rsidP="007675B2">
      <w:pPr>
        <w:pStyle w:val="Heading4"/>
      </w:pPr>
      <w:bookmarkStart w:id="148" w:name="_Toc234564384"/>
      <w:r w:rsidRPr="000D011E">
        <w:t>Pharmacokinetics</w:t>
      </w:r>
      <w:bookmarkEnd w:id="148"/>
    </w:p>
    <w:p w:rsidR="00D9066F" w:rsidRDefault="00D9066F" w:rsidP="00D9066F">
      <w:pPr>
        <w:pStyle w:val="Heading5"/>
      </w:pPr>
      <w:r>
        <w:t>Question 2</w:t>
      </w:r>
    </w:p>
    <w:p w:rsidR="000D011E" w:rsidRPr="007675B2" w:rsidRDefault="000D011E" w:rsidP="000D011E">
      <w:pPr>
        <w:rPr>
          <w:i/>
        </w:rPr>
      </w:pPr>
      <w:r w:rsidRPr="007675B2">
        <w:rPr>
          <w:i/>
        </w:rPr>
        <w:t xml:space="preserve">In </w:t>
      </w:r>
      <w:r w:rsidR="00C76EE8">
        <w:rPr>
          <w:i/>
        </w:rPr>
        <w:t>S</w:t>
      </w:r>
      <w:r w:rsidRPr="007675B2">
        <w:rPr>
          <w:i/>
        </w:rPr>
        <w:t>tudy NN1841-3788, please account for the difference between the pooled results (97 exposures) for the FXIII activity at 30 m</w:t>
      </w:r>
      <w:r w:rsidR="00E97D45">
        <w:rPr>
          <w:i/>
        </w:rPr>
        <w:t>inutes given in Table 11-2 (for example</w:t>
      </w:r>
      <w:r w:rsidRPr="007675B2">
        <w:rPr>
          <w:i/>
        </w:rPr>
        <w:t>, geometric mean = 0.</w:t>
      </w:r>
      <w:r w:rsidR="00E97D45">
        <w:rPr>
          <w:i/>
        </w:rPr>
        <w:t>85 IU/mL) and Table 14.2.2 (</w:t>
      </w:r>
      <w:r w:rsidRPr="007675B2">
        <w:rPr>
          <w:i/>
        </w:rPr>
        <w:t>geometric mean = 0.87 IU/mL).</w:t>
      </w:r>
    </w:p>
    <w:p w:rsidR="007675B2" w:rsidRDefault="007675B2" w:rsidP="007675B2">
      <w:pPr>
        <w:pStyle w:val="Heading5"/>
      </w:pPr>
      <w:r>
        <w:t>Sponsor</w:t>
      </w:r>
      <w:r w:rsidR="00BA4D2D">
        <w:t>’</w:t>
      </w:r>
      <w:r>
        <w:t>s response</w:t>
      </w:r>
    </w:p>
    <w:p w:rsidR="000D011E" w:rsidRPr="000D011E" w:rsidRDefault="000D011E" w:rsidP="000D011E">
      <w:r w:rsidRPr="000D011E">
        <w:t>It is the mean baseline adjusted value of 0.87 IU/mL of FXIII activity at 30 minutes in Table 11-2 in the clinical trial report that should be compared with the mean baseline adjusted change at 30 minutes in Table 14.2.2, which is also 0.87 IU/mL. Thus, no difference can be accounted for.</w:t>
      </w:r>
    </w:p>
    <w:p w:rsidR="007675B2" w:rsidRDefault="007675B2" w:rsidP="007675B2">
      <w:pPr>
        <w:pStyle w:val="Heading5"/>
      </w:pPr>
      <w:r>
        <w:t xml:space="preserve">Clinical </w:t>
      </w:r>
      <w:r w:rsidR="00D8392E">
        <w:t>e</w:t>
      </w:r>
      <w:r>
        <w:t xml:space="preserve">valuator’s </w:t>
      </w:r>
      <w:r w:rsidR="00D8392E">
        <w:t>c</w:t>
      </w:r>
      <w:r>
        <w:t>omment</w:t>
      </w:r>
    </w:p>
    <w:p w:rsidR="000D011E" w:rsidRPr="000D011E" w:rsidRDefault="000D011E" w:rsidP="000D011E">
      <w:r w:rsidRPr="000D011E">
        <w:t>The spon</w:t>
      </w:r>
      <w:r w:rsidR="00A83243">
        <w:t>sor’s response is satisfactory.</w:t>
      </w:r>
    </w:p>
    <w:p w:rsidR="00961A65" w:rsidRPr="000D011E" w:rsidRDefault="00961A65" w:rsidP="00961A65">
      <w:pPr>
        <w:pStyle w:val="Heading4"/>
      </w:pPr>
      <w:r>
        <w:t>Efficacy</w:t>
      </w:r>
    </w:p>
    <w:p w:rsidR="00961A65" w:rsidRDefault="00961A65" w:rsidP="00961A65">
      <w:pPr>
        <w:pStyle w:val="Heading5"/>
      </w:pPr>
      <w:r>
        <w:t>Question 3</w:t>
      </w:r>
    </w:p>
    <w:p w:rsidR="00126451" w:rsidRPr="00126451" w:rsidRDefault="00126451" w:rsidP="00126451">
      <w:pPr>
        <w:rPr>
          <w:i/>
        </w:rPr>
      </w:pPr>
      <w:r w:rsidRPr="00126451">
        <w:rPr>
          <w:i/>
        </w:rPr>
        <w:t xml:space="preserve">The submission included no clinical dose ranging studies in patients with congenital FXIII deficiency. Therefore, please explain the rationale for selecting the dose of 35 IU/kg administered once monthly used in the pivotal </w:t>
      </w:r>
      <w:r w:rsidR="00067AB8">
        <w:rPr>
          <w:i/>
        </w:rPr>
        <w:t>Phase III</w:t>
      </w:r>
      <w:r w:rsidRPr="00126451">
        <w:rPr>
          <w:i/>
        </w:rPr>
        <w:t xml:space="preserve"> study (F13CD-1725).</w:t>
      </w:r>
    </w:p>
    <w:p w:rsidR="00126451" w:rsidRDefault="00126451" w:rsidP="00126451">
      <w:pPr>
        <w:pStyle w:val="Heading5"/>
      </w:pPr>
      <w:r>
        <w:lastRenderedPageBreak/>
        <w:t xml:space="preserve">Sponsor’s </w:t>
      </w:r>
      <w:r w:rsidR="00D31743">
        <w:t>r</w:t>
      </w:r>
      <w:r>
        <w:t>esponse</w:t>
      </w:r>
    </w:p>
    <w:p w:rsidR="00126451" w:rsidRPr="00126451" w:rsidRDefault="00126451" w:rsidP="00126451">
      <w:r w:rsidRPr="00126451">
        <w:t xml:space="preserve">In the </w:t>
      </w:r>
      <w:r w:rsidR="00A04A86">
        <w:t>Phase I</w:t>
      </w:r>
      <w:r w:rsidRPr="00126451">
        <w:t xml:space="preserve"> trial (</w:t>
      </w:r>
      <w:r w:rsidR="00A04A86">
        <w:t xml:space="preserve">Study </w:t>
      </w:r>
      <w:r w:rsidRPr="00126451">
        <w:t>F13-1663), performed in patients with congenital FXIII deficiency, a well approximated linear relation between the administered dose and the FXIII plasma activity was observed in the dose interval betw</w:t>
      </w:r>
      <w:r w:rsidR="00420DE1">
        <w:t>een 24 IU/kg and 89 IU/kg (Figure 5</w:t>
      </w:r>
      <w:r w:rsidRPr="00126451">
        <w:t>).</w:t>
      </w:r>
    </w:p>
    <w:p w:rsidR="00420DE1" w:rsidRDefault="00420DE1" w:rsidP="00420DE1">
      <w:pPr>
        <w:pStyle w:val="FigureTitle"/>
      </w:pPr>
      <w:r>
        <w:t>Figure 5</w:t>
      </w:r>
      <w:r w:rsidRPr="00C337CB">
        <w:t>.</w:t>
      </w:r>
      <w:r w:rsidR="00047249">
        <w:t xml:space="preserve"> Study</w:t>
      </w:r>
      <w:r w:rsidRPr="00C337CB">
        <w:t xml:space="preserve"> </w:t>
      </w:r>
      <w:r w:rsidR="00717F8E">
        <w:t>F13CD-1663:</w:t>
      </w:r>
      <w:r w:rsidR="00221955">
        <w:t xml:space="preserve"> AUC</w:t>
      </w:r>
      <w:r w:rsidR="00221955" w:rsidRPr="00C5341C">
        <w:rPr>
          <w:vertAlign w:val="subscript"/>
        </w:rPr>
        <w:t>0-</w:t>
      </w:r>
      <w:r w:rsidR="00C5341C" w:rsidRPr="00C5341C">
        <w:rPr>
          <w:vertAlign w:val="subscript"/>
        </w:rPr>
        <w:t>∞</w:t>
      </w:r>
      <w:r w:rsidRPr="00C5341C">
        <w:rPr>
          <w:vertAlign w:val="subscript"/>
        </w:rPr>
        <w:t xml:space="preserve"> </w:t>
      </w:r>
      <w:r w:rsidRPr="00420DE1">
        <w:t>and C</w:t>
      </w:r>
      <w:r w:rsidRPr="00C5341C">
        <w:rPr>
          <w:vertAlign w:val="subscript"/>
        </w:rPr>
        <w:t>0</w:t>
      </w:r>
      <w:r w:rsidRPr="00420DE1">
        <w:t xml:space="preserve"> versus dose</w:t>
      </w:r>
      <w:r>
        <w:t>.</w:t>
      </w:r>
    </w:p>
    <w:p w:rsidR="00D96779" w:rsidRDefault="00A938FA" w:rsidP="00D96779">
      <w:pPr>
        <w:widowControl w:val="0"/>
        <w:autoSpaceDE w:val="0"/>
        <w:autoSpaceDN w:val="0"/>
        <w:adjustRightInd w:val="0"/>
        <w:rPr>
          <w:rFonts w:cs="_Ùø∂€"/>
          <w:lang w:val="en-US"/>
        </w:rPr>
      </w:pPr>
      <w:r>
        <w:rPr>
          <w:rFonts w:cs="_Ùø∂€"/>
          <w:noProof/>
          <w:lang w:eastAsia="en-AU"/>
        </w:rPr>
        <w:drawing>
          <wp:inline distT="0" distB="0" distL="0" distR="0">
            <wp:extent cx="2412365" cy="1621155"/>
            <wp:effectExtent l="0" t="0" r="6985" b="0"/>
            <wp:docPr id="15" name="Picture 15" descr="Figure 5. Study F13CD-1663: AUC0-∞ and C0 versus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5. Study F13CD-1663: AUC0-∞ and C0 versus dos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2365" cy="1621155"/>
                    </a:xfrm>
                    <a:prstGeom prst="rect">
                      <a:avLst/>
                    </a:prstGeom>
                    <a:noFill/>
                    <a:ln>
                      <a:noFill/>
                    </a:ln>
                  </pic:spPr>
                </pic:pic>
              </a:graphicData>
            </a:graphic>
          </wp:inline>
        </w:drawing>
      </w:r>
    </w:p>
    <w:p w:rsidR="00D96779" w:rsidRPr="00561A52" w:rsidRDefault="00D96779" w:rsidP="00561A52">
      <w:r w:rsidRPr="00561A52">
        <w:t xml:space="preserve">Administration of 24 IU/kg, 60 IU/kg or 89 IU/kg rFXIII resulted in absolute increases of FXIII of 57-59%, 105-129% and 160-181%, respectively, up to </w:t>
      </w:r>
      <w:r w:rsidR="006534A4">
        <w:t>1 h</w:t>
      </w:r>
      <w:r w:rsidRPr="00561A52">
        <w:t xml:space="preserve"> after dosing. It was therefore predicted that a dose of 35 IU/kg to patients with congenital FXIII deficiency would increase the activity of FXIII to well within the normal range, but below 100%, at the time of injection and maintain the activity l</w:t>
      </w:r>
      <w:r w:rsidR="006534A4">
        <w:t xml:space="preserve">evel &gt;10% up to four weeks post </w:t>
      </w:r>
      <w:r w:rsidRPr="00561A52">
        <w:t xml:space="preserve">dose. A mean trough level of 10% was targeted to ensure haemostatic coverage in all patients when considering the variability in bleeding tendency at relatively low FXIII activity levels. A dose of 35 IU/kg rFXIII was anticipated to adequately address the clinical need in patients with congenital FXIII deficiency and considered sufficient for prophylactic treatment of bleedings. Subsequently, this dose has been proven to be both safe and efficacious, based on results from the pivotal </w:t>
      </w:r>
      <w:r w:rsidR="00067AB8">
        <w:t>Phase III</w:t>
      </w:r>
      <w:r w:rsidRPr="00561A52">
        <w:t xml:space="preserve"> trial (F13CD-1725) as well as the </w:t>
      </w:r>
      <w:r w:rsidR="00067AB8">
        <w:t>Phase III</w:t>
      </w:r>
      <w:r w:rsidRPr="00561A52">
        <w:t xml:space="preserve"> extension trial (F13CD-3720). The above assumptions have further been demonstrated to be correct, as observed from the mean peak and trough FXIII activity levels in the PK part of the F13CD-3720 trial (mean C</w:t>
      </w:r>
      <w:r w:rsidRPr="00316D9A">
        <w:rPr>
          <w:vertAlign w:val="subscript"/>
        </w:rPr>
        <w:t>trough</w:t>
      </w:r>
      <w:r w:rsidRPr="00561A52">
        <w:t xml:space="preserve"> = 0.17 IU/mL and mean C</w:t>
      </w:r>
      <w:r w:rsidRPr="00316D9A">
        <w:rPr>
          <w:vertAlign w:val="subscript"/>
        </w:rPr>
        <w:t>max</w:t>
      </w:r>
      <w:r w:rsidRPr="00561A52">
        <w:t xml:space="preserve"> level of 0.89 IU/mL).</w:t>
      </w:r>
    </w:p>
    <w:p w:rsidR="00486AB5" w:rsidRDefault="00D96779" w:rsidP="00486AB5">
      <w:pPr>
        <w:pStyle w:val="Heading5"/>
      </w:pPr>
      <w:r w:rsidRPr="00561A52">
        <w:t xml:space="preserve">Clinical </w:t>
      </w:r>
      <w:r w:rsidR="00D31743">
        <w:t>e</w:t>
      </w:r>
      <w:r w:rsidR="00486AB5">
        <w:t xml:space="preserve">valuator’s </w:t>
      </w:r>
      <w:r w:rsidR="00D31743">
        <w:t>c</w:t>
      </w:r>
      <w:r w:rsidR="00486AB5">
        <w:t>omment</w:t>
      </w:r>
    </w:p>
    <w:p w:rsidR="00D96779" w:rsidRPr="00561A52" w:rsidRDefault="00D96779" w:rsidP="00561A52">
      <w:r w:rsidRPr="00561A52">
        <w:t>The spon</w:t>
      </w:r>
      <w:r w:rsidR="00A83243">
        <w:t>sor’s response is satisfactory.</w:t>
      </w:r>
    </w:p>
    <w:p w:rsidR="00CA6460" w:rsidRDefault="00CA6460" w:rsidP="00CA6460">
      <w:pPr>
        <w:pStyle w:val="Heading5"/>
      </w:pPr>
      <w:r>
        <w:t>Question 4</w:t>
      </w:r>
    </w:p>
    <w:p w:rsidR="00D96779" w:rsidRPr="00CA6460" w:rsidRDefault="00D96779" w:rsidP="00561A52">
      <w:pPr>
        <w:rPr>
          <w:i/>
        </w:rPr>
      </w:pPr>
      <w:r w:rsidRPr="00CA6460">
        <w:rPr>
          <w:i/>
        </w:rPr>
        <w:t xml:space="preserve">In the pivotal </w:t>
      </w:r>
      <w:r w:rsidR="00067AB8">
        <w:rPr>
          <w:i/>
        </w:rPr>
        <w:t>Phase III</w:t>
      </w:r>
      <w:r w:rsidRPr="00CA6460">
        <w:rPr>
          <w:i/>
        </w:rPr>
        <w:t xml:space="preserve"> study (F13CD-1725) and</w:t>
      </w:r>
      <w:r w:rsidR="00B262F1">
        <w:rPr>
          <w:i/>
        </w:rPr>
        <w:t xml:space="preserve"> the</w:t>
      </w:r>
      <w:r w:rsidRPr="00CA6460">
        <w:rPr>
          <w:i/>
        </w:rPr>
        <w:t xml:space="preserve"> </w:t>
      </w:r>
      <w:r w:rsidR="00067AB8">
        <w:rPr>
          <w:i/>
        </w:rPr>
        <w:t>Phase III</w:t>
      </w:r>
      <w:r w:rsidRPr="00CA6460">
        <w:rPr>
          <w:i/>
        </w:rPr>
        <w:t xml:space="preserve"> extension study (F13CD-3720), FXIII containing products were used for treatment</w:t>
      </w:r>
      <w:r w:rsidR="00316D9A">
        <w:rPr>
          <w:i/>
        </w:rPr>
        <w:t xml:space="preserve"> </w:t>
      </w:r>
      <w:r w:rsidRPr="00CA6460">
        <w:rPr>
          <w:i/>
        </w:rPr>
        <w:t>requiring bleeds during the rFXIII treatment period. Please explain why additional doses of rFXIII were not used for these bleeding episodes rather than FXIII</w:t>
      </w:r>
      <w:r w:rsidR="00316D9A">
        <w:rPr>
          <w:i/>
        </w:rPr>
        <w:t xml:space="preserve"> </w:t>
      </w:r>
      <w:r w:rsidRPr="00CA6460">
        <w:rPr>
          <w:i/>
        </w:rPr>
        <w:t>containing products.</w:t>
      </w:r>
    </w:p>
    <w:p w:rsidR="00CA6460" w:rsidRDefault="00CA6460" w:rsidP="00CA6460">
      <w:pPr>
        <w:pStyle w:val="Heading5"/>
      </w:pPr>
      <w:r>
        <w:t xml:space="preserve">Sponsor’s </w:t>
      </w:r>
      <w:r w:rsidR="00D31743">
        <w:t>r</w:t>
      </w:r>
      <w:r>
        <w:t>esponse</w:t>
      </w:r>
    </w:p>
    <w:p w:rsidR="00D96779" w:rsidRPr="00561A52" w:rsidRDefault="00D96779" w:rsidP="00561A52">
      <w:r w:rsidRPr="00561A52">
        <w:t xml:space="preserve">Advice obtained from regulatory authorities during design of the </w:t>
      </w:r>
      <w:r w:rsidR="00067AB8">
        <w:t>Phase III</w:t>
      </w:r>
      <w:r w:rsidRPr="00561A52">
        <w:t xml:space="preserve"> clinical program was that the efficacy of rFXIII should be established for prophylaxis, and that bleeding episodes, if any, should be treated according to local standard of care with other FXIII containing products. Consequently, the original trial design only allowed other</w:t>
      </w:r>
      <w:r w:rsidR="00C8228B">
        <w:t xml:space="preserve"> FXIII containing products, that is</w:t>
      </w:r>
      <w:r w:rsidRPr="00561A52">
        <w:t>, no rFXIII, for treatment of bleeding episodes. However, in order to obtain the indication for treatment of breakthrough bleedings during prophylaxis, a protocol amendment (Substantial amendment no. 1</w:t>
      </w:r>
      <w:r w:rsidR="00C8228B">
        <w:t>4, dated 14 May 2012) to the on</w:t>
      </w:r>
      <w:r w:rsidRPr="00561A52">
        <w:t xml:space="preserve">going </w:t>
      </w:r>
      <w:r w:rsidR="00067AB8">
        <w:t>Phase III</w:t>
      </w:r>
      <w:r w:rsidRPr="00561A52">
        <w:t xml:space="preserve">b extension trial (F13CD-3720) permits Novo Nordisk to investigate the efficacy and safety of rFXIII in the treatment of breakthrough bleedings by allowing treatment of breakthrough bleeds with rFXIII. Therefore, if breakthrough bleeding during the trial period </w:t>
      </w:r>
      <w:r w:rsidR="00B262F1">
        <w:t xml:space="preserve">is considered to </w:t>
      </w:r>
      <w:r w:rsidRPr="00561A52">
        <w:t>require additional FXIII treatment (by investigator’s judg</w:t>
      </w:r>
      <w:r w:rsidR="00493CC0">
        <w:t>e</w:t>
      </w:r>
      <w:r w:rsidRPr="00561A52">
        <w:t xml:space="preserve">ment), </w:t>
      </w:r>
      <w:r w:rsidRPr="00561A52">
        <w:lastRenderedPageBreak/>
        <w:t>the subject will be treated with rFXIII 35 IU/kg in addition to the routine prophylactic dose. After any additional administration of rFXIII for the treatment of breakthrough bleedings, the patient will continue the originally planned monthly replacement schedule, with the next monthly rFXIII dose administered 4 weeks (28</w:t>
      </w:r>
      <w:r w:rsidR="00027129">
        <w:t xml:space="preserve"> </w:t>
      </w:r>
      <w:r w:rsidRPr="00561A52">
        <w:t>±</w:t>
      </w:r>
      <w:r w:rsidR="00027129">
        <w:t xml:space="preserve"> </w:t>
      </w:r>
      <w:r w:rsidRPr="00561A52">
        <w:t>2 days) after the last prophylactic dose of rFXI</w:t>
      </w:r>
      <w:r w:rsidR="00AF54AB">
        <w:t>II. The clinical efficacy (that is,</w:t>
      </w:r>
      <w:r w:rsidRPr="00561A52">
        <w:t xml:space="preserve"> response to treatment) will be evaluated by the patient in consultation with the investiga</w:t>
      </w:r>
      <w:r w:rsidR="007866CA">
        <w:t>tor and will be reported on a 4 point scale (</w:t>
      </w:r>
      <w:r w:rsidR="00DE7FD2">
        <w:t>excellent, good, moderate,</w:t>
      </w:r>
      <w:r w:rsidRPr="00561A52">
        <w:t xml:space="preserve"> poor).</w:t>
      </w:r>
    </w:p>
    <w:p w:rsidR="00CA6460" w:rsidRDefault="00CA6460" w:rsidP="00CA6460">
      <w:pPr>
        <w:pStyle w:val="Heading5"/>
      </w:pPr>
      <w:r>
        <w:t xml:space="preserve">Clinical </w:t>
      </w:r>
      <w:r w:rsidR="00D31743">
        <w:t>e</w:t>
      </w:r>
      <w:r>
        <w:t xml:space="preserve">valuator’s </w:t>
      </w:r>
      <w:r w:rsidR="00D31743">
        <w:t>c</w:t>
      </w:r>
      <w:r>
        <w:t>omment</w:t>
      </w:r>
    </w:p>
    <w:p w:rsidR="00D96779" w:rsidRPr="00561A52" w:rsidRDefault="00D96779" w:rsidP="00561A52">
      <w:r w:rsidRPr="00561A52">
        <w:t>The sponsor’s response is satisfactory.</w:t>
      </w:r>
    </w:p>
    <w:p w:rsidR="00CA6460" w:rsidRDefault="00CA6460" w:rsidP="00CA6460">
      <w:pPr>
        <w:pStyle w:val="Heading5"/>
      </w:pPr>
      <w:r>
        <w:t>Question 5</w:t>
      </w:r>
    </w:p>
    <w:p w:rsidR="00D96779" w:rsidRPr="00BC3DC5" w:rsidRDefault="00D96779" w:rsidP="00561A52">
      <w:pPr>
        <w:rPr>
          <w:i/>
        </w:rPr>
      </w:pPr>
      <w:r w:rsidRPr="00BC3DC5">
        <w:rPr>
          <w:i/>
        </w:rPr>
        <w:t xml:space="preserve">In the pivotal </w:t>
      </w:r>
      <w:r w:rsidR="00067AB8">
        <w:rPr>
          <w:i/>
        </w:rPr>
        <w:t>Phase III</w:t>
      </w:r>
      <w:r w:rsidRPr="00BC3DC5">
        <w:rPr>
          <w:i/>
        </w:rPr>
        <w:t xml:space="preserve"> study (F13CD-1725), the screening visit (Visit 1) was planned 4 weeks (± 2 days) before the baseline visit (Visit 2). For subjects treated with regular replacement therapy before entering the trial, the screening visit was scheduled to be the same day as the subject was scheduled for admi</w:t>
      </w:r>
      <w:r w:rsidR="00AF54AB">
        <w:rPr>
          <w:i/>
        </w:rPr>
        <w:t xml:space="preserve">nistration of their usual FXIII </w:t>
      </w:r>
      <w:r w:rsidRPr="00BC3DC5">
        <w:rPr>
          <w:i/>
        </w:rPr>
        <w:t>containing prod</w:t>
      </w:r>
      <w:r w:rsidR="00AF54AB">
        <w:rPr>
          <w:i/>
        </w:rPr>
        <w:t xml:space="preserve">uct. Therefore, based on a half </w:t>
      </w:r>
      <w:r w:rsidRPr="00BC3DC5">
        <w:rPr>
          <w:i/>
        </w:rPr>
        <w:t>life of a</w:t>
      </w:r>
      <w:r w:rsidR="00AF54AB">
        <w:rPr>
          <w:i/>
        </w:rPr>
        <w:t>pproximately 11 days, the “wash</w:t>
      </w:r>
      <w:r w:rsidRPr="00BC3DC5">
        <w:rPr>
          <w:i/>
        </w:rPr>
        <w:t>out period” of 4 weeks (± 2 days) may have been too short to ensur</w:t>
      </w:r>
      <w:r w:rsidR="00AF54AB">
        <w:rPr>
          <w:i/>
        </w:rPr>
        <w:t xml:space="preserve">e complete elimination of FXIII </w:t>
      </w:r>
      <w:r w:rsidRPr="00BC3DC5">
        <w:rPr>
          <w:i/>
        </w:rPr>
        <w:t xml:space="preserve">containing product prior to the first dose of rFXIII administered at </w:t>
      </w:r>
      <w:r w:rsidR="00AF54AB">
        <w:rPr>
          <w:i/>
        </w:rPr>
        <w:t>the baseline visit, and a carry</w:t>
      </w:r>
      <w:r w:rsidRPr="00BC3DC5">
        <w:rPr>
          <w:i/>
        </w:rPr>
        <w:t>over effect might have been present between the first and second doses in the first month of treatment. The EMA assessment report, provided in the submission, includes an analysis of bleeding rates excluding data from the first month. This a</w:t>
      </w:r>
      <w:r w:rsidR="00AF54AB">
        <w:rPr>
          <w:i/>
        </w:rPr>
        <w:t xml:space="preserve">nalysis showed that the Poisson </w:t>
      </w:r>
      <w:r w:rsidRPr="00BC3DC5">
        <w:rPr>
          <w:i/>
        </w:rPr>
        <w:t>based bleeding rate was 0.053/year (95% CI: 0.010</w:t>
      </w:r>
      <w:r w:rsidR="00AF54AB">
        <w:rPr>
          <w:i/>
        </w:rPr>
        <w:t xml:space="preserve">, 0.272). Was this a post </w:t>
      </w:r>
      <w:r w:rsidRPr="00BC3DC5">
        <w:rPr>
          <w:i/>
        </w:rPr>
        <w:t>hoc analysis undertaken by the sponsor at the request of the EMA? Please provide the results of the analysis calculated by the sponsor using the same methodology as used for the primary efficacy analysis, and comment on the likeli</w:t>
      </w:r>
      <w:r w:rsidR="00AF54AB">
        <w:rPr>
          <w:i/>
        </w:rPr>
        <w:t>hood of a carry</w:t>
      </w:r>
      <w:r w:rsidRPr="00BC3DC5">
        <w:rPr>
          <w:i/>
        </w:rPr>
        <w:t>over effect from FXIII containing product in the first month of treatment and the effect that this might have on the primary efficacy analysis.</w:t>
      </w:r>
    </w:p>
    <w:p w:rsidR="003D0ECB" w:rsidRDefault="003D0ECB" w:rsidP="00BC3DC5">
      <w:pPr>
        <w:pStyle w:val="Heading5"/>
      </w:pPr>
      <w:r>
        <w:t xml:space="preserve">Sponsor’s </w:t>
      </w:r>
      <w:r w:rsidR="00D31743">
        <w:t>r</w:t>
      </w:r>
      <w:r>
        <w:t>esponse</w:t>
      </w:r>
    </w:p>
    <w:p w:rsidR="00D96779" w:rsidRPr="00561A52" w:rsidRDefault="00D96779" w:rsidP="00561A52">
      <w:r w:rsidRPr="00561A52">
        <w:t>The Poisson analysis excluding data from the first month was not pre</w:t>
      </w:r>
      <w:r w:rsidR="00E27789">
        <w:t xml:space="preserve"> </w:t>
      </w:r>
      <w:r w:rsidRPr="00561A52">
        <w:t>specified in the protocol but was conducted post</w:t>
      </w:r>
      <w:r w:rsidR="00AF54AB">
        <w:t xml:space="preserve"> </w:t>
      </w:r>
      <w:r w:rsidRPr="00561A52">
        <w:t>hoc at the request of EMA, using the same methodology as for the primary efficacy endpoint (</w:t>
      </w:r>
      <w:r w:rsidR="001C06F0">
        <w:t>Table 11</w:t>
      </w:r>
      <w:r w:rsidR="00A83243">
        <w:t>).</w:t>
      </w:r>
    </w:p>
    <w:p w:rsidR="001C06F0" w:rsidRDefault="001C06F0" w:rsidP="001C06F0">
      <w:pPr>
        <w:pStyle w:val="TableTitle"/>
      </w:pPr>
      <w:r>
        <w:t>Table 11:</w:t>
      </w:r>
      <w:r w:rsidRPr="004C5C28">
        <w:t xml:space="preserve"> </w:t>
      </w:r>
      <w:r w:rsidR="009074AA">
        <w:t xml:space="preserve">Study </w:t>
      </w:r>
      <w:r w:rsidR="00717F8E">
        <w:t>F13CD-1725:</w:t>
      </w:r>
      <w:r w:rsidR="008B0416" w:rsidRPr="008B0416">
        <w:t xml:space="preserve"> </w:t>
      </w:r>
      <w:r w:rsidR="009074AA">
        <w:t>p</w:t>
      </w:r>
      <w:r w:rsidR="008B0416" w:rsidRPr="008B0416">
        <w:t>ost</w:t>
      </w:r>
      <w:r w:rsidR="00717F8E">
        <w:t xml:space="preserve"> </w:t>
      </w:r>
      <w:r w:rsidR="008B0416" w:rsidRPr="008B0416">
        <w:t>hoc analysis of rate of treatment requiring bleeding episodes excluding the first month; FAS</w:t>
      </w:r>
      <w:r>
        <w:t>.</w:t>
      </w:r>
    </w:p>
    <w:p w:rsidR="00E04B35" w:rsidRDefault="00A938FA" w:rsidP="00561A52">
      <w:r>
        <w:rPr>
          <w:noProof/>
          <w:lang w:eastAsia="en-AU"/>
        </w:rPr>
        <w:drawing>
          <wp:inline distT="0" distB="0" distL="0" distR="0">
            <wp:extent cx="5396865" cy="1542415"/>
            <wp:effectExtent l="0" t="0" r="0" b="635"/>
            <wp:docPr id="16" name="Picture 16" descr="Table 11: Study F13CD-1725: post hoc analysis of rate of treatment requiring bleeding episodes excluding the first month;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11: Study F13CD-1725: post hoc analysis of rate of treatment requiring bleeding episodes excluding the first month; FA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6865" cy="1542415"/>
                    </a:xfrm>
                    <a:prstGeom prst="rect">
                      <a:avLst/>
                    </a:prstGeom>
                    <a:noFill/>
                    <a:ln>
                      <a:noFill/>
                    </a:ln>
                  </pic:spPr>
                </pic:pic>
              </a:graphicData>
            </a:graphic>
          </wp:inline>
        </w:drawing>
      </w:r>
    </w:p>
    <w:p w:rsidR="00654CCF" w:rsidRPr="00654CCF" w:rsidRDefault="00E27789" w:rsidP="00654CCF">
      <w:r>
        <w:t>The carry</w:t>
      </w:r>
      <w:r w:rsidR="00654CCF" w:rsidRPr="00654CCF">
        <w:t>over effect from the FXIII</w:t>
      </w:r>
      <w:r>
        <w:t xml:space="preserve"> </w:t>
      </w:r>
      <w:r w:rsidR="00654CCF" w:rsidRPr="00654CCF">
        <w:t>treatment received one month prior to initiation of treatment with rFXIII is judged to have had a negligible impact on the primary efficacy analysis. Given that the FXIII activity typically is quadrupled when dosing with rFXIII, the vast part of bleeding prevention in the first month will be attributable to the rFXIII treatment rather than the previous treatment. Since the first month of treatment with rFXIII further only accounts for 9% of the total duration of the treatment period (434 months), any marginal influence on the bleeding incidence in this month alone will not propagate to a traceable impact on the bleeding rate during the entire treatment period.</w:t>
      </w:r>
    </w:p>
    <w:p w:rsidR="00654CCF" w:rsidRDefault="00654CCF" w:rsidP="00654CCF">
      <w:pPr>
        <w:pStyle w:val="Heading5"/>
      </w:pPr>
      <w:r w:rsidRPr="00654CCF">
        <w:lastRenderedPageBreak/>
        <w:t xml:space="preserve">Clinical </w:t>
      </w:r>
      <w:r w:rsidR="00D31743">
        <w:t>e</w:t>
      </w:r>
      <w:r w:rsidRPr="00654CCF">
        <w:t xml:space="preserve">valuator’s </w:t>
      </w:r>
      <w:r w:rsidR="00D31743">
        <w:t>c</w:t>
      </w:r>
      <w:r w:rsidRPr="00654CCF">
        <w:t>omment</w:t>
      </w:r>
    </w:p>
    <w:p w:rsidR="00654CCF" w:rsidRPr="00654CCF" w:rsidRDefault="00654CCF" w:rsidP="00654CCF">
      <w:r w:rsidRPr="00654CCF">
        <w:t>The sponsor’s response is satisfactory. In the original submission (data including first month results), the mean yearly bleeding rate (Lambda [</w:t>
      </w:r>
      <w:r w:rsidRPr="00654CCF">
        <w:sym w:font="Symbol" w:char="F06C"/>
      </w:r>
      <w:r w:rsidRPr="00654CCF">
        <w:t xml:space="preserve">]) for treatment requiring bleeding episodes was 0.048 (95% CI: 0.0094, 0.2501). This rate is similar to the rate obtained when the results from the first month were excluded from the analysis. Consequently, it </w:t>
      </w:r>
      <w:r w:rsidR="00E27789">
        <w:t xml:space="preserve">can be concluded that any carryover effects of previous FXIII </w:t>
      </w:r>
      <w:r w:rsidRPr="00654CCF">
        <w:t>treatment into the first month of treatment with rFXII</w:t>
      </w:r>
      <w:r w:rsidR="00A83243">
        <w:t>I are clinically insignificant.</w:t>
      </w:r>
    </w:p>
    <w:p w:rsidR="006E7994" w:rsidRDefault="006E7994" w:rsidP="006E7994">
      <w:pPr>
        <w:pStyle w:val="Heading5"/>
      </w:pPr>
      <w:r>
        <w:t>Question 6</w:t>
      </w:r>
    </w:p>
    <w:p w:rsidR="006E7994" w:rsidRPr="006E7994" w:rsidRDefault="006E7994" w:rsidP="006E7994">
      <w:pPr>
        <w:rPr>
          <w:i/>
        </w:rPr>
      </w:pPr>
      <w:r w:rsidRPr="006E7994">
        <w:rPr>
          <w:i/>
        </w:rPr>
        <w:t xml:space="preserve">In the pivotal </w:t>
      </w:r>
      <w:r w:rsidR="00067AB8">
        <w:rPr>
          <w:i/>
        </w:rPr>
        <w:t>Phase III</w:t>
      </w:r>
      <w:r w:rsidRPr="006E7994">
        <w:rPr>
          <w:i/>
        </w:rPr>
        <w:t xml:space="preserve"> </w:t>
      </w:r>
      <w:r w:rsidR="00E27789">
        <w:rPr>
          <w:i/>
        </w:rPr>
        <w:t>S</w:t>
      </w:r>
      <w:r w:rsidRPr="006E7994">
        <w:rPr>
          <w:i/>
        </w:rPr>
        <w:t>tudy (F13CD-1</w:t>
      </w:r>
      <w:r w:rsidR="00E27789">
        <w:rPr>
          <w:i/>
        </w:rPr>
        <w:t xml:space="preserve">725), the efficacy conclusions </w:t>
      </w:r>
      <w:r w:rsidRPr="006E7994">
        <w:rPr>
          <w:i/>
        </w:rPr>
        <w:t>state “when compared with retrospectively collected data from patients with congenital FXIII deficiency, the bleeding frequency observed in the present trial was similar to or lower than the bleeding frequency for patients on regular replacement therapy (on average approximately 0.3 treatment</w:t>
      </w:r>
      <w:r w:rsidR="00D459C4">
        <w:rPr>
          <w:i/>
        </w:rPr>
        <w:t xml:space="preserve"> </w:t>
      </w:r>
      <w:r w:rsidRPr="006E7994">
        <w:rPr>
          <w:i/>
        </w:rPr>
        <w:t>requiring bleeds/year)". However, the data from the retrospective analysis (F13CD-QUEST) suggests that in patients on regular replacement therapy the average number of bleeds/</w:t>
      </w:r>
      <w:r w:rsidR="00D459C4">
        <w:rPr>
          <w:i/>
        </w:rPr>
        <w:t xml:space="preserve">year of 0.3 refers to all break </w:t>
      </w:r>
      <w:r w:rsidRPr="006E7994">
        <w:rPr>
          <w:i/>
        </w:rPr>
        <w:t xml:space="preserve">through bleeds (see </w:t>
      </w:r>
      <w:r w:rsidR="00D459C4">
        <w:rPr>
          <w:i/>
        </w:rPr>
        <w:t xml:space="preserve">Table 7-11; </w:t>
      </w:r>
      <w:r w:rsidRPr="006E7994">
        <w:rPr>
          <w:i/>
        </w:rPr>
        <w:t>F13CD-Quest). Please clarify whether the 0.3/year rate quoted for F13CD-Quest relates to all bleeding events or is specific to bleeding events requir</w:t>
      </w:r>
      <w:r w:rsidR="00D459C4">
        <w:rPr>
          <w:i/>
        </w:rPr>
        <w:t xml:space="preserve">ing treatment with FXIII </w:t>
      </w:r>
      <w:r w:rsidRPr="006E7994">
        <w:rPr>
          <w:i/>
        </w:rPr>
        <w:t>containing products.</w:t>
      </w:r>
    </w:p>
    <w:p w:rsidR="00092516" w:rsidRDefault="006E7994" w:rsidP="00092516">
      <w:pPr>
        <w:rPr>
          <w:rStyle w:val="Heading5Char"/>
          <w:rFonts w:eastAsia="Cambria"/>
        </w:rPr>
      </w:pPr>
      <w:r w:rsidRPr="00BA2EE8">
        <w:rPr>
          <w:rStyle w:val="Heading5Char"/>
          <w:rFonts w:eastAsia="Cambria"/>
        </w:rPr>
        <w:t xml:space="preserve">Sponsor’s </w:t>
      </w:r>
      <w:r w:rsidR="00D31743">
        <w:rPr>
          <w:rStyle w:val="Heading5Char"/>
          <w:rFonts w:eastAsia="Cambria"/>
        </w:rPr>
        <w:t>r</w:t>
      </w:r>
      <w:r w:rsidRPr="00BA2EE8">
        <w:rPr>
          <w:rStyle w:val="Heading5Char"/>
          <w:rFonts w:eastAsia="Cambria"/>
        </w:rPr>
        <w:t>esponse</w:t>
      </w:r>
    </w:p>
    <w:p w:rsidR="006E7994" w:rsidRPr="00092516" w:rsidRDefault="00D459C4" w:rsidP="00092516">
      <w:r>
        <w:t>According to Table 7-11</w:t>
      </w:r>
      <w:r w:rsidR="006E7994" w:rsidRPr="00092516">
        <w:t>, the 20 bleeds per year among patients on prophylaxis (0.3 bleeds/patient</w:t>
      </w:r>
      <w:r>
        <w:t xml:space="preserve"> </w:t>
      </w:r>
      <w:r w:rsidR="006E7994" w:rsidRPr="00092516">
        <w:t xml:space="preserve">year) are mentioned as being all types of bleeds; whereas the 46.5 bleeds per year among patients </w:t>
      </w:r>
      <w:r w:rsidR="009854A5">
        <w:t>on-demand</w:t>
      </w:r>
      <w:r w:rsidR="006E7994" w:rsidRPr="00092516">
        <w:t xml:space="preserve"> (2.9 bleeds/patient</w:t>
      </w:r>
      <w:r>
        <w:t xml:space="preserve"> </w:t>
      </w:r>
      <w:r w:rsidR="006E7994" w:rsidRPr="00092516">
        <w:t>year) are mentioned as being only treatment requiring bleeds.</w:t>
      </w:r>
    </w:p>
    <w:p w:rsidR="006E7994" w:rsidRPr="00092516" w:rsidRDefault="006E7994" w:rsidP="00092516">
      <w:r w:rsidRPr="00092516">
        <w:t>The wording reflects formally the underlying questions for the two regimens:</w:t>
      </w:r>
    </w:p>
    <w:p w:rsidR="006E7994" w:rsidRPr="00092516" w:rsidRDefault="006E7994" w:rsidP="009D4AAB">
      <w:pPr>
        <w:pStyle w:val="ListBullet"/>
      </w:pPr>
      <w:r w:rsidRPr="00092516">
        <w:t>On</w:t>
      </w:r>
      <w:r w:rsidR="00D459C4">
        <w:t xml:space="preserve"> </w:t>
      </w:r>
      <w:r w:rsidRPr="00092516">
        <w:t xml:space="preserve">demand: “Average number of bleedings per year requiring </w:t>
      </w:r>
      <w:r w:rsidR="009854A5">
        <w:t>on-demand</w:t>
      </w:r>
      <w:r w:rsidRPr="00092516">
        <w:t xml:space="preserve"> treatment” </w:t>
      </w:r>
    </w:p>
    <w:p w:rsidR="006E7994" w:rsidRPr="00092516" w:rsidRDefault="006E7994" w:rsidP="009D4AAB">
      <w:pPr>
        <w:pStyle w:val="ListBullet"/>
      </w:pPr>
      <w:r w:rsidRPr="00092516">
        <w:t>Prophylaxis: “Number of bleedings during prophylaxis per year”</w:t>
      </w:r>
    </w:p>
    <w:p w:rsidR="006E7994" w:rsidRPr="00092516" w:rsidRDefault="006E7994" w:rsidP="00092516">
      <w:r w:rsidRPr="00092516">
        <w:t>However, when applying a consistent interpretation of the entire questionnaire, it is implicit that the answer to the question on prophylactic bleeding rate refers to</w:t>
      </w:r>
      <w:r w:rsidR="00D459C4">
        <w:t xml:space="preserve"> treatment </w:t>
      </w:r>
      <w:r w:rsidRPr="00092516">
        <w:t>requiring bleeding episodes. The correspond</w:t>
      </w:r>
      <w:r w:rsidR="00D459C4">
        <w:t xml:space="preserve">ing question for patients undertaking </w:t>
      </w:r>
      <w:r w:rsidR="009854A5">
        <w:t>on-demand</w:t>
      </w:r>
      <w:r w:rsidRPr="00092516">
        <w:t xml:space="preserve"> treatment leaves no doubt that only bleeding events</w:t>
      </w:r>
      <w:r w:rsidR="00D459C4">
        <w:t xml:space="preserve"> requiring treatment with FXIII </w:t>
      </w:r>
      <w:r w:rsidRPr="00092516">
        <w:t>containing products are reported; thereby</w:t>
      </w:r>
      <w:r w:rsidR="00D41EF3">
        <w:t>,</w:t>
      </w:r>
      <w:r w:rsidRPr="00092516">
        <w:t xml:space="preserve"> also a comparison between prophylactic</w:t>
      </w:r>
      <w:r w:rsidR="00D459C4">
        <w:t xml:space="preserve"> and </w:t>
      </w:r>
      <w:r w:rsidR="009854A5">
        <w:t>on-demand</w:t>
      </w:r>
      <w:r w:rsidRPr="00092516">
        <w:t xml:space="preserve"> bleeding rates is facilitated.</w:t>
      </w:r>
    </w:p>
    <w:p w:rsidR="006E7994" w:rsidRPr="00092516" w:rsidRDefault="006E7994" w:rsidP="00092516">
      <w:r w:rsidRPr="00092516">
        <w:t>From a clinical point of view, and by convention when assessing efficacy of haemostatic products in clinical tri</w:t>
      </w:r>
      <w:r w:rsidR="009854A5">
        <w:t xml:space="preserve">als, the incidence of treatment </w:t>
      </w:r>
      <w:r w:rsidRPr="00092516">
        <w:t>requiring bleeds is considered to be the most objective and relevant manifestation of efficacy, as also implemented for the pivotal F13CD-1725 trial.</w:t>
      </w:r>
    </w:p>
    <w:p w:rsidR="006E7994" w:rsidRPr="00092516" w:rsidRDefault="006E7994" w:rsidP="00092516">
      <w:r w:rsidRPr="00092516">
        <w:t>In conclusion, the prophylactic bleeding rate of 0.3 bleeds/patient</w:t>
      </w:r>
      <w:r w:rsidR="00B974EE">
        <w:t xml:space="preserve"> </w:t>
      </w:r>
      <w:r w:rsidRPr="00092516">
        <w:t>year derived from the questionnaire is interpreted as covering treatment</w:t>
      </w:r>
      <w:r w:rsidR="00B974EE">
        <w:t xml:space="preserve"> </w:t>
      </w:r>
      <w:r w:rsidRPr="00092516">
        <w:t>requiring bleeding episodes.</w:t>
      </w:r>
    </w:p>
    <w:p w:rsidR="006E7994" w:rsidRPr="00092516" w:rsidRDefault="006E7994" w:rsidP="00092516">
      <w:r w:rsidRPr="00092516">
        <w:t xml:space="preserve">It should be noted that the pivotal trial was solely designed to conduct a comparison against a historical </w:t>
      </w:r>
      <w:r w:rsidR="009854A5">
        <w:t>on-demand</w:t>
      </w:r>
      <w:r w:rsidRPr="00092516">
        <w:t xml:space="preserve"> bleeding rate, since a comparison against a prophylactic bleeding rate would require several hundred patients to a achieve a power of 80%.</w:t>
      </w:r>
    </w:p>
    <w:p w:rsidR="006E7994" w:rsidRPr="00092516" w:rsidRDefault="006E7994" w:rsidP="00092516">
      <w:r w:rsidRPr="00092516">
        <w:t xml:space="preserve">Consequently, the </w:t>
      </w:r>
      <w:r w:rsidR="009854A5">
        <w:t>primary focus of the F13CD-Quest</w:t>
      </w:r>
      <w:r w:rsidRPr="00092516">
        <w:t xml:space="preserve"> was to obtain a robust assessment of the rate of treatment</w:t>
      </w:r>
      <w:r w:rsidR="00221C6A">
        <w:t xml:space="preserve"> </w:t>
      </w:r>
      <w:r w:rsidRPr="00092516">
        <w:t xml:space="preserve">requiring bleeding episodes during an </w:t>
      </w:r>
      <w:r w:rsidR="009854A5">
        <w:t>on-demand</w:t>
      </w:r>
      <w:r w:rsidRPr="00092516">
        <w:t xml:space="preserve"> regimen. For these reasons, a statistical comparison against the historical prophylaxis bleeding rate is not appropriate.</w:t>
      </w:r>
    </w:p>
    <w:p w:rsidR="00BA2EE8" w:rsidRDefault="00D31743" w:rsidP="00092516">
      <w:pPr>
        <w:pStyle w:val="Heading5"/>
      </w:pPr>
      <w:r>
        <w:lastRenderedPageBreak/>
        <w:t>Clinical e</w:t>
      </w:r>
      <w:r w:rsidR="00BA2EE8">
        <w:t xml:space="preserve">valuator’s </w:t>
      </w:r>
      <w:r>
        <w:t>c</w:t>
      </w:r>
      <w:r w:rsidR="00BA2EE8">
        <w:t>omment</w:t>
      </w:r>
    </w:p>
    <w:p w:rsidR="006E7994" w:rsidRDefault="006E7994" w:rsidP="00092516">
      <w:r w:rsidRPr="00092516">
        <w:t>The sponsor’s response indicates that the bleeding rate from the retrospectively collected historical data of 0.3 bleeds/patient</w:t>
      </w:r>
      <w:r w:rsidR="00221C6A">
        <w:t xml:space="preserve"> </w:t>
      </w:r>
      <w:r w:rsidRPr="00092516">
        <w:t>year is considered to relate to treatment</w:t>
      </w:r>
      <w:r w:rsidR="00015282">
        <w:t xml:space="preserve"> </w:t>
      </w:r>
      <w:r w:rsidRPr="00092516">
        <w:t>requiring bleeds in patients receivin</w:t>
      </w:r>
      <w:r w:rsidR="006B5542">
        <w:t>g prophylactic FXIII treatment.</w:t>
      </w:r>
    </w:p>
    <w:p w:rsidR="00092516" w:rsidRDefault="00092516" w:rsidP="00092516">
      <w:pPr>
        <w:pStyle w:val="Heading5"/>
      </w:pPr>
      <w:r>
        <w:t>Question 7</w:t>
      </w:r>
    </w:p>
    <w:p w:rsidR="006E7994" w:rsidRPr="00092516" w:rsidRDefault="006E7994" w:rsidP="00092516">
      <w:pPr>
        <w:rPr>
          <w:i/>
        </w:rPr>
      </w:pPr>
      <w:r w:rsidRPr="00092516">
        <w:rPr>
          <w:i/>
        </w:rPr>
        <w:t xml:space="preserve">In the </w:t>
      </w:r>
      <w:r w:rsidR="00067AB8">
        <w:rPr>
          <w:i/>
        </w:rPr>
        <w:t>Phase III</w:t>
      </w:r>
      <w:r w:rsidRPr="00092516">
        <w:rPr>
          <w:i/>
        </w:rPr>
        <w:t xml:space="preserve"> studies F13CD-1725 and F13CD-3720, what were the bleeding rates/year for all bleeding events, traumatic and spontaneous, and irrespective of </w:t>
      </w:r>
      <w:r w:rsidR="009854A5">
        <w:rPr>
          <w:i/>
        </w:rPr>
        <w:t xml:space="preserve">whether treatment with a FXIII </w:t>
      </w:r>
      <w:r w:rsidRPr="00092516">
        <w:rPr>
          <w:i/>
        </w:rPr>
        <w:t xml:space="preserve">containing product was required? Please compare these rates with the comparable rate from the retrospective analysis (F13CD-Quest) for the regular treatment (prophylaxis) subgroup. Please comment on the differences between the rates in the </w:t>
      </w:r>
      <w:r w:rsidR="00067AB8">
        <w:rPr>
          <w:i/>
        </w:rPr>
        <w:t>Phase III</w:t>
      </w:r>
      <w:r w:rsidRPr="00092516">
        <w:rPr>
          <w:i/>
        </w:rPr>
        <w:t xml:space="preserve"> trials and the rate in F13CD-Quest.</w:t>
      </w:r>
    </w:p>
    <w:p w:rsidR="006E7994" w:rsidRPr="00092516" w:rsidRDefault="006E7994" w:rsidP="00092516">
      <w:pPr>
        <w:rPr>
          <w:i/>
        </w:rPr>
      </w:pPr>
      <w:r w:rsidRPr="00092516">
        <w:rPr>
          <w:i/>
        </w:rPr>
        <w:t>In addition, please comment on the differences between the calculated rates and the rates for spontaneous blee</w:t>
      </w:r>
      <w:r w:rsidR="008171FB">
        <w:rPr>
          <w:i/>
        </w:rPr>
        <w:t>ding during regular Fibrogammin</w:t>
      </w:r>
      <w:r w:rsidRPr="00092516">
        <w:rPr>
          <w:i/>
        </w:rPr>
        <w:t xml:space="preserve"> P therapy of 0.2 events/year and 2.5 events/per year for patients not on prophylactic therap</w:t>
      </w:r>
      <w:r w:rsidR="008171FB">
        <w:rPr>
          <w:i/>
        </w:rPr>
        <w:t>y reported by Lusher et al</w:t>
      </w:r>
      <w:r w:rsidRPr="00092516">
        <w:rPr>
          <w:i/>
        </w:rPr>
        <w:t>.</w:t>
      </w:r>
      <w:r w:rsidR="008171FB">
        <w:rPr>
          <w:rStyle w:val="FootnoteReference"/>
          <w:i/>
        </w:rPr>
        <w:footnoteReference w:id="21"/>
      </w:r>
      <w:r w:rsidRPr="00092516">
        <w:rPr>
          <w:i/>
        </w:rPr>
        <w:t xml:space="preserve"> Furthermore, if the annualised bleeding rates (all) in the pivotal and extension studies are greater than the comparative rate in the historical control please justify why rFXIII should be approved for the treatment of congenital FXIII deficiency.</w:t>
      </w:r>
    </w:p>
    <w:p w:rsidR="00092516" w:rsidRDefault="00D31743" w:rsidP="00092516">
      <w:pPr>
        <w:pStyle w:val="Heading5"/>
        <w:rPr>
          <w:lang w:val="en-US"/>
        </w:rPr>
      </w:pPr>
      <w:r>
        <w:rPr>
          <w:lang w:val="en-US"/>
        </w:rPr>
        <w:t>Sponsor’s r</w:t>
      </w:r>
      <w:r w:rsidR="00092516">
        <w:rPr>
          <w:lang w:val="en-US"/>
        </w:rPr>
        <w:t>esponse</w:t>
      </w:r>
    </w:p>
    <w:p w:rsidR="006E7994" w:rsidRPr="00092516" w:rsidRDefault="006E7994" w:rsidP="00092516">
      <w:r w:rsidRPr="00092516">
        <w:t>In total, 54 bleeding episodes were reported in the F13CD-1725 trial, of which 5 were treatment</w:t>
      </w:r>
      <w:r w:rsidR="00727F82">
        <w:t xml:space="preserve"> </w:t>
      </w:r>
      <w:r w:rsidRPr="00092516">
        <w:t>requiring (one additional non</w:t>
      </w:r>
      <w:r w:rsidR="00727F82">
        <w:t xml:space="preserve"> </w:t>
      </w:r>
      <w:r w:rsidRPr="00092516">
        <w:t xml:space="preserve">treatment requiring bleeding episode was observed for </w:t>
      </w:r>
      <w:r w:rsidR="00E06297">
        <w:t xml:space="preserve">one </w:t>
      </w:r>
      <w:r w:rsidRPr="00092516">
        <w:t xml:space="preserve">subject more than 200 days after being withdrawn from treatment). In the F13CD-1725 trial, the cause of a bleed was only reported for the treatment requiring bleeding episodes, but a </w:t>
      </w:r>
      <w:r w:rsidR="00E06297">
        <w:t xml:space="preserve">post </w:t>
      </w:r>
      <w:r w:rsidRPr="00092516">
        <w:t>hoc evaluation of an apparent cause o</w:t>
      </w:r>
      <w:r w:rsidR="00E06297">
        <w:t>f each bleed has been made</w:t>
      </w:r>
      <w:r w:rsidRPr="00092516">
        <w:t>. Similarly for th</w:t>
      </w:r>
      <w:r w:rsidR="00E06297">
        <w:t xml:space="preserve">e F13CD-3720 trial, as of a cut </w:t>
      </w:r>
      <w:r w:rsidRPr="00092516">
        <w:t xml:space="preserve">off date of 11 February 2011, 20 bleeding episodes were reported </w:t>
      </w:r>
      <w:r w:rsidR="00E06297">
        <w:t xml:space="preserve">with 5 episodes being treatment </w:t>
      </w:r>
      <w:r w:rsidRPr="00092516">
        <w:t>req</w:t>
      </w:r>
      <w:r w:rsidR="00E06297">
        <w:t>uiring</w:t>
      </w:r>
      <w:r w:rsidRPr="00092516">
        <w:t>. For the F13CD-3720 trial, the cause of non</w:t>
      </w:r>
      <w:r w:rsidR="00E06297">
        <w:t xml:space="preserve"> </w:t>
      </w:r>
      <w:r w:rsidRPr="00092516">
        <w:t>treatment requiring bleeding episodes was not reported as of the cut</w:t>
      </w:r>
      <w:r w:rsidR="00E06297">
        <w:t xml:space="preserve"> </w:t>
      </w:r>
      <w:r w:rsidRPr="00092516">
        <w:t>off date but collected subsequently via an amended protocol.</w:t>
      </w:r>
    </w:p>
    <w:p w:rsidR="006E7994" w:rsidRPr="00092516" w:rsidRDefault="006E7994" w:rsidP="00092516">
      <w:r w:rsidRPr="00092516">
        <w:t>The number of treatment</w:t>
      </w:r>
      <w:r w:rsidR="006509EE">
        <w:t xml:space="preserve"> </w:t>
      </w:r>
      <w:r w:rsidRPr="00092516">
        <w:t>requiring and non</w:t>
      </w:r>
      <w:r w:rsidR="006509EE">
        <w:t xml:space="preserve"> </w:t>
      </w:r>
      <w:r w:rsidRPr="00092516">
        <w:t xml:space="preserve">treatment requiring bleeding episodes in the two trials along with the accumulated patient years are summarised </w:t>
      </w:r>
      <w:r w:rsidR="008C0200">
        <w:t>in Table 12</w:t>
      </w:r>
      <w:r w:rsidRPr="00092516">
        <w:t>. In addition, bleeding rat</w:t>
      </w:r>
      <w:r w:rsidR="00C605DF">
        <w:t>es and 95% CIs</w:t>
      </w:r>
      <w:r w:rsidR="006509EE">
        <w:t xml:space="preserve"> </w:t>
      </w:r>
      <w:r w:rsidRPr="00092516">
        <w:t>are presented, based on a simple Poisson analysis without age</w:t>
      </w:r>
      <w:r w:rsidR="006509EE">
        <w:t xml:space="preserve"> </w:t>
      </w:r>
      <w:r w:rsidRPr="00092516">
        <w:t>adjustment and over</w:t>
      </w:r>
      <w:r w:rsidR="006509EE">
        <w:t xml:space="preserve"> </w:t>
      </w:r>
      <w:r w:rsidRPr="00092516">
        <w:t>dispersion, adjusting only for duration in the trial (as offset in the model). The mean bleeding rate estimate from the simple Poisson model corresponds with the crude mean calculated as the total number of bleedings divided by the accumulated observation time for all patients. The bleeding rate based on all types of bleeds (54 bleeding episodes in F13CD-1725) was estimated to be 1.49 bleeds per patient</w:t>
      </w:r>
      <w:r w:rsidR="006509EE">
        <w:t xml:space="preserve"> </w:t>
      </w:r>
      <w:r w:rsidRPr="00092516">
        <w:t>year (95% CI: [1.14; 1.94]). The bleeding rate for the treatment-requiring bleeds was 0.14 (95% CI: [0.06; 0.33]).</w:t>
      </w:r>
    </w:p>
    <w:p w:rsidR="008C0200" w:rsidRDefault="008C0200" w:rsidP="008C0200">
      <w:pPr>
        <w:pStyle w:val="TableTitle"/>
      </w:pPr>
      <w:r>
        <w:lastRenderedPageBreak/>
        <w:t>Table 12:</w:t>
      </w:r>
      <w:r w:rsidRPr="004C5C28">
        <w:t xml:space="preserve"> </w:t>
      </w:r>
      <w:r w:rsidR="00137F35" w:rsidRPr="00137F35">
        <w:t>Summary of bleeding and estimated annual rates in Novo Nordisk trials; 11 February 2011</w:t>
      </w:r>
      <w:r>
        <w:t>.</w:t>
      </w:r>
    </w:p>
    <w:p w:rsidR="00654CCF" w:rsidRDefault="00A938FA" w:rsidP="00092516">
      <w:r>
        <w:rPr>
          <w:noProof/>
          <w:lang w:eastAsia="en-AU"/>
        </w:rPr>
        <w:drawing>
          <wp:inline distT="0" distB="0" distL="0" distR="0">
            <wp:extent cx="4858385" cy="2647950"/>
            <wp:effectExtent l="0" t="0" r="0" b="0"/>
            <wp:docPr id="17" name="Picture 17" descr="Table 12: Summary of bleeding and estimated annual rates in Novo Nordisk trials; 11 February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12: Summary of bleeding and estimated annual rates in Novo Nordisk trials; 11 February 20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8385" cy="2647950"/>
                    </a:xfrm>
                    <a:prstGeom prst="rect">
                      <a:avLst/>
                    </a:prstGeom>
                    <a:noFill/>
                    <a:ln>
                      <a:noFill/>
                    </a:ln>
                  </pic:spPr>
                </pic:pic>
              </a:graphicData>
            </a:graphic>
          </wp:inline>
        </w:drawing>
      </w:r>
    </w:p>
    <w:p w:rsidR="00977CB9" w:rsidRPr="00977CB9" w:rsidRDefault="00977CB9" w:rsidP="00977CB9">
      <w:r w:rsidRPr="00977CB9">
        <w:t>For the historical data, the same simple Poisson analysis as described above was conducted, including conservatively a 1</w:t>
      </w:r>
      <w:r w:rsidR="00F43D38">
        <w:t xml:space="preserve"> </w:t>
      </w:r>
      <w:r w:rsidRPr="00977CB9">
        <w:t>year observation time as an offset in the model. In this analysis, there were 2.91 bleeds per patient</w:t>
      </w:r>
      <w:r w:rsidR="00F43D38">
        <w:t xml:space="preserve"> </w:t>
      </w:r>
      <w:r w:rsidRPr="00977CB9">
        <w:t>year (95% CI: [2.18; 3.87]) for on-demand treatment based on treatment</w:t>
      </w:r>
      <w:r w:rsidR="00F43D38">
        <w:t xml:space="preserve"> </w:t>
      </w:r>
      <w:r w:rsidRPr="00977CB9">
        <w:t>requiring bleeding episodes.</w:t>
      </w:r>
    </w:p>
    <w:p w:rsidR="00977CB9" w:rsidRPr="00977CB9" w:rsidRDefault="00977CB9" w:rsidP="00977CB9">
      <w:r w:rsidRPr="00977CB9">
        <w:t>For prophylactic treatment, the historical bleeding rate was 0.33 bleeds per patient</w:t>
      </w:r>
      <w:r w:rsidR="00F43D38">
        <w:t xml:space="preserve"> </w:t>
      </w:r>
      <w:r w:rsidRPr="00977CB9">
        <w:t>year (95% CI: [0.22; 0.51]), reflecting treatment</w:t>
      </w:r>
      <w:r w:rsidR="00F43D38">
        <w:t xml:space="preserve"> </w:t>
      </w:r>
      <w:r w:rsidRPr="00977CB9">
        <w:t>requiring bleeds. It is not appropriate to conduct a statistical comparison of this rate with the rate of all bleeding episodes from the F13CD-1725 trial.</w:t>
      </w:r>
    </w:p>
    <w:p w:rsidR="00D31743" w:rsidRDefault="00D31743" w:rsidP="00D31743">
      <w:pPr>
        <w:pStyle w:val="Heading5"/>
      </w:pPr>
      <w:r>
        <w:t>Clinical evaluator’s comment</w:t>
      </w:r>
    </w:p>
    <w:p w:rsidR="00977CB9" w:rsidRPr="00977CB9" w:rsidRDefault="00977CB9" w:rsidP="00977CB9">
      <w:r w:rsidRPr="00977CB9">
        <w:t xml:space="preserve">In </w:t>
      </w:r>
      <w:r w:rsidR="00F43D38">
        <w:t xml:space="preserve">Study </w:t>
      </w:r>
      <w:r w:rsidRPr="00977CB9">
        <w:t>F13CD-1725, the bleeding rate for treatment</w:t>
      </w:r>
      <w:r w:rsidR="00F43D38">
        <w:t xml:space="preserve"> </w:t>
      </w:r>
      <w:r w:rsidRPr="00977CB9">
        <w:t>requiring bleeds in patients treated with rFXIII prophylaxis was 0.14 (95% CI: 0.06; 0.33) bleeds per patient year. This rate compares with 2.91 (95% CI: 2.18, 3.87) bleeds per</w:t>
      </w:r>
      <w:r w:rsidR="00F43D38">
        <w:t xml:space="preserve"> </w:t>
      </w:r>
      <w:r w:rsidRPr="00977CB9">
        <w:t>patient year for on-demand treatment based on treatment</w:t>
      </w:r>
      <w:r w:rsidR="00F43D38">
        <w:t xml:space="preserve"> </w:t>
      </w:r>
      <w:r w:rsidRPr="00977CB9">
        <w:t xml:space="preserve">requiring bleeding episodes. The difference between these two rates was statistically significant as the null hypothesis of no difference </w:t>
      </w:r>
      <w:r w:rsidR="00F43D38">
        <w:t>between rFXIII and placebo (that is</w:t>
      </w:r>
      <w:r w:rsidRPr="00977CB9">
        <w:t>, on-demand FXIII treatment, historical control) was rejected as the upper limit of the 95% CI for the yearly bleeding rate (</w:t>
      </w:r>
      <w:r w:rsidRPr="00977CB9">
        <w:sym w:font="Symbol" w:char="F06C"/>
      </w:r>
      <w:r w:rsidRPr="00977CB9">
        <w:t>) was less than 2.91 (</w:t>
      </w:r>
      <w:r w:rsidR="00D559BD">
        <w:t>Table 13</w:t>
      </w:r>
      <w:r w:rsidR="006B5542">
        <w:t>).</w:t>
      </w:r>
    </w:p>
    <w:p w:rsidR="00813D5D" w:rsidRDefault="00813D5D" w:rsidP="00813D5D">
      <w:pPr>
        <w:pStyle w:val="TableTitle"/>
      </w:pPr>
      <w:r>
        <w:t>Table 13:</w:t>
      </w:r>
      <w:r w:rsidRPr="004C5C28">
        <w:t xml:space="preserve"> </w:t>
      </w:r>
      <w:r w:rsidR="0021125A">
        <w:t>F13CD-1725:</w:t>
      </w:r>
      <w:r w:rsidR="0021125A" w:rsidRPr="0021125A">
        <w:t xml:space="preserve"> Primary endpoint analysis (rate of treatment requiring bleeds); FAS</w:t>
      </w:r>
      <w:r>
        <w:t>.</w:t>
      </w:r>
    </w:p>
    <w:p w:rsidR="00813D5D" w:rsidRDefault="00A938FA" w:rsidP="00813D5D">
      <w:r>
        <w:rPr>
          <w:noProof/>
          <w:lang w:eastAsia="en-AU"/>
        </w:rPr>
        <w:drawing>
          <wp:inline distT="0" distB="0" distL="0" distR="0">
            <wp:extent cx="5391150" cy="1385570"/>
            <wp:effectExtent l="0" t="0" r="0" b="5080"/>
            <wp:docPr id="18" name="Picture 18" descr="Table 13: F13CD-1725: Primary endpoint analysis (rate of treatment requiring bleed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 13: F13CD-1725: Primary endpoint analysis (rate of treatment requiring bleeds); FA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1150" cy="1385570"/>
                    </a:xfrm>
                    <a:prstGeom prst="rect">
                      <a:avLst/>
                    </a:prstGeom>
                    <a:noFill/>
                    <a:ln>
                      <a:noFill/>
                    </a:ln>
                  </pic:spPr>
                </pic:pic>
              </a:graphicData>
            </a:graphic>
          </wp:inline>
        </w:drawing>
      </w:r>
    </w:p>
    <w:p w:rsidR="00DC16B1" w:rsidRPr="00DC16B1" w:rsidRDefault="00DC16B1" w:rsidP="00DC16B1">
      <w:r w:rsidRPr="00DC16B1">
        <w:t>In addition, the bleeding rate for the treatment</w:t>
      </w:r>
      <w:r w:rsidR="00094882">
        <w:t xml:space="preserve"> </w:t>
      </w:r>
      <w:r w:rsidRPr="00DC16B1">
        <w:t>requiring bleeds of 0.14 (95% CI: 0.06; 0.33) per patient</w:t>
      </w:r>
      <w:r w:rsidR="00094882">
        <w:t xml:space="preserve"> </w:t>
      </w:r>
      <w:r w:rsidRPr="00DC16B1">
        <w:t>year in patients receiving prophylactic rFXIII was lower than the bleeding rate for treatment</w:t>
      </w:r>
      <w:r w:rsidR="00094882">
        <w:t xml:space="preserve"> </w:t>
      </w:r>
      <w:r w:rsidRPr="00DC16B1">
        <w:t>requiring bleeds of 0.33 (95% CI: 0.22, 0.51) per patient</w:t>
      </w:r>
      <w:r w:rsidR="00094882">
        <w:t xml:space="preserve"> </w:t>
      </w:r>
      <w:r w:rsidRPr="00DC16B1">
        <w:t xml:space="preserve">year in patients receiving prophylactic FXIII </w:t>
      </w:r>
      <w:r w:rsidR="006B5542">
        <w:t>treatment from historical data.</w:t>
      </w:r>
    </w:p>
    <w:p w:rsidR="00DC16B1" w:rsidRDefault="00DC16B1" w:rsidP="00DC16B1">
      <w:pPr>
        <w:pStyle w:val="Heading5"/>
      </w:pPr>
      <w:r>
        <w:lastRenderedPageBreak/>
        <w:t xml:space="preserve">Sponsor’s </w:t>
      </w:r>
      <w:r w:rsidR="00D31743">
        <w:t>r</w:t>
      </w:r>
      <w:r>
        <w:t>esponse</w:t>
      </w:r>
    </w:p>
    <w:p w:rsidR="00DC16B1" w:rsidRPr="00DC16B1" w:rsidRDefault="00DC16B1" w:rsidP="00DC16B1">
      <w:r w:rsidRPr="00DC16B1">
        <w:t>It should be noted that available publications on treatment of FXIII congenital patients are not explicit as to whether the reported bleeding episodes are treatment</w:t>
      </w:r>
      <w:r w:rsidR="00D44F28">
        <w:t xml:space="preserve"> </w:t>
      </w:r>
      <w:r w:rsidRPr="00DC16B1">
        <w:t>requiring or not. Focus is often put on spontaneous versus traumatic bleeding episodes. The estimated bleeding rates from historical data</w:t>
      </w:r>
      <w:r w:rsidR="00903522">
        <w:t xml:space="preserve"> and the literature are summaris</w:t>
      </w:r>
      <w:r w:rsidRPr="00DC16B1">
        <w:t xml:space="preserve">ed in </w:t>
      </w:r>
      <w:r w:rsidR="00903522">
        <w:t>Table 14</w:t>
      </w:r>
      <w:r w:rsidR="006B5542">
        <w:t>.</w:t>
      </w:r>
    </w:p>
    <w:p w:rsidR="00903522" w:rsidRDefault="00903522" w:rsidP="00903522">
      <w:pPr>
        <w:pStyle w:val="TableTitle"/>
      </w:pPr>
      <w:r>
        <w:t>Table 1</w:t>
      </w:r>
      <w:r w:rsidR="006E0A0F">
        <w:t>4</w:t>
      </w:r>
      <w:r>
        <w:t>:</w:t>
      </w:r>
      <w:r w:rsidRPr="004C5C28">
        <w:t xml:space="preserve"> </w:t>
      </w:r>
      <w:r w:rsidR="006E0A0F" w:rsidRPr="006E0A0F">
        <w:t>Estimated bleeding rates from historical data and the literature</w:t>
      </w:r>
      <w:r>
        <w:t>.</w:t>
      </w:r>
    </w:p>
    <w:p w:rsidR="00977CB9" w:rsidRDefault="00A938FA" w:rsidP="00DC16B1">
      <w:r>
        <w:rPr>
          <w:noProof/>
          <w:lang w:eastAsia="en-AU"/>
        </w:rPr>
        <w:drawing>
          <wp:inline distT="0" distB="0" distL="0" distR="0">
            <wp:extent cx="5155565" cy="2171065"/>
            <wp:effectExtent l="0" t="0" r="6985" b="635"/>
            <wp:docPr id="19" name="Picture 19" descr="Table 14: Estimated bleeding rates from historical data and the lit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ble 14: Estimated bleeding rates from historical data and the litera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55565" cy="2171065"/>
                    </a:xfrm>
                    <a:prstGeom prst="rect">
                      <a:avLst/>
                    </a:prstGeom>
                    <a:noFill/>
                    <a:ln>
                      <a:noFill/>
                    </a:ln>
                  </pic:spPr>
                </pic:pic>
              </a:graphicData>
            </a:graphic>
          </wp:inline>
        </w:drawing>
      </w:r>
    </w:p>
    <w:p w:rsidR="008C4CA2" w:rsidRPr="008C4CA2" w:rsidRDefault="008C4CA2" w:rsidP="008C4CA2">
      <w:r w:rsidRPr="008C4CA2">
        <w:t>In the pu</w:t>
      </w:r>
      <w:r w:rsidR="008171FB">
        <w:t>blication by Lusher and colleagues</w:t>
      </w:r>
      <w:r w:rsidRPr="008C4CA2">
        <w:t>,</w:t>
      </w:r>
      <w:r w:rsidR="008171FB">
        <w:rPr>
          <w:rStyle w:val="FootnoteReference"/>
        </w:rPr>
        <w:footnoteReference w:id="22"/>
      </w:r>
      <w:r w:rsidRPr="008C4CA2">
        <w:t xml:space="preserve"> the yearly bleeding rates of spontaneous bleeds for 7 FXIII deficient patients on on-demand and prophylaxis were reported. It is not clear whether the bleedings were treatment requiring or not. The publication reported mean rates of 0.2 and 2.5 bleeds per year as arithmetic averages across individual bleeding rates (for each subject). This methodology does not seem appropriate for event data, and in order to facilitate a more direct comparison with the data from the F13CD-1725 and F13CD-3720 trials, the same simple Poisson analysis as described above was applied to the Lusher data. Using this approach, the estimates from the Lusher paper changes to 0.34 bleeds per patient year (95% CI: [0.11; 1.04]) for prophylaxis treatment and 2.04 bleeds per year (95% CI: [1.36; 3.08]) for on-demand.</w:t>
      </w:r>
    </w:p>
    <w:p w:rsidR="008C4CA2" w:rsidRPr="008C4CA2" w:rsidRDefault="008C4CA2" w:rsidP="008C4CA2">
      <w:r w:rsidRPr="008C4CA2">
        <w:t>The Lusher paper focuses on spontaneous bleeding episodes. In the two Novo Nordisk trials</w:t>
      </w:r>
      <w:r w:rsidR="005D5C33">
        <w:t>,</w:t>
      </w:r>
      <w:r w:rsidRPr="008C4CA2">
        <w:t xml:space="preserve"> 3 spontaneous bleeding episodes requiring treatment occurred over an accumulated trial duration of 68.6 patient years. One of the original 3 spontaneous treatment</w:t>
      </w:r>
      <w:r w:rsidR="000F5C33">
        <w:t xml:space="preserve"> </w:t>
      </w:r>
      <w:r w:rsidRPr="008C4CA2">
        <w:t xml:space="preserve">requiring bleeding episodes (bruised arm for </w:t>
      </w:r>
      <w:r w:rsidR="000F5C33">
        <w:t xml:space="preserve">one </w:t>
      </w:r>
      <w:r w:rsidRPr="008C4CA2">
        <w:t>subject) subsequently changed status to traumatic on initiative of the investigator. Thus, the bleeding rate for treatment</w:t>
      </w:r>
      <w:r w:rsidR="005D5C33">
        <w:t xml:space="preserve"> </w:t>
      </w:r>
      <w:r w:rsidRPr="008C4CA2">
        <w:t>requiring spontaneous bleeds during prophylaxis in the Novo Nordisk trials is 2/68.6</w:t>
      </w:r>
      <w:r w:rsidR="005D5C33">
        <w:t xml:space="preserve"> </w:t>
      </w:r>
      <w:r w:rsidRPr="008C4CA2">
        <w:t>=</w:t>
      </w:r>
      <w:r w:rsidR="005D5C33">
        <w:t xml:space="preserve"> </w:t>
      </w:r>
      <w:r w:rsidRPr="008C4CA2">
        <w:t>0.029 bleeds per patient year, which is substantially lower than the rate of 0.34 bleeds per patient year described in the Lusher paper. Including all 21 spontaneous bleeds (9 spontaneous and 12 undeterminable) from the Novo Nordisk trials (b</w:t>
      </w:r>
      <w:r w:rsidR="00237610">
        <w:t xml:space="preserve">oth treatment requiring and non </w:t>
      </w:r>
      <w:r w:rsidRPr="008C4CA2">
        <w:t>treatment requiring) gives a rate of 21/68.6 = 0.31 spontaneous bleeds per patient year. This is comparable to the rate of 0.34 bleeds per patient year described in the Lusher paper.</w:t>
      </w:r>
    </w:p>
    <w:p w:rsidR="008C4CA2" w:rsidRPr="008C4CA2" w:rsidRDefault="008C4CA2" w:rsidP="008C4CA2">
      <w:r w:rsidRPr="008C4CA2">
        <w:t>A similar conclusion may be derived based on a comparison with</w:t>
      </w:r>
      <w:r w:rsidR="0031385E">
        <w:t xml:space="preserve"> a paper by Yoshida and colleagues</w:t>
      </w:r>
      <w:r w:rsidR="0031385E">
        <w:rPr>
          <w:rStyle w:val="FootnoteReference"/>
        </w:rPr>
        <w:footnoteReference w:id="23"/>
      </w:r>
      <w:r w:rsidRPr="008C4CA2">
        <w:t xml:space="preserve"> which reported bleeding data for 4 patients with congenital factor XIII deficiency receiving prophylactic treatment with FXIII for 3 to 12 years following an on-demand period. The mean prophylaxis bleeding rate was 0.23 bleedings per patient year. A mean bleeding rate of 4.15 bleedings per patient year prior to initiation of the prophylactic treatment was presented, without specifying the exact observation time. A </w:t>
      </w:r>
      <w:r w:rsidRPr="008C4CA2">
        <w:lastRenderedPageBreak/>
        <w:t xml:space="preserve">Poisson analysis was therefore conducted using a conservative assumption of 3 years’ prophylactic treatment and 1 year on-demand treatment for each patient. This resulted in 95% </w:t>
      </w:r>
      <w:r w:rsidR="00FD6DEE">
        <w:t>CIs</w:t>
      </w:r>
      <w:r w:rsidRPr="008C4CA2">
        <w:t xml:space="preserve"> of [0.06; 0.74] for prophylactic treatment and [2.56; 6.71] for on-demand treatment.</w:t>
      </w:r>
    </w:p>
    <w:p w:rsidR="008C4CA2" w:rsidRPr="008C4CA2" w:rsidRDefault="008C4CA2" w:rsidP="008C4CA2">
      <w:r w:rsidRPr="008C4CA2">
        <w:t>In conclusion, the annualised bleeding rates during prophylactic t</w:t>
      </w:r>
      <w:r w:rsidR="00FD6DEE">
        <w:t>reatment in the pivotal (F13CD-</w:t>
      </w:r>
      <w:r w:rsidRPr="008C4CA2">
        <w:t>1725) and extension (F13CD-3720) study of 0.14 for all treatment requiring bleeding episodes and of 0.04 for spontaneous treatment requiring bleeding episodes are lower or comparable with the available data on historical controls. Thus, Novo Nordisk considers it justified that rFXIII should be approved for the treatment of congenital FXIII deficiency.</w:t>
      </w:r>
    </w:p>
    <w:p w:rsidR="00D31743" w:rsidRDefault="00D31743" w:rsidP="00D31743">
      <w:pPr>
        <w:pStyle w:val="Heading5"/>
      </w:pPr>
      <w:r>
        <w:t>Clinical evaluator’s comment</w:t>
      </w:r>
    </w:p>
    <w:p w:rsidR="008C4CA2" w:rsidRPr="008C4CA2" w:rsidRDefault="008C4CA2" w:rsidP="008C4CA2">
      <w:r w:rsidRPr="008C4CA2">
        <w:t>The spon</w:t>
      </w:r>
      <w:r w:rsidR="006B5542">
        <w:t>sor’s response is satisfactory.</w:t>
      </w:r>
    </w:p>
    <w:p w:rsidR="008C4CA2" w:rsidRDefault="008C4CA2" w:rsidP="008C4CA2">
      <w:pPr>
        <w:pStyle w:val="Heading5"/>
      </w:pPr>
      <w:r>
        <w:t>Question 8</w:t>
      </w:r>
    </w:p>
    <w:p w:rsidR="008C4CA2" w:rsidRPr="008C4CA2" w:rsidRDefault="008C4CA2" w:rsidP="008C4CA2">
      <w:pPr>
        <w:rPr>
          <w:i/>
        </w:rPr>
      </w:pPr>
      <w:r w:rsidRPr="008C4CA2">
        <w:rPr>
          <w:i/>
        </w:rPr>
        <w:t>If the bleeding rate of 0.3/year in the historical control group treated with regular FXIII therapy is not due entirely to patients with bleeding episodes</w:t>
      </w:r>
      <w:r w:rsidR="00A04072">
        <w:rPr>
          <w:i/>
        </w:rPr>
        <w:t xml:space="preserve"> requiring treatment with FXIII </w:t>
      </w:r>
      <w:r w:rsidRPr="008C4CA2">
        <w:rPr>
          <w:i/>
        </w:rPr>
        <w:t xml:space="preserve">containing products, then please provide </w:t>
      </w:r>
      <w:r w:rsidR="00F05132">
        <w:rPr>
          <w:i/>
        </w:rPr>
        <w:t xml:space="preserve">the bleeding rate for treatment </w:t>
      </w:r>
      <w:r w:rsidRPr="008C4CA2">
        <w:rPr>
          <w:i/>
        </w:rPr>
        <w:t>requiring episodes for this patient group.</w:t>
      </w:r>
    </w:p>
    <w:p w:rsidR="008C4CA2" w:rsidRDefault="008C4CA2" w:rsidP="008C4CA2">
      <w:pPr>
        <w:pStyle w:val="Heading5"/>
        <w:rPr>
          <w:lang w:val="en-US"/>
        </w:rPr>
      </w:pPr>
      <w:r w:rsidRPr="00B225BF">
        <w:rPr>
          <w:lang w:val="en-US"/>
        </w:rPr>
        <w:t xml:space="preserve">Sponsor’s </w:t>
      </w:r>
      <w:r w:rsidR="00D31743">
        <w:rPr>
          <w:lang w:val="en-US"/>
        </w:rPr>
        <w:t>r</w:t>
      </w:r>
      <w:r w:rsidRPr="00B225BF">
        <w:rPr>
          <w:lang w:val="en-US"/>
        </w:rPr>
        <w:t>esponse</w:t>
      </w:r>
    </w:p>
    <w:p w:rsidR="008C4CA2" w:rsidRPr="008C4CA2" w:rsidRDefault="008C4CA2" w:rsidP="008C4CA2">
      <w:r w:rsidRPr="008C4CA2">
        <w:t>A</w:t>
      </w:r>
      <w:r w:rsidR="00F05132">
        <w:t xml:space="preserve">s described in the response to </w:t>
      </w:r>
      <w:r>
        <w:t>Question 6</w:t>
      </w:r>
      <w:r w:rsidRPr="008C4CA2">
        <w:t>, the prophylaxis bleeding rate of 0.3 bleeds/patient</w:t>
      </w:r>
      <w:r w:rsidR="00F05132">
        <w:t xml:space="preserve"> </w:t>
      </w:r>
      <w:r w:rsidRPr="008C4CA2">
        <w:t>year from the F13CD-Quest data collection is interpreted as referring to treatment</w:t>
      </w:r>
      <w:r w:rsidR="00F05132">
        <w:t xml:space="preserve"> </w:t>
      </w:r>
      <w:r w:rsidRPr="008C4CA2">
        <w:t>requiring bleeds.</w:t>
      </w:r>
    </w:p>
    <w:p w:rsidR="00D31743" w:rsidRDefault="00D31743" w:rsidP="00D31743">
      <w:pPr>
        <w:pStyle w:val="Heading5"/>
      </w:pPr>
      <w:r>
        <w:t>Clinical evaluator’s comment</w:t>
      </w:r>
    </w:p>
    <w:p w:rsidR="008C4CA2" w:rsidRPr="001C4AEF" w:rsidRDefault="008C4CA2" w:rsidP="001C4AEF">
      <w:r w:rsidRPr="001C4AEF">
        <w:t xml:space="preserve">The sponsor’s response is </w:t>
      </w:r>
      <w:r w:rsidR="006B5542">
        <w:t>satisfactory.</w:t>
      </w:r>
    </w:p>
    <w:p w:rsidR="008C4CA2" w:rsidRPr="006B5542" w:rsidRDefault="008C4CA2" w:rsidP="001C4AEF">
      <w:pPr>
        <w:pStyle w:val="Heading4"/>
        <w:rPr>
          <w:lang w:val="en-AU"/>
        </w:rPr>
      </w:pPr>
      <w:bookmarkStart w:id="149" w:name="_Toc234564393"/>
      <w:r>
        <w:t>Safety</w:t>
      </w:r>
      <w:bookmarkEnd w:id="149"/>
    </w:p>
    <w:p w:rsidR="001C4AEF" w:rsidRDefault="001C4AEF" w:rsidP="001C4AEF">
      <w:pPr>
        <w:pStyle w:val="Heading5"/>
      </w:pPr>
      <w:r>
        <w:t>Question 9</w:t>
      </w:r>
    </w:p>
    <w:p w:rsidR="008C4CA2" w:rsidRPr="001C4AEF" w:rsidRDefault="008C4CA2" w:rsidP="001C4AEF">
      <w:pPr>
        <w:rPr>
          <w:i/>
        </w:rPr>
      </w:pPr>
      <w:r w:rsidRPr="001C4AEF">
        <w:rPr>
          <w:i/>
        </w:rPr>
        <w:t xml:space="preserve">In the </w:t>
      </w:r>
      <w:r w:rsidR="00067AB8">
        <w:rPr>
          <w:i/>
        </w:rPr>
        <w:t>Phase III</w:t>
      </w:r>
      <w:r w:rsidRPr="001C4AEF">
        <w:rPr>
          <w:i/>
        </w:rPr>
        <w:t xml:space="preserve"> pivotal study (F13CD-1725) and the extension study (F13CD-3720), testing for anti</w:t>
      </w:r>
      <w:r w:rsidR="00F05132">
        <w:rPr>
          <w:i/>
        </w:rPr>
        <w:t xml:space="preserve"> </w:t>
      </w:r>
      <w:r w:rsidRPr="001C4AEF">
        <w:rPr>
          <w:i/>
        </w:rPr>
        <w:t xml:space="preserve">yeast antibodies appears not to have been undertaken. Please justify why testing was not undertaken in these two </w:t>
      </w:r>
      <w:r w:rsidR="00067AB8">
        <w:rPr>
          <w:i/>
        </w:rPr>
        <w:t>Phase III</w:t>
      </w:r>
      <w:r w:rsidRPr="001C4AEF">
        <w:rPr>
          <w:i/>
        </w:rPr>
        <w:t xml:space="preserve"> studies?</w:t>
      </w:r>
    </w:p>
    <w:p w:rsidR="001C4AEF" w:rsidRDefault="008C4CA2" w:rsidP="001C4AEF">
      <w:pPr>
        <w:pStyle w:val="Heading5"/>
        <w:rPr>
          <w:lang w:val="en-US"/>
        </w:rPr>
      </w:pPr>
      <w:r w:rsidRPr="00ED67F0">
        <w:rPr>
          <w:lang w:val="en-US"/>
        </w:rPr>
        <w:t xml:space="preserve">Sponsor’s </w:t>
      </w:r>
      <w:r w:rsidR="00D31743">
        <w:rPr>
          <w:lang w:val="en-US"/>
        </w:rPr>
        <w:t>r</w:t>
      </w:r>
      <w:r w:rsidRPr="00ED67F0">
        <w:rPr>
          <w:lang w:val="en-US"/>
        </w:rPr>
        <w:t>esponse</w:t>
      </w:r>
    </w:p>
    <w:p w:rsidR="008C4CA2" w:rsidRPr="001C4AEF" w:rsidRDefault="008C4CA2" w:rsidP="001C4AEF">
      <w:r w:rsidRPr="001C4AEF">
        <w:t>The data collected in 117 subjects exposed to rFXIII in early phase trials demonstrated, that the levels of anti</w:t>
      </w:r>
      <w:r w:rsidR="00F309C7">
        <w:t xml:space="preserve"> </w:t>
      </w:r>
      <w:r w:rsidRPr="001C4AEF">
        <w:t>yeast IgE were not related to trial drug administration. Therefore</w:t>
      </w:r>
      <w:r w:rsidR="00F309C7">
        <w:t>,</w:t>
      </w:r>
      <w:r w:rsidRPr="001C4AEF">
        <w:t xml:space="preserve"> Novo Nordisk decided not to include this analysis, but to closely monitor and characterise anti-drug antibodies through the </w:t>
      </w:r>
      <w:r w:rsidR="00067AB8">
        <w:t>Phase III</w:t>
      </w:r>
      <w:r w:rsidRPr="001C4AEF">
        <w:t xml:space="preserve"> clini</w:t>
      </w:r>
      <w:r w:rsidR="00F309C7">
        <w:t xml:space="preserve">cal programme. Testing for anti </w:t>
      </w:r>
      <w:r w:rsidRPr="001C4AEF">
        <w:t xml:space="preserve">yeast antibodies (IgE) was performed in 5 clinical trials using commercially available assays. Details of these trials are included in Table </w:t>
      </w:r>
      <w:r w:rsidR="001C4AEF">
        <w:t>15</w:t>
      </w:r>
      <w:r w:rsidR="006B5542">
        <w:t>.</w:t>
      </w:r>
    </w:p>
    <w:p w:rsidR="001C4AEF" w:rsidRDefault="001C4AEF" w:rsidP="001C4AEF">
      <w:pPr>
        <w:pStyle w:val="TableTitle"/>
      </w:pPr>
      <w:r>
        <w:t>Table 1</w:t>
      </w:r>
      <w:r w:rsidR="00813EEA">
        <w:t>5</w:t>
      </w:r>
      <w:r>
        <w:t>:</w:t>
      </w:r>
      <w:r w:rsidRPr="004C5C28">
        <w:t xml:space="preserve"> </w:t>
      </w:r>
      <w:r w:rsidR="006E6319" w:rsidRPr="006E6319">
        <w:t>Clinical trials where testing for anti-yeast antibodies were performed</w:t>
      </w:r>
      <w:r>
        <w:t>.</w:t>
      </w:r>
    </w:p>
    <w:p w:rsidR="00457AED" w:rsidRDefault="00A938FA" w:rsidP="001C4AEF">
      <w:r>
        <w:rPr>
          <w:noProof/>
          <w:lang w:eastAsia="en-AU"/>
        </w:rPr>
        <w:drawing>
          <wp:inline distT="0" distB="0" distL="0" distR="0">
            <wp:extent cx="4538345" cy="1688465"/>
            <wp:effectExtent l="0" t="0" r="0" b="6985"/>
            <wp:docPr id="20" name="Picture 20" descr="Table 15: Clinical trials where testing for anti-yeast antibodies were perfo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ble 15: Clinical trials where testing for anti-yeast antibodies were perform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38345" cy="1688465"/>
                    </a:xfrm>
                    <a:prstGeom prst="rect">
                      <a:avLst/>
                    </a:prstGeom>
                    <a:noFill/>
                    <a:ln>
                      <a:noFill/>
                    </a:ln>
                  </pic:spPr>
                </pic:pic>
              </a:graphicData>
            </a:graphic>
          </wp:inline>
        </w:drawing>
      </w:r>
    </w:p>
    <w:p w:rsidR="00256E8C" w:rsidRPr="006B6B66" w:rsidRDefault="00F309C7" w:rsidP="006B6B66">
      <w:r>
        <w:lastRenderedPageBreak/>
        <w:t xml:space="preserve">As of 11 </w:t>
      </w:r>
      <w:r w:rsidR="00256E8C" w:rsidRPr="006B6B66">
        <w:t>February 2011, a total of 85 patients suffering from congenital FXIII deficiency had been exposed to a total of 924 monthly doses of rFXIII. No allergic reactions to rFXIII had been reported. Additionally</w:t>
      </w:r>
      <w:r>
        <w:t>,</w:t>
      </w:r>
      <w:r w:rsidR="00256E8C" w:rsidRPr="006B6B66">
        <w:t xml:space="preserve"> a search of all reported adverse events has been made using the Standardised MeDRA Query (SMQ)</w:t>
      </w:r>
      <w:r>
        <w:t xml:space="preserve"> </w:t>
      </w:r>
      <w:r w:rsidR="00256E8C" w:rsidRPr="006B6B66">
        <w:t xml:space="preserve">(Anaphylactic reaction </w:t>
      </w:r>
      <w:r w:rsidR="002B1A08">
        <w:t>[</w:t>
      </w:r>
      <w:r w:rsidR="00256E8C" w:rsidRPr="006B6B66">
        <w:t>SMQ Code 20000021</w:t>
      </w:r>
      <w:r w:rsidR="002B1A08">
        <w:t>]</w:t>
      </w:r>
      <w:r w:rsidR="00256E8C" w:rsidRPr="006B6B66">
        <w:t xml:space="preserve">, Angioedema </w:t>
      </w:r>
      <w:r w:rsidR="002B1A08">
        <w:t>[</w:t>
      </w:r>
      <w:r w:rsidR="00256E8C" w:rsidRPr="006B6B66">
        <w:t>SMQ Code 20000024</w:t>
      </w:r>
      <w:r w:rsidR="002B1A08">
        <w:t>]</w:t>
      </w:r>
      <w:r w:rsidR="00256E8C" w:rsidRPr="006B6B66">
        <w:t xml:space="preserve">, Severe cutaneous adverse reactions </w:t>
      </w:r>
      <w:r w:rsidR="002B1A08">
        <w:t>[</w:t>
      </w:r>
      <w:r w:rsidR="00256E8C" w:rsidRPr="006B6B66">
        <w:t>SMQ Code 20000020</w:t>
      </w:r>
      <w:r w:rsidR="002B1A08">
        <w:t>]</w:t>
      </w:r>
      <w:r w:rsidR="00256E8C" w:rsidRPr="006B6B66">
        <w:t>) with no allergic reactions related events identified.</w:t>
      </w:r>
    </w:p>
    <w:p w:rsidR="00D31743" w:rsidRDefault="00D31743" w:rsidP="00D31743">
      <w:pPr>
        <w:pStyle w:val="Heading5"/>
      </w:pPr>
      <w:r>
        <w:t>Clinical evaluator’s comment</w:t>
      </w:r>
    </w:p>
    <w:p w:rsidR="00256E8C" w:rsidRPr="006B6B66" w:rsidRDefault="00256E8C" w:rsidP="006B6B66">
      <w:r w:rsidRPr="006B6B66">
        <w:t>The sponsor’s response is</w:t>
      </w:r>
      <w:r w:rsidR="006646A5">
        <w:t xml:space="preserve"> considered to be satisfactory.</w:t>
      </w:r>
    </w:p>
    <w:p w:rsidR="00256E8C" w:rsidRDefault="00256E8C" w:rsidP="00256E8C">
      <w:pPr>
        <w:pStyle w:val="Heading5"/>
      </w:pPr>
      <w:r>
        <w:t>Question 10</w:t>
      </w:r>
    </w:p>
    <w:p w:rsidR="00256E8C" w:rsidRPr="00A167D0" w:rsidRDefault="00256E8C" w:rsidP="00A167D0">
      <w:pPr>
        <w:rPr>
          <w:i/>
        </w:rPr>
      </w:pPr>
      <w:r w:rsidRPr="00A167D0">
        <w:rPr>
          <w:i/>
        </w:rPr>
        <w:t>Please provide a summary of all subjects exposed to rFXIII in the clinical develop</w:t>
      </w:r>
      <w:r w:rsidR="00F309C7">
        <w:rPr>
          <w:i/>
        </w:rPr>
        <w:t xml:space="preserve">ment program who developed anti </w:t>
      </w:r>
      <w:r w:rsidRPr="00A167D0">
        <w:rPr>
          <w:i/>
        </w:rPr>
        <w:t>yeast antibodies. Include an es</w:t>
      </w:r>
      <w:r w:rsidR="00F309C7">
        <w:rPr>
          <w:i/>
        </w:rPr>
        <w:t xml:space="preserve">timate of the incidence of anti </w:t>
      </w:r>
      <w:r w:rsidRPr="00A167D0">
        <w:rPr>
          <w:i/>
        </w:rPr>
        <w:t>yeast antibodies in subjects exposed to rFXIII.</w:t>
      </w:r>
    </w:p>
    <w:p w:rsidR="00256E8C" w:rsidRDefault="00256E8C" w:rsidP="00A167D0">
      <w:pPr>
        <w:pStyle w:val="Heading5"/>
        <w:rPr>
          <w:lang w:val="en-US"/>
        </w:rPr>
      </w:pPr>
      <w:r w:rsidRPr="003A5441">
        <w:rPr>
          <w:lang w:val="en-US"/>
        </w:rPr>
        <w:t xml:space="preserve">Sponsor’s </w:t>
      </w:r>
      <w:r w:rsidR="00D31743">
        <w:rPr>
          <w:lang w:val="en-US"/>
        </w:rPr>
        <w:t>r</w:t>
      </w:r>
      <w:r w:rsidRPr="003A5441">
        <w:rPr>
          <w:lang w:val="en-US"/>
        </w:rPr>
        <w:t>esponse</w:t>
      </w:r>
    </w:p>
    <w:p w:rsidR="00256E8C" w:rsidRPr="00A167D0" w:rsidRDefault="00256E8C" w:rsidP="00A167D0">
      <w:r w:rsidRPr="00A167D0">
        <w:t>Anti</w:t>
      </w:r>
      <w:r w:rsidR="00F309C7">
        <w:t xml:space="preserve"> </w:t>
      </w:r>
      <w:r w:rsidRPr="00A167D0">
        <w:t>yeast IgE antibodies were measured using samples obtained pre and post trial product administration in a total of 151 individuals across 5 clinical trials. Treatment included rFXIII at various dose levels (2-75 U/kg, in 117 subjects) and placebo (34 subjects). In the majority of the subjects (94/151</w:t>
      </w:r>
      <w:r w:rsidR="00B20786">
        <w:t xml:space="preserve"> </w:t>
      </w:r>
      <w:r w:rsidRPr="00A167D0">
        <w:t>=</w:t>
      </w:r>
      <w:r w:rsidR="00B20786">
        <w:t xml:space="preserve"> </w:t>
      </w:r>
      <w:r w:rsidRPr="00A167D0">
        <w:t>62%), anti</w:t>
      </w:r>
      <w:r w:rsidR="00B20786">
        <w:t xml:space="preserve"> </w:t>
      </w:r>
      <w:r w:rsidRPr="00A167D0">
        <w:t>yeast IgE antibodie</w:t>
      </w:r>
      <w:r w:rsidR="00B20786">
        <w:t>s were not detected neither pre nor post dose</w:t>
      </w:r>
      <w:r w:rsidR="006646A5">
        <w:t>.</w:t>
      </w:r>
    </w:p>
    <w:p w:rsidR="00256E8C" w:rsidRPr="00A167D0" w:rsidRDefault="00256E8C" w:rsidP="00A167D0">
      <w:r w:rsidRPr="00A167D0">
        <w:t>In subjects exposed to rFXIII (across trial and dose lev</w:t>
      </w:r>
      <w:r w:rsidR="00B20786">
        <w:t xml:space="preserve">els), an increase in anti </w:t>
      </w:r>
      <w:r w:rsidRPr="00A167D0">
        <w:t>yeast IgE was recorded in 21% (24/117). This is not statistically significant different from the 24% incidence of increase in anti</w:t>
      </w:r>
      <w:r w:rsidR="00B20786">
        <w:t xml:space="preserve"> </w:t>
      </w:r>
      <w:r w:rsidRPr="00A167D0">
        <w:t>yeast IgE seen in placebo treated subjects (8/34) (p</w:t>
      </w:r>
      <w:r w:rsidR="00B20786">
        <w:t xml:space="preserve"> </w:t>
      </w:r>
      <w:r w:rsidRPr="00A167D0">
        <w:t>=</w:t>
      </w:r>
      <w:r w:rsidR="00B20786">
        <w:t xml:space="preserve"> </w:t>
      </w:r>
      <w:r w:rsidRPr="00A167D0">
        <w:t>0.36).</w:t>
      </w:r>
    </w:p>
    <w:p w:rsidR="00256E8C" w:rsidRPr="00A167D0" w:rsidRDefault="00256E8C" w:rsidP="00A167D0">
      <w:r w:rsidRPr="00A167D0">
        <w:t>Quantitatively, there were no changes in the level of I</w:t>
      </w:r>
      <w:r w:rsidR="00B20786">
        <w:t xml:space="preserve">gE detected upon treatment (pre </w:t>
      </w:r>
      <w:r w:rsidRPr="00A167D0">
        <w:t>dose (average</w:t>
      </w:r>
      <w:r w:rsidR="00B20786">
        <w:t xml:space="preserve"> </w:t>
      </w:r>
      <w:r w:rsidRPr="00A167D0">
        <w:t>=</w:t>
      </w:r>
      <w:r w:rsidR="00B20786">
        <w:t xml:space="preserve"> </w:t>
      </w:r>
      <w:r w:rsidRPr="00A167D0">
        <w:t>0.20KU/L, maximum</w:t>
      </w:r>
      <w:r w:rsidR="00B20786">
        <w:t xml:space="preserve"> </w:t>
      </w:r>
      <w:r w:rsidRPr="00A167D0">
        <w:t>=</w:t>
      </w:r>
      <w:r w:rsidR="00B20786">
        <w:t xml:space="preserve"> </w:t>
      </w:r>
      <w:r w:rsidRPr="00A167D0">
        <w:t>0.80 KU/L), post</w:t>
      </w:r>
      <w:r w:rsidR="00B20786">
        <w:t xml:space="preserve"> </w:t>
      </w:r>
      <w:r w:rsidRPr="00A167D0">
        <w:t>dose (average</w:t>
      </w:r>
      <w:r w:rsidR="00B20786">
        <w:t xml:space="preserve"> </w:t>
      </w:r>
      <w:r w:rsidRPr="00A167D0">
        <w:t>=</w:t>
      </w:r>
      <w:r w:rsidR="00B20786">
        <w:t xml:space="preserve"> </w:t>
      </w:r>
      <w:r w:rsidRPr="00A167D0">
        <w:t>0.22 KU/L, maximum = 0.73 KU/L) for subjects exposed to rFXIII.</w:t>
      </w:r>
    </w:p>
    <w:p w:rsidR="00256E8C" w:rsidRPr="00A167D0" w:rsidRDefault="00256E8C" w:rsidP="00A167D0">
      <w:r w:rsidRPr="00A167D0">
        <w:t>Finally, looking at the incidence of anti</w:t>
      </w:r>
      <w:r w:rsidR="00E81165">
        <w:t xml:space="preserve"> </w:t>
      </w:r>
      <w:r w:rsidRPr="00A167D0">
        <w:t>yeast antibodies in subjects exposed to rFXIII (117), 31 subjects were positive for anti</w:t>
      </w:r>
      <w:r w:rsidR="00E81165">
        <w:t xml:space="preserve"> </w:t>
      </w:r>
      <w:r w:rsidRPr="00A167D0">
        <w:t>yeast IgE. And again, this is not statistically significant (p</w:t>
      </w:r>
      <w:r w:rsidR="00E81165">
        <w:t xml:space="preserve"> </w:t>
      </w:r>
      <w:r w:rsidRPr="00A167D0">
        <w:t>=</w:t>
      </w:r>
      <w:r w:rsidR="00E81165">
        <w:t xml:space="preserve"> </w:t>
      </w:r>
      <w:r w:rsidRPr="00A167D0">
        <w:t>0.17) from the rate observed in subjects exposed to placebo (12/34).</w:t>
      </w:r>
    </w:p>
    <w:p w:rsidR="00256E8C" w:rsidRPr="00A167D0" w:rsidRDefault="00256E8C" w:rsidP="00A167D0">
      <w:r w:rsidRPr="00A167D0">
        <w:t>These data does not indicate that observed anti</w:t>
      </w:r>
      <w:r w:rsidR="00E81165">
        <w:t xml:space="preserve"> </w:t>
      </w:r>
      <w:r w:rsidRPr="00A167D0">
        <w:t>yeast IgE antibodies are related to treatment with rFXIII.</w:t>
      </w:r>
    </w:p>
    <w:p w:rsidR="00D31743" w:rsidRDefault="00D31743" w:rsidP="00D31743">
      <w:pPr>
        <w:pStyle w:val="Heading5"/>
      </w:pPr>
      <w:r>
        <w:t>Clinical evaluator’s comment</w:t>
      </w:r>
    </w:p>
    <w:p w:rsidR="00256E8C" w:rsidRDefault="00256E8C" w:rsidP="00A167D0">
      <w:r w:rsidRPr="00A167D0">
        <w:t>The sponsor’s response is</w:t>
      </w:r>
      <w:r w:rsidR="006646A5">
        <w:t xml:space="preserve"> considered to be satisfactory.</w:t>
      </w:r>
    </w:p>
    <w:p w:rsidR="009D4AAB" w:rsidRPr="001A04EB" w:rsidRDefault="009D4AAB" w:rsidP="009D4AAB">
      <w:pPr>
        <w:pStyle w:val="Heading4"/>
      </w:pPr>
      <w:r>
        <w:t>Second round benefit-risk assessment</w:t>
      </w:r>
    </w:p>
    <w:p w:rsidR="009D4AAB" w:rsidRDefault="009D4AAB" w:rsidP="009D4AAB">
      <w:pPr>
        <w:pStyle w:val="Heading5"/>
      </w:pPr>
      <w:r>
        <w:t>Second round assessment of benefits</w:t>
      </w:r>
    </w:p>
    <w:p w:rsidR="0007134F" w:rsidRPr="0007134F" w:rsidRDefault="0007134F" w:rsidP="0007134F">
      <w:r w:rsidRPr="0007134F">
        <w:t xml:space="preserve">After </w:t>
      </w:r>
      <w:r w:rsidR="00574F2C">
        <w:t>consideration of the sponsor’s Section 31 r</w:t>
      </w:r>
      <w:r w:rsidRPr="0007134F">
        <w:t>esponse to the clinical questions, the benefits of treatment with rFXIII for the proposed usage are summari</w:t>
      </w:r>
      <w:r w:rsidR="00574F2C">
        <w:t>s</w:t>
      </w:r>
      <w:r w:rsidR="006646A5">
        <w:t>ed below.</w:t>
      </w:r>
    </w:p>
    <w:p w:rsidR="0007134F" w:rsidRPr="0007134F" w:rsidRDefault="0007134F" w:rsidP="0007134F">
      <w:r w:rsidRPr="0007134F">
        <w:t>The pivotal trial (F13CD-1725) showed that prophylactic treatment with rFXIII (35 IU/kg) once monthly (28</w:t>
      </w:r>
      <w:r w:rsidR="00DD5683">
        <w:t xml:space="preserve"> </w:t>
      </w:r>
      <w:r w:rsidR="00D867B9">
        <w:t>±</w:t>
      </w:r>
      <w:r w:rsidR="00DD5683">
        <w:t xml:space="preserve"> </w:t>
      </w:r>
      <w:r w:rsidRPr="0007134F">
        <w:t>2 days) significantly reduced the risk of treatment</w:t>
      </w:r>
      <w:r w:rsidR="004D1CB1">
        <w:t xml:space="preserve"> </w:t>
      </w:r>
      <w:r w:rsidRPr="0007134F">
        <w:t>requiring bleeding episodes in patients with congenital FXIII deficiency compared with historical controls. There were 41 patients with congenital FXIII deficiency in the pivotal trial with mean age 26.4 years (range: 7, 60 years). Of the 41 patients, 33 received all 13 planned monthly doses of rFXIII and the mean and median number of doses was 11.5 (SD</w:t>
      </w:r>
      <w:r w:rsidR="006C4A92">
        <w:t xml:space="preserve"> </w:t>
      </w:r>
      <w:r w:rsidRPr="0007134F">
        <w:t>=</w:t>
      </w:r>
      <w:r w:rsidR="006C4A92">
        <w:t xml:space="preserve"> </w:t>
      </w:r>
      <w:r w:rsidRPr="0007134F">
        <w:t>13.9) and 13 (range: 2, 24), respect</w:t>
      </w:r>
      <w:r w:rsidR="006646A5">
        <w:t>ively.</w:t>
      </w:r>
    </w:p>
    <w:p w:rsidR="0007134F" w:rsidRPr="0007134F" w:rsidRDefault="0007134F" w:rsidP="0007134F">
      <w:r w:rsidRPr="0007134F">
        <w:t>In the pivotal trial (F13CD-1725), the primary efficacy endpoint analysis showed that the age adjusted rate (number per patient</w:t>
      </w:r>
      <w:r w:rsidR="00932970">
        <w:t xml:space="preserve"> </w:t>
      </w:r>
      <w:r w:rsidRPr="0007134F">
        <w:t>year) of treatment</w:t>
      </w:r>
      <w:r w:rsidR="00932970">
        <w:t xml:space="preserve"> </w:t>
      </w:r>
      <w:r w:rsidRPr="0007134F">
        <w:t>requiring bleeds during the rFXIII treatment period was 0.048/year (95% CI: 0.0094, 0.2501). The primary efficacy endpoint was evaluated by a Poisson model (log</w:t>
      </w:r>
      <w:r w:rsidR="005C08A4">
        <w:t xml:space="preserve"> </w:t>
      </w:r>
      <w:r w:rsidRPr="0007134F">
        <w:t xml:space="preserve">link), comparing the data to a historical </w:t>
      </w:r>
      <w:r w:rsidRPr="0007134F">
        <w:lastRenderedPageBreak/>
        <w:t>rate of 2.91 bleedings per year based on retrospectively collected data for patients receiving only on-demand treatment. Age was included as a continuous covariate, and the total observation time during the treatment period was used as an offset in the model. Subject withdrawal before end of trial was taken into account in the model by adjusting the length of observation time. The estimated rate was calculated, ad</w:t>
      </w:r>
      <w:r w:rsidR="00DB0BF8">
        <w:t>justing for overdispersion (that is</w:t>
      </w:r>
      <w:r w:rsidRPr="0007134F">
        <w:t>, observed variance greater than predicted variance). The overdispersion was estimated by Pearson’s chi-square statistic divided by its degrees of freedom. It was to be concluded that monthly replacement therapy with rFXIII is superior to on-demand treatment with FXIII</w:t>
      </w:r>
      <w:r w:rsidR="00DB0BF8">
        <w:t xml:space="preserve"> </w:t>
      </w:r>
      <w:r w:rsidRPr="0007134F">
        <w:t>containing products (defined as placebo) if the yearly bleeding rate for the rFXIII group (λ) was lower than 2.91. The pre</w:t>
      </w:r>
      <w:r w:rsidR="00DB0BF8">
        <w:t xml:space="preserve"> </w:t>
      </w:r>
      <w:r w:rsidRPr="0007134F">
        <w:t>defined null hypothesis of no difference between rFXIII and placebo was rejected as the uppe</w:t>
      </w:r>
      <w:r w:rsidR="00DB0BF8">
        <w:t>r limit of the 95% CI for λ (that is</w:t>
      </w:r>
      <w:r w:rsidRPr="0007134F">
        <w:t>, 0.2501 bleeds/patient</w:t>
      </w:r>
      <w:r w:rsidR="00DB0BF8">
        <w:t xml:space="preserve"> </w:t>
      </w:r>
      <w:r w:rsidRPr="0007134F">
        <w:t>year) was less than 2.91 (bleeds/patient-year).</w:t>
      </w:r>
    </w:p>
    <w:p w:rsidR="0007134F" w:rsidRPr="0007134F" w:rsidRDefault="0007134F" w:rsidP="0007134F">
      <w:r w:rsidRPr="0007134F">
        <w:t>In the pivotal trial (F13CD-1725), there were 5 treatment</w:t>
      </w:r>
      <w:r w:rsidR="00150CA6">
        <w:t xml:space="preserve"> </w:t>
      </w:r>
      <w:r w:rsidRPr="0007134F">
        <w:t>requiring bleeding events (all traumatic) in 4 out of 41 patients treated with rFXIII. Based on a total of 471 monthly doses corresponding to a cumulative observation period of 434 months, the mean rate of treatment</w:t>
      </w:r>
      <w:r w:rsidR="00150CA6">
        <w:t xml:space="preserve"> </w:t>
      </w:r>
      <w:r w:rsidRPr="0007134F">
        <w:t>requiring bleeds was 0.138 (95% CI: 0.058, 0.332)/patient</w:t>
      </w:r>
      <w:r w:rsidR="00150CA6">
        <w:t xml:space="preserve"> </w:t>
      </w:r>
      <w:r w:rsidRPr="0007134F">
        <w:t>year. This rate was numerically superior to the treatment-requiring bleeding rate of 0.3 bleeds/patient</w:t>
      </w:r>
      <w:r w:rsidR="00150CA6">
        <w:t xml:space="preserve"> </w:t>
      </w:r>
      <w:r w:rsidRPr="0007134F">
        <w:t>year in historical controls. In the pivotal trial (F13CD-1725), there were a total of 54 bleeds (treatment and non</w:t>
      </w:r>
      <w:r w:rsidR="00150CA6">
        <w:t xml:space="preserve"> </w:t>
      </w:r>
      <w:r w:rsidRPr="0007134F">
        <w:t>treatment requiring) in 41 patients, giving an estimated total bleeding rate of 1.49 (95% CI: 1.14, 1.94) bleeds/patient-year.</w:t>
      </w:r>
    </w:p>
    <w:p w:rsidR="0007134F" w:rsidRPr="0007134F" w:rsidRDefault="0007134F" w:rsidP="0007134F">
      <w:r w:rsidRPr="0007134F">
        <w:t>In the pivotal trial (F13CD-1725), age was a statistically significant covariate (p</w:t>
      </w:r>
      <w:r w:rsidR="00150CA6">
        <w:t xml:space="preserve"> </w:t>
      </w:r>
      <w:r w:rsidRPr="0007134F">
        <w:t>=</w:t>
      </w:r>
      <w:r w:rsidR="00150CA6">
        <w:t xml:space="preserve"> </w:t>
      </w:r>
      <w:r w:rsidRPr="0007134F">
        <w:t>0.022) for the rate (number per subject year) of bleeding episodes requiring treatment with FXIII</w:t>
      </w:r>
      <w:r w:rsidR="00150CA6">
        <w:t xml:space="preserve"> </w:t>
      </w:r>
      <w:r w:rsidRPr="0007134F">
        <w:t>containing products, and patients aged &lt; 18 years were</w:t>
      </w:r>
      <w:r w:rsidR="00150CA6">
        <w:t xml:space="preserve"> at a greater risk of treatment </w:t>
      </w:r>
      <w:r w:rsidRPr="0007134F">
        <w:t>requiring bleeds than patients aged ≥ 18 years. Of the 5 treatment</w:t>
      </w:r>
      <w:r w:rsidR="00150CA6">
        <w:t xml:space="preserve"> </w:t>
      </w:r>
      <w:r w:rsidRPr="0007134F">
        <w:t>requiring bleeding events, 4 occurred in 3 patients (n</w:t>
      </w:r>
      <w:r w:rsidR="00150CA6">
        <w:t xml:space="preserve"> </w:t>
      </w:r>
      <w:r w:rsidRPr="0007134F">
        <w:t>=</w:t>
      </w:r>
      <w:r w:rsidR="00150CA6">
        <w:t xml:space="preserve"> </w:t>
      </w:r>
      <w:r w:rsidRPr="0007134F">
        <w:t>15) aged &lt; 18 years (rate = 0.362 [95% CI: 0.136, 0.963] bleeds/patient</w:t>
      </w:r>
      <w:r w:rsidR="00150CA6">
        <w:t xml:space="preserve"> </w:t>
      </w:r>
      <w:r w:rsidRPr="0007134F">
        <w:t>year), and 1 occurred in 1 patient (n</w:t>
      </w:r>
      <w:r w:rsidR="00150CA6">
        <w:t xml:space="preserve"> </w:t>
      </w:r>
      <w:r w:rsidRPr="0007134F">
        <w:t>=</w:t>
      </w:r>
      <w:r w:rsidR="00150CA6">
        <w:t xml:space="preserve"> </w:t>
      </w:r>
      <w:r w:rsidRPr="0007134F">
        <w:t>26) aged ≥ 18 (rate = 0.040 [95% CI: 0.006, 0.283] bleeds/patient year). The difference in the treatment</w:t>
      </w:r>
      <w:r w:rsidR="00150CA6">
        <w:t xml:space="preserve"> </w:t>
      </w:r>
      <w:r w:rsidRPr="0007134F">
        <w:t>requiring bleeding rates between patients with congenital FXIII deficiency aged &lt; 18 years compared with ≥ 18 years might reflect the greater risk of traumatic bleeding events in children and adolescents due to more frequent “risky” activities in younge</w:t>
      </w:r>
      <w:r w:rsidR="006646A5">
        <w:t>r compared with older patients.</w:t>
      </w:r>
    </w:p>
    <w:p w:rsidR="0007134F" w:rsidRPr="0007134F" w:rsidRDefault="0007134F" w:rsidP="0007134F">
      <w:r w:rsidRPr="0007134F">
        <w:t>The interim extension data from the long</w:t>
      </w:r>
      <w:r w:rsidR="003843A7">
        <w:t xml:space="preserve"> </w:t>
      </w:r>
      <w:r w:rsidRPr="0007134F">
        <w:t>term extension trial (F13CD-3720) showed that the benefits of regular rFXIII treatment persisted following the initial 12 months of treatment. In the 33 patients (mean age 28.8 years, range 7 to 60) who completed the pivotal trial and continued in the extension trial, the age</w:t>
      </w:r>
      <w:r w:rsidR="003843A7">
        <w:t xml:space="preserve"> </w:t>
      </w:r>
      <w:r w:rsidRPr="0007134F">
        <w:t>adjusted rate (number per subject year) of treatment</w:t>
      </w:r>
      <w:r w:rsidR="003843A7">
        <w:t xml:space="preserve"> </w:t>
      </w:r>
      <w:r w:rsidRPr="0007134F">
        <w:t>requiring bleeding episodes was 0.038/year (95% CI: 0.0034, 0.4355). The upper 95% CI of the observed rate in the patients in the extension trial (0.4335/year) was less than the fixed “placebo” rate of 2.91/year, and consequently the difference between the observed and control rates was statistically s</w:t>
      </w:r>
      <w:r w:rsidR="006646A5">
        <w:t>ignificant.</w:t>
      </w:r>
    </w:p>
    <w:p w:rsidR="0007134F" w:rsidRPr="0007134F" w:rsidRDefault="0007134F" w:rsidP="0007134F">
      <w:r w:rsidRPr="0007134F">
        <w:t xml:space="preserve">In the extension trial (F13CD-3720), </w:t>
      </w:r>
      <w:r w:rsidR="00493CC0">
        <w:t xml:space="preserve">there were </w:t>
      </w:r>
      <w:r w:rsidRPr="0007134F">
        <w:t xml:space="preserve">5 bleeds (3 spontaneous, 2 traumatic) in 3 patients </w:t>
      </w:r>
      <w:r w:rsidR="00493CC0">
        <w:t xml:space="preserve">that </w:t>
      </w:r>
      <w:r w:rsidRPr="0007134F">
        <w:t>required treatment with a FXIII</w:t>
      </w:r>
      <w:r w:rsidR="00216535">
        <w:t xml:space="preserve"> </w:t>
      </w:r>
      <w:r w:rsidRPr="0007134F">
        <w:t>containing product. Of the 33 patients continuing treatment in the extension phase the median observation period was 359 days. The bleeding rate for treatment</w:t>
      </w:r>
      <w:r w:rsidR="008F6F9C">
        <w:t xml:space="preserve"> </w:t>
      </w:r>
      <w:r w:rsidRPr="0007134F">
        <w:t>requiring bleeds (5 bleeds) was 0.15 (95% CI: 0.06, 0.37)/patient</w:t>
      </w:r>
      <w:r w:rsidR="008F6F9C">
        <w:t xml:space="preserve"> </w:t>
      </w:r>
      <w:r w:rsidRPr="0007134F">
        <w:t>year (similar to the rate in the pivotal trial of approximately 0.14 bleeds/patient</w:t>
      </w:r>
      <w:r w:rsidR="008F6F9C">
        <w:t xml:space="preserve"> </w:t>
      </w:r>
      <w:r w:rsidRPr="0007134F">
        <w:t>year), and the bleeding rate for all bleeds (20 bleeds) was 0.62 (95%: 0.40, 0.96)/patient</w:t>
      </w:r>
      <w:r w:rsidR="008F6F9C">
        <w:t xml:space="preserve"> </w:t>
      </w:r>
      <w:r w:rsidRPr="0007134F">
        <w:t>year (lower than the rate in the pivotal trial of 1.49 bleeds/patient</w:t>
      </w:r>
      <w:r w:rsidR="008F6F9C">
        <w:t xml:space="preserve"> </w:t>
      </w:r>
      <w:r w:rsidRPr="0007134F">
        <w:t>year). In F13CD-3720, age was not found to be a stati</w:t>
      </w:r>
      <w:r w:rsidR="006646A5">
        <w:t>stically significant covariate.</w:t>
      </w:r>
    </w:p>
    <w:p w:rsidR="0007134F" w:rsidRPr="0007134F" w:rsidRDefault="0007134F" w:rsidP="0007134F">
      <w:r w:rsidRPr="0007134F">
        <w:t>In the pivotal and extension studies, in the monthly treatment cycle (28</w:t>
      </w:r>
      <w:r w:rsidR="008F6F9C">
        <w:t xml:space="preserve"> </w:t>
      </w:r>
      <w:r w:rsidRPr="0007134F">
        <w:t>±</w:t>
      </w:r>
      <w:r w:rsidR="008F6F9C">
        <w:t xml:space="preserve"> </w:t>
      </w:r>
      <w:r w:rsidRPr="0007134F">
        <w:t>2 days) bleeding episodes requiring treatment with FXIII</w:t>
      </w:r>
      <w:r w:rsidR="008F6F9C">
        <w:t xml:space="preserve"> </w:t>
      </w:r>
      <w:r w:rsidRPr="0007134F">
        <w:t>containing products occurred more frequently ≥ 15 days after dosing (7 bleeds) compared with &lt; 15 days after dosing (3 bleeds). However, the observed association might be confounded by investigators being unblinded to the date of rFXIII administration.</w:t>
      </w:r>
    </w:p>
    <w:p w:rsidR="0007134F" w:rsidRDefault="0007134F" w:rsidP="0007134F">
      <w:pPr>
        <w:pStyle w:val="Heading5"/>
      </w:pPr>
      <w:bookmarkStart w:id="150" w:name="_Toc234564407"/>
      <w:r>
        <w:lastRenderedPageBreak/>
        <w:t>Second round assessment of risk</w:t>
      </w:r>
      <w:bookmarkEnd w:id="150"/>
      <w:r>
        <w:t xml:space="preserve"> </w:t>
      </w:r>
    </w:p>
    <w:p w:rsidR="0007134F" w:rsidRPr="0007134F" w:rsidRDefault="0007134F" w:rsidP="0007134F">
      <w:r w:rsidRPr="0007134F">
        <w:t xml:space="preserve">After </w:t>
      </w:r>
      <w:r w:rsidR="00D27309">
        <w:t>consideration of the sponsor’s Section 31 r</w:t>
      </w:r>
      <w:r w:rsidRPr="0007134F">
        <w:t>esponse to the clinical questions, the risks of treatment with rFXIII for the proposed usage are summari</w:t>
      </w:r>
      <w:r w:rsidR="00D27309">
        <w:t>s</w:t>
      </w:r>
      <w:r w:rsidRPr="0007134F">
        <w:t>ed</w:t>
      </w:r>
      <w:r w:rsidR="006646A5">
        <w:t xml:space="preserve"> below.</w:t>
      </w:r>
    </w:p>
    <w:p w:rsidR="0007134F" w:rsidRPr="0007134F" w:rsidRDefault="0007134F" w:rsidP="0007134F">
      <w:r w:rsidRPr="0007134F">
        <w:t>The pivotal (FCD13-1725) and extension (F13CD-3720) trials</w:t>
      </w:r>
      <w:r w:rsidR="00CD52B1">
        <w:t xml:space="preserve"> </w:t>
      </w:r>
      <w:r w:rsidRPr="0007134F">
        <w:t>are considered to have satisfactorily established the safety of rFXIII 35 IU/kg once monthly for the treatment of congenital rFXIII deficiency. The most commonly reported AEs occurring in ≥ 10% of patients in the pooled safety data</w:t>
      </w:r>
      <w:r w:rsidR="00FB641D">
        <w:t xml:space="preserve"> </w:t>
      </w:r>
      <w:r w:rsidRPr="0007134F">
        <w:t>set from the pivotal and extension trials (n</w:t>
      </w:r>
      <w:r w:rsidR="00DA029A">
        <w:t xml:space="preserve"> </w:t>
      </w:r>
      <w:r w:rsidRPr="0007134F">
        <w:t>=</w:t>
      </w:r>
      <w:r w:rsidR="00DA029A">
        <w:t xml:space="preserve"> </w:t>
      </w:r>
      <w:r w:rsidRPr="0007134F">
        <w:t>41) in diminishing order of frequency were: headache (31.7%); nasopharyngitis (26.8%); pyrexia (19.5%); arthralgia (17.1%); pain in extremity (17.1%); nasal congestion (17.1%); oropharyngeal pain (17.1%); excoriation (12.2%); incorrect dose administered (12.2%); and joint sprain (12.2%). No thromboembolic events had been reported in the pivotal and extension trials at the date of data cut</w:t>
      </w:r>
      <w:r w:rsidR="00FB641D">
        <w:t xml:space="preserve"> </w:t>
      </w:r>
      <w:r w:rsidR="006646A5">
        <w:t>off.</w:t>
      </w:r>
    </w:p>
    <w:p w:rsidR="0007134F" w:rsidRPr="0007134F" w:rsidRDefault="0007134F" w:rsidP="0007134F">
      <w:r w:rsidRPr="0007134F">
        <w:t>There were no deaths in the pivotal and extension trials. There were a total of 10 SAEs recorded in 7 patients, and except for 3 SAEs of non</w:t>
      </w:r>
      <w:r w:rsidR="00FB641D">
        <w:t xml:space="preserve"> </w:t>
      </w:r>
      <w:r w:rsidRPr="0007134F">
        <w:t>neutralising anti</w:t>
      </w:r>
      <w:r w:rsidR="00FB641D">
        <w:t xml:space="preserve"> </w:t>
      </w:r>
      <w:r w:rsidRPr="0007134F">
        <w:t xml:space="preserve">rFXIII antibodies, all events were evaluated by the investigator as being unlikely to be related to treatment with rFXIII. The 10 SAEs were: </w:t>
      </w:r>
      <w:r w:rsidR="00FB641D">
        <w:t>3 antibody positive events (1 probably related, 2 possibly related), 1 diverticulitis, 1</w:t>
      </w:r>
      <w:r w:rsidRPr="0007134F">
        <w:t xml:space="preserve"> non</w:t>
      </w:r>
      <w:r w:rsidR="00FB641D">
        <w:t xml:space="preserve"> cardiac chest pain, 1 </w:t>
      </w:r>
      <w:r w:rsidRPr="0007134F">
        <w:t>headache</w:t>
      </w:r>
      <w:r w:rsidR="00FB641D">
        <w:t xml:space="preserve">, 1 </w:t>
      </w:r>
      <w:r w:rsidRPr="0007134F">
        <w:t>carpal tunnel syndrome</w:t>
      </w:r>
      <w:r w:rsidR="00FB641D">
        <w:t>, 1 road traffic accident, 1 small intestinal obstruction,</w:t>
      </w:r>
      <w:r w:rsidRPr="0007134F">
        <w:t xml:space="preserve"> 1 x skin laceration. Discontinuation from the trials due to AEs occurred in 4 (9.8%) patients, all from the pivotal study. The premature discontinuations were due the presence of non</w:t>
      </w:r>
      <w:r w:rsidR="004254F2">
        <w:t xml:space="preserve"> </w:t>
      </w:r>
      <w:r w:rsidRPr="0007134F">
        <w:t>neutralising anti</w:t>
      </w:r>
      <w:r w:rsidR="004254F2">
        <w:t xml:space="preserve"> </w:t>
      </w:r>
      <w:r w:rsidRPr="0007134F">
        <w:t>rFXIII antibodies in 3 patients, and worsening leukopenia and neutropenia in 1 patient.</w:t>
      </w:r>
    </w:p>
    <w:p w:rsidR="0007134F" w:rsidRPr="0007134F" w:rsidRDefault="0007134F" w:rsidP="0007134F">
      <w:r w:rsidRPr="0007134F">
        <w:t>In the pivotal trial, 4 patients developed transient, low</w:t>
      </w:r>
      <w:r w:rsidR="00277014">
        <w:t xml:space="preserve"> </w:t>
      </w:r>
      <w:r w:rsidRPr="0007134F">
        <w:t>titre and non</w:t>
      </w:r>
      <w:r w:rsidR="00277014">
        <w:t xml:space="preserve"> neutralising anti </w:t>
      </w:r>
      <w:r w:rsidRPr="0007134F">
        <w:t xml:space="preserve">rFXIII antibodies (titre = 2.3 to 2.6; lowest level of quantification = 2.0). No anaphylactic or allergic reactions, bleeding episodes or changes in </w:t>
      </w:r>
      <w:r w:rsidR="0029289B">
        <w:t>PK</w:t>
      </w:r>
      <w:r w:rsidRPr="0007134F">
        <w:t xml:space="preserve"> were observed in any of the patients at any time during the presence of the non</w:t>
      </w:r>
      <w:r w:rsidR="00277014">
        <w:t xml:space="preserve"> </w:t>
      </w:r>
      <w:r w:rsidRPr="0007134F">
        <w:t>neutralising antibodies or during the follow</w:t>
      </w:r>
      <w:r w:rsidR="00277014">
        <w:t xml:space="preserve"> </w:t>
      </w:r>
      <w:r w:rsidRPr="0007134F">
        <w:t>up period. Furthermore, the antibodies declined below the limit of detection in 2 patients despite repeated exposure to rFXIII and in 2 patients fo</w:t>
      </w:r>
      <w:r w:rsidR="00277014">
        <w:t xml:space="preserve">llowing exposure to other FXIII </w:t>
      </w:r>
      <w:r w:rsidR="006646A5">
        <w:t>containing products.</w:t>
      </w:r>
    </w:p>
    <w:p w:rsidR="0007134F" w:rsidRPr="0007134F" w:rsidRDefault="0007134F" w:rsidP="0007134F">
      <w:r w:rsidRPr="0007134F">
        <w:t>In subjects exposed to rFXIII (across trials and dose levels), an increase in anti</w:t>
      </w:r>
      <w:r w:rsidR="00277014">
        <w:t xml:space="preserve"> </w:t>
      </w:r>
      <w:r w:rsidRPr="0007134F">
        <w:t>yeast IgE antibodies was recorded in 21% (24/117) of subjects compared with 34% (8/34) of subjects exposed to placebo, and the difference was not statistically significant (p</w:t>
      </w:r>
      <w:r w:rsidR="00277014">
        <w:t xml:space="preserve"> </w:t>
      </w:r>
      <w:r w:rsidRPr="0007134F">
        <w:t>=</w:t>
      </w:r>
      <w:r w:rsidR="00277014">
        <w:t xml:space="preserve"> </w:t>
      </w:r>
      <w:r w:rsidRPr="0007134F">
        <w:t>0.36). Overall, the incidence of anti</w:t>
      </w:r>
      <w:r w:rsidR="00277014">
        <w:t xml:space="preserve"> </w:t>
      </w:r>
      <w:r w:rsidRPr="0007134F">
        <w:t>yeast IgE antibodies in subjects exposed to rFXIII was 26.5% (31/117) compared with 35.3% (12/34) in subjects exposed to placebo, and the difference was not statistically significant (p</w:t>
      </w:r>
      <w:r w:rsidR="00277014">
        <w:t xml:space="preserve"> </w:t>
      </w:r>
      <w:r w:rsidRPr="0007134F">
        <w:t>=</w:t>
      </w:r>
      <w:r w:rsidR="00277014">
        <w:t xml:space="preserve"> </w:t>
      </w:r>
      <w:r w:rsidR="006646A5">
        <w:t>0.17).</w:t>
      </w:r>
    </w:p>
    <w:p w:rsidR="0007134F" w:rsidRPr="0007134F" w:rsidRDefault="0007134F" w:rsidP="0007134F">
      <w:r w:rsidRPr="0007134F">
        <w:t>In both the pivotal and extension trials, haematological, biochemical, and urinalysis parameters were assessed at local laboratories and coagulation parameters were assessed at a central laboratory. The clinical laboratory parameters were measur</w:t>
      </w:r>
      <w:r w:rsidR="00427516">
        <w:t xml:space="preserve">ed at screening, baseline, post </w:t>
      </w:r>
      <w:r w:rsidRPr="0007134F">
        <w:t xml:space="preserve">dose </w:t>
      </w:r>
      <w:r w:rsidR="00427516">
        <w:t>W</w:t>
      </w:r>
      <w:r w:rsidRPr="0007134F">
        <w:t>eeks 2 and 4, and then post</w:t>
      </w:r>
      <w:r w:rsidR="00427516">
        <w:t xml:space="preserve"> </w:t>
      </w:r>
      <w:r w:rsidRPr="0007134F">
        <w:t>dose every 4 weeks until the end of the trial. There were no noteworthy changes in any of the assessed laboratory parameters during treatment with rFXIII. However, considerable variation in D-dimer levels was observed over the course of the trials. The sponsor speculates that individual D-dimer outliers may have been caused by inappropriate sampling handling at some study centres, but no data were provided to support this argument. There were no noteworthy changes in vital signs or physical examination in patients during treatment with rFXIII in the trials.</w:t>
      </w:r>
    </w:p>
    <w:p w:rsidR="0007134F" w:rsidRPr="0007134F" w:rsidRDefault="0007134F" w:rsidP="0007134F">
      <w:r w:rsidRPr="0007134F">
        <w:t>There was no evidence of hepatic, renal, haematological or cardiovascular toxicity in the pivotal and extension trials, nor were there reports of serious skin reactions occurring in these two trials. The safety of rFXIII in special populations was not investigated in the first round data due to the small number of patients with congenital FXII</w:t>
      </w:r>
      <w:r w:rsidR="00427516">
        <w:t xml:space="preserve">I deficiency in the safety data </w:t>
      </w:r>
      <w:r w:rsidRPr="0007134F">
        <w:t>set.</w:t>
      </w:r>
      <w:r w:rsidR="00CD52B1">
        <w:t xml:space="preserve"> </w:t>
      </w:r>
      <w:r w:rsidRPr="0007134F">
        <w:t xml:space="preserve">Therefore, there were no adequate safety data in first round safety data-set in children aged &lt; 7 years, patients aged &gt; 60 years, pregnant women, patients from </w:t>
      </w:r>
      <w:r w:rsidRPr="0007134F">
        <w:lastRenderedPageBreak/>
        <w:t>different racial groups, patients with hepatic, renal or cardiovascular disease, or patients being treated with rFXIII in co</w:t>
      </w:r>
      <w:r w:rsidR="006646A5">
        <w:t>mbination with other medicines.</w:t>
      </w:r>
    </w:p>
    <w:p w:rsidR="0007134F" w:rsidRPr="0007134F" w:rsidRDefault="00D27309" w:rsidP="0007134F">
      <w:r>
        <w:t>The sponsor’s Section 31 r</w:t>
      </w:r>
      <w:r w:rsidR="0007134F" w:rsidRPr="0007134F">
        <w:t>esponse included a new PK trial in children (n</w:t>
      </w:r>
      <w:r w:rsidR="00427516">
        <w:t xml:space="preserve"> </w:t>
      </w:r>
      <w:r w:rsidR="0007134F" w:rsidRPr="0007134F">
        <w:t>=</w:t>
      </w:r>
      <w:r w:rsidR="00427516">
        <w:t xml:space="preserve"> </w:t>
      </w:r>
      <w:r w:rsidR="0007134F" w:rsidRPr="0007134F">
        <w:t>6) aged 1 to less than 6 years (F13CD-3760). In this trial, a single dose of rFXIII 35 IU/kg was administered and the children were followed</w:t>
      </w:r>
      <w:r w:rsidR="00427516">
        <w:t xml:space="preserve"> </w:t>
      </w:r>
      <w:r w:rsidR="0007134F" w:rsidRPr="0007134F">
        <w:t>up for 30 days after dosing. No deaths, SAEs or AEs resulting in withdrawal from the study were reported during this period. No probably/possibly treatment</w:t>
      </w:r>
      <w:r w:rsidR="00427516">
        <w:t xml:space="preserve"> </w:t>
      </w:r>
      <w:r w:rsidR="0007134F" w:rsidRPr="0007134F">
        <w:t xml:space="preserve">related AEs were reported. No medical events of special interest were reported. Two (2) mild </w:t>
      </w:r>
      <w:r w:rsidR="00427516">
        <w:t>AEs</w:t>
      </w:r>
      <w:r w:rsidR="0007134F" w:rsidRPr="0007134F">
        <w:t xml:space="preserve"> (pyrexia [29 days post</w:t>
      </w:r>
      <w:r w:rsidR="00BF6990">
        <w:t xml:space="preserve"> </w:t>
      </w:r>
      <w:r w:rsidR="0007134F" w:rsidRPr="0007134F">
        <w:t>dose, 2 days duration], and pain in extremity/arm [4 days post</w:t>
      </w:r>
      <w:r w:rsidR="00BF6990">
        <w:t xml:space="preserve"> </w:t>
      </w:r>
      <w:r w:rsidR="0007134F" w:rsidRPr="0007134F">
        <w:t>dose, duration 68 days]) were reported after exposure to rFXIII in 2 separate patients, and both children recovered. No other AEs</w:t>
      </w:r>
      <w:r w:rsidR="00CD52B1">
        <w:t xml:space="preserve"> </w:t>
      </w:r>
      <w:r w:rsidR="0007134F" w:rsidRPr="0007134F">
        <w:t>were reported. There were no treatment</w:t>
      </w:r>
      <w:r w:rsidR="00BF6990">
        <w:t xml:space="preserve"> </w:t>
      </w:r>
      <w:r w:rsidR="0007134F" w:rsidRPr="0007134F">
        <w:t>requiring bleeding episodes. There were no thromboembolic events.</w:t>
      </w:r>
      <w:r w:rsidR="00CD52B1">
        <w:t xml:space="preserve"> </w:t>
      </w:r>
      <w:r w:rsidR="0007134F" w:rsidRPr="0007134F">
        <w:t>There were no reports of anti</w:t>
      </w:r>
      <w:r w:rsidR="00BF6990">
        <w:t xml:space="preserve"> </w:t>
      </w:r>
      <w:r w:rsidR="0007134F" w:rsidRPr="0007134F">
        <w:t>rFXIII antibodies in the 6 patients in pre</w:t>
      </w:r>
      <w:r w:rsidR="00BF6990">
        <w:t xml:space="preserve"> </w:t>
      </w:r>
      <w:r w:rsidR="0007134F" w:rsidRPr="0007134F">
        <w:t>dose or post</w:t>
      </w:r>
      <w:r w:rsidR="00BF6990">
        <w:t xml:space="preserve"> </w:t>
      </w:r>
      <w:r w:rsidR="0007134F" w:rsidRPr="0007134F">
        <w:t>dose samples (Day 30). There were no reports of treatment-requiring bleeds during the 30 days of post</w:t>
      </w:r>
      <w:r w:rsidR="00BF6990">
        <w:t xml:space="preserve"> </w:t>
      </w:r>
      <w:r w:rsidR="0007134F" w:rsidRPr="0007134F">
        <w:t>dose follow</w:t>
      </w:r>
      <w:r w:rsidR="00BF6990">
        <w:t xml:space="preserve"> </w:t>
      </w:r>
      <w:r w:rsidR="006646A5">
        <w:t>up.</w:t>
      </w:r>
    </w:p>
    <w:p w:rsidR="0007134F" w:rsidRPr="0007134F" w:rsidRDefault="0007134F" w:rsidP="0007134F">
      <w:r w:rsidRPr="0007134F">
        <w:t>The sponsor states that the efficacy and safety of rFXIII in children aged 1 to less than 6 years from trial FC13CD-3760 is being monitored in the paediatric extension trial F13CD-3835, and no concerns have arisen from this trial in terms of efficacy and safety. The sponsor stated th</w:t>
      </w:r>
      <w:r w:rsidR="003B70AE">
        <w:t xml:space="preserve">at trial F13CD-3835 has been on </w:t>
      </w:r>
      <w:r w:rsidRPr="0007134F">
        <w:t>going since January 2011, and the total exposure time has reached more than 8 patient years with no treatment</w:t>
      </w:r>
      <w:r w:rsidR="003B70AE">
        <w:t xml:space="preserve"> </w:t>
      </w:r>
      <w:r w:rsidRPr="0007134F">
        <w:t>requiring bleeding episodes reported as of 1 January 2013.</w:t>
      </w:r>
    </w:p>
    <w:p w:rsidR="0007134F" w:rsidRDefault="0007134F" w:rsidP="0007134F">
      <w:pPr>
        <w:pStyle w:val="Heading5"/>
      </w:pPr>
      <w:bookmarkStart w:id="151" w:name="_Toc234564408"/>
      <w:r>
        <w:t>Second round assessment of benefit-risk balance</w:t>
      </w:r>
      <w:bookmarkEnd w:id="151"/>
    </w:p>
    <w:p w:rsidR="0007134F" w:rsidRPr="0007134F" w:rsidRDefault="0007134F" w:rsidP="0007134F">
      <w:r w:rsidRPr="0007134F">
        <w:t xml:space="preserve">After </w:t>
      </w:r>
      <w:r w:rsidR="00D27309">
        <w:t>consideration of the sponsor’s Section 31 r</w:t>
      </w:r>
      <w:r w:rsidRPr="0007134F">
        <w:t>esponse to the clinical questions, the benefit-risk balance of treatment with rFXIII for the proposed usage is considered to be satisfactory. It is likely that treatment with rFXIII will need to be continued indefinitely in patients with congenital FXIII deficiency. The data from the pivotal trial (F13CD-1725) showed that the risk or experiencing a treatment</w:t>
      </w:r>
      <w:r w:rsidR="006D77C1">
        <w:t xml:space="preserve"> </w:t>
      </w:r>
      <w:r w:rsidRPr="0007134F">
        <w:t>requiring bleed was notably greater in patients aged &lt; 18 years compared with patients aged ≥ 18 years, but treatment</w:t>
      </w:r>
      <w:r w:rsidR="006D77C1">
        <w:t xml:space="preserve"> </w:t>
      </w:r>
      <w:r w:rsidRPr="0007134F">
        <w:t>requiring bleeds occurred infrequently in patients receiving rFXIII prophylactic treatment. The interim data from the single</w:t>
      </w:r>
      <w:r w:rsidR="006D77C1">
        <w:t xml:space="preserve"> </w:t>
      </w:r>
      <w:r w:rsidRPr="0007134F">
        <w:t>dose PK trial in children (n</w:t>
      </w:r>
      <w:r w:rsidR="006D77C1">
        <w:t xml:space="preserve"> </w:t>
      </w:r>
      <w:r w:rsidRPr="0007134F">
        <w:t>=</w:t>
      </w:r>
      <w:r w:rsidR="006D77C1">
        <w:t xml:space="preserve"> </w:t>
      </w:r>
      <w:r w:rsidRPr="0007134F">
        <w:t>6) aged 1 to less than 6 years (F13CD-3760) demonstrated no treatment</w:t>
      </w:r>
      <w:r w:rsidR="006D77C1">
        <w:t xml:space="preserve"> </w:t>
      </w:r>
      <w:r w:rsidRPr="0007134F">
        <w:t>requiring bleeds in patients followed up for 30 days after administration of rFXIII and no safety issues different from those observed in patients aged ≥ 6 years. The sponsor states that children from trial F13CD-3760 have now been followed</w:t>
      </w:r>
      <w:r w:rsidR="006D77C1">
        <w:t xml:space="preserve"> </w:t>
      </w:r>
      <w:r w:rsidRPr="0007134F">
        <w:t xml:space="preserve">up in an extension trial for more than 8 </w:t>
      </w:r>
      <w:r w:rsidR="006D77C1">
        <w:t xml:space="preserve">patient years with no treatment </w:t>
      </w:r>
      <w:r w:rsidRPr="0007134F">
        <w:t>requiring bl</w:t>
      </w:r>
      <w:r w:rsidR="006D77C1">
        <w:t>eeding episodes reported as of 1</w:t>
      </w:r>
      <w:r w:rsidRPr="0007134F">
        <w:t xml:space="preserve"> January 2013. However, no data from this extension trial</w:t>
      </w:r>
      <w:r w:rsidR="006646A5">
        <w:t xml:space="preserve"> were submitted for evaluation.</w:t>
      </w:r>
    </w:p>
    <w:p w:rsidR="0007134F" w:rsidRPr="001A04EB" w:rsidRDefault="0007134F" w:rsidP="0007134F">
      <w:pPr>
        <w:pStyle w:val="Heading4"/>
      </w:pPr>
      <w:r>
        <w:t xml:space="preserve">Second round recommendation regarding </w:t>
      </w:r>
      <w:r w:rsidR="00EB6EF4">
        <w:t>authorisation</w:t>
      </w:r>
    </w:p>
    <w:p w:rsidR="00703A14" w:rsidRPr="00703A14" w:rsidRDefault="00703A14" w:rsidP="00703A14">
      <w:r>
        <w:t xml:space="preserve">After evaluation of the clinical data submitted in the sponsor’s </w:t>
      </w:r>
      <w:r w:rsidR="00D27309">
        <w:t>Section 31 r</w:t>
      </w:r>
      <w:r w:rsidRPr="004272ED">
        <w:t>esponse</w:t>
      </w:r>
      <w:r>
        <w:t xml:space="preserve"> it is </w:t>
      </w:r>
      <w:r w:rsidRPr="00703A14">
        <w:t xml:space="preserve">recommended that NovoThirteen be approved for the </w:t>
      </w:r>
      <w:r w:rsidRPr="00703A14">
        <w:rPr>
          <w:b/>
        </w:rPr>
        <w:t>routine prophylaxis of bleeding in patients with congenital Factor XIII A-subunit deficiency.</w:t>
      </w:r>
    </w:p>
    <w:p w:rsidR="00703A14" w:rsidRPr="00703A14" w:rsidRDefault="00703A14" w:rsidP="00703A14">
      <w:r w:rsidRPr="00703A14">
        <w:t>It should be a condition of registration that the f</w:t>
      </w:r>
      <w:r w:rsidR="006D77C1">
        <w:t>inal clinical report for the on</w:t>
      </w:r>
      <w:r w:rsidRPr="00703A14">
        <w:t>going paediatric extension trial (F13CD-3835) should be submitted to the TGA for evaluation as soon as practical after its completion. In addition, it should also be a conditio</w:t>
      </w:r>
      <w:r w:rsidR="006D77C1">
        <w:t xml:space="preserve">n of registration that the long </w:t>
      </w:r>
      <w:r w:rsidRPr="00703A14">
        <w:t xml:space="preserve">term efficacy and safety data from the ongoing extension trial (F13CD-3835) should be submitted to the TGA for evaluation soon as practical after collation </w:t>
      </w:r>
      <w:r w:rsidR="006646A5">
        <w:t>of the data has been completed.</w:t>
      </w:r>
    </w:p>
    <w:p w:rsidR="008E7846" w:rsidRPr="00E41208" w:rsidRDefault="008E7846" w:rsidP="008E7846">
      <w:pPr>
        <w:pStyle w:val="Heading2"/>
      </w:pPr>
      <w:bookmarkStart w:id="152" w:name="_Toc247691524"/>
      <w:bookmarkStart w:id="153" w:name="_Toc314842508"/>
      <w:bookmarkStart w:id="154" w:name="_Toc389414016"/>
      <w:r w:rsidRPr="00E41208">
        <w:lastRenderedPageBreak/>
        <w:t xml:space="preserve">V. Pharmacovigilance </w:t>
      </w:r>
      <w:r>
        <w:t>f</w:t>
      </w:r>
      <w:r w:rsidRPr="00E41208">
        <w:t>indings</w:t>
      </w:r>
      <w:bookmarkEnd w:id="152"/>
      <w:bookmarkEnd w:id="153"/>
      <w:bookmarkEnd w:id="154"/>
    </w:p>
    <w:p w:rsidR="008E7846" w:rsidRDefault="00386150" w:rsidP="008E7846">
      <w:pPr>
        <w:pStyle w:val="Heading3"/>
        <w:rPr>
          <w:lang w:eastAsia="en-AU"/>
        </w:rPr>
      </w:pPr>
      <w:bookmarkStart w:id="155" w:name="_Toc247691526"/>
      <w:bookmarkStart w:id="156" w:name="_Toc314842509"/>
      <w:bookmarkStart w:id="157" w:name="_Toc389414017"/>
      <w:r>
        <w:rPr>
          <w:lang w:eastAsia="en-AU"/>
        </w:rPr>
        <w:t>Risk m</w:t>
      </w:r>
      <w:r w:rsidR="008E7846">
        <w:rPr>
          <w:lang w:eastAsia="en-AU"/>
        </w:rPr>
        <w:t xml:space="preserve">anagement </w:t>
      </w:r>
      <w:r>
        <w:rPr>
          <w:lang w:eastAsia="en-AU"/>
        </w:rPr>
        <w:t>p</w:t>
      </w:r>
      <w:r w:rsidR="008E7846">
        <w:rPr>
          <w:lang w:eastAsia="en-AU"/>
        </w:rPr>
        <w:t>lan</w:t>
      </w:r>
      <w:bookmarkEnd w:id="155"/>
      <w:bookmarkEnd w:id="156"/>
      <w:bookmarkEnd w:id="157"/>
    </w:p>
    <w:p w:rsidR="008E7846" w:rsidRDefault="008E7846" w:rsidP="008E7846">
      <w:pPr>
        <w:rPr>
          <w:lang w:eastAsia="en-AU"/>
        </w:rPr>
      </w:pPr>
      <w:r>
        <w:rPr>
          <w:lang w:eastAsia="en-AU"/>
        </w:rPr>
        <w:t xml:space="preserve">The sponsor submitted a </w:t>
      </w:r>
      <w:r w:rsidR="00E57FEB">
        <w:rPr>
          <w:lang w:eastAsia="en-AU"/>
        </w:rPr>
        <w:t>RMP</w:t>
      </w:r>
      <w:r>
        <w:rPr>
          <w:lang w:eastAsia="en-AU"/>
        </w:rPr>
        <w:t xml:space="preserve"> which was reviewed by the TGA’s Office of Product Review (OPR).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 xml:space="preserve">The sponsor provided a summary of </w:t>
      </w:r>
      <w:r w:rsidR="00002C59">
        <w:rPr>
          <w:lang w:eastAsia="en-AU"/>
        </w:rPr>
        <w:t>o</w:t>
      </w:r>
      <w:r>
        <w:rPr>
          <w:lang w:eastAsia="en-AU"/>
        </w:rPr>
        <w:t xml:space="preserve">ngoing safety </w:t>
      </w:r>
      <w:r w:rsidR="00002C59">
        <w:rPr>
          <w:lang w:eastAsia="en-AU"/>
        </w:rPr>
        <w:t>c</w:t>
      </w:r>
      <w:r>
        <w:rPr>
          <w:lang w:eastAsia="en-AU"/>
        </w:rPr>
        <w:t xml:space="preserve">oncerns which are shown at Table </w:t>
      </w:r>
      <w:r w:rsidR="00DB23E3">
        <w:rPr>
          <w:lang w:eastAsia="en-AU"/>
        </w:rPr>
        <w:t>16</w:t>
      </w:r>
      <w:r>
        <w:rPr>
          <w:lang w:eastAsia="en-AU"/>
        </w:rPr>
        <w:t>.</w:t>
      </w:r>
    </w:p>
    <w:p w:rsidR="00DB23E3" w:rsidRDefault="00DB23E3" w:rsidP="00DB23E3">
      <w:pPr>
        <w:pStyle w:val="TableTitle"/>
      </w:pPr>
      <w:r>
        <w:t>Table 16:</w:t>
      </w:r>
      <w:r w:rsidRPr="004C5C28">
        <w:t xml:space="preserve"> </w:t>
      </w:r>
      <w:r w:rsidR="00AA3206">
        <w:t>Ongoing safety concerns for</w:t>
      </w:r>
      <w:r w:rsidR="0090021C">
        <w:t xml:space="preserve"> NovoT</w:t>
      </w:r>
      <w:r w:rsidR="00AA3206">
        <w:t>hirteen</w:t>
      </w:r>
      <w:r>
        <w:t>.</w:t>
      </w:r>
    </w:p>
    <w:p w:rsidR="003E1667" w:rsidRDefault="00A938FA" w:rsidP="008E7846">
      <w:pPr>
        <w:rPr>
          <w:lang w:eastAsia="en-AU"/>
        </w:rPr>
      </w:pPr>
      <w:r>
        <w:rPr>
          <w:noProof/>
          <w:lang w:eastAsia="en-AU"/>
        </w:rPr>
        <w:drawing>
          <wp:inline distT="0" distB="0" distL="0" distR="0">
            <wp:extent cx="4858385" cy="1985645"/>
            <wp:effectExtent l="0" t="0" r="0" b="0"/>
            <wp:docPr id="21" name="Picture 21" descr="Table 16: Ongoing safety concerns for NovoThir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le 16: Ongoing safety concerns for NovoThirt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8385" cy="1985645"/>
                    </a:xfrm>
                    <a:prstGeom prst="rect">
                      <a:avLst/>
                    </a:prstGeom>
                    <a:noFill/>
                    <a:ln>
                      <a:noFill/>
                    </a:ln>
                  </pic:spPr>
                </pic:pic>
              </a:graphicData>
            </a:graphic>
          </wp:inline>
        </w:drawing>
      </w:r>
    </w:p>
    <w:p w:rsidR="00CC0A5B" w:rsidRPr="00CC0A5B" w:rsidRDefault="00CC0A5B" w:rsidP="00CC0A5B">
      <w:pPr>
        <w:pStyle w:val="Heading5"/>
      </w:pPr>
      <w:r w:rsidRPr="00CC0A5B">
        <w:t>OPR</w:t>
      </w:r>
      <w:r>
        <w:t xml:space="preserve"> reviewer comment</w:t>
      </w:r>
    </w:p>
    <w:p w:rsidR="00CC0A5B" w:rsidRPr="00CC0A5B" w:rsidRDefault="00CC0A5B" w:rsidP="00CC0A5B">
      <w:r w:rsidRPr="00CC0A5B">
        <w:t>Notwithstanding</w:t>
      </w:r>
      <w:r>
        <w:t xml:space="preserve"> the evaluation of the non</w:t>
      </w:r>
      <w:r w:rsidRPr="00CC0A5B">
        <w:t>clinica</w:t>
      </w:r>
      <w:r>
        <w:t>l and clinical aspects of the Safety Specification</w:t>
      </w:r>
      <w:r w:rsidRPr="00CC0A5B">
        <w:t>, it is considered that this list of ongoin</w:t>
      </w:r>
      <w:r w:rsidR="00E90D92">
        <w:t>g safety concerns is acceptable</w:t>
      </w:r>
      <w:r w:rsidRPr="00CC0A5B">
        <w:t xml:space="preserve"> </w:t>
      </w:r>
      <w:r w:rsidRPr="00D82733">
        <w:rPr>
          <w:b/>
        </w:rPr>
        <w:t>except the following point.</w:t>
      </w:r>
    </w:p>
    <w:p w:rsidR="00CC0A5B" w:rsidRPr="00CC0A5B" w:rsidRDefault="00CC0A5B" w:rsidP="00CC0A5B">
      <w:r w:rsidRPr="00D82733">
        <w:rPr>
          <w:b/>
        </w:rPr>
        <w:t xml:space="preserve">The development of antibodies and allergic reactions against yeast antigens are not sufficiently considered </w:t>
      </w:r>
      <w:r w:rsidRPr="00CC0A5B">
        <w:t>(in contrast to the development of antibodies and allergic reactions against the recombinant Factor XIII). Although, allergic reactions to yeast have not been described in clinical trials, lymphoid hyperplasia in the spleen was seen in rats (NN209502) and in monkeys (SBI 1266-175). It was recognised by the sponsor that this could reflect antibody production towards yeast host</w:t>
      </w:r>
      <w:r w:rsidR="00E90D92">
        <w:t xml:space="preserve"> </w:t>
      </w:r>
      <w:r w:rsidRPr="00CC0A5B">
        <w:t>cell</w:t>
      </w:r>
      <w:r w:rsidR="00E90D92">
        <w:t xml:space="preserve"> </w:t>
      </w:r>
      <w:r w:rsidRPr="00CC0A5B">
        <w:t>proteins or product</w:t>
      </w:r>
      <w:r w:rsidR="00E90D92">
        <w:t xml:space="preserve"> </w:t>
      </w:r>
      <w:r w:rsidRPr="00CC0A5B">
        <w:t>related impurities. Of relevance, known hypersensitivity to</w:t>
      </w:r>
      <w:r w:rsidR="00922542">
        <w:t xml:space="preserve"> yeast was an exclusion criterion</w:t>
      </w:r>
      <w:r w:rsidRPr="00CC0A5B">
        <w:t xml:space="preserve"> in Phase I clinical trials. In addition, it appears that no testing against anti</w:t>
      </w:r>
      <w:r w:rsidR="00E90D92">
        <w:t xml:space="preserve"> </w:t>
      </w:r>
      <w:r w:rsidRPr="00CC0A5B">
        <w:t xml:space="preserve">yeast components antibodies has been performed in </w:t>
      </w:r>
      <w:r w:rsidR="00067AB8">
        <w:t>Phase III</w:t>
      </w:r>
      <w:r w:rsidR="009347B9">
        <w:t xml:space="preserve"> trials.</w:t>
      </w:r>
    </w:p>
    <w:p w:rsidR="00CC0A5B" w:rsidRPr="00CC0A5B" w:rsidRDefault="00CC0A5B" w:rsidP="00CC0A5B">
      <w:r w:rsidRPr="00CC0A5B">
        <w:t>As this product may be injected intravenously by patients at home there is the possibility of pain and bleeding at the injection si</w:t>
      </w:r>
      <w:r w:rsidR="005248C0">
        <w:t>t</w:t>
      </w:r>
      <w:r w:rsidRPr="00CC0A5B">
        <w:t xml:space="preserve">e, due to suboptimal injection techniques. </w:t>
      </w:r>
      <w:r w:rsidRPr="00D82733">
        <w:rPr>
          <w:b/>
        </w:rPr>
        <w:t>Pain and bleeding at the injection si</w:t>
      </w:r>
      <w:r w:rsidR="005248C0">
        <w:rPr>
          <w:b/>
        </w:rPr>
        <w:t>t</w:t>
      </w:r>
      <w:r w:rsidRPr="00D82733">
        <w:rPr>
          <w:b/>
        </w:rPr>
        <w:t>e should be considered as a potential risk and therefore an addition to the RMP to address these risks is suggested. This is of particular importance in the light that these patients are bleeding deficient and consequentl</w:t>
      </w:r>
      <w:r w:rsidR="009347B9">
        <w:rPr>
          <w:b/>
        </w:rPr>
        <w:t>y these symptoms may be severe.</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DB757B" w:rsidRPr="00DB757B" w:rsidRDefault="00DB757B" w:rsidP="00DB757B">
      <w:r w:rsidRPr="00DB757B">
        <w:t xml:space="preserve">The proposed pharmacovigilance activities for identified and potential risks are summarised in </w:t>
      </w:r>
      <w:r>
        <w:t>Table 17</w:t>
      </w:r>
      <w:r w:rsidR="000A0EEB">
        <w:t>.</w:t>
      </w:r>
    </w:p>
    <w:p w:rsidR="00DB757B" w:rsidRDefault="00DB757B" w:rsidP="00DB757B">
      <w:pPr>
        <w:pStyle w:val="TableTitle"/>
      </w:pPr>
      <w:r>
        <w:lastRenderedPageBreak/>
        <w:t>Table 1</w:t>
      </w:r>
      <w:r w:rsidR="000A0EEB">
        <w:t>7</w:t>
      </w:r>
      <w:r>
        <w:t>:</w:t>
      </w:r>
      <w:r w:rsidR="000A0EEB">
        <w:t xml:space="preserve"> Safety concern and planned pharmacovigilance actions</w:t>
      </w:r>
      <w:r>
        <w:t xml:space="preserve"> for NovoThirteen.</w:t>
      </w:r>
    </w:p>
    <w:p w:rsidR="00AA5686" w:rsidRDefault="00A938FA" w:rsidP="00DB757B">
      <w:r>
        <w:rPr>
          <w:noProof/>
          <w:lang w:eastAsia="en-AU"/>
        </w:rPr>
        <w:drawing>
          <wp:inline distT="0" distB="0" distL="0" distR="0">
            <wp:extent cx="4863465" cy="2917190"/>
            <wp:effectExtent l="0" t="0" r="0" b="0"/>
            <wp:docPr id="22" name="Picture 22" descr="Table 17: Safety concern and planned pharmacovigilance actions for NovoThir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le 17: Safety concern and planned pharmacovigilance actions for NovoThirte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63465" cy="2917190"/>
                    </a:xfrm>
                    <a:prstGeom prst="rect">
                      <a:avLst/>
                    </a:prstGeom>
                    <a:noFill/>
                    <a:ln>
                      <a:noFill/>
                    </a:ln>
                  </pic:spPr>
                </pic:pic>
              </a:graphicData>
            </a:graphic>
          </wp:inline>
        </w:drawing>
      </w:r>
      <w:r>
        <w:rPr>
          <w:noProof/>
          <w:lang w:eastAsia="en-AU"/>
        </w:rPr>
        <w:drawing>
          <wp:inline distT="0" distB="0" distL="0" distR="0">
            <wp:extent cx="4869180" cy="3248025"/>
            <wp:effectExtent l="0" t="0" r="7620" b="9525"/>
            <wp:docPr id="23" name="Picture 23" descr="Table 17: Safety concern and planned pharmacovigilance actions for NovoThir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e 17: Safety concern and planned pharmacovigilance actions for NovoThirte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9180" cy="3248025"/>
                    </a:xfrm>
                    <a:prstGeom prst="rect">
                      <a:avLst/>
                    </a:prstGeom>
                    <a:noFill/>
                    <a:ln>
                      <a:noFill/>
                    </a:ln>
                  </pic:spPr>
                </pic:pic>
              </a:graphicData>
            </a:graphic>
          </wp:inline>
        </w:drawing>
      </w:r>
      <w:r>
        <w:rPr>
          <w:noProof/>
          <w:lang w:eastAsia="en-AU"/>
        </w:rPr>
        <w:drawing>
          <wp:inline distT="0" distB="0" distL="0" distR="0">
            <wp:extent cx="4880610" cy="1946910"/>
            <wp:effectExtent l="0" t="0" r="0" b="0"/>
            <wp:docPr id="24" name="Picture 24" descr="Table 17: Safety concern and planned pharmacovigilance actions for NovoThir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ble 17: Safety concern and planned pharmacovigilance actions for NovoThirte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80610" cy="1946910"/>
                    </a:xfrm>
                    <a:prstGeom prst="rect">
                      <a:avLst/>
                    </a:prstGeom>
                    <a:noFill/>
                    <a:ln>
                      <a:noFill/>
                    </a:ln>
                  </pic:spPr>
                </pic:pic>
              </a:graphicData>
            </a:graphic>
          </wp:inline>
        </w:drawing>
      </w:r>
      <w:r>
        <w:rPr>
          <w:noProof/>
          <w:lang w:eastAsia="en-AU"/>
        </w:rPr>
        <w:drawing>
          <wp:inline distT="0" distB="0" distL="0" distR="0">
            <wp:extent cx="4947920" cy="286385"/>
            <wp:effectExtent l="0" t="0" r="5080" b="0"/>
            <wp:docPr id="25" name="Picture 2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47920" cy="286385"/>
                    </a:xfrm>
                    <a:prstGeom prst="rect">
                      <a:avLst/>
                    </a:prstGeom>
                    <a:noFill/>
                    <a:ln>
                      <a:noFill/>
                    </a:ln>
                  </pic:spPr>
                </pic:pic>
              </a:graphicData>
            </a:graphic>
          </wp:inline>
        </w:drawing>
      </w:r>
    </w:p>
    <w:p w:rsidR="00885609" w:rsidRDefault="00AA5686" w:rsidP="00885609">
      <w:pPr>
        <w:pStyle w:val="Heading5"/>
      </w:pPr>
      <w:r w:rsidRPr="00AA5686">
        <w:lastRenderedPageBreak/>
        <w:t>Details about PASS NN1841-3868</w:t>
      </w:r>
    </w:p>
    <w:p w:rsidR="00AA5686" w:rsidRPr="00AA5686" w:rsidRDefault="00AA5686" w:rsidP="00AA5686">
      <w:r w:rsidRPr="00AA5686">
        <w:t>This is a prospective, observational, single</w:t>
      </w:r>
      <w:r w:rsidR="00FC7FEF">
        <w:t xml:space="preserve"> </w:t>
      </w:r>
      <w:r w:rsidRPr="00AA5686">
        <w:t>arm, multicentre, multinational study of safety related to treatment with rFXIII. This study intends to observe the real world use of rFXIII (including drug utilisation) in order to better understand its effectiveness and safety profile. The primary focus of this study is to expand the known safety profile of rFXIII. The secondary objectives include further exploration of the overall safety and effectiveness of rFXIII under conditions of routine clinical care in patients with congenital FXIII deficiency, in</w:t>
      </w:r>
      <w:r w:rsidR="00847DB6">
        <w:t>cluding special population (that is</w:t>
      </w:r>
      <w:r w:rsidRPr="00AA5686">
        <w:t>, children, elderly, pregnant and lactating women, and patients with renal insufficiency). In addition, the assessment of the use of rFXIII in patients with congenital FXIII A</w:t>
      </w:r>
      <w:r w:rsidR="00847DB6">
        <w:t xml:space="preserve"> </w:t>
      </w:r>
      <w:r w:rsidRPr="00AA5686">
        <w:t>subunit deficiency other than for prophylactic use will be included. This study will allow the inclusion of all patients treated with rFXIII and will be available in all countries and all sites where rFXIII is prescribed. Active f</w:t>
      </w:r>
      <w:r w:rsidR="00C6232A">
        <w:t xml:space="preserve">ollow </w:t>
      </w:r>
      <w:r w:rsidRPr="00AA5686">
        <w:t>up with sites will be conducted to ensure and maximise patient enrolment and retention in the study and to ensure that safety data are being collected and reported. A physician information brochure will be utilised to create awareness of PASS NN1841-3868, the importance of the reporting of safety outcomes and to maximise enrolment of patients in the study. In future updates of the RMP, information on the status of ethical/regulatory submissions, the enrolment and the contractual collaborations with other existing registries will be included. Interim analysis is expected in 2015.</w:t>
      </w:r>
    </w:p>
    <w:p w:rsidR="00AA5686" w:rsidRPr="00AA5686" w:rsidRDefault="00AA5686" w:rsidP="00AA5686">
      <w:r w:rsidRPr="00AA5686">
        <w:t>It is not proposed by the sponsor to include Australian patients in the PASS. This is based on the small number of patients currently diagnosed and treated in Australia (out of 17 diagnosed cases 7 require ongoing treatment), which would not be expected to add significantly to the study when compared with the size of the patient pool in Europe (213 diagnosed cases).</w:t>
      </w:r>
    </w:p>
    <w:p w:rsidR="00885609" w:rsidRDefault="00AA5686" w:rsidP="00885609">
      <w:pPr>
        <w:pStyle w:val="Heading5"/>
      </w:pPr>
      <w:r w:rsidRPr="00AA5686">
        <w:t xml:space="preserve">Details about </w:t>
      </w:r>
      <w:r w:rsidR="00885609">
        <w:t>PRO-RBDD registry</w:t>
      </w:r>
    </w:p>
    <w:p w:rsidR="00AA5686" w:rsidRPr="00AA5686" w:rsidRDefault="00AA5686" w:rsidP="00AA5686">
      <w:r w:rsidRPr="00AA5686">
        <w:t>To ensure access to all patients treated with rFXIII, a contractual collaboration has been established with the currently global Prospective Rare Bleeding Disorder Database (PRO-RBDD) registry. This is a disease registry and is open to include patients with congenital FXIII deficiency regardless of treatment. This longitudinal cohort study is not directed by a protocol but pursuing the following objectives:</w:t>
      </w:r>
    </w:p>
    <w:p w:rsidR="00AA5686" w:rsidRPr="00AA5686" w:rsidRDefault="00AA5686" w:rsidP="005C2ACB">
      <w:pPr>
        <w:pStyle w:val="ListBullet"/>
      </w:pPr>
      <w:r w:rsidRPr="00AA5686">
        <w:t>the actual incidence and prevalence at birth of FXIII deficiency</w:t>
      </w:r>
      <w:r w:rsidR="00C6232A">
        <w:t>;</w:t>
      </w:r>
    </w:p>
    <w:p w:rsidR="00AA5686" w:rsidRPr="00AA5686" w:rsidRDefault="00AA5686" w:rsidP="005C2ACB">
      <w:pPr>
        <w:pStyle w:val="ListBullet"/>
      </w:pPr>
      <w:r w:rsidRPr="00AA5686">
        <w:t>the incidence of bleeding episodes per year, including minor and major bleedings</w:t>
      </w:r>
      <w:r w:rsidR="00C6232A">
        <w:t>;</w:t>
      </w:r>
    </w:p>
    <w:p w:rsidR="00AA5686" w:rsidRPr="00AA5686" w:rsidRDefault="00AA5686" w:rsidP="005C2ACB">
      <w:pPr>
        <w:pStyle w:val="ListBullet"/>
      </w:pPr>
      <w:r w:rsidRPr="00AA5686">
        <w:t>correlation between genotype, laboratory phenotype and clinical severity to determine the minimum amount of clotting factor concentrate to prevent bleeding and to set up the optimal prophylaxis scheme</w:t>
      </w:r>
      <w:r w:rsidR="00C6232A">
        <w:t>;</w:t>
      </w:r>
    </w:p>
    <w:p w:rsidR="00AA5686" w:rsidRPr="00AA5686" w:rsidRDefault="00AA5686" w:rsidP="005C2ACB">
      <w:pPr>
        <w:pStyle w:val="ListBullet"/>
      </w:pPr>
      <w:r w:rsidRPr="00AA5686">
        <w:t>information on effect and side</w:t>
      </w:r>
      <w:r w:rsidR="00C6232A">
        <w:t xml:space="preserve"> </w:t>
      </w:r>
      <w:r w:rsidRPr="00AA5686">
        <w:t>effect of each treatment product</w:t>
      </w:r>
      <w:r w:rsidR="00C6232A">
        <w:t>;</w:t>
      </w:r>
    </w:p>
    <w:p w:rsidR="00AA5686" w:rsidRPr="00AA5686" w:rsidRDefault="00AA5686" w:rsidP="005C2ACB">
      <w:pPr>
        <w:pStyle w:val="ListBullet"/>
      </w:pPr>
      <w:r w:rsidRPr="00AA5686">
        <w:t>annual consumption of treatment products in each group of patients</w:t>
      </w:r>
      <w:r w:rsidR="00C6232A">
        <w:t>;</w:t>
      </w:r>
    </w:p>
    <w:p w:rsidR="00AA5686" w:rsidRPr="00AA5686" w:rsidRDefault="00AA5686" w:rsidP="005C2ACB">
      <w:pPr>
        <w:pStyle w:val="ListBullet"/>
      </w:pPr>
      <w:r w:rsidRPr="00AA5686">
        <w:t>an evaluation of laboratory performance in FXIII assessment</w:t>
      </w:r>
      <w:r w:rsidR="00C6232A">
        <w:t>; and</w:t>
      </w:r>
    </w:p>
    <w:p w:rsidR="00AA5686" w:rsidRPr="00AA5686" w:rsidRDefault="00AA5686" w:rsidP="005C2ACB">
      <w:pPr>
        <w:pStyle w:val="ListBullet"/>
      </w:pPr>
      <w:r w:rsidRPr="00AA5686">
        <w:t>harmonisation of FXIII assays (antigen/activity levels).</w:t>
      </w:r>
    </w:p>
    <w:p w:rsidR="00AA5686" w:rsidRPr="00AA5686" w:rsidRDefault="00AA5686" w:rsidP="00AA5686">
      <w:r w:rsidRPr="00AA5686">
        <w:t>The data elements collected in this registry include detailed information on type, dose, intensity and duration of treatments administered. The data for treatment of prevention of bleeding episodes, the effects and side effects of treatments and any exposure during pregnancy together with the outcome of the pregnancy and management of surgery will be collected. This is an investigator initiated study and supervised by Steering Committee, consisting of internationally recognised scientists and physicians in this therapeutic area. A physician information brochure will be utilised to create awareness of this registry, the importance of the reporting of safety outcomes and to maximise enrolment of patients in the registry.</w:t>
      </w:r>
    </w:p>
    <w:p w:rsidR="00AA5686" w:rsidRPr="00AA5686" w:rsidRDefault="00AA5686" w:rsidP="00AA5686">
      <w:r w:rsidRPr="00AA5686">
        <w:lastRenderedPageBreak/>
        <w:t>Any safety related information related to N</w:t>
      </w:r>
      <w:r w:rsidR="000F257E">
        <w:t>ovoThirteen</w:t>
      </w:r>
      <w:r w:rsidRPr="00AA5686">
        <w:t xml:space="preserve"> use in Australia will be collected by the sponsor via the post marketing pharmacovigilance program. Safety information collected outside Australia through the post marketing pharmacovigilance program, the PASS study or the PRO-RBDD will be included in updates in the PSUR a</w:t>
      </w:r>
      <w:r w:rsidR="008A2E13">
        <w:t>nd reported to TGA as required.</w:t>
      </w:r>
    </w:p>
    <w:p w:rsidR="00AA5686" w:rsidRPr="005C2ACB" w:rsidRDefault="00AA5686" w:rsidP="00AA5686">
      <w:pPr>
        <w:rPr>
          <w:b/>
        </w:rPr>
      </w:pPr>
      <w:r w:rsidRPr="00AA5686">
        <w:t xml:space="preserve">It is unclear whether Australian patients will be enrolled in the PRO-RBDD registry. Australian patients are not specifically excluded from this registry as per ASA but the PRO-RBDD is not mentioned in the Australian Specific Summary of the RMP (please refer to Part B). </w:t>
      </w:r>
      <w:r w:rsidRPr="005C2ACB">
        <w:rPr>
          <w:b/>
        </w:rPr>
        <w:t>It is recommended that the sponsor clarifies if Australian patients will be included in the PRO-RBDD registry.</w:t>
      </w:r>
    </w:p>
    <w:p w:rsidR="00AA5686" w:rsidRPr="005C2ACB" w:rsidRDefault="00AA5686" w:rsidP="00AA5686">
      <w:pPr>
        <w:rPr>
          <w:b/>
        </w:rPr>
      </w:pPr>
      <w:r w:rsidRPr="005C2ACB">
        <w:rPr>
          <w:b/>
        </w:rPr>
        <w:t>It is recommended that the sponsor submits study reports resulting from the PASS, the PRO-RBDD, completed and ongoing clinical trials to the TGA at the same time as reports are submitted to other regulatory agencies.</w:t>
      </w:r>
    </w:p>
    <w:p w:rsidR="005C2ACB" w:rsidRPr="005C2ACB" w:rsidRDefault="005C2ACB" w:rsidP="005C2ACB">
      <w:pPr>
        <w:pStyle w:val="Heading5"/>
      </w:pPr>
      <w:bookmarkStart w:id="158" w:name="_Toc336331575"/>
      <w:bookmarkStart w:id="159" w:name="_Toc352144631"/>
      <w:r w:rsidRPr="005C2ACB">
        <w:t>OPR reviewer’s comments in regard to the pharmacovigilance plan (PP) and the appropriateness of milestones</w:t>
      </w:r>
      <w:bookmarkEnd w:id="158"/>
      <w:bookmarkEnd w:id="159"/>
    </w:p>
    <w:p w:rsidR="00C5340C" w:rsidRDefault="005C2ACB" w:rsidP="005C2ACB">
      <w:r w:rsidRPr="005C2ACB">
        <w:t>Identified and potential risks are covered by routine and additional pharmacovigilance activities. Additional activities include special follow up forms to capture details of events related to:</w:t>
      </w:r>
    </w:p>
    <w:p w:rsidR="00C5340C" w:rsidRDefault="005C2ACB" w:rsidP="00C5340C">
      <w:pPr>
        <w:pStyle w:val="ListBullet"/>
      </w:pPr>
      <w:r w:rsidRPr="005C2ACB">
        <w:t>Immun</w:t>
      </w:r>
      <w:r w:rsidR="005530A8">
        <w:t>ogenicity and lack of efficacy;</w:t>
      </w:r>
    </w:p>
    <w:p w:rsidR="00C5340C" w:rsidRDefault="005530A8" w:rsidP="00C5340C">
      <w:pPr>
        <w:pStyle w:val="ListBullet"/>
      </w:pPr>
      <w:r>
        <w:t>Embolic and thrombotic events; and</w:t>
      </w:r>
    </w:p>
    <w:p w:rsidR="00C5340C" w:rsidRDefault="005C2ACB" w:rsidP="00C5340C">
      <w:pPr>
        <w:pStyle w:val="ListBullet"/>
      </w:pPr>
      <w:r w:rsidRPr="005C2ACB">
        <w:t>Allergic reactions or anaphylactic reactions.</w:t>
      </w:r>
    </w:p>
    <w:p w:rsidR="005C2ACB" w:rsidRDefault="00F63F9C" w:rsidP="005C2ACB">
      <w:r w:rsidRPr="005C2ACB">
        <w:t>Moreover, antibody testing</w:t>
      </w:r>
      <w:r>
        <w:t xml:space="preserve"> for patients</w:t>
      </w:r>
      <w:r w:rsidRPr="005C2ACB">
        <w:t xml:space="preserve"> is offered to treating physicians free of charge </w:t>
      </w:r>
      <w:r>
        <w:t xml:space="preserve">when </w:t>
      </w:r>
      <w:r w:rsidRPr="005C2ACB">
        <w:t xml:space="preserve">immunogenic reactions are suspected. All events related to the above mentioned risks will be reported in the PSURs for this product. Reports of antibodies to rFXIII and reports of allergic reactions will be reported on an expedited basis regardless of source of report, country of report and seriousness and expectedness. </w:t>
      </w:r>
      <w:r w:rsidRPr="005C2ACB">
        <w:rPr>
          <w:b/>
        </w:rPr>
        <w:t>It is recommended that the sponsor offers antibody testing against anti</w:t>
      </w:r>
      <w:r>
        <w:rPr>
          <w:b/>
        </w:rPr>
        <w:t xml:space="preserve"> </w:t>
      </w:r>
      <w:r w:rsidRPr="005C2ACB">
        <w:rPr>
          <w:b/>
        </w:rPr>
        <w:t>yeast antibodies</w:t>
      </w:r>
      <w:r>
        <w:rPr>
          <w:b/>
        </w:rPr>
        <w:t xml:space="preserve"> on receipt of</w:t>
      </w:r>
      <w:r w:rsidRPr="005C2ACB">
        <w:rPr>
          <w:b/>
        </w:rPr>
        <w:t xml:space="preserve"> follow up forms</w:t>
      </w:r>
      <w:r>
        <w:rPr>
          <w:b/>
        </w:rPr>
        <w:t xml:space="preserve"> that notify</w:t>
      </w:r>
      <w:r w:rsidRPr="005C2ACB">
        <w:rPr>
          <w:b/>
        </w:rPr>
        <w:t xml:space="preserve"> allergic/anaphylactic reactions</w:t>
      </w:r>
      <w:r>
        <w:rPr>
          <w:b/>
        </w:rPr>
        <w:t xml:space="preserve"> in patients</w:t>
      </w:r>
      <w:r w:rsidRPr="005C2ACB">
        <w:rPr>
          <w:b/>
        </w:rPr>
        <w:t xml:space="preserve"> and commits to report the results</w:t>
      </w:r>
      <w:r>
        <w:rPr>
          <w:b/>
        </w:rPr>
        <w:t xml:space="preserve"> of these tests</w:t>
      </w:r>
      <w:r w:rsidRPr="005C2ACB">
        <w:rPr>
          <w:b/>
        </w:rPr>
        <w:t xml:space="preserve"> on the same expedited basis as development of antibodies against rFXIII. </w:t>
      </w:r>
      <w:r w:rsidRPr="005C2ACB">
        <w:t>The expedited reporting of development of non</w:t>
      </w:r>
      <w:r>
        <w:t xml:space="preserve"> </w:t>
      </w:r>
      <w:r w:rsidRPr="005C2ACB">
        <w:t>neutralising antibodies against rFXIII appears to be particularly relevant for paediatric patients &lt;18 years, because the development of non</w:t>
      </w:r>
      <w:r>
        <w:t xml:space="preserve"> </w:t>
      </w:r>
      <w:r w:rsidRPr="005C2ACB">
        <w:t>neutralising antibodies occurs more frequently in paediatric than in adul</w:t>
      </w:r>
      <w:r>
        <w:t>t patients. The sponsor states</w:t>
      </w:r>
      <w:r w:rsidR="005C2ACB">
        <w:t>:</w:t>
      </w:r>
    </w:p>
    <w:p w:rsidR="005C2ACB" w:rsidRPr="005C2ACB" w:rsidRDefault="005C2ACB" w:rsidP="005C2ACB">
      <w:pPr>
        <w:ind w:left="720"/>
        <w:rPr>
          <w:i/>
        </w:rPr>
      </w:pPr>
      <w:r w:rsidRPr="005C2ACB">
        <w:rPr>
          <w:i/>
        </w:rPr>
        <w:t>In clinical studies, adverse reactions were more frequently reported in patients from 6 to less than 18 years of age than in adults. 4 patients (25%) under 18 years experienced serious adverse reactions in comparison to 3 patients over 18 years (8.5%) who experienced serious adverse reactions. Four cases of non</w:t>
      </w:r>
      <w:r w:rsidR="004878F2">
        <w:rPr>
          <w:i/>
        </w:rPr>
        <w:t xml:space="preserve"> </w:t>
      </w:r>
      <w:r w:rsidRPr="005C2ACB">
        <w:rPr>
          <w:i/>
        </w:rPr>
        <w:t>neutralising antibodies were reported at the start of the treatment in patients under 18 years of age. 3 of these patients discontinued the study due to the adverse reaction.</w:t>
      </w:r>
    </w:p>
    <w:p w:rsidR="005C2ACB" w:rsidRPr="005C2ACB" w:rsidRDefault="005C2ACB" w:rsidP="005C2ACB">
      <w:r w:rsidRPr="005C2ACB">
        <w:t>Safety and efficacy for off-label use in the indication of break through bleeding will be monitored through an amendment to trial F13CD-3720 and in the PASS. Of note, the PASS and clinical trial F13CD-3720 will not be conducted in Australia. Data for the trial and the PASS will be available in 2015. Given that important safety related issues will be reported in the yearly PSURs and as per local regulatory requirements the time plan for reporting is acceptable.</w:t>
      </w:r>
    </w:p>
    <w:p w:rsidR="005C2ACB" w:rsidRDefault="005C2ACB" w:rsidP="005C2ACB">
      <w:r w:rsidRPr="005C2ACB">
        <w:t xml:space="preserve">The safety of use of this product in children aged 1 to 6 years has been evaluated in the clinical trial (F13CD-3760) which was completed in January 2012. </w:t>
      </w:r>
      <w:r>
        <w:t>The sponsor states:</w:t>
      </w:r>
    </w:p>
    <w:p w:rsidR="005C2ACB" w:rsidRPr="005C2ACB" w:rsidRDefault="005C2ACB" w:rsidP="005C2ACB">
      <w:pPr>
        <w:ind w:left="720"/>
        <w:rPr>
          <w:i/>
        </w:rPr>
      </w:pPr>
      <w:r w:rsidRPr="005C2ACB">
        <w:rPr>
          <w:i/>
        </w:rPr>
        <w:lastRenderedPageBreak/>
        <w:t>This study has been completed, and the Clinical Trial Report is being finalised. The other supporting documents are now in preparation and are targeted to be filed in the EU in the first half of 2013.</w:t>
      </w:r>
    </w:p>
    <w:p w:rsidR="00CC7A86" w:rsidRDefault="005C2ACB" w:rsidP="005C2ACB">
      <w:r w:rsidRPr="005C2ACB">
        <w:t xml:space="preserve">This study included a </w:t>
      </w:r>
      <w:r w:rsidR="0029289B">
        <w:t>PK</w:t>
      </w:r>
      <w:r w:rsidRPr="005C2ACB">
        <w:t xml:space="preserve"> element in children aged 1 to 6 years. A safety extension of this trial is ongoing (F13CD-3835). Data collected in these trials has not been presented in this RMP. The safety of use of the product and risk management activities for children &lt;6 years will have to be analysed once this data becomes available. It is noted that the indication in Australia differs from the indication in Europe where treatment is indicated for patients 6 years and above. Currently there is only limited data available to support the safety and efficacy of this p</w:t>
      </w:r>
      <w:r w:rsidR="00CC7A86">
        <w:t>roduct in patients &lt;6 years.</w:t>
      </w:r>
    </w:p>
    <w:p w:rsidR="005C2ACB" w:rsidRPr="005C2ACB" w:rsidRDefault="005C2ACB" w:rsidP="005C2ACB">
      <w:pPr>
        <w:rPr>
          <w:b/>
        </w:rPr>
      </w:pPr>
      <w:r w:rsidRPr="005C2ACB">
        <w:rPr>
          <w:b/>
        </w:rPr>
        <w:t xml:space="preserve">The </w:t>
      </w:r>
      <w:r>
        <w:rPr>
          <w:b/>
        </w:rPr>
        <w:t>D</w:t>
      </w:r>
      <w:r w:rsidRPr="005C2ACB">
        <w:rPr>
          <w:b/>
        </w:rPr>
        <w:t>elegate may wish to restrict the indication in Australia to patients ≥6 years until safety and efficacy for patients &lt;6 years has been established.</w:t>
      </w:r>
    </w:p>
    <w:p w:rsidR="00CC7A86" w:rsidRDefault="005C2ACB" w:rsidP="005C2ACB">
      <w:r w:rsidRPr="005C2ACB">
        <w:t xml:space="preserve">The PASS includes data capture forms for special treatment groups, incl. pregnant and lactating women, children &lt;6 years, the elderly and patients with renal insufficiency and will allow for data capturing on patient exposure and safety in these special patient groups. The first interim analysis is planned for 2015 and important safety related issues will be reported in the yearly PSURs and as per local regulatory requirements. The safety of use of the product in these patient populations has not been established previously. Given that important safety related issues will be reported in the yearly PSURs and as per local regulatory requirements the time plan for </w:t>
      </w:r>
      <w:r w:rsidR="00CC7A86">
        <w:t>reporting is acceptable.</w:t>
      </w:r>
    </w:p>
    <w:p w:rsidR="00CC7A86" w:rsidRDefault="00CC7A86" w:rsidP="005C2ACB">
      <w:pPr>
        <w:rPr>
          <w:b/>
        </w:rPr>
      </w:pPr>
      <w:r w:rsidRPr="00CC7A86">
        <w:rPr>
          <w:b/>
        </w:rPr>
        <w:t xml:space="preserve">Special safety measures for children &lt;6 years may need to be introduced if safety concerns in children are raised after data from clinical trials (F13CD-3760 and F13CD-3835) become </w:t>
      </w:r>
      <w:r w:rsidR="008A2E13">
        <w:rPr>
          <w:b/>
        </w:rPr>
        <w:t>available.</w:t>
      </w:r>
    </w:p>
    <w:p w:rsidR="005C2ACB" w:rsidRPr="00CC03D8" w:rsidRDefault="005C2ACB" w:rsidP="005C2ACB">
      <w:pPr>
        <w:rPr>
          <w:b/>
        </w:rPr>
      </w:pPr>
      <w:r w:rsidRPr="00CC03D8">
        <w:rPr>
          <w:b/>
        </w:rPr>
        <w:t>The sponsor should clarify how special patient populations incl. pregnant and lactating women, children &lt;6 years, the elderly and patients with renal insufficiency will be monitored in Australia given that the PASS and clinical trial F13CD-3720 are not conducted in Australia.</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3B7635" w:rsidRPr="003B7635" w:rsidRDefault="003B7635" w:rsidP="003B7635">
      <w:bookmarkStart w:id="160" w:name="_Toc247691527"/>
      <w:r w:rsidRPr="003B7635">
        <w:t>The sponsor bases the development of risk minimisation activities on the background that the patient population is extremely small (683 patients worldwide</w:t>
      </w:r>
      <w:r w:rsidR="000B508F">
        <w:rPr>
          <w:rStyle w:val="FootnoteReference"/>
        </w:rPr>
        <w:footnoteReference w:id="24"/>
      </w:r>
      <w:r w:rsidRPr="003B7635">
        <w:t>) and that diagnosis and treatment of the condition is performed in specialised haemophilia treatment centres in the EU, US as well as in Australia. Therefore, the majority of patients are embedded in the network of the specialised treatment centres and are regularly closely monitored by specia</w:t>
      </w:r>
      <w:r w:rsidR="008A2E13">
        <w:t>lised physicians.</w:t>
      </w:r>
    </w:p>
    <w:p w:rsidR="003B7635" w:rsidRPr="003B7635" w:rsidRDefault="003B7635" w:rsidP="003B7635">
      <w:r w:rsidRPr="003B7635">
        <w:t xml:space="preserve">Routine and additional risk minimisation activities are proposed by the sponsor to address the </w:t>
      </w:r>
      <w:r w:rsidR="008A2E13">
        <w:t>identified and potential risks.</w:t>
      </w:r>
    </w:p>
    <w:p w:rsidR="003B7635" w:rsidRPr="003B7635" w:rsidRDefault="003B7635" w:rsidP="003B7635">
      <w:r w:rsidRPr="003B7635">
        <w:t>Additional risk minimisation activities include the preparation of a Physician Brochure and a Patient Brochure. These educational materials aim at educating the treating physicians and their patients about important points regarding the correct indication, preparation, storage and administration of the product and statements indicating that safety is not established in off-label use and for special patient populations.</w:t>
      </w:r>
    </w:p>
    <w:p w:rsidR="003B7635" w:rsidRPr="003B7635" w:rsidRDefault="003B7635" w:rsidP="00480DF4">
      <w:pPr>
        <w:pStyle w:val="Heading5"/>
      </w:pPr>
      <w:r w:rsidRPr="003B7635">
        <w:t>OPR</w:t>
      </w:r>
      <w:r w:rsidR="00480DF4">
        <w:t xml:space="preserve"> reviewer comment</w:t>
      </w:r>
    </w:p>
    <w:p w:rsidR="003B7635" w:rsidRPr="003B7635" w:rsidRDefault="003B7635" w:rsidP="003B7635">
      <w:r w:rsidRPr="003B7635">
        <w:t xml:space="preserve">There is identified potential for off-label use for breakthrough bleeding. In addition, there is identified potential for use </w:t>
      </w:r>
      <w:r w:rsidR="008D6AFD">
        <w:t>in children &lt;6 years. The PI/</w:t>
      </w:r>
      <w:r w:rsidR="008D6AFD" w:rsidRPr="00C96F10">
        <w:t xml:space="preserve">Consumer Medicine Information </w:t>
      </w:r>
      <w:r w:rsidR="008D6AFD">
        <w:t>(CMI)</w:t>
      </w:r>
      <w:r w:rsidRPr="003B7635">
        <w:t xml:space="preserve">/Physician &amp; Patients Brochure states that the safety for breakthrough bleeding and </w:t>
      </w:r>
      <w:r w:rsidRPr="003B7635">
        <w:lastRenderedPageBreak/>
        <w:t>for children &lt;6 years has not yet been established (these indications will also be</w:t>
      </w:r>
      <w:r w:rsidR="00480DF4">
        <w:t xml:space="preserve"> monitored in the proposed PASS</w:t>
      </w:r>
      <w:r w:rsidR="008A2E13">
        <w:t>).</w:t>
      </w:r>
    </w:p>
    <w:p w:rsidR="00C822D5" w:rsidRDefault="003B7635" w:rsidP="003B7635">
      <w:pPr>
        <w:rPr>
          <w:b/>
        </w:rPr>
      </w:pPr>
      <w:r w:rsidRPr="003B7635">
        <w:t>In summary, educational materials provided in the EU RMP, incl</w:t>
      </w:r>
      <w:r w:rsidR="00C72CC2">
        <w:t>uding</w:t>
      </w:r>
      <w:r w:rsidRPr="003B7635">
        <w:t xml:space="preserve"> CMI, PI, </w:t>
      </w:r>
      <w:r w:rsidR="00615F2D" w:rsidRPr="003B7635">
        <w:t>Physician &amp; Patients Brochure</w:t>
      </w:r>
      <w:r w:rsidRPr="003B7635">
        <w:t xml:space="preserve"> provide sufficient details to minimise risks associated with the use of this product, </w:t>
      </w:r>
      <w:r w:rsidR="00D50006">
        <w:rPr>
          <w:b/>
        </w:rPr>
        <w:t>except for</w:t>
      </w:r>
      <w:r w:rsidRPr="00480DF4">
        <w:rPr>
          <w:b/>
        </w:rPr>
        <w:t xml:space="preserve"> three poi</w:t>
      </w:r>
      <w:r w:rsidR="008A2E13">
        <w:rPr>
          <w:b/>
        </w:rPr>
        <w:t>nts:</w:t>
      </w:r>
    </w:p>
    <w:p w:rsidR="00C822D5" w:rsidRDefault="00C822D5" w:rsidP="00C822D5">
      <w:pPr>
        <w:pStyle w:val="ListBullet"/>
      </w:pPr>
      <w:r w:rsidRPr="00C822D5">
        <w:t>The risk of allergic reactions for patie</w:t>
      </w:r>
      <w:r w:rsidR="0072430B">
        <w:t>nts with yeast hypersensitivity;</w:t>
      </w:r>
    </w:p>
    <w:p w:rsidR="00C822D5" w:rsidRDefault="0072430B" w:rsidP="00C822D5">
      <w:pPr>
        <w:pStyle w:val="ListBullet"/>
      </w:pPr>
      <w:r>
        <w:t>D</w:t>
      </w:r>
      <w:r w:rsidR="00C822D5" w:rsidRPr="00C822D5">
        <w:t>ose adjustments based on low FXIII activity levels should only be made under close patient monitoring if unsatisfactory therapeutic effect is due to development</w:t>
      </w:r>
      <w:r>
        <w:t xml:space="preserve"> of antibodies; and</w:t>
      </w:r>
    </w:p>
    <w:p w:rsidR="00C822D5" w:rsidRDefault="00C822D5" w:rsidP="00C822D5">
      <w:pPr>
        <w:pStyle w:val="ListBullet"/>
      </w:pPr>
      <w:r w:rsidRPr="00C822D5">
        <w:t>Because this product may be stored and used by patients at home</w:t>
      </w:r>
      <w:r w:rsidR="0072430B">
        <w:t>,</w:t>
      </w:r>
      <w:r w:rsidRPr="00C822D5">
        <w:t xml:space="preserve"> it is important that storage, preparation and administration of the product a</w:t>
      </w:r>
      <w:r w:rsidR="0072430B">
        <w:t>re absolutely clearly described</w:t>
      </w:r>
      <w:r>
        <w:t>:</w:t>
      </w:r>
    </w:p>
    <w:p w:rsidR="00C822D5" w:rsidRDefault="00C822D5" w:rsidP="00C822D5">
      <w:pPr>
        <w:pStyle w:val="ListBullet2"/>
      </w:pPr>
      <w:r w:rsidRPr="00C822D5">
        <w:t>The educational materials should clarify what</w:t>
      </w:r>
      <w:r w:rsidR="0072430B">
        <w:t xml:space="preserve"> happens if the product freezes;</w:t>
      </w:r>
    </w:p>
    <w:p w:rsidR="00C822D5" w:rsidRDefault="00C822D5" w:rsidP="00C822D5">
      <w:pPr>
        <w:pStyle w:val="ListBullet2"/>
      </w:pPr>
      <w:r w:rsidRPr="00C822D5">
        <w:t>The educational materials should clarify what happens if foaming occur</w:t>
      </w:r>
      <w:r w:rsidR="0072430B">
        <w:t>s during product reconstitution; and</w:t>
      </w:r>
    </w:p>
    <w:p w:rsidR="003B7635" w:rsidRPr="00C822D5" w:rsidRDefault="00C822D5" w:rsidP="00C822D5">
      <w:pPr>
        <w:pStyle w:val="ListBullet2"/>
      </w:pPr>
      <w:r w:rsidRPr="00C822D5">
        <w:t xml:space="preserve">More information should be included in the patient brochure providing information about how to ensure that the </w:t>
      </w:r>
      <w:r>
        <w:t>IV</w:t>
      </w:r>
      <w:r w:rsidRPr="00C822D5">
        <w:t xml:space="preserve"> injection is performed successfully by the patient.</w:t>
      </w:r>
    </w:p>
    <w:p w:rsidR="003B7635" w:rsidRPr="00480DF4" w:rsidRDefault="003B7635" w:rsidP="003B7635">
      <w:pPr>
        <w:rPr>
          <w:b/>
        </w:rPr>
      </w:pPr>
      <w:r w:rsidRPr="00480DF4">
        <w:rPr>
          <w:b/>
        </w:rPr>
        <w:t>Despite the provision of these educational materials, there is reason for concer</w:t>
      </w:r>
      <w:r w:rsidR="00165168">
        <w:rPr>
          <w:b/>
        </w:rPr>
        <w:t xml:space="preserve">n that patients may perform IV </w:t>
      </w:r>
      <w:r w:rsidRPr="00480DF4">
        <w:rPr>
          <w:b/>
        </w:rPr>
        <w:t>injections at home without supervision of medically trained personnel. This may pose a substantial risk to the patient’s health if serious events, in particular, an anaphylactic shock would occur in this setting. Therefore, the delegate may wish to restrict the practice of home therapy for this product.</w:t>
      </w:r>
    </w:p>
    <w:p w:rsidR="00D50006" w:rsidRDefault="00D50006" w:rsidP="003B7635">
      <w:r w:rsidRPr="00D50006">
        <w:rPr>
          <w:b/>
        </w:rPr>
        <w:t>If home therapy for adequately trained patients should be considered appropriate by treating physicians</w:t>
      </w:r>
      <w:r w:rsidR="00013B78">
        <w:rPr>
          <w:b/>
        </w:rPr>
        <w:t>,</w:t>
      </w:r>
      <w:r w:rsidRPr="00D50006">
        <w:rPr>
          <w:b/>
        </w:rPr>
        <w:t xml:space="preserve"> it is suggested changes be made to the CMI/PI</w:t>
      </w:r>
      <w:r w:rsidR="003B7635" w:rsidRPr="00D50006">
        <w:rPr>
          <w:b/>
        </w:rPr>
        <w:t>.</w:t>
      </w:r>
    </w:p>
    <w:p w:rsidR="003B7635" w:rsidRPr="003B7635" w:rsidRDefault="003B7635" w:rsidP="003B7635">
      <w:r w:rsidRPr="003B7635">
        <w:t>The changes are suggested to ensure, that not only the first injection, but also a number of subsequent injections will be performed under supervision of medically trained personnel. This will minimise the ri</w:t>
      </w:r>
      <w:r w:rsidR="008A2E13">
        <w:t>sk of an anaphylactic reaction.</w:t>
      </w:r>
    </w:p>
    <w:p w:rsidR="003B7635" w:rsidRPr="00480DF4" w:rsidRDefault="003B7635" w:rsidP="003B7635">
      <w:pPr>
        <w:rPr>
          <w:b/>
        </w:rPr>
      </w:pPr>
      <w:r w:rsidRPr="003B7635">
        <w:t xml:space="preserve">The patient brochure and physician brochure provided for evaluation are part of the EU RMP and will be adapted by the sponsor for the Australian Market. </w:t>
      </w:r>
      <w:r w:rsidRPr="00480DF4">
        <w:rPr>
          <w:b/>
        </w:rPr>
        <w:t>It is recommended that the sponsor provides these adapted documents for review prior to approval of the product.</w:t>
      </w:r>
    </w:p>
    <w:p w:rsidR="00013B78" w:rsidRPr="00013B78" w:rsidRDefault="00013B78" w:rsidP="00013B78">
      <w:pPr>
        <w:rPr>
          <w:b/>
        </w:rPr>
      </w:pPr>
      <w:r w:rsidRPr="00013B78">
        <w:rPr>
          <w:b/>
        </w:rPr>
        <w:t>It is recommended that the sponsor provides copy of these adapted documents for review prior to approval of the product.</w:t>
      </w:r>
    </w:p>
    <w:p w:rsidR="00013B78" w:rsidRPr="00013B78" w:rsidRDefault="00013B78" w:rsidP="00013B78">
      <w:r w:rsidRPr="00013B78">
        <w:rPr>
          <w:b/>
        </w:rPr>
        <w:t>It is recommended that the patient brochure contain the following information:</w:t>
      </w:r>
      <w:r w:rsidRPr="00013B78">
        <w:t xml:space="preserve"> indication of the product, the risks of off-label use within FXIII congenital deficiency, how to safely store, handle, reconstitute and administer the product, the risks associated with incorrect storage and mishandling, how to recognise the potential side effects (thrombosis and embolism), what to do in the event of incorrect storage, thrombosis or embolism (CMI).</w:t>
      </w:r>
    </w:p>
    <w:p w:rsidR="003B7635" w:rsidRPr="003B7635" w:rsidRDefault="00013B78" w:rsidP="00013B78">
      <w:r w:rsidRPr="00013B78">
        <w:rPr>
          <w:b/>
        </w:rPr>
        <w:t>It is recommended that the physician brochure contain the following information:</w:t>
      </w:r>
      <w:r w:rsidRPr="00013B78">
        <w:t xml:space="preserve"> indication of the product, the risks of off-label use within FXIII congenital deficiency, appropriate diagnostic procedures to confirm FXIII A subunit deficiency, warning of the difference of both posology and concentration between NovoThirteen and other FXIII containing products, correct handling and the risks associated with mishandling, embolic and thrombotic events including the increased risk of vessel occlusion in patients at risk of thrombosis, what to do in the event of incorrect storage, thrombosis or embolism, contraindication of hypersensitivity, warning and precautions regarding anaphylaxis, </w:t>
      </w:r>
      <w:r w:rsidRPr="00013B78">
        <w:lastRenderedPageBreak/>
        <w:t>warning and precautions about inhibitor formation, the importance of collecting safety data and how to enrol patients in the PRO-RBDD registry (if applicable for Australia), distribution and use of the patient brochure and the need to ensure that the patient has read and understood the brochure (PI</w:t>
      </w:r>
      <w:r w:rsidR="00321583" w:rsidRPr="00013B78">
        <w:t>)</w:t>
      </w:r>
      <w:r w:rsidR="003B7635" w:rsidRPr="00013B78">
        <w:t>.</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8E091E" w:rsidRPr="008E091E" w:rsidRDefault="008E091E" w:rsidP="008E091E">
      <w:r w:rsidRPr="008E091E">
        <w:t xml:space="preserve">The OPR provides these recommendations in the context that the submitted RMP is supportive to the application; the implementation of a RMP satisfactory to the TGA is imposed as a condition of registration; the submitted EU-RMP and the ASA is applicable without modification in Australia unless so qualified; and the draft product information and consumer medicine information documents should </w:t>
      </w:r>
      <w:r w:rsidR="006D2C7B">
        <w:rPr>
          <w:b/>
        </w:rPr>
        <w:t>not</w:t>
      </w:r>
      <w:r w:rsidRPr="008E091E">
        <w:t xml:space="preserve"> be revised until the Delegate</w:t>
      </w:r>
      <w:r w:rsidR="00A11263">
        <w:t>’</w:t>
      </w:r>
      <w:r w:rsidRPr="008E091E">
        <w:t>s Overview has been received:</w:t>
      </w:r>
    </w:p>
    <w:p w:rsidR="008E091E" w:rsidRPr="008E091E" w:rsidRDefault="00013B78" w:rsidP="006D2C7B">
      <w:pPr>
        <w:pStyle w:val="ListBullet"/>
      </w:pPr>
      <w:r w:rsidRPr="008E091E">
        <w:t>Safety considerations may be raised by the nonclinical and clinical evalu</w:t>
      </w:r>
      <w:r>
        <w:t>ators through the consolidated S</w:t>
      </w:r>
      <w:r w:rsidRPr="008E091E">
        <w:t xml:space="preserve">ection 31 request and/or the </w:t>
      </w:r>
      <w:r>
        <w:t>n</w:t>
      </w:r>
      <w:r w:rsidRPr="008E091E">
        <w:t xml:space="preserve">onclinical and </w:t>
      </w:r>
      <w:r>
        <w:t>c</w:t>
      </w:r>
      <w:r w:rsidRPr="008E091E">
        <w:t xml:space="preserve">linical </w:t>
      </w:r>
      <w:r>
        <w:t>e</w:t>
      </w:r>
      <w:r w:rsidRPr="008E091E">
        <w:t xml:space="preserve">valuation </w:t>
      </w:r>
      <w:r>
        <w:t>r</w:t>
      </w:r>
      <w:r w:rsidRPr="008E091E">
        <w:t>eports respectively.</w:t>
      </w:r>
      <w:r>
        <w:t xml:space="preserve"> </w:t>
      </w:r>
      <w:r w:rsidRPr="008E091E">
        <w:t>It is important to ensure that the information provided in</w:t>
      </w:r>
      <w:r>
        <w:t xml:space="preserve"> these</w:t>
      </w:r>
      <w:r w:rsidRPr="008E091E">
        <w:t xml:space="preserve"> response</w:t>
      </w:r>
      <w:r>
        <w:t>s</w:t>
      </w:r>
      <w:r w:rsidRPr="008E091E">
        <w:t xml:space="preserve"> include</w:t>
      </w:r>
      <w:r>
        <w:t>s</w:t>
      </w:r>
      <w:r w:rsidRPr="008E091E">
        <w:t xml:space="preserve"> a consideration of the relevance for the </w:t>
      </w:r>
      <w:r>
        <w:t>RMP</w:t>
      </w:r>
      <w:r w:rsidRPr="008E091E">
        <w:t>, and any specific information needed to address this issue in the RMP.</w:t>
      </w:r>
      <w:r>
        <w:t xml:space="preserve"> </w:t>
      </w:r>
      <w:r w:rsidRPr="008E091E">
        <w:t>For any safety considerations, the sponsor should provide information that is relevant and necessary to address the issue in the RMP</w:t>
      </w:r>
      <w:r w:rsidR="008E091E" w:rsidRPr="008E091E">
        <w:t>.</w:t>
      </w:r>
    </w:p>
    <w:p w:rsidR="008E091E" w:rsidRPr="008E091E" w:rsidRDefault="008E091E" w:rsidP="006D2C7B">
      <w:pPr>
        <w:pStyle w:val="ListBullet2"/>
      </w:pPr>
      <w:r w:rsidRPr="008E091E">
        <w:t>It is recommended tha</w:t>
      </w:r>
      <w:r w:rsidR="00EF34A4">
        <w:t xml:space="preserve">t EU RMP, Version 1.0, Dated 29 May </w:t>
      </w:r>
      <w:r w:rsidRPr="008E091E">
        <w:t>2012 and the Australian speci</w:t>
      </w:r>
      <w:r w:rsidR="00EF34A4">
        <w:t xml:space="preserve">fic annex, Version 1.0, Dated 8 October </w:t>
      </w:r>
      <w:r w:rsidRPr="008E091E">
        <w:t>2012, and any future updates are implemented as a condition of registration.</w:t>
      </w:r>
    </w:p>
    <w:p w:rsidR="008E091E" w:rsidRPr="008E091E" w:rsidRDefault="008E091E" w:rsidP="006D2C7B">
      <w:pPr>
        <w:pStyle w:val="ListBullet2"/>
      </w:pPr>
      <w:r w:rsidRPr="008E091E">
        <w:t>Pain and bleeding at the injection si</w:t>
      </w:r>
      <w:r w:rsidR="00E21691">
        <w:t>t</w:t>
      </w:r>
      <w:r w:rsidRPr="008E091E">
        <w:t>e should be considered as a potential risk and therefore an addition to the RMP to address thes</w:t>
      </w:r>
      <w:r w:rsidR="0078572A">
        <w:t>e risks is suggested</w:t>
      </w:r>
      <w:r w:rsidRPr="008E091E">
        <w:t>.</w:t>
      </w:r>
    </w:p>
    <w:p w:rsidR="008E091E" w:rsidRPr="008E091E" w:rsidRDefault="008E091E" w:rsidP="006D2C7B">
      <w:pPr>
        <w:pStyle w:val="ListBullet2"/>
      </w:pPr>
      <w:r w:rsidRPr="008E091E">
        <w:t>It is recommended that the sponsor clarifies if Australian patients will be included in the PRO-RBDD registry.</w:t>
      </w:r>
    </w:p>
    <w:p w:rsidR="008E091E" w:rsidRPr="008E091E" w:rsidRDefault="008E091E" w:rsidP="006D2C7B">
      <w:pPr>
        <w:pStyle w:val="ListBullet2"/>
      </w:pPr>
      <w:r w:rsidRPr="008E091E">
        <w:t>It is recommended that the sponsor submits study reports resulting from the PASS, the PRO-RBDD, completed and ongoing clinical trials to the TGA at the same time as reports are submitted to other r</w:t>
      </w:r>
      <w:r w:rsidR="0078572A">
        <w:t>egulatory agencies</w:t>
      </w:r>
      <w:r w:rsidRPr="008E091E">
        <w:t>.</w:t>
      </w:r>
    </w:p>
    <w:p w:rsidR="008E091E" w:rsidRPr="008E091E" w:rsidRDefault="008E091E" w:rsidP="006D2C7B">
      <w:pPr>
        <w:pStyle w:val="ListBullet2"/>
      </w:pPr>
      <w:r w:rsidRPr="008E091E">
        <w:t>It is recommended that the sponsor offer</w:t>
      </w:r>
      <w:r w:rsidR="0078572A">
        <w:t xml:space="preserve">s antibody testing against anti </w:t>
      </w:r>
      <w:r w:rsidRPr="008E091E">
        <w:t>yeast antibodies on follow up forms for allergic/anaphylactic reactions and commits to report these on the same expedited basis as development of antibo</w:t>
      </w:r>
      <w:r w:rsidR="0078572A">
        <w:t>dies against rFXIII</w:t>
      </w:r>
      <w:r w:rsidRPr="008E091E">
        <w:t>.</w:t>
      </w:r>
    </w:p>
    <w:p w:rsidR="008E091E" w:rsidRPr="008E091E" w:rsidRDefault="008E091E" w:rsidP="006D2C7B">
      <w:pPr>
        <w:pStyle w:val="ListBullet2"/>
      </w:pPr>
      <w:r w:rsidRPr="008E091E">
        <w:t xml:space="preserve">The </w:t>
      </w:r>
      <w:r w:rsidR="005A2191">
        <w:t>D</w:t>
      </w:r>
      <w:r w:rsidRPr="008E091E">
        <w:t>elegate may wish to restrict the indication in Australia to patients ≥6 years until safety and efficacy for patients &lt;6 years has been s</w:t>
      </w:r>
      <w:r w:rsidR="00AA4DA6">
        <w:t>olidly established</w:t>
      </w:r>
      <w:r w:rsidRPr="008E091E">
        <w:t>.</w:t>
      </w:r>
    </w:p>
    <w:p w:rsidR="008E091E" w:rsidRPr="008E091E" w:rsidRDefault="008E091E" w:rsidP="006D2C7B">
      <w:pPr>
        <w:pStyle w:val="ListBullet2"/>
      </w:pPr>
      <w:r w:rsidRPr="008E091E">
        <w:t>If safety concerns in children are raised after data from clinical trials (F13CD-3760 and F13CD-3835) become available</w:t>
      </w:r>
      <w:r w:rsidR="00453B7A">
        <w:t>,</w:t>
      </w:r>
      <w:r w:rsidRPr="008E091E">
        <w:t xml:space="preserve"> special safety measures for children &lt;6 years may nee</w:t>
      </w:r>
      <w:r w:rsidR="00AA4DA6">
        <w:t>d to be introduced</w:t>
      </w:r>
      <w:r w:rsidRPr="008E091E">
        <w:t>.</w:t>
      </w:r>
    </w:p>
    <w:p w:rsidR="008E091E" w:rsidRPr="008E091E" w:rsidRDefault="008E091E" w:rsidP="006D2C7B">
      <w:pPr>
        <w:pStyle w:val="ListBullet2"/>
      </w:pPr>
      <w:r w:rsidRPr="008E091E">
        <w:t>The sponsor should clarify how s</w:t>
      </w:r>
      <w:r w:rsidR="00453B7A">
        <w:t>pecial patient populations including</w:t>
      </w:r>
      <w:r w:rsidRPr="008E091E">
        <w:t xml:space="preserve"> pregnant and lactating women, paediatrics &lt;6 years, elderly and patients with renal insufficiency will be monitored in Australia given that the PASS and the clinical trial F13CD-3720 are not con</w:t>
      </w:r>
      <w:r w:rsidR="00453B7A">
        <w:t>ducted in Australia</w:t>
      </w:r>
      <w:r w:rsidRPr="008E091E">
        <w:t>.</w:t>
      </w:r>
    </w:p>
    <w:p w:rsidR="008E091E" w:rsidRPr="008E091E" w:rsidRDefault="008E091E" w:rsidP="006D2C7B">
      <w:pPr>
        <w:pStyle w:val="ListBullet2"/>
      </w:pPr>
      <w:r w:rsidRPr="008E091E">
        <w:t>It is recommended that the</w:t>
      </w:r>
      <w:r w:rsidR="00453B7A">
        <w:t xml:space="preserve"> sponsor provides the physician and patient </w:t>
      </w:r>
      <w:r w:rsidRPr="008E091E">
        <w:t>brochure adapted for Australian market for review prior to appro</w:t>
      </w:r>
      <w:r w:rsidR="00453B7A">
        <w:t>val of the product</w:t>
      </w:r>
      <w:r w:rsidRPr="008E091E">
        <w:t>. It is recommended that these educational materials contain the infor</w:t>
      </w:r>
      <w:r w:rsidR="00453B7A">
        <w:t>mation specified</w:t>
      </w:r>
      <w:r w:rsidRPr="008E091E">
        <w:t>.</w:t>
      </w:r>
    </w:p>
    <w:p w:rsidR="008E091E" w:rsidRPr="008E091E" w:rsidRDefault="008E091E" w:rsidP="006D2C7B">
      <w:pPr>
        <w:pStyle w:val="ListBullet2"/>
      </w:pPr>
      <w:r w:rsidRPr="008E091E">
        <w:t>Despite the provision of educational materials, there is reason for conce</w:t>
      </w:r>
      <w:r>
        <w:t>rn that patients may perform IV</w:t>
      </w:r>
      <w:r w:rsidRPr="008E091E">
        <w:t xml:space="preserve"> injections at home without supervision of medically trained personnel. This may pose a substantial risk to the patient’s health if serious </w:t>
      </w:r>
      <w:r w:rsidRPr="008E091E">
        <w:lastRenderedPageBreak/>
        <w:t xml:space="preserve">events, in particular, an anaphylactic shock would occur in this setting. Therefore, the </w:t>
      </w:r>
      <w:r w:rsidR="00CC6E3B">
        <w:t>D</w:t>
      </w:r>
      <w:r w:rsidRPr="008E091E">
        <w:t>elegate may wish to restrict the practice of home therap</w:t>
      </w:r>
      <w:r w:rsidR="0024586B">
        <w:t>y for this product</w:t>
      </w:r>
      <w:r w:rsidRPr="008E091E">
        <w:t>.</w:t>
      </w:r>
    </w:p>
    <w:p w:rsidR="00052A32" w:rsidRDefault="00E274D1" w:rsidP="00052A32">
      <w:pPr>
        <w:pStyle w:val="Heading4"/>
      </w:pPr>
      <w:bookmarkStart w:id="161" w:name="_Toc314842510"/>
      <w:r w:rsidRPr="001B4125">
        <w:t>Reconciliation of issues outlined in the RMP report</w:t>
      </w:r>
    </w:p>
    <w:p w:rsidR="005709D0" w:rsidRDefault="005709D0" w:rsidP="005709D0">
      <w:pPr>
        <w:pStyle w:val="ListBullet"/>
        <w:numPr>
          <w:ilvl w:val="0"/>
          <w:numId w:val="0"/>
        </w:numPr>
      </w:pPr>
      <w:r w:rsidRPr="005D63DD">
        <w:t>Reconciliation of issues outlined in the RMP report</w:t>
      </w:r>
      <w:r>
        <w:t xml:space="preserve"> is as follows.</w:t>
      </w:r>
    </w:p>
    <w:p w:rsidR="005709D0" w:rsidRDefault="00B5543F" w:rsidP="005709D0">
      <w:pPr>
        <w:pStyle w:val="Heading5"/>
      </w:pPr>
      <w:r>
        <w:rPr>
          <w:lang w:val="en-AU"/>
        </w:rPr>
        <w:t xml:space="preserve">1. </w:t>
      </w:r>
      <w:r w:rsidR="005709D0" w:rsidRPr="00DA1081">
        <w:t>Recommendation in RMP evaluation report</w:t>
      </w:r>
      <w:r w:rsidR="005709D0">
        <w:t>:</w:t>
      </w:r>
    </w:p>
    <w:p w:rsidR="005709D0" w:rsidRPr="00A832A0" w:rsidRDefault="0073204A" w:rsidP="00A832A0">
      <w:r w:rsidRPr="00A832A0">
        <w:t>It is recommended tha</w:t>
      </w:r>
      <w:r w:rsidR="00A832A0">
        <w:t xml:space="preserve">t EU RMP, Version 1.0, Dated 29 May </w:t>
      </w:r>
      <w:r w:rsidRPr="00A832A0">
        <w:t>2012 and the Australian speci</w:t>
      </w:r>
      <w:r w:rsidR="00A832A0">
        <w:t xml:space="preserve">fic annex, Version 1.0, Dated 8 October </w:t>
      </w:r>
      <w:r w:rsidRPr="00A832A0">
        <w:t>2012, and any future updates are implemented as a condition of registration.</w:t>
      </w:r>
    </w:p>
    <w:p w:rsidR="005709D0" w:rsidRDefault="005709D0" w:rsidP="005709D0">
      <w:pPr>
        <w:pStyle w:val="Heading5"/>
      </w:pPr>
      <w:r w:rsidRPr="003A66AE">
        <w:t>Sponsor’s respo</w:t>
      </w:r>
      <w:r w:rsidR="00BF309B">
        <w:t>nse</w:t>
      </w:r>
      <w:r>
        <w:t>:</w:t>
      </w:r>
    </w:p>
    <w:p w:rsidR="005709D0" w:rsidRPr="00B9210F" w:rsidRDefault="00B9210F" w:rsidP="00B9210F">
      <w:r w:rsidRPr="00B9210F">
        <w:t xml:space="preserve">Novo Nordisk agrees to implement the Australian Specific Annex </w:t>
      </w:r>
      <w:r w:rsidR="00E2535D">
        <w:t xml:space="preserve">(ASA) </w:t>
      </w:r>
      <w:r w:rsidRPr="00B9210F">
        <w:t xml:space="preserve">and the EU </w:t>
      </w:r>
      <w:r>
        <w:t>RMP</w:t>
      </w:r>
      <w:r w:rsidRPr="00B9210F">
        <w:t xml:space="preserve"> in Australia as a condition of registration together with any future updates.</w:t>
      </w:r>
    </w:p>
    <w:p w:rsidR="005709D0" w:rsidRDefault="005709D0" w:rsidP="005709D0">
      <w:pPr>
        <w:pStyle w:val="Heading5"/>
        <w:rPr>
          <w:lang w:eastAsia="en-AU"/>
        </w:rPr>
      </w:pPr>
      <w:r w:rsidRPr="005034D2">
        <w:rPr>
          <w:lang w:eastAsia="en-AU"/>
        </w:rPr>
        <w:t>OPR evaluator’s comment</w:t>
      </w:r>
      <w:r>
        <w:rPr>
          <w:lang w:eastAsia="en-AU"/>
        </w:rPr>
        <w:t>:</w:t>
      </w:r>
    </w:p>
    <w:p w:rsidR="005709D0" w:rsidRPr="00A645E4" w:rsidRDefault="00A645E4" w:rsidP="00A645E4">
      <w:r w:rsidRPr="00A645E4">
        <w:t>This is considered acceptable.</w:t>
      </w:r>
    </w:p>
    <w:p w:rsidR="00697DB1" w:rsidRDefault="00B5543F" w:rsidP="00697DB1">
      <w:pPr>
        <w:pStyle w:val="Heading5"/>
      </w:pPr>
      <w:r>
        <w:rPr>
          <w:lang w:val="en-AU"/>
        </w:rPr>
        <w:t xml:space="preserve">2. </w:t>
      </w:r>
      <w:r w:rsidR="00697DB1" w:rsidRPr="00DA1081">
        <w:t>Recommendation in RMP evaluation report</w:t>
      </w:r>
      <w:r w:rsidR="00697DB1">
        <w:t>:</w:t>
      </w:r>
    </w:p>
    <w:p w:rsidR="00697DB1" w:rsidRPr="00A645E4" w:rsidRDefault="00A645E4" w:rsidP="00A645E4">
      <w:r w:rsidRPr="00A645E4">
        <w:t>Pain and bleeding at the injection side should be considered as a potential risk and therefore an addition to the RMP to add</w:t>
      </w:r>
      <w:r w:rsidR="00387946">
        <w:t>ress these risks is suggested</w:t>
      </w:r>
      <w:r w:rsidRPr="00A645E4">
        <w:t>.</w:t>
      </w:r>
    </w:p>
    <w:p w:rsidR="00697DB1" w:rsidRDefault="00697DB1" w:rsidP="00697DB1">
      <w:pPr>
        <w:pStyle w:val="Heading5"/>
      </w:pPr>
      <w:r w:rsidRPr="003A66AE">
        <w:t>Sponsor’s respo</w:t>
      </w:r>
      <w:r>
        <w:t>nse:</w:t>
      </w:r>
    </w:p>
    <w:p w:rsidR="00A645E4" w:rsidRPr="00A645E4" w:rsidRDefault="00A645E4" w:rsidP="00A645E4">
      <w:r w:rsidRPr="00A645E4">
        <w:t>Injection site pain is included as an adverse effect in the proposed PI rFXIII is a</w:t>
      </w:r>
      <w:r>
        <w:t>dministered IV</w:t>
      </w:r>
      <w:r w:rsidRPr="00A645E4">
        <w:t>, which inherently has a risk of pain and</w:t>
      </w:r>
      <w:r w:rsidR="00E2535D">
        <w:t xml:space="preserve"> bleeding at the injection site. </w:t>
      </w:r>
      <w:r w:rsidRPr="00A645E4">
        <w:t>The CMI has been updated to ensure that patients receive training in injection technique from the physician. The CMI and PI are also being updated to describe that treatment should be initiated and continued for a period of time under the supervision of in physician experienced in the treatment of rare bleeding disorders.</w:t>
      </w:r>
    </w:p>
    <w:p w:rsidR="00697DB1" w:rsidRPr="00A645E4" w:rsidRDefault="00A645E4" w:rsidP="00A645E4">
      <w:r w:rsidRPr="00A645E4">
        <w:t xml:space="preserve">These actions are considered appropriate to minimise any perceived risk. Reactions of injection site pain do not impact the risk/benefit for rFXIII and Novo Nordisk does not believe that adding injection site pain as potential risk to the ASA of </w:t>
      </w:r>
      <w:r w:rsidR="00E2535D">
        <w:t>the RMP influence the benefit-</w:t>
      </w:r>
      <w:r w:rsidRPr="00A645E4">
        <w:t>risk balance for patients.</w:t>
      </w:r>
    </w:p>
    <w:p w:rsidR="00697DB1" w:rsidRDefault="00697DB1" w:rsidP="00697DB1">
      <w:pPr>
        <w:pStyle w:val="Heading5"/>
        <w:rPr>
          <w:lang w:eastAsia="en-AU"/>
        </w:rPr>
      </w:pPr>
      <w:r w:rsidRPr="005034D2">
        <w:rPr>
          <w:lang w:eastAsia="en-AU"/>
        </w:rPr>
        <w:t>OPR evaluator’s comment</w:t>
      </w:r>
      <w:r>
        <w:rPr>
          <w:lang w:eastAsia="en-AU"/>
        </w:rPr>
        <w:t>:</w:t>
      </w:r>
    </w:p>
    <w:p w:rsidR="00697DB1" w:rsidRPr="003C07F1" w:rsidRDefault="003C07F1" w:rsidP="003C07F1">
      <w:r w:rsidRPr="003C07F1">
        <w:t xml:space="preserve">The proposed PI and CMI provided in response to </w:t>
      </w:r>
      <w:r>
        <w:t>S</w:t>
      </w:r>
      <w:r w:rsidRPr="003C07F1">
        <w:t>ection 31 questions are considered acceptable in addressing the RMP evaluator’s comments.</w:t>
      </w:r>
    </w:p>
    <w:p w:rsidR="00697DB1" w:rsidRDefault="00B5543F" w:rsidP="00697DB1">
      <w:pPr>
        <w:pStyle w:val="Heading5"/>
      </w:pPr>
      <w:r>
        <w:rPr>
          <w:lang w:val="en-AU"/>
        </w:rPr>
        <w:t xml:space="preserve">3. </w:t>
      </w:r>
      <w:r w:rsidR="00697DB1" w:rsidRPr="00DA1081">
        <w:t>Recommendation in RMP evaluation report</w:t>
      </w:r>
      <w:r w:rsidR="00697DB1">
        <w:t>:</w:t>
      </w:r>
    </w:p>
    <w:p w:rsidR="00697DB1" w:rsidRPr="00363495" w:rsidRDefault="00363495" w:rsidP="00363495">
      <w:r w:rsidRPr="00363495">
        <w:t>It is recommended that the sponsor clarifies if Australian patients will be included in the PRO-RBDD registry.</w:t>
      </w:r>
    </w:p>
    <w:p w:rsidR="00697DB1" w:rsidRDefault="00697DB1" w:rsidP="00697DB1">
      <w:pPr>
        <w:pStyle w:val="Heading5"/>
      </w:pPr>
      <w:r w:rsidRPr="003A66AE">
        <w:t>Sponsor’s respo</w:t>
      </w:r>
      <w:r>
        <w:t>nse:</w:t>
      </w:r>
    </w:p>
    <w:p w:rsidR="00697DB1" w:rsidRPr="00363495" w:rsidRDefault="00363495" w:rsidP="00363495">
      <w:r w:rsidRPr="00363495">
        <w:t xml:space="preserve">The PRO-RBDD is an investigator initiated international disease registry, and the option of including Australian patient data will be available for treating physicians. However, it is not expected that Australian physicians would contribute to this global data base as they currently report data on treatment of FXIII deficient patients to the Australian Bleeding Disorders Registry, operated by </w:t>
      </w:r>
      <w:r w:rsidR="00F53158">
        <w:t xml:space="preserve">the </w:t>
      </w:r>
      <w:r w:rsidR="00F53158" w:rsidRPr="00F53158">
        <w:t>Australian Haemophilia Centre Directors' Organisation</w:t>
      </w:r>
      <w:r w:rsidRPr="00363495">
        <w:t>, for use in preparing the annual report published by the National Blood Authority.</w:t>
      </w:r>
    </w:p>
    <w:p w:rsidR="00697DB1" w:rsidRDefault="00697DB1" w:rsidP="00697DB1">
      <w:pPr>
        <w:pStyle w:val="Heading5"/>
        <w:rPr>
          <w:lang w:eastAsia="en-AU"/>
        </w:rPr>
      </w:pPr>
      <w:r w:rsidRPr="005034D2">
        <w:rPr>
          <w:lang w:eastAsia="en-AU"/>
        </w:rPr>
        <w:t>OPR evaluator’s comment</w:t>
      </w:r>
      <w:r>
        <w:rPr>
          <w:lang w:eastAsia="en-AU"/>
        </w:rPr>
        <w:t>:</w:t>
      </w:r>
    </w:p>
    <w:p w:rsidR="00541AA1" w:rsidRPr="00A645E4" w:rsidRDefault="00541AA1" w:rsidP="00541AA1">
      <w:r w:rsidRPr="00A645E4">
        <w:t>This is considered acceptable.</w:t>
      </w:r>
    </w:p>
    <w:p w:rsidR="00697DB1" w:rsidRDefault="00B5543F" w:rsidP="00697DB1">
      <w:pPr>
        <w:pStyle w:val="Heading5"/>
      </w:pPr>
      <w:r>
        <w:rPr>
          <w:lang w:val="en-AU"/>
        </w:rPr>
        <w:lastRenderedPageBreak/>
        <w:t xml:space="preserve">4. </w:t>
      </w:r>
      <w:r w:rsidR="00697DB1" w:rsidRPr="00DA1081">
        <w:t>Recommendation in RMP evaluation report</w:t>
      </w:r>
      <w:r w:rsidR="00697DB1">
        <w:t>:</w:t>
      </w:r>
    </w:p>
    <w:p w:rsidR="00697DB1" w:rsidRPr="00387946" w:rsidRDefault="00387946" w:rsidP="00387946">
      <w:r w:rsidRPr="00387946">
        <w:t>It is recommended that the sponsor submits study reports resulting from the PASS, the PRO-RBDD, completed and ongoing clinical trials to the TGA at the same time as reports are submitted to other regulatory agencies.</w:t>
      </w:r>
    </w:p>
    <w:p w:rsidR="00697DB1" w:rsidRDefault="00697DB1" w:rsidP="00697DB1">
      <w:pPr>
        <w:pStyle w:val="Heading5"/>
      </w:pPr>
      <w:r w:rsidRPr="003A66AE">
        <w:t>Sponsor’s respo</w:t>
      </w:r>
      <w:r>
        <w:t>nse:</w:t>
      </w:r>
    </w:p>
    <w:p w:rsidR="00697DB1" w:rsidRPr="00387946" w:rsidRDefault="00387946" w:rsidP="00387946">
      <w:r w:rsidRPr="00387946">
        <w:t>Interim study reports will be made every 2 years after initiation of the study. The interim and the final study reports will be submitted to the TGA on completion. The PRO-RBDD is an investigator initiated registry with which Novo Nordisk has a contractual agreement. Safety information collected from this registry will be reported according to normal reporting requirements. PSURs submitted to the TGA periodically will also include safety information from this registry. A study report is planned for 2015.</w:t>
      </w:r>
    </w:p>
    <w:p w:rsidR="00697DB1" w:rsidRDefault="00697DB1" w:rsidP="00697DB1">
      <w:pPr>
        <w:pStyle w:val="Heading5"/>
        <w:rPr>
          <w:lang w:eastAsia="en-AU"/>
        </w:rPr>
      </w:pPr>
      <w:r w:rsidRPr="005034D2">
        <w:rPr>
          <w:lang w:eastAsia="en-AU"/>
        </w:rPr>
        <w:t>OPR evaluator’s comment</w:t>
      </w:r>
      <w:r>
        <w:rPr>
          <w:lang w:eastAsia="en-AU"/>
        </w:rPr>
        <w:t>:</w:t>
      </w:r>
    </w:p>
    <w:p w:rsidR="00387946" w:rsidRPr="00A645E4" w:rsidRDefault="00387946" w:rsidP="00387946">
      <w:r w:rsidRPr="00A645E4">
        <w:t>This is considered acceptable.</w:t>
      </w:r>
    </w:p>
    <w:p w:rsidR="00697DB1" w:rsidRDefault="00B5543F" w:rsidP="00697DB1">
      <w:pPr>
        <w:pStyle w:val="Heading5"/>
      </w:pPr>
      <w:r>
        <w:rPr>
          <w:lang w:val="en-AU"/>
        </w:rPr>
        <w:t xml:space="preserve">5. </w:t>
      </w:r>
      <w:r w:rsidR="00697DB1" w:rsidRPr="00DA1081">
        <w:t>Recommendation in RMP evaluation report</w:t>
      </w:r>
      <w:r w:rsidR="00697DB1">
        <w:t>:</w:t>
      </w:r>
    </w:p>
    <w:p w:rsidR="00697DB1" w:rsidRPr="00CF6D93" w:rsidRDefault="00CF6D93" w:rsidP="00CF6D93">
      <w:r w:rsidRPr="00CF6D93">
        <w:t>It is recommended that the sponsor offers antibody testing against anti-yeast antibodies on follow up forms for allergic/anaphylactic reactions and commits to report these on the same expedited basis as development of antibodies ag</w:t>
      </w:r>
      <w:r>
        <w:t>ainst rFXIII</w:t>
      </w:r>
      <w:r w:rsidRPr="00CF6D93">
        <w:t>.</w:t>
      </w:r>
    </w:p>
    <w:p w:rsidR="00697DB1" w:rsidRDefault="00697DB1" w:rsidP="00697DB1">
      <w:pPr>
        <w:pStyle w:val="Heading5"/>
      </w:pPr>
      <w:r w:rsidRPr="003A66AE">
        <w:t>Sponsor’s respo</w:t>
      </w:r>
      <w:r>
        <w:t>nse:</w:t>
      </w:r>
    </w:p>
    <w:p w:rsidR="00697DB1" w:rsidRPr="00CF6D93" w:rsidRDefault="00CF6D93" w:rsidP="00CF6D93">
      <w:r w:rsidRPr="00CF6D93">
        <w:t xml:space="preserve">Collected data </w:t>
      </w:r>
      <w:r>
        <w:t xml:space="preserve">demonstrate that anti </w:t>
      </w:r>
      <w:r w:rsidRPr="00CF6D93">
        <w:t>yeast IgE are not related to trial drug administratio</w:t>
      </w:r>
      <w:r>
        <w:t xml:space="preserve">n testing specifically for anti </w:t>
      </w:r>
      <w:r w:rsidRPr="00CF6D93">
        <w:t xml:space="preserve">yeast antibodies is not consider </w:t>
      </w:r>
      <w:r>
        <w:t xml:space="preserve">necessary. Testing for anti </w:t>
      </w:r>
      <w:r w:rsidRPr="00CF6D93">
        <w:t>drug antibodies will be offered in the event of allergic/anaphylactic</w:t>
      </w:r>
      <w:r>
        <w:t xml:space="preserve"> </w:t>
      </w:r>
      <w:r w:rsidRPr="00CF6D93">
        <w:t>reactions. Novo Nordisk has inclu</w:t>
      </w:r>
      <w:r>
        <w:t xml:space="preserve">ded a precaution regarding anti </w:t>
      </w:r>
      <w:r w:rsidRPr="00CF6D93">
        <w:t>y</w:t>
      </w:r>
      <w:r>
        <w:t xml:space="preserve">east antibodies in the PI. Follow </w:t>
      </w:r>
      <w:r w:rsidRPr="00CF6D93">
        <w:t xml:space="preserve">up information will be sought on all reported allergic/anaphylactic </w:t>
      </w:r>
      <w:r>
        <w:t xml:space="preserve">reactions. Assays for anti </w:t>
      </w:r>
      <w:r w:rsidRPr="00CF6D93">
        <w:t>yeast antibodies are commercially available and in the event that these assays are performed this information will be collected and reported according to normal requirements.</w:t>
      </w:r>
    </w:p>
    <w:p w:rsidR="00697DB1" w:rsidRDefault="00697DB1" w:rsidP="00697DB1">
      <w:pPr>
        <w:pStyle w:val="Heading5"/>
        <w:rPr>
          <w:lang w:eastAsia="en-AU"/>
        </w:rPr>
      </w:pPr>
      <w:r w:rsidRPr="005034D2">
        <w:rPr>
          <w:lang w:eastAsia="en-AU"/>
        </w:rPr>
        <w:t>OPR evaluator’s comment</w:t>
      </w:r>
      <w:r>
        <w:rPr>
          <w:lang w:eastAsia="en-AU"/>
        </w:rPr>
        <w:t>:</w:t>
      </w:r>
    </w:p>
    <w:p w:rsidR="00CF6D93" w:rsidRPr="00CF6D93" w:rsidRDefault="00CF6D93" w:rsidP="00CF6D93">
      <w:r w:rsidRPr="00CF6D93">
        <w:t>It is noted that four out of five trials,</w:t>
      </w:r>
      <w:r w:rsidR="00903D4A">
        <w:t xml:space="preserve"> were anti </w:t>
      </w:r>
      <w:r w:rsidRPr="00CF6D93">
        <w:t>yeast antibody testing was performed, were single dose studies. Moreover, the only multi dose trial wh</w:t>
      </w:r>
      <w:r w:rsidR="00903D4A">
        <w:t xml:space="preserve">ere anti </w:t>
      </w:r>
      <w:r w:rsidRPr="00CF6D93">
        <w:t>yeast antibody testing was performed was</w:t>
      </w:r>
      <w:r w:rsidR="008A2E13">
        <w:t xml:space="preserve"> conducted in healthy subjects.</w:t>
      </w:r>
    </w:p>
    <w:p w:rsidR="00697DB1" w:rsidRPr="00CF6D93" w:rsidRDefault="00CF6D93" w:rsidP="00CF6D93">
      <w:r w:rsidRPr="00CF6D93">
        <w:t>In the opinion of the RMP evaluator there is not sufficient information available, to exclude the pos</w:t>
      </w:r>
      <w:r w:rsidR="00903D4A">
        <w:t xml:space="preserve">sibility of development of anti </w:t>
      </w:r>
      <w:r w:rsidRPr="00CF6D93">
        <w:t>yeast antibodies, during</w:t>
      </w:r>
      <w:r w:rsidR="00903D4A">
        <w:t xml:space="preserve"> long </w:t>
      </w:r>
      <w:r w:rsidRPr="00CF6D93">
        <w:t>term/repeated dose administration of the product, in the target population. Therefore, the RMP evaluator maintains the position that the sponsor offer</w:t>
      </w:r>
      <w:r w:rsidR="00903D4A">
        <w:t xml:space="preserve">s antibody testing against anti </w:t>
      </w:r>
      <w:r w:rsidRPr="00CF6D93">
        <w:t>yeast antibodies on follow up forms for allergic/anaphylactic reactions and commits to report these on the same expedited basis as develo</w:t>
      </w:r>
      <w:r>
        <w:t>pment of antibodies against rFXIII.</w:t>
      </w:r>
    </w:p>
    <w:p w:rsidR="00697DB1" w:rsidRDefault="00B5543F" w:rsidP="00697DB1">
      <w:pPr>
        <w:pStyle w:val="Heading5"/>
      </w:pPr>
      <w:r>
        <w:rPr>
          <w:lang w:val="en-AU"/>
        </w:rPr>
        <w:t xml:space="preserve">6. </w:t>
      </w:r>
      <w:r w:rsidR="00697DB1" w:rsidRPr="00DA1081">
        <w:t>Recommendation in RMP evaluation report</w:t>
      </w:r>
      <w:r w:rsidR="00697DB1">
        <w:t>:</w:t>
      </w:r>
    </w:p>
    <w:p w:rsidR="00697DB1" w:rsidRPr="002A5574" w:rsidRDefault="00903D4A" w:rsidP="002A5574">
      <w:r w:rsidRPr="002A5574">
        <w:t>The Delegate may wish to restrict the indication in Australia to patients ≥6 years until safety and efficacy for patients &lt;6 years has been solidly established.</w:t>
      </w:r>
    </w:p>
    <w:p w:rsidR="00697DB1" w:rsidRDefault="00697DB1" w:rsidP="00697DB1">
      <w:pPr>
        <w:pStyle w:val="Heading5"/>
      </w:pPr>
      <w:r w:rsidRPr="003A66AE">
        <w:t>Sponsor’s respo</w:t>
      </w:r>
      <w:r>
        <w:t>nse:</w:t>
      </w:r>
    </w:p>
    <w:p w:rsidR="002A5574" w:rsidRPr="002A5574" w:rsidRDefault="002A5574" w:rsidP="002A5574">
      <w:r w:rsidRPr="002A5574">
        <w:t xml:space="preserve">While Novo Nordisk acknowledges that there is limited data available for patients below 6 years of age in the currently submitted dossier, the company continues to address this gap with the completed paediatric PK trial F13CD-3760 (5.3.3.2 F13CD-3760 clinical trial report) as well as the </w:t>
      </w:r>
      <w:r>
        <w:t>on</w:t>
      </w:r>
      <w:r w:rsidRPr="002A5574">
        <w:t>going study F13CD-3835.</w:t>
      </w:r>
    </w:p>
    <w:p w:rsidR="002A5574" w:rsidRPr="002A5574" w:rsidRDefault="002A5574" w:rsidP="002A5574">
      <w:r w:rsidRPr="002A5574">
        <w:t xml:space="preserve">The clinical study report for F13CD-3760, in preparation at the time of submission, has been </w:t>
      </w:r>
      <w:r>
        <w:t>requested by the c</w:t>
      </w:r>
      <w:r w:rsidRPr="002A5574">
        <w:t xml:space="preserve">linical </w:t>
      </w:r>
      <w:r>
        <w:t>e</w:t>
      </w:r>
      <w:r w:rsidRPr="002A5574">
        <w:t>valuator. The study has now been completed. Please see the full study report (5.3.3.2 F1</w:t>
      </w:r>
      <w:r>
        <w:t xml:space="preserve">3CD-3760 clinical trial report). </w:t>
      </w:r>
      <w:r w:rsidRPr="002A5574">
        <w:t>All 6 patients that completed F13CD-3760 have continued into the safety extension trial F</w:t>
      </w:r>
      <w:r>
        <w:t xml:space="preserve">13CD-3835 which </w:t>
      </w:r>
      <w:r>
        <w:lastRenderedPageBreak/>
        <w:t>is currently on</w:t>
      </w:r>
      <w:r w:rsidRPr="002A5574">
        <w:t xml:space="preserve">going. These 6 patients have now completed more </w:t>
      </w:r>
      <w:r>
        <w:t xml:space="preserve">than 110 exposures by 1 January </w:t>
      </w:r>
      <w:r w:rsidRPr="002A5574">
        <w:t>2013.</w:t>
      </w:r>
    </w:p>
    <w:p w:rsidR="00697DB1" w:rsidRPr="002A5574" w:rsidRDefault="002A5574" w:rsidP="002A5574">
      <w:r w:rsidRPr="002A5574">
        <w:t>Since a PK profile for the paediatric patients that is comparable with the PK</w:t>
      </w:r>
      <w:r w:rsidR="00AA1F48">
        <w:t xml:space="preserve"> </w:t>
      </w:r>
      <w:r w:rsidRPr="002A5574">
        <w:t>profile of the patients in F13CD-1725 trial has been established, and since no safety issues have been identified in the F13CD-3760, and no safety or efficacy issues have been detected in the ongoing F13CD-3835 trial, Novo Nordisk does not find reason to impose any restrictions in the indication for rFXIII with regards to patient age.</w:t>
      </w:r>
    </w:p>
    <w:p w:rsidR="00697DB1" w:rsidRDefault="00697DB1" w:rsidP="00697DB1">
      <w:pPr>
        <w:pStyle w:val="Heading5"/>
        <w:rPr>
          <w:lang w:eastAsia="en-AU"/>
        </w:rPr>
      </w:pPr>
      <w:r w:rsidRPr="005034D2">
        <w:rPr>
          <w:lang w:eastAsia="en-AU"/>
        </w:rPr>
        <w:t>OPR evaluator’s comment</w:t>
      </w:r>
      <w:r>
        <w:rPr>
          <w:lang w:eastAsia="en-AU"/>
        </w:rPr>
        <w:t>:</w:t>
      </w:r>
    </w:p>
    <w:p w:rsidR="00697DB1" w:rsidRPr="00AA1F48" w:rsidRDefault="00AA1F48" w:rsidP="00AA1F48">
      <w:r w:rsidRPr="00AA1F48">
        <w:t>This is considered acceptable by the RMP evaluator.</w:t>
      </w:r>
    </w:p>
    <w:p w:rsidR="00697DB1" w:rsidRDefault="00B5543F" w:rsidP="00697DB1">
      <w:pPr>
        <w:pStyle w:val="Heading5"/>
      </w:pPr>
      <w:r>
        <w:rPr>
          <w:lang w:val="en-AU"/>
        </w:rPr>
        <w:t xml:space="preserve">7. </w:t>
      </w:r>
      <w:r w:rsidR="00697DB1" w:rsidRPr="00DA1081">
        <w:t>Recommendation in RMP evaluation report</w:t>
      </w:r>
      <w:r w:rsidR="00697DB1">
        <w:t>:</w:t>
      </w:r>
    </w:p>
    <w:p w:rsidR="00697DB1" w:rsidRPr="00AA1F48" w:rsidRDefault="00AA1F48" w:rsidP="00AA1F48">
      <w:r w:rsidRPr="00AA1F48">
        <w:t>If safety concerns in children are raised after data from clinical trials (F13CD-3760 and F13CD-3835) become available special safety measures for children &lt;6 years may need to be introduced.</w:t>
      </w:r>
    </w:p>
    <w:p w:rsidR="00697DB1" w:rsidRDefault="00697DB1" w:rsidP="00697DB1">
      <w:pPr>
        <w:pStyle w:val="Heading5"/>
      </w:pPr>
      <w:r w:rsidRPr="003A66AE">
        <w:t>Sponsor’s respo</w:t>
      </w:r>
      <w:r>
        <w:t>nse:</w:t>
      </w:r>
    </w:p>
    <w:p w:rsidR="00AA1F48" w:rsidRPr="00AA1F48" w:rsidRDefault="00AA1F48" w:rsidP="00AA1F48">
      <w:r w:rsidRPr="00AA1F48">
        <w:t>Any data from ongoing clinical trials and from post market surveillance which raises safety concerns related to use of rFXIII in children, or in any other patient population, will be reviewed and acted on accordingly. If further risk minimisation activities are required following this review, steps will be taken to ensure they are implemented. Any new safety data will be notified to TGA and will be included in PI and CMI, as required.</w:t>
      </w:r>
    </w:p>
    <w:p w:rsidR="00697DB1" w:rsidRPr="00AA1F48" w:rsidRDefault="00AA1F48" w:rsidP="00AA1F48">
      <w:r w:rsidRPr="00AA1F48">
        <w:t>No safety concerns have been raised in the open label, single arm paediatric trials F13CD-3760 (completed) (5.3.3.2 F13CD-3760 clinical trial report) and F13CD-3835 (ongoing).</w:t>
      </w:r>
    </w:p>
    <w:p w:rsidR="00697DB1" w:rsidRDefault="00697DB1" w:rsidP="00697DB1">
      <w:pPr>
        <w:pStyle w:val="Heading5"/>
        <w:rPr>
          <w:lang w:eastAsia="en-AU"/>
        </w:rPr>
      </w:pPr>
      <w:r w:rsidRPr="005034D2">
        <w:rPr>
          <w:lang w:eastAsia="en-AU"/>
        </w:rPr>
        <w:t>OPR evaluator’s comment</w:t>
      </w:r>
      <w:r>
        <w:rPr>
          <w:lang w:eastAsia="en-AU"/>
        </w:rPr>
        <w:t>:</w:t>
      </w:r>
    </w:p>
    <w:p w:rsidR="00697DB1" w:rsidRPr="00AA1F48" w:rsidRDefault="00AA1F48" w:rsidP="00AA1F48">
      <w:r w:rsidRPr="00AA1F48">
        <w:t>This is considered acceptable.</w:t>
      </w:r>
    </w:p>
    <w:p w:rsidR="00697DB1" w:rsidRDefault="00B5543F" w:rsidP="00697DB1">
      <w:pPr>
        <w:pStyle w:val="Heading5"/>
      </w:pPr>
      <w:r>
        <w:rPr>
          <w:lang w:val="en-AU"/>
        </w:rPr>
        <w:t xml:space="preserve">8. </w:t>
      </w:r>
      <w:r w:rsidR="00697DB1" w:rsidRPr="00DA1081">
        <w:t>Recommendation in RMP evaluation report</w:t>
      </w:r>
      <w:r w:rsidR="00697DB1">
        <w:t>:</w:t>
      </w:r>
    </w:p>
    <w:p w:rsidR="00697DB1" w:rsidRPr="00AA1F48" w:rsidRDefault="00AA1F48" w:rsidP="00AA1F48">
      <w:r w:rsidRPr="00AA1F48">
        <w:t>The sponsor should clarify how s</w:t>
      </w:r>
      <w:r>
        <w:t>pecial patient populations including</w:t>
      </w:r>
      <w:r w:rsidRPr="00AA1F48">
        <w:t xml:space="preserve"> pregnant and lactating women, paediatrics &lt;6 years, elderly and patients with renal insufficiency will be monitored in Australia given that the PASS and the clinical trial F13CD-3720 are not conducted in Australia.</w:t>
      </w:r>
    </w:p>
    <w:p w:rsidR="00697DB1" w:rsidRDefault="00697DB1" w:rsidP="00697DB1">
      <w:pPr>
        <w:pStyle w:val="Heading5"/>
      </w:pPr>
      <w:r w:rsidRPr="003A66AE">
        <w:t>Sponsor’s respo</w:t>
      </w:r>
      <w:r>
        <w:t>nse:</w:t>
      </w:r>
    </w:p>
    <w:p w:rsidR="00697DB1" w:rsidRPr="004A5D9C" w:rsidRDefault="001D7D7B" w:rsidP="004A5D9C">
      <w:r w:rsidRPr="004A5D9C">
        <w:t>All patients in Australia are treated by specialist haemophilia treatment centres, and physician and patient educational materials will include reminders to report any adverse events via the normal pharmacovigilance processes. As these groups are described as missing information in the RMP, any data collected in these groups will be presented in each PSUR.</w:t>
      </w:r>
    </w:p>
    <w:p w:rsidR="00697DB1" w:rsidRDefault="00697DB1" w:rsidP="00697DB1">
      <w:pPr>
        <w:pStyle w:val="Heading5"/>
        <w:rPr>
          <w:lang w:eastAsia="en-AU"/>
        </w:rPr>
      </w:pPr>
      <w:r w:rsidRPr="005034D2">
        <w:rPr>
          <w:lang w:eastAsia="en-AU"/>
        </w:rPr>
        <w:t>OPR evaluator’s comment</w:t>
      </w:r>
      <w:r>
        <w:rPr>
          <w:lang w:eastAsia="en-AU"/>
        </w:rPr>
        <w:t>:</w:t>
      </w:r>
    </w:p>
    <w:p w:rsidR="00697DB1" w:rsidRPr="00EE7D0A" w:rsidRDefault="00013B78" w:rsidP="00EE7D0A">
      <w:pPr>
        <w:rPr>
          <w:b/>
        </w:rPr>
      </w:pPr>
      <w:r w:rsidRPr="00EE7D0A">
        <w:t>This is generally considered acceptable</w:t>
      </w:r>
      <w:r>
        <w:t xml:space="preserve"> </w:t>
      </w:r>
      <w:r w:rsidRPr="00663F47">
        <w:rPr>
          <w:b/>
        </w:rPr>
        <w:t>provided the</w:t>
      </w:r>
      <w:r w:rsidRPr="00EE7D0A">
        <w:rPr>
          <w:b/>
        </w:rPr>
        <w:t xml:space="preserve"> referenced physician and patient educational materials should be provided for review prior to launch of the product</w:t>
      </w:r>
      <w:r w:rsidR="00EE7D0A" w:rsidRPr="00EE7D0A">
        <w:rPr>
          <w:b/>
        </w:rPr>
        <w:t>.</w:t>
      </w:r>
    </w:p>
    <w:p w:rsidR="00697DB1" w:rsidRDefault="00B5543F" w:rsidP="00697DB1">
      <w:pPr>
        <w:pStyle w:val="Heading5"/>
      </w:pPr>
      <w:r>
        <w:rPr>
          <w:lang w:val="en-AU"/>
        </w:rPr>
        <w:t xml:space="preserve">9. </w:t>
      </w:r>
      <w:r w:rsidR="00697DB1" w:rsidRPr="00DA1081">
        <w:t>Recommendation in RMP evaluation report</w:t>
      </w:r>
      <w:r w:rsidR="00697DB1">
        <w:t>:</w:t>
      </w:r>
    </w:p>
    <w:p w:rsidR="00697DB1" w:rsidRPr="00B5543F" w:rsidRDefault="00B5543F" w:rsidP="00B5543F">
      <w:r w:rsidRPr="00B5543F">
        <w:t>It is recommended that the sponsor provides the physician and patient brochure adapted for Australian market for review prior to approval of the product.</w:t>
      </w:r>
    </w:p>
    <w:p w:rsidR="00697DB1" w:rsidRDefault="00697DB1" w:rsidP="00697DB1">
      <w:pPr>
        <w:pStyle w:val="Heading5"/>
      </w:pPr>
      <w:r w:rsidRPr="003A66AE">
        <w:t>Sponsor’s respo</w:t>
      </w:r>
      <w:r>
        <w:t>nse:</w:t>
      </w:r>
    </w:p>
    <w:p w:rsidR="00697DB1" w:rsidRPr="00B5543F" w:rsidRDefault="00B5543F" w:rsidP="00B5543F">
      <w:r w:rsidRPr="00B5543F">
        <w:t>The physician and patient brochures to be used in Australia will be based closely on those used in the EU, as provided in the EU RMP. The Australian specific versions will be available close to launch of the product. Novo Nordisk commits to providing electronic copies of these materials to the OPR at the time of launch.</w:t>
      </w:r>
    </w:p>
    <w:p w:rsidR="00697DB1" w:rsidRDefault="00697DB1" w:rsidP="00697DB1">
      <w:pPr>
        <w:pStyle w:val="Heading5"/>
        <w:rPr>
          <w:lang w:eastAsia="en-AU"/>
        </w:rPr>
      </w:pPr>
      <w:r w:rsidRPr="005034D2">
        <w:rPr>
          <w:lang w:eastAsia="en-AU"/>
        </w:rPr>
        <w:lastRenderedPageBreak/>
        <w:t>OPR evaluator’s comment</w:t>
      </w:r>
      <w:r>
        <w:rPr>
          <w:lang w:eastAsia="en-AU"/>
        </w:rPr>
        <w:t>:</w:t>
      </w:r>
    </w:p>
    <w:p w:rsidR="00697DB1" w:rsidRPr="00B5543F" w:rsidRDefault="00FB7865" w:rsidP="00B5543F">
      <w:pPr>
        <w:rPr>
          <w:b/>
        </w:rPr>
      </w:pPr>
      <w:r w:rsidRPr="00B5543F">
        <w:rPr>
          <w:b/>
        </w:rPr>
        <w:t xml:space="preserve">The RMP evaluator </w:t>
      </w:r>
      <w:r>
        <w:rPr>
          <w:b/>
        </w:rPr>
        <w:t>reaffirms</w:t>
      </w:r>
      <w:r w:rsidRPr="00B5543F">
        <w:rPr>
          <w:b/>
        </w:rPr>
        <w:t xml:space="preserve"> the position that the sponsor should provide these educational materials </w:t>
      </w:r>
      <w:r w:rsidRPr="00B5543F">
        <w:rPr>
          <w:b/>
          <w:i/>
        </w:rPr>
        <w:t>for review prior</w:t>
      </w:r>
      <w:r w:rsidRPr="00B5543F">
        <w:rPr>
          <w:b/>
        </w:rPr>
        <w:t xml:space="preserve"> to launch of the product</w:t>
      </w:r>
      <w:r w:rsidR="00B5543F" w:rsidRPr="00B5543F">
        <w:rPr>
          <w:b/>
        </w:rPr>
        <w:t>.</w:t>
      </w:r>
    </w:p>
    <w:p w:rsidR="00697DB1" w:rsidRDefault="00B5543F" w:rsidP="00697DB1">
      <w:pPr>
        <w:pStyle w:val="Heading5"/>
      </w:pPr>
      <w:r>
        <w:rPr>
          <w:lang w:val="en-AU"/>
        </w:rPr>
        <w:t xml:space="preserve">10. </w:t>
      </w:r>
      <w:r w:rsidR="00697DB1" w:rsidRPr="00DA1081">
        <w:t>Recommendation in RMP evaluation report</w:t>
      </w:r>
      <w:r w:rsidR="00697DB1">
        <w:t>:</w:t>
      </w:r>
    </w:p>
    <w:p w:rsidR="00697DB1" w:rsidRPr="00041170" w:rsidRDefault="00936649" w:rsidP="00041170">
      <w:r w:rsidRPr="00041170">
        <w:t>Despite the provision of educational materials, there is reason for conc</w:t>
      </w:r>
      <w:r w:rsidR="00041170">
        <w:t>ern that patients may perform IV</w:t>
      </w:r>
      <w:r w:rsidRPr="00041170">
        <w:t xml:space="preserve"> injections at home without supervision of medically trained personnel. This may pose a substantial risk to the patient's health if serious events, in particular, an anaphylactic shock would occur in this setting. Therefore, the delegate may wish to restrict the practice of home therapy for this product.</w:t>
      </w:r>
    </w:p>
    <w:p w:rsidR="00697DB1" w:rsidRDefault="00697DB1" w:rsidP="00697DB1">
      <w:pPr>
        <w:pStyle w:val="Heading5"/>
      </w:pPr>
      <w:r w:rsidRPr="003A66AE">
        <w:t>Sponsor’s respo</w:t>
      </w:r>
      <w:r>
        <w:t>nse:</w:t>
      </w:r>
    </w:p>
    <w:p w:rsidR="00697DB1" w:rsidRPr="00041170" w:rsidRDefault="00041170" w:rsidP="00041170">
      <w:r w:rsidRPr="00041170">
        <w:t>Novo Nordisk accepts that initiation and the number of treatment cycles should be under the supervision of physician experienced in the treatment of rare bleeding disorders. The CMI has been updated accordingly.</w:t>
      </w:r>
    </w:p>
    <w:p w:rsidR="00697DB1" w:rsidRDefault="00697DB1" w:rsidP="00697DB1">
      <w:pPr>
        <w:pStyle w:val="Heading5"/>
        <w:rPr>
          <w:lang w:eastAsia="en-AU"/>
        </w:rPr>
      </w:pPr>
      <w:r w:rsidRPr="005034D2">
        <w:rPr>
          <w:lang w:eastAsia="en-AU"/>
        </w:rPr>
        <w:t>OPR evaluator’s comment</w:t>
      </w:r>
      <w:r>
        <w:rPr>
          <w:lang w:eastAsia="en-AU"/>
        </w:rPr>
        <w:t>:</w:t>
      </w:r>
    </w:p>
    <w:p w:rsidR="00697DB1" w:rsidRPr="00041170" w:rsidRDefault="00041170" w:rsidP="00041170">
      <w:r w:rsidRPr="00041170">
        <w:t>The proposed PI and CMI provided in response to section 31 questions are considered acceptable in addressing the RMP evaluator’s comments.</w:t>
      </w:r>
    </w:p>
    <w:p w:rsidR="00697DB1" w:rsidRDefault="00B5543F" w:rsidP="00697DB1">
      <w:pPr>
        <w:pStyle w:val="Heading5"/>
      </w:pPr>
      <w:r>
        <w:rPr>
          <w:lang w:val="en-AU"/>
        </w:rPr>
        <w:t xml:space="preserve">11. </w:t>
      </w:r>
      <w:r w:rsidR="00697DB1" w:rsidRPr="00DA1081">
        <w:t>Recommendation in RMP evaluation report</w:t>
      </w:r>
      <w:r w:rsidR="00697DB1">
        <w:t>:</w:t>
      </w:r>
    </w:p>
    <w:p w:rsidR="00443AE5" w:rsidRDefault="00714D6E" w:rsidP="00714D6E">
      <w:r w:rsidRPr="00714D6E">
        <w:t>The risk of allergic reactions for patients with yeast hypersensitivity should be stated in the PI/CMI/Physician Brochure/Patient Brochure. The PI</w:t>
      </w:r>
      <w:r>
        <w:t>/CMI/Physician Brochure states:</w:t>
      </w:r>
    </w:p>
    <w:p w:rsidR="00714D6E" w:rsidRPr="00443AE5" w:rsidRDefault="00714D6E" w:rsidP="00443AE5">
      <w:pPr>
        <w:ind w:left="720"/>
        <w:rPr>
          <w:i/>
        </w:rPr>
      </w:pPr>
      <w:r w:rsidRPr="00443AE5">
        <w:rPr>
          <w:i/>
        </w:rPr>
        <w:t>Novo Thirteen is contraindicated in patients with a known hypersensitivity to, rFXIII or any of the excipients of Novo Thirteen.</w:t>
      </w:r>
    </w:p>
    <w:p w:rsidR="00697DB1" w:rsidRPr="00714D6E" w:rsidRDefault="00714D6E" w:rsidP="00714D6E">
      <w:r w:rsidRPr="00714D6E">
        <w:t xml:space="preserve">The possibility of remaining yeast antigens is not mentioned in the list of excipients and should be stated to ensure that patients with known hypersensitivity to yeast receive treatment in an appropriate setting. Moreover, the following addition to the PI precaution section is recommended: </w:t>
      </w:r>
      <w:r w:rsidR="00DD2B94">
        <w:t>a</w:t>
      </w:r>
      <w:r w:rsidRPr="00714D6E">
        <w:t>llergy testing</w:t>
      </w:r>
      <w:r w:rsidR="00DD2B94">
        <w:t xml:space="preserve">, for example, </w:t>
      </w:r>
      <w:r w:rsidRPr="00714D6E">
        <w:t>a prick test may be offered to patients with suspected hypersensitive to yeast antigens before treatment start.</w:t>
      </w:r>
    </w:p>
    <w:p w:rsidR="00697DB1" w:rsidRDefault="00697DB1" w:rsidP="00697DB1">
      <w:pPr>
        <w:pStyle w:val="Heading5"/>
      </w:pPr>
      <w:r w:rsidRPr="003A66AE">
        <w:t>Sponsor’s respo</w:t>
      </w:r>
      <w:r>
        <w:t>nse:</w:t>
      </w:r>
    </w:p>
    <w:p w:rsidR="00C34AE7" w:rsidRPr="00C34AE7" w:rsidRDefault="00C34AE7" w:rsidP="00C34AE7">
      <w:r w:rsidRPr="00C34AE7">
        <w:t xml:space="preserve">As recombinant FXIII may contain trace amounts of yeast, care should be taken when administering NovoThirteen to patients with a known allergy to </w:t>
      </w:r>
      <w:r>
        <w:t>yeast.</w:t>
      </w:r>
    </w:p>
    <w:p w:rsidR="00C34AE7" w:rsidRPr="00C34AE7" w:rsidRDefault="00C34AE7" w:rsidP="00C34AE7">
      <w:r w:rsidRPr="00C34AE7">
        <w:t xml:space="preserve">The </w:t>
      </w:r>
      <w:r w:rsidR="00966546">
        <w:t>“</w:t>
      </w:r>
      <w:r w:rsidRPr="00C34AE7">
        <w:t>tell your doctor</w:t>
      </w:r>
      <w:r w:rsidR="00966546">
        <w:t>”</w:t>
      </w:r>
      <w:r w:rsidRPr="00C34AE7">
        <w:t xml:space="preserve"> section of the CMI has been update with:</w:t>
      </w:r>
    </w:p>
    <w:p w:rsidR="00697DB1" w:rsidRPr="008D2169" w:rsidRDefault="00C34AE7" w:rsidP="008D2169">
      <w:pPr>
        <w:ind w:firstLine="720"/>
        <w:rPr>
          <w:i/>
        </w:rPr>
      </w:pPr>
      <w:r w:rsidRPr="008D2169">
        <w:rPr>
          <w:i/>
        </w:rPr>
        <w:t>are allergic to rFXIII, yeast protein or to any of the ingredients in NovoThirteen.</w:t>
      </w:r>
    </w:p>
    <w:p w:rsidR="00697DB1" w:rsidRDefault="00697DB1" w:rsidP="00697DB1">
      <w:pPr>
        <w:pStyle w:val="Heading5"/>
        <w:rPr>
          <w:lang w:eastAsia="en-AU"/>
        </w:rPr>
      </w:pPr>
      <w:r w:rsidRPr="005034D2">
        <w:rPr>
          <w:lang w:eastAsia="en-AU"/>
        </w:rPr>
        <w:t>OPR evaluator’s comment</w:t>
      </w:r>
      <w:r>
        <w:rPr>
          <w:lang w:eastAsia="en-AU"/>
        </w:rPr>
        <w:t>:</w:t>
      </w:r>
    </w:p>
    <w:p w:rsidR="00697DB1" w:rsidRPr="005A7A70" w:rsidRDefault="00526F3A" w:rsidP="005A7A70">
      <w:r w:rsidRPr="005A7A70">
        <w:t>The proposed PI and CMI provided in response to section 31 questions are considered acceptable in addressing the RMP evaluator’s comments.</w:t>
      </w:r>
    </w:p>
    <w:p w:rsidR="00697DB1" w:rsidRDefault="00B5543F" w:rsidP="00697DB1">
      <w:pPr>
        <w:pStyle w:val="Heading5"/>
      </w:pPr>
      <w:r>
        <w:rPr>
          <w:lang w:val="en-AU"/>
        </w:rPr>
        <w:t xml:space="preserve">12. </w:t>
      </w:r>
      <w:r w:rsidR="00697DB1" w:rsidRPr="00DA1081">
        <w:t>Recommendation in RMP evaluation report</w:t>
      </w:r>
      <w:r w:rsidR="00697DB1">
        <w:t>:</w:t>
      </w:r>
    </w:p>
    <w:p w:rsidR="00F266B1" w:rsidRDefault="003B25C9" w:rsidP="00F266B1">
      <w:r w:rsidRPr="00F266B1">
        <w:t>The PI should state that dose adjustments based on low FXIII activity levels should only be made under close patient monitoring if unsatisfactory therapeutic effect is due to development of antibodies. The</w:t>
      </w:r>
      <w:r w:rsidR="00F266B1">
        <w:t xml:space="preserve"> current wording in the PI is:</w:t>
      </w:r>
    </w:p>
    <w:p w:rsidR="00F266B1" w:rsidRPr="00F266B1" w:rsidRDefault="003B25C9" w:rsidP="00F266B1">
      <w:pPr>
        <w:ind w:left="720"/>
        <w:rPr>
          <w:i/>
        </w:rPr>
      </w:pPr>
      <w:r w:rsidRPr="00F266B1">
        <w:rPr>
          <w:i/>
        </w:rPr>
        <w:t>Dose adjustment can be considered necessary by the physician in certain situations where the prevention of bleeding is not appropriately covered by the recommended 35 IU/kg/month dose. This dose adjustment should be b</w:t>
      </w:r>
      <w:r w:rsidR="00F266B1" w:rsidRPr="00F266B1">
        <w:rPr>
          <w:i/>
        </w:rPr>
        <w:t>ased on FXIII activity levels.</w:t>
      </w:r>
    </w:p>
    <w:p w:rsidR="00697DB1" w:rsidRPr="00F266B1" w:rsidRDefault="003B25C9" w:rsidP="00F266B1">
      <w:r w:rsidRPr="00F266B1">
        <w:t>Recommended addition: Low FXIII activity levels may indicate development of antibodies (refer to section Inhibitor development) in which case further treatment should only be performed under close patient supervision.</w:t>
      </w:r>
    </w:p>
    <w:p w:rsidR="00697DB1" w:rsidRDefault="00697DB1" w:rsidP="00697DB1">
      <w:pPr>
        <w:pStyle w:val="Heading5"/>
      </w:pPr>
      <w:r w:rsidRPr="003A66AE">
        <w:lastRenderedPageBreak/>
        <w:t>Sponsor’s respo</w:t>
      </w:r>
      <w:r>
        <w:t>nse:</w:t>
      </w:r>
    </w:p>
    <w:p w:rsidR="00A473DC" w:rsidRDefault="00A603F4" w:rsidP="00A473DC">
      <w:r w:rsidRPr="00A473DC">
        <w:t>The recommended addi</w:t>
      </w:r>
      <w:r w:rsidR="00A473DC">
        <w:t>tion for the PI has been made:</w:t>
      </w:r>
    </w:p>
    <w:p w:rsidR="00697DB1" w:rsidRPr="00A473DC" w:rsidRDefault="00A603F4" w:rsidP="00A473DC">
      <w:pPr>
        <w:ind w:left="720"/>
        <w:rPr>
          <w:i/>
        </w:rPr>
      </w:pPr>
      <w:r w:rsidRPr="00A473DC">
        <w:rPr>
          <w:i/>
        </w:rPr>
        <w:t>Low FXIII activity levels may indicate development of antibodies (refer to section Inhibitor development) in which case further treatment should only be performed un</w:t>
      </w:r>
      <w:r w:rsidR="00A473DC" w:rsidRPr="00A473DC">
        <w:rPr>
          <w:i/>
        </w:rPr>
        <w:t>der close patient supervision.</w:t>
      </w:r>
    </w:p>
    <w:p w:rsidR="00697DB1" w:rsidRDefault="00697DB1" w:rsidP="00697DB1">
      <w:pPr>
        <w:pStyle w:val="Heading5"/>
        <w:rPr>
          <w:lang w:eastAsia="en-AU"/>
        </w:rPr>
      </w:pPr>
      <w:r w:rsidRPr="005034D2">
        <w:rPr>
          <w:lang w:eastAsia="en-AU"/>
        </w:rPr>
        <w:t>OPR evaluator’s comment</w:t>
      </w:r>
      <w:r>
        <w:rPr>
          <w:lang w:eastAsia="en-AU"/>
        </w:rPr>
        <w:t>:</w:t>
      </w:r>
    </w:p>
    <w:p w:rsidR="00697DB1" w:rsidRPr="00943789" w:rsidRDefault="00943789" w:rsidP="00943789">
      <w:r w:rsidRPr="00943789">
        <w:t>The proposed PI and CMI provided in response to section 31 questions are considered acceptable in addressing the RMP evaluator’s comments</w:t>
      </w:r>
      <w:r>
        <w:t>.</w:t>
      </w:r>
    </w:p>
    <w:p w:rsidR="00697DB1" w:rsidRDefault="00B5543F" w:rsidP="00697DB1">
      <w:pPr>
        <w:pStyle w:val="Heading5"/>
      </w:pPr>
      <w:r>
        <w:rPr>
          <w:lang w:val="en-AU"/>
        </w:rPr>
        <w:t xml:space="preserve">13. </w:t>
      </w:r>
      <w:r w:rsidR="00697DB1" w:rsidRPr="00DA1081">
        <w:t>Recommendation in RMP evaluation report</w:t>
      </w:r>
      <w:r w:rsidR="00697DB1">
        <w:t>:</w:t>
      </w:r>
    </w:p>
    <w:p w:rsidR="002E4A50" w:rsidRPr="00F760A5" w:rsidRDefault="002E4A50" w:rsidP="002E4A50">
      <w:r w:rsidRPr="00F760A5">
        <w:t>Because this product may be stored and used by patients at home</w:t>
      </w:r>
      <w:r>
        <w:t>,</w:t>
      </w:r>
      <w:r w:rsidRPr="00F760A5">
        <w:t xml:space="preserve"> it is important that storage, preparation and administration of the product are absolutely clearly described. Overall, this is sufficiently covered by the Pl/CMI/Physician &amp; Patients </w:t>
      </w:r>
      <w:r>
        <w:t>Brochure except for three points:</w:t>
      </w:r>
    </w:p>
    <w:p w:rsidR="002E4A50" w:rsidRPr="00F760A5" w:rsidRDefault="002E4A50" w:rsidP="008A2E13">
      <w:pPr>
        <w:pStyle w:val="Numberbullet0"/>
      </w:pPr>
      <w:r w:rsidRPr="00F760A5">
        <w:t xml:space="preserve">The educational materials should clarify what </w:t>
      </w:r>
      <w:r>
        <w:t>has to occur</w:t>
      </w:r>
      <w:r w:rsidRPr="00F760A5">
        <w:t xml:space="preserve"> if the product freezes. Currently the </w:t>
      </w:r>
      <w:r>
        <w:t>materials state: “</w:t>
      </w:r>
      <w:r w:rsidRPr="00F760A5">
        <w:t>T</w:t>
      </w:r>
      <w:r>
        <w:t>he product should not be frozen”</w:t>
      </w:r>
      <w:r w:rsidRPr="00F760A5">
        <w:t>, but it is unclear what has to be done if this occur</w:t>
      </w:r>
      <w:r>
        <w:t>s</w:t>
      </w:r>
      <w:r w:rsidRPr="00F760A5">
        <w:t xml:space="preserve"> (Does the product loose activity and need to be discarded or if </w:t>
      </w:r>
      <w:r>
        <w:t>the product</w:t>
      </w:r>
      <w:r w:rsidRPr="00F760A5">
        <w:t xml:space="preserve"> can still be used if </w:t>
      </w:r>
      <w:r>
        <w:t xml:space="preserve">there is </w:t>
      </w:r>
      <w:r w:rsidRPr="00F760A5">
        <w:t>no damage to the glass vials</w:t>
      </w:r>
      <w:r>
        <w:t>?</w:t>
      </w:r>
      <w:r w:rsidRPr="00F760A5">
        <w:t>)</w:t>
      </w:r>
    </w:p>
    <w:p w:rsidR="00F760A5" w:rsidRPr="00F760A5" w:rsidRDefault="002E4A50" w:rsidP="008A2E13">
      <w:pPr>
        <w:pStyle w:val="Numberbullet0"/>
      </w:pPr>
      <w:r w:rsidRPr="00F760A5">
        <w:t xml:space="preserve">The educational materials should clarify what </w:t>
      </w:r>
      <w:r>
        <w:t>should be done</w:t>
      </w:r>
      <w:r w:rsidRPr="00F760A5">
        <w:t xml:space="preserve"> if foaming occurs during product reconstitution. Currently the materials describe caution has to be taken during reconstitution</w:t>
      </w:r>
      <w:r>
        <w:t xml:space="preserve"> of the product</w:t>
      </w:r>
      <w:r w:rsidRPr="00F760A5">
        <w:t xml:space="preserve"> to avoid foaming</w:t>
      </w:r>
      <w:r>
        <w:t>.</w:t>
      </w:r>
      <w:r w:rsidRPr="00F760A5">
        <w:t>. It remains unclear what has to be done if foaming occurs (Can the product still be used by the patient after it was allowed to settle or does it need to be discarded?</w:t>
      </w:r>
      <w:r w:rsidR="00F760A5" w:rsidRPr="00F760A5">
        <w:t>).</w:t>
      </w:r>
    </w:p>
    <w:p w:rsidR="002E4A50" w:rsidRDefault="00F760A5" w:rsidP="008A2E13">
      <w:pPr>
        <w:pStyle w:val="Numberbullet0"/>
      </w:pPr>
      <w:r w:rsidRPr="00F760A5">
        <w:t xml:space="preserve">More information should be included in the patient brochure providing information about how to ensure that the </w:t>
      </w:r>
      <w:r>
        <w:t>IV</w:t>
      </w:r>
      <w:r w:rsidRPr="00F760A5">
        <w:t xml:space="preserve"> injection is performed successfully by the patient. This information could</w:t>
      </w:r>
      <w:r w:rsidR="002E4A50">
        <w:t xml:space="preserve"> include but is not limited to:</w:t>
      </w:r>
    </w:p>
    <w:p w:rsidR="002E4A50" w:rsidRDefault="00F760A5" w:rsidP="00917851">
      <w:pPr>
        <w:pStyle w:val="Numberbullet2"/>
      </w:pPr>
      <w:r w:rsidRPr="00F760A5">
        <w:t>What to do if the needle went through the vein during the</w:t>
      </w:r>
      <w:r>
        <w:t xml:space="preserve"> </w:t>
      </w:r>
      <w:r w:rsidRPr="00F760A5">
        <w:t>injection,</w:t>
      </w:r>
    </w:p>
    <w:p w:rsidR="002E4A50" w:rsidRDefault="00F760A5" w:rsidP="00917851">
      <w:pPr>
        <w:pStyle w:val="Numberbullet2"/>
      </w:pPr>
      <w:r w:rsidRPr="00F760A5">
        <w:t>What to do if the patient experiences pain or</w:t>
      </w:r>
      <w:r w:rsidR="002E4A50">
        <w:t xml:space="preserve"> bleeding during the injection,</w:t>
      </w:r>
    </w:p>
    <w:p w:rsidR="00697DB1" w:rsidRPr="00F760A5" w:rsidRDefault="00F760A5" w:rsidP="00917851">
      <w:pPr>
        <w:pStyle w:val="Numberbullet2"/>
      </w:pPr>
      <w:r w:rsidRPr="00F760A5">
        <w:t>What to do if there is a high resistance when attempting to empty the syringe.</w:t>
      </w:r>
    </w:p>
    <w:p w:rsidR="00697DB1" w:rsidRDefault="00697DB1" w:rsidP="00697DB1">
      <w:pPr>
        <w:pStyle w:val="Heading5"/>
      </w:pPr>
      <w:r w:rsidRPr="003A66AE">
        <w:t>Sponsor’s respo</w:t>
      </w:r>
      <w:r>
        <w:t>nse:</w:t>
      </w:r>
    </w:p>
    <w:p w:rsidR="0012039A" w:rsidRPr="0012039A" w:rsidRDefault="0012039A" w:rsidP="009D4624">
      <w:pPr>
        <w:pStyle w:val="Numberbullet0"/>
        <w:numPr>
          <w:ilvl w:val="0"/>
          <w:numId w:val="10"/>
        </w:numPr>
      </w:pPr>
      <w:r w:rsidRPr="0012039A">
        <w:t>If the reconstituted product is frozen</w:t>
      </w:r>
      <w:r w:rsidR="007B4CB8">
        <w:t>,</w:t>
      </w:r>
      <w:r w:rsidRPr="0012039A">
        <w:t xml:space="preserve"> it should not be used and should be disposed of. The rate of activation increases in the reconstituted product when frozen and thawed.</w:t>
      </w:r>
    </w:p>
    <w:p w:rsidR="0012039A" w:rsidRPr="0012039A" w:rsidRDefault="0012039A" w:rsidP="009D4624">
      <w:pPr>
        <w:pStyle w:val="Numberbullet0"/>
        <w:numPr>
          <w:ilvl w:val="0"/>
          <w:numId w:val="10"/>
        </w:numPr>
      </w:pPr>
      <w:r w:rsidRPr="0012039A">
        <w:t>The patient should wait until the foam is gone. When the foam has diminished</w:t>
      </w:r>
      <w:r w:rsidR="007B4CB8">
        <w:t>,</w:t>
      </w:r>
      <w:r w:rsidRPr="0012039A">
        <w:t xml:space="preserve"> the product should be swirled before use. As foaming can take a very long time to diminish it is important to handle the product according to the instructions in order to avoid foaming. The PI and the CMI have been updated accordingly.</w:t>
      </w:r>
    </w:p>
    <w:p w:rsidR="00697DB1" w:rsidRPr="0012039A" w:rsidRDefault="0012039A" w:rsidP="009D4624">
      <w:pPr>
        <w:pStyle w:val="Numberbullet0"/>
        <w:numPr>
          <w:ilvl w:val="0"/>
          <w:numId w:val="10"/>
        </w:numPr>
      </w:pPr>
      <w:r w:rsidRPr="0012039A">
        <w:t>Details regarding proper handling are included in the PI and the CMI</w:t>
      </w:r>
      <w:r w:rsidR="007B4CB8">
        <w:t>,</w:t>
      </w:r>
      <w:r w:rsidRPr="0012039A">
        <w:t xml:space="preserve"> as well as in the educational material for the patient and the </w:t>
      </w:r>
      <w:r w:rsidR="007B4CB8">
        <w:t>physician information brochure.</w:t>
      </w:r>
    </w:p>
    <w:p w:rsidR="00697DB1" w:rsidRDefault="00697DB1" w:rsidP="00697DB1">
      <w:pPr>
        <w:pStyle w:val="Heading5"/>
        <w:rPr>
          <w:lang w:eastAsia="en-AU"/>
        </w:rPr>
      </w:pPr>
      <w:r w:rsidRPr="005034D2">
        <w:rPr>
          <w:lang w:eastAsia="en-AU"/>
        </w:rPr>
        <w:t>OPR evaluator’s comment</w:t>
      </w:r>
      <w:r>
        <w:rPr>
          <w:lang w:eastAsia="en-AU"/>
        </w:rPr>
        <w:t>:</w:t>
      </w:r>
    </w:p>
    <w:p w:rsidR="002E4A50" w:rsidRPr="007B4CB8" w:rsidRDefault="002E4A50" w:rsidP="002E4A50">
      <w:r w:rsidRPr="007B4CB8">
        <w:t>This is considered generally acceptable except</w:t>
      </w:r>
      <w:r>
        <w:t xml:space="preserve"> for</w:t>
      </w:r>
      <w:r w:rsidRPr="007B4CB8">
        <w:t xml:space="preserve"> 1.) and 3.):</w:t>
      </w:r>
    </w:p>
    <w:p w:rsidR="002E4A50" w:rsidRPr="007B4CB8" w:rsidRDefault="002E4A50" w:rsidP="009D4624">
      <w:pPr>
        <w:pStyle w:val="Numberbullet0"/>
        <w:numPr>
          <w:ilvl w:val="0"/>
          <w:numId w:val="11"/>
        </w:numPr>
      </w:pPr>
      <w:r w:rsidRPr="007B4CB8">
        <w:t xml:space="preserve">It is recommended that the sponsor adds a statement in the section “Storage” of the CMI to advise patients what action has to be taken if the unreconstituted product freezes. Currently the CMI states in section “Storage”: </w:t>
      </w:r>
      <w:r>
        <w:t>“</w:t>
      </w:r>
      <w:r w:rsidRPr="007B4CB8">
        <w:t>T</w:t>
      </w:r>
      <w:r>
        <w:t>he product should not be frozen”</w:t>
      </w:r>
      <w:r w:rsidRPr="007B4CB8">
        <w:t xml:space="preserve">, but it is unclear what has to be done if this </w:t>
      </w:r>
      <w:r>
        <w:t>should</w:t>
      </w:r>
      <w:r w:rsidRPr="007B4CB8">
        <w:t xml:space="preserve"> occur (</w:t>
      </w:r>
      <w:r>
        <w:t>d</w:t>
      </w:r>
      <w:r w:rsidRPr="007B4CB8">
        <w:t xml:space="preserve">oes the product lose activity and need to be discarded or if </w:t>
      </w:r>
      <w:r>
        <w:t>the product</w:t>
      </w:r>
      <w:r w:rsidRPr="007B4CB8">
        <w:t xml:space="preserve"> can still be used if </w:t>
      </w:r>
      <w:r>
        <w:t xml:space="preserve">there is </w:t>
      </w:r>
      <w:r w:rsidRPr="007B4CB8">
        <w:t>no damage to the glass vials?)</w:t>
      </w:r>
    </w:p>
    <w:p w:rsidR="002E4A50" w:rsidRPr="007B4CB8" w:rsidRDefault="002E4A50" w:rsidP="00BE61FF">
      <w:pPr>
        <w:pStyle w:val="Numberbullet0"/>
      </w:pPr>
      <w:r w:rsidRPr="007B4CB8">
        <w:lastRenderedPageBreak/>
        <w:t xml:space="preserve">The RMP evaluator is satisfied with the actions taken by the sponsor to address this query raised in the </w:t>
      </w:r>
      <w:r>
        <w:t>R</w:t>
      </w:r>
      <w:r w:rsidRPr="007B4CB8">
        <w:t>ound 1 RMP report. The proposed PI and CMI provided in response to section 31 questions are considered acceptable in addressing</w:t>
      </w:r>
      <w:r w:rsidR="00BE61FF">
        <w:t xml:space="preserve"> the RMP evaluator’s comments.</w:t>
      </w:r>
    </w:p>
    <w:p w:rsidR="00697DB1" w:rsidRPr="007B4CB8" w:rsidRDefault="002E4A50" w:rsidP="00BE61FF">
      <w:pPr>
        <w:pStyle w:val="Numberbullet0"/>
      </w:pPr>
      <w:r w:rsidRPr="007B4CB8">
        <w:t>It is recommended that the sponsor provides the patient and the physician information brochure for review prior to launch. The validity of the references made to these documents in this section will be assessed at that time</w:t>
      </w:r>
      <w:r w:rsidR="007B4CB8" w:rsidRPr="007B4CB8">
        <w:t>.</w:t>
      </w:r>
    </w:p>
    <w:p w:rsidR="00697DB1" w:rsidRDefault="000D649C" w:rsidP="00697DB1">
      <w:pPr>
        <w:pStyle w:val="Heading5"/>
      </w:pPr>
      <w:r>
        <w:rPr>
          <w:lang w:val="en-AU"/>
        </w:rPr>
        <w:t xml:space="preserve">14. </w:t>
      </w:r>
      <w:r w:rsidR="00697DB1" w:rsidRPr="00DA1081">
        <w:t>Recommendation in RMP evaluation report</w:t>
      </w:r>
      <w:r w:rsidR="00697DB1">
        <w:t>:</w:t>
      </w:r>
    </w:p>
    <w:p w:rsidR="00FA1F5F" w:rsidRDefault="00C81C1D" w:rsidP="00C81C1D">
      <w:r w:rsidRPr="00C81C1D">
        <w:t>The sponsor should clarify the inconsistency in the formulas provided for calculation of the required injection volume between adults and</w:t>
      </w:r>
      <w:r>
        <w:t xml:space="preserve"> children &lt;24 kg in the PI/CMI/</w:t>
      </w:r>
      <w:r w:rsidRPr="00C81C1D">
        <w:t>patients brochure/physician brochure. The formula p</w:t>
      </w:r>
      <w:r w:rsidR="00FA1F5F">
        <w:t>rovided for adults is:</w:t>
      </w:r>
    </w:p>
    <w:p w:rsidR="00FA1F5F" w:rsidRDefault="00554584" w:rsidP="00FA1F5F">
      <w:pPr>
        <w:ind w:firstLine="720"/>
      </w:pPr>
      <w:r>
        <w:t xml:space="preserve">0.042 ml x </w:t>
      </w:r>
      <w:r w:rsidR="00C81C1D" w:rsidRPr="00C81C1D">
        <w:t>body weight (kg) (</w:t>
      </w:r>
      <w:r w:rsidR="00C81C1D">
        <w:t>t</w:t>
      </w:r>
      <w:r w:rsidR="00C81C1D" w:rsidRPr="00C81C1D">
        <w:t>otal</w:t>
      </w:r>
      <w:r w:rsidR="00C81C1D">
        <w:t xml:space="preserve"> </w:t>
      </w:r>
      <w:r w:rsidR="00C81C1D" w:rsidRPr="00C81C1D">
        <w:t>vol</w:t>
      </w:r>
      <w:r w:rsidR="00FA1F5F">
        <w:t>ume after reconstitution 3 ml)</w:t>
      </w:r>
    </w:p>
    <w:p w:rsidR="00FA1F5F" w:rsidRDefault="00C81C1D" w:rsidP="00C81C1D">
      <w:r w:rsidRPr="00C81C1D">
        <w:t>For children under 24</w:t>
      </w:r>
      <w:r>
        <w:t xml:space="preserve"> </w:t>
      </w:r>
      <w:r w:rsidRPr="00C81C1D">
        <w:t>kg</w:t>
      </w:r>
      <w:r>
        <w:t>,</w:t>
      </w:r>
      <w:r w:rsidRPr="00C81C1D">
        <w:t xml:space="preserve"> it is recommended to add a further 6 ml 0.9% sodium chloride solution and to apply </w:t>
      </w:r>
      <w:r w:rsidR="00FA1F5F">
        <w:t>the following formula:</w:t>
      </w:r>
    </w:p>
    <w:p w:rsidR="00FA1F5F" w:rsidRDefault="00554584" w:rsidP="00FA1F5F">
      <w:pPr>
        <w:ind w:firstLine="720"/>
      </w:pPr>
      <w:r>
        <w:t xml:space="preserve">0.117 ml x </w:t>
      </w:r>
      <w:r w:rsidR="007569E8">
        <w:t>body weight (kg)</w:t>
      </w:r>
    </w:p>
    <w:p w:rsidR="00697DB1" w:rsidRPr="00C81C1D" w:rsidRDefault="00C81C1D" w:rsidP="00C81C1D">
      <w:r w:rsidRPr="00C81C1D">
        <w:t>To calculate the same dose as for adults</w:t>
      </w:r>
      <w:r w:rsidR="00B93AE7">
        <w:t>,</w:t>
      </w:r>
      <w:r w:rsidRPr="00C81C1D">
        <w:t xml:space="preserve"> this number should be 0.126 instead (0.042 </w:t>
      </w:r>
      <w:r w:rsidR="00554584">
        <w:t>x</w:t>
      </w:r>
      <w:r w:rsidRPr="00C81C1D">
        <w:t xml:space="preserve"> 3 (dilution factor) = 0.126).</w:t>
      </w:r>
    </w:p>
    <w:p w:rsidR="00697DB1" w:rsidRDefault="00697DB1" w:rsidP="00697DB1">
      <w:pPr>
        <w:pStyle w:val="Heading5"/>
      </w:pPr>
      <w:r w:rsidRPr="003A66AE">
        <w:t>Sponsor’s respo</w:t>
      </w:r>
      <w:r>
        <w:t>nse:</w:t>
      </w:r>
    </w:p>
    <w:p w:rsidR="006F6E93" w:rsidRDefault="006F6E93" w:rsidP="00C81C1D">
      <w:r>
        <w:t>The formula</w:t>
      </w:r>
    </w:p>
    <w:p w:rsidR="006F6E93" w:rsidRDefault="006F6E93" w:rsidP="006F6E93">
      <w:pPr>
        <w:ind w:firstLine="720"/>
      </w:pPr>
      <w:r>
        <w:t>0.117 ml x body weight (kg)</w:t>
      </w:r>
    </w:p>
    <w:p w:rsidR="00C81C1D" w:rsidRPr="00C81C1D" w:rsidRDefault="00C81C1D" w:rsidP="00C81C1D">
      <w:r w:rsidRPr="00C81C1D">
        <w:t>is bas</w:t>
      </w:r>
      <w:r>
        <w:t>ed on the following calculation.</w:t>
      </w:r>
    </w:p>
    <w:p w:rsidR="00C81C1D" w:rsidRPr="00C81C1D" w:rsidRDefault="00C81C1D" w:rsidP="00C81C1D">
      <w:r w:rsidRPr="00C81C1D">
        <w:t>The solvent vial for the reconstitution of NovoThirteen contains 3.2 ml solvent which expands to 3.36 ml when adding the solvent due to the dry matter present. The total volume for injection will however only be 3.0 ml.</w:t>
      </w:r>
    </w:p>
    <w:p w:rsidR="00C81C1D" w:rsidRPr="00C81C1D" w:rsidRDefault="00C81C1D" w:rsidP="00C81C1D">
      <w:r w:rsidRPr="00C81C1D">
        <w:t xml:space="preserve">Reconstituted drug product in the vial contains: 3.36 ml solvent with a </w:t>
      </w:r>
      <w:r w:rsidR="00E42065">
        <w:t>concentration</w:t>
      </w:r>
      <w:r w:rsidR="00E42065" w:rsidRPr="00C81C1D">
        <w:t xml:space="preserve"> </w:t>
      </w:r>
      <w:r w:rsidRPr="00C81C1D">
        <w:t>of 833 IU/ml corresponding to 2799 IU Drug product for admi</w:t>
      </w:r>
      <w:r>
        <w:t xml:space="preserve">nistration: 3.0 ml with a concentration </w:t>
      </w:r>
      <w:r w:rsidRPr="00C81C1D">
        <w:t>of 833 IU/ml corresponding to 2500 IU.</w:t>
      </w:r>
    </w:p>
    <w:p w:rsidR="00C81C1D" w:rsidRPr="00C81C1D" w:rsidRDefault="00C81C1D" w:rsidP="00C81C1D">
      <w:r w:rsidRPr="00C81C1D">
        <w:t xml:space="preserve">When the reconstituted NovoThirteen is diluted with 6.0 ml sodium chloride there is in total 9.36 ml solvent in the vial corresponding to a conc. of 299 IU/ml (2799 IU/9.36 ml). Drug product for administration is then 9.0 ml with a </w:t>
      </w:r>
      <w:r w:rsidR="002A3752">
        <w:t>concentration</w:t>
      </w:r>
      <w:r w:rsidR="002A3752" w:rsidRPr="00C81C1D">
        <w:t xml:space="preserve"> </w:t>
      </w:r>
      <w:r w:rsidRPr="00C81C1D">
        <w:t>of 299 IU/ml</w:t>
      </w:r>
      <w:r w:rsidR="002A3752">
        <w:t>.</w:t>
      </w:r>
    </w:p>
    <w:p w:rsidR="007569E8" w:rsidRDefault="00C81C1D" w:rsidP="00C81C1D">
      <w:r w:rsidRPr="00C81C1D">
        <w:t>The formula for dosing of children with a body we</w:t>
      </w:r>
      <w:r w:rsidR="007569E8">
        <w:t>ight below 24 kg is as follows:</w:t>
      </w:r>
    </w:p>
    <w:p w:rsidR="007569E8" w:rsidRDefault="00C81C1D" w:rsidP="007569E8">
      <w:pPr>
        <w:ind w:firstLine="720"/>
      </w:pPr>
      <w:r w:rsidRPr="00C81C1D">
        <w:t>Dose vol</w:t>
      </w:r>
      <w:r w:rsidR="007569E8">
        <w:t>ume in mL = 35 IU/kg/299 IU/ml x body weight (bw) in kg</w:t>
      </w:r>
    </w:p>
    <w:p w:rsidR="007569E8" w:rsidRDefault="007569E8" w:rsidP="00C81C1D">
      <w:r>
        <w:t>corresponding to:</w:t>
      </w:r>
    </w:p>
    <w:p w:rsidR="00697DB1" w:rsidRPr="00C81C1D" w:rsidRDefault="00C81C1D" w:rsidP="007569E8">
      <w:pPr>
        <w:ind w:firstLine="720"/>
      </w:pPr>
      <w:r w:rsidRPr="00C81C1D">
        <w:t xml:space="preserve">Dose volume in ml = 0.117 </w:t>
      </w:r>
      <w:r w:rsidR="007569E8">
        <w:t>x bw (kg)</w:t>
      </w:r>
    </w:p>
    <w:p w:rsidR="00697DB1" w:rsidRDefault="00697DB1" w:rsidP="00697DB1">
      <w:pPr>
        <w:pStyle w:val="Heading5"/>
        <w:rPr>
          <w:lang w:eastAsia="en-AU"/>
        </w:rPr>
      </w:pPr>
      <w:r w:rsidRPr="005034D2">
        <w:rPr>
          <w:lang w:eastAsia="en-AU"/>
        </w:rPr>
        <w:t>OPR evaluator’s comment</w:t>
      </w:r>
      <w:r>
        <w:rPr>
          <w:lang w:eastAsia="en-AU"/>
        </w:rPr>
        <w:t>:</w:t>
      </w:r>
    </w:p>
    <w:p w:rsidR="00697DB1" w:rsidRPr="00B151B2" w:rsidRDefault="000D7894" w:rsidP="00B151B2">
      <w:r w:rsidRPr="00B151B2">
        <w:t>The provided explanation has been noted. This is considered acceptable.</w:t>
      </w:r>
    </w:p>
    <w:p w:rsidR="000D649C" w:rsidRDefault="000D649C" w:rsidP="000D649C">
      <w:pPr>
        <w:pStyle w:val="Heading5"/>
      </w:pPr>
      <w:r>
        <w:rPr>
          <w:lang w:val="en-AU"/>
        </w:rPr>
        <w:t xml:space="preserve">15. </w:t>
      </w:r>
      <w:r w:rsidRPr="00DA1081">
        <w:t>Recommendation in RMP evaluation report</w:t>
      </w:r>
      <w:r>
        <w:t>:</w:t>
      </w:r>
    </w:p>
    <w:p w:rsidR="0047060F" w:rsidRDefault="0047060F" w:rsidP="0047060F">
      <w:r w:rsidRPr="0047060F">
        <w:t>In case that home therapy for adequately trained patients will be considered appropriate by treating physicians</w:t>
      </w:r>
      <w:r>
        <w:t>,</w:t>
      </w:r>
      <w:r w:rsidRPr="0047060F">
        <w:t xml:space="preserve"> it is suggested to make changes to the CMI to mitigate the risk of an anaphylactic reaction. The</w:t>
      </w:r>
      <w:r>
        <w:t xml:space="preserve"> current wording in the CMI is:</w:t>
      </w:r>
    </w:p>
    <w:p w:rsidR="0047060F" w:rsidRPr="0047060F" w:rsidRDefault="0047060F" w:rsidP="0047060F">
      <w:pPr>
        <w:ind w:left="720"/>
        <w:rPr>
          <w:i/>
        </w:rPr>
      </w:pPr>
      <w:r w:rsidRPr="0047060F">
        <w:rPr>
          <w:i/>
        </w:rPr>
        <w:t>Start of treatme</w:t>
      </w:r>
      <w:r w:rsidR="00E671AC">
        <w:rPr>
          <w:i/>
        </w:rPr>
        <w:t>nt with Novo</w:t>
      </w:r>
      <w:r w:rsidRPr="0047060F">
        <w:rPr>
          <w:i/>
        </w:rPr>
        <w:t>Thirteen should be supervised by a doctor with experience in rare bleeding conditions.</w:t>
      </w:r>
    </w:p>
    <w:p w:rsidR="0047060F" w:rsidRPr="0047060F" w:rsidRDefault="0047060F" w:rsidP="0047060F">
      <w:r w:rsidRPr="0047060F">
        <w:t>Suggested addition:</w:t>
      </w:r>
    </w:p>
    <w:p w:rsidR="000D649C" w:rsidRPr="0047060F" w:rsidRDefault="0047060F" w:rsidP="0047060F">
      <w:pPr>
        <w:ind w:firstLine="720"/>
        <w:rPr>
          <w:i/>
        </w:rPr>
      </w:pPr>
      <w:r w:rsidRPr="0047060F">
        <w:rPr>
          <w:i/>
        </w:rPr>
        <w:lastRenderedPageBreak/>
        <w:t>Following treatment cycles should also be supervised by a doctor for a period of time.</w:t>
      </w:r>
    </w:p>
    <w:p w:rsidR="000D649C" w:rsidRDefault="000D649C" w:rsidP="000D649C">
      <w:pPr>
        <w:pStyle w:val="Heading5"/>
      </w:pPr>
      <w:r w:rsidRPr="003A66AE">
        <w:t>Sponsor’s respo</w:t>
      </w:r>
      <w:r>
        <w:t>nse:</w:t>
      </w:r>
    </w:p>
    <w:p w:rsidR="000D649C" w:rsidRPr="00A8730E" w:rsidRDefault="00E671AC" w:rsidP="00A8730E">
      <w:pPr>
        <w:ind w:left="720"/>
        <w:rPr>
          <w:i/>
        </w:rPr>
      </w:pPr>
      <w:r w:rsidRPr="00A8730E">
        <w:rPr>
          <w:i/>
        </w:rPr>
        <w:t>Start of treatment with NovoThirteen should be supervised by a doctor with experience in rare bleeding conditions. Following treatment cycles should also be supervised by a doctor for a period of time. Always use this medicine exactly as your doctor has told you. Check with your doctor or health care professional if</w:t>
      </w:r>
      <w:r w:rsidR="00A8730E" w:rsidRPr="00A8730E">
        <w:rPr>
          <w:i/>
        </w:rPr>
        <w:t xml:space="preserve"> you are not sure.</w:t>
      </w:r>
    </w:p>
    <w:p w:rsidR="00A8730E" w:rsidRPr="00E671AC" w:rsidRDefault="00A8730E" w:rsidP="00E671AC">
      <w:r>
        <w:t>has been included.</w:t>
      </w:r>
    </w:p>
    <w:p w:rsidR="000D649C" w:rsidRDefault="000D649C" w:rsidP="000D649C">
      <w:pPr>
        <w:pStyle w:val="Heading5"/>
        <w:rPr>
          <w:lang w:eastAsia="en-AU"/>
        </w:rPr>
      </w:pPr>
      <w:r w:rsidRPr="005034D2">
        <w:rPr>
          <w:lang w:eastAsia="en-AU"/>
        </w:rPr>
        <w:t>OPR evaluator’s comment</w:t>
      </w:r>
      <w:r>
        <w:rPr>
          <w:lang w:eastAsia="en-AU"/>
        </w:rPr>
        <w:t>:</w:t>
      </w:r>
    </w:p>
    <w:p w:rsidR="000D649C" w:rsidRPr="003B1AC7" w:rsidRDefault="003040BC" w:rsidP="003B1AC7">
      <w:r w:rsidRPr="003B1AC7">
        <w:t>The proposed PI and CMI provided in response to section 31 questions are considered acceptable in addressing the RMP evaluator’s comments.</w:t>
      </w:r>
    </w:p>
    <w:p w:rsidR="000D649C" w:rsidRDefault="000D649C" w:rsidP="000D649C">
      <w:pPr>
        <w:pStyle w:val="Heading5"/>
      </w:pPr>
      <w:r>
        <w:rPr>
          <w:lang w:val="en-AU"/>
        </w:rPr>
        <w:t xml:space="preserve">16. </w:t>
      </w:r>
      <w:r w:rsidRPr="00DA1081">
        <w:t>Recommendation in RMP evaluation report</w:t>
      </w:r>
      <w:r>
        <w:t>:</w:t>
      </w:r>
    </w:p>
    <w:p w:rsidR="006D6600" w:rsidRDefault="003B1AC7" w:rsidP="003B1AC7">
      <w:r w:rsidRPr="003B1AC7">
        <w:t>In case that home therapy for adequately trained patients will be considered appropriate by treating physicians</w:t>
      </w:r>
      <w:r w:rsidR="006D6600">
        <w:t>,</w:t>
      </w:r>
      <w:r w:rsidRPr="003B1AC7">
        <w:t xml:space="preserve"> it is suggested to make changes to the PI to mitigate the risk of an anaphylactic reaction. Th</w:t>
      </w:r>
      <w:r w:rsidR="006D6600">
        <w:t>e current wording in the PI is:</w:t>
      </w:r>
    </w:p>
    <w:p w:rsidR="006D6600" w:rsidRPr="006D6600" w:rsidRDefault="003B1AC7" w:rsidP="006D6600">
      <w:pPr>
        <w:ind w:left="720"/>
        <w:rPr>
          <w:i/>
        </w:rPr>
      </w:pPr>
      <w:r w:rsidRPr="006D6600">
        <w:rPr>
          <w:i/>
        </w:rPr>
        <w:t>Treatment should be initiated under the supervision of a doctor experienced in the treatm</w:t>
      </w:r>
      <w:r w:rsidR="006D6600" w:rsidRPr="006D6600">
        <w:rPr>
          <w:i/>
        </w:rPr>
        <w:t>ent of rare bleeding disorders.</w:t>
      </w:r>
    </w:p>
    <w:p w:rsidR="006D6600" w:rsidRDefault="006D6600" w:rsidP="003B1AC7">
      <w:r>
        <w:t>Suggested wording:</w:t>
      </w:r>
    </w:p>
    <w:p w:rsidR="000D649C" w:rsidRPr="006D6600" w:rsidRDefault="003B1AC7" w:rsidP="006D6600">
      <w:pPr>
        <w:ind w:left="720"/>
        <w:rPr>
          <w:i/>
        </w:rPr>
      </w:pPr>
      <w:r w:rsidRPr="006D6600">
        <w:rPr>
          <w:i/>
        </w:rPr>
        <w:t>Treatment should be initiated and continued for a period of time under the supervision of a doctor experienced in the treatment of rare bleeding disorders.</w:t>
      </w:r>
    </w:p>
    <w:p w:rsidR="000D649C" w:rsidRDefault="000D649C" w:rsidP="000D649C">
      <w:pPr>
        <w:pStyle w:val="Heading5"/>
      </w:pPr>
      <w:r w:rsidRPr="003A66AE">
        <w:t>Sponsor’s respo</w:t>
      </w:r>
      <w:r>
        <w:t>nse:</w:t>
      </w:r>
    </w:p>
    <w:p w:rsidR="00A8730E" w:rsidRPr="00A8730E" w:rsidRDefault="00400E2E" w:rsidP="00A8730E">
      <w:pPr>
        <w:ind w:left="720"/>
        <w:rPr>
          <w:i/>
        </w:rPr>
      </w:pPr>
      <w:r w:rsidRPr="00A8730E">
        <w:rPr>
          <w:i/>
        </w:rPr>
        <w:t>Treatment should be initiated and continued for a period of time under the supervision of a doctor experienced in the treatment of rare bleeding disorders.</w:t>
      </w:r>
    </w:p>
    <w:p w:rsidR="000D649C" w:rsidRPr="00400E2E" w:rsidRDefault="00400E2E" w:rsidP="00400E2E">
      <w:r>
        <w:t>has been included.</w:t>
      </w:r>
    </w:p>
    <w:p w:rsidR="000D649C" w:rsidRDefault="000D649C" w:rsidP="000D649C">
      <w:pPr>
        <w:pStyle w:val="Heading5"/>
        <w:rPr>
          <w:lang w:eastAsia="en-AU"/>
        </w:rPr>
      </w:pPr>
      <w:r w:rsidRPr="005034D2">
        <w:rPr>
          <w:lang w:eastAsia="en-AU"/>
        </w:rPr>
        <w:t>OPR evaluator’s comment</w:t>
      </w:r>
      <w:r>
        <w:rPr>
          <w:lang w:eastAsia="en-AU"/>
        </w:rPr>
        <w:t>:</w:t>
      </w:r>
    </w:p>
    <w:p w:rsidR="000D649C" w:rsidRPr="00CD14B7" w:rsidRDefault="00CD14B7" w:rsidP="00CD14B7">
      <w:r w:rsidRPr="00CD14B7">
        <w:t>The proposed PI and CMI provided in response to section 31 questions are considered acceptable in addressing the RMP evaluator’s comments</w:t>
      </w:r>
      <w:r>
        <w:t>.</w:t>
      </w:r>
    </w:p>
    <w:p w:rsidR="00DD3CC9" w:rsidRPr="003F64D6" w:rsidRDefault="005527A1" w:rsidP="005527A1">
      <w:pPr>
        <w:pStyle w:val="Heading4"/>
      </w:pPr>
      <w:r>
        <w:t>Summary of recommendations</w:t>
      </w:r>
    </w:p>
    <w:p w:rsidR="00DD3CC9" w:rsidRPr="00BE61FF" w:rsidRDefault="00DD3CC9" w:rsidP="005527A1">
      <w:pPr>
        <w:pStyle w:val="Heading5"/>
        <w:rPr>
          <w:lang w:val="en-AU"/>
        </w:rPr>
      </w:pPr>
      <w:r w:rsidRPr="00FF4785">
        <w:t>Issues in relation to the RMP</w:t>
      </w:r>
    </w:p>
    <w:p w:rsidR="00A30484" w:rsidRPr="00A30484" w:rsidRDefault="007569E8" w:rsidP="00A30484">
      <w:pPr>
        <w:pStyle w:val="ListBullet"/>
      </w:pPr>
      <w:r w:rsidRPr="00A30484">
        <w:t>It is recommended that the sponsor offers antibody testing against anti</w:t>
      </w:r>
      <w:r>
        <w:t xml:space="preserve"> </w:t>
      </w:r>
      <w:r w:rsidRPr="00A30484">
        <w:t xml:space="preserve">yeast antibodies </w:t>
      </w:r>
      <w:r>
        <w:t>for patients on receipt of</w:t>
      </w:r>
      <w:r w:rsidRPr="00A30484">
        <w:t xml:space="preserve"> follow up forms for allergic/anaphylactic reactions, and commits to report the</w:t>
      </w:r>
      <w:r>
        <w:t xml:space="preserve"> results</w:t>
      </w:r>
      <w:r w:rsidRPr="00A30484">
        <w:t xml:space="preserve"> on the same expedited basis as develop</w:t>
      </w:r>
      <w:r>
        <w:t>ment of antibodies against rFXII</w:t>
      </w:r>
      <w:r w:rsidRPr="00A30484">
        <w:t>I</w:t>
      </w:r>
      <w:r w:rsidR="00A30484" w:rsidRPr="00A30484">
        <w:t>.</w:t>
      </w:r>
    </w:p>
    <w:p w:rsidR="00A30484" w:rsidRPr="00A30484" w:rsidRDefault="00A30484" w:rsidP="00A30484">
      <w:pPr>
        <w:pStyle w:val="ListBullet"/>
      </w:pPr>
      <w:r w:rsidRPr="00A30484">
        <w:t xml:space="preserve">It is recommended that the sponsor provides the educational materials for patients and physicians for review prior </w:t>
      </w:r>
      <w:r w:rsidR="00EE4E92">
        <w:t>to launch of the product</w:t>
      </w:r>
      <w:r w:rsidR="00BE61FF">
        <w:t>.</w:t>
      </w:r>
    </w:p>
    <w:p w:rsidR="00A30484" w:rsidRPr="00A30484" w:rsidRDefault="00A30484" w:rsidP="00A30484">
      <w:pPr>
        <w:pStyle w:val="ListBullet"/>
      </w:pPr>
      <w:r w:rsidRPr="00A30484">
        <w:t>It is recommended</w:t>
      </w:r>
      <w:r w:rsidR="00EE4E92">
        <w:t xml:space="preserve"> that the sponsor amend the non</w:t>
      </w:r>
      <w:r w:rsidRPr="00A30484">
        <w:t xml:space="preserve">clinical aspects of the Safety </w:t>
      </w:r>
      <w:r w:rsidR="00232DCB">
        <w:t xml:space="preserve">Specification in accordance with the nonclinical evaluation report </w:t>
      </w:r>
      <w:r w:rsidRPr="00A30484">
        <w:t>when the EU-RMP is ne</w:t>
      </w:r>
      <w:r w:rsidR="00FD3F24">
        <w:t>xt updated</w:t>
      </w:r>
      <w:r w:rsidRPr="00A30484">
        <w:t>.</w:t>
      </w:r>
    </w:p>
    <w:p w:rsidR="00DD3CC9" w:rsidRPr="00FF4785" w:rsidRDefault="00DD3CC9" w:rsidP="005527A1">
      <w:pPr>
        <w:pStyle w:val="Heading5"/>
      </w:pPr>
      <w:r w:rsidRPr="00FF4785">
        <w:t>Advice from the Advisory Committee on the Safety of Medicines (ACSOM)</w:t>
      </w:r>
    </w:p>
    <w:p w:rsidR="006D22FD" w:rsidRDefault="006D22FD" w:rsidP="00856C0B">
      <w:r w:rsidRPr="006D22FD">
        <w:t>ACSOM advice was not sought for this submission.</w:t>
      </w:r>
    </w:p>
    <w:p w:rsidR="00DD3CC9" w:rsidRPr="00107999" w:rsidRDefault="00DD3CC9" w:rsidP="00DD3CC9">
      <w:pPr>
        <w:pStyle w:val="Heading5"/>
      </w:pPr>
      <w:r w:rsidRPr="00107999">
        <w:lastRenderedPageBreak/>
        <w:t>Comments on the safety specification of the RMP</w:t>
      </w:r>
    </w:p>
    <w:p w:rsidR="00F0528F" w:rsidRPr="00F0528F" w:rsidRDefault="00F0528F" w:rsidP="000F33B2">
      <w:pPr>
        <w:pStyle w:val="Heading6"/>
      </w:pPr>
      <w:r w:rsidRPr="00F0528F">
        <w:t xml:space="preserve">Clinical </w:t>
      </w:r>
      <w:r w:rsidR="000F33B2">
        <w:t>e</w:t>
      </w:r>
      <w:r w:rsidRPr="00F0528F">
        <w:t xml:space="preserve">valuation </w:t>
      </w:r>
      <w:r w:rsidR="000F33B2">
        <w:t>r</w:t>
      </w:r>
      <w:r w:rsidRPr="00F0528F">
        <w:t xml:space="preserve">eport </w:t>
      </w:r>
    </w:p>
    <w:p w:rsidR="00F0528F" w:rsidRPr="00F0528F" w:rsidRDefault="00F0528F" w:rsidP="00F0528F">
      <w:r w:rsidRPr="00F0528F">
        <w:t>No amended</w:t>
      </w:r>
      <w:r w:rsidR="00574F2C">
        <w:t xml:space="preserve"> draft RMP was provided in the Section </w:t>
      </w:r>
      <w:r w:rsidRPr="00F0528F">
        <w:t xml:space="preserve">31 Response. Following </w:t>
      </w:r>
      <w:r w:rsidR="00131144">
        <w:t>CER1</w:t>
      </w:r>
      <w:r w:rsidRPr="00F0528F">
        <w:t>, the clinical aspects of Safety Specification in the draft RMP provided with the original submission was considered to be satisfactory.</w:t>
      </w:r>
    </w:p>
    <w:p w:rsidR="00F0528F" w:rsidRPr="00856C0B" w:rsidRDefault="000F33B2" w:rsidP="000F33B2">
      <w:pPr>
        <w:pStyle w:val="Heading6"/>
        <w:rPr>
          <w:lang w:val="en-AU"/>
        </w:rPr>
      </w:pPr>
      <w:r>
        <w:t>Non</w:t>
      </w:r>
      <w:r w:rsidR="00F0528F" w:rsidRPr="00F0528F">
        <w:t xml:space="preserve">clinical evaluation </w:t>
      </w:r>
      <w:r w:rsidR="00A138CA">
        <w:t>r</w:t>
      </w:r>
      <w:r w:rsidR="00856C0B">
        <w:t>eport</w:t>
      </w:r>
    </w:p>
    <w:p w:rsidR="00F0528F" w:rsidRPr="00F0528F" w:rsidRDefault="00F0528F" w:rsidP="00F0528F">
      <w:r w:rsidRPr="00F0528F">
        <w:t xml:space="preserve">Results and conclusions drawn from the nonclinical program for catridecacog detailed in the sponsor’s draft </w:t>
      </w:r>
      <w:r w:rsidR="00FF16A3">
        <w:t>RMP</w:t>
      </w:r>
      <w:r w:rsidRPr="00F0528F">
        <w:t xml:space="preserve"> (Edition 8.0, Section 1 Safety Specification - Nonclinical) are in general concordance with those of the </w:t>
      </w:r>
      <w:r w:rsidR="00B30BD7">
        <w:t>n</w:t>
      </w:r>
      <w:r w:rsidRPr="00F0528F">
        <w:t xml:space="preserve">onclinical </w:t>
      </w:r>
      <w:r w:rsidR="00B30BD7">
        <w:t>e</w:t>
      </w:r>
      <w:r w:rsidRPr="00F0528F">
        <w:t>valuator. The statement “fertility was assessed by histopathology of reproductive organs in the r</w:t>
      </w:r>
      <w:r w:rsidR="00B27DA1">
        <w:t xml:space="preserve">epeat dose toxicity studies” </w:t>
      </w:r>
      <w:r w:rsidRPr="00F0528F">
        <w:t>is, however, not appropriate.</w:t>
      </w:r>
    </w:p>
    <w:p w:rsidR="00F0528F" w:rsidRPr="00F0528F" w:rsidRDefault="00F0528F" w:rsidP="00F0528F">
      <w:r w:rsidRPr="00F0528F">
        <w:t>Fertility can only be assessed by evidence of reproduction, absence of histopathological changes can only suggest effects on this process are unlikely.</w:t>
      </w:r>
      <w:r w:rsidR="00CD52B1">
        <w:t xml:space="preserve"> </w:t>
      </w:r>
      <w:r w:rsidRPr="00F0528F">
        <w:t>A statement such as “No effects on reproductive organs have been seen in nonclinical studies” (which the sponsor proposed in the PI) is more appropriate.</w:t>
      </w:r>
    </w:p>
    <w:p w:rsidR="00DD3CC9" w:rsidRPr="00856C0B" w:rsidRDefault="00DD3CC9" w:rsidP="00DD3CC9">
      <w:pPr>
        <w:pStyle w:val="Heading5"/>
        <w:rPr>
          <w:lang w:val="en-AU"/>
        </w:rPr>
      </w:pPr>
      <w:r w:rsidRPr="00C15D33">
        <w:t>Suggested wording</w:t>
      </w:r>
      <w:r w:rsidR="00856C0B">
        <w:t xml:space="preserve"> for conditions of registration</w:t>
      </w:r>
    </w:p>
    <w:p w:rsidR="00DD3CC9" w:rsidRPr="00C15D33" w:rsidRDefault="00DD3CC9" w:rsidP="00DD3CC9">
      <w:pPr>
        <w:pStyle w:val="Heading6"/>
      </w:pPr>
      <w:r w:rsidRPr="00C15D33">
        <w:t>RMP</w:t>
      </w:r>
    </w:p>
    <w:p w:rsidR="00D12449" w:rsidRPr="00D12449" w:rsidRDefault="00D12449" w:rsidP="00D12449">
      <w:r w:rsidRPr="00D12449">
        <w:t>Implement EU RMP, version 1.0, d</w:t>
      </w:r>
      <w:r w:rsidR="00232A42">
        <w:t xml:space="preserve">ated 29 </w:t>
      </w:r>
      <w:r w:rsidRPr="00D12449">
        <w:t>May</w:t>
      </w:r>
      <w:r w:rsidR="00232A42">
        <w:t xml:space="preserve"> </w:t>
      </w:r>
      <w:r w:rsidRPr="00D12449">
        <w:t>2012 with Australian Specific Annex version 1.0, dated 8</w:t>
      </w:r>
      <w:r w:rsidR="00232A42">
        <w:t xml:space="preserve"> October </w:t>
      </w:r>
      <w:r w:rsidRPr="00D12449">
        <w:t>2012 and any future updates as a condition of registration.</w:t>
      </w:r>
    </w:p>
    <w:p w:rsidR="00DD3CC9" w:rsidRDefault="00DD3CC9" w:rsidP="00DD3CC9">
      <w:pPr>
        <w:pStyle w:val="Heading6"/>
      </w:pPr>
      <w:r w:rsidRPr="00C15D33">
        <w:t>PSUR</w:t>
      </w:r>
    </w:p>
    <w:p w:rsidR="00DD3CC9" w:rsidRPr="00C15D33" w:rsidRDefault="00DD3CC9" w:rsidP="00DD3CC9">
      <w:r w:rsidRPr="006A0F01">
        <w:t>OMA to provide new wording when finalised</w:t>
      </w:r>
      <w:r>
        <w:t>.</w:t>
      </w:r>
    </w:p>
    <w:p w:rsidR="008E7846" w:rsidRPr="00792A32" w:rsidRDefault="008E7846" w:rsidP="008E7846">
      <w:pPr>
        <w:pStyle w:val="Heading2"/>
      </w:pPr>
      <w:bookmarkStart w:id="162" w:name="_Toc389414018"/>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14"/>
      <w:bookmarkEnd w:id="160"/>
      <w:bookmarkEnd w:id="161"/>
      <w:bookmarkEnd w:id="162"/>
    </w:p>
    <w:p w:rsidR="008E7846" w:rsidRDefault="008E7846" w:rsidP="008E7846">
      <w:bookmarkStart w:id="163"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64" w:name="_Toc314842511"/>
      <w:bookmarkStart w:id="165" w:name="_Toc389414019"/>
      <w:r>
        <w:t>Quality</w:t>
      </w:r>
      <w:bookmarkEnd w:id="163"/>
      <w:bookmarkEnd w:id="164"/>
      <w:bookmarkEnd w:id="165"/>
    </w:p>
    <w:p w:rsidR="00AB02F1" w:rsidRPr="00AB02F1" w:rsidRDefault="00AB02F1" w:rsidP="00FD282D">
      <w:pPr>
        <w:pStyle w:val="ListBullet"/>
      </w:pPr>
      <w:r w:rsidRPr="00AB02F1">
        <w:t>Catridecacog (rys) is identical in structure and function to endogenous FXIII A</w:t>
      </w:r>
      <w:r w:rsidR="000E7AA6">
        <w:t xml:space="preserve"> </w:t>
      </w:r>
      <w:r w:rsidRPr="00AB02F1">
        <w:t>subunit.</w:t>
      </w:r>
      <w:r w:rsidR="00CD52B1">
        <w:t xml:space="preserve"> </w:t>
      </w:r>
      <w:r w:rsidRPr="00AB02F1">
        <w:t>Manufacturing controls are appropriate. No animal</w:t>
      </w:r>
      <w:r w:rsidR="00B27DA1">
        <w:t xml:space="preserve"> </w:t>
      </w:r>
      <w:r w:rsidRPr="00AB02F1">
        <w:t>derived substances are used.</w:t>
      </w:r>
    </w:p>
    <w:p w:rsidR="00AB02F1" w:rsidRPr="00AB02F1" w:rsidRDefault="00AB02F1" w:rsidP="00FD282D">
      <w:pPr>
        <w:pStyle w:val="ListBullet"/>
      </w:pPr>
      <w:r w:rsidRPr="00AB02F1">
        <w:t>Issues in the biological evaluation were resolved. The application is for noting at the Pharmaceutical Subcommittee meeting prior to the ACPM meeting.</w:t>
      </w:r>
    </w:p>
    <w:p w:rsidR="00AB02F1" w:rsidRPr="00AB02F1" w:rsidRDefault="00AB02F1" w:rsidP="00AB02F1">
      <w:r w:rsidRPr="00AB02F1">
        <w:t xml:space="preserve">The evaluator supported registration. Batch release to verify quality and consistency is recommended as </w:t>
      </w:r>
      <w:r>
        <w:t>a condition of registration</w:t>
      </w:r>
      <w:r w:rsidRPr="00AB02F1">
        <w:t>.</w:t>
      </w:r>
    </w:p>
    <w:p w:rsidR="008E7846" w:rsidRDefault="008E7846" w:rsidP="008E7846">
      <w:pPr>
        <w:pStyle w:val="Heading3"/>
      </w:pPr>
      <w:bookmarkStart w:id="166" w:name="_Toc314842512"/>
      <w:bookmarkStart w:id="167" w:name="_Toc389414020"/>
      <w:r>
        <w:t>Nonclinical</w:t>
      </w:r>
      <w:bookmarkEnd w:id="166"/>
      <w:bookmarkEnd w:id="167"/>
    </w:p>
    <w:p w:rsidR="00FD282D" w:rsidRPr="00FD282D" w:rsidRDefault="00FD282D" w:rsidP="00FD282D">
      <w:pPr>
        <w:pStyle w:val="ListBullet"/>
      </w:pPr>
      <w:r w:rsidRPr="00FD282D">
        <w:t xml:space="preserve">In primary pharmacology studies, catridecacog (rys) had similar properties to endogenous FXIII: the ability to bind to the endogenous </w:t>
      </w:r>
      <w:r w:rsidR="007F0AEA">
        <w:t>B subunit, the ability to cross</w:t>
      </w:r>
      <w:r w:rsidRPr="00FD282D">
        <w:t>link fibrin and the ability to incorporate anti</w:t>
      </w:r>
      <w:r w:rsidR="007F0AEA">
        <w:t xml:space="preserve"> </w:t>
      </w:r>
      <w:r w:rsidRPr="00FD282D">
        <w:t>fibrinolytic proteins and adhesion molecules into the fibrin clot.</w:t>
      </w:r>
    </w:p>
    <w:p w:rsidR="00FD282D" w:rsidRPr="00FD282D" w:rsidRDefault="00FD282D" w:rsidP="00FD282D">
      <w:pPr>
        <w:pStyle w:val="ListBullet"/>
      </w:pPr>
      <w:r w:rsidRPr="00FD282D">
        <w:t>Catridecacog (rys) was not toxic to rats or monkeys in repeat</w:t>
      </w:r>
      <w:r w:rsidR="007F0AEA">
        <w:t xml:space="preserve"> </w:t>
      </w:r>
      <w:r w:rsidRPr="00FD282D">
        <w:t>dose studies at 70</w:t>
      </w:r>
      <w:r w:rsidR="007F0AEA">
        <w:t xml:space="preserve"> </w:t>
      </w:r>
      <w:r w:rsidRPr="00FD282D">
        <w:t>fold and 38</w:t>
      </w:r>
      <w:r w:rsidR="007F0AEA">
        <w:t xml:space="preserve"> </w:t>
      </w:r>
      <w:r w:rsidRPr="00FD282D">
        <w:t>fold</w:t>
      </w:r>
      <w:r w:rsidR="007F0AEA">
        <w:t>,</w:t>
      </w:r>
      <w:r w:rsidRPr="00FD282D">
        <w:t xml:space="preserve"> respectively</w:t>
      </w:r>
      <w:r w:rsidR="007F0AEA">
        <w:t>,</w:t>
      </w:r>
      <w:r w:rsidRPr="00FD282D">
        <w:t xml:space="preserve"> of the recommended clinical dose. Juvenile monkeys had higher clearance and/or higher volume of distribution of catridecacog (rys) compared with mature monkeys which may have implications for dosing in children. There were no data on use in pregnancy or lactation.</w:t>
      </w:r>
    </w:p>
    <w:p w:rsidR="00FD282D" w:rsidRPr="00FD282D" w:rsidRDefault="00FD282D" w:rsidP="00FD282D">
      <w:r w:rsidRPr="00FD282D">
        <w:lastRenderedPageBreak/>
        <w:t>The evaluator supported registration.</w:t>
      </w:r>
    </w:p>
    <w:p w:rsidR="008E7846" w:rsidRDefault="008E7846" w:rsidP="008E7846">
      <w:pPr>
        <w:pStyle w:val="Heading3"/>
      </w:pPr>
      <w:bookmarkStart w:id="168" w:name="_Toc247691530"/>
      <w:bookmarkStart w:id="169" w:name="_Toc314842513"/>
      <w:bookmarkStart w:id="170" w:name="_Toc389414021"/>
      <w:r>
        <w:t>Clinical</w:t>
      </w:r>
      <w:bookmarkEnd w:id="168"/>
      <w:bookmarkEnd w:id="169"/>
      <w:bookmarkEnd w:id="170"/>
    </w:p>
    <w:p w:rsidR="00AF7843" w:rsidRPr="00AF7843" w:rsidRDefault="00AF7843" w:rsidP="00481BC9">
      <w:pPr>
        <w:pStyle w:val="Heading4"/>
      </w:pPr>
      <w:r w:rsidRPr="00AF7843">
        <w:t>Pharmacology</w:t>
      </w:r>
    </w:p>
    <w:p w:rsidR="00AF7843" w:rsidRPr="00AF7843" w:rsidRDefault="00AF7843" w:rsidP="00481BC9">
      <w:pPr>
        <w:pStyle w:val="ListBullet"/>
      </w:pPr>
      <w:r w:rsidRPr="00AF7843">
        <w:t xml:space="preserve">The Berichrom FXIII activity assay was used in the </w:t>
      </w:r>
      <w:r w:rsidR="0029289B">
        <w:t>PK</w:t>
      </w:r>
      <w:r w:rsidR="006E249C">
        <w:t xml:space="preserve"> studies (</w:t>
      </w:r>
      <w:r w:rsidRPr="00AF7843">
        <w:t>CER1).</w:t>
      </w:r>
    </w:p>
    <w:p w:rsidR="00AF7843" w:rsidRPr="00AF7843" w:rsidRDefault="006E249C" w:rsidP="00481BC9">
      <w:pPr>
        <w:pStyle w:val="ListBullet"/>
      </w:pPr>
      <w:r>
        <w:t>In a Phase I</w:t>
      </w:r>
      <w:r w:rsidR="00AF7843" w:rsidRPr="00AF7843">
        <w:t xml:space="preserve"> trial (F13-1663) in patients with congenital FXIII deficiency, a linear relationship was seen between the administered NovoThirteen dose and plasma FXIII activity over the range 24-89 IU/kg. It was then predicted that a dose of 35 IU/kg IV once monthly would achieve FXIII activity within the target range of 0.1-1.0 IU/mL throughout the dosing interval. This dose was found to be appropriate in the pivotal trial F13CD-1725 (n</w:t>
      </w:r>
      <w:r w:rsidR="004D6128">
        <w:t xml:space="preserve"> </w:t>
      </w:r>
      <w:r w:rsidR="00AF7843" w:rsidRPr="00AF7843">
        <w:t>=</w:t>
      </w:r>
      <w:r w:rsidR="004D6128">
        <w:t xml:space="preserve"> </w:t>
      </w:r>
      <w:r w:rsidR="00AF7843" w:rsidRPr="00AF7843">
        <w:t>41) and FDA</w:t>
      </w:r>
      <w:r w:rsidR="004D6128">
        <w:t xml:space="preserve"> </w:t>
      </w:r>
      <w:r w:rsidR="00AF7843" w:rsidRPr="00AF7843">
        <w:t>selected patients in an extension trial F13CD-3720 (n</w:t>
      </w:r>
      <w:r w:rsidR="0055271F">
        <w:t xml:space="preserve"> </w:t>
      </w:r>
      <w:r w:rsidR="00AF7843" w:rsidRPr="00AF7843">
        <w:t>=</w:t>
      </w:r>
      <w:r w:rsidR="0055271F">
        <w:t xml:space="preserve"> </w:t>
      </w:r>
      <w:r w:rsidR="00AF7843" w:rsidRPr="00AF7843">
        <w:t>8). Mean FXIII activity levels were within the target range throughout the dosing interval and there were no spontaneous bleeding e</w:t>
      </w:r>
      <w:r w:rsidR="00FF22E2">
        <w:t>pisodes requiring treatment (CER2)</w:t>
      </w:r>
      <w:r w:rsidR="00AF7843" w:rsidRPr="00AF7843">
        <w:t>.</w:t>
      </w:r>
    </w:p>
    <w:p w:rsidR="00AF7843" w:rsidRPr="00AF7843" w:rsidRDefault="00AF7843" w:rsidP="00481BC9">
      <w:pPr>
        <w:pStyle w:val="ListBullet"/>
      </w:pPr>
      <w:r w:rsidRPr="00AF7843">
        <w:t>In healthy male volunteers (n</w:t>
      </w:r>
      <w:r w:rsidR="00BF3A0B">
        <w:t xml:space="preserve"> </w:t>
      </w:r>
      <w:r w:rsidRPr="00AF7843">
        <w:t>=</w:t>
      </w:r>
      <w:r w:rsidR="00BF3A0B">
        <w:t xml:space="preserve"> </w:t>
      </w:r>
      <w:r w:rsidRPr="00AF7843">
        <w:t xml:space="preserve">50), the </w:t>
      </w:r>
      <w:r w:rsidR="0029289B">
        <w:t>PK</w:t>
      </w:r>
      <w:r w:rsidRPr="00AF7843">
        <w:t xml:space="preserve"> parameters for FXIII activity were determined after a single dose of </w:t>
      </w:r>
      <w:r w:rsidR="00D255E1">
        <w:t xml:space="preserve">NovoThirteen 35 IU/kg IV (Study </w:t>
      </w:r>
      <w:r w:rsidRPr="00AF7843">
        <w:t>NN1841-3788</w:t>
      </w:r>
      <w:r w:rsidR="00D255E1">
        <w:t>)</w:t>
      </w:r>
      <w:r w:rsidRPr="00AF7843">
        <w:t>. NovoThirteen had a small volume of distribution (V</w:t>
      </w:r>
      <w:r w:rsidRPr="003F2BD9">
        <w:rPr>
          <w:vertAlign w:val="subscript"/>
        </w:rPr>
        <w:t>ss</w:t>
      </w:r>
      <w:r w:rsidR="003F2BD9">
        <w:t xml:space="preserve"> 47 mL/kg), low clearance (</w:t>
      </w:r>
      <w:r w:rsidR="005C47F3">
        <w:t xml:space="preserve">CL </w:t>
      </w:r>
      <w:r w:rsidRPr="00AF7843">
        <w:t>0.13 mL/h/kg) and long terminal elimination</w:t>
      </w:r>
      <w:r w:rsidR="005C47F3">
        <w:t xml:space="preserve"> half life (geo mean 11 days) (</w:t>
      </w:r>
      <w:r w:rsidRPr="00AF7843">
        <w:t>CER1</w:t>
      </w:r>
      <w:r w:rsidR="005C47F3">
        <w:t>)</w:t>
      </w:r>
      <w:r w:rsidRPr="00AF7843">
        <w:t>. Similar results were seen in patients with congenital FXIII deficiency (n</w:t>
      </w:r>
      <w:r w:rsidR="00925A5C">
        <w:t xml:space="preserve"> </w:t>
      </w:r>
      <w:r w:rsidRPr="00AF7843">
        <w:t>=</w:t>
      </w:r>
      <w:r w:rsidR="00925A5C">
        <w:t xml:space="preserve"> </w:t>
      </w:r>
      <w:r w:rsidR="005C47F3">
        <w:t>41) (</w:t>
      </w:r>
      <w:r w:rsidRPr="00AF7843">
        <w:t>pivotal trial F13CD-1725</w:t>
      </w:r>
      <w:r w:rsidR="005C47F3">
        <w:t>)</w:t>
      </w:r>
      <w:r w:rsidRPr="00AF7843">
        <w:t>. FXIII activity increased sharply within 1 h of administration to 0.7-0.9 IU/mL and declined gradually over a month to approximately 0.2 IU/mL. The concentration-time profiles for A</w:t>
      </w:r>
      <w:r w:rsidRPr="00925A5C">
        <w:rPr>
          <w:vertAlign w:val="subscript"/>
        </w:rPr>
        <w:t>2</w:t>
      </w:r>
      <w:r w:rsidRPr="00AF7843">
        <w:t>B</w:t>
      </w:r>
      <w:r w:rsidR="00925A5C" w:rsidRPr="00925A5C">
        <w:rPr>
          <w:vertAlign w:val="subscript"/>
        </w:rPr>
        <w:t>2</w:t>
      </w:r>
      <w:r w:rsidRPr="00AF7843">
        <w:t xml:space="preserve"> tetramer and total FXIII A</w:t>
      </w:r>
      <w:r w:rsidR="00925A5C" w:rsidRPr="00925A5C">
        <w:rPr>
          <w:vertAlign w:val="subscript"/>
        </w:rPr>
        <w:t>2</w:t>
      </w:r>
      <w:r w:rsidRPr="00AF7843">
        <w:t xml:space="preserve"> corresponded to the FXI</w:t>
      </w:r>
      <w:r w:rsidR="00925A5C">
        <w:t>II activity profile (CER1)</w:t>
      </w:r>
      <w:r w:rsidRPr="00AF7843">
        <w:t>.</w:t>
      </w:r>
    </w:p>
    <w:p w:rsidR="00AF7843" w:rsidRPr="00AF7843" w:rsidRDefault="00AF7843" w:rsidP="00481BC9">
      <w:pPr>
        <w:pStyle w:val="ListBullet"/>
      </w:pPr>
      <w:r w:rsidRPr="00AF7843">
        <w:t>The elimination pathway of NovoThirteen is predicted to be the same as that for other protei</w:t>
      </w:r>
      <w:r w:rsidR="005C47F3">
        <w:t>ns, catabolism by proteolysis (</w:t>
      </w:r>
      <w:r w:rsidRPr="00AF7843">
        <w:t>CER1</w:t>
      </w:r>
      <w:r w:rsidR="005C47F3">
        <w:t>)</w:t>
      </w:r>
      <w:r w:rsidRPr="00AF7843">
        <w:t>.</w:t>
      </w:r>
    </w:p>
    <w:p w:rsidR="00AF7843" w:rsidRPr="00AF7843" w:rsidRDefault="00AF7843" w:rsidP="00481BC9">
      <w:pPr>
        <w:pStyle w:val="ListBullet"/>
      </w:pPr>
      <w:r w:rsidRPr="00AF7843">
        <w:t>The final report of a si</w:t>
      </w:r>
      <w:r w:rsidR="005C47F3">
        <w:t xml:space="preserve">ngle </w:t>
      </w:r>
      <w:r w:rsidRPr="00AF7843">
        <w:t xml:space="preserve">dose </w:t>
      </w:r>
      <w:r w:rsidR="0029289B">
        <w:t>PK</w:t>
      </w:r>
      <w:r w:rsidRPr="00AF7843">
        <w:t xml:space="preserve"> and safety study of NovoThirteen in children less than 6 years of age (F13CD</w:t>
      </w:r>
      <w:r w:rsidR="00925A5C">
        <w:t>-3760) was submitted with the Section 31 r</w:t>
      </w:r>
      <w:r w:rsidRPr="00AF7843">
        <w:t xml:space="preserve">esponse. There were six children of mean age 2.7 years (range 1 to 4 years) in the trial. Their </w:t>
      </w:r>
      <w:r w:rsidR="0029289B">
        <w:t>PK</w:t>
      </w:r>
      <w:r w:rsidRPr="00AF7843">
        <w:t xml:space="preserve"> parameters were similar to older children and adults in the pivotal trial F13CD-1725. Therefore, the proposed dose of 35 IU/kg once monthly also appears appropriate for children </w:t>
      </w:r>
      <w:r w:rsidR="00925A5C">
        <w:t>aged 1 to &lt; 6 years (CER2)</w:t>
      </w:r>
      <w:r w:rsidRPr="00AF7843">
        <w:t>.</w:t>
      </w:r>
    </w:p>
    <w:p w:rsidR="00AF7843" w:rsidRPr="00AF7843" w:rsidRDefault="00AF7843" w:rsidP="00481BC9">
      <w:pPr>
        <w:pStyle w:val="Heading4"/>
      </w:pPr>
      <w:r w:rsidRPr="00AF7843">
        <w:t>Efficacy</w:t>
      </w:r>
    </w:p>
    <w:p w:rsidR="00AF7843" w:rsidRPr="00AF7843" w:rsidRDefault="00AF7843" w:rsidP="00AF7843">
      <w:r w:rsidRPr="00AF7843">
        <w:t>The efficacy of prophylactic NovoThirteen was assessed in a multinational single-arm trial in 41 patients with congenital FXIII subunit A deficiency (F13CD-1725). The median age of subjects was 23 years, range 7-60 years. Fifteen subjects were aged 6 to &lt; 18 years. After a 4</w:t>
      </w:r>
      <w:r w:rsidR="00BB3C7B">
        <w:t xml:space="preserve"> </w:t>
      </w:r>
      <w:r w:rsidRPr="00AF7843">
        <w:t>week run</w:t>
      </w:r>
      <w:r w:rsidR="00BB3C7B">
        <w:t xml:space="preserve"> </w:t>
      </w:r>
      <w:r w:rsidRPr="00AF7843">
        <w:t>in to wash out previous therapy, NovoThirteen was administered monthly at 35 IU/kg by slow IV injection (≤ 1-2 mL/min). The median number of doses was 13, range 2-24. The mean observation period was 322 days.</w:t>
      </w:r>
    </w:p>
    <w:p w:rsidR="00AF7843" w:rsidRPr="00AF7843" w:rsidRDefault="00AF7843" w:rsidP="00AF7843">
      <w:r w:rsidRPr="00AF7843">
        <w:t>The primary endpoint was the yearly incidence (number per subject</w:t>
      </w:r>
      <w:r w:rsidR="00BB3C7B">
        <w:t xml:space="preserve"> </w:t>
      </w:r>
      <w:r w:rsidRPr="00AF7843">
        <w:t>year) of bleeding episodes requiring treatment. NovoThirteen showed a trend to reduced bleeding rate compared with historical controls on prophylactic Factor XIII treatment (mostly Fibrogammin) and significantly reduced the bleeding rate compared with historical controls not on prophylactic Factor XIII treatment (CER1,</w:t>
      </w:r>
      <w:r w:rsidR="00965B4D">
        <w:t xml:space="preserve"> CER2)</w:t>
      </w:r>
      <w:r w:rsidR="00856C0B">
        <w:t>.</w:t>
      </w:r>
    </w:p>
    <w:p w:rsidR="00AF7843" w:rsidRPr="00AF7843" w:rsidRDefault="00AF7843" w:rsidP="00AF7843">
      <w:r w:rsidRPr="00AF7843">
        <w:t>The historical controls were selected from data collected by questionnaire at haemophilia centres between June and September 2005. There were data for 92 patients of median age 25 years (range 0.1 to 71 years). Sixty patients on prophylactic FXIII therapy and 16 on on-demand FXIII therapy had sufficient dat</w:t>
      </w:r>
      <w:r w:rsidR="00B9777A">
        <w:t>a to be included in the analysis (CER1)</w:t>
      </w:r>
      <w:r w:rsidRPr="00AF7843">
        <w:t>.</w:t>
      </w:r>
    </w:p>
    <w:p w:rsidR="00AF7843" w:rsidRPr="00AF7843" w:rsidRDefault="00AF7843" w:rsidP="00AF7843">
      <w:r w:rsidRPr="00AF7843">
        <w:lastRenderedPageBreak/>
        <w:t>Age was a statistically significant covariate for the incidence of bleeding episodes requiring treatment (p</w:t>
      </w:r>
      <w:r w:rsidR="00523D8A">
        <w:t xml:space="preserve"> </w:t>
      </w:r>
      <w:r w:rsidRPr="00AF7843">
        <w:t>=</w:t>
      </w:r>
      <w:r w:rsidR="00523D8A">
        <w:t xml:space="preserve"> </w:t>
      </w:r>
      <w:r w:rsidRPr="00AF7843">
        <w:t xml:space="preserve">0.02). Patients less than 18 years old had a greater risk of bleeds requiring treatment than those aged ≥ 18 years </w:t>
      </w:r>
      <w:r w:rsidR="00523D8A">
        <w:t>(CER2)</w:t>
      </w:r>
      <w:r w:rsidRPr="00AF7843">
        <w:t>.</w:t>
      </w:r>
    </w:p>
    <w:p w:rsidR="00AF7843" w:rsidRPr="00AF7843" w:rsidRDefault="00C345C5" w:rsidP="00AF7843">
      <w:r>
        <w:t>A carry</w:t>
      </w:r>
      <w:r w:rsidR="00AF7843" w:rsidRPr="00AF7843">
        <w:t>over effect of previous treatment was possible in the first month of the trial because of the long</w:t>
      </w:r>
      <w:r>
        <w:t xml:space="preserve"> </w:t>
      </w:r>
      <w:r w:rsidR="00AF7843" w:rsidRPr="00AF7843">
        <w:t>half of FXIII. In a sensitivity analysis, the analysis of the primary endpoint was re-done excluding the first month. The effect of NovoThirteen on the blee</w:t>
      </w:r>
      <w:r>
        <w:t>ding rate remained significant (CER1)</w:t>
      </w:r>
      <w:r w:rsidR="00AF7843" w:rsidRPr="00AF7843">
        <w:t>.</w:t>
      </w:r>
    </w:p>
    <w:p w:rsidR="00AF7843" w:rsidRPr="00AF7843" w:rsidRDefault="00AF7843" w:rsidP="00AF7843">
      <w:r w:rsidRPr="00AF7843">
        <w:t>The covariate age was statistically significant (p</w:t>
      </w:r>
      <w:r w:rsidR="006F0941">
        <w:t xml:space="preserve"> </w:t>
      </w:r>
      <w:r w:rsidRPr="00AF7843">
        <w:t>=</w:t>
      </w:r>
      <w:r w:rsidR="006F0941">
        <w:t xml:space="preserve"> </w:t>
      </w:r>
      <w:r w:rsidRPr="00AF7843">
        <w:t>0.02) in the analysis of the primary endpoint. Treatment</w:t>
      </w:r>
      <w:r w:rsidR="006F0941">
        <w:t xml:space="preserve"> </w:t>
      </w:r>
      <w:r w:rsidRPr="00AF7843">
        <w:t>requiring bleeds were more frequent in patients &lt; 18 years than those ≥ 18 years (Table 1</w:t>
      </w:r>
      <w:r w:rsidR="0079220B">
        <w:t>8</w:t>
      </w:r>
      <w:r w:rsidRPr="00AF7843">
        <w:t>). The treatment</w:t>
      </w:r>
      <w:r w:rsidR="005E4DCC">
        <w:t xml:space="preserve"> </w:t>
      </w:r>
      <w:r w:rsidRPr="00AF7843">
        <w:t>requiring bleeds in the trial were due to trauma, which is more common in younger patients. In the 16 historical ‘on-demand’ controls, the median age was 32 years (range 6 to 63 years) which is similar to the age distribution of those receiving NovoThirteen in the trial</w:t>
      </w:r>
      <w:r w:rsidR="005E4DCC">
        <w:t xml:space="preserve"> (CER1)</w:t>
      </w:r>
      <w:r w:rsidRPr="00AF7843">
        <w:t>.</w:t>
      </w:r>
    </w:p>
    <w:p w:rsidR="00FE2FDD" w:rsidRDefault="00FE2FDD" w:rsidP="00FE2FDD">
      <w:pPr>
        <w:pStyle w:val="TableTitle"/>
      </w:pPr>
      <w:r>
        <w:t>Table 1</w:t>
      </w:r>
      <w:r w:rsidR="0079220B">
        <w:t>8</w:t>
      </w:r>
      <w:r>
        <w:t>: Trial F13CD-1725: mean number of bleeding episodes per patient</w:t>
      </w:r>
      <w:r w:rsidR="00D845C7">
        <w:t xml:space="preserve"> </w:t>
      </w:r>
      <w:r>
        <w:t>year (95% CI) versus historical controls.</w:t>
      </w:r>
    </w:p>
    <w:tbl>
      <w:tblPr>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243"/>
        <w:gridCol w:w="1417"/>
        <w:gridCol w:w="1276"/>
        <w:gridCol w:w="1417"/>
        <w:gridCol w:w="992"/>
        <w:gridCol w:w="1418"/>
        <w:gridCol w:w="1417"/>
      </w:tblGrid>
      <w:tr w:rsidR="00DD7AC4" w:rsidTr="009D4624">
        <w:tc>
          <w:tcPr>
            <w:tcW w:w="1243" w:type="dxa"/>
            <w:tcBorders>
              <w:top w:val="single" w:sz="8" w:space="0" w:color="000000"/>
              <w:left w:val="single" w:sz="8" w:space="0" w:color="000000"/>
              <w:bottom w:val="single" w:sz="8" w:space="0" w:color="000000"/>
              <w:right w:val="nil"/>
              <w:tl2br w:val="nil"/>
              <w:tr2bl w:val="nil"/>
            </w:tcBorders>
            <w:shd w:val="clear" w:color="auto" w:fill="006DA7"/>
          </w:tcPr>
          <w:p w:rsidR="005C01A6" w:rsidRPr="009D4624" w:rsidRDefault="005C01A6" w:rsidP="009D4624">
            <w:pPr>
              <w:ind w:left="170" w:right="170"/>
              <w:rPr>
                <w:b/>
                <w:color w:val="FFFFFF"/>
              </w:rPr>
            </w:pPr>
            <w:r w:rsidRPr="009D4624">
              <w:rPr>
                <w:b/>
                <w:color w:val="FFFFFF"/>
              </w:rPr>
              <w:t>Group</w:t>
            </w:r>
          </w:p>
        </w:tc>
        <w:tc>
          <w:tcPr>
            <w:tcW w:w="2693" w:type="dxa"/>
            <w:gridSpan w:val="2"/>
            <w:tcBorders>
              <w:top w:val="single" w:sz="8" w:space="0" w:color="000000"/>
              <w:left w:val="nil"/>
              <w:bottom w:val="single" w:sz="8" w:space="0" w:color="000000"/>
              <w:right w:val="nil"/>
              <w:tl2br w:val="nil"/>
              <w:tr2bl w:val="nil"/>
            </w:tcBorders>
            <w:shd w:val="clear" w:color="auto" w:fill="006DA7"/>
          </w:tcPr>
          <w:p w:rsidR="005C01A6" w:rsidRPr="009D4624" w:rsidRDefault="005C01A6" w:rsidP="009D4624">
            <w:pPr>
              <w:ind w:left="170" w:right="170"/>
              <w:rPr>
                <w:b/>
                <w:color w:val="FFFFFF"/>
              </w:rPr>
            </w:pPr>
            <w:r w:rsidRPr="009D4624">
              <w:rPr>
                <w:b/>
                <w:color w:val="FFFFFF"/>
              </w:rPr>
              <w:t>Trial F13CD-1725</w:t>
            </w:r>
          </w:p>
        </w:tc>
        <w:tc>
          <w:tcPr>
            <w:tcW w:w="2409" w:type="dxa"/>
            <w:gridSpan w:val="2"/>
            <w:tcBorders>
              <w:top w:val="single" w:sz="8" w:space="0" w:color="000000"/>
              <w:left w:val="nil"/>
              <w:bottom w:val="single" w:sz="8" w:space="0" w:color="000000"/>
              <w:right w:val="nil"/>
              <w:tl2br w:val="nil"/>
              <w:tr2bl w:val="nil"/>
            </w:tcBorders>
            <w:shd w:val="clear" w:color="auto" w:fill="006DA7"/>
          </w:tcPr>
          <w:p w:rsidR="005C01A6" w:rsidRPr="009D4624" w:rsidRDefault="005C01A6" w:rsidP="009D4624">
            <w:pPr>
              <w:ind w:left="170" w:right="170"/>
              <w:rPr>
                <w:b/>
                <w:color w:val="FFFFFF"/>
              </w:rPr>
            </w:pPr>
            <w:r w:rsidRPr="009D4624">
              <w:rPr>
                <w:b/>
                <w:color w:val="FFFFFF"/>
              </w:rPr>
              <w:t>Historical Control</w:t>
            </w:r>
            <w:r w:rsidRPr="009D4624">
              <w:rPr>
                <w:b/>
                <w:color w:val="FFFFFF"/>
              </w:rPr>
              <w:br/>
              <w:t>(Prophylaxis)</w:t>
            </w:r>
          </w:p>
        </w:tc>
        <w:tc>
          <w:tcPr>
            <w:tcW w:w="2835" w:type="dxa"/>
            <w:gridSpan w:val="2"/>
            <w:tcBorders>
              <w:top w:val="single" w:sz="8" w:space="0" w:color="000000"/>
              <w:left w:val="nil"/>
              <w:bottom w:val="single" w:sz="8" w:space="0" w:color="000000"/>
              <w:right w:val="single" w:sz="8" w:space="0" w:color="000000"/>
              <w:tl2br w:val="nil"/>
              <w:tr2bl w:val="nil"/>
            </w:tcBorders>
            <w:shd w:val="clear" w:color="auto" w:fill="006DA7"/>
          </w:tcPr>
          <w:p w:rsidR="005C01A6" w:rsidRPr="009D4624" w:rsidRDefault="005C01A6" w:rsidP="009D4624">
            <w:pPr>
              <w:ind w:left="170" w:right="170"/>
              <w:rPr>
                <w:b/>
                <w:color w:val="FFFFFF"/>
              </w:rPr>
            </w:pPr>
            <w:r w:rsidRPr="009D4624">
              <w:rPr>
                <w:b/>
                <w:color w:val="FFFFFF"/>
              </w:rPr>
              <w:t>Historical Control</w:t>
            </w:r>
            <w:r w:rsidRPr="009D4624">
              <w:rPr>
                <w:b/>
                <w:color w:val="FFFFFF"/>
              </w:rPr>
              <w:br/>
              <w:t>(On Demand)</w:t>
            </w:r>
          </w:p>
        </w:tc>
      </w:tr>
      <w:tr w:rsidR="00DD7AC4" w:rsidTr="009D4624">
        <w:tc>
          <w:tcPr>
            <w:tcW w:w="1243" w:type="dxa"/>
            <w:shd w:val="clear" w:color="auto" w:fill="auto"/>
          </w:tcPr>
          <w:p w:rsidR="005C01A6" w:rsidRPr="009D4624" w:rsidRDefault="005C01A6" w:rsidP="009D4624">
            <w:pPr>
              <w:ind w:right="170"/>
              <w:rPr>
                <w:i/>
                <w:color w:val="000000"/>
                <w:sz w:val="20"/>
                <w:szCs w:val="20"/>
              </w:rPr>
            </w:pPr>
          </w:p>
        </w:tc>
        <w:tc>
          <w:tcPr>
            <w:tcW w:w="1417" w:type="dxa"/>
            <w:shd w:val="clear" w:color="auto" w:fill="auto"/>
          </w:tcPr>
          <w:p w:rsidR="005C01A6" w:rsidRPr="009D4624" w:rsidRDefault="005C01A6" w:rsidP="009D4624">
            <w:pPr>
              <w:ind w:right="170"/>
              <w:rPr>
                <w:i/>
                <w:color w:val="000000"/>
                <w:sz w:val="20"/>
                <w:szCs w:val="20"/>
              </w:rPr>
            </w:pPr>
            <w:r w:rsidRPr="009D4624">
              <w:rPr>
                <w:i/>
                <w:color w:val="000000"/>
                <w:sz w:val="20"/>
                <w:szCs w:val="20"/>
              </w:rPr>
              <w:t>Crude</w:t>
            </w:r>
          </w:p>
        </w:tc>
        <w:tc>
          <w:tcPr>
            <w:tcW w:w="1276" w:type="dxa"/>
            <w:shd w:val="clear" w:color="auto" w:fill="auto"/>
          </w:tcPr>
          <w:p w:rsidR="005C01A6" w:rsidRPr="009D4624" w:rsidRDefault="005C01A6" w:rsidP="009D4624">
            <w:pPr>
              <w:ind w:right="170"/>
              <w:rPr>
                <w:i/>
                <w:color w:val="000000"/>
                <w:sz w:val="20"/>
                <w:szCs w:val="20"/>
              </w:rPr>
            </w:pPr>
            <w:r w:rsidRPr="009D4624">
              <w:rPr>
                <w:i/>
                <w:color w:val="000000"/>
                <w:sz w:val="20"/>
                <w:szCs w:val="20"/>
              </w:rPr>
              <w:t>Estimate</w:t>
            </w:r>
            <w:r w:rsidRPr="009D4624">
              <w:rPr>
                <w:i/>
                <w:color w:val="000000"/>
                <w:sz w:val="20"/>
                <w:szCs w:val="20"/>
                <w:vertAlign w:val="superscript"/>
              </w:rPr>
              <w:t>1,3</w:t>
            </w:r>
          </w:p>
        </w:tc>
        <w:tc>
          <w:tcPr>
            <w:tcW w:w="1417" w:type="dxa"/>
            <w:shd w:val="clear" w:color="auto" w:fill="auto"/>
          </w:tcPr>
          <w:p w:rsidR="005C01A6" w:rsidRPr="009D4624" w:rsidRDefault="005C01A6" w:rsidP="009D4624">
            <w:pPr>
              <w:ind w:right="170"/>
              <w:rPr>
                <w:i/>
                <w:color w:val="000000"/>
                <w:sz w:val="20"/>
                <w:szCs w:val="20"/>
              </w:rPr>
            </w:pPr>
          </w:p>
        </w:tc>
        <w:tc>
          <w:tcPr>
            <w:tcW w:w="992" w:type="dxa"/>
            <w:shd w:val="clear" w:color="auto" w:fill="auto"/>
          </w:tcPr>
          <w:p w:rsidR="005C01A6" w:rsidRPr="009D4624" w:rsidRDefault="005C01A6" w:rsidP="009D4624">
            <w:pPr>
              <w:ind w:right="170"/>
              <w:rPr>
                <w:i/>
                <w:color w:val="000000"/>
                <w:sz w:val="20"/>
                <w:szCs w:val="20"/>
              </w:rPr>
            </w:pPr>
            <w:r w:rsidRPr="009D4624">
              <w:rPr>
                <w:i/>
                <w:color w:val="000000"/>
                <w:sz w:val="20"/>
                <w:szCs w:val="20"/>
              </w:rPr>
              <w:t>Crude</w:t>
            </w:r>
            <w:r w:rsidRPr="009D4624">
              <w:rPr>
                <w:i/>
                <w:color w:val="000000"/>
                <w:sz w:val="20"/>
                <w:szCs w:val="20"/>
                <w:vertAlign w:val="superscript"/>
              </w:rPr>
              <w:t>2</w:t>
            </w:r>
          </w:p>
        </w:tc>
        <w:tc>
          <w:tcPr>
            <w:tcW w:w="1418" w:type="dxa"/>
            <w:shd w:val="clear" w:color="auto" w:fill="auto"/>
          </w:tcPr>
          <w:p w:rsidR="005C01A6" w:rsidRPr="009D4624" w:rsidRDefault="005C01A6" w:rsidP="009D4624">
            <w:pPr>
              <w:ind w:right="170"/>
              <w:rPr>
                <w:i/>
                <w:color w:val="000000"/>
                <w:sz w:val="20"/>
                <w:szCs w:val="20"/>
              </w:rPr>
            </w:pPr>
          </w:p>
        </w:tc>
        <w:tc>
          <w:tcPr>
            <w:tcW w:w="1417" w:type="dxa"/>
            <w:shd w:val="clear" w:color="auto" w:fill="auto"/>
          </w:tcPr>
          <w:p w:rsidR="005C01A6" w:rsidRPr="009D4624" w:rsidRDefault="005C01A6" w:rsidP="009D4624">
            <w:pPr>
              <w:ind w:right="170"/>
              <w:rPr>
                <w:i/>
                <w:color w:val="000000"/>
                <w:sz w:val="20"/>
                <w:szCs w:val="20"/>
              </w:rPr>
            </w:pPr>
            <w:r w:rsidRPr="009D4624">
              <w:rPr>
                <w:i/>
                <w:color w:val="000000"/>
                <w:sz w:val="20"/>
                <w:szCs w:val="20"/>
              </w:rPr>
              <w:t>Crude3</w:t>
            </w:r>
          </w:p>
        </w:tc>
      </w:tr>
      <w:tr w:rsidR="00DD7AC4" w:rsidTr="009D4624">
        <w:tc>
          <w:tcPr>
            <w:tcW w:w="1243" w:type="dxa"/>
            <w:shd w:val="clear" w:color="auto" w:fill="auto"/>
          </w:tcPr>
          <w:p w:rsidR="005C01A6" w:rsidRPr="009D4624" w:rsidRDefault="005C01A6" w:rsidP="009D4624">
            <w:pPr>
              <w:ind w:right="170"/>
              <w:rPr>
                <w:color w:val="000000"/>
                <w:sz w:val="20"/>
                <w:szCs w:val="20"/>
              </w:rPr>
            </w:pPr>
            <w:r w:rsidRPr="009D4624">
              <w:rPr>
                <w:color w:val="000000"/>
                <w:sz w:val="20"/>
                <w:szCs w:val="20"/>
              </w:rPr>
              <w:t>&lt;18 yrs</w:t>
            </w:r>
          </w:p>
        </w:tc>
        <w:tc>
          <w:tcPr>
            <w:tcW w:w="1417" w:type="dxa"/>
            <w:shd w:val="clear" w:color="auto" w:fill="auto"/>
          </w:tcPr>
          <w:p w:rsidR="005C01A6" w:rsidRPr="009D4624" w:rsidRDefault="00DD7AC4" w:rsidP="009D4624">
            <w:pPr>
              <w:ind w:right="170"/>
              <w:rPr>
                <w:color w:val="000000"/>
                <w:sz w:val="20"/>
                <w:szCs w:val="20"/>
              </w:rPr>
            </w:pPr>
            <w:r w:rsidRPr="009D4624">
              <w:rPr>
                <w:color w:val="000000"/>
                <w:sz w:val="20"/>
                <w:szCs w:val="20"/>
              </w:rPr>
              <w:t>4 bleeds in 3 patients</w:t>
            </w:r>
            <w:r w:rsidRPr="009D4624">
              <w:rPr>
                <w:color w:val="000000"/>
                <w:sz w:val="20"/>
                <w:szCs w:val="20"/>
              </w:rPr>
              <w:br/>
              <w:t>(n=15)</w:t>
            </w:r>
          </w:p>
        </w:tc>
        <w:tc>
          <w:tcPr>
            <w:tcW w:w="1276" w:type="dxa"/>
            <w:shd w:val="clear" w:color="auto" w:fill="auto"/>
          </w:tcPr>
          <w:p w:rsidR="005C01A6" w:rsidRPr="009D4624" w:rsidRDefault="00DD7AC4" w:rsidP="009D4624">
            <w:pPr>
              <w:ind w:right="170"/>
              <w:rPr>
                <w:color w:val="000000"/>
                <w:sz w:val="20"/>
                <w:szCs w:val="20"/>
              </w:rPr>
            </w:pPr>
            <w:r w:rsidRPr="009D4624">
              <w:rPr>
                <w:color w:val="000000"/>
                <w:sz w:val="20"/>
                <w:szCs w:val="20"/>
              </w:rPr>
              <w:t>0.36</w:t>
            </w:r>
            <w:r w:rsidRPr="009D4624">
              <w:rPr>
                <w:color w:val="000000"/>
                <w:sz w:val="20"/>
                <w:szCs w:val="20"/>
              </w:rPr>
              <w:br/>
              <w:t>[0.14, 0.96]</w:t>
            </w:r>
          </w:p>
        </w:tc>
        <w:tc>
          <w:tcPr>
            <w:tcW w:w="1417" w:type="dxa"/>
            <w:shd w:val="clear" w:color="auto" w:fill="auto"/>
          </w:tcPr>
          <w:p w:rsidR="005C01A6" w:rsidRPr="009D4624" w:rsidRDefault="00DD7AC4" w:rsidP="009D4624">
            <w:pPr>
              <w:ind w:right="170"/>
              <w:rPr>
                <w:color w:val="000000"/>
                <w:sz w:val="20"/>
                <w:szCs w:val="20"/>
              </w:rPr>
            </w:pPr>
            <w:r w:rsidRPr="009D4624">
              <w:rPr>
                <w:color w:val="000000"/>
                <w:sz w:val="20"/>
                <w:szCs w:val="20"/>
              </w:rPr>
              <w:t>not stated</w:t>
            </w:r>
          </w:p>
        </w:tc>
        <w:tc>
          <w:tcPr>
            <w:tcW w:w="992" w:type="dxa"/>
            <w:shd w:val="clear" w:color="auto" w:fill="auto"/>
          </w:tcPr>
          <w:p w:rsidR="005C01A6" w:rsidRPr="009D4624" w:rsidRDefault="00DD7AC4" w:rsidP="009D4624">
            <w:pPr>
              <w:ind w:right="170"/>
              <w:rPr>
                <w:color w:val="000000"/>
                <w:sz w:val="20"/>
                <w:szCs w:val="20"/>
              </w:rPr>
            </w:pPr>
            <w:r w:rsidRPr="009D4624">
              <w:rPr>
                <w:color w:val="000000"/>
                <w:sz w:val="20"/>
                <w:szCs w:val="20"/>
              </w:rPr>
              <w:t>not stated</w:t>
            </w:r>
          </w:p>
        </w:tc>
        <w:tc>
          <w:tcPr>
            <w:tcW w:w="1418" w:type="dxa"/>
            <w:shd w:val="clear" w:color="auto" w:fill="auto"/>
          </w:tcPr>
          <w:p w:rsidR="005C01A6" w:rsidRPr="009D4624" w:rsidRDefault="00DD7AC4" w:rsidP="009D4624">
            <w:pPr>
              <w:ind w:right="170"/>
              <w:rPr>
                <w:color w:val="000000"/>
                <w:sz w:val="20"/>
                <w:szCs w:val="20"/>
              </w:rPr>
            </w:pPr>
            <w:r w:rsidRPr="009D4624">
              <w:rPr>
                <w:color w:val="000000"/>
                <w:sz w:val="20"/>
                <w:szCs w:val="20"/>
              </w:rPr>
              <w:t>not stated</w:t>
            </w:r>
          </w:p>
        </w:tc>
        <w:tc>
          <w:tcPr>
            <w:tcW w:w="1417" w:type="dxa"/>
            <w:shd w:val="clear" w:color="auto" w:fill="auto"/>
          </w:tcPr>
          <w:p w:rsidR="005C01A6" w:rsidRPr="009D4624" w:rsidRDefault="00DD7AC4" w:rsidP="009D4624">
            <w:pPr>
              <w:ind w:right="170"/>
              <w:rPr>
                <w:color w:val="000000"/>
                <w:sz w:val="20"/>
                <w:szCs w:val="20"/>
              </w:rPr>
            </w:pPr>
            <w:r w:rsidRPr="009D4624">
              <w:rPr>
                <w:color w:val="000000"/>
                <w:sz w:val="20"/>
                <w:szCs w:val="20"/>
              </w:rPr>
              <w:t>2.00</w:t>
            </w:r>
          </w:p>
        </w:tc>
      </w:tr>
      <w:tr w:rsidR="00DD7AC4" w:rsidTr="009D4624">
        <w:tc>
          <w:tcPr>
            <w:tcW w:w="1243" w:type="dxa"/>
            <w:shd w:val="clear" w:color="auto" w:fill="auto"/>
          </w:tcPr>
          <w:p w:rsidR="00DD7AC4" w:rsidRPr="009D4624" w:rsidRDefault="00DD7AC4" w:rsidP="009D4624">
            <w:pPr>
              <w:ind w:right="170"/>
              <w:rPr>
                <w:color w:val="000000"/>
                <w:sz w:val="20"/>
                <w:szCs w:val="20"/>
              </w:rPr>
            </w:pPr>
            <w:r w:rsidRPr="009D4624">
              <w:rPr>
                <w:color w:val="000000"/>
                <w:sz w:val="20"/>
                <w:szCs w:val="20"/>
              </w:rPr>
              <w:t>≥18 yrs</w:t>
            </w:r>
          </w:p>
        </w:tc>
        <w:tc>
          <w:tcPr>
            <w:tcW w:w="1417" w:type="dxa"/>
            <w:shd w:val="clear" w:color="auto" w:fill="auto"/>
          </w:tcPr>
          <w:p w:rsidR="00DD7AC4" w:rsidRPr="009D4624" w:rsidRDefault="00DD7AC4" w:rsidP="009D4624">
            <w:pPr>
              <w:ind w:right="170"/>
              <w:rPr>
                <w:color w:val="000000"/>
                <w:sz w:val="20"/>
                <w:szCs w:val="20"/>
              </w:rPr>
            </w:pPr>
            <w:r w:rsidRPr="009D4624">
              <w:rPr>
                <w:color w:val="000000"/>
                <w:sz w:val="20"/>
                <w:szCs w:val="20"/>
              </w:rPr>
              <w:t>1 bleed in 1 patient</w:t>
            </w:r>
          </w:p>
        </w:tc>
        <w:tc>
          <w:tcPr>
            <w:tcW w:w="1276" w:type="dxa"/>
            <w:shd w:val="clear" w:color="auto" w:fill="auto"/>
          </w:tcPr>
          <w:p w:rsidR="00DD7AC4" w:rsidRPr="009D4624" w:rsidRDefault="00DD7AC4" w:rsidP="009D4624">
            <w:pPr>
              <w:ind w:right="170"/>
              <w:rPr>
                <w:color w:val="000000"/>
                <w:sz w:val="20"/>
                <w:szCs w:val="20"/>
              </w:rPr>
            </w:pPr>
            <w:r w:rsidRPr="009D4624">
              <w:rPr>
                <w:color w:val="000000"/>
                <w:sz w:val="20"/>
                <w:szCs w:val="20"/>
              </w:rPr>
              <w:t>0.04 [0.01, 0.28]</w:t>
            </w:r>
          </w:p>
        </w:tc>
        <w:tc>
          <w:tcPr>
            <w:tcW w:w="1417" w:type="dxa"/>
            <w:shd w:val="clear" w:color="auto" w:fill="auto"/>
          </w:tcPr>
          <w:p w:rsidR="00DD7AC4" w:rsidRPr="009D4624" w:rsidRDefault="00DD7AC4" w:rsidP="009D4624">
            <w:pPr>
              <w:ind w:right="170"/>
              <w:rPr>
                <w:color w:val="000000"/>
                <w:sz w:val="20"/>
                <w:szCs w:val="20"/>
              </w:rPr>
            </w:pPr>
            <w:r w:rsidRPr="009D4624">
              <w:rPr>
                <w:color w:val="000000"/>
                <w:sz w:val="20"/>
                <w:szCs w:val="20"/>
              </w:rPr>
              <w:t>not stated</w:t>
            </w:r>
          </w:p>
        </w:tc>
        <w:tc>
          <w:tcPr>
            <w:tcW w:w="992" w:type="dxa"/>
            <w:shd w:val="clear" w:color="auto" w:fill="auto"/>
          </w:tcPr>
          <w:p w:rsidR="00DD7AC4" w:rsidRPr="009D4624" w:rsidRDefault="00DD7AC4" w:rsidP="009D4624">
            <w:pPr>
              <w:ind w:right="170"/>
              <w:rPr>
                <w:color w:val="000000"/>
                <w:sz w:val="20"/>
                <w:szCs w:val="20"/>
              </w:rPr>
            </w:pPr>
            <w:r w:rsidRPr="009D4624">
              <w:rPr>
                <w:color w:val="000000"/>
                <w:sz w:val="20"/>
                <w:szCs w:val="20"/>
              </w:rPr>
              <w:t>not stated</w:t>
            </w:r>
          </w:p>
        </w:tc>
        <w:tc>
          <w:tcPr>
            <w:tcW w:w="1418" w:type="dxa"/>
            <w:shd w:val="clear" w:color="auto" w:fill="auto"/>
          </w:tcPr>
          <w:p w:rsidR="00DD7AC4" w:rsidRPr="009D4624" w:rsidRDefault="00DD7AC4" w:rsidP="009D4624">
            <w:pPr>
              <w:ind w:right="170"/>
              <w:rPr>
                <w:color w:val="000000"/>
                <w:sz w:val="20"/>
                <w:szCs w:val="20"/>
              </w:rPr>
            </w:pPr>
            <w:r w:rsidRPr="009D4624">
              <w:rPr>
                <w:color w:val="000000"/>
                <w:sz w:val="20"/>
                <w:szCs w:val="20"/>
              </w:rPr>
              <w:t>not stated</w:t>
            </w:r>
          </w:p>
        </w:tc>
        <w:tc>
          <w:tcPr>
            <w:tcW w:w="1417" w:type="dxa"/>
            <w:shd w:val="clear" w:color="auto" w:fill="auto"/>
          </w:tcPr>
          <w:p w:rsidR="00DD7AC4" w:rsidRPr="009D4624" w:rsidRDefault="00DD7AC4" w:rsidP="009D4624">
            <w:pPr>
              <w:ind w:right="170"/>
              <w:rPr>
                <w:color w:val="000000"/>
                <w:sz w:val="20"/>
                <w:szCs w:val="20"/>
              </w:rPr>
            </w:pPr>
            <w:r w:rsidRPr="009D4624">
              <w:rPr>
                <w:color w:val="000000"/>
                <w:sz w:val="20"/>
                <w:szCs w:val="20"/>
              </w:rPr>
              <w:t>1.59</w:t>
            </w:r>
          </w:p>
        </w:tc>
      </w:tr>
      <w:tr w:rsidR="00DD7AC4" w:rsidTr="009D4624">
        <w:tc>
          <w:tcPr>
            <w:tcW w:w="1243" w:type="dxa"/>
            <w:shd w:val="clear" w:color="auto" w:fill="auto"/>
          </w:tcPr>
          <w:p w:rsidR="005C01A6" w:rsidRPr="009D4624" w:rsidRDefault="00DD7AC4" w:rsidP="009D4624">
            <w:pPr>
              <w:ind w:right="170"/>
              <w:rPr>
                <w:color w:val="000000"/>
                <w:sz w:val="20"/>
                <w:szCs w:val="20"/>
              </w:rPr>
            </w:pPr>
            <w:r w:rsidRPr="009D4624">
              <w:rPr>
                <w:color w:val="000000"/>
                <w:sz w:val="20"/>
                <w:szCs w:val="20"/>
              </w:rPr>
              <w:t>All</w:t>
            </w:r>
          </w:p>
        </w:tc>
        <w:tc>
          <w:tcPr>
            <w:tcW w:w="1417" w:type="dxa"/>
            <w:shd w:val="clear" w:color="auto" w:fill="auto"/>
          </w:tcPr>
          <w:p w:rsidR="005C01A6" w:rsidRPr="009D4624" w:rsidRDefault="00DD7AC4" w:rsidP="009D4624">
            <w:pPr>
              <w:ind w:right="170"/>
              <w:rPr>
                <w:color w:val="000000"/>
                <w:sz w:val="20"/>
                <w:szCs w:val="20"/>
              </w:rPr>
            </w:pPr>
            <w:r w:rsidRPr="009D4624">
              <w:rPr>
                <w:color w:val="000000"/>
                <w:sz w:val="20"/>
                <w:szCs w:val="20"/>
              </w:rPr>
              <w:t>5 bleeds in 4 patients (n=41)</w:t>
            </w:r>
          </w:p>
        </w:tc>
        <w:tc>
          <w:tcPr>
            <w:tcW w:w="1276" w:type="dxa"/>
            <w:shd w:val="clear" w:color="auto" w:fill="auto"/>
          </w:tcPr>
          <w:p w:rsidR="005C01A6" w:rsidRPr="009D4624" w:rsidRDefault="00DD7AC4" w:rsidP="009D4624">
            <w:pPr>
              <w:ind w:right="170"/>
              <w:rPr>
                <w:color w:val="000000"/>
                <w:sz w:val="20"/>
                <w:szCs w:val="20"/>
              </w:rPr>
            </w:pPr>
            <w:r w:rsidRPr="009D4624">
              <w:rPr>
                <w:color w:val="000000"/>
                <w:sz w:val="20"/>
                <w:szCs w:val="20"/>
              </w:rPr>
              <w:t>0.14 [0.06, 0.33]</w:t>
            </w:r>
          </w:p>
        </w:tc>
        <w:tc>
          <w:tcPr>
            <w:tcW w:w="1417" w:type="dxa"/>
            <w:shd w:val="clear" w:color="auto" w:fill="auto"/>
          </w:tcPr>
          <w:p w:rsidR="005C01A6" w:rsidRPr="009D4624" w:rsidRDefault="00DD7AC4" w:rsidP="009D4624">
            <w:pPr>
              <w:ind w:right="170"/>
              <w:rPr>
                <w:color w:val="000000"/>
                <w:sz w:val="20"/>
                <w:szCs w:val="20"/>
              </w:rPr>
            </w:pPr>
            <w:r w:rsidRPr="009D4624">
              <w:rPr>
                <w:color w:val="000000"/>
                <w:sz w:val="20"/>
                <w:szCs w:val="20"/>
              </w:rPr>
              <w:t>mean 0.33 (20 bleeds in 60 patients)</w:t>
            </w:r>
          </w:p>
        </w:tc>
        <w:tc>
          <w:tcPr>
            <w:tcW w:w="992" w:type="dxa"/>
            <w:shd w:val="clear" w:color="auto" w:fill="auto"/>
          </w:tcPr>
          <w:p w:rsidR="005C01A6" w:rsidRPr="009D4624" w:rsidRDefault="00DD7AC4" w:rsidP="009D4624">
            <w:pPr>
              <w:ind w:right="170"/>
              <w:rPr>
                <w:color w:val="000000"/>
                <w:sz w:val="20"/>
                <w:szCs w:val="20"/>
              </w:rPr>
            </w:pPr>
            <w:r w:rsidRPr="009D4624">
              <w:rPr>
                <w:color w:val="000000"/>
                <w:sz w:val="20"/>
                <w:szCs w:val="20"/>
              </w:rPr>
              <w:t>0.33</w:t>
            </w:r>
            <w:r w:rsidRPr="009D4624">
              <w:rPr>
                <w:color w:val="000000"/>
                <w:sz w:val="20"/>
                <w:szCs w:val="20"/>
              </w:rPr>
              <w:br/>
              <w:t>[0.22, 0.51]</w:t>
            </w:r>
          </w:p>
        </w:tc>
        <w:tc>
          <w:tcPr>
            <w:tcW w:w="1418" w:type="dxa"/>
            <w:shd w:val="clear" w:color="auto" w:fill="auto"/>
          </w:tcPr>
          <w:p w:rsidR="00DD7AC4" w:rsidRPr="009D4624" w:rsidRDefault="00DD7AC4" w:rsidP="009D4624">
            <w:pPr>
              <w:ind w:right="170"/>
              <w:rPr>
                <w:color w:val="000000"/>
                <w:sz w:val="20"/>
                <w:szCs w:val="20"/>
              </w:rPr>
            </w:pPr>
            <w:r w:rsidRPr="009D4624">
              <w:rPr>
                <w:color w:val="000000"/>
                <w:sz w:val="20"/>
                <w:szCs w:val="20"/>
              </w:rPr>
              <w:t>mean 2.91</w:t>
            </w:r>
            <w:r w:rsidRPr="009D4624">
              <w:rPr>
                <w:color w:val="000000"/>
                <w:sz w:val="20"/>
                <w:szCs w:val="20"/>
              </w:rPr>
              <w:br/>
              <w:t>range0-12 (46.5 bleeds in 16 patients)</w:t>
            </w:r>
          </w:p>
        </w:tc>
        <w:tc>
          <w:tcPr>
            <w:tcW w:w="1417" w:type="dxa"/>
            <w:shd w:val="clear" w:color="auto" w:fill="auto"/>
          </w:tcPr>
          <w:p w:rsidR="005C01A6" w:rsidRPr="009D4624" w:rsidRDefault="00DD7AC4" w:rsidP="009D4624">
            <w:pPr>
              <w:ind w:right="170"/>
              <w:rPr>
                <w:color w:val="000000"/>
                <w:sz w:val="20"/>
                <w:szCs w:val="20"/>
              </w:rPr>
            </w:pPr>
            <w:r w:rsidRPr="009D4624">
              <w:rPr>
                <w:color w:val="000000"/>
                <w:sz w:val="20"/>
                <w:szCs w:val="20"/>
              </w:rPr>
              <w:t>2.91</w:t>
            </w:r>
            <w:r w:rsidRPr="009D4624">
              <w:rPr>
                <w:color w:val="000000"/>
                <w:sz w:val="20"/>
                <w:szCs w:val="20"/>
              </w:rPr>
              <w:br/>
              <w:t>[2.18,3.87]</w:t>
            </w:r>
          </w:p>
        </w:tc>
      </w:tr>
      <w:tr w:rsidR="00DD7AC4" w:rsidTr="009D4624">
        <w:tc>
          <w:tcPr>
            <w:tcW w:w="1243" w:type="dxa"/>
            <w:shd w:val="clear" w:color="auto" w:fill="auto"/>
          </w:tcPr>
          <w:p w:rsidR="005C01A6" w:rsidRPr="009D4624" w:rsidRDefault="0008197C" w:rsidP="009D4624">
            <w:pPr>
              <w:ind w:right="170"/>
              <w:rPr>
                <w:color w:val="000000"/>
                <w:sz w:val="20"/>
                <w:szCs w:val="20"/>
              </w:rPr>
            </w:pPr>
            <w:r w:rsidRPr="009D4624">
              <w:rPr>
                <w:color w:val="000000"/>
                <w:sz w:val="20"/>
                <w:szCs w:val="20"/>
              </w:rPr>
              <w:t xml:space="preserve">All </w:t>
            </w:r>
            <w:r w:rsidRPr="009D4624">
              <w:rPr>
                <w:i/>
                <w:color w:val="000000"/>
                <w:sz w:val="20"/>
                <w:szCs w:val="20"/>
              </w:rPr>
              <w:t>age-adjusted</w:t>
            </w:r>
          </w:p>
        </w:tc>
        <w:tc>
          <w:tcPr>
            <w:tcW w:w="1417" w:type="dxa"/>
            <w:shd w:val="clear" w:color="auto" w:fill="auto"/>
          </w:tcPr>
          <w:p w:rsidR="005C01A6" w:rsidRPr="009D4624" w:rsidRDefault="005C01A6" w:rsidP="009D4624">
            <w:pPr>
              <w:ind w:right="170"/>
              <w:rPr>
                <w:color w:val="000000"/>
                <w:sz w:val="20"/>
                <w:szCs w:val="20"/>
              </w:rPr>
            </w:pPr>
          </w:p>
        </w:tc>
        <w:tc>
          <w:tcPr>
            <w:tcW w:w="1276" w:type="dxa"/>
            <w:shd w:val="clear" w:color="auto" w:fill="auto"/>
          </w:tcPr>
          <w:p w:rsidR="005C01A6" w:rsidRPr="009D4624" w:rsidRDefault="0008197C" w:rsidP="009D4624">
            <w:pPr>
              <w:ind w:right="170"/>
              <w:rPr>
                <w:color w:val="000000"/>
                <w:sz w:val="20"/>
                <w:szCs w:val="20"/>
              </w:rPr>
            </w:pPr>
            <w:r w:rsidRPr="009D4624">
              <w:rPr>
                <w:color w:val="000000"/>
                <w:sz w:val="20"/>
                <w:szCs w:val="20"/>
              </w:rPr>
              <w:t>0.048 [0.009, 0.250]</w:t>
            </w:r>
          </w:p>
        </w:tc>
        <w:tc>
          <w:tcPr>
            <w:tcW w:w="1417" w:type="dxa"/>
            <w:shd w:val="clear" w:color="auto" w:fill="auto"/>
          </w:tcPr>
          <w:p w:rsidR="005C01A6" w:rsidRPr="009D4624" w:rsidRDefault="005C01A6" w:rsidP="009D4624">
            <w:pPr>
              <w:ind w:right="170"/>
              <w:rPr>
                <w:color w:val="000000"/>
                <w:sz w:val="20"/>
                <w:szCs w:val="20"/>
              </w:rPr>
            </w:pPr>
          </w:p>
        </w:tc>
        <w:tc>
          <w:tcPr>
            <w:tcW w:w="992" w:type="dxa"/>
            <w:shd w:val="clear" w:color="auto" w:fill="auto"/>
          </w:tcPr>
          <w:p w:rsidR="005C01A6" w:rsidRPr="009D4624" w:rsidRDefault="005C01A6" w:rsidP="009D4624">
            <w:pPr>
              <w:ind w:right="170"/>
              <w:rPr>
                <w:color w:val="000000"/>
                <w:sz w:val="20"/>
                <w:szCs w:val="20"/>
              </w:rPr>
            </w:pPr>
          </w:p>
        </w:tc>
        <w:tc>
          <w:tcPr>
            <w:tcW w:w="1418" w:type="dxa"/>
            <w:shd w:val="clear" w:color="auto" w:fill="auto"/>
          </w:tcPr>
          <w:p w:rsidR="005C01A6" w:rsidRPr="009D4624" w:rsidRDefault="005C01A6" w:rsidP="009D4624">
            <w:pPr>
              <w:ind w:right="170"/>
              <w:rPr>
                <w:color w:val="000000"/>
                <w:sz w:val="20"/>
                <w:szCs w:val="20"/>
              </w:rPr>
            </w:pPr>
          </w:p>
        </w:tc>
        <w:tc>
          <w:tcPr>
            <w:tcW w:w="1417" w:type="dxa"/>
            <w:shd w:val="clear" w:color="auto" w:fill="auto"/>
          </w:tcPr>
          <w:p w:rsidR="005C01A6" w:rsidRPr="009D4624" w:rsidRDefault="005C01A6" w:rsidP="009D4624">
            <w:pPr>
              <w:ind w:right="170"/>
              <w:rPr>
                <w:color w:val="000000"/>
                <w:sz w:val="20"/>
                <w:szCs w:val="20"/>
              </w:rPr>
            </w:pPr>
          </w:p>
        </w:tc>
      </w:tr>
    </w:tbl>
    <w:p w:rsidR="00FE2FDD" w:rsidRDefault="0008197C" w:rsidP="0008197C">
      <w:pPr>
        <w:pStyle w:val="TableDescription"/>
      </w:pPr>
      <w:r w:rsidRPr="0008197C">
        <w:rPr>
          <w:vertAlign w:val="superscript"/>
        </w:rPr>
        <w:t>1</w:t>
      </w:r>
      <w:r>
        <w:t xml:space="preserve"> Poisson Model. </w:t>
      </w:r>
      <w:r w:rsidRPr="0008197C">
        <w:rPr>
          <w:vertAlign w:val="superscript"/>
        </w:rPr>
        <w:t>2</w:t>
      </w:r>
      <w:r>
        <w:t xml:space="preserve"> All bleeds. </w:t>
      </w:r>
      <w:r w:rsidRPr="0008197C">
        <w:rPr>
          <w:vertAlign w:val="superscript"/>
        </w:rPr>
        <w:t>3</w:t>
      </w:r>
      <w:r>
        <w:t xml:space="preserve"> Treatments Requiring Bleeds.</w:t>
      </w:r>
    </w:p>
    <w:p w:rsidR="0008197C" w:rsidRDefault="00E2217F" w:rsidP="00E2217F">
      <w:r w:rsidRPr="00AF7843">
        <w:t>The interim data from the long</w:t>
      </w:r>
      <w:r w:rsidR="00D845C7">
        <w:t xml:space="preserve"> </w:t>
      </w:r>
      <w:r w:rsidRPr="00AF7843">
        <w:t>term extension trial (F13CD-3720) of 33 patients from the pivotal trial (F13CD-1725) showed a similar age</w:t>
      </w:r>
      <w:r w:rsidR="00F75AC5">
        <w:t xml:space="preserve"> </w:t>
      </w:r>
      <w:r w:rsidRPr="00AF7843">
        <w:t>adjusted bleeding ra</w:t>
      </w:r>
      <w:r>
        <w:t>t</w:t>
      </w:r>
      <w:r w:rsidR="0079220B">
        <w:t>e to the pivotal trial (Table 19</w:t>
      </w:r>
      <w:r w:rsidRPr="00AF7843">
        <w:t xml:space="preserve">) which confirmed the benefits of prophylactic NovoThirteen beyond 12 months of treatment </w:t>
      </w:r>
      <w:r w:rsidR="00D845C7">
        <w:t>(CER2)</w:t>
      </w:r>
      <w:r w:rsidRPr="00AF7843">
        <w:t>. The mean observation period was 359 days. The median age of subjects was 25 years (range 7 to 60 years). Age was no longer a statistically significant covariate.</w:t>
      </w:r>
    </w:p>
    <w:p w:rsidR="00E2217F" w:rsidRDefault="0008197C" w:rsidP="0008197C">
      <w:pPr>
        <w:pStyle w:val="TableTitle"/>
      </w:pPr>
      <w:r>
        <w:br w:type="page"/>
      </w:r>
      <w:r w:rsidR="0079220B">
        <w:lastRenderedPageBreak/>
        <w:t>Table 19</w:t>
      </w:r>
      <w:r w:rsidR="00E2217F">
        <w:t xml:space="preserve">: </w:t>
      </w:r>
      <w:r w:rsidR="00F02E14">
        <w:t>Extension trial F13CD-3720: mean bleeding rate (95%)</w:t>
      </w:r>
      <w:r w:rsidR="00E2217F">
        <w:t>.</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906"/>
        <w:gridCol w:w="2907"/>
        <w:gridCol w:w="2907"/>
      </w:tblGrid>
      <w:tr w:rsidR="005C01A6" w:rsidTr="009D4624">
        <w:trPr>
          <w:tblHeader/>
        </w:trPr>
        <w:tc>
          <w:tcPr>
            <w:tcW w:w="2906" w:type="dxa"/>
            <w:tcBorders>
              <w:top w:val="single" w:sz="8" w:space="0" w:color="000000"/>
              <w:left w:val="single" w:sz="8" w:space="0" w:color="000000"/>
              <w:bottom w:val="single" w:sz="8" w:space="0" w:color="000000"/>
              <w:right w:val="nil"/>
              <w:tl2br w:val="nil"/>
              <w:tr2bl w:val="nil"/>
            </w:tcBorders>
            <w:shd w:val="clear" w:color="auto" w:fill="006DA7"/>
          </w:tcPr>
          <w:p w:rsidR="005C01A6" w:rsidRPr="009D4624" w:rsidRDefault="005C01A6" w:rsidP="009D4624">
            <w:pPr>
              <w:ind w:left="170" w:right="170"/>
              <w:rPr>
                <w:b/>
                <w:color w:val="FFFFFF"/>
              </w:rPr>
            </w:pPr>
            <w:r w:rsidRPr="009D4624">
              <w:rPr>
                <w:b/>
                <w:color w:val="FFFFFF"/>
              </w:rPr>
              <w:t>Group</w:t>
            </w:r>
          </w:p>
        </w:tc>
        <w:tc>
          <w:tcPr>
            <w:tcW w:w="5814" w:type="dxa"/>
            <w:gridSpan w:val="2"/>
            <w:tcBorders>
              <w:top w:val="single" w:sz="8" w:space="0" w:color="000000"/>
              <w:left w:val="nil"/>
              <w:bottom w:val="single" w:sz="8" w:space="0" w:color="000000"/>
              <w:right w:val="single" w:sz="8" w:space="0" w:color="000000"/>
              <w:tl2br w:val="nil"/>
              <w:tr2bl w:val="nil"/>
            </w:tcBorders>
            <w:shd w:val="clear" w:color="auto" w:fill="006DA7"/>
          </w:tcPr>
          <w:p w:rsidR="005C01A6" w:rsidRPr="009D4624" w:rsidRDefault="005C01A6" w:rsidP="009D4624">
            <w:pPr>
              <w:ind w:left="170" w:right="170"/>
              <w:rPr>
                <w:b/>
                <w:color w:val="FFFFFF"/>
              </w:rPr>
            </w:pPr>
            <w:r w:rsidRPr="009D4624">
              <w:rPr>
                <w:b/>
                <w:color w:val="FFFFFF"/>
              </w:rPr>
              <w:t>Trial F13CD-1725</w:t>
            </w:r>
          </w:p>
        </w:tc>
      </w:tr>
      <w:tr w:rsidR="005C01A6" w:rsidTr="009D4624">
        <w:tc>
          <w:tcPr>
            <w:tcW w:w="2906" w:type="dxa"/>
            <w:shd w:val="clear" w:color="auto" w:fill="auto"/>
          </w:tcPr>
          <w:p w:rsidR="005C01A6" w:rsidRPr="009D4624" w:rsidRDefault="005C01A6" w:rsidP="009D4624">
            <w:pPr>
              <w:ind w:left="170" w:right="170"/>
              <w:rPr>
                <w:color w:val="000000"/>
              </w:rPr>
            </w:pPr>
          </w:p>
        </w:tc>
        <w:tc>
          <w:tcPr>
            <w:tcW w:w="2907" w:type="dxa"/>
            <w:shd w:val="clear" w:color="auto" w:fill="auto"/>
          </w:tcPr>
          <w:p w:rsidR="005C01A6" w:rsidRPr="009D4624" w:rsidRDefault="005C01A6" w:rsidP="009D4624">
            <w:pPr>
              <w:ind w:left="170" w:right="170"/>
              <w:rPr>
                <w:i/>
                <w:color w:val="000000"/>
              </w:rPr>
            </w:pPr>
            <w:r w:rsidRPr="009D4624">
              <w:rPr>
                <w:i/>
                <w:color w:val="000000"/>
              </w:rPr>
              <w:t>Crude</w:t>
            </w:r>
          </w:p>
        </w:tc>
        <w:tc>
          <w:tcPr>
            <w:tcW w:w="2907" w:type="dxa"/>
            <w:shd w:val="clear" w:color="auto" w:fill="auto"/>
          </w:tcPr>
          <w:p w:rsidR="005C01A6" w:rsidRPr="009D4624" w:rsidRDefault="005C01A6" w:rsidP="009D4624">
            <w:pPr>
              <w:ind w:left="170" w:right="170"/>
              <w:rPr>
                <w:i/>
                <w:color w:val="000000"/>
              </w:rPr>
            </w:pPr>
            <w:r w:rsidRPr="009D4624">
              <w:rPr>
                <w:i/>
                <w:color w:val="000000"/>
              </w:rPr>
              <w:t>Estimate</w:t>
            </w:r>
            <w:r w:rsidRPr="009D4624">
              <w:rPr>
                <w:i/>
                <w:color w:val="000000"/>
                <w:vertAlign w:val="superscript"/>
              </w:rPr>
              <w:t>1</w:t>
            </w:r>
          </w:p>
        </w:tc>
      </w:tr>
      <w:tr w:rsidR="005C01A6" w:rsidTr="009D4624">
        <w:tc>
          <w:tcPr>
            <w:tcW w:w="2906" w:type="dxa"/>
            <w:shd w:val="clear" w:color="auto" w:fill="auto"/>
          </w:tcPr>
          <w:p w:rsidR="005C01A6" w:rsidRPr="009D4624" w:rsidRDefault="005C01A6" w:rsidP="009D4624">
            <w:pPr>
              <w:ind w:left="170" w:right="170"/>
              <w:rPr>
                <w:color w:val="000000"/>
              </w:rPr>
            </w:pPr>
            <w:r w:rsidRPr="009D4624">
              <w:rPr>
                <w:color w:val="000000"/>
              </w:rPr>
              <w:t>All</w:t>
            </w:r>
          </w:p>
        </w:tc>
        <w:tc>
          <w:tcPr>
            <w:tcW w:w="2907" w:type="dxa"/>
            <w:shd w:val="clear" w:color="auto" w:fill="auto"/>
          </w:tcPr>
          <w:p w:rsidR="005C01A6" w:rsidRPr="009D4624" w:rsidRDefault="005C01A6" w:rsidP="009D4624">
            <w:pPr>
              <w:ind w:left="170" w:right="170"/>
              <w:rPr>
                <w:color w:val="000000"/>
              </w:rPr>
            </w:pPr>
            <w:r w:rsidRPr="009D4624">
              <w:rPr>
                <w:color w:val="000000"/>
              </w:rPr>
              <w:t>5 bleeds in 3 patients</w:t>
            </w:r>
            <w:r w:rsidRPr="009D4624">
              <w:rPr>
                <w:color w:val="000000"/>
              </w:rPr>
              <w:br/>
              <w:t>(n=33)</w:t>
            </w:r>
          </w:p>
        </w:tc>
        <w:tc>
          <w:tcPr>
            <w:tcW w:w="2907" w:type="dxa"/>
            <w:shd w:val="clear" w:color="auto" w:fill="auto"/>
          </w:tcPr>
          <w:p w:rsidR="005C01A6" w:rsidRPr="009D4624" w:rsidRDefault="005C01A6" w:rsidP="009D4624">
            <w:pPr>
              <w:ind w:left="170" w:right="170"/>
              <w:rPr>
                <w:color w:val="000000"/>
              </w:rPr>
            </w:pPr>
            <w:r w:rsidRPr="009D4624">
              <w:rPr>
                <w:color w:val="000000"/>
              </w:rPr>
              <w:t>0.15</w:t>
            </w:r>
            <w:r w:rsidRPr="009D4624">
              <w:rPr>
                <w:color w:val="000000"/>
              </w:rPr>
              <w:br/>
              <w:t>[0.06, 0.37]</w:t>
            </w:r>
          </w:p>
        </w:tc>
      </w:tr>
      <w:tr w:rsidR="005C01A6" w:rsidTr="009D4624">
        <w:tc>
          <w:tcPr>
            <w:tcW w:w="2906" w:type="dxa"/>
            <w:shd w:val="clear" w:color="auto" w:fill="auto"/>
          </w:tcPr>
          <w:p w:rsidR="005C01A6" w:rsidRPr="009D4624" w:rsidRDefault="005C01A6" w:rsidP="009D4624">
            <w:pPr>
              <w:ind w:left="170" w:right="170"/>
              <w:rPr>
                <w:color w:val="000000"/>
              </w:rPr>
            </w:pPr>
            <w:r w:rsidRPr="009D4624">
              <w:rPr>
                <w:color w:val="000000"/>
              </w:rPr>
              <w:t>All</w:t>
            </w:r>
            <w:r w:rsidRPr="009D4624">
              <w:rPr>
                <w:color w:val="000000"/>
              </w:rPr>
              <w:br/>
            </w:r>
            <w:r w:rsidRPr="009D4624">
              <w:rPr>
                <w:i/>
                <w:color w:val="000000"/>
              </w:rPr>
              <w:t>age adjusted</w:t>
            </w:r>
          </w:p>
        </w:tc>
        <w:tc>
          <w:tcPr>
            <w:tcW w:w="2907" w:type="dxa"/>
            <w:shd w:val="clear" w:color="auto" w:fill="auto"/>
          </w:tcPr>
          <w:p w:rsidR="005C01A6" w:rsidRPr="009D4624" w:rsidRDefault="005C01A6" w:rsidP="009D4624">
            <w:pPr>
              <w:ind w:left="170" w:right="170"/>
              <w:rPr>
                <w:color w:val="000000"/>
              </w:rPr>
            </w:pPr>
          </w:p>
        </w:tc>
        <w:tc>
          <w:tcPr>
            <w:tcW w:w="2907" w:type="dxa"/>
            <w:shd w:val="clear" w:color="auto" w:fill="auto"/>
          </w:tcPr>
          <w:p w:rsidR="005C01A6" w:rsidRPr="009D4624" w:rsidRDefault="005C01A6" w:rsidP="009D4624">
            <w:pPr>
              <w:ind w:left="170" w:right="170"/>
              <w:rPr>
                <w:color w:val="000000"/>
              </w:rPr>
            </w:pPr>
            <w:r w:rsidRPr="009D4624">
              <w:rPr>
                <w:color w:val="000000"/>
              </w:rPr>
              <w:t>0.038</w:t>
            </w:r>
            <w:r w:rsidRPr="009D4624">
              <w:rPr>
                <w:color w:val="000000"/>
              </w:rPr>
              <w:br/>
              <w:t>[0.003, 0.444]</w:t>
            </w:r>
          </w:p>
        </w:tc>
      </w:tr>
    </w:tbl>
    <w:p w:rsidR="005C01A6" w:rsidRDefault="005C01A6" w:rsidP="005C01A6">
      <w:pPr>
        <w:pStyle w:val="TableDescription"/>
      </w:pPr>
      <w:r w:rsidRPr="005C01A6">
        <w:rPr>
          <w:vertAlign w:val="superscript"/>
        </w:rPr>
        <w:t>1</w:t>
      </w:r>
      <w:r>
        <w:t xml:space="preserve"> Estimated mean bleeding rate per patient year (Poisson Model).</w:t>
      </w:r>
    </w:p>
    <w:p w:rsidR="00AF7843" w:rsidRPr="00AF7843" w:rsidRDefault="00AF7843" w:rsidP="00AF7843">
      <w:r w:rsidRPr="00AF7843">
        <w:t>In the paediatric trial (F13CD-3760) of single</w:t>
      </w:r>
      <w:r w:rsidR="00F75AC5">
        <w:t xml:space="preserve"> </w:t>
      </w:r>
      <w:r w:rsidRPr="00AF7843">
        <w:t>dose NovoThirteen 35 IU/kg, there were no treatm</w:t>
      </w:r>
      <w:r w:rsidR="00F75AC5">
        <w:t>ent-requiring bleeding episodes (CER2)</w:t>
      </w:r>
      <w:r w:rsidR="001006B9">
        <w:t>.</w:t>
      </w:r>
    </w:p>
    <w:p w:rsidR="00AF7843" w:rsidRPr="00AF7843" w:rsidRDefault="00AF7843" w:rsidP="00481BC9">
      <w:pPr>
        <w:pStyle w:val="Heading4"/>
      </w:pPr>
      <w:r w:rsidRPr="00AF7843">
        <w:t>Safety</w:t>
      </w:r>
    </w:p>
    <w:p w:rsidR="00AF7843" w:rsidRPr="00AF7843" w:rsidRDefault="00AF7843" w:rsidP="00481BC9">
      <w:pPr>
        <w:pStyle w:val="ListBullet"/>
      </w:pPr>
      <w:r w:rsidRPr="00AF7843">
        <w:t>In clinical studies, 651 subjects had been exposed to NovoThirt</w:t>
      </w:r>
      <w:r w:rsidR="00F75AC5">
        <w:t>een, 51 of who</w:t>
      </w:r>
      <w:r w:rsidRPr="00AF7843">
        <w:t xml:space="preserve"> had congenital FXIII deficiency. Most subjects received a single dose. The primary safety data is from the pivotal trial F13CD-1725 (n</w:t>
      </w:r>
      <w:r w:rsidR="00F75AC5">
        <w:t xml:space="preserve"> </w:t>
      </w:r>
      <w:r w:rsidRPr="00AF7843">
        <w:t>=</w:t>
      </w:r>
      <w:r w:rsidR="00F75AC5">
        <w:t xml:space="preserve"> </w:t>
      </w:r>
      <w:r w:rsidRPr="00AF7843">
        <w:t>41) and the extension trial F13CD-3720 (n</w:t>
      </w:r>
      <w:r w:rsidR="00F75AC5">
        <w:t xml:space="preserve"> </w:t>
      </w:r>
      <w:r w:rsidRPr="00AF7843">
        <w:t>=</w:t>
      </w:r>
      <w:r w:rsidR="00F75AC5">
        <w:t xml:space="preserve"> </w:t>
      </w:r>
      <w:r w:rsidRPr="00AF7843">
        <w:t>33 of the 41 in F13CD-1725) in which NovoThirteen was administered at a dose of 35 IU/kg/month IV. The data from the two studies were pooled. The majority of subjects received NovoThirteen for two years. The maximum durat</w:t>
      </w:r>
      <w:r w:rsidR="00F75AC5">
        <w:t>ion of exposure was 32 months (CER1)</w:t>
      </w:r>
      <w:r w:rsidRPr="00AF7843">
        <w:t>.</w:t>
      </w:r>
    </w:p>
    <w:p w:rsidR="00AF7843" w:rsidRPr="00AF7843" w:rsidRDefault="00AF7843" w:rsidP="00481BC9">
      <w:pPr>
        <w:pStyle w:val="ListBullet"/>
      </w:pPr>
      <w:r w:rsidRPr="00AF7843">
        <w:t>The most common adverse events in the two pooled studies were headache (32%), nasopharyngitis (27%), pyrexia (20%), arthralgia (17%), pain in extremity (17%), nasal congestion (17%)</w:t>
      </w:r>
      <w:r w:rsidR="00F75AC5">
        <w:t xml:space="preserve"> and oropharyngeal pain (17%) (</w:t>
      </w:r>
      <w:r w:rsidRPr="00AF7843">
        <w:t>CER1</w:t>
      </w:r>
      <w:r w:rsidR="00F75AC5">
        <w:t>)</w:t>
      </w:r>
      <w:r w:rsidRPr="00AF7843">
        <w:t>. Fourteen adverse events in nine subjects were considered possibly or pro</w:t>
      </w:r>
      <w:r w:rsidR="00F75AC5">
        <w:t>bably related to NovoThirteen (</w:t>
      </w:r>
      <w:r w:rsidRPr="00AF7843">
        <w:t>CER1</w:t>
      </w:r>
      <w:r w:rsidR="00F75AC5">
        <w:t>)</w:t>
      </w:r>
      <w:r w:rsidRPr="00AF7843">
        <w:t>. Four events in 4 subjects (</w:t>
      </w:r>
      <w:r w:rsidR="001A6604">
        <w:t xml:space="preserve">10%) were of development of non neutralising anti </w:t>
      </w:r>
      <w:r w:rsidRPr="00AF7843">
        <w:t xml:space="preserve">rFXIII antibodies. There was no associated anaphylactic or allergic reaction, bleeding episode or change in </w:t>
      </w:r>
      <w:r w:rsidR="0029289B">
        <w:t>PK</w:t>
      </w:r>
      <w:r w:rsidR="001A6604">
        <w:t xml:space="preserve"> (</w:t>
      </w:r>
      <w:r w:rsidRPr="00AF7843">
        <w:t>CER1</w:t>
      </w:r>
      <w:r w:rsidR="001A6604">
        <w:t>)</w:t>
      </w:r>
      <w:r w:rsidRPr="00AF7843">
        <w:t>. Other events included single instances of worsening of leukopenia and neutropenia, pain in extremity, injection site pain, Fibrin D dimer increased and headache.</w:t>
      </w:r>
      <w:r w:rsidR="00CD52B1">
        <w:t xml:space="preserve"> </w:t>
      </w:r>
      <w:r w:rsidRPr="00AF7843">
        <w:t>There were no thromboembolic events. There was one instance of overdose. All subjects recovered.</w:t>
      </w:r>
    </w:p>
    <w:p w:rsidR="00AF7843" w:rsidRPr="00AF7843" w:rsidRDefault="00AF7843" w:rsidP="00481BC9">
      <w:pPr>
        <w:pStyle w:val="ListBullet"/>
      </w:pPr>
      <w:r w:rsidRPr="00AF7843">
        <w:t xml:space="preserve">A </w:t>
      </w:r>
      <w:r w:rsidR="001A6604">
        <w:t>P</w:t>
      </w:r>
      <w:r w:rsidRPr="00AF7843">
        <w:t xml:space="preserve">hase </w:t>
      </w:r>
      <w:r w:rsidR="001A6604">
        <w:t>IV</w:t>
      </w:r>
      <w:r w:rsidRPr="00AF7843">
        <w:t xml:space="preserve"> study to further characterise the immunogenicity of NovoTh</w:t>
      </w:r>
      <w:r w:rsidR="001A6604">
        <w:t>irteen is ongoing (CER2)</w:t>
      </w:r>
      <w:r w:rsidRPr="00AF7843">
        <w:t>.</w:t>
      </w:r>
    </w:p>
    <w:p w:rsidR="00AF7843" w:rsidRPr="00AF7843" w:rsidRDefault="00AF7843" w:rsidP="00481BC9">
      <w:pPr>
        <w:pStyle w:val="ListBullet"/>
      </w:pPr>
      <w:r w:rsidRPr="00AF7843">
        <w:t>In the paediatric trial (F13CD-3760) of single</w:t>
      </w:r>
      <w:r w:rsidR="00301F98">
        <w:t xml:space="preserve"> </w:t>
      </w:r>
      <w:r w:rsidRPr="00AF7843">
        <w:t>dose NovoThirteen 35 IU/kg, there were no serious safety issues and no anti</w:t>
      </w:r>
      <w:r w:rsidR="00301F98">
        <w:t xml:space="preserve"> rFXIII antibodies detected (</w:t>
      </w:r>
      <w:r w:rsidRPr="00AF7843">
        <w:t>CER2</w:t>
      </w:r>
      <w:r w:rsidR="00301F98">
        <w:t>)</w:t>
      </w:r>
      <w:r w:rsidRPr="00AF7843">
        <w:t>.</w:t>
      </w:r>
    </w:p>
    <w:p w:rsidR="00AF7843" w:rsidRPr="00AF7843" w:rsidRDefault="00AF7843" w:rsidP="00481BC9">
      <w:pPr>
        <w:pStyle w:val="ListBullet"/>
      </w:pPr>
      <w:r w:rsidRPr="00AF7843">
        <w:t>Extensions to trial F13CD-1725 (F13CD-1720) and trial F13CD-3760 (F13CD-3835) are ong</w:t>
      </w:r>
      <w:r w:rsidR="0042272C">
        <w:t>oing to collect long-term data (</w:t>
      </w:r>
      <w:r w:rsidRPr="00AF7843">
        <w:t>CER2</w:t>
      </w:r>
      <w:r w:rsidR="0042272C">
        <w:t>)</w:t>
      </w:r>
      <w:r w:rsidRPr="00AF7843">
        <w:t>.</w:t>
      </w:r>
    </w:p>
    <w:p w:rsidR="00AF7843" w:rsidRPr="00AF7843" w:rsidRDefault="00AF7843" w:rsidP="00AF7843">
      <w:r w:rsidRPr="00AF7843">
        <w:t>The evaluator supported registration subject to submission of the final reports of the ongoing extension trials F13CD-1720 and F13CD-3835 when available.</w:t>
      </w:r>
    </w:p>
    <w:p w:rsidR="008E7846" w:rsidRDefault="00386150" w:rsidP="008E7846">
      <w:pPr>
        <w:pStyle w:val="Heading3"/>
        <w:rPr>
          <w:lang w:eastAsia="en-AU"/>
        </w:rPr>
      </w:pPr>
      <w:bookmarkStart w:id="171" w:name="_Toc314842514"/>
      <w:bookmarkStart w:id="172" w:name="_Toc389414022"/>
      <w:r>
        <w:rPr>
          <w:lang w:eastAsia="en-AU"/>
        </w:rPr>
        <w:t>Risk m</w:t>
      </w:r>
      <w:r w:rsidR="008E7846">
        <w:rPr>
          <w:lang w:eastAsia="en-AU"/>
        </w:rPr>
        <w:t xml:space="preserve">anagement </w:t>
      </w:r>
      <w:r>
        <w:rPr>
          <w:lang w:eastAsia="en-AU"/>
        </w:rPr>
        <w:t>p</w:t>
      </w:r>
      <w:r w:rsidR="008E7846">
        <w:rPr>
          <w:lang w:eastAsia="en-AU"/>
        </w:rPr>
        <w:t>lan</w:t>
      </w:r>
      <w:bookmarkEnd w:id="171"/>
      <w:bookmarkEnd w:id="172"/>
    </w:p>
    <w:p w:rsidR="00AF7843" w:rsidRPr="00AF7843" w:rsidRDefault="00AF7843" w:rsidP="00481BC9">
      <w:pPr>
        <w:pStyle w:val="ListBullet"/>
      </w:pPr>
      <w:r w:rsidRPr="00AF7843">
        <w:t>Some</w:t>
      </w:r>
      <w:r w:rsidR="004672B8">
        <w:t xml:space="preserve"> issues remained (RMP Advice</w:t>
      </w:r>
      <w:r w:rsidRPr="00AF7843">
        <w:t>). The sponsor is reques</w:t>
      </w:r>
      <w:r w:rsidR="00865647">
        <w:t xml:space="preserve">ted to comment in their pre </w:t>
      </w:r>
      <w:r w:rsidRPr="00AF7843">
        <w:t>ACPM Response.</w:t>
      </w:r>
    </w:p>
    <w:p w:rsidR="00AF7843" w:rsidRPr="00AF7843" w:rsidRDefault="00AF7843" w:rsidP="00AF7843">
      <w:r w:rsidRPr="00AF7843">
        <w:t xml:space="preserve">The EU </w:t>
      </w:r>
      <w:r w:rsidR="00865647">
        <w:t>RMP</w:t>
      </w:r>
      <w:r w:rsidRPr="00AF7843">
        <w:t xml:space="preserve"> with an Australian Annex is recommended</w:t>
      </w:r>
      <w:r w:rsidR="00481BC9">
        <w:t xml:space="preserve"> as a condition of registration</w:t>
      </w:r>
      <w:r w:rsidRPr="00AF7843">
        <w:t>.</w:t>
      </w:r>
    </w:p>
    <w:p w:rsidR="008E7846" w:rsidRDefault="00AA0ED0" w:rsidP="008E7846">
      <w:pPr>
        <w:pStyle w:val="Heading3"/>
      </w:pPr>
      <w:bookmarkStart w:id="173" w:name="_Toc247691531"/>
      <w:bookmarkStart w:id="174" w:name="_Toc314842515"/>
      <w:bookmarkStart w:id="175" w:name="_Toc196046505"/>
      <w:bookmarkStart w:id="176" w:name="_Toc196046949"/>
      <w:bookmarkStart w:id="177" w:name="_Toc389414023"/>
      <w:r>
        <w:lastRenderedPageBreak/>
        <w:t>Risk-benefit a</w:t>
      </w:r>
      <w:r w:rsidR="008E7846">
        <w:t>nalysis</w:t>
      </w:r>
      <w:bookmarkEnd w:id="173"/>
      <w:bookmarkEnd w:id="174"/>
      <w:bookmarkEnd w:id="177"/>
    </w:p>
    <w:p w:rsidR="008E7846" w:rsidRDefault="008E7846" w:rsidP="008E7846">
      <w:pPr>
        <w:pStyle w:val="Heading4"/>
      </w:pPr>
      <w:r>
        <w:t xml:space="preserve">Delegate </w:t>
      </w:r>
      <w:r w:rsidR="00ED3CAD">
        <w:t>c</w:t>
      </w:r>
      <w:r>
        <w:t>onsiderations</w:t>
      </w:r>
    </w:p>
    <w:p w:rsidR="00481BC9" w:rsidRPr="00481BC9" w:rsidRDefault="00481BC9" w:rsidP="00481BC9">
      <w:r w:rsidRPr="00481BC9">
        <w:t>In the pivotal trial F13CD-1725, prophylactic NovoThirteen 35 IU/kg/month (n</w:t>
      </w:r>
      <w:r w:rsidR="009230B1">
        <w:t xml:space="preserve"> </w:t>
      </w:r>
      <w:r w:rsidRPr="00481BC9">
        <w:t>=</w:t>
      </w:r>
      <w:r w:rsidR="009230B1">
        <w:t xml:space="preserve"> </w:t>
      </w:r>
      <w:r w:rsidRPr="00481BC9">
        <w:t>41) significantly decreased the yearly incidence of treatment</w:t>
      </w:r>
      <w:r w:rsidR="00743879">
        <w:t xml:space="preserve"> </w:t>
      </w:r>
      <w:r w:rsidRPr="00481BC9">
        <w:t>requiring bleeding episodes compared with historical controls receiving on-demand FXIII treatment (n</w:t>
      </w:r>
      <w:r w:rsidR="009230B1">
        <w:t xml:space="preserve"> </w:t>
      </w:r>
      <w:r w:rsidRPr="00481BC9">
        <w:t>=</w:t>
      </w:r>
      <w:r w:rsidR="009230B1">
        <w:t xml:space="preserve"> </w:t>
      </w:r>
      <w:r w:rsidRPr="00481BC9">
        <w:t>16). The mean observation period was 322 days. The benefit was maintained in the extension trial F13CD-3720 in which 33 subjects continued on prophylactic NovoThirteen for a mean of an additional 359 days. There was a trend to lower incidence of treatment</w:t>
      </w:r>
      <w:r w:rsidR="00743879">
        <w:t xml:space="preserve"> </w:t>
      </w:r>
      <w:r w:rsidRPr="00481BC9">
        <w:t>requiring bleeding episodes prophylactic NovoThirteen compared with prophylactic FXIII treatment in historical controls. Therefore, NovoThirteen appears no worse than previous prophylactic FXIII treatment.</w:t>
      </w:r>
    </w:p>
    <w:p w:rsidR="00481BC9" w:rsidRPr="00481BC9" w:rsidRDefault="00481BC9" w:rsidP="00481BC9">
      <w:r w:rsidRPr="00481BC9">
        <w:t>The trials had limitations. They were single</w:t>
      </w:r>
      <w:r w:rsidR="00743879">
        <w:t xml:space="preserve"> </w:t>
      </w:r>
      <w:r w:rsidRPr="00481BC9">
        <w:t>arm, enrolled small numbers of subjects and used historical controls. The endpoint, “treatment</w:t>
      </w:r>
      <w:r w:rsidR="00743879">
        <w:t xml:space="preserve"> </w:t>
      </w:r>
      <w:r w:rsidRPr="00481BC9">
        <w:t>requiring bleeding episodes” was subject to bias due to differences in clinical practice. With respect to the trial design and number of subjects, it would have been difficult to perform a controlled trial due to the limited number of subjects with FXIII deficiency. With respect to the endpoint, it would have been useful if the trial had also assessed data on all bleeding episodes regardless of whether they were treatment requiring or not. Nevertheless, “treatment</w:t>
      </w:r>
      <w:r w:rsidR="00743879">
        <w:t xml:space="preserve"> </w:t>
      </w:r>
      <w:r w:rsidRPr="00481BC9">
        <w:t>requiring bleeding episodes” was a useful primary endpoint.</w:t>
      </w:r>
    </w:p>
    <w:p w:rsidR="00481BC9" w:rsidRPr="00481BC9" w:rsidRDefault="00481BC9" w:rsidP="00481BC9">
      <w:r w:rsidRPr="00481BC9">
        <w:t xml:space="preserve">There were 15 children aged 6 to &lt; 18 years in the pivotal trial. Six children aged 1 to &lt; 6 years were studied in another trial F13CD-3760. Comparing data from the pivotal trial and trial F13CD-3760, the </w:t>
      </w:r>
      <w:r w:rsidR="0029289B">
        <w:t>PK</w:t>
      </w:r>
      <w:r w:rsidRPr="00481BC9">
        <w:t xml:space="preserve"> parameters were similar for the younger and older children and adults.</w:t>
      </w:r>
    </w:p>
    <w:p w:rsidR="00481BC9" w:rsidRPr="00481BC9" w:rsidRDefault="00481BC9" w:rsidP="00481BC9">
      <w:r w:rsidRPr="00481BC9">
        <w:t>Based on the limited safety experience with NovoThirteen in 41 subjects with FXIII deficiency, there were no concerns. There are ongoing several trials to characterise the safety of NovoThirteen. The risks of transmission of human pathogens are lower with NovoThirteen, a recombinant product, than with plasma</w:t>
      </w:r>
      <w:r w:rsidR="00743879">
        <w:t xml:space="preserve"> </w:t>
      </w:r>
      <w:r w:rsidRPr="00481BC9">
        <w:t>derived products. The benefit-risk balance o</w:t>
      </w:r>
      <w:r w:rsidR="009B02FC">
        <w:t>f NovoThirteen appears positive.</w:t>
      </w:r>
    </w:p>
    <w:p w:rsidR="008E7846" w:rsidRDefault="008E7846" w:rsidP="008E7846">
      <w:pPr>
        <w:pStyle w:val="Heading4"/>
      </w:pPr>
      <w:r>
        <w:t xml:space="preserve">Response from </w:t>
      </w:r>
      <w:r w:rsidR="001525C0">
        <w:t>s</w:t>
      </w:r>
      <w:r>
        <w:t>ponsor</w:t>
      </w:r>
    </w:p>
    <w:p w:rsidR="006F48C1" w:rsidRPr="006F48C1" w:rsidRDefault="00DB55F8" w:rsidP="00DB55F8">
      <w:pPr>
        <w:pStyle w:val="Heading5"/>
      </w:pPr>
      <w:r>
        <w:t xml:space="preserve">Executive </w:t>
      </w:r>
      <w:r w:rsidR="00107AB1">
        <w:t>s</w:t>
      </w:r>
      <w:r w:rsidR="006F48C1" w:rsidRPr="006F48C1">
        <w:t>ummary</w:t>
      </w:r>
    </w:p>
    <w:p w:rsidR="006F48C1" w:rsidRPr="006F48C1" w:rsidRDefault="006F48C1" w:rsidP="006F48C1">
      <w:r w:rsidRPr="006F48C1">
        <w:t>Congenital FXIII deficiency is a severe and potentially life</w:t>
      </w:r>
      <w:r w:rsidR="006D2DDF">
        <w:t xml:space="preserve"> </w:t>
      </w:r>
      <w:r w:rsidRPr="006F48C1">
        <w:t>threateni</w:t>
      </w:r>
      <w:r>
        <w:t xml:space="preserve">ng hereditary bleeding disorder </w:t>
      </w:r>
      <w:r w:rsidRPr="006F48C1">
        <w:t>with an estimated prevalence of diagnosed patients around 1 in 3 million</w:t>
      </w:r>
      <w:r>
        <w:t>.</w:t>
      </w:r>
      <w:r w:rsidR="00AF669A">
        <w:rPr>
          <w:rStyle w:val="FootnoteReference"/>
        </w:rPr>
        <w:footnoteReference w:id="25"/>
      </w:r>
      <w:r>
        <w:t xml:space="preserve"> The disease, if left </w:t>
      </w:r>
      <w:r w:rsidRPr="006F48C1">
        <w:t>untreated, is associated with a lif</w:t>
      </w:r>
      <w:r>
        <w:t xml:space="preserve">elong risk of severe bleeding, </w:t>
      </w:r>
      <w:r w:rsidRPr="006F48C1">
        <w:t>chara</w:t>
      </w:r>
      <w:r>
        <w:t xml:space="preserve">cterized by a high frequency of </w:t>
      </w:r>
      <w:r w:rsidRPr="006F48C1">
        <w:t>potentially life</w:t>
      </w:r>
      <w:r w:rsidR="001525C0">
        <w:t xml:space="preserve"> </w:t>
      </w:r>
      <w:r w:rsidRPr="006F48C1">
        <w:t>threat</w:t>
      </w:r>
      <w:r>
        <w:t xml:space="preserve">ening intracranial haemorrhage. </w:t>
      </w:r>
      <w:r w:rsidRPr="006F48C1">
        <w:t>The Austral</w:t>
      </w:r>
      <w:r>
        <w:t xml:space="preserve">ian Bleeding Disorders Registry </w:t>
      </w:r>
      <w:r w:rsidRPr="006F48C1">
        <w:t>2011-2012 Annual Report indicates the number of people in Australia</w:t>
      </w:r>
      <w:r>
        <w:t xml:space="preserve"> with factor XIII deficiency at </w:t>
      </w:r>
      <w:r w:rsidR="006047D2">
        <w:t>the 30</w:t>
      </w:r>
      <w:r w:rsidRPr="006F48C1">
        <w:t xml:space="preserve"> June 2012 was 18, of which 9 received factor XIII</w:t>
      </w:r>
      <w:r w:rsidR="001525C0">
        <w:t xml:space="preserve"> </w:t>
      </w:r>
      <w:r w:rsidRPr="006F48C1">
        <w:t>conta</w:t>
      </w:r>
      <w:r>
        <w:t>ining product (within the 2011-</w:t>
      </w:r>
      <w:r w:rsidRPr="006F48C1">
        <w:t>2012 financial year).</w:t>
      </w:r>
    </w:p>
    <w:p w:rsidR="006F48C1" w:rsidRPr="006F48C1" w:rsidRDefault="006F48C1" w:rsidP="006F48C1">
      <w:r w:rsidRPr="006F48C1">
        <w:t>In Australia, a plasma</w:t>
      </w:r>
      <w:r w:rsidR="001525C0">
        <w:t xml:space="preserve"> </w:t>
      </w:r>
      <w:r w:rsidRPr="006F48C1">
        <w:t>derived FXIII is currently utilised fo</w:t>
      </w:r>
      <w:r w:rsidR="00866DE5">
        <w:t xml:space="preserve">r treatment of congenital FXIII </w:t>
      </w:r>
      <w:r w:rsidRPr="006F48C1">
        <w:t>deficiency; it is not registered, but available via t</w:t>
      </w:r>
      <w:r w:rsidR="00866DE5">
        <w:t xml:space="preserve">he SAS scheme. Building on Novo Nordisk’s </w:t>
      </w:r>
      <w:r w:rsidRPr="006F48C1">
        <w:t>history within protein drug manufacture using rDNA technology, a development program for rFXIII</w:t>
      </w:r>
      <w:r w:rsidR="00866DE5">
        <w:t xml:space="preserve"> </w:t>
      </w:r>
      <w:r w:rsidRPr="006F48C1">
        <w:t>was initiated to provide an alternative therapy for patients with congenital FXIII deficiency. As a</w:t>
      </w:r>
      <w:r w:rsidR="00866DE5">
        <w:t xml:space="preserve"> </w:t>
      </w:r>
      <w:r w:rsidRPr="006F48C1">
        <w:t>recombinant protein produced in yeast cells (</w:t>
      </w:r>
      <w:r w:rsidRPr="00865647">
        <w:rPr>
          <w:i/>
        </w:rPr>
        <w:t>Saccharomyces cerev</w:t>
      </w:r>
      <w:r w:rsidR="00866DE5" w:rsidRPr="00865647">
        <w:rPr>
          <w:i/>
        </w:rPr>
        <w:t>isiae</w:t>
      </w:r>
      <w:r w:rsidR="00866DE5">
        <w:t>), rFXIII is free of human</w:t>
      </w:r>
      <w:r w:rsidRPr="006F48C1">
        <w:t xml:space="preserve"> or</w:t>
      </w:r>
      <w:r w:rsidR="00866DE5">
        <w:t xml:space="preserve"> animal </w:t>
      </w:r>
      <w:r w:rsidRPr="006F48C1">
        <w:t>derived blood or tissue components, as well as pathogens. The use of rFXIII therefore</w:t>
      </w:r>
      <w:r w:rsidR="00866DE5">
        <w:t xml:space="preserve"> </w:t>
      </w:r>
      <w:r w:rsidRPr="006F48C1">
        <w:t>eliminates the risk of hypersensitivity reaction attributable to repeated exposure to plasma</w:t>
      </w:r>
      <w:r w:rsidR="00866DE5">
        <w:t xml:space="preserve"> </w:t>
      </w:r>
      <w:r w:rsidRPr="006F48C1">
        <w:t xml:space="preserve">components, and </w:t>
      </w:r>
      <w:r w:rsidRPr="006F48C1">
        <w:lastRenderedPageBreak/>
        <w:t>the risk of pathogen transmission. In addition, the time spent on each injection is</w:t>
      </w:r>
      <w:r w:rsidR="00866DE5">
        <w:t xml:space="preserve"> </w:t>
      </w:r>
      <w:r w:rsidRPr="006F48C1">
        <w:t>shorter for rFXIII compared to plasma</w:t>
      </w:r>
      <w:r w:rsidR="001525C0">
        <w:t xml:space="preserve"> </w:t>
      </w:r>
      <w:r w:rsidRPr="006F48C1">
        <w:t>derived products, because of the lower injection volume.</w:t>
      </w:r>
    </w:p>
    <w:p w:rsidR="006F48C1" w:rsidRPr="006F48C1" w:rsidRDefault="006F48C1" w:rsidP="006F48C1">
      <w:r w:rsidRPr="006F48C1">
        <w:t>FXIII circulates in plasma as a heterotetrameric pro</w:t>
      </w:r>
      <w:r w:rsidR="00F27FA1">
        <w:t xml:space="preserve"> </w:t>
      </w:r>
      <w:r w:rsidRPr="006F48C1">
        <w:t>transglu</w:t>
      </w:r>
      <w:r w:rsidR="00866DE5">
        <w:t>taminase (A</w:t>
      </w:r>
      <w:r w:rsidR="00866DE5" w:rsidRPr="00943A13">
        <w:rPr>
          <w:vertAlign w:val="subscript"/>
        </w:rPr>
        <w:t>2</w:t>
      </w:r>
      <w:r w:rsidR="00866DE5">
        <w:t>B</w:t>
      </w:r>
      <w:r w:rsidR="00943A13" w:rsidRPr="00943A13">
        <w:rPr>
          <w:vertAlign w:val="subscript"/>
        </w:rPr>
        <w:t>2</w:t>
      </w:r>
      <w:r w:rsidR="00866DE5">
        <w:t xml:space="preserve">) composed of two </w:t>
      </w:r>
      <w:r w:rsidRPr="006F48C1">
        <w:t>catalytic A subunits (A</w:t>
      </w:r>
      <w:r w:rsidR="00AF5289" w:rsidRPr="00943A13">
        <w:rPr>
          <w:vertAlign w:val="subscript"/>
        </w:rPr>
        <w:t>2</w:t>
      </w:r>
      <w:r w:rsidRPr="006F48C1">
        <w:t>) and two non</w:t>
      </w:r>
      <w:r w:rsidR="00F27FA1">
        <w:t xml:space="preserve"> </w:t>
      </w:r>
      <w:r w:rsidRPr="006F48C1">
        <w:t>catalytic B subunits (B</w:t>
      </w:r>
      <w:r w:rsidR="00943A13" w:rsidRPr="00943A13">
        <w:rPr>
          <w:vertAlign w:val="subscript"/>
        </w:rPr>
        <w:t>2</w:t>
      </w:r>
      <w:r w:rsidRPr="006F48C1">
        <w:t>), held together by strong noncovalent</w:t>
      </w:r>
      <w:r w:rsidR="00866DE5">
        <w:t xml:space="preserve"> </w:t>
      </w:r>
      <w:r w:rsidRPr="006F48C1">
        <w:t>bonds. The large majority (~95%) of patients with congenita</w:t>
      </w:r>
      <w:r w:rsidR="00866DE5">
        <w:t xml:space="preserve">l FXIII deficiency are carrying </w:t>
      </w:r>
      <w:r w:rsidRPr="006F48C1">
        <w:t>one or more mutations in the gene encoding the catalytic A subunit.</w:t>
      </w:r>
    </w:p>
    <w:p w:rsidR="006F48C1" w:rsidRPr="006F48C1" w:rsidRDefault="006F48C1" w:rsidP="006F48C1">
      <w:r w:rsidRPr="006F48C1">
        <w:t>NovoThirteen, a recombinant FXIII (rFXIII), is a dimer of two FXIII A subunits (rA</w:t>
      </w:r>
      <w:r w:rsidR="004564AF" w:rsidRPr="00943A13">
        <w:rPr>
          <w:vertAlign w:val="subscript"/>
        </w:rPr>
        <w:t>2</w:t>
      </w:r>
      <w:r w:rsidRPr="006F48C1">
        <w:t>), structurally</w:t>
      </w:r>
      <w:r w:rsidR="00866DE5">
        <w:t xml:space="preserve"> </w:t>
      </w:r>
      <w:r w:rsidRPr="006F48C1">
        <w:t>identical to the endogenous human FXIII A subunits. Upon intravenous injection in humans, rFXIII</w:t>
      </w:r>
      <w:r w:rsidR="00866DE5">
        <w:t xml:space="preserve"> </w:t>
      </w:r>
      <w:r w:rsidRPr="006F48C1">
        <w:t>rapidly binds two endogenous carrier B subunits (present in approximately 50% molar excess), to</w:t>
      </w:r>
      <w:r w:rsidR="00866DE5">
        <w:t xml:space="preserve"> </w:t>
      </w:r>
      <w:r w:rsidRPr="006F48C1">
        <w:t>form a tetramer (rA</w:t>
      </w:r>
      <w:r w:rsidR="00CE40AD" w:rsidRPr="00943A13">
        <w:rPr>
          <w:vertAlign w:val="subscript"/>
        </w:rPr>
        <w:t>2</w:t>
      </w:r>
      <w:r w:rsidRPr="006F48C1">
        <w:t>B</w:t>
      </w:r>
      <w:r w:rsidR="00CE40AD" w:rsidRPr="00943A13">
        <w:rPr>
          <w:vertAlign w:val="subscript"/>
        </w:rPr>
        <w:t>2</w:t>
      </w:r>
      <w:r w:rsidRPr="006F48C1">
        <w:t>). Following injury to the vessel wall, the tetramer is activated by thrombin</w:t>
      </w:r>
      <w:r w:rsidR="00866DE5">
        <w:t xml:space="preserve"> </w:t>
      </w:r>
      <w:r w:rsidRPr="006F48C1">
        <w:t>to form activated rFXIII (rFXIIIa), which binds to the fibri</w:t>
      </w:r>
      <w:r w:rsidR="00866DE5">
        <w:t xml:space="preserve">n clot and thereby modifies the </w:t>
      </w:r>
      <w:r w:rsidRPr="006F48C1">
        <w:t>mechanical strength and physiological properties of the clot. rFXIII has been well characterised</w:t>
      </w:r>
      <w:r w:rsidR="00866DE5">
        <w:t xml:space="preserve"> </w:t>
      </w:r>
      <w:r w:rsidR="001E2F2F">
        <w:t>non</w:t>
      </w:r>
      <w:r w:rsidRPr="006F48C1">
        <w:t xml:space="preserve">clinically, </w:t>
      </w:r>
      <w:r w:rsidR="0029289B">
        <w:t>and its pharmacology, PK</w:t>
      </w:r>
      <w:r w:rsidRPr="006F48C1">
        <w:t xml:space="preserve"> and toxicology are well un</w:t>
      </w:r>
      <w:r w:rsidR="00696652">
        <w:t xml:space="preserve">derstood. </w:t>
      </w:r>
      <w:r w:rsidRPr="006F48C1">
        <w:t xml:space="preserve">rFXIII demonstrates </w:t>
      </w:r>
      <w:r w:rsidR="001E2F2F">
        <w:t>PD</w:t>
      </w:r>
      <w:r w:rsidRPr="006F48C1">
        <w:t xml:space="preserve"> and PK properties similar to endogenous FXIII.</w:t>
      </w:r>
    </w:p>
    <w:p w:rsidR="006F48C1" w:rsidRPr="00560EA2" w:rsidRDefault="006F48C1" w:rsidP="00560EA2">
      <w:r w:rsidRPr="00560EA2">
        <w:t>Results from the pivotal trial confirmed the feasibility of once</w:t>
      </w:r>
      <w:r w:rsidR="001525C0">
        <w:t xml:space="preserve"> </w:t>
      </w:r>
      <w:r w:rsidRPr="00560EA2">
        <w:t>monthly administration of 35 IU/kg,</w:t>
      </w:r>
      <w:r w:rsidR="00696652" w:rsidRPr="00560EA2">
        <w:t xml:space="preserve"> </w:t>
      </w:r>
      <w:r w:rsidRPr="00560EA2">
        <w:t>a regimen that was adopted also for the extension trial; combined results from the two trials showed</w:t>
      </w:r>
      <w:r w:rsidR="00696652" w:rsidRPr="00560EA2">
        <w:t xml:space="preserve"> </w:t>
      </w:r>
      <w:r w:rsidRPr="00560EA2">
        <w:t>that all patients achieved mean rFXIII activity levels above the</w:t>
      </w:r>
      <w:r w:rsidR="00696652" w:rsidRPr="00560EA2">
        <w:t xml:space="preserve"> targeted minimum of 0.1 IU/mL. </w:t>
      </w:r>
      <w:r w:rsidRPr="00560EA2">
        <w:t>Activity levels above the targeted minimum were also observe</w:t>
      </w:r>
      <w:r w:rsidR="00696652" w:rsidRPr="00560EA2">
        <w:t xml:space="preserve">d with the same dose regimen in </w:t>
      </w:r>
      <w:r w:rsidRPr="00560EA2">
        <w:t>children ag</w:t>
      </w:r>
      <w:r w:rsidR="001E2F2F">
        <w:t xml:space="preserve">ed 1 to less than 6 years. Once </w:t>
      </w:r>
      <w:r w:rsidRPr="00560EA2">
        <w:t>monthly administration of 35 IU/kg thus provides</w:t>
      </w:r>
      <w:r w:rsidR="00696652" w:rsidRPr="00560EA2">
        <w:t xml:space="preserve"> </w:t>
      </w:r>
      <w:r w:rsidRPr="00560EA2">
        <w:t>haemostatic coverage in all age groups investigated.</w:t>
      </w:r>
    </w:p>
    <w:p w:rsidR="00560EA2" w:rsidRPr="00560EA2" w:rsidRDefault="00560EA2" w:rsidP="00560EA2">
      <w:r w:rsidRPr="00560EA2">
        <w:t>Efficacy was measured in terms of number (rate) of bleeding episodes requiring treatment. Results</w:t>
      </w:r>
      <w:r>
        <w:t xml:space="preserve"> </w:t>
      </w:r>
      <w:r w:rsidRPr="00560EA2">
        <w:t>from the pivotal trial and interim results from the on-going extension trial show that rFXIII is highly</w:t>
      </w:r>
      <w:r>
        <w:t xml:space="preserve"> </w:t>
      </w:r>
      <w:r w:rsidRPr="00560EA2">
        <w:t>efficacious in reducing the number of bleeding episodes that required treatment.</w:t>
      </w:r>
    </w:p>
    <w:p w:rsidR="00560EA2" w:rsidRPr="00560EA2" w:rsidRDefault="00560EA2" w:rsidP="00560EA2">
      <w:r w:rsidRPr="00560EA2">
        <w:t>No clinical safety signals have been identified during the clinical development program, and the</w:t>
      </w:r>
      <w:r w:rsidR="00B12908">
        <w:t xml:space="preserve"> </w:t>
      </w:r>
      <w:r w:rsidRPr="00560EA2">
        <w:t xml:space="preserve">safety profile of rFXIII supports the use of rFXIII in </w:t>
      </w:r>
      <w:r w:rsidR="00B12908">
        <w:t xml:space="preserve">the intended target population. Adverse events </w:t>
      </w:r>
      <w:r w:rsidRPr="00560EA2">
        <w:t>reported in the clinical trials were generally mild and transient.</w:t>
      </w:r>
    </w:p>
    <w:p w:rsidR="00560EA2" w:rsidRPr="00560EA2" w:rsidRDefault="00560EA2" w:rsidP="00560EA2">
      <w:r w:rsidRPr="00560EA2">
        <w:t>In addition to its proven effectiveness in preventing bleeding, rFXII</w:t>
      </w:r>
      <w:r w:rsidR="00B12908">
        <w:t xml:space="preserve">I offers a number of advantages </w:t>
      </w:r>
      <w:r w:rsidRPr="00560EA2">
        <w:t>over the currently available therapies. These include a pure product which unlike plasma</w:t>
      </w:r>
      <w:r w:rsidR="001525C0">
        <w:t xml:space="preserve"> </w:t>
      </w:r>
      <w:r w:rsidRPr="00560EA2">
        <w:t>derived</w:t>
      </w:r>
      <w:r w:rsidR="00B12908">
        <w:t xml:space="preserve"> </w:t>
      </w:r>
      <w:r w:rsidRPr="00560EA2">
        <w:t>preparations does not contain multiple proteins from multiple donors; consistent access to a therapy</w:t>
      </w:r>
      <w:r w:rsidR="00B12908">
        <w:t xml:space="preserve"> </w:t>
      </w:r>
      <w:r w:rsidRPr="00560EA2">
        <w:t>independent of plasma availability and quality; and reduced administration volume and infusion</w:t>
      </w:r>
      <w:r w:rsidR="00B12908">
        <w:t xml:space="preserve"> </w:t>
      </w:r>
      <w:r w:rsidRPr="00560EA2">
        <w:t>time. The efficacy proven in the clinical trials, combined with a favourable safety profile,</w:t>
      </w:r>
      <w:r w:rsidR="00B12908">
        <w:t xml:space="preserve"> </w:t>
      </w:r>
      <w:r w:rsidRPr="00560EA2">
        <w:t>establishes rFXIII as a valuable new treatment option for patients with congenital FXIII A</w:t>
      </w:r>
      <w:r w:rsidR="001525C0">
        <w:t xml:space="preserve"> </w:t>
      </w:r>
      <w:r w:rsidRPr="00560EA2">
        <w:t>subunit</w:t>
      </w:r>
      <w:r w:rsidR="00B12908">
        <w:t xml:space="preserve"> </w:t>
      </w:r>
      <w:r w:rsidRPr="00560EA2">
        <w:t>deficiency.</w:t>
      </w:r>
    </w:p>
    <w:p w:rsidR="00560EA2" w:rsidRDefault="00560EA2" w:rsidP="00ED2F1E">
      <w:pPr>
        <w:pStyle w:val="Heading5"/>
      </w:pPr>
      <w:r w:rsidRPr="00560EA2">
        <w:t>Has efficacy been satisfactorily established – comment on trial design, subject numbers and</w:t>
      </w:r>
      <w:r w:rsidR="00B12908">
        <w:t xml:space="preserve"> </w:t>
      </w:r>
      <w:r w:rsidRPr="00560EA2">
        <w:t>clinical relevance</w:t>
      </w:r>
    </w:p>
    <w:p w:rsidR="00631F3C" w:rsidRPr="00631F3C" w:rsidRDefault="00631F3C" w:rsidP="00631F3C">
      <w:r>
        <w:t>Figure 6 shows an o</w:t>
      </w:r>
      <w:r w:rsidRPr="00631F3C">
        <w:t>verview of clinical trials included in the initial application</w:t>
      </w:r>
      <w:r>
        <w:t>.</w:t>
      </w:r>
    </w:p>
    <w:p w:rsidR="00D966C8" w:rsidRDefault="00D966C8" w:rsidP="00D966C8">
      <w:pPr>
        <w:pStyle w:val="FigureTitle"/>
      </w:pPr>
      <w:r>
        <w:lastRenderedPageBreak/>
        <w:t>Figure 6</w:t>
      </w:r>
      <w:r w:rsidRPr="00C337CB">
        <w:t xml:space="preserve">. </w:t>
      </w:r>
      <w:r w:rsidR="00256C2A" w:rsidRPr="00256C2A">
        <w:t>Overview of clinical trials included in the initial application</w:t>
      </w:r>
      <w:r>
        <w:t>.</w:t>
      </w:r>
    </w:p>
    <w:p w:rsidR="006047D2" w:rsidRDefault="00A938FA" w:rsidP="00560EA2">
      <w:r>
        <w:rPr>
          <w:noProof/>
          <w:lang w:eastAsia="en-AU"/>
        </w:rPr>
        <w:drawing>
          <wp:inline distT="0" distB="0" distL="0" distR="0">
            <wp:extent cx="4448810" cy="2047875"/>
            <wp:effectExtent l="0" t="0" r="8890" b="9525"/>
            <wp:docPr id="26" name="Picture 26" descr="Figure 6. Overview of clinical trials included in the initial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6. Overview of clinical trials included in the initial applica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48810" cy="2047875"/>
                    </a:xfrm>
                    <a:prstGeom prst="rect">
                      <a:avLst/>
                    </a:prstGeom>
                    <a:noFill/>
                    <a:ln>
                      <a:noFill/>
                    </a:ln>
                  </pic:spPr>
                </pic:pic>
              </a:graphicData>
            </a:graphic>
          </wp:inline>
        </w:drawing>
      </w:r>
    </w:p>
    <w:p w:rsidR="005D3E58" w:rsidRPr="005D3E58" w:rsidRDefault="005D3E58" w:rsidP="005D3E58">
      <w:r w:rsidRPr="005D3E58">
        <w:t>As of 11 February 2011, Novo Nordisk conducted an extensive global clinical development</w:t>
      </w:r>
      <w:r>
        <w:t xml:space="preserve"> </w:t>
      </w:r>
      <w:r w:rsidRPr="005D3E58">
        <w:t>program in 11 countries (United States, Austria, Canada, Fi</w:t>
      </w:r>
      <w:r>
        <w:t xml:space="preserve">nland, France, Germany, Israel, Italy, </w:t>
      </w:r>
      <w:r w:rsidRPr="005D3E58">
        <w:t>Spain, Switzerland, and the United Kingdom), with 7 studies representing more than 800 monthly</w:t>
      </w:r>
      <w:r>
        <w:t xml:space="preserve"> </w:t>
      </w:r>
      <w:r w:rsidRPr="005D3E58">
        <w:t xml:space="preserve">administrations to assess the efficacy, safety and </w:t>
      </w:r>
      <w:r w:rsidR="0029289B">
        <w:t>PK</w:t>
      </w:r>
      <w:r w:rsidRPr="005D3E58">
        <w:t xml:space="preserve"> of NovoThirteen in children and</w:t>
      </w:r>
      <w:r>
        <w:t xml:space="preserve"> </w:t>
      </w:r>
      <w:r w:rsidRPr="005D3E58">
        <w:t>adults wit</w:t>
      </w:r>
      <w:r>
        <w:t xml:space="preserve">h congenital deficiency </w:t>
      </w:r>
      <w:r w:rsidR="00A90929">
        <w:t>(</w:t>
      </w:r>
      <w:r>
        <w:t>Figure 6</w:t>
      </w:r>
      <w:r w:rsidR="00A90929">
        <w:t>)</w:t>
      </w:r>
      <w:r w:rsidRPr="005D3E58">
        <w:t>.</w:t>
      </w:r>
    </w:p>
    <w:p w:rsidR="003F4FB5" w:rsidRDefault="005D3E58" w:rsidP="005D3E58">
      <w:r w:rsidRPr="005D3E58">
        <w:t xml:space="preserve">Table </w:t>
      </w:r>
      <w:r w:rsidR="006B3859">
        <w:t>2</w:t>
      </w:r>
      <w:r w:rsidR="0079220B">
        <w:t>0</w:t>
      </w:r>
      <w:r w:rsidRPr="005D3E58">
        <w:t xml:space="preserve"> gives further details on the 7 trials inclu</w:t>
      </w:r>
      <w:r>
        <w:t xml:space="preserve">ded in the application and also information on 3 </w:t>
      </w:r>
      <w:r w:rsidRPr="005D3E58">
        <w:t>ongoing trials.</w:t>
      </w:r>
    </w:p>
    <w:p w:rsidR="006B3859" w:rsidRDefault="0079220B" w:rsidP="006B3859">
      <w:pPr>
        <w:pStyle w:val="TableTitle"/>
      </w:pPr>
      <w:r>
        <w:t>Table 20</w:t>
      </w:r>
      <w:r w:rsidR="006B3859">
        <w:t xml:space="preserve">: </w:t>
      </w:r>
      <w:r w:rsidR="00110E9B" w:rsidRPr="00110E9B">
        <w:t xml:space="preserve">Overview of </w:t>
      </w:r>
      <w:r w:rsidR="00493C01">
        <w:t>c</w:t>
      </w:r>
      <w:r w:rsidR="00110E9B" w:rsidRPr="00110E9B">
        <w:t xml:space="preserve">linical </w:t>
      </w:r>
      <w:r w:rsidR="00493C01">
        <w:t>trials (both completed and on</w:t>
      </w:r>
      <w:r w:rsidR="00110E9B" w:rsidRPr="00110E9B">
        <w:t>going) as presented in the initial</w:t>
      </w:r>
      <w:r w:rsidR="00552E9E">
        <w:t xml:space="preserve"> </w:t>
      </w:r>
      <w:r w:rsidR="00110E9B" w:rsidRPr="00110E9B">
        <w:t>Category 1 application</w:t>
      </w:r>
      <w:r w:rsidR="006B3859">
        <w:t>.</w:t>
      </w:r>
    </w:p>
    <w:p w:rsidR="006B3859" w:rsidRDefault="00A938FA" w:rsidP="005D3E58">
      <w:r>
        <w:rPr>
          <w:noProof/>
          <w:lang w:eastAsia="en-AU"/>
        </w:rPr>
        <w:drawing>
          <wp:inline distT="0" distB="0" distL="0" distR="0">
            <wp:extent cx="4751705" cy="4728845"/>
            <wp:effectExtent l="0" t="0" r="0" b="0"/>
            <wp:docPr id="27" name="Picture 27" descr="Table 20: Overview of clinical trials (both completed and ongoing) as presented in the initial Category 1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ble 20: Overview of clinical trials (both completed and ongoing) as presented in the initial Category 1 applicat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1705" cy="4728845"/>
                    </a:xfrm>
                    <a:prstGeom prst="rect">
                      <a:avLst/>
                    </a:prstGeom>
                    <a:noFill/>
                    <a:ln>
                      <a:noFill/>
                    </a:ln>
                  </pic:spPr>
                </pic:pic>
              </a:graphicData>
            </a:graphic>
          </wp:inline>
        </w:drawing>
      </w:r>
    </w:p>
    <w:p w:rsidR="00121AAC" w:rsidRDefault="00855262" w:rsidP="00E434EA">
      <w:r w:rsidRPr="00855262">
        <w:lastRenderedPageBreak/>
        <w:t xml:space="preserve">The ongoing trials at time of submission of </w:t>
      </w:r>
      <w:r w:rsidR="00121AAC">
        <w:t>the Category 1 application were:</w:t>
      </w:r>
    </w:p>
    <w:p w:rsidR="00121AAC" w:rsidRDefault="00855262" w:rsidP="00121AAC">
      <w:pPr>
        <w:pStyle w:val="ListBullet"/>
      </w:pPr>
      <w:r w:rsidRPr="00855262">
        <w:t>F13CD-3720 which</w:t>
      </w:r>
      <w:r>
        <w:t xml:space="preserve"> </w:t>
      </w:r>
      <w:r w:rsidRPr="00855262">
        <w:t xml:space="preserve">is the extension trial to the pivotal trial </w:t>
      </w:r>
      <w:r w:rsidR="00121AAC">
        <w:t>F13CD-1725</w:t>
      </w:r>
      <w:r w:rsidR="00DD56C1">
        <w:t>;</w:t>
      </w:r>
    </w:p>
    <w:p w:rsidR="00121AAC" w:rsidRDefault="00855262" w:rsidP="00121AAC">
      <w:pPr>
        <w:pStyle w:val="ListBullet"/>
      </w:pPr>
      <w:r w:rsidRPr="00855262">
        <w:t>F13CD-3760, a paediatric trial</w:t>
      </w:r>
      <w:r>
        <w:t xml:space="preserve"> </w:t>
      </w:r>
      <w:r w:rsidRPr="00855262">
        <w:t xml:space="preserve">investigating the safety and </w:t>
      </w:r>
      <w:r w:rsidR="0029289B">
        <w:t>PK</w:t>
      </w:r>
      <w:r w:rsidR="00121AAC">
        <w:t xml:space="preserve"> of NovoThirteen in children</w:t>
      </w:r>
      <w:r w:rsidR="00DD56C1">
        <w:t>; and</w:t>
      </w:r>
    </w:p>
    <w:p w:rsidR="00121AAC" w:rsidRDefault="00855262" w:rsidP="00121AAC">
      <w:pPr>
        <w:pStyle w:val="ListBullet"/>
      </w:pPr>
      <w:r w:rsidRPr="00855262">
        <w:t>F13CD-3835 an</w:t>
      </w:r>
      <w:r>
        <w:t xml:space="preserve"> </w:t>
      </w:r>
      <w:r w:rsidR="00121AAC">
        <w:t>extension trial to F13CD-3760.</w:t>
      </w:r>
    </w:p>
    <w:p w:rsidR="00E434EA" w:rsidRPr="00E434EA" w:rsidRDefault="00855262" w:rsidP="00E434EA">
      <w:r w:rsidRPr="00855262">
        <w:t xml:space="preserve">The clinical trial report for </w:t>
      </w:r>
      <w:r>
        <w:t xml:space="preserve">F13CD-3760 was submitted to TGA </w:t>
      </w:r>
      <w:r w:rsidRPr="00855262">
        <w:t>with the S</w:t>
      </w:r>
      <w:r w:rsidR="00574F2C">
        <w:t xml:space="preserve">ection </w:t>
      </w:r>
      <w:r w:rsidRPr="00855262">
        <w:t>31 response. Note that while the currently approved indication in the EU includes a</w:t>
      </w:r>
      <w:r w:rsidR="00E434EA">
        <w:t xml:space="preserve"> </w:t>
      </w:r>
      <w:r w:rsidR="00E434EA" w:rsidRPr="00E434EA">
        <w:t>restriction to use in patients aged ≤ 6 years, this restriction was put in place before the availability</w:t>
      </w:r>
      <w:r w:rsidR="00E434EA">
        <w:t xml:space="preserve"> </w:t>
      </w:r>
      <w:r w:rsidR="00E434EA" w:rsidRPr="00E434EA">
        <w:t>of F13CD-3760; this clinical study is currently under review by EMA to update the indication for</w:t>
      </w:r>
      <w:r w:rsidR="00E434EA">
        <w:t xml:space="preserve"> </w:t>
      </w:r>
      <w:r w:rsidR="00E434EA" w:rsidRPr="00E434EA">
        <w:t>NovoThirteen in EU.</w:t>
      </w:r>
    </w:p>
    <w:p w:rsidR="00E434EA" w:rsidRPr="00E434EA" w:rsidRDefault="00E434EA" w:rsidP="00E434EA">
      <w:r w:rsidRPr="00E434EA">
        <w:t>Results from the pivotal trial showed a mean yearly treatment requiring bleeding rate of 0.138,</w:t>
      </w:r>
      <w:r>
        <w:t xml:space="preserve"> </w:t>
      </w:r>
      <w:r w:rsidRPr="00E434EA">
        <w:t>which was statistically significantly less than the historical control bleeding rate of 2.91. In the</w:t>
      </w:r>
      <w:r>
        <w:t xml:space="preserve"> </w:t>
      </w:r>
      <w:r w:rsidRPr="00E434EA">
        <w:t>extension</w:t>
      </w:r>
      <w:r>
        <w:t xml:space="preserve"> </w:t>
      </w:r>
      <w:r w:rsidRPr="00E434EA">
        <w:t>trial, the mean yearly rate of bleeding requiring treatment was 0.154 (as of 11 February</w:t>
      </w:r>
      <w:r>
        <w:t xml:space="preserve"> </w:t>
      </w:r>
      <w:r w:rsidRPr="00E434EA">
        <w:t>2011) this difference was also statistically significant. For both the pivotal and the extension trials,</w:t>
      </w:r>
      <w:r>
        <w:t xml:space="preserve"> </w:t>
      </w:r>
      <w:r w:rsidRPr="00E434EA">
        <w:t>the bleeding frequency for patients on NovoThirteen was approximately 1 bleed per 7 patient</w:t>
      </w:r>
      <w:r w:rsidR="00824BEC">
        <w:t xml:space="preserve"> </w:t>
      </w:r>
      <w:r w:rsidRPr="00E434EA">
        <w:t>years,</w:t>
      </w:r>
      <w:r>
        <w:t xml:space="preserve"> </w:t>
      </w:r>
      <w:r w:rsidRPr="00E434EA">
        <w:t>in comparison to about 3 bleeds per year in the historical control group. No intracranial or life</w:t>
      </w:r>
      <w:r w:rsidR="00824BEC">
        <w:t xml:space="preserve"> </w:t>
      </w:r>
      <w:r w:rsidRPr="00E434EA">
        <w:t>threatening</w:t>
      </w:r>
      <w:r>
        <w:t xml:space="preserve"> </w:t>
      </w:r>
      <w:r w:rsidRPr="00E434EA">
        <w:t>bleeds occurred in the clinical development programme. These efficacy results show</w:t>
      </w:r>
      <w:r>
        <w:t xml:space="preserve"> </w:t>
      </w:r>
      <w:r w:rsidRPr="00E434EA">
        <w:t>that patients with FXIII congenital deficiency have a large clinical benefit from receiving</w:t>
      </w:r>
      <w:r>
        <w:t xml:space="preserve"> </w:t>
      </w:r>
      <w:r w:rsidRPr="00E434EA">
        <w:t>prophylactic treatment with NovoThirteen, as their bleeding tendency is drastically reduced. It is of</w:t>
      </w:r>
      <w:r>
        <w:t xml:space="preserve"> </w:t>
      </w:r>
      <w:r w:rsidRPr="00E434EA">
        <w:t>note that the 41 patients recruited and dosed in the pivotal tri</w:t>
      </w:r>
      <w:r>
        <w:t xml:space="preserve">al represent 6-10% of the known </w:t>
      </w:r>
      <w:r w:rsidRPr="00E434EA">
        <w:t>patients worldwide at the time of the application (400-700 patients).</w:t>
      </w:r>
    </w:p>
    <w:p w:rsidR="00E434EA" w:rsidRPr="00E434EA" w:rsidRDefault="00E434EA" w:rsidP="00E434EA">
      <w:r w:rsidRPr="00E434EA">
        <w:t>The age group of children below 6 years of age was not covered by the pivotal F13CD-1725 trial.</w:t>
      </w:r>
      <w:r>
        <w:t xml:space="preserve"> </w:t>
      </w:r>
      <w:r w:rsidRPr="00E434EA">
        <w:t>Results from the paediatric trial, F13CD-3760, showed that a dose regimen of 35 IU/kg once</w:t>
      </w:r>
      <w:r>
        <w:t xml:space="preserve"> </w:t>
      </w:r>
      <w:r w:rsidRPr="00E434EA">
        <w:t>monthly was appropriate to provide haemostatic coverage in children with congenital FXIII A</w:t>
      </w:r>
      <w:r>
        <w:t xml:space="preserve"> </w:t>
      </w:r>
      <w:r w:rsidRPr="00E434EA">
        <w:t>subunit</w:t>
      </w:r>
      <w:r>
        <w:t xml:space="preserve"> </w:t>
      </w:r>
      <w:r w:rsidRPr="00E434EA">
        <w:t>deficiency. Additionally, evidence was provided for safety in children. No deaths, other</w:t>
      </w:r>
      <w:r>
        <w:t xml:space="preserve"> </w:t>
      </w:r>
      <w:r w:rsidR="00FD3EFF">
        <w:t>SAEs</w:t>
      </w:r>
      <w:r w:rsidRPr="00E434EA">
        <w:t xml:space="preserve">, </w:t>
      </w:r>
      <w:r w:rsidR="00FD3EFF">
        <w:t xml:space="preserve">AE withdrawals, </w:t>
      </w:r>
      <w:r w:rsidRPr="00E434EA">
        <w:t>or medical events of special interest</w:t>
      </w:r>
      <w:r w:rsidR="00355118">
        <w:t xml:space="preserve"> (</w:t>
      </w:r>
      <w:r w:rsidR="00355118" w:rsidRPr="00E434EA">
        <w:t>MESIs</w:t>
      </w:r>
      <w:r w:rsidRPr="00E434EA">
        <w:t>)</w:t>
      </w:r>
      <w:r>
        <w:t xml:space="preserve"> </w:t>
      </w:r>
      <w:r w:rsidRPr="00E434EA">
        <w:t>were reported. No anti</w:t>
      </w:r>
      <w:r w:rsidR="009041AC">
        <w:t xml:space="preserve"> </w:t>
      </w:r>
      <w:r w:rsidRPr="00E434EA">
        <w:t>rFXIII antibodies were detected in any of the patients. All 6 children from</w:t>
      </w:r>
      <w:r>
        <w:t xml:space="preserve"> </w:t>
      </w:r>
      <w:r w:rsidRPr="00E434EA">
        <w:t>F13C</w:t>
      </w:r>
      <w:r w:rsidR="00FD3EFF">
        <w:t>D-3760 entered the currently on</w:t>
      </w:r>
      <w:r w:rsidRPr="00E434EA">
        <w:t>going F13CD-3835, and no saf</w:t>
      </w:r>
      <w:r>
        <w:t xml:space="preserve">ety issues have been identified </w:t>
      </w:r>
      <w:r w:rsidRPr="00E434EA">
        <w:t>(status as per 31 January 2013).</w:t>
      </w:r>
    </w:p>
    <w:p w:rsidR="00E434EA" w:rsidRDefault="00E434EA" w:rsidP="00E434EA">
      <w:r w:rsidRPr="00E434EA">
        <w:t>A comparison has been made between age</w:t>
      </w:r>
      <w:r w:rsidR="009041AC">
        <w:t xml:space="preserve"> </w:t>
      </w:r>
      <w:r w:rsidRPr="00E434EA">
        <w:t>stratified PK</w:t>
      </w:r>
      <w:r w:rsidR="009041AC">
        <w:t xml:space="preserve"> </w:t>
      </w:r>
      <w:r w:rsidRPr="00E434EA">
        <w:t>data from F13CD-1725 and the PK</w:t>
      </w:r>
      <w:r w:rsidR="009041AC">
        <w:t xml:space="preserve"> </w:t>
      </w:r>
      <w:r w:rsidRPr="00E434EA">
        <w:t>data</w:t>
      </w:r>
      <w:r w:rsidR="00C53802">
        <w:t xml:space="preserve"> </w:t>
      </w:r>
      <w:r w:rsidRPr="00E434EA">
        <w:t>for children below 6 years of age from F13CD-3760 (</w:t>
      </w:r>
      <w:r w:rsidR="003B2752">
        <w:t>Table 2</w:t>
      </w:r>
      <w:r w:rsidR="0079220B">
        <w:t>1</w:t>
      </w:r>
      <w:r w:rsidRPr="00E434EA">
        <w:t>). Data show that the PK in</w:t>
      </w:r>
      <w:r w:rsidR="00C53802">
        <w:t xml:space="preserve"> </w:t>
      </w:r>
      <w:r w:rsidRPr="00E434EA">
        <w:t>children below 6 years of age is similar to the PK in the age groups 6-11 years of age, 12-17 years</w:t>
      </w:r>
      <w:r w:rsidR="00C53802">
        <w:t xml:space="preserve"> </w:t>
      </w:r>
      <w:r w:rsidRPr="00E434EA">
        <w:t>of age, and adults from the piv</w:t>
      </w:r>
      <w:r w:rsidR="00592A9D">
        <w:t xml:space="preserve">otal </w:t>
      </w:r>
      <w:r w:rsidR="00067AB8">
        <w:t>Phase III</w:t>
      </w:r>
      <w:r w:rsidR="00592A9D">
        <w:t xml:space="preserve"> trial, F13CD-1725. </w:t>
      </w:r>
      <w:r w:rsidRPr="00E434EA">
        <w:t>Thus no difference in PK or safety</w:t>
      </w:r>
      <w:r w:rsidR="00C53802">
        <w:t xml:space="preserve"> </w:t>
      </w:r>
      <w:r w:rsidRPr="00E434EA">
        <w:t>between children, adolescents or adults has been shown, and efficacy data from the F13CD-1725</w:t>
      </w:r>
      <w:r w:rsidR="00C53802">
        <w:t xml:space="preserve"> </w:t>
      </w:r>
      <w:r w:rsidRPr="00E434EA">
        <w:t>trial can be extrapolated to the paediatric age group below 6 years of age (F13CD-3760).</w:t>
      </w:r>
    </w:p>
    <w:p w:rsidR="003B2752" w:rsidRDefault="003B2752" w:rsidP="003B2752">
      <w:pPr>
        <w:pStyle w:val="TableTitle"/>
      </w:pPr>
      <w:r>
        <w:lastRenderedPageBreak/>
        <w:t>Table 2</w:t>
      </w:r>
      <w:r w:rsidR="0079220B">
        <w:t>1</w:t>
      </w:r>
      <w:r>
        <w:t xml:space="preserve">: </w:t>
      </w:r>
      <w:r w:rsidR="00B33FE3" w:rsidRPr="00B33FE3">
        <w:t>Pharmacokinetic parameters for different age groups (F13CD-3760, F13CD-1725,</w:t>
      </w:r>
      <w:r w:rsidR="00B33FE3">
        <w:t xml:space="preserve"> </w:t>
      </w:r>
      <w:r w:rsidR="00B33FE3" w:rsidRPr="00B33FE3">
        <w:t>and F13CD-3720 results)</w:t>
      </w:r>
      <w:r>
        <w:t>.</w:t>
      </w:r>
    </w:p>
    <w:p w:rsidR="008F3133" w:rsidRDefault="00A938FA" w:rsidP="00E434EA">
      <w:r>
        <w:rPr>
          <w:noProof/>
          <w:lang w:eastAsia="en-AU"/>
        </w:rPr>
        <w:drawing>
          <wp:inline distT="0" distB="0" distL="0" distR="0">
            <wp:extent cx="4947920" cy="2288540"/>
            <wp:effectExtent l="0" t="0" r="5080" b="0"/>
            <wp:docPr id="28" name="Picture 28" descr="Table 21: Pharmacokinetic parameters for different age groups (F13CD-3760, F13CD-1725, and F13CD-3720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able 21: Pharmacokinetic parameters for different age groups (F13CD-3760, F13CD-1725, and F13CD-3720 resul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47920" cy="2288540"/>
                    </a:xfrm>
                    <a:prstGeom prst="rect">
                      <a:avLst/>
                    </a:prstGeom>
                    <a:noFill/>
                    <a:ln>
                      <a:noFill/>
                    </a:ln>
                  </pic:spPr>
                </pic:pic>
              </a:graphicData>
            </a:graphic>
          </wp:inline>
        </w:drawing>
      </w:r>
    </w:p>
    <w:p w:rsidR="00A34CA1" w:rsidRPr="001B2798" w:rsidRDefault="00A34CA1" w:rsidP="001B2798">
      <w:r w:rsidRPr="001B2798">
        <w:t>Even though a numerically small number of patients were included in the clinical trial programme,</w:t>
      </w:r>
      <w:r w:rsidR="001B2798">
        <w:t xml:space="preserve"> </w:t>
      </w:r>
      <w:r w:rsidRPr="001B2798">
        <w:t>they constituted a large proportion (6-10%) of the world population with congenital FXIII</w:t>
      </w:r>
      <w:r w:rsidR="001B2798">
        <w:t xml:space="preserve"> </w:t>
      </w:r>
      <w:r w:rsidRPr="001B2798">
        <w:t xml:space="preserve">deficiency. In addition, many of </w:t>
      </w:r>
      <w:r w:rsidR="006537EB">
        <w:t xml:space="preserve">the patients have a long follow </w:t>
      </w:r>
      <w:r w:rsidRPr="001B2798">
        <w:t>up time, and as of 31 January 2013,</w:t>
      </w:r>
      <w:r w:rsidR="001B2798">
        <w:t xml:space="preserve"> </w:t>
      </w:r>
      <w:r w:rsidRPr="001B2798">
        <w:t>the longest trial participation was over 4 years, with a total of 1996 doses NovoThirteen distributed</w:t>
      </w:r>
      <w:r w:rsidR="001B2798">
        <w:t xml:space="preserve"> </w:t>
      </w:r>
      <w:r w:rsidRPr="001B2798">
        <w:t>over more than 150 patient years. During this period only 11 treatment requiring bleeding episodes</w:t>
      </w:r>
      <w:r w:rsidR="001B2798">
        <w:t xml:space="preserve"> </w:t>
      </w:r>
      <w:r w:rsidRPr="001B2798">
        <w:t>were reported.</w:t>
      </w:r>
    </w:p>
    <w:p w:rsidR="00A34CA1" w:rsidRPr="001B2798" w:rsidRDefault="00A34CA1" w:rsidP="001B2798">
      <w:r w:rsidRPr="001B2798">
        <w:t>Given the rarity of the congenital FXIII deficiency and the inherent difficulties of recruiting larger</w:t>
      </w:r>
      <w:r w:rsidR="00135788">
        <w:t xml:space="preserve"> </w:t>
      </w:r>
      <w:r w:rsidRPr="001B2798">
        <w:t>number of patients for clinical trials, Novo Nordisk is of the opinion that in light of the large</w:t>
      </w:r>
      <w:r w:rsidR="00135788">
        <w:t xml:space="preserve"> </w:t>
      </w:r>
      <w:r w:rsidRPr="001B2798">
        <w:t>proportion of FXIII congenital deficiency patients included and the extensive follow-up time; that</w:t>
      </w:r>
      <w:r w:rsidR="00135788">
        <w:t xml:space="preserve"> </w:t>
      </w:r>
      <w:r w:rsidRPr="001B2798">
        <w:t>efficacy has been solidly and satisfactorily established for NovoThirteen in FXIII congenital</w:t>
      </w:r>
      <w:r w:rsidR="00135788">
        <w:t xml:space="preserve"> </w:t>
      </w:r>
      <w:r w:rsidRPr="001B2798">
        <w:t>deficiency.</w:t>
      </w:r>
    </w:p>
    <w:p w:rsidR="00A34CA1" w:rsidRPr="001B2798" w:rsidRDefault="00A34CA1" w:rsidP="001B2798">
      <w:pPr>
        <w:pStyle w:val="Heading5"/>
      </w:pPr>
      <w:r w:rsidRPr="001B2798">
        <w:t>Has safety been satisfactorily established – comment on level of</w:t>
      </w:r>
      <w:r w:rsidR="001B2798">
        <w:t xml:space="preserve"> exposure given small number of </w:t>
      </w:r>
      <w:r w:rsidRPr="001B2798">
        <w:t>subjects</w:t>
      </w:r>
    </w:p>
    <w:p w:rsidR="003B2752" w:rsidRDefault="00435845" w:rsidP="001B2798">
      <w:r w:rsidRPr="001B2798">
        <w:t>As reported in the first Periodic Safety Update Report (PSUR) for rFXIII</w:t>
      </w:r>
      <w:r>
        <w:t>, which</w:t>
      </w:r>
      <w:r w:rsidRPr="001B2798">
        <w:t xml:space="preserve"> includ</w:t>
      </w:r>
      <w:r>
        <w:t>es</w:t>
      </w:r>
      <w:r w:rsidRPr="001B2798">
        <w:t xml:space="preserve"> data up to 31</w:t>
      </w:r>
      <w:r>
        <w:t xml:space="preserve"> </w:t>
      </w:r>
      <w:r w:rsidRPr="001B2798">
        <w:t>January 2013 (PSU</w:t>
      </w:r>
      <w:r>
        <w:t xml:space="preserve">R covering 19 July 2012 to </w:t>
      </w:r>
      <w:r w:rsidRPr="001B2798">
        <w:t xml:space="preserve">31 January 2013), </w:t>
      </w:r>
      <w:r>
        <w:t xml:space="preserve">indicate that </w:t>
      </w:r>
      <w:r w:rsidRPr="001B2798">
        <w:t>77 patients with congenital</w:t>
      </w:r>
      <w:r>
        <w:t xml:space="preserve"> </w:t>
      </w:r>
      <w:r w:rsidRPr="001B2798">
        <w:t>FXIII deficiency have been exposed to 1,996 doses of NovoThirteen. The longest duration of</w:t>
      </w:r>
      <w:r>
        <w:t xml:space="preserve"> </w:t>
      </w:r>
      <w:r w:rsidRPr="001B2798">
        <w:t xml:space="preserve">exposure </w:t>
      </w:r>
      <w:r>
        <w:t>for a</w:t>
      </w:r>
      <w:r w:rsidRPr="001B2798">
        <w:t xml:space="preserve"> single patient to monthly doses of NovoThirteen exceeds 4 years. The</w:t>
      </w:r>
      <w:r>
        <w:t xml:space="preserve"> cumulative duration of exposure associated with the administration of</w:t>
      </w:r>
      <w:r w:rsidRPr="001B2798">
        <w:t xml:space="preserve"> 1996 doses of</w:t>
      </w:r>
      <w:r>
        <w:t xml:space="preserve"> </w:t>
      </w:r>
      <w:r w:rsidRPr="001B2798">
        <w:t>NovoThirteen represent more than 150 years of patient exposure. Although the number of subjects</w:t>
      </w:r>
      <w:r>
        <w:t xml:space="preserve"> </w:t>
      </w:r>
      <w:r w:rsidRPr="001B2798">
        <w:t>is relatively small, this population represents 6-10% of the known worldwide population with</w:t>
      </w:r>
      <w:r>
        <w:t xml:space="preserve"> </w:t>
      </w:r>
      <w:r w:rsidRPr="001B2798">
        <w:t>congenital FXIII deficiency at the time of the application. As reported in the original submission,</w:t>
      </w:r>
      <w:r>
        <w:t xml:space="preserve"> </w:t>
      </w:r>
      <w:r w:rsidRPr="001B2798">
        <w:t>NovoThirteen is well tolerated in patients with congenital FXIII deficiency. No event of intracranial</w:t>
      </w:r>
      <w:r>
        <w:t xml:space="preserve"> bleeding, neutralis</w:t>
      </w:r>
      <w:r w:rsidRPr="001B2798">
        <w:t>ing antibodies against NovoThirteen, thromboembolic event, or hypersensitivity</w:t>
      </w:r>
      <w:r>
        <w:t xml:space="preserve"> </w:t>
      </w:r>
      <w:r w:rsidRPr="001B2798">
        <w:t xml:space="preserve">reaction or other safety issue was observed during clinical trials and </w:t>
      </w:r>
      <w:r>
        <w:t xml:space="preserve">the ongoing extension trials as </w:t>
      </w:r>
      <w:r w:rsidRPr="001B2798">
        <w:t>of 31 Jan</w:t>
      </w:r>
      <w:r>
        <w:t>uary</w:t>
      </w:r>
      <w:r w:rsidRPr="001B2798">
        <w:t xml:space="preserve"> 2013</w:t>
      </w:r>
      <w:r w:rsidR="00A34CA1" w:rsidRPr="001B2798">
        <w:t>.</w:t>
      </w:r>
    </w:p>
    <w:p w:rsidR="008B2529" w:rsidRDefault="00F806E1" w:rsidP="008B2529">
      <w:r w:rsidRPr="008B2529">
        <w:t>To further expand the safety databas</w:t>
      </w:r>
      <w:r>
        <w:t xml:space="preserve">e Novo Nordisk is conducting a Phase IV post </w:t>
      </w:r>
      <w:r w:rsidRPr="008B2529">
        <w:t>marketing</w:t>
      </w:r>
      <w:r>
        <w:t xml:space="preserve"> </w:t>
      </w:r>
      <w:r w:rsidRPr="008B2529">
        <w:t>observational study. The study will investigate the safety and effectiveness of rFXIII under</w:t>
      </w:r>
      <w:r>
        <w:t xml:space="preserve"> </w:t>
      </w:r>
      <w:r w:rsidRPr="008B2529">
        <w:t>conditions of routine clinical care in patients with congenital FXIII A-subunit deficiency, including</w:t>
      </w:r>
      <w:r>
        <w:t xml:space="preserve"> special populations (that is</w:t>
      </w:r>
      <w:r w:rsidRPr="008B2529">
        <w:t>, children, elderly, pregnant and lactating women, and patients with renal</w:t>
      </w:r>
      <w:r>
        <w:t xml:space="preserve"> </w:t>
      </w:r>
      <w:r w:rsidRPr="008B2529">
        <w:t>insufficiency). Also the use of rFXIII for other than prophylactic use will be investigated in patients</w:t>
      </w:r>
      <w:r>
        <w:t xml:space="preserve"> </w:t>
      </w:r>
      <w:r w:rsidRPr="008B2529">
        <w:t>with congenital FXIII A</w:t>
      </w:r>
      <w:r>
        <w:t xml:space="preserve"> </w:t>
      </w:r>
      <w:r w:rsidRPr="008B2529">
        <w:t>subunit deficiency. Patients will participate for a minimum of 2 years or 24</w:t>
      </w:r>
      <w:r>
        <w:t xml:space="preserve"> </w:t>
      </w:r>
      <w:r w:rsidRPr="008B2529">
        <w:t xml:space="preserve">exposure days per patient, whichever comes first, and the projected study duration </w:t>
      </w:r>
      <w:r>
        <w:t>will be</w:t>
      </w:r>
      <w:r w:rsidRPr="008B2529">
        <w:t xml:space="preserve"> 5 years. The</w:t>
      </w:r>
      <w:r>
        <w:t xml:space="preserve"> </w:t>
      </w:r>
      <w:r w:rsidRPr="008B2529">
        <w:t>study is being conducted outside of Australia however</w:t>
      </w:r>
      <w:r>
        <w:t xml:space="preserve"> it</w:t>
      </w:r>
      <w:r w:rsidR="00F54D81">
        <w:t xml:space="preserve"> is considered</w:t>
      </w:r>
      <w:r>
        <w:t xml:space="preserve"> the subjects will be considered to be</w:t>
      </w:r>
      <w:r w:rsidRPr="008B2529">
        <w:t xml:space="preserve"> representative of the</w:t>
      </w:r>
      <w:r>
        <w:t xml:space="preserve"> </w:t>
      </w:r>
      <w:r w:rsidRPr="008B2529">
        <w:t>congenital FXIII deficient population in Australia</w:t>
      </w:r>
      <w:r w:rsidR="008B2529" w:rsidRPr="008B2529">
        <w:t>.</w:t>
      </w:r>
    </w:p>
    <w:p w:rsidR="0065614B" w:rsidRPr="0065614B" w:rsidRDefault="003D6C31" w:rsidP="0065614B">
      <w:r w:rsidRPr="0065614B">
        <w:lastRenderedPageBreak/>
        <w:t>Based on the extensive exposure to NovoThirteen in the clinical development programme</w:t>
      </w:r>
      <w:r>
        <w:t xml:space="preserve"> of the product</w:t>
      </w:r>
      <w:r w:rsidRPr="0065614B">
        <w:t>, and the</w:t>
      </w:r>
      <w:r>
        <w:t xml:space="preserve"> </w:t>
      </w:r>
      <w:r w:rsidRPr="0065614B">
        <w:t>fact that no safety issues were observed, the safety profile of NovoThirteen is considered to be</w:t>
      </w:r>
      <w:r>
        <w:t xml:space="preserve"> </w:t>
      </w:r>
      <w:r w:rsidRPr="0065614B">
        <w:t>adequately characterised to support the registration of NovoThirteen in Australia</w:t>
      </w:r>
      <w:r w:rsidR="0065614B" w:rsidRPr="0065614B">
        <w:t>.</w:t>
      </w:r>
    </w:p>
    <w:p w:rsidR="0065614B" w:rsidRPr="0065614B" w:rsidRDefault="0065614B" w:rsidP="00454553">
      <w:pPr>
        <w:pStyle w:val="Heading5"/>
      </w:pPr>
      <w:r w:rsidRPr="0065614B">
        <w:t>RMP Advice outstanding issues: Request that sponsor provides antibody testing against anti</w:t>
      </w:r>
      <w:r>
        <w:t xml:space="preserve"> </w:t>
      </w:r>
      <w:r w:rsidRPr="0065614B">
        <w:t>yeast</w:t>
      </w:r>
      <w:r>
        <w:t xml:space="preserve"> </w:t>
      </w:r>
      <w:r w:rsidRPr="0065614B">
        <w:t>antibodies on follow up forms for allergic/anaphylactic reactions</w:t>
      </w:r>
    </w:p>
    <w:p w:rsidR="0065614B" w:rsidRPr="0065614B" w:rsidRDefault="0065614B" w:rsidP="0065614B">
      <w:r w:rsidRPr="0065614B">
        <w:t>The numbers of patients being treated for Congenital FXIII Deficiency in Australia is very low and</w:t>
      </w:r>
      <w:r w:rsidR="00454553">
        <w:t xml:space="preserve"> </w:t>
      </w:r>
      <w:r w:rsidRPr="0065614B">
        <w:t>all patients are treated in specialised haemophilia treatment centres in major hospitals. Treating</w:t>
      </w:r>
      <w:r w:rsidR="00454553">
        <w:t xml:space="preserve"> </w:t>
      </w:r>
      <w:r w:rsidRPr="0065614B">
        <w:t>physicians have access to testing facilities including commercially available anti</w:t>
      </w:r>
      <w:r w:rsidR="00247F69">
        <w:t xml:space="preserve"> </w:t>
      </w:r>
      <w:r w:rsidRPr="0065614B">
        <w:t>yeast antibodies</w:t>
      </w:r>
      <w:r w:rsidR="00454553">
        <w:t xml:space="preserve"> </w:t>
      </w:r>
      <w:r w:rsidRPr="0065614B">
        <w:t>assay, allowing for complete investigation into possible aetiologies of the allergic reaction.</w:t>
      </w:r>
    </w:p>
    <w:p w:rsidR="00AA5E8B" w:rsidRDefault="0065614B" w:rsidP="0065614B">
      <w:r w:rsidRPr="0065614B">
        <w:t>In order to ensure that all events of anti</w:t>
      </w:r>
      <w:r w:rsidR="00F44138">
        <w:t xml:space="preserve"> </w:t>
      </w:r>
      <w:r w:rsidRPr="0065614B">
        <w:t>yeast IgE antibodies will be reported to Novo Nordisk the</w:t>
      </w:r>
      <w:r w:rsidR="00454553">
        <w:t xml:space="preserve"> </w:t>
      </w:r>
      <w:r w:rsidRPr="0065614B">
        <w:t>follow up form for allergic reaction (</w:t>
      </w:r>
      <w:r w:rsidR="00F44138">
        <w:t>RMP</w:t>
      </w:r>
      <w:r w:rsidRPr="0065614B">
        <w:t xml:space="preserve"> Edition 8 Annex 8C) will be updated to</w:t>
      </w:r>
      <w:r w:rsidR="00454553">
        <w:t xml:space="preserve"> </w:t>
      </w:r>
      <w:r w:rsidRPr="0065614B">
        <w:t>include the following bold text:</w:t>
      </w:r>
    </w:p>
    <w:p w:rsidR="00DA2351" w:rsidRDefault="00A938FA" w:rsidP="00A64321">
      <w:pPr>
        <w:ind w:firstLine="720"/>
      </w:pPr>
      <w:r>
        <w:rPr>
          <w:noProof/>
          <w:lang w:eastAsia="en-AU"/>
        </w:rPr>
        <w:drawing>
          <wp:inline distT="0" distB="0" distL="0" distR="0">
            <wp:extent cx="4577715" cy="342265"/>
            <wp:effectExtent l="0" t="0" r="0" b="635"/>
            <wp:docPr id="29" name="Picture 29" descr="Has the patient been tested for antibodies including anti yeast anti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as the patient been tested for antibodies including anti yeast antibodi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7715" cy="342265"/>
                    </a:xfrm>
                    <a:prstGeom prst="rect">
                      <a:avLst/>
                    </a:prstGeom>
                    <a:noFill/>
                    <a:ln>
                      <a:noFill/>
                    </a:ln>
                  </pic:spPr>
                </pic:pic>
              </a:graphicData>
            </a:graphic>
          </wp:inline>
        </w:drawing>
      </w:r>
    </w:p>
    <w:p w:rsidR="001E7442" w:rsidRPr="00F64CC6" w:rsidRDefault="001E7442" w:rsidP="001E7442">
      <w:pPr>
        <w:rPr>
          <w:i/>
        </w:rPr>
      </w:pPr>
      <w:r w:rsidRPr="00F64CC6">
        <w:rPr>
          <w:i/>
        </w:rPr>
        <w:t>It is recommended that the sponsor provides the educational materials for patients and physicians for review prior to launch of the product</w:t>
      </w:r>
      <w:r w:rsidR="00F64CC6">
        <w:rPr>
          <w:i/>
        </w:rPr>
        <w:t>.</w:t>
      </w:r>
    </w:p>
    <w:p w:rsidR="001E7442" w:rsidRPr="001E7442" w:rsidRDefault="001E7442" w:rsidP="001E7442">
      <w:r w:rsidRPr="001E7442">
        <w:t>Novo Nordisk has provided TGA with copies of the educational materials developed for use in the</w:t>
      </w:r>
      <w:r>
        <w:t xml:space="preserve"> </w:t>
      </w:r>
      <w:r w:rsidRPr="001E7442">
        <w:t>EU, which are expected to be substantially the same as those that will be used to support the</w:t>
      </w:r>
      <w:r>
        <w:t xml:space="preserve"> </w:t>
      </w:r>
      <w:r w:rsidRPr="001E7442">
        <w:t xml:space="preserve">product in Australia. As agreed with the </w:t>
      </w:r>
      <w:r w:rsidR="009E347A">
        <w:t>OPR</w:t>
      </w:r>
      <w:r w:rsidRPr="001E7442">
        <w:t>, Novo</w:t>
      </w:r>
      <w:r>
        <w:t xml:space="preserve"> </w:t>
      </w:r>
      <w:r w:rsidRPr="001E7442">
        <w:t>Nordisk will provide Australian specific educational materials to</w:t>
      </w:r>
      <w:r>
        <w:t xml:space="preserve"> the RMP Coordinator for review </w:t>
      </w:r>
      <w:r w:rsidRPr="001E7442">
        <w:t>prior to using these materials in Australia.</w:t>
      </w:r>
    </w:p>
    <w:p w:rsidR="001E7442" w:rsidRPr="001E7442" w:rsidRDefault="001E7442" w:rsidP="00F64CC6">
      <w:pPr>
        <w:pStyle w:val="Heading5"/>
      </w:pPr>
      <w:r w:rsidRPr="001E7442">
        <w:t>Question 3</w:t>
      </w:r>
    </w:p>
    <w:p w:rsidR="001E7442" w:rsidRPr="001E7442" w:rsidRDefault="001E7442" w:rsidP="001E7442">
      <w:r w:rsidRPr="001E7442">
        <w:t xml:space="preserve">It is recommended that the sponsor amend the nonclinical aspects </w:t>
      </w:r>
      <w:r w:rsidR="00222F0A">
        <w:t>of the Safety Specification</w:t>
      </w:r>
      <w:r>
        <w:t xml:space="preserve"> </w:t>
      </w:r>
      <w:r w:rsidRPr="001E7442">
        <w:t xml:space="preserve">in accordance with the </w:t>
      </w:r>
      <w:r w:rsidR="00222F0A">
        <w:t>nonclinical evaluation report</w:t>
      </w:r>
      <w:r w:rsidRPr="001E7442">
        <w:t xml:space="preserve"> when the EU-RMP is ne</w:t>
      </w:r>
      <w:r w:rsidR="00222F0A">
        <w:t>xt updated</w:t>
      </w:r>
      <w:r w:rsidRPr="001E7442">
        <w:t>.</w:t>
      </w:r>
    </w:p>
    <w:p w:rsidR="001E7442" w:rsidRPr="001E7442" w:rsidRDefault="001E7442" w:rsidP="00F64CC6">
      <w:pPr>
        <w:pStyle w:val="Heading5"/>
      </w:pPr>
      <w:r w:rsidRPr="001E7442">
        <w:t>Response to question 3</w:t>
      </w:r>
    </w:p>
    <w:p w:rsidR="001E7442" w:rsidRPr="001E7442" w:rsidRDefault="00FA4480" w:rsidP="001E7442">
      <w:r>
        <w:t>At the next update the non</w:t>
      </w:r>
      <w:r w:rsidR="001E7442" w:rsidRPr="001E7442">
        <w:t>clinical aspects of the Safety Specification in the EU RMP will be</w:t>
      </w:r>
      <w:r w:rsidR="001E7442">
        <w:t xml:space="preserve"> </w:t>
      </w:r>
      <w:r w:rsidR="001E7442" w:rsidRPr="001E7442">
        <w:t>amended.</w:t>
      </w:r>
    </w:p>
    <w:p w:rsidR="008E7846" w:rsidRDefault="001006B9" w:rsidP="008E7846">
      <w:pPr>
        <w:pStyle w:val="Heading4"/>
      </w:pPr>
      <w:r>
        <w:t xml:space="preserve">Advisory </w:t>
      </w:r>
      <w:r>
        <w:rPr>
          <w:lang w:val="en-AU"/>
        </w:rPr>
        <w:t>c</w:t>
      </w:r>
      <w:r w:rsidR="008E7846">
        <w:t xml:space="preserve">ommittee </w:t>
      </w:r>
      <w:r>
        <w:rPr>
          <w:lang w:val="en-AU"/>
        </w:rPr>
        <w:t>c</w:t>
      </w:r>
      <w:r w:rsidR="008E7846">
        <w:t>onsiderations</w:t>
      </w:r>
    </w:p>
    <w:p w:rsidR="00C96F10" w:rsidRPr="00C96F10" w:rsidRDefault="00C96F10" w:rsidP="00C96F10">
      <w:r w:rsidRPr="00C96F10">
        <w:t xml:space="preserve">The </w:t>
      </w:r>
      <w:r>
        <w:rPr>
          <w:bCs/>
        </w:rPr>
        <w:t>Advisory Committee on Prescription Medicines (</w:t>
      </w:r>
      <w:r w:rsidRPr="001C5DFC">
        <w:rPr>
          <w:bCs/>
        </w:rPr>
        <w:t>AC</w:t>
      </w:r>
      <w:r>
        <w:rPr>
          <w:bCs/>
        </w:rPr>
        <w:t>PM)</w:t>
      </w:r>
      <w:r w:rsidRPr="00C96F10">
        <w:t>, taking into account the submitted evidence of efficacy, safety and quality, agreed with the delegate and considered N</w:t>
      </w:r>
      <w:r>
        <w:t>o</w:t>
      </w:r>
      <w:r w:rsidR="00822F7A">
        <w:t>voT</w:t>
      </w:r>
      <w:r>
        <w:t>hirteen</w:t>
      </w:r>
      <w:r w:rsidRPr="00C96F10">
        <w:t xml:space="preserve"> powder for injection containing 2500 IU of Catridecacog (rys) to h</w:t>
      </w:r>
      <w:r w:rsidR="00CE32D6">
        <w:t>ave an overall positive benefit-</w:t>
      </w:r>
      <w:r w:rsidRPr="00C96F10">
        <w:t>risk profile for the indication</w:t>
      </w:r>
      <w:r w:rsidR="00822F7A">
        <w:t>:</w:t>
      </w:r>
    </w:p>
    <w:p w:rsidR="00C96F10" w:rsidRPr="007C5899" w:rsidRDefault="00C96F10" w:rsidP="00822F7A">
      <w:pPr>
        <w:ind w:left="720"/>
        <w:rPr>
          <w:i/>
        </w:rPr>
      </w:pPr>
      <w:r w:rsidRPr="007C5899">
        <w:rPr>
          <w:i/>
        </w:rPr>
        <w:t>Routine prophylaxis of bleeding in patients with congenital Factor XIII A-subunit deficiency</w:t>
      </w:r>
    </w:p>
    <w:p w:rsidR="00C96F10" w:rsidRPr="00C96F10" w:rsidRDefault="00C96F10" w:rsidP="00C96F10">
      <w:r w:rsidRPr="00C96F10">
        <w:t>In making this recommendation</w:t>
      </w:r>
      <w:r w:rsidR="00822F7A">
        <w:t>,</w:t>
      </w:r>
      <w:r w:rsidR="001A0C10">
        <w:t xml:space="preserve"> the ACPM:</w:t>
      </w:r>
    </w:p>
    <w:p w:rsidR="00C96F10" w:rsidRPr="00C96F10" w:rsidRDefault="00C96F10" w:rsidP="00822F7A">
      <w:pPr>
        <w:pStyle w:val="ListBullet"/>
      </w:pPr>
      <w:r w:rsidRPr="00C96F10">
        <w:t xml:space="preserve">Noted the risks of transmission of human pathogens are lower with NovoThirteen, a recombinant </w:t>
      </w:r>
      <w:r w:rsidR="00FA4480">
        <w:t xml:space="preserve">product, than with plasma </w:t>
      </w:r>
      <w:r w:rsidRPr="00C96F10">
        <w:t>derived products.</w:t>
      </w:r>
    </w:p>
    <w:p w:rsidR="00C96F10" w:rsidRPr="00C96F10" w:rsidRDefault="00C96F10" w:rsidP="00C96F10">
      <w:r w:rsidRPr="00C96F10">
        <w:t>The committee is requested to provide advice on the following specific issues:</w:t>
      </w:r>
    </w:p>
    <w:p w:rsidR="00C96F10" w:rsidRPr="00C96F10" w:rsidRDefault="00C96F10" w:rsidP="00822F7A">
      <w:pPr>
        <w:pStyle w:val="ListBullet"/>
      </w:pPr>
      <w:r w:rsidRPr="00C96F10">
        <w:t>In view of the trial design, small number of subjects and endpoint, what is the clinical relevance of the efficacy results for NovoThirteen? Has efficacy been satisfactorily established?</w:t>
      </w:r>
    </w:p>
    <w:p w:rsidR="00C96F10" w:rsidRPr="00C96F10" w:rsidRDefault="00C96F10" w:rsidP="00822F7A">
      <w:pPr>
        <w:pStyle w:val="ListBullet2"/>
      </w:pPr>
      <w:r w:rsidRPr="00C96F10">
        <w:lastRenderedPageBreak/>
        <w:t xml:space="preserve">Although the subject numbers in the trials were small, this is a very rare condition with approximately 18 cases in Australia. The trial numbers in these circumstances are good. </w:t>
      </w:r>
    </w:p>
    <w:p w:rsidR="00C96F10" w:rsidRPr="00C96F10" w:rsidRDefault="00C96F10" w:rsidP="00822F7A">
      <w:pPr>
        <w:pStyle w:val="ListBullet2"/>
      </w:pPr>
      <w:r w:rsidRPr="00C96F10">
        <w:t>The use of historical controls, some by questionaire is not considered of great value while the primary efficacy endpoint of yearly incidence (number per subject-year) of bleeding episodes requiring treatment is not as robust as all bleeds.</w:t>
      </w:r>
    </w:p>
    <w:p w:rsidR="00C96F10" w:rsidRPr="00C96F10" w:rsidRDefault="00C96F10" w:rsidP="00822F7A">
      <w:pPr>
        <w:pStyle w:val="ListBullet2"/>
      </w:pPr>
      <w:r w:rsidRPr="00C96F10">
        <w:t xml:space="preserve">The ACPM advised that efficacy had been satifiactoriy established in that NovoThirteen showed a trend to reduced bleeding rate compared with historical controls on prophylactic Factor XIII treatment (n = 60 prophylactic and n = 16 </w:t>
      </w:r>
      <w:r w:rsidR="009854A5">
        <w:t>on-demand</w:t>
      </w:r>
      <w:r w:rsidRPr="00C96F10">
        <w:t xml:space="preserve"> therapy) and significantly reduced the bleeding rate compared with historical controls (n = 92) not on prophylactic Factor XIII treatment.</w:t>
      </w:r>
    </w:p>
    <w:p w:rsidR="00C96F10" w:rsidRPr="00C96F10" w:rsidRDefault="00C96F10" w:rsidP="00EF594E">
      <w:pPr>
        <w:pStyle w:val="ListBullet"/>
      </w:pPr>
      <w:r w:rsidRPr="00C96F10">
        <w:t>In view of the small number of subjects, does the Committee consider that exposure to NovoThirteen is sufficient to characterise the safety of the drug adequately for registration?</w:t>
      </w:r>
    </w:p>
    <w:p w:rsidR="00C96F10" w:rsidRPr="00C96F10" w:rsidRDefault="00C96F10" w:rsidP="00EF594E">
      <w:pPr>
        <w:pStyle w:val="ListBullet2"/>
      </w:pPr>
      <w:r w:rsidRPr="00C96F10">
        <w:t>Based on the limited safety experience with NovoThirteen in 41 subjects with FXIII deficiency, there were no concerns. The ACPM noted there are several trials continuing to characterise the safety of NovoThirteen.</w:t>
      </w:r>
    </w:p>
    <w:p w:rsidR="00C96F10" w:rsidRPr="00C96F10" w:rsidRDefault="00C96F10" w:rsidP="00EF594E">
      <w:pPr>
        <w:pStyle w:val="ListBullet"/>
      </w:pPr>
      <w:r w:rsidRPr="00C96F10">
        <w:t>The committee is also requested to provide advice on any other issues that it thinks may be relevant to a decision on whether or not to approve this application.</w:t>
      </w:r>
    </w:p>
    <w:p w:rsidR="00C96F10" w:rsidRPr="00C96F10" w:rsidRDefault="00C96F10" w:rsidP="00EF594E">
      <w:pPr>
        <w:pStyle w:val="ListBullet2"/>
      </w:pPr>
      <w:r w:rsidRPr="00C96F10">
        <w:t>Pharmacovigilance is recommended to monitor both for efficacy and potential adverse events</w:t>
      </w:r>
    </w:p>
    <w:p w:rsidR="00C96F10" w:rsidRPr="00C96F10" w:rsidRDefault="00C96F10" w:rsidP="00EF594E">
      <w:pPr>
        <w:pStyle w:val="ListBullet2"/>
      </w:pPr>
      <w:r w:rsidRPr="00C96F10">
        <w:t xml:space="preserve">Off label use should be monitored, particularly given dangers of use with rVIIa </w:t>
      </w:r>
    </w:p>
    <w:p w:rsidR="00C96F10" w:rsidRPr="00C96F10" w:rsidRDefault="00C96F10" w:rsidP="00EF594E">
      <w:pPr>
        <w:pStyle w:val="ListBullet2"/>
      </w:pPr>
      <w:r w:rsidRPr="00C96F10">
        <w:t>Safety in the elderly and in pregnant or lactating women and those with renal insufficiency needs to be closely monitored</w:t>
      </w:r>
    </w:p>
    <w:p w:rsidR="00C96F10" w:rsidRPr="00C96F10" w:rsidRDefault="00C96F10" w:rsidP="00EF594E">
      <w:pPr>
        <w:pStyle w:val="ListBullet2"/>
      </w:pPr>
      <w:r w:rsidRPr="00C96F10">
        <w:t>Education for medical specialists, nursing staff and patients will be necessary</w:t>
      </w:r>
    </w:p>
    <w:p w:rsidR="00C96F10" w:rsidRPr="00C96F10" w:rsidRDefault="00C96F10" w:rsidP="00EF594E">
      <w:pPr>
        <w:pStyle w:val="Heading5"/>
      </w:pPr>
      <w:r w:rsidRPr="00C96F10">
        <w:t>Proposed condition</w:t>
      </w:r>
      <w:r w:rsidR="00EF594E">
        <w:t>s of registration</w:t>
      </w:r>
    </w:p>
    <w:p w:rsidR="00C96F10" w:rsidRPr="00C96F10" w:rsidRDefault="00C96F10" w:rsidP="00C96F10">
      <w:pPr>
        <w:rPr>
          <w:highlight w:val="yellow"/>
        </w:rPr>
      </w:pPr>
      <w:r w:rsidRPr="00C96F10">
        <w:t>The ACPM agreed with the delegate on the proposed conditions of registration and specifically advised on the inclusion of the following:</w:t>
      </w:r>
    </w:p>
    <w:p w:rsidR="00C96F10" w:rsidRPr="00C96F10" w:rsidRDefault="00C96F10" w:rsidP="00EF594E">
      <w:pPr>
        <w:pStyle w:val="ListBullet"/>
      </w:pPr>
      <w:r w:rsidRPr="00C96F10">
        <w:t xml:space="preserve">Subject to satisfactory negotiation of the </w:t>
      </w:r>
      <w:r w:rsidR="00604412">
        <w:t>RMP</w:t>
      </w:r>
      <w:r w:rsidRPr="00C96F10">
        <w:t xml:space="preserve"> mos</w:t>
      </w:r>
      <w:r w:rsidR="005C01A6">
        <w:t>t recently approved by the TGA,</w:t>
      </w:r>
    </w:p>
    <w:p w:rsidR="00C96F10" w:rsidRPr="00C96F10" w:rsidRDefault="00C96F10" w:rsidP="00EF594E">
      <w:pPr>
        <w:pStyle w:val="ListBullet"/>
      </w:pPr>
      <w:r w:rsidRPr="00C96F10">
        <w:t xml:space="preserve">Negotiation of Product Information and Consumer Medicines Information </w:t>
      </w:r>
      <w:r w:rsidR="005C01A6">
        <w:t>to the satisfaction of the TGA.</w:t>
      </w:r>
    </w:p>
    <w:p w:rsidR="00C96F10" w:rsidRPr="00C96F10" w:rsidRDefault="00C96F10" w:rsidP="00EF594E">
      <w:pPr>
        <w:pStyle w:val="Heading5"/>
      </w:pPr>
      <w:r w:rsidRPr="00C96F10">
        <w:t>Proposed Product Information (PI)/Consumer Medicine Information (CMI)</w:t>
      </w:r>
      <w:r w:rsidR="00EF594E">
        <w:t xml:space="preserve"> amendments</w:t>
      </w:r>
    </w:p>
    <w:p w:rsidR="00C96F10" w:rsidRPr="00C96F10" w:rsidRDefault="00C96F10" w:rsidP="00C96F10">
      <w:r w:rsidRPr="00C96F10">
        <w:t>The ACPM agreed with the delegate to the proposed amendments to the Product Information (PI) and Consumer Medicine Information (CMI).</w:t>
      </w:r>
    </w:p>
    <w:p w:rsidR="00C96F10" w:rsidRPr="00C96F10" w:rsidRDefault="00C96F10" w:rsidP="00C96F10">
      <w:r w:rsidRPr="00C96F10">
        <w:t xml:space="preserve">The ACPM advised that the implementation by the sponsor of the recommendations outlined above to the satisfaction of the TGA, in addition to the evidence of efficacy and safety provided would support the safe and effective use of these products. </w:t>
      </w:r>
    </w:p>
    <w:p w:rsidR="008E7846" w:rsidRPr="002E238E" w:rsidRDefault="008E7846" w:rsidP="008E7846">
      <w:pPr>
        <w:pStyle w:val="Heading3"/>
      </w:pPr>
      <w:bookmarkStart w:id="178" w:name="_Toc247691532"/>
      <w:bookmarkStart w:id="179" w:name="_Toc314842516"/>
      <w:bookmarkStart w:id="180" w:name="_Toc389414024"/>
      <w:bookmarkEnd w:id="115"/>
      <w:bookmarkEnd w:id="175"/>
      <w:bookmarkEnd w:id="176"/>
      <w:r>
        <w:t>Outcome</w:t>
      </w:r>
      <w:bookmarkEnd w:id="178"/>
      <w:bookmarkEnd w:id="179"/>
      <w:bookmarkEnd w:id="180"/>
    </w:p>
    <w:p w:rsidR="000929CC" w:rsidRDefault="008E7846" w:rsidP="00C80137">
      <w:r>
        <w:t xml:space="preserve">Based on a review of quality, safety and efficacy, TGA approved the registration </w:t>
      </w:r>
      <w:r w:rsidR="000929CC">
        <w:t xml:space="preserve">NovoThirteen </w:t>
      </w:r>
      <w:r w:rsidR="000929CC" w:rsidRPr="000929CC">
        <w:t>powder for injection vial containing catridecacog rys 2500 IU with solvent</w:t>
      </w:r>
      <w:r w:rsidR="000929CC">
        <w:t xml:space="preserve"> indicated for:</w:t>
      </w:r>
    </w:p>
    <w:p w:rsidR="000929CC" w:rsidRDefault="00F97222" w:rsidP="000929CC">
      <w:pPr>
        <w:ind w:left="720"/>
        <w:rPr>
          <w:i/>
        </w:rPr>
      </w:pPr>
      <w:r>
        <w:rPr>
          <w:i/>
        </w:rPr>
        <w:t>No</w:t>
      </w:r>
      <w:r w:rsidR="00E40B17">
        <w:rPr>
          <w:i/>
        </w:rPr>
        <w:t xml:space="preserve">voThirteen is indicated for </w:t>
      </w:r>
      <w:r>
        <w:rPr>
          <w:i/>
        </w:rPr>
        <w:t>r</w:t>
      </w:r>
      <w:r w:rsidR="000929CC" w:rsidRPr="000929CC">
        <w:rPr>
          <w:i/>
        </w:rPr>
        <w:t>outine prophylaxis of bleeding in patients with congenital Factor XIII A-subunit deficiency</w:t>
      </w:r>
    </w:p>
    <w:p w:rsidR="00E40B17" w:rsidRPr="0090249C" w:rsidRDefault="00E40B17" w:rsidP="00E40B17">
      <w:pPr>
        <w:pStyle w:val="Heading4"/>
      </w:pPr>
      <w:bookmarkStart w:id="181" w:name="_Toc247691533"/>
      <w:bookmarkStart w:id="182" w:name="_Toc314842517"/>
      <w:r w:rsidRPr="0090249C">
        <w:lastRenderedPageBreak/>
        <w:t>Specific conditions of registration appl</w:t>
      </w:r>
      <w:r>
        <w:t>ying to these therapeutic goods</w:t>
      </w:r>
    </w:p>
    <w:p w:rsidR="00E40B17" w:rsidRPr="00B74D7C" w:rsidRDefault="00092F92" w:rsidP="00092F92">
      <w:pPr>
        <w:pStyle w:val="ListBullet"/>
      </w:pPr>
      <w:r w:rsidRPr="00092F92">
        <w:t>Implement</w:t>
      </w:r>
      <w:r>
        <w:t>ation of the</w:t>
      </w:r>
      <w:r w:rsidRPr="00092F92">
        <w:t xml:space="preserve"> EU NovoThi</w:t>
      </w:r>
      <w:r w:rsidR="00B339E8">
        <w:t>rteen RMP</w:t>
      </w:r>
      <w:r w:rsidRPr="00092F92">
        <w:t xml:space="preserve"> Version 1.0 dated 29 May</w:t>
      </w:r>
      <w:r w:rsidR="00B339E8">
        <w:t xml:space="preserve"> </w:t>
      </w:r>
      <w:r w:rsidRPr="00092F92">
        <w:t>2012 with Australian Specific Annex Version 1.0 dated 8 October 2012 and any</w:t>
      </w:r>
      <w:r w:rsidR="00B339E8">
        <w:t xml:space="preserve"> </w:t>
      </w:r>
      <w:r w:rsidRPr="00092F92">
        <w:t>subsequent revisions of the EU RMP and Australian Specific Annex agreed with the TGA</w:t>
      </w:r>
      <w:r w:rsidR="00E40B17">
        <w:t>.</w:t>
      </w:r>
    </w:p>
    <w:p w:rsidR="008E7846" w:rsidRDefault="008E7846" w:rsidP="008E7846">
      <w:pPr>
        <w:pStyle w:val="Heading2"/>
      </w:pPr>
      <w:bookmarkStart w:id="183" w:name="_Toc389414025"/>
      <w:r>
        <w:t>Attachment 1.</w:t>
      </w:r>
      <w:r>
        <w:tab/>
        <w:t xml:space="preserve">Product </w:t>
      </w:r>
      <w:r w:rsidR="00AA0ED0">
        <w:t>I</w:t>
      </w:r>
      <w:r>
        <w:t>nformation</w:t>
      </w:r>
      <w:bookmarkEnd w:id="181"/>
      <w:bookmarkEnd w:id="182"/>
      <w:bookmarkEnd w:id="183"/>
    </w:p>
    <w:p w:rsidR="00C80137" w:rsidRDefault="00C80137" w:rsidP="00C80137">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43" w:history="1">
        <w:r w:rsidR="00722B57" w:rsidRPr="00625A6E">
          <w:rPr>
            <w:rStyle w:val="Hyperlink"/>
          </w:rPr>
          <w:t>http://www.tga.gov.au/hp/information-medicines-pi.htm</w:t>
        </w:r>
      </w:hyperlink>
      <w:hyperlink w:history="1"/>
      <w:r w:rsidR="008F6943">
        <w:rPr>
          <w:color w:val="000000"/>
          <w:lang w:eastAsia="en-AU"/>
        </w:rPr>
        <w:t>&gt;.</w:t>
      </w:r>
    </w:p>
    <w:p w:rsidR="00C80137" w:rsidRDefault="00C80137" w:rsidP="00C80137">
      <w:pPr>
        <w:pStyle w:val="Heading2"/>
        <w:rPr>
          <w:lang w:eastAsia="en-AU"/>
        </w:rPr>
      </w:pPr>
      <w:bookmarkStart w:id="184" w:name="_Toc389414026"/>
      <w:r>
        <w:rPr>
          <w:lang w:eastAsia="en-AU"/>
        </w:rPr>
        <w:t>Attachment 2. Extract from the Clinical Evaluation Report</w:t>
      </w:r>
      <w:bookmarkEnd w:id="184"/>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44"/>
          <w:headerReference w:type="default" r:id="rId45"/>
          <w:footerReference w:type="default" r:id="rId46"/>
          <w:headerReference w:type="first" r:id="rId47"/>
          <w:footerReference w:type="first" r:id="rId48"/>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49"/>
      <w:headerReference w:type="default" r:id="rId50"/>
      <w:footerReference w:type="default" r:id="rId51"/>
      <w:headerReference w:type="first" r:id="rId52"/>
      <w:footerReference w:type="first" r:id="rId53"/>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A1B" w:rsidRDefault="00EC6A1B" w:rsidP="00C40A36">
      <w:pPr>
        <w:spacing w:after="0"/>
      </w:pPr>
      <w:r>
        <w:separator/>
      </w:r>
    </w:p>
  </w:endnote>
  <w:endnote w:type="continuationSeparator" w:id="0">
    <w:p w:rsidR="00EC6A1B" w:rsidRDefault="00EC6A1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ˇøˆ–">
    <w:altName w:val="Times New Roman"/>
    <w:panose1 w:val="00000000000000000000"/>
    <w:charset w:val="4D"/>
    <w:family w:val="auto"/>
    <w:notTrueType/>
    <w:pitch w:val="default"/>
    <w:sig w:usb0="00000003" w:usb1="00000000" w:usb2="00000000" w:usb3="00000000" w:csb0="00000001" w:csb1="00000000"/>
  </w:font>
  <w:font w:name="èÚø∂›">
    <w:altName w:val="Cambria"/>
    <w:panose1 w:val="00000000000000000000"/>
    <w:charset w:val="4D"/>
    <w:family w:val="auto"/>
    <w:notTrueType/>
    <w:pitch w:val="default"/>
    <w:sig w:usb0="00000003" w:usb1="00000000" w:usb2="00000000" w:usb3="00000000" w:csb0="00000001" w:csb1="00000000"/>
  </w:font>
  <w:font w:name="¸ø&amp;‘">
    <w:altName w:val="Cambria"/>
    <w:panose1 w:val="00000000000000000000"/>
    <w:charset w:val="4D"/>
    <w:family w:val="auto"/>
    <w:notTrueType/>
    <w:pitch w:val="default"/>
    <w:sig w:usb0="00000003" w:usb1="00000000" w:usb2="00000000" w:usb3="00000000" w:csb0="00000001" w:csb1="00000000"/>
  </w:font>
  <w:font w:name="_Ùø∂€">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D41EF3" w:rsidRPr="00487162" w:rsidTr="0053625B">
      <w:trPr>
        <w:trHeight w:val="269"/>
      </w:trPr>
      <w:tc>
        <w:tcPr>
          <w:tcW w:w="7938" w:type="dxa"/>
          <w:tcMar>
            <w:top w:w="142" w:type="dxa"/>
            <w:bottom w:w="0" w:type="dxa"/>
          </w:tcMar>
        </w:tcPr>
        <w:p w:rsidR="00D41EF3" w:rsidRPr="00D506F8" w:rsidRDefault="00D41EF3" w:rsidP="00216B6D">
          <w:pPr>
            <w:pStyle w:val="Footer"/>
            <w:rPr>
              <w:szCs w:val="22"/>
              <w:lang w:val="en-AU" w:eastAsia="en-US"/>
            </w:rPr>
          </w:pPr>
          <w:r w:rsidRPr="00D506F8">
            <w:rPr>
              <w:szCs w:val="22"/>
              <w:lang w:val="en-AU" w:eastAsia="en-US"/>
            </w:rPr>
            <w:t>AusPAR NovoThirteen Novo Nordisk Pharmaceuticals Pty Ltd PM-2012-02713-3-4</w:t>
          </w:r>
          <w:r w:rsidRPr="00D506F8">
            <w:rPr>
              <w:szCs w:val="22"/>
              <w:lang w:val="en-AU" w:eastAsia="en-US"/>
            </w:rPr>
            <w:br/>
          </w:r>
          <w:r w:rsidR="00216B6D">
            <w:rPr>
              <w:szCs w:val="22"/>
              <w:lang w:val="en-AU" w:eastAsia="en-US"/>
            </w:rPr>
            <w:t>Final 10 April</w:t>
          </w:r>
          <w:r w:rsidRPr="00D506F8">
            <w:rPr>
              <w:szCs w:val="22"/>
              <w:lang w:val="en-AU" w:eastAsia="en-US"/>
            </w:rPr>
            <w:t xml:space="preserve"> 2014</w:t>
          </w:r>
        </w:p>
      </w:tc>
      <w:tc>
        <w:tcPr>
          <w:tcW w:w="923" w:type="dxa"/>
          <w:tcMar>
            <w:top w:w="142" w:type="dxa"/>
            <w:bottom w:w="0" w:type="dxa"/>
          </w:tcMar>
        </w:tcPr>
        <w:p w:rsidR="00D41EF3" w:rsidRPr="00D506F8" w:rsidRDefault="00D41EF3" w:rsidP="00D855D4">
          <w:pPr>
            <w:pStyle w:val="Footer"/>
            <w:jc w:val="right"/>
            <w:rPr>
              <w:szCs w:val="22"/>
              <w:lang w:val="en-AU" w:eastAsia="en-US"/>
            </w:rPr>
          </w:pPr>
          <w:r w:rsidRPr="00D506F8">
            <w:rPr>
              <w:szCs w:val="22"/>
              <w:lang w:val="en-AU" w:eastAsia="en-US"/>
            </w:rPr>
            <w:t xml:space="preserve">Page 2 of </w:t>
          </w:r>
          <w:r w:rsidRPr="00D506F8">
            <w:rPr>
              <w:szCs w:val="22"/>
              <w:lang w:val="en-AU" w:eastAsia="en-US"/>
            </w:rPr>
            <w:fldChar w:fldCharType="begin"/>
          </w:r>
          <w:r w:rsidRPr="00D506F8">
            <w:rPr>
              <w:szCs w:val="22"/>
              <w:lang w:val="en-AU" w:eastAsia="en-US"/>
            </w:rPr>
            <w:instrText xml:space="preserve"> NUMPAGES  \* Arabic </w:instrText>
          </w:r>
          <w:r w:rsidRPr="00D506F8">
            <w:rPr>
              <w:szCs w:val="22"/>
              <w:lang w:val="en-AU" w:eastAsia="en-US"/>
            </w:rPr>
            <w:fldChar w:fldCharType="separate"/>
          </w:r>
          <w:r w:rsidR="00A938FA">
            <w:rPr>
              <w:noProof/>
              <w:szCs w:val="22"/>
              <w:lang w:val="en-AU" w:eastAsia="en-US"/>
            </w:rPr>
            <w:t>55</w:t>
          </w:r>
          <w:r w:rsidRPr="00D506F8">
            <w:rPr>
              <w:szCs w:val="22"/>
              <w:lang w:val="en-AU" w:eastAsia="en-US"/>
            </w:rPr>
            <w:fldChar w:fldCharType="end"/>
          </w:r>
        </w:p>
      </w:tc>
    </w:tr>
  </w:tbl>
  <w:p w:rsidR="00D41EF3" w:rsidRDefault="00D41EF3"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6521"/>
      <w:gridCol w:w="2340"/>
    </w:tblGrid>
    <w:tr w:rsidR="00D41EF3" w:rsidRPr="00487162" w:rsidTr="003850F1">
      <w:trPr>
        <w:trHeight w:val="269"/>
      </w:trPr>
      <w:tc>
        <w:tcPr>
          <w:tcW w:w="6521" w:type="dxa"/>
          <w:tcMar>
            <w:top w:w="142" w:type="dxa"/>
            <w:bottom w:w="0" w:type="dxa"/>
          </w:tcMar>
        </w:tcPr>
        <w:p w:rsidR="00D41EF3" w:rsidRPr="00D506F8" w:rsidRDefault="00D41EF3" w:rsidP="00216B6D">
          <w:pPr>
            <w:pStyle w:val="Footer"/>
            <w:rPr>
              <w:szCs w:val="22"/>
              <w:lang w:val="en-AU" w:eastAsia="en-US"/>
            </w:rPr>
          </w:pPr>
          <w:r w:rsidRPr="00D506F8">
            <w:rPr>
              <w:szCs w:val="22"/>
              <w:lang w:val="en-AU" w:eastAsia="en-US"/>
            </w:rPr>
            <w:t>AusPAR NovoThirteen Novo Nordisk Pharmaceuticals P</w:t>
          </w:r>
          <w:r w:rsidR="003850F1">
            <w:rPr>
              <w:szCs w:val="22"/>
              <w:lang w:val="en-AU" w:eastAsia="en-US"/>
            </w:rPr>
            <w:t>ty Ltd PM-2012-02713-3-4</w:t>
          </w:r>
          <w:r w:rsidR="003850F1">
            <w:rPr>
              <w:szCs w:val="22"/>
              <w:lang w:val="en-AU" w:eastAsia="en-US"/>
            </w:rPr>
            <w:br/>
          </w:r>
          <w:r w:rsidR="00216B6D">
            <w:rPr>
              <w:szCs w:val="22"/>
              <w:lang w:val="en-AU" w:eastAsia="en-US"/>
            </w:rPr>
            <w:t>Final 10 April</w:t>
          </w:r>
          <w:r w:rsidRPr="00D506F8">
            <w:rPr>
              <w:szCs w:val="22"/>
              <w:lang w:val="en-AU" w:eastAsia="en-US"/>
            </w:rPr>
            <w:t xml:space="preserve"> 2014</w:t>
          </w:r>
        </w:p>
      </w:tc>
      <w:tc>
        <w:tcPr>
          <w:tcW w:w="2340" w:type="dxa"/>
          <w:tcMar>
            <w:top w:w="142" w:type="dxa"/>
            <w:bottom w:w="0" w:type="dxa"/>
          </w:tcMar>
        </w:tcPr>
        <w:p w:rsidR="00D41EF3" w:rsidRPr="00D506F8" w:rsidRDefault="00D41EF3" w:rsidP="00E45619">
          <w:pPr>
            <w:pStyle w:val="Footer"/>
            <w:jc w:val="right"/>
            <w:rPr>
              <w:szCs w:val="22"/>
              <w:lang w:val="en-AU" w:eastAsia="en-US"/>
            </w:rPr>
          </w:pPr>
          <w:r w:rsidRPr="00D506F8">
            <w:rPr>
              <w:szCs w:val="22"/>
              <w:lang w:val="en-AU" w:eastAsia="en-US"/>
            </w:rPr>
            <w:t xml:space="preserve">Page </w:t>
          </w:r>
          <w:r w:rsidRPr="00D506F8">
            <w:rPr>
              <w:szCs w:val="22"/>
              <w:lang w:val="en-AU" w:eastAsia="en-US"/>
            </w:rPr>
            <w:fldChar w:fldCharType="begin"/>
          </w:r>
          <w:r w:rsidRPr="00D506F8">
            <w:rPr>
              <w:szCs w:val="22"/>
              <w:lang w:val="en-AU" w:eastAsia="en-US"/>
            </w:rPr>
            <w:instrText>PAGE</w:instrText>
          </w:r>
          <w:r w:rsidRPr="00D506F8">
            <w:rPr>
              <w:szCs w:val="22"/>
              <w:lang w:val="en-AU" w:eastAsia="en-US"/>
            </w:rPr>
            <w:fldChar w:fldCharType="separate"/>
          </w:r>
          <w:r w:rsidR="00A938FA">
            <w:rPr>
              <w:noProof/>
              <w:szCs w:val="22"/>
              <w:lang w:val="en-AU" w:eastAsia="en-US"/>
            </w:rPr>
            <w:t>80</w:t>
          </w:r>
          <w:r w:rsidRPr="00D506F8">
            <w:rPr>
              <w:szCs w:val="22"/>
              <w:lang w:val="en-AU" w:eastAsia="en-US"/>
            </w:rPr>
            <w:fldChar w:fldCharType="end"/>
          </w:r>
          <w:r w:rsidRPr="00D506F8">
            <w:rPr>
              <w:szCs w:val="22"/>
              <w:lang w:val="en-AU" w:eastAsia="en-US"/>
            </w:rPr>
            <w:t xml:space="preserve"> of </w:t>
          </w:r>
          <w:r w:rsidRPr="00D506F8">
            <w:rPr>
              <w:szCs w:val="22"/>
              <w:lang w:val="en-AU" w:eastAsia="en-US"/>
            </w:rPr>
            <w:fldChar w:fldCharType="begin"/>
          </w:r>
          <w:r w:rsidRPr="00D506F8">
            <w:rPr>
              <w:szCs w:val="22"/>
              <w:lang w:val="en-AU" w:eastAsia="en-US"/>
            </w:rPr>
            <w:instrText xml:space="preserve"> NUMPAGES  \* Arabic </w:instrText>
          </w:r>
          <w:r w:rsidRPr="00D506F8">
            <w:rPr>
              <w:szCs w:val="22"/>
              <w:lang w:val="en-AU" w:eastAsia="en-US"/>
            </w:rPr>
            <w:fldChar w:fldCharType="separate"/>
          </w:r>
          <w:r w:rsidR="00A938FA">
            <w:rPr>
              <w:noProof/>
              <w:szCs w:val="22"/>
              <w:lang w:val="en-AU" w:eastAsia="en-US"/>
            </w:rPr>
            <w:t>80</w:t>
          </w:r>
          <w:r w:rsidRPr="00D506F8">
            <w:rPr>
              <w:szCs w:val="22"/>
              <w:lang w:val="en-AU" w:eastAsia="en-US"/>
            </w:rPr>
            <w:fldChar w:fldCharType="end"/>
          </w:r>
        </w:p>
      </w:tc>
    </w:tr>
  </w:tbl>
  <w:p w:rsidR="00D41EF3" w:rsidRDefault="00D41EF3" w:rsidP="003850F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D41EF3" w:rsidRPr="00487162" w:rsidTr="00E45619">
      <w:trPr>
        <w:trHeight w:val="269"/>
      </w:trPr>
      <w:tc>
        <w:tcPr>
          <w:tcW w:w="4519" w:type="dxa"/>
          <w:tcBorders>
            <w:top w:val="single" w:sz="4" w:space="0" w:color="auto"/>
          </w:tcBorders>
          <w:tcMar>
            <w:top w:w="142" w:type="dxa"/>
            <w:bottom w:w="0" w:type="dxa"/>
          </w:tcMar>
        </w:tcPr>
        <w:p w:rsidR="00D41EF3" w:rsidRPr="00D506F8" w:rsidRDefault="00D41EF3" w:rsidP="00FE1DEE">
          <w:pPr>
            <w:pStyle w:val="Footer"/>
            <w:rPr>
              <w:szCs w:val="22"/>
              <w:lang w:val="en-AU" w:eastAsia="en-US"/>
            </w:rPr>
          </w:pPr>
          <w:r w:rsidRPr="00D506F8">
            <w:rPr>
              <w:szCs w:val="22"/>
              <w:lang w:val="en-AU" w:eastAsia="en-US"/>
            </w:rPr>
            <w:t>Document title, Part #, Section # - Section title</w:t>
          </w:r>
        </w:p>
        <w:p w:rsidR="00D41EF3" w:rsidRPr="00D506F8" w:rsidRDefault="00D41EF3" w:rsidP="00FE1DEE">
          <w:pPr>
            <w:pStyle w:val="Footer"/>
            <w:rPr>
              <w:szCs w:val="22"/>
              <w:lang w:val="en-AU" w:eastAsia="en-US"/>
            </w:rPr>
          </w:pPr>
          <w:r w:rsidRPr="00D506F8">
            <w:rPr>
              <w:szCs w:val="22"/>
              <w:lang w:val="en-AU" w:eastAsia="en-US"/>
            </w:rPr>
            <w:t>V1.0 October 2010</w:t>
          </w:r>
        </w:p>
      </w:tc>
      <w:tc>
        <w:tcPr>
          <w:tcW w:w="4342" w:type="dxa"/>
          <w:tcBorders>
            <w:top w:val="single" w:sz="4" w:space="0" w:color="auto"/>
          </w:tcBorders>
          <w:tcMar>
            <w:top w:w="142" w:type="dxa"/>
            <w:bottom w:w="0" w:type="dxa"/>
          </w:tcMar>
        </w:tcPr>
        <w:p w:rsidR="00D41EF3" w:rsidRPr="00D506F8" w:rsidRDefault="00D41EF3" w:rsidP="00E45619">
          <w:pPr>
            <w:pStyle w:val="Footer"/>
            <w:jc w:val="right"/>
            <w:rPr>
              <w:szCs w:val="22"/>
              <w:lang w:val="en-AU" w:eastAsia="en-US"/>
            </w:rPr>
          </w:pPr>
          <w:r w:rsidRPr="00D506F8">
            <w:rPr>
              <w:szCs w:val="22"/>
              <w:lang w:val="en-AU" w:eastAsia="en-US"/>
            </w:rPr>
            <w:t xml:space="preserve">Page </w:t>
          </w:r>
          <w:r w:rsidRPr="00D506F8">
            <w:rPr>
              <w:szCs w:val="22"/>
              <w:lang w:val="en-AU" w:eastAsia="en-US"/>
            </w:rPr>
            <w:fldChar w:fldCharType="begin"/>
          </w:r>
          <w:r w:rsidRPr="00D506F8">
            <w:rPr>
              <w:szCs w:val="22"/>
              <w:lang w:val="en-AU" w:eastAsia="en-US"/>
            </w:rPr>
            <w:instrText xml:space="preserve"> PAGE   \* MERGEFORMAT </w:instrText>
          </w:r>
          <w:r w:rsidRPr="00D506F8">
            <w:rPr>
              <w:szCs w:val="22"/>
              <w:lang w:val="en-AU" w:eastAsia="en-US"/>
            </w:rPr>
            <w:fldChar w:fldCharType="separate"/>
          </w:r>
          <w:r w:rsidRPr="00D506F8">
            <w:rPr>
              <w:noProof/>
              <w:szCs w:val="22"/>
              <w:lang w:val="en-AU" w:eastAsia="en-US"/>
            </w:rPr>
            <w:t>3</w:t>
          </w:r>
          <w:r w:rsidRPr="00D506F8">
            <w:rPr>
              <w:szCs w:val="22"/>
              <w:lang w:val="en-AU" w:eastAsia="en-US"/>
            </w:rPr>
            <w:fldChar w:fldCharType="end"/>
          </w:r>
          <w:r w:rsidRPr="00D506F8">
            <w:rPr>
              <w:szCs w:val="22"/>
              <w:lang w:val="en-AU" w:eastAsia="en-US"/>
            </w:rPr>
            <w:t xml:space="preserve"> of </w:t>
          </w:r>
          <w:r w:rsidRPr="00D506F8">
            <w:rPr>
              <w:szCs w:val="22"/>
              <w:lang w:val="en-AU" w:eastAsia="en-US"/>
            </w:rPr>
            <w:fldChar w:fldCharType="begin"/>
          </w:r>
          <w:r w:rsidRPr="00D506F8">
            <w:rPr>
              <w:szCs w:val="22"/>
              <w:lang w:val="en-AU" w:eastAsia="en-US"/>
            </w:rPr>
            <w:instrText xml:space="preserve"> NUMPAGES  </w:instrText>
          </w:r>
          <w:r w:rsidRPr="00D506F8">
            <w:rPr>
              <w:szCs w:val="22"/>
              <w:lang w:val="en-AU" w:eastAsia="en-US"/>
            </w:rPr>
            <w:fldChar w:fldCharType="separate"/>
          </w:r>
          <w:r w:rsidRPr="00D506F8">
            <w:rPr>
              <w:noProof/>
              <w:szCs w:val="22"/>
              <w:lang w:val="en-AU" w:eastAsia="en-US"/>
            </w:rPr>
            <w:t>68</w:t>
          </w:r>
          <w:r w:rsidRPr="00D506F8">
            <w:rPr>
              <w:szCs w:val="22"/>
              <w:lang w:val="en-AU" w:eastAsia="en-US"/>
            </w:rPr>
            <w:fldChar w:fldCharType="end"/>
          </w:r>
        </w:p>
      </w:tc>
    </w:tr>
  </w:tbl>
  <w:p w:rsidR="00D41EF3" w:rsidRDefault="00D41EF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D41EF3" w:rsidRPr="00487162" w:rsidTr="00E45619">
      <w:trPr>
        <w:trHeight w:hRule="exact" w:val="704"/>
      </w:trPr>
      <w:tc>
        <w:tcPr>
          <w:tcW w:w="9175" w:type="dxa"/>
        </w:tcPr>
        <w:p w:rsidR="00D41EF3" w:rsidRPr="00487162" w:rsidRDefault="00D41EF3" w:rsidP="008E7846">
          <w:pPr>
            <w:pStyle w:val="TGASignoff"/>
          </w:pPr>
          <w:r w:rsidRPr="00487162">
            <w:t>Therapeutic Goods Administration</w:t>
          </w:r>
        </w:p>
      </w:tc>
    </w:tr>
    <w:tr w:rsidR="00D41EF3" w:rsidRPr="00487162" w:rsidTr="00E45619">
      <w:trPr>
        <w:trHeight w:val="1221"/>
      </w:trPr>
      <w:tc>
        <w:tcPr>
          <w:tcW w:w="9175" w:type="dxa"/>
          <w:tcMar>
            <w:top w:w="28" w:type="dxa"/>
          </w:tcMar>
        </w:tcPr>
        <w:p w:rsidR="00D41EF3" w:rsidRPr="00487162" w:rsidRDefault="00D41EF3" w:rsidP="00E45619">
          <w:pPr>
            <w:pStyle w:val="Address"/>
          </w:pPr>
          <w:r w:rsidRPr="00487162">
            <w:t>PO Box 100 Woden ACT 2606 Australia</w:t>
          </w:r>
        </w:p>
        <w:p w:rsidR="00D41EF3" w:rsidRPr="00487162" w:rsidRDefault="00D41EF3" w:rsidP="00E45619">
          <w:pPr>
            <w:pStyle w:val="Address"/>
          </w:pPr>
          <w:r w:rsidRPr="00487162">
            <w:t xml:space="preserve">Email: </w:t>
          </w:r>
          <w:hyperlink r:id="rId1" w:history="1">
            <w:r w:rsidRPr="004C239D">
              <w:rPr>
                <w:rStyle w:val="Hyperlink"/>
              </w:rPr>
              <w:t>info@tga.gov.au</w:t>
            </w:r>
          </w:hyperlink>
          <w:r>
            <w:t xml:space="preserve"> </w:t>
          </w:r>
          <w:r w:rsidRPr="00487162">
            <w:t>Phone: 1800 020 653</w:t>
          </w:r>
          <w:r>
            <w:t xml:space="preserve"> </w:t>
          </w:r>
          <w:r w:rsidRPr="00487162">
            <w:t>Fax: 02 6232 8605</w:t>
          </w:r>
        </w:p>
        <w:p w:rsidR="00D41EF3" w:rsidRPr="004C239D" w:rsidRDefault="00D41EF3" w:rsidP="004C239D">
          <w:pPr>
            <w:pStyle w:val="Address"/>
            <w:spacing w:line="260" w:lineRule="atLeast"/>
            <w:rPr>
              <w:b/>
              <w:color w:val="0000FF"/>
              <w:u w:val="single"/>
            </w:rPr>
          </w:pPr>
          <w:hyperlink r:id="rId2" w:history="1">
            <w:r w:rsidRPr="00607888">
              <w:rPr>
                <w:rStyle w:val="Hyperlink"/>
                <w:b/>
              </w:rPr>
              <w:t>http://www.tga.gov.au</w:t>
            </w:r>
          </w:hyperlink>
        </w:p>
      </w:tc>
    </w:tr>
  </w:tbl>
  <w:p w:rsidR="00D41EF3" w:rsidRDefault="00D41EF3"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D41EF3" w:rsidTr="0010601F">
      <w:trPr>
        <w:trHeight w:val="108"/>
      </w:trPr>
      <w:tc>
        <w:tcPr>
          <w:tcW w:w="8875" w:type="dxa"/>
          <w:gridSpan w:val="2"/>
          <w:tcBorders>
            <w:bottom w:val="single" w:sz="4" w:space="0" w:color="auto"/>
          </w:tcBorders>
          <w:tcMar>
            <w:right w:w="284" w:type="dxa"/>
          </w:tcMar>
        </w:tcPr>
        <w:p w:rsidR="00D41EF3" w:rsidRPr="00D506F8" w:rsidRDefault="00D41EF3" w:rsidP="006E08B3">
          <w:pPr>
            <w:pStyle w:val="Heading3"/>
            <w:rPr>
              <w:sz w:val="22"/>
              <w:lang w:val="en-AU" w:eastAsia="en-US"/>
            </w:rPr>
          </w:pPr>
          <w:r w:rsidRPr="00D506F8">
            <w:rPr>
              <w:sz w:val="22"/>
              <w:lang w:val="en-AU" w:eastAsia="en-US"/>
            </w:rPr>
            <w:t>Copyright</w:t>
          </w:r>
        </w:p>
        <w:p w:rsidR="00D41EF3" w:rsidRDefault="00D41EF3" w:rsidP="006E08B3">
          <w:r>
            <w:rPr>
              <w:rFonts w:cs="Arial"/>
            </w:rPr>
            <w:t>©</w:t>
          </w:r>
          <w:r>
            <w:t xml:space="preserve"> Commonwealth of Australia [add year]</w:t>
          </w:r>
        </w:p>
        <w:p w:rsidR="00D41EF3" w:rsidRDefault="00D41EF3" w:rsidP="006E08B3"/>
        <w:p w:rsidR="00D41EF3" w:rsidRDefault="00D41EF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D41EF3" w:rsidRDefault="00D41EF3" w:rsidP="006E08B3"/>
        <w:p w:rsidR="00D41EF3" w:rsidRPr="00D506F8" w:rsidRDefault="00D41EF3" w:rsidP="006E08B3">
          <w:pPr>
            <w:pStyle w:val="Heading3"/>
            <w:rPr>
              <w:sz w:val="22"/>
              <w:lang w:val="en-AU" w:eastAsia="en-US"/>
            </w:rPr>
          </w:pPr>
          <w:r w:rsidRPr="00D506F8">
            <w:rPr>
              <w:sz w:val="22"/>
              <w:lang w:val="en-AU" w:eastAsia="en-US"/>
            </w:rPr>
            <w:t>Confidentiality</w:t>
          </w:r>
        </w:p>
        <w:p w:rsidR="00D41EF3" w:rsidRDefault="00D41EF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D41EF3" w:rsidRDefault="00D41EF3" w:rsidP="006E08B3"/>
        <w:p w:rsidR="00D41EF3" w:rsidRDefault="00D41EF3" w:rsidP="006E08B3">
          <w:r>
            <w:t>For submission made by individuals, all personal details, other than your name, will be removed from your submission before it is published on the TGA’s Internet site.</w:t>
          </w:r>
        </w:p>
        <w:p w:rsidR="00D41EF3" w:rsidRDefault="00D41EF3" w:rsidP="006E08B3"/>
        <w:p w:rsidR="00D41EF3" w:rsidRDefault="00D41EF3" w:rsidP="006E08B3">
          <w:r>
            <w:t>In addition, a list of parties making submissions will be published. If you do not wish to be identified with your submission you must specifically request this in the space provided ib the submission coversheet.</w:t>
          </w:r>
        </w:p>
      </w:tc>
    </w:tr>
    <w:tr w:rsidR="00D41EF3" w:rsidTr="0010601F">
      <w:trPr>
        <w:trHeight w:val="417"/>
      </w:trPr>
      <w:tc>
        <w:tcPr>
          <w:tcW w:w="4519" w:type="dxa"/>
          <w:tcBorders>
            <w:top w:val="single" w:sz="4" w:space="0" w:color="auto"/>
          </w:tcBorders>
          <w:tcMar>
            <w:top w:w="142" w:type="dxa"/>
            <w:bottom w:w="0" w:type="dxa"/>
          </w:tcMar>
        </w:tcPr>
        <w:p w:rsidR="00D41EF3" w:rsidRDefault="00D41EF3" w:rsidP="006E08B3">
          <w:r>
            <w:t>Document title, Part #, Section # - Section title</w:t>
          </w:r>
        </w:p>
        <w:p w:rsidR="00D41EF3" w:rsidRDefault="00D41EF3" w:rsidP="006E08B3">
          <w:r>
            <w:t>V1.0 October 2010</w:t>
          </w:r>
        </w:p>
      </w:tc>
      <w:tc>
        <w:tcPr>
          <w:tcW w:w="4356" w:type="dxa"/>
          <w:tcBorders>
            <w:top w:val="single" w:sz="4" w:space="0" w:color="auto"/>
          </w:tcBorders>
          <w:tcMar>
            <w:top w:w="142" w:type="dxa"/>
            <w:bottom w:w="0" w:type="dxa"/>
          </w:tcMar>
        </w:tcPr>
        <w:p w:rsidR="00D41EF3" w:rsidRDefault="00D41EF3" w:rsidP="006E08B3">
          <w:pPr>
            <w:jc w:val="right"/>
          </w:pPr>
          <w:r>
            <w:t xml:space="preserve">Page </w:t>
          </w:r>
          <w:r>
            <w:fldChar w:fldCharType="begin"/>
          </w:r>
          <w:r>
            <w:instrText xml:space="preserve"> PAGE   \* MERGEFORMAT </w:instrText>
          </w:r>
          <w:r>
            <w:fldChar w:fldCharType="separate"/>
          </w:r>
          <w:r>
            <w:rPr>
              <w:noProof/>
            </w:rPr>
            <w:t>1</w:t>
          </w:r>
          <w:r>
            <w:fldChar w:fldCharType="end"/>
          </w:r>
          <w:r>
            <w:t xml:space="preserve"> of </w:t>
          </w:r>
          <w:r>
            <w:fldChar w:fldCharType="begin"/>
          </w:r>
          <w:r>
            <w:instrText xml:space="preserve"> NUMPAGES  \* Arabic </w:instrText>
          </w:r>
          <w:r>
            <w:fldChar w:fldCharType="separate"/>
          </w:r>
          <w:r>
            <w:rPr>
              <w:noProof/>
            </w:rPr>
            <w:t>68</w:t>
          </w:r>
          <w:r>
            <w:fldChar w:fldCharType="end"/>
          </w:r>
          <w:r>
            <w:t xml:space="preserve"> </w:t>
          </w:r>
        </w:p>
      </w:tc>
    </w:tr>
  </w:tbl>
  <w:p w:rsidR="00D41EF3" w:rsidRDefault="00D41EF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A1B" w:rsidRDefault="00EC6A1B" w:rsidP="00C40A36">
      <w:pPr>
        <w:spacing w:after="0"/>
      </w:pPr>
      <w:r>
        <w:separator/>
      </w:r>
    </w:p>
  </w:footnote>
  <w:footnote w:type="continuationSeparator" w:id="0">
    <w:p w:rsidR="00EC6A1B" w:rsidRDefault="00EC6A1B" w:rsidP="00C40A36">
      <w:pPr>
        <w:spacing w:after="0"/>
      </w:pPr>
      <w:r>
        <w:continuationSeparator/>
      </w:r>
    </w:p>
  </w:footnote>
  <w:footnote w:id="1">
    <w:p w:rsidR="00D41EF3" w:rsidRDefault="00D41EF3">
      <w:pPr>
        <w:pStyle w:val="FootnoteText"/>
      </w:pPr>
      <w:r>
        <w:rPr>
          <w:rStyle w:val="FootnoteReference"/>
        </w:rPr>
        <w:footnoteRef/>
      </w:r>
      <w:r>
        <w:t xml:space="preserve"> </w:t>
      </w:r>
      <w:r w:rsidRPr="00DA40FB">
        <w:t xml:space="preserve">Di Paola J, </w:t>
      </w:r>
      <w:r>
        <w:t>et al</w:t>
      </w:r>
      <w:r w:rsidRPr="00DA40FB">
        <w:t>.</w:t>
      </w:r>
      <w:r>
        <w:t xml:space="preserve"> (2001) </w:t>
      </w:r>
      <w:r w:rsidRPr="00DA40FB">
        <w:t>Current therapy for rare factor deficiencies.</w:t>
      </w:r>
      <w:r>
        <w:t xml:space="preserve"> </w:t>
      </w:r>
      <w:r w:rsidRPr="0013147F">
        <w:rPr>
          <w:i/>
        </w:rPr>
        <w:t xml:space="preserve">Haemophilia </w:t>
      </w:r>
      <w:r w:rsidRPr="00DA40FB">
        <w:t>7 Suppl 1:16-22</w:t>
      </w:r>
      <w:r>
        <w:t>.</w:t>
      </w:r>
    </w:p>
  </w:footnote>
  <w:footnote w:id="2">
    <w:p w:rsidR="00D41EF3" w:rsidRDefault="00D41EF3">
      <w:pPr>
        <w:pStyle w:val="FootnoteText"/>
      </w:pPr>
      <w:r>
        <w:rPr>
          <w:rStyle w:val="FootnoteReference"/>
        </w:rPr>
        <w:footnoteRef/>
      </w:r>
      <w:r>
        <w:t xml:space="preserve"> National Blood Authority, “</w:t>
      </w:r>
      <w:r w:rsidRPr="006C3F28">
        <w:t>Australian Bleeding Disorder Registry (ABDR) Annual Report 2010-2011</w:t>
      </w:r>
      <w:r w:rsidR="002B1A08">
        <w:t>”</w:t>
      </w:r>
      <w:r w:rsidRPr="00264719">
        <w:t>.</w:t>
      </w:r>
    </w:p>
  </w:footnote>
  <w:footnote w:id="3">
    <w:p w:rsidR="00D41EF3" w:rsidRDefault="00D41EF3">
      <w:pPr>
        <w:pStyle w:val="FootnoteText"/>
      </w:pPr>
      <w:r>
        <w:rPr>
          <w:rStyle w:val="FootnoteReference"/>
        </w:rPr>
        <w:footnoteRef/>
      </w:r>
      <w:r>
        <w:t xml:space="preserve"> </w:t>
      </w:r>
      <w:r w:rsidRPr="00264719">
        <w:t xml:space="preserve">European Medicines </w:t>
      </w:r>
      <w:r w:rsidRPr="00E86CA1">
        <w:t>Agency, “</w:t>
      </w:r>
      <w:r w:rsidRPr="00B21AED">
        <w:t>ICH guideline S6 (R1) – preclinical safety evaluation of</w:t>
      </w:r>
      <w:r>
        <w:t xml:space="preserve"> </w:t>
      </w:r>
      <w:r w:rsidRPr="00B21AED">
        <w:t>biotechnology-derived pharmaceuticals</w:t>
      </w:r>
      <w:r>
        <w:t xml:space="preserve"> (Step 5) (</w:t>
      </w:r>
      <w:r w:rsidRPr="00B439F8">
        <w:t>EMA/CHMP/ICH/731268/1998</w:t>
      </w:r>
      <w:r>
        <w:t>)</w:t>
      </w:r>
      <w:r w:rsidRPr="00E86CA1">
        <w:t xml:space="preserve">”, </w:t>
      </w:r>
      <w:r>
        <w:t>June 2011</w:t>
      </w:r>
      <w:r w:rsidRPr="00264719">
        <w:t>.</w:t>
      </w:r>
    </w:p>
  </w:footnote>
  <w:footnote w:id="4">
    <w:p w:rsidR="00D41EF3" w:rsidRDefault="00D41EF3">
      <w:pPr>
        <w:pStyle w:val="FootnoteText"/>
      </w:pPr>
      <w:r>
        <w:rPr>
          <w:rStyle w:val="FootnoteReference"/>
        </w:rPr>
        <w:footnoteRef/>
      </w:r>
      <w:r>
        <w:t xml:space="preserve"> Noll T</w:t>
      </w:r>
      <w:r w:rsidRPr="00003994">
        <w:t xml:space="preserve">, et al. </w:t>
      </w:r>
      <w:r>
        <w:t xml:space="preserve">(1999) </w:t>
      </w:r>
      <w:r w:rsidRPr="00003994">
        <w:t>Effect of Factor XIII on Endothelial barrier f</w:t>
      </w:r>
      <w:r>
        <w:t xml:space="preserve">unction. </w:t>
      </w:r>
      <w:r w:rsidRPr="00003994">
        <w:rPr>
          <w:i/>
        </w:rPr>
        <w:t>J Exp Med.</w:t>
      </w:r>
      <w:r>
        <w:t xml:space="preserve"> 189</w:t>
      </w:r>
      <w:r w:rsidRPr="00003994">
        <w:t>: 1373-1382</w:t>
      </w:r>
      <w:r>
        <w:t xml:space="preserve">; </w:t>
      </w:r>
      <w:r w:rsidRPr="00003994">
        <w:t xml:space="preserve">Dardik R, </w:t>
      </w:r>
      <w:r>
        <w:t>et al</w:t>
      </w:r>
      <w:r w:rsidRPr="00003994">
        <w:t xml:space="preserve">. </w:t>
      </w:r>
      <w:r>
        <w:t xml:space="preserve">(2006) </w:t>
      </w:r>
      <w:r w:rsidRPr="00003994">
        <w:t>Factor XIII (FXIII) and angiog</w:t>
      </w:r>
      <w:r>
        <w:t xml:space="preserve">enesis. </w:t>
      </w:r>
      <w:r w:rsidRPr="00003994">
        <w:rPr>
          <w:i/>
        </w:rPr>
        <w:t>J Thromb Haemost.</w:t>
      </w:r>
      <w:r>
        <w:t xml:space="preserve"> </w:t>
      </w:r>
      <w:r w:rsidRPr="00003994">
        <w:t>4:</w:t>
      </w:r>
      <w:r>
        <w:t xml:space="preserve"> </w:t>
      </w:r>
      <w:r w:rsidRPr="00003994">
        <w:t>19-25</w:t>
      </w:r>
      <w:r>
        <w:t>.</w:t>
      </w:r>
    </w:p>
  </w:footnote>
  <w:footnote w:id="5">
    <w:p w:rsidR="00D41EF3" w:rsidRDefault="00D41EF3">
      <w:pPr>
        <w:pStyle w:val="FootnoteText"/>
      </w:pPr>
      <w:r>
        <w:rPr>
          <w:rStyle w:val="FootnoteReference"/>
        </w:rPr>
        <w:footnoteRef/>
      </w:r>
      <w:r>
        <w:t xml:space="preserve"> </w:t>
      </w:r>
      <w:r w:rsidRPr="00264719">
        <w:t xml:space="preserve">European Medicines </w:t>
      </w:r>
      <w:r w:rsidRPr="00E86CA1">
        <w:t>Agency, “</w:t>
      </w:r>
      <w:r w:rsidRPr="00B21AED">
        <w:t>ICH guideline S6 (R1) – preclinical safety evaluation of</w:t>
      </w:r>
      <w:r>
        <w:t xml:space="preserve"> </w:t>
      </w:r>
      <w:r w:rsidRPr="00B21AED">
        <w:t>biotechnology-derived pharmaceuticals</w:t>
      </w:r>
      <w:r>
        <w:t xml:space="preserve"> (Step 5) (</w:t>
      </w:r>
      <w:r w:rsidRPr="00B439F8">
        <w:t>EMA/CHMP/ICH/731268/1998</w:t>
      </w:r>
      <w:r>
        <w:t>)</w:t>
      </w:r>
      <w:r w:rsidRPr="00E86CA1">
        <w:t xml:space="preserve">”, </w:t>
      </w:r>
      <w:r>
        <w:t>June 2011</w:t>
      </w:r>
      <w:r w:rsidRPr="00264719">
        <w:t>.</w:t>
      </w:r>
    </w:p>
  </w:footnote>
  <w:footnote w:id="6">
    <w:p w:rsidR="00D41EF3" w:rsidRDefault="00D41EF3">
      <w:pPr>
        <w:pStyle w:val="FootnoteText"/>
      </w:pPr>
      <w:r>
        <w:rPr>
          <w:rStyle w:val="FootnoteReference"/>
        </w:rPr>
        <w:footnoteRef/>
      </w:r>
      <w:r>
        <w:t xml:space="preserve"> </w:t>
      </w:r>
      <w:r w:rsidRPr="00264719">
        <w:t xml:space="preserve">European Medicines </w:t>
      </w:r>
      <w:r w:rsidRPr="00E86CA1">
        <w:t>Agency, “</w:t>
      </w:r>
      <w:r w:rsidRPr="00B21AED">
        <w:t>ICH guideline S6 (R1) – preclinical safety evaluation of</w:t>
      </w:r>
      <w:r>
        <w:t xml:space="preserve"> </w:t>
      </w:r>
      <w:r w:rsidRPr="00B21AED">
        <w:t>biotechnology-derived pharmaceuticals</w:t>
      </w:r>
      <w:r>
        <w:t xml:space="preserve"> (Step 5) (</w:t>
      </w:r>
      <w:r w:rsidRPr="00B439F8">
        <w:t>EMA/CHMP/ICH/731268/1998</w:t>
      </w:r>
      <w:r>
        <w:t>)</w:t>
      </w:r>
      <w:r w:rsidRPr="00E86CA1">
        <w:t xml:space="preserve">”, </w:t>
      </w:r>
      <w:r>
        <w:t>June 2011</w:t>
      </w:r>
      <w:r w:rsidRPr="00264719">
        <w:t>.</w:t>
      </w:r>
    </w:p>
  </w:footnote>
  <w:footnote w:id="7">
    <w:p w:rsidR="00D41EF3" w:rsidRDefault="00D41EF3">
      <w:pPr>
        <w:pStyle w:val="FootnoteText"/>
      </w:pPr>
      <w:r>
        <w:rPr>
          <w:rStyle w:val="FootnoteReference"/>
        </w:rPr>
        <w:footnoteRef/>
      </w:r>
      <w:r>
        <w:t xml:space="preserve"> </w:t>
      </w:r>
      <w:r w:rsidRPr="00E76C86">
        <w:t>Dardik R,</w:t>
      </w:r>
      <w:r>
        <w:t xml:space="preserve"> et al</w:t>
      </w:r>
      <w:r w:rsidRPr="00E76C86">
        <w:t xml:space="preserve">. </w:t>
      </w:r>
      <w:r>
        <w:t xml:space="preserve">(2005) </w:t>
      </w:r>
      <w:r w:rsidRPr="00E76C86">
        <w:t>Molecular mechanisms underlying the proangiogenic effect of factor XIII. Arthe</w:t>
      </w:r>
      <w:r>
        <w:t xml:space="preserve">rioscler Thromb Vasc Biol. </w:t>
      </w:r>
      <w:r w:rsidRPr="00E76C86">
        <w:t>25:</w:t>
      </w:r>
      <w:r>
        <w:t xml:space="preserve"> </w:t>
      </w:r>
      <w:r w:rsidRPr="00E76C86">
        <w:t>526-</w:t>
      </w:r>
      <w:r>
        <w:t>5</w:t>
      </w:r>
      <w:r w:rsidRPr="00E76C86">
        <w:t>32</w:t>
      </w:r>
      <w:r>
        <w:t xml:space="preserve">; </w:t>
      </w:r>
      <w:r w:rsidRPr="00003994">
        <w:t xml:space="preserve">Dardik R, </w:t>
      </w:r>
      <w:r>
        <w:t>et al</w:t>
      </w:r>
      <w:r w:rsidRPr="00003994">
        <w:t xml:space="preserve">. </w:t>
      </w:r>
      <w:r>
        <w:t xml:space="preserve">(2006) </w:t>
      </w:r>
      <w:r w:rsidRPr="00003994">
        <w:t>Factor XIII (FXIII) and angiog</w:t>
      </w:r>
      <w:r>
        <w:t xml:space="preserve">enesis. </w:t>
      </w:r>
      <w:r w:rsidRPr="00003994">
        <w:rPr>
          <w:i/>
        </w:rPr>
        <w:t>J Thromb Haemost.</w:t>
      </w:r>
      <w:r>
        <w:t xml:space="preserve"> </w:t>
      </w:r>
      <w:r w:rsidRPr="00003994">
        <w:t>4:</w:t>
      </w:r>
      <w:r>
        <w:t xml:space="preserve"> </w:t>
      </w:r>
      <w:r w:rsidRPr="00003994">
        <w:t>19-25</w:t>
      </w:r>
      <w:r>
        <w:t xml:space="preserve">; </w:t>
      </w:r>
      <w:r w:rsidRPr="000B2B17">
        <w:t xml:space="preserve">Inbal A, Dardik R. </w:t>
      </w:r>
      <w:r>
        <w:t xml:space="preserve">(2006) </w:t>
      </w:r>
      <w:r w:rsidRPr="000B2B17">
        <w:t xml:space="preserve">Role of coagulation factor XIII (FXIII) in angiogenesis and tissue repair. </w:t>
      </w:r>
      <w:r w:rsidRPr="00651C29">
        <w:rPr>
          <w:i/>
        </w:rPr>
        <w:t>Pathophysiol Haemost Thromb.</w:t>
      </w:r>
      <w:r>
        <w:t xml:space="preserve"> </w:t>
      </w:r>
      <w:r w:rsidRPr="000B2B17">
        <w:t>35:162-16</w:t>
      </w:r>
      <w:r>
        <w:t>5.</w:t>
      </w:r>
    </w:p>
  </w:footnote>
  <w:footnote w:id="8">
    <w:p w:rsidR="00D41EF3" w:rsidRDefault="00D41EF3">
      <w:pPr>
        <w:pStyle w:val="FootnoteText"/>
      </w:pPr>
      <w:r>
        <w:rPr>
          <w:rStyle w:val="FootnoteReference"/>
        </w:rPr>
        <w:footnoteRef/>
      </w:r>
      <w:r>
        <w:t xml:space="preserve"> Palumbo JS, </w:t>
      </w:r>
      <w:r w:rsidRPr="00231256">
        <w:t>et al.</w:t>
      </w:r>
      <w:r>
        <w:t xml:space="preserve"> (2008) </w:t>
      </w:r>
      <w:r w:rsidRPr="00231256">
        <w:t>Factor XIII transglutaminase supports hematogenous tumor cell metastasis through a mechanism dependent on natural killer cell fu</w:t>
      </w:r>
      <w:r>
        <w:t xml:space="preserve">nction. </w:t>
      </w:r>
      <w:r w:rsidRPr="004403C3">
        <w:rPr>
          <w:i/>
        </w:rPr>
        <w:t>J Thromb Haemost.</w:t>
      </w:r>
      <w:r>
        <w:t xml:space="preserve"> </w:t>
      </w:r>
      <w:r w:rsidRPr="00231256">
        <w:t>6:</w:t>
      </w:r>
      <w:r>
        <w:t xml:space="preserve"> </w:t>
      </w:r>
      <w:r w:rsidRPr="00231256">
        <w:t>812-819</w:t>
      </w:r>
      <w:r>
        <w:t>.</w:t>
      </w:r>
    </w:p>
  </w:footnote>
  <w:footnote w:id="9">
    <w:p w:rsidR="00D41EF3" w:rsidRDefault="00D41EF3">
      <w:pPr>
        <w:pStyle w:val="FootnoteText"/>
      </w:pPr>
      <w:r>
        <w:rPr>
          <w:rStyle w:val="FootnoteReference"/>
        </w:rPr>
        <w:footnoteRef/>
      </w:r>
      <w:r>
        <w:t xml:space="preserve"> </w:t>
      </w:r>
      <w:r w:rsidRPr="00264719">
        <w:t xml:space="preserve">European Medicines </w:t>
      </w:r>
      <w:r w:rsidRPr="00E86CA1">
        <w:t>Agency, “</w:t>
      </w:r>
      <w:r w:rsidRPr="00B21AED">
        <w:t>ICH guideline S6 (R1) – preclinical safety evaluation of</w:t>
      </w:r>
      <w:r>
        <w:t xml:space="preserve"> </w:t>
      </w:r>
      <w:r w:rsidRPr="00B21AED">
        <w:t>biotechnology-derived pharmaceuticals</w:t>
      </w:r>
      <w:r>
        <w:t xml:space="preserve"> (Step 5) (</w:t>
      </w:r>
      <w:r w:rsidRPr="00B439F8">
        <w:t>EMA/CHMP/ICH/731268/1998</w:t>
      </w:r>
      <w:r>
        <w:t>)</w:t>
      </w:r>
      <w:r w:rsidRPr="00E86CA1">
        <w:t xml:space="preserve">”, </w:t>
      </w:r>
      <w:r>
        <w:t>June 2011</w:t>
      </w:r>
      <w:r w:rsidRPr="00264719">
        <w:t>.</w:t>
      </w:r>
    </w:p>
  </w:footnote>
  <w:footnote w:id="10">
    <w:p w:rsidR="00D41EF3" w:rsidRDefault="00D41EF3">
      <w:pPr>
        <w:pStyle w:val="FootnoteText"/>
      </w:pPr>
      <w:r>
        <w:rPr>
          <w:rStyle w:val="FootnoteReference"/>
        </w:rPr>
        <w:footnoteRef/>
      </w:r>
      <w:r>
        <w:t xml:space="preserve"> </w:t>
      </w:r>
      <w:r w:rsidRPr="009E4FA6">
        <w:t xml:space="preserve">Karimi M, </w:t>
      </w:r>
      <w:r>
        <w:t>et al</w:t>
      </w:r>
      <w:r w:rsidRPr="009E4FA6">
        <w:t xml:space="preserve">. </w:t>
      </w:r>
      <w:r>
        <w:t xml:space="preserve">(2009) </w:t>
      </w:r>
      <w:r w:rsidRPr="009E4FA6">
        <w:t>Factor XIII deficiency.</w:t>
      </w:r>
      <w:r>
        <w:t xml:space="preserve"> </w:t>
      </w:r>
      <w:r w:rsidRPr="003C0CA4">
        <w:rPr>
          <w:i/>
        </w:rPr>
        <w:t>Semin Thromb Hemost.</w:t>
      </w:r>
      <w:r>
        <w:t xml:space="preserve"> 35</w:t>
      </w:r>
      <w:r w:rsidRPr="009E4FA6">
        <w:t>:</w:t>
      </w:r>
      <w:r>
        <w:t xml:space="preserve"> </w:t>
      </w:r>
      <w:r w:rsidRPr="009E4FA6">
        <w:t>426-438</w:t>
      </w:r>
      <w:r>
        <w:t>.</w:t>
      </w:r>
    </w:p>
  </w:footnote>
  <w:footnote w:id="11">
    <w:p w:rsidR="00D41EF3" w:rsidRDefault="00D41EF3">
      <w:pPr>
        <w:pStyle w:val="FootnoteText"/>
      </w:pPr>
      <w:r>
        <w:rPr>
          <w:rStyle w:val="FootnoteReference"/>
        </w:rPr>
        <w:footnoteRef/>
      </w:r>
      <w:r>
        <w:t xml:space="preserve"> </w:t>
      </w:r>
      <w:r w:rsidRPr="009E4FA6">
        <w:t xml:space="preserve">Karimi M, </w:t>
      </w:r>
      <w:r>
        <w:t>et al</w:t>
      </w:r>
      <w:r w:rsidRPr="009E4FA6">
        <w:t xml:space="preserve">. </w:t>
      </w:r>
      <w:r>
        <w:t xml:space="preserve">(2009) </w:t>
      </w:r>
      <w:r w:rsidRPr="009E4FA6">
        <w:t>Factor XIII deficiency.</w:t>
      </w:r>
      <w:r>
        <w:t xml:space="preserve"> </w:t>
      </w:r>
      <w:r w:rsidRPr="003C0CA4">
        <w:rPr>
          <w:i/>
        </w:rPr>
        <w:t>Semin Thromb Hemost.</w:t>
      </w:r>
      <w:r>
        <w:t xml:space="preserve"> 35</w:t>
      </w:r>
      <w:r w:rsidRPr="009E4FA6">
        <w:t>:</w:t>
      </w:r>
      <w:r>
        <w:t xml:space="preserve"> </w:t>
      </w:r>
      <w:r w:rsidRPr="009E4FA6">
        <w:t>426-438</w:t>
      </w:r>
      <w:r>
        <w:t>.</w:t>
      </w:r>
    </w:p>
  </w:footnote>
  <w:footnote w:id="12">
    <w:p w:rsidR="00D41EF3" w:rsidRDefault="00D41EF3">
      <w:pPr>
        <w:pStyle w:val="FootnoteText"/>
      </w:pPr>
      <w:r>
        <w:rPr>
          <w:rStyle w:val="FootnoteReference"/>
        </w:rPr>
        <w:footnoteRef/>
      </w:r>
      <w:r>
        <w:t xml:space="preserve"> </w:t>
      </w:r>
      <w:r w:rsidRPr="009E4FA6">
        <w:t xml:space="preserve">Anwar R, Miloszewski KJ. </w:t>
      </w:r>
      <w:r>
        <w:t xml:space="preserve">(1999) </w:t>
      </w:r>
      <w:r w:rsidRPr="009E4FA6">
        <w:t>Factor XIII defici</w:t>
      </w:r>
      <w:r>
        <w:t xml:space="preserve">ency. </w:t>
      </w:r>
      <w:r w:rsidRPr="00CF33F8">
        <w:rPr>
          <w:i/>
        </w:rPr>
        <w:t>Br J Haematol.</w:t>
      </w:r>
      <w:r>
        <w:t xml:space="preserve"> 107</w:t>
      </w:r>
      <w:r w:rsidRPr="009E4FA6">
        <w:t>:</w:t>
      </w:r>
      <w:r>
        <w:t xml:space="preserve"> </w:t>
      </w:r>
      <w:r w:rsidRPr="009E4FA6">
        <w:t>468-484</w:t>
      </w:r>
      <w:r>
        <w:t>.</w:t>
      </w:r>
    </w:p>
  </w:footnote>
  <w:footnote w:id="13">
    <w:p w:rsidR="00D41EF3" w:rsidRDefault="00D41EF3">
      <w:pPr>
        <w:pStyle w:val="FootnoteText"/>
      </w:pPr>
      <w:r>
        <w:rPr>
          <w:rStyle w:val="FootnoteReference"/>
        </w:rPr>
        <w:footnoteRef/>
      </w:r>
      <w:r>
        <w:t xml:space="preserve"> </w:t>
      </w:r>
      <w:r w:rsidRPr="00452704">
        <w:t xml:space="preserve">Lusher J, </w:t>
      </w:r>
      <w:r>
        <w:t>et al</w:t>
      </w:r>
      <w:r w:rsidRPr="00452704">
        <w:t xml:space="preserve">. </w:t>
      </w:r>
      <w:r>
        <w:t xml:space="preserve">(2010) </w:t>
      </w:r>
      <w:r w:rsidRPr="00452704">
        <w:t xml:space="preserve">Prophylactic </w:t>
      </w:r>
      <w:r>
        <w:t xml:space="preserve">therapy with Fibrogammin P is </w:t>
      </w:r>
      <w:r w:rsidRPr="00452704">
        <w:t>with a decreased incidence of bleeding episodes; a retrospectiv</w:t>
      </w:r>
      <w:r>
        <w:t xml:space="preserve">e study. </w:t>
      </w:r>
      <w:r w:rsidRPr="00604863">
        <w:rPr>
          <w:i/>
        </w:rPr>
        <w:t>Haemophilia</w:t>
      </w:r>
      <w:r>
        <w:t xml:space="preserve"> 16</w:t>
      </w:r>
      <w:r w:rsidRPr="00452704">
        <w:t>:</w:t>
      </w:r>
      <w:r>
        <w:t xml:space="preserve"> </w:t>
      </w:r>
      <w:r w:rsidRPr="00452704">
        <w:t>316-321</w:t>
      </w:r>
      <w:r>
        <w:t>.</w:t>
      </w:r>
    </w:p>
  </w:footnote>
  <w:footnote w:id="14">
    <w:p w:rsidR="00D41EF3" w:rsidRDefault="00D41EF3">
      <w:pPr>
        <w:pStyle w:val="FootnoteText"/>
      </w:pPr>
      <w:r>
        <w:rPr>
          <w:rStyle w:val="FootnoteReference"/>
        </w:rPr>
        <w:footnoteRef/>
      </w:r>
      <w:r>
        <w:t xml:space="preserve"> </w:t>
      </w:r>
      <w:r w:rsidRPr="00663C1E">
        <w:t xml:space="preserve">Egbring R, Kröniger A, Seitz R. </w:t>
      </w:r>
      <w:r>
        <w:t xml:space="preserve">(1996) </w:t>
      </w:r>
      <w:r w:rsidRPr="00663C1E">
        <w:t>Factor XIII deficiency: pathogenic mechanisms and clinical significance.</w:t>
      </w:r>
      <w:r>
        <w:t xml:space="preserve"> </w:t>
      </w:r>
      <w:r w:rsidRPr="00663C1E">
        <w:rPr>
          <w:i/>
        </w:rPr>
        <w:t>Semin Thromb Hemost.</w:t>
      </w:r>
      <w:r>
        <w:t xml:space="preserve"> 22</w:t>
      </w:r>
      <w:r w:rsidRPr="00663C1E">
        <w:t>:</w:t>
      </w:r>
      <w:r>
        <w:t xml:space="preserve"> </w:t>
      </w:r>
      <w:r w:rsidRPr="00663C1E">
        <w:t>419-425</w:t>
      </w:r>
      <w:r>
        <w:t xml:space="preserve">; </w:t>
      </w:r>
      <w:r w:rsidRPr="001F0A48">
        <w:t xml:space="preserve">Anwar R, Miloszewski KJ. </w:t>
      </w:r>
      <w:r>
        <w:t xml:space="preserve">(1999) </w:t>
      </w:r>
      <w:r w:rsidRPr="001F0A48">
        <w:t xml:space="preserve">Factor XIII </w:t>
      </w:r>
      <w:r>
        <w:t xml:space="preserve">deficiency. </w:t>
      </w:r>
      <w:r w:rsidRPr="006A0C3F">
        <w:rPr>
          <w:i/>
        </w:rPr>
        <w:t>Br J Haematol.</w:t>
      </w:r>
      <w:r>
        <w:t xml:space="preserve"> </w:t>
      </w:r>
      <w:r w:rsidRPr="001F0A48">
        <w:t>107:</w:t>
      </w:r>
      <w:r>
        <w:t xml:space="preserve"> </w:t>
      </w:r>
      <w:r w:rsidRPr="001F0A48">
        <w:t>468-484</w:t>
      </w:r>
      <w:r>
        <w:t xml:space="preserve">; </w:t>
      </w:r>
      <w:r w:rsidRPr="00913C1C">
        <w:t xml:space="preserve">Karimi M, </w:t>
      </w:r>
      <w:r>
        <w:t>et al</w:t>
      </w:r>
      <w:r w:rsidRPr="00913C1C">
        <w:t xml:space="preserve">. </w:t>
      </w:r>
      <w:r>
        <w:t xml:space="preserve">(2009) </w:t>
      </w:r>
      <w:r w:rsidRPr="00913C1C">
        <w:t>Factor XIII deficiency.</w:t>
      </w:r>
      <w:r>
        <w:t xml:space="preserve"> </w:t>
      </w:r>
      <w:r w:rsidRPr="006A0C3F">
        <w:rPr>
          <w:i/>
        </w:rPr>
        <w:t>Semin Thromb Hemost.</w:t>
      </w:r>
      <w:r>
        <w:t xml:space="preserve"> 35</w:t>
      </w:r>
      <w:r w:rsidRPr="00913C1C">
        <w:t>:</w:t>
      </w:r>
      <w:r>
        <w:t xml:space="preserve"> </w:t>
      </w:r>
      <w:r w:rsidRPr="00913C1C">
        <w:t>426-438</w:t>
      </w:r>
      <w:r>
        <w:t>.</w:t>
      </w:r>
    </w:p>
  </w:footnote>
  <w:footnote w:id="15">
    <w:p w:rsidR="00D41EF3" w:rsidRDefault="00D41EF3">
      <w:pPr>
        <w:pStyle w:val="FootnoteText"/>
      </w:pPr>
      <w:r>
        <w:rPr>
          <w:rStyle w:val="FootnoteReference"/>
        </w:rPr>
        <w:footnoteRef/>
      </w:r>
      <w:r>
        <w:t xml:space="preserve"> </w:t>
      </w:r>
      <w:r w:rsidRPr="00663C1E">
        <w:t xml:space="preserve">Egbring R, Kröniger A, Seitz R. </w:t>
      </w:r>
      <w:r>
        <w:t xml:space="preserve">(1996) </w:t>
      </w:r>
      <w:r w:rsidRPr="00663C1E">
        <w:t>Factor XIII deficiency: pathogenic mechanisms and clinical significance.</w:t>
      </w:r>
      <w:r>
        <w:t xml:space="preserve"> </w:t>
      </w:r>
      <w:r w:rsidRPr="00663C1E">
        <w:rPr>
          <w:i/>
        </w:rPr>
        <w:t>Semin Thromb Hemost.</w:t>
      </w:r>
      <w:r>
        <w:t xml:space="preserve"> 22</w:t>
      </w:r>
      <w:r w:rsidRPr="00663C1E">
        <w:t>:</w:t>
      </w:r>
      <w:r>
        <w:t xml:space="preserve"> </w:t>
      </w:r>
      <w:r w:rsidRPr="00663C1E">
        <w:t>419-425</w:t>
      </w:r>
      <w:r>
        <w:t>.</w:t>
      </w:r>
    </w:p>
  </w:footnote>
  <w:footnote w:id="16">
    <w:p w:rsidR="00D41EF3" w:rsidRDefault="00D41EF3">
      <w:pPr>
        <w:pStyle w:val="FootnoteText"/>
      </w:pPr>
      <w:r>
        <w:rPr>
          <w:rStyle w:val="FootnoteReference"/>
        </w:rPr>
        <w:footnoteRef/>
      </w:r>
      <w:r>
        <w:t xml:space="preserve"> </w:t>
      </w:r>
      <w:r w:rsidRPr="00452704">
        <w:t xml:space="preserve">Lusher J, </w:t>
      </w:r>
      <w:r>
        <w:t>et al</w:t>
      </w:r>
      <w:r w:rsidRPr="00452704">
        <w:t xml:space="preserve">. </w:t>
      </w:r>
      <w:r>
        <w:t xml:space="preserve">(2010) </w:t>
      </w:r>
      <w:r w:rsidRPr="00452704">
        <w:t xml:space="preserve">Prophylactic </w:t>
      </w:r>
      <w:r>
        <w:t xml:space="preserve">therapy with Fibrogammin P is </w:t>
      </w:r>
      <w:r w:rsidRPr="00452704">
        <w:t>with a decreased incidence of bleeding episodes; a retrospectiv</w:t>
      </w:r>
      <w:r>
        <w:t xml:space="preserve">e study. </w:t>
      </w:r>
      <w:r w:rsidRPr="00604863">
        <w:rPr>
          <w:i/>
        </w:rPr>
        <w:t>Haemophilia</w:t>
      </w:r>
      <w:r>
        <w:t xml:space="preserve"> 16</w:t>
      </w:r>
      <w:r w:rsidRPr="00452704">
        <w:t>:</w:t>
      </w:r>
      <w:r>
        <w:t xml:space="preserve"> </w:t>
      </w:r>
      <w:r w:rsidRPr="00452704">
        <w:t>316-321</w:t>
      </w:r>
      <w:r>
        <w:t>.</w:t>
      </w:r>
    </w:p>
  </w:footnote>
  <w:footnote w:id="17">
    <w:p w:rsidR="00D41EF3" w:rsidRDefault="00D41EF3">
      <w:pPr>
        <w:pStyle w:val="FootnoteText"/>
      </w:pPr>
      <w:r>
        <w:rPr>
          <w:rStyle w:val="FootnoteReference"/>
        </w:rPr>
        <w:footnoteRef/>
      </w:r>
      <w:r>
        <w:t xml:space="preserve"> </w:t>
      </w:r>
      <w:r w:rsidRPr="006138DA">
        <w:t>Mire-Sluis AR</w:t>
      </w:r>
      <w:r>
        <w:t xml:space="preserve">, et al. (2004) </w:t>
      </w:r>
      <w:r w:rsidRPr="006138DA">
        <w:t xml:space="preserve">Recommendations for the design and optimization of immunoassays used in the detection of host antibodies against biotechnology products. </w:t>
      </w:r>
      <w:r w:rsidRPr="008339CE">
        <w:rPr>
          <w:i/>
        </w:rPr>
        <w:t>J Immunol Methods</w:t>
      </w:r>
      <w:r>
        <w:t xml:space="preserve"> 289</w:t>
      </w:r>
      <w:r w:rsidRPr="006138DA">
        <w:t>:</w:t>
      </w:r>
      <w:r>
        <w:t xml:space="preserve"> </w:t>
      </w:r>
      <w:r w:rsidRPr="006138DA">
        <w:t>1-16</w:t>
      </w:r>
      <w:r>
        <w:t xml:space="preserve">; </w:t>
      </w:r>
      <w:r w:rsidRPr="006138DA">
        <w:t>Koren E</w:t>
      </w:r>
      <w:r>
        <w:t xml:space="preserve">, et al. (2008) </w:t>
      </w:r>
      <w:r w:rsidRPr="006138DA">
        <w:t xml:space="preserve">Recommendations on risk-based strategies for detection and characterization of antibodies against biotechnology products. </w:t>
      </w:r>
      <w:r w:rsidRPr="00C06E86">
        <w:rPr>
          <w:i/>
        </w:rPr>
        <w:t xml:space="preserve">J Immunol Methods </w:t>
      </w:r>
      <w:r w:rsidRPr="006138DA">
        <w:t>333:</w:t>
      </w:r>
      <w:r>
        <w:t xml:space="preserve"> </w:t>
      </w:r>
      <w:r w:rsidRPr="006138DA">
        <w:t>1-9</w:t>
      </w:r>
      <w:r>
        <w:t>.</w:t>
      </w:r>
    </w:p>
  </w:footnote>
  <w:footnote w:id="18">
    <w:p w:rsidR="00D41EF3" w:rsidRDefault="00D41EF3">
      <w:pPr>
        <w:pStyle w:val="FootnoteText"/>
      </w:pPr>
      <w:r>
        <w:rPr>
          <w:rStyle w:val="FootnoteReference"/>
        </w:rPr>
        <w:footnoteRef/>
      </w:r>
      <w:r>
        <w:t xml:space="preserve"> </w:t>
      </w:r>
      <w:r w:rsidRPr="00264719">
        <w:t xml:space="preserve">European Medicines </w:t>
      </w:r>
      <w:r w:rsidRPr="00E86CA1">
        <w:t>Agency, “</w:t>
      </w:r>
      <w:r>
        <w:t>Committee for Medicinal Products: G</w:t>
      </w:r>
      <w:r w:rsidRPr="00BF1AED">
        <w:t xml:space="preserve">uideline on immunogenicity assessment of biotechnology-derived therapeutic proteins </w:t>
      </w:r>
      <w:r>
        <w:t>(</w:t>
      </w:r>
      <w:r w:rsidRPr="00E14D9B">
        <w:t>EMEA/CHMP/BMWP/14327/2006</w:t>
      </w:r>
      <w:r>
        <w:t>)</w:t>
      </w:r>
      <w:r w:rsidRPr="00E86CA1">
        <w:t xml:space="preserve">”, </w:t>
      </w:r>
      <w:r>
        <w:t>24 January 2007; US Food and Drug Administration</w:t>
      </w:r>
      <w:r w:rsidRPr="00E86CA1">
        <w:t>, “</w:t>
      </w:r>
      <w:r w:rsidRPr="00072C85">
        <w:t>Guidance for Industry</w:t>
      </w:r>
      <w:r>
        <w:t xml:space="preserve">: </w:t>
      </w:r>
      <w:r w:rsidRPr="00CE1F20">
        <w:t>Assay Development for Immunogenicity Testing of Therapeutic Proteins</w:t>
      </w:r>
      <w:r w:rsidRPr="00E86CA1">
        <w:t xml:space="preserve">”, </w:t>
      </w:r>
      <w:r>
        <w:t>December 2009</w:t>
      </w:r>
      <w:r w:rsidRPr="00264719">
        <w:t>.</w:t>
      </w:r>
    </w:p>
  </w:footnote>
  <w:footnote w:id="19">
    <w:p w:rsidR="00D41EF3" w:rsidRDefault="00D41EF3">
      <w:pPr>
        <w:pStyle w:val="FootnoteText"/>
      </w:pPr>
      <w:r>
        <w:rPr>
          <w:rStyle w:val="FootnoteReference"/>
        </w:rPr>
        <w:footnoteRef/>
      </w:r>
      <w:r>
        <w:t xml:space="preserve"> </w:t>
      </w:r>
      <w:r w:rsidRPr="00E926F7">
        <w:t xml:space="preserve">Kohler HP, </w:t>
      </w:r>
      <w:r>
        <w:t xml:space="preserve">et al. (2011) </w:t>
      </w:r>
      <w:r w:rsidRPr="00E926F7">
        <w:t xml:space="preserve">Diagnosis and classification of factor XIII deficiencies. </w:t>
      </w:r>
      <w:r w:rsidRPr="00301C93">
        <w:rPr>
          <w:i/>
        </w:rPr>
        <w:t>J Thromb Haemost.</w:t>
      </w:r>
      <w:r>
        <w:t xml:space="preserve"> 9: 1404-140</w:t>
      </w:r>
      <w:r w:rsidRPr="00E926F7">
        <w:t>6</w:t>
      </w:r>
      <w:r>
        <w:t>.</w:t>
      </w:r>
    </w:p>
  </w:footnote>
  <w:footnote w:id="20">
    <w:p w:rsidR="00D41EF3" w:rsidRPr="00A83243" w:rsidRDefault="00D41EF3">
      <w:pPr>
        <w:pStyle w:val="FootnoteText"/>
        <w:rPr>
          <w:lang w:val="en-AU"/>
        </w:rPr>
      </w:pPr>
      <w:r>
        <w:rPr>
          <w:rStyle w:val="FootnoteReference"/>
        </w:rPr>
        <w:footnoteRef/>
      </w:r>
      <w:r>
        <w:t xml:space="preserve"> </w:t>
      </w:r>
      <w:r w:rsidRPr="00FA0C7F">
        <w:t>Anwar</w:t>
      </w:r>
      <w:r>
        <w:t xml:space="preserve"> A</w:t>
      </w:r>
      <w:r w:rsidRPr="00FA0C7F">
        <w:t>,</w:t>
      </w:r>
      <w:r>
        <w:t xml:space="preserve"> Miloszewski KJ. (1999) Factor XIII deficiency.</w:t>
      </w:r>
      <w:r w:rsidRPr="00C61439">
        <w:t xml:space="preserve"> </w:t>
      </w:r>
      <w:r w:rsidRPr="001D7EE1">
        <w:rPr>
          <w:i/>
        </w:rPr>
        <w:t>Br J Haematol.</w:t>
      </w:r>
      <w:r>
        <w:t xml:space="preserve"> 107: </w:t>
      </w:r>
      <w:r w:rsidRPr="00C61439">
        <w:t>4</w:t>
      </w:r>
      <w:r>
        <w:t xml:space="preserve">68-484; Jennings I, et al. (2003) </w:t>
      </w:r>
      <w:r w:rsidRPr="00AD7353">
        <w:t>Problems relating to the laboratory diagnosis of factor XIII deficienc</w:t>
      </w:r>
      <w:r>
        <w:t xml:space="preserve">y: a UK NEQAS study. </w:t>
      </w:r>
      <w:r w:rsidRPr="00AD7353">
        <w:rPr>
          <w:i/>
        </w:rPr>
        <w:t>J Thromb Haemost.</w:t>
      </w:r>
      <w:r>
        <w:t xml:space="preserve"> 1: 2603-2608; </w:t>
      </w:r>
      <w:r w:rsidRPr="001D7EE1">
        <w:t>Lawrie AS</w:t>
      </w:r>
      <w:r>
        <w:t xml:space="preserve">, et al. (2010) Factor XIII - an under diagnosed deficiency - are we using the right assays? </w:t>
      </w:r>
      <w:r w:rsidRPr="001D7EE1">
        <w:rPr>
          <w:i/>
        </w:rPr>
        <w:t>J Thromb Haemost.</w:t>
      </w:r>
      <w:r w:rsidRPr="001D7EE1">
        <w:t xml:space="preserve"> 8:</w:t>
      </w:r>
      <w:r>
        <w:t xml:space="preserve"> </w:t>
      </w:r>
      <w:r w:rsidRPr="001D7EE1">
        <w:t>2478-</w:t>
      </w:r>
      <w:r>
        <w:t>24</w:t>
      </w:r>
      <w:r w:rsidR="00A83243">
        <w:t>82.</w:t>
      </w:r>
    </w:p>
  </w:footnote>
  <w:footnote w:id="21">
    <w:p w:rsidR="00D41EF3" w:rsidRDefault="00D41EF3">
      <w:pPr>
        <w:pStyle w:val="FootnoteText"/>
      </w:pPr>
      <w:r>
        <w:rPr>
          <w:rStyle w:val="FootnoteReference"/>
        </w:rPr>
        <w:footnoteRef/>
      </w:r>
      <w:r>
        <w:t xml:space="preserve"> </w:t>
      </w:r>
      <w:r w:rsidRPr="00452704">
        <w:t xml:space="preserve">Lusher J, </w:t>
      </w:r>
      <w:r>
        <w:t>et al</w:t>
      </w:r>
      <w:r w:rsidRPr="00452704">
        <w:t xml:space="preserve">. </w:t>
      </w:r>
      <w:r>
        <w:t xml:space="preserve">(2010) </w:t>
      </w:r>
      <w:r w:rsidRPr="00452704">
        <w:t xml:space="preserve">Prophylactic </w:t>
      </w:r>
      <w:r>
        <w:t xml:space="preserve">therapy with Fibrogammin P is </w:t>
      </w:r>
      <w:r w:rsidRPr="00452704">
        <w:t>with a decreased incidence of bleeding episodes; a retrospectiv</w:t>
      </w:r>
      <w:r>
        <w:t xml:space="preserve">e study. </w:t>
      </w:r>
      <w:r w:rsidRPr="00604863">
        <w:rPr>
          <w:i/>
        </w:rPr>
        <w:t>Haemophilia</w:t>
      </w:r>
      <w:r>
        <w:t xml:space="preserve"> 16</w:t>
      </w:r>
      <w:r w:rsidRPr="00452704">
        <w:t>:</w:t>
      </w:r>
      <w:r>
        <w:t xml:space="preserve"> </w:t>
      </w:r>
      <w:r w:rsidRPr="00452704">
        <w:t>316-321</w:t>
      </w:r>
      <w:r>
        <w:t>.</w:t>
      </w:r>
    </w:p>
  </w:footnote>
  <w:footnote w:id="22">
    <w:p w:rsidR="00D41EF3" w:rsidRDefault="00D41EF3">
      <w:pPr>
        <w:pStyle w:val="FootnoteText"/>
      </w:pPr>
      <w:r>
        <w:rPr>
          <w:rStyle w:val="FootnoteReference"/>
        </w:rPr>
        <w:footnoteRef/>
      </w:r>
      <w:r>
        <w:t xml:space="preserve"> </w:t>
      </w:r>
      <w:r w:rsidRPr="00452704">
        <w:t xml:space="preserve">Lusher J, </w:t>
      </w:r>
      <w:r>
        <w:t>et al</w:t>
      </w:r>
      <w:r w:rsidRPr="00452704">
        <w:t xml:space="preserve">. </w:t>
      </w:r>
      <w:r>
        <w:t xml:space="preserve">(2010) </w:t>
      </w:r>
      <w:r w:rsidRPr="00452704">
        <w:t xml:space="preserve">Prophylactic </w:t>
      </w:r>
      <w:r>
        <w:t xml:space="preserve">therapy with Fibrogammin P is </w:t>
      </w:r>
      <w:r w:rsidRPr="00452704">
        <w:t>with a decreased incidence of bleeding episodes; a retrospectiv</w:t>
      </w:r>
      <w:r>
        <w:t xml:space="preserve">e study. </w:t>
      </w:r>
      <w:r w:rsidRPr="00604863">
        <w:rPr>
          <w:i/>
        </w:rPr>
        <w:t>Haemophilia</w:t>
      </w:r>
      <w:r>
        <w:t xml:space="preserve"> 16</w:t>
      </w:r>
      <w:r w:rsidRPr="00452704">
        <w:t>:</w:t>
      </w:r>
      <w:r>
        <w:t xml:space="preserve"> </w:t>
      </w:r>
      <w:r w:rsidRPr="00452704">
        <w:t>316-321</w:t>
      </w:r>
      <w:r>
        <w:t>.</w:t>
      </w:r>
    </w:p>
  </w:footnote>
  <w:footnote w:id="23">
    <w:p w:rsidR="0031385E" w:rsidRDefault="0031385E">
      <w:pPr>
        <w:pStyle w:val="FootnoteText"/>
      </w:pPr>
      <w:r>
        <w:rPr>
          <w:rStyle w:val="FootnoteReference"/>
        </w:rPr>
        <w:footnoteRef/>
      </w:r>
      <w:r>
        <w:t xml:space="preserve"> </w:t>
      </w:r>
      <w:r w:rsidRPr="0031385E">
        <w:t xml:space="preserve">Yoshida S, Fukue H, Sugimura D. </w:t>
      </w:r>
      <w:r>
        <w:t xml:space="preserve">(1996) </w:t>
      </w:r>
      <w:r w:rsidRPr="0031385E">
        <w:t xml:space="preserve">Efficiency of intermittent prophylactic factor XIII substitution in congenital factor XIII A subunit deficiency. </w:t>
      </w:r>
      <w:r w:rsidRPr="0031385E">
        <w:rPr>
          <w:i/>
        </w:rPr>
        <w:t>Japanese Journal of Transfusion Medicine</w:t>
      </w:r>
      <w:r>
        <w:t xml:space="preserve"> 42</w:t>
      </w:r>
      <w:r w:rsidRPr="0031385E">
        <w:t>:</w:t>
      </w:r>
      <w:r>
        <w:t xml:space="preserve"> </w:t>
      </w:r>
      <w:r w:rsidRPr="0031385E">
        <w:t>173-177</w:t>
      </w:r>
      <w:r>
        <w:t>.</w:t>
      </w:r>
    </w:p>
  </w:footnote>
  <w:footnote w:id="24">
    <w:p w:rsidR="00D41EF3" w:rsidRDefault="00D41EF3">
      <w:pPr>
        <w:pStyle w:val="FootnoteText"/>
      </w:pPr>
      <w:r>
        <w:rPr>
          <w:rStyle w:val="FootnoteReference"/>
        </w:rPr>
        <w:footnoteRef/>
      </w:r>
      <w:r>
        <w:t xml:space="preserve"> World Federation of Hemophilia</w:t>
      </w:r>
      <w:r w:rsidRPr="00E86CA1">
        <w:t>, “</w:t>
      </w:r>
      <w:r w:rsidRPr="0012194B">
        <w:t xml:space="preserve">Report on the </w:t>
      </w:r>
      <w:r>
        <w:t>Annual Global Survey 2009</w:t>
      </w:r>
      <w:r w:rsidRPr="00E86CA1">
        <w:t xml:space="preserve">”, </w:t>
      </w:r>
      <w:r>
        <w:t>March 2011</w:t>
      </w:r>
      <w:r w:rsidRPr="00E86CA1">
        <w:t xml:space="preserve">, Web, accessed </w:t>
      </w:r>
      <w:r>
        <w:t>11 February 2014</w:t>
      </w:r>
      <w:r w:rsidRPr="00264719">
        <w:t xml:space="preserve"> </w:t>
      </w:r>
      <w:r>
        <w:t>&lt;</w:t>
      </w:r>
      <w:r w:rsidRPr="00D37F16">
        <w:t>www1.wfh.org/publications/files/pdf-1428.pdf</w:t>
      </w:r>
      <w:r w:rsidRPr="00264719">
        <w:t>&gt;.</w:t>
      </w:r>
    </w:p>
  </w:footnote>
  <w:footnote w:id="25">
    <w:p w:rsidR="00D41EF3" w:rsidRDefault="00D41EF3">
      <w:pPr>
        <w:pStyle w:val="FootnoteText"/>
      </w:pPr>
      <w:r>
        <w:rPr>
          <w:rStyle w:val="FootnoteReference"/>
        </w:rPr>
        <w:footnoteRef/>
      </w:r>
      <w:r>
        <w:t xml:space="preserve"> National Blood Authority, “</w:t>
      </w:r>
      <w:r w:rsidRPr="006C3F28">
        <w:t>Australian Bleeding Disorder Registry (ABDR) Annual Report 2010-2011</w:t>
      </w:r>
      <w:r w:rsidR="002B1A08">
        <w:t>”</w:t>
      </w:r>
      <w:r>
        <w:t>; World Federation of Hemophilia</w:t>
      </w:r>
      <w:r w:rsidRPr="00E86CA1">
        <w:t>, “</w:t>
      </w:r>
      <w:r w:rsidRPr="0012194B">
        <w:t xml:space="preserve">Report on the </w:t>
      </w:r>
      <w:r>
        <w:t>Annual Global Survey 2011</w:t>
      </w:r>
      <w:r w:rsidRPr="00E86CA1">
        <w:t xml:space="preserve">”, </w:t>
      </w:r>
      <w:r>
        <w:t>December 2012</w:t>
      </w:r>
      <w:r w:rsidRPr="00264719">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EF3" w:rsidRDefault="00D41EF3"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EF3" w:rsidRDefault="00A938FA">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-585470</wp:posOffset>
          </wp:positionV>
          <wp:extent cx="7572375" cy="10706100"/>
          <wp:effectExtent l="0" t="0" r="9525"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EF3" w:rsidRDefault="00A938FA" w:rsidP="00593AD1">
    <w:pPr>
      <w:pStyle w:val="HeaderNoLine"/>
    </w:pPr>
    <w:r>
      <w:rPr>
        <w:noProof/>
        <w:lang w:val="en-AU" w:eastAsia="en-AU"/>
      </w:rPr>
      <w:drawing>
        <wp:inline distT="0" distB="0" distL="0" distR="0">
          <wp:extent cx="5396865" cy="7635240"/>
          <wp:effectExtent l="0" t="0" r="0" b="3810"/>
          <wp:docPr id="30" name="Picture 30"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6865" cy="76352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EF3" w:rsidRDefault="00D41EF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EF3" w:rsidRDefault="00D41EF3">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EF3" w:rsidRDefault="00D41EF3">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EF3" w:rsidRDefault="00D41EF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EF3" w:rsidRDefault="00D41EF3"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EF3" w:rsidRDefault="00D41EF3" w:rsidP="006E08B3">
    <w:r>
      <w:t>Therapeutic Goods Administration</w:t>
    </w:r>
  </w:p>
  <w:p w:rsidR="00D41EF3" w:rsidRDefault="00D41EF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1EFD0A2F"/>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2C840078"/>
    <w:multiLevelType w:val="hybridMultilevel"/>
    <w:tmpl w:val="C2B40E76"/>
    <w:lvl w:ilvl="0" w:tplc="8326E3CE">
      <w:start w:val="1"/>
      <w:numFmt w:val="bullet"/>
      <w:pStyle w:val="GuidanceText-Bulleted"/>
      <w:lvlText w:val=""/>
      <w:lvlJc w:val="left"/>
      <w:pPr>
        <w:tabs>
          <w:tab w:val="num" w:pos="502"/>
        </w:tabs>
        <w:ind w:left="502" w:hanging="360"/>
      </w:pPr>
      <w:rPr>
        <w:rFonts w:ascii="Wingdings" w:hAnsi="Wingdings" w:hint="default"/>
      </w:rPr>
    </w:lvl>
    <w:lvl w:ilvl="1" w:tplc="26B43FE4">
      <w:start w:val="1"/>
      <w:numFmt w:val="decimal"/>
      <w:pStyle w:val="QuestiontoSponsor"/>
      <w:lvlText w:val="%2."/>
      <w:lvlJc w:val="left"/>
      <w:pPr>
        <w:tabs>
          <w:tab w:val="num" w:pos="1495"/>
        </w:tabs>
        <w:ind w:left="1495"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Symbol"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Symbol"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Symbol"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Symbol"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Symbol"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Symbol"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3"/>
  </w:num>
  <w:num w:numId="6">
    <w:abstractNumId w:val="6"/>
  </w:num>
  <w:num w:numId="7">
    <w:abstractNumId w:val="2"/>
  </w:num>
  <w:num w:numId="8">
    <w:abstractNumId w:val="4"/>
  </w:num>
  <w:num w:numId="9">
    <w:abstractNumId w:val="5"/>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D38"/>
    <w:rsid w:val="00002031"/>
    <w:rsid w:val="00002C59"/>
    <w:rsid w:val="00003994"/>
    <w:rsid w:val="0000411C"/>
    <w:rsid w:val="00004734"/>
    <w:rsid w:val="00006B22"/>
    <w:rsid w:val="0001240F"/>
    <w:rsid w:val="000125B4"/>
    <w:rsid w:val="0001276A"/>
    <w:rsid w:val="000132BC"/>
    <w:rsid w:val="00013B78"/>
    <w:rsid w:val="00015282"/>
    <w:rsid w:val="000154A9"/>
    <w:rsid w:val="000167E8"/>
    <w:rsid w:val="00020F31"/>
    <w:rsid w:val="000246AE"/>
    <w:rsid w:val="00024888"/>
    <w:rsid w:val="0002560F"/>
    <w:rsid w:val="00025639"/>
    <w:rsid w:val="00025C67"/>
    <w:rsid w:val="00027129"/>
    <w:rsid w:val="00033D1F"/>
    <w:rsid w:val="00035E15"/>
    <w:rsid w:val="00040488"/>
    <w:rsid w:val="00041170"/>
    <w:rsid w:val="00041FEE"/>
    <w:rsid w:val="00042D02"/>
    <w:rsid w:val="00044A53"/>
    <w:rsid w:val="00046E5E"/>
    <w:rsid w:val="00047249"/>
    <w:rsid w:val="00052A32"/>
    <w:rsid w:val="00053559"/>
    <w:rsid w:val="0005559E"/>
    <w:rsid w:val="00057BE5"/>
    <w:rsid w:val="0006139D"/>
    <w:rsid w:val="00062647"/>
    <w:rsid w:val="00064B29"/>
    <w:rsid w:val="00067AB8"/>
    <w:rsid w:val="0007134F"/>
    <w:rsid w:val="00072C85"/>
    <w:rsid w:val="00077775"/>
    <w:rsid w:val="00077844"/>
    <w:rsid w:val="00080756"/>
    <w:rsid w:val="0008159C"/>
    <w:rsid w:val="0008197C"/>
    <w:rsid w:val="00086909"/>
    <w:rsid w:val="00090471"/>
    <w:rsid w:val="00092516"/>
    <w:rsid w:val="000929CC"/>
    <w:rsid w:val="00092F92"/>
    <w:rsid w:val="00094266"/>
    <w:rsid w:val="00094882"/>
    <w:rsid w:val="00094D26"/>
    <w:rsid w:val="00096AA7"/>
    <w:rsid w:val="00097D36"/>
    <w:rsid w:val="000A0EEB"/>
    <w:rsid w:val="000A3AED"/>
    <w:rsid w:val="000A68CA"/>
    <w:rsid w:val="000B013C"/>
    <w:rsid w:val="000B1D4B"/>
    <w:rsid w:val="000B2B17"/>
    <w:rsid w:val="000B2C18"/>
    <w:rsid w:val="000B3532"/>
    <w:rsid w:val="000B3A75"/>
    <w:rsid w:val="000B508F"/>
    <w:rsid w:val="000B55A3"/>
    <w:rsid w:val="000C1C30"/>
    <w:rsid w:val="000C27D3"/>
    <w:rsid w:val="000C291F"/>
    <w:rsid w:val="000C3FAE"/>
    <w:rsid w:val="000C690F"/>
    <w:rsid w:val="000D011E"/>
    <w:rsid w:val="000D1295"/>
    <w:rsid w:val="000D219A"/>
    <w:rsid w:val="000D391B"/>
    <w:rsid w:val="000D3D6D"/>
    <w:rsid w:val="000D4FC7"/>
    <w:rsid w:val="000D649C"/>
    <w:rsid w:val="000D7894"/>
    <w:rsid w:val="000E3313"/>
    <w:rsid w:val="000E7AA6"/>
    <w:rsid w:val="000F257E"/>
    <w:rsid w:val="000F33B2"/>
    <w:rsid w:val="000F4869"/>
    <w:rsid w:val="000F4D7E"/>
    <w:rsid w:val="000F5605"/>
    <w:rsid w:val="000F5B42"/>
    <w:rsid w:val="000F5C33"/>
    <w:rsid w:val="000F6E6F"/>
    <w:rsid w:val="000F79B2"/>
    <w:rsid w:val="001006B9"/>
    <w:rsid w:val="00101DC3"/>
    <w:rsid w:val="00102C2C"/>
    <w:rsid w:val="001058E4"/>
    <w:rsid w:val="0010601F"/>
    <w:rsid w:val="0010788A"/>
    <w:rsid w:val="00107A31"/>
    <w:rsid w:val="00107AB1"/>
    <w:rsid w:val="00110E9B"/>
    <w:rsid w:val="00110EA5"/>
    <w:rsid w:val="00111164"/>
    <w:rsid w:val="00112F56"/>
    <w:rsid w:val="00113D86"/>
    <w:rsid w:val="00114922"/>
    <w:rsid w:val="0012039A"/>
    <w:rsid w:val="00121808"/>
    <w:rsid w:val="0012194B"/>
    <w:rsid w:val="00121AAC"/>
    <w:rsid w:val="00122863"/>
    <w:rsid w:val="00122B69"/>
    <w:rsid w:val="00124D06"/>
    <w:rsid w:val="00125318"/>
    <w:rsid w:val="001254B1"/>
    <w:rsid w:val="00126451"/>
    <w:rsid w:val="001305A2"/>
    <w:rsid w:val="00131144"/>
    <w:rsid w:val="0013147F"/>
    <w:rsid w:val="0013292B"/>
    <w:rsid w:val="00132E72"/>
    <w:rsid w:val="00133238"/>
    <w:rsid w:val="00135788"/>
    <w:rsid w:val="00137F35"/>
    <w:rsid w:val="0014197B"/>
    <w:rsid w:val="00142FC1"/>
    <w:rsid w:val="001440EC"/>
    <w:rsid w:val="001447CD"/>
    <w:rsid w:val="0014789A"/>
    <w:rsid w:val="00150CA6"/>
    <w:rsid w:val="001516B1"/>
    <w:rsid w:val="00151E71"/>
    <w:rsid w:val="001525C0"/>
    <w:rsid w:val="0015419B"/>
    <w:rsid w:val="00154968"/>
    <w:rsid w:val="00154EBB"/>
    <w:rsid w:val="00156316"/>
    <w:rsid w:val="00156718"/>
    <w:rsid w:val="0016088A"/>
    <w:rsid w:val="00162D14"/>
    <w:rsid w:val="0016494D"/>
    <w:rsid w:val="00165168"/>
    <w:rsid w:val="00165389"/>
    <w:rsid w:val="001657DF"/>
    <w:rsid w:val="001730AA"/>
    <w:rsid w:val="00174A08"/>
    <w:rsid w:val="0017605D"/>
    <w:rsid w:val="001764F3"/>
    <w:rsid w:val="0017693F"/>
    <w:rsid w:val="00177765"/>
    <w:rsid w:val="00180D7E"/>
    <w:rsid w:val="0018110E"/>
    <w:rsid w:val="00181419"/>
    <w:rsid w:val="00181684"/>
    <w:rsid w:val="00182B34"/>
    <w:rsid w:val="001843C6"/>
    <w:rsid w:val="001850E0"/>
    <w:rsid w:val="00197E7D"/>
    <w:rsid w:val="001A04EB"/>
    <w:rsid w:val="001A080E"/>
    <w:rsid w:val="001A08C8"/>
    <w:rsid w:val="001A0BB6"/>
    <w:rsid w:val="001A0C10"/>
    <w:rsid w:val="001A2158"/>
    <w:rsid w:val="001A3A34"/>
    <w:rsid w:val="001A4790"/>
    <w:rsid w:val="001A525F"/>
    <w:rsid w:val="001A6604"/>
    <w:rsid w:val="001A7E37"/>
    <w:rsid w:val="001B0784"/>
    <w:rsid w:val="001B09F9"/>
    <w:rsid w:val="001B2798"/>
    <w:rsid w:val="001B6448"/>
    <w:rsid w:val="001C0135"/>
    <w:rsid w:val="001C06F0"/>
    <w:rsid w:val="001C0A0D"/>
    <w:rsid w:val="001C0B0D"/>
    <w:rsid w:val="001C3720"/>
    <w:rsid w:val="001C4AEF"/>
    <w:rsid w:val="001D0016"/>
    <w:rsid w:val="001D3D31"/>
    <w:rsid w:val="001D3ED3"/>
    <w:rsid w:val="001D6381"/>
    <w:rsid w:val="001D73A5"/>
    <w:rsid w:val="001D7D7B"/>
    <w:rsid w:val="001D7EE1"/>
    <w:rsid w:val="001E07CF"/>
    <w:rsid w:val="001E2F2F"/>
    <w:rsid w:val="001E3474"/>
    <w:rsid w:val="001E59F1"/>
    <w:rsid w:val="001E69BE"/>
    <w:rsid w:val="001E7442"/>
    <w:rsid w:val="001F0A48"/>
    <w:rsid w:val="001F2183"/>
    <w:rsid w:val="001F3529"/>
    <w:rsid w:val="001F49EB"/>
    <w:rsid w:val="001F692D"/>
    <w:rsid w:val="001F6CBA"/>
    <w:rsid w:val="00201D4E"/>
    <w:rsid w:val="002049AD"/>
    <w:rsid w:val="002076C9"/>
    <w:rsid w:val="0021125A"/>
    <w:rsid w:val="00213FF0"/>
    <w:rsid w:val="00216535"/>
    <w:rsid w:val="002168B9"/>
    <w:rsid w:val="00216B6D"/>
    <w:rsid w:val="002179C2"/>
    <w:rsid w:val="00220B8A"/>
    <w:rsid w:val="00221955"/>
    <w:rsid w:val="00221C6A"/>
    <w:rsid w:val="00222F0A"/>
    <w:rsid w:val="002257F3"/>
    <w:rsid w:val="00231256"/>
    <w:rsid w:val="00232A42"/>
    <w:rsid w:val="00232DCB"/>
    <w:rsid w:val="00233456"/>
    <w:rsid w:val="002339A5"/>
    <w:rsid w:val="00235031"/>
    <w:rsid w:val="002352A4"/>
    <w:rsid w:val="002374E6"/>
    <w:rsid w:val="00237588"/>
    <w:rsid w:val="00237610"/>
    <w:rsid w:val="00237EB5"/>
    <w:rsid w:val="002436E7"/>
    <w:rsid w:val="00244168"/>
    <w:rsid w:val="00244E31"/>
    <w:rsid w:val="0024586B"/>
    <w:rsid w:val="002478F1"/>
    <w:rsid w:val="00247F69"/>
    <w:rsid w:val="002504A8"/>
    <w:rsid w:val="00253A6F"/>
    <w:rsid w:val="00253D65"/>
    <w:rsid w:val="00256C2A"/>
    <w:rsid w:val="00256E8C"/>
    <w:rsid w:val="00257848"/>
    <w:rsid w:val="00266DE2"/>
    <w:rsid w:val="0027084A"/>
    <w:rsid w:val="00274078"/>
    <w:rsid w:val="00275056"/>
    <w:rsid w:val="002750DE"/>
    <w:rsid w:val="00277014"/>
    <w:rsid w:val="0028044C"/>
    <w:rsid w:val="00283C8A"/>
    <w:rsid w:val="00286434"/>
    <w:rsid w:val="00286C59"/>
    <w:rsid w:val="00286D9F"/>
    <w:rsid w:val="002904C0"/>
    <w:rsid w:val="00291075"/>
    <w:rsid w:val="00291957"/>
    <w:rsid w:val="0029204D"/>
    <w:rsid w:val="0029289B"/>
    <w:rsid w:val="002929F5"/>
    <w:rsid w:val="002942D1"/>
    <w:rsid w:val="0029501A"/>
    <w:rsid w:val="00296FC3"/>
    <w:rsid w:val="002A3752"/>
    <w:rsid w:val="002A3E5A"/>
    <w:rsid w:val="002A5574"/>
    <w:rsid w:val="002A649B"/>
    <w:rsid w:val="002A672D"/>
    <w:rsid w:val="002A783A"/>
    <w:rsid w:val="002B1638"/>
    <w:rsid w:val="002B1A08"/>
    <w:rsid w:val="002B275A"/>
    <w:rsid w:val="002B3091"/>
    <w:rsid w:val="002C0148"/>
    <w:rsid w:val="002C2A21"/>
    <w:rsid w:val="002C752C"/>
    <w:rsid w:val="002D3013"/>
    <w:rsid w:val="002D540F"/>
    <w:rsid w:val="002D79BD"/>
    <w:rsid w:val="002E3299"/>
    <w:rsid w:val="002E3401"/>
    <w:rsid w:val="002E43D1"/>
    <w:rsid w:val="002E4546"/>
    <w:rsid w:val="002E4A50"/>
    <w:rsid w:val="002E4C9A"/>
    <w:rsid w:val="002E4E64"/>
    <w:rsid w:val="002E59CD"/>
    <w:rsid w:val="002E6660"/>
    <w:rsid w:val="002E7A2D"/>
    <w:rsid w:val="002E7E45"/>
    <w:rsid w:val="002F11F8"/>
    <w:rsid w:val="002F3112"/>
    <w:rsid w:val="002F3F56"/>
    <w:rsid w:val="002F44B5"/>
    <w:rsid w:val="002F4BD1"/>
    <w:rsid w:val="002F5708"/>
    <w:rsid w:val="003002E2"/>
    <w:rsid w:val="0030044F"/>
    <w:rsid w:val="003014DC"/>
    <w:rsid w:val="00301C93"/>
    <w:rsid w:val="00301F98"/>
    <w:rsid w:val="00303B16"/>
    <w:rsid w:val="003040BC"/>
    <w:rsid w:val="00305022"/>
    <w:rsid w:val="00305575"/>
    <w:rsid w:val="00311AC0"/>
    <w:rsid w:val="00311F71"/>
    <w:rsid w:val="0031385E"/>
    <w:rsid w:val="00314DDF"/>
    <w:rsid w:val="00315B60"/>
    <w:rsid w:val="00316D9A"/>
    <w:rsid w:val="00321583"/>
    <w:rsid w:val="0032583B"/>
    <w:rsid w:val="00325E9C"/>
    <w:rsid w:val="003269B5"/>
    <w:rsid w:val="00327883"/>
    <w:rsid w:val="0033383C"/>
    <w:rsid w:val="00335504"/>
    <w:rsid w:val="00337487"/>
    <w:rsid w:val="003449F8"/>
    <w:rsid w:val="003451EC"/>
    <w:rsid w:val="00345D18"/>
    <w:rsid w:val="00347824"/>
    <w:rsid w:val="00350567"/>
    <w:rsid w:val="0035200F"/>
    <w:rsid w:val="003521E8"/>
    <w:rsid w:val="00353005"/>
    <w:rsid w:val="003550F2"/>
    <w:rsid w:val="00355118"/>
    <w:rsid w:val="00356DC7"/>
    <w:rsid w:val="00357B26"/>
    <w:rsid w:val="00363495"/>
    <w:rsid w:val="00370094"/>
    <w:rsid w:val="003728F3"/>
    <w:rsid w:val="00373020"/>
    <w:rsid w:val="0037496E"/>
    <w:rsid w:val="003770B9"/>
    <w:rsid w:val="00382312"/>
    <w:rsid w:val="003824FB"/>
    <w:rsid w:val="00382D96"/>
    <w:rsid w:val="003843A7"/>
    <w:rsid w:val="003850F1"/>
    <w:rsid w:val="00386150"/>
    <w:rsid w:val="003874CE"/>
    <w:rsid w:val="00387946"/>
    <w:rsid w:val="003908D5"/>
    <w:rsid w:val="00390900"/>
    <w:rsid w:val="00396AD1"/>
    <w:rsid w:val="003A01F9"/>
    <w:rsid w:val="003A3234"/>
    <w:rsid w:val="003A59BE"/>
    <w:rsid w:val="003A7F6C"/>
    <w:rsid w:val="003B1AC7"/>
    <w:rsid w:val="003B25C9"/>
    <w:rsid w:val="003B2752"/>
    <w:rsid w:val="003B4D60"/>
    <w:rsid w:val="003B51E1"/>
    <w:rsid w:val="003B70AE"/>
    <w:rsid w:val="003B7635"/>
    <w:rsid w:val="003B7E39"/>
    <w:rsid w:val="003C0474"/>
    <w:rsid w:val="003C07F1"/>
    <w:rsid w:val="003C0CA4"/>
    <w:rsid w:val="003C188E"/>
    <w:rsid w:val="003C5398"/>
    <w:rsid w:val="003C58DC"/>
    <w:rsid w:val="003C60A2"/>
    <w:rsid w:val="003C77B6"/>
    <w:rsid w:val="003D0AB8"/>
    <w:rsid w:val="003D0ECB"/>
    <w:rsid w:val="003D1E62"/>
    <w:rsid w:val="003D6C31"/>
    <w:rsid w:val="003D6D6C"/>
    <w:rsid w:val="003E05D7"/>
    <w:rsid w:val="003E0C69"/>
    <w:rsid w:val="003E11E9"/>
    <w:rsid w:val="003E1667"/>
    <w:rsid w:val="003E1D8A"/>
    <w:rsid w:val="003E2486"/>
    <w:rsid w:val="003E3208"/>
    <w:rsid w:val="003E3D6A"/>
    <w:rsid w:val="003E71AC"/>
    <w:rsid w:val="003E7452"/>
    <w:rsid w:val="003F0B04"/>
    <w:rsid w:val="003F2BD9"/>
    <w:rsid w:val="003F350D"/>
    <w:rsid w:val="003F4FB5"/>
    <w:rsid w:val="00400E2E"/>
    <w:rsid w:val="0040134E"/>
    <w:rsid w:val="00403A71"/>
    <w:rsid w:val="00411683"/>
    <w:rsid w:val="00420DE1"/>
    <w:rsid w:val="0042272C"/>
    <w:rsid w:val="00423ADE"/>
    <w:rsid w:val="004254F2"/>
    <w:rsid w:val="00425AEB"/>
    <w:rsid w:val="00427516"/>
    <w:rsid w:val="00432B32"/>
    <w:rsid w:val="00434E71"/>
    <w:rsid w:val="00435845"/>
    <w:rsid w:val="00436567"/>
    <w:rsid w:val="00437500"/>
    <w:rsid w:val="004403C3"/>
    <w:rsid w:val="00440A2D"/>
    <w:rsid w:val="00443AE5"/>
    <w:rsid w:val="00443C47"/>
    <w:rsid w:val="004444CA"/>
    <w:rsid w:val="00450863"/>
    <w:rsid w:val="00451FBC"/>
    <w:rsid w:val="00452704"/>
    <w:rsid w:val="00453B7A"/>
    <w:rsid w:val="00454553"/>
    <w:rsid w:val="004553F1"/>
    <w:rsid w:val="004564A7"/>
    <w:rsid w:val="004564AF"/>
    <w:rsid w:val="00457AED"/>
    <w:rsid w:val="00461258"/>
    <w:rsid w:val="004617BF"/>
    <w:rsid w:val="00463658"/>
    <w:rsid w:val="00465454"/>
    <w:rsid w:val="004672B8"/>
    <w:rsid w:val="0047060F"/>
    <w:rsid w:val="00471CFB"/>
    <w:rsid w:val="004722CC"/>
    <w:rsid w:val="00480DF4"/>
    <w:rsid w:val="00481BC9"/>
    <w:rsid w:val="004822B2"/>
    <w:rsid w:val="004826DD"/>
    <w:rsid w:val="00486AB5"/>
    <w:rsid w:val="00486E6B"/>
    <w:rsid w:val="004878F2"/>
    <w:rsid w:val="004936E4"/>
    <w:rsid w:val="00493C01"/>
    <w:rsid w:val="00493CC0"/>
    <w:rsid w:val="00494C4D"/>
    <w:rsid w:val="00494E60"/>
    <w:rsid w:val="00495B7E"/>
    <w:rsid w:val="00497487"/>
    <w:rsid w:val="004A12D2"/>
    <w:rsid w:val="004A3DC0"/>
    <w:rsid w:val="004A3E06"/>
    <w:rsid w:val="004A40D1"/>
    <w:rsid w:val="004A4332"/>
    <w:rsid w:val="004A4969"/>
    <w:rsid w:val="004A5D9C"/>
    <w:rsid w:val="004B052C"/>
    <w:rsid w:val="004B3914"/>
    <w:rsid w:val="004B7B76"/>
    <w:rsid w:val="004C20A9"/>
    <w:rsid w:val="004C239D"/>
    <w:rsid w:val="004C2DCA"/>
    <w:rsid w:val="004C3853"/>
    <w:rsid w:val="004C436E"/>
    <w:rsid w:val="004C4B14"/>
    <w:rsid w:val="004C69EF"/>
    <w:rsid w:val="004C7398"/>
    <w:rsid w:val="004D0861"/>
    <w:rsid w:val="004D0EA1"/>
    <w:rsid w:val="004D1CB1"/>
    <w:rsid w:val="004D6128"/>
    <w:rsid w:val="004D6BA6"/>
    <w:rsid w:val="004E3B20"/>
    <w:rsid w:val="004E6199"/>
    <w:rsid w:val="004E7A8A"/>
    <w:rsid w:val="004F0F38"/>
    <w:rsid w:val="004F1EF7"/>
    <w:rsid w:val="004F7D48"/>
    <w:rsid w:val="005003CC"/>
    <w:rsid w:val="00501921"/>
    <w:rsid w:val="00503CB3"/>
    <w:rsid w:val="00517DAE"/>
    <w:rsid w:val="00523D8A"/>
    <w:rsid w:val="005243C8"/>
    <w:rsid w:val="005248C0"/>
    <w:rsid w:val="00524C51"/>
    <w:rsid w:val="00525643"/>
    <w:rsid w:val="00526F3A"/>
    <w:rsid w:val="00527DB2"/>
    <w:rsid w:val="00530354"/>
    <w:rsid w:val="00532828"/>
    <w:rsid w:val="0053346B"/>
    <w:rsid w:val="005342E9"/>
    <w:rsid w:val="0053625B"/>
    <w:rsid w:val="00537908"/>
    <w:rsid w:val="00541A74"/>
    <w:rsid w:val="00541AA1"/>
    <w:rsid w:val="00542F05"/>
    <w:rsid w:val="005434C6"/>
    <w:rsid w:val="00543B39"/>
    <w:rsid w:val="00546A25"/>
    <w:rsid w:val="00550096"/>
    <w:rsid w:val="00551B5C"/>
    <w:rsid w:val="0055271F"/>
    <w:rsid w:val="005527A1"/>
    <w:rsid w:val="00552E9E"/>
    <w:rsid w:val="005530A8"/>
    <w:rsid w:val="00554584"/>
    <w:rsid w:val="00556301"/>
    <w:rsid w:val="00557419"/>
    <w:rsid w:val="005578E5"/>
    <w:rsid w:val="00557FF9"/>
    <w:rsid w:val="00560EA2"/>
    <w:rsid w:val="00561A52"/>
    <w:rsid w:val="00567169"/>
    <w:rsid w:val="00570069"/>
    <w:rsid w:val="005709D0"/>
    <w:rsid w:val="00570E90"/>
    <w:rsid w:val="00571C84"/>
    <w:rsid w:val="00574F2C"/>
    <w:rsid w:val="00576378"/>
    <w:rsid w:val="00577130"/>
    <w:rsid w:val="00577216"/>
    <w:rsid w:val="00577945"/>
    <w:rsid w:val="00577E38"/>
    <w:rsid w:val="00580330"/>
    <w:rsid w:val="00585322"/>
    <w:rsid w:val="005857C6"/>
    <w:rsid w:val="00586002"/>
    <w:rsid w:val="00587D38"/>
    <w:rsid w:val="005928D4"/>
    <w:rsid w:val="00592A9D"/>
    <w:rsid w:val="00592F6E"/>
    <w:rsid w:val="00593AD1"/>
    <w:rsid w:val="005962BC"/>
    <w:rsid w:val="00597B58"/>
    <w:rsid w:val="005A1762"/>
    <w:rsid w:val="005A2191"/>
    <w:rsid w:val="005A4EDC"/>
    <w:rsid w:val="005A529B"/>
    <w:rsid w:val="005A68B6"/>
    <w:rsid w:val="005A7A70"/>
    <w:rsid w:val="005B01D1"/>
    <w:rsid w:val="005B0B15"/>
    <w:rsid w:val="005B10BB"/>
    <w:rsid w:val="005B2957"/>
    <w:rsid w:val="005B3B9C"/>
    <w:rsid w:val="005B6442"/>
    <w:rsid w:val="005B7362"/>
    <w:rsid w:val="005C01A6"/>
    <w:rsid w:val="005C029B"/>
    <w:rsid w:val="005C08A4"/>
    <w:rsid w:val="005C2ACB"/>
    <w:rsid w:val="005C2B0B"/>
    <w:rsid w:val="005C47F3"/>
    <w:rsid w:val="005C5309"/>
    <w:rsid w:val="005C5570"/>
    <w:rsid w:val="005C627E"/>
    <w:rsid w:val="005C750C"/>
    <w:rsid w:val="005C79A4"/>
    <w:rsid w:val="005D25F5"/>
    <w:rsid w:val="005D26F3"/>
    <w:rsid w:val="005D3801"/>
    <w:rsid w:val="005D3E58"/>
    <w:rsid w:val="005D5442"/>
    <w:rsid w:val="005D5C33"/>
    <w:rsid w:val="005D628A"/>
    <w:rsid w:val="005D6530"/>
    <w:rsid w:val="005E4DCC"/>
    <w:rsid w:val="005F066B"/>
    <w:rsid w:val="005F273B"/>
    <w:rsid w:val="005F4B65"/>
    <w:rsid w:val="00600DDC"/>
    <w:rsid w:val="006010C0"/>
    <w:rsid w:val="00603E5B"/>
    <w:rsid w:val="00603F32"/>
    <w:rsid w:val="00604412"/>
    <w:rsid w:val="006047D2"/>
    <w:rsid w:val="00604863"/>
    <w:rsid w:val="0061172A"/>
    <w:rsid w:val="00615F2D"/>
    <w:rsid w:val="00617049"/>
    <w:rsid w:val="00617802"/>
    <w:rsid w:val="00617FA1"/>
    <w:rsid w:val="00621C2E"/>
    <w:rsid w:val="00621D6A"/>
    <w:rsid w:val="00622BAF"/>
    <w:rsid w:val="00623283"/>
    <w:rsid w:val="00625A6E"/>
    <w:rsid w:val="006310C2"/>
    <w:rsid w:val="00631F3C"/>
    <w:rsid w:val="00632398"/>
    <w:rsid w:val="00633581"/>
    <w:rsid w:val="00640FC3"/>
    <w:rsid w:val="00641632"/>
    <w:rsid w:val="00642020"/>
    <w:rsid w:val="00647775"/>
    <w:rsid w:val="006509EE"/>
    <w:rsid w:val="00651C29"/>
    <w:rsid w:val="0065337B"/>
    <w:rsid w:val="006534A4"/>
    <w:rsid w:val="006537EB"/>
    <w:rsid w:val="0065419D"/>
    <w:rsid w:val="00654CCF"/>
    <w:rsid w:val="00655A3F"/>
    <w:rsid w:val="0065614B"/>
    <w:rsid w:val="006604D8"/>
    <w:rsid w:val="00660F64"/>
    <w:rsid w:val="00663255"/>
    <w:rsid w:val="00663C1E"/>
    <w:rsid w:val="00663F47"/>
    <w:rsid w:val="006646A5"/>
    <w:rsid w:val="00664A5B"/>
    <w:rsid w:val="00667578"/>
    <w:rsid w:val="00674D27"/>
    <w:rsid w:val="00675388"/>
    <w:rsid w:val="006761A2"/>
    <w:rsid w:val="006763D2"/>
    <w:rsid w:val="00676EBD"/>
    <w:rsid w:val="00680672"/>
    <w:rsid w:val="00680C08"/>
    <w:rsid w:val="00682C52"/>
    <w:rsid w:val="00683AEF"/>
    <w:rsid w:val="00683F1B"/>
    <w:rsid w:val="0068409E"/>
    <w:rsid w:val="006901DD"/>
    <w:rsid w:val="00692834"/>
    <w:rsid w:val="006928B8"/>
    <w:rsid w:val="006931B1"/>
    <w:rsid w:val="00696652"/>
    <w:rsid w:val="00696D04"/>
    <w:rsid w:val="00697DB1"/>
    <w:rsid w:val="006A0C3F"/>
    <w:rsid w:val="006A1349"/>
    <w:rsid w:val="006A15C0"/>
    <w:rsid w:val="006A783F"/>
    <w:rsid w:val="006B3859"/>
    <w:rsid w:val="006B5542"/>
    <w:rsid w:val="006B6B66"/>
    <w:rsid w:val="006B76C9"/>
    <w:rsid w:val="006C0352"/>
    <w:rsid w:val="006C14F6"/>
    <w:rsid w:val="006C3E2A"/>
    <w:rsid w:val="006C3F28"/>
    <w:rsid w:val="006C4A92"/>
    <w:rsid w:val="006C642F"/>
    <w:rsid w:val="006D03E5"/>
    <w:rsid w:val="006D0999"/>
    <w:rsid w:val="006D22FD"/>
    <w:rsid w:val="006D244C"/>
    <w:rsid w:val="006D2C7B"/>
    <w:rsid w:val="006D2DDF"/>
    <w:rsid w:val="006D3229"/>
    <w:rsid w:val="006D51E8"/>
    <w:rsid w:val="006D5D3E"/>
    <w:rsid w:val="006D6600"/>
    <w:rsid w:val="006D73C3"/>
    <w:rsid w:val="006D77C1"/>
    <w:rsid w:val="006E08B3"/>
    <w:rsid w:val="006E0A0F"/>
    <w:rsid w:val="006E249C"/>
    <w:rsid w:val="006E2C69"/>
    <w:rsid w:val="006E3EDA"/>
    <w:rsid w:val="006E62B0"/>
    <w:rsid w:val="006E6319"/>
    <w:rsid w:val="006E6583"/>
    <w:rsid w:val="006E7994"/>
    <w:rsid w:val="006F0941"/>
    <w:rsid w:val="006F17AC"/>
    <w:rsid w:val="006F4836"/>
    <w:rsid w:val="006F48C1"/>
    <w:rsid w:val="006F572E"/>
    <w:rsid w:val="006F6E93"/>
    <w:rsid w:val="006F7F89"/>
    <w:rsid w:val="00701BD3"/>
    <w:rsid w:val="00702034"/>
    <w:rsid w:val="00703A14"/>
    <w:rsid w:val="00703E82"/>
    <w:rsid w:val="007046D6"/>
    <w:rsid w:val="00705DB0"/>
    <w:rsid w:val="0071354E"/>
    <w:rsid w:val="00714D6E"/>
    <w:rsid w:val="00717415"/>
    <w:rsid w:val="00717E6A"/>
    <w:rsid w:val="00717F8E"/>
    <w:rsid w:val="00722B57"/>
    <w:rsid w:val="0072430B"/>
    <w:rsid w:val="0072625A"/>
    <w:rsid w:val="00727F82"/>
    <w:rsid w:val="0073204A"/>
    <w:rsid w:val="0073215A"/>
    <w:rsid w:val="0073768A"/>
    <w:rsid w:val="00740A9A"/>
    <w:rsid w:val="007424B7"/>
    <w:rsid w:val="0074253D"/>
    <w:rsid w:val="00743879"/>
    <w:rsid w:val="0074429B"/>
    <w:rsid w:val="00753BAD"/>
    <w:rsid w:val="007555D7"/>
    <w:rsid w:val="007569E8"/>
    <w:rsid w:val="007615BC"/>
    <w:rsid w:val="00761BD6"/>
    <w:rsid w:val="007625D8"/>
    <w:rsid w:val="00762B85"/>
    <w:rsid w:val="00762F05"/>
    <w:rsid w:val="00764D1F"/>
    <w:rsid w:val="007652FF"/>
    <w:rsid w:val="00765778"/>
    <w:rsid w:val="007675B2"/>
    <w:rsid w:val="00770EF1"/>
    <w:rsid w:val="00773985"/>
    <w:rsid w:val="007739EF"/>
    <w:rsid w:val="00773EF7"/>
    <w:rsid w:val="00774E1D"/>
    <w:rsid w:val="0077675A"/>
    <w:rsid w:val="007767D0"/>
    <w:rsid w:val="00777C5D"/>
    <w:rsid w:val="00780355"/>
    <w:rsid w:val="00782056"/>
    <w:rsid w:val="00784665"/>
    <w:rsid w:val="00785721"/>
    <w:rsid w:val="0078572A"/>
    <w:rsid w:val="007866CA"/>
    <w:rsid w:val="00787269"/>
    <w:rsid w:val="00790DAA"/>
    <w:rsid w:val="00790E0D"/>
    <w:rsid w:val="00791CB1"/>
    <w:rsid w:val="0079220B"/>
    <w:rsid w:val="00793A59"/>
    <w:rsid w:val="007944B6"/>
    <w:rsid w:val="0079498E"/>
    <w:rsid w:val="00797117"/>
    <w:rsid w:val="007A5BAF"/>
    <w:rsid w:val="007A5CEC"/>
    <w:rsid w:val="007B4CB8"/>
    <w:rsid w:val="007B5541"/>
    <w:rsid w:val="007B6E9F"/>
    <w:rsid w:val="007B712F"/>
    <w:rsid w:val="007B76CC"/>
    <w:rsid w:val="007B7C1E"/>
    <w:rsid w:val="007C1216"/>
    <w:rsid w:val="007C19B0"/>
    <w:rsid w:val="007C1AF7"/>
    <w:rsid w:val="007C5899"/>
    <w:rsid w:val="007C685E"/>
    <w:rsid w:val="007D164D"/>
    <w:rsid w:val="007D1AD9"/>
    <w:rsid w:val="007D2E4D"/>
    <w:rsid w:val="007D6112"/>
    <w:rsid w:val="007E08C8"/>
    <w:rsid w:val="007E3B8E"/>
    <w:rsid w:val="007F0AEA"/>
    <w:rsid w:val="007F1A60"/>
    <w:rsid w:val="007F3867"/>
    <w:rsid w:val="007F44BF"/>
    <w:rsid w:val="007F55FA"/>
    <w:rsid w:val="007F7A86"/>
    <w:rsid w:val="00802169"/>
    <w:rsid w:val="00804A8E"/>
    <w:rsid w:val="00805D27"/>
    <w:rsid w:val="008136B7"/>
    <w:rsid w:val="00813D5D"/>
    <w:rsid w:val="00813EEA"/>
    <w:rsid w:val="008164CE"/>
    <w:rsid w:val="008171FB"/>
    <w:rsid w:val="00817225"/>
    <w:rsid w:val="00821776"/>
    <w:rsid w:val="00822F7A"/>
    <w:rsid w:val="00823CCB"/>
    <w:rsid w:val="00824BEC"/>
    <w:rsid w:val="00825208"/>
    <w:rsid w:val="008321F5"/>
    <w:rsid w:val="00832369"/>
    <w:rsid w:val="0083263B"/>
    <w:rsid w:val="008339CE"/>
    <w:rsid w:val="00834660"/>
    <w:rsid w:val="008360AC"/>
    <w:rsid w:val="00836BC2"/>
    <w:rsid w:val="008429D2"/>
    <w:rsid w:val="00844412"/>
    <w:rsid w:val="008446B7"/>
    <w:rsid w:val="00845D64"/>
    <w:rsid w:val="00847DB6"/>
    <w:rsid w:val="00855262"/>
    <w:rsid w:val="008563F5"/>
    <w:rsid w:val="0085641B"/>
    <w:rsid w:val="00856C0B"/>
    <w:rsid w:val="00857136"/>
    <w:rsid w:val="00865647"/>
    <w:rsid w:val="00866CA5"/>
    <w:rsid w:val="00866DE5"/>
    <w:rsid w:val="008716FD"/>
    <w:rsid w:val="00872B4E"/>
    <w:rsid w:val="008733E9"/>
    <w:rsid w:val="008853AB"/>
    <w:rsid w:val="00885609"/>
    <w:rsid w:val="00885B11"/>
    <w:rsid w:val="00886706"/>
    <w:rsid w:val="00886D15"/>
    <w:rsid w:val="00887DD8"/>
    <w:rsid w:val="00890B2F"/>
    <w:rsid w:val="008920CC"/>
    <w:rsid w:val="00896018"/>
    <w:rsid w:val="008960DD"/>
    <w:rsid w:val="0089635C"/>
    <w:rsid w:val="008A1F9A"/>
    <w:rsid w:val="008A2B9D"/>
    <w:rsid w:val="008A2E13"/>
    <w:rsid w:val="008A5E0B"/>
    <w:rsid w:val="008A6D59"/>
    <w:rsid w:val="008B0416"/>
    <w:rsid w:val="008B04D0"/>
    <w:rsid w:val="008B2529"/>
    <w:rsid w:val="008B4B03"/>
    <w:rsid w:val="008B596F"/>
    <w:rsid w:val="008B7705"/>
    <w:rsid w:val="008C0200"/>
    <w:rsid w:val="008C159F"/>
    <w:rsid w:val="008C1623"/>
    <w:rsid w:val="008C1850"/>
    <w:rsid w:val="008C4175"/>
    <w:rsid w:val="008C4933"/>
    <w:rsid w:val="008C4CA2"/>
    <w:rsid w:val="008C51A9"/>
    <w:rsid w:val="008C7F9F"/>
    <w:rsid w:val="008D015A"/>
    <w:rsid w:val="008D2169"/>
    <w:rsid w:val="008D5DDF"/>
    <w:rsid w:val="008D6AFD"/>
    <w:rsid w:val="008E091E"/>
    <w:rsid w:val="008E2093"/>
    <w:rsid w:val="008E2154"/>
    <w:rsid w:val="008E7846"/>
    <w:rsid w:val="008F02CB"/>
    <w:rsid w:val="008F1CCC"/>
    <w:rsid w:val="008F2465"/>
    <w:rsid w:val="008F2967"/>
    <w:rsid w:val="008F3133"/>
    <w:rsid w:val="008F3172"/>
    <w:rsid w:val="008F4471"/>
    <w:rsid w:val="008F6943"/>
    <w:rsid w:val="008F6F9C"/>
    <w:rsid w:val="0090021C"/>
    <w:rsid w:val="0090181C"/>
    <w:rsid w:val="00902398"/>
    <w:rsid w:val="00902A21"/>
    <w:rsid w:val="00903522"/>
    <w:rsid w:val="00903D4A"/>
    <w:rsid w:val="009041AC"/>
    <w:rsid w:val="009046C8"/>
    <w:rsid w:val="00905019"/>
    <w:rsid w:val="00905BF8"/>
    <w:rsid w:val="009074AA"/>
    <w:rsid w:val="00913647"/>
    <w:rsid w:val="00913C1C"/>
    <w:rsid w:val="00915F4D"/>
    <w:rsid w:val="00917851"/>
    <w:rsid w:val="00920330"/>
    <w:rsid w:val="009219D7"/>
    <w:rsid w:val="00922542"/>
    <w:rsid w:val="00922A86"/>
    <w:rsid w:val="00922D53"/>
    <w:rsid w:val="00922D79"/>
    <w:rsid w:val="009230B1"/>
    <w:rsid w:val="00923B70"/>
    <w:rsid w:val="00924482"/>
    <w:rsid w:val="00925A5C"/>
    <w:rsid w:val="00927674"/>
    <w:rsid w:val="00930237"/>
    <w:rsid w:val="00932970"/>
    <w:rsid w:val="009338A3"/>
    <w:rsid w:val="009347B9"/>
    <w:rsid w:val="00936649"/>
    <w:rsid w:val="009431E0"/>
    <w:rsid w:val="00943789"/>
    <w:rsid w:val="00943A13"/>
    <w:rsid w:val="00946EA5"/>
    <w:rsid w:val="00950E12"/>
    <w:rsid w:val="0095309D"/>
    <w:rsid w:val="00953894"/>
    <w:rsid w:val="009565DD"/>
    <w:rsid w:val="00961A65"/>
    <w:rsid w:val="00963C08"/>
    <w:rsid w:val="00965B4D"/>
    <w:rsid w:val="00966546"/>
    <w:rsid w:val="00966781"/>
    <w:rsid w:val="00966DF8"/>
    <w:rsid w:val="0097042A"/>
    <w:rsid w:val="00972E6D"/>
    <w:rsid w:val="009746CE"/>
    <w:rsid w:val="00977CB9"/>
    <w:rsid w:val="00980853"/>
    <w:rsid w:val="00983056"/>
    <w:rsid w:val="009854A5"/>
    <w:rsid w:val="0098585A"/>
    <w:rsid w:val="00985CA3"/>
    <w:rsid w:val="00991E0C"/>
    <w:rsid w:val="00993E03"/>
    <w:rsid w:val="00997F21"/>
    <w:rsid w:val="009A31AE"/>
    <w:rsid w:val="009A3899"/>
    <w:rsid w:val="009A4CED"/>
    <w:rsid w:val="009A690D"/>
    <w:rsid w:val="009B02FC"/>
    <w:rsid w:val="009B1D12"/>
    <w:rsid w:val="009B29C1"/>
    <w:rsid w:val="009B3491"/>
    <w:rsid w:val="009B416B"/>
    <w:rsid w:val="009C14DB"/>
    <w:rsid w:val="009C1719"/>
    <w:rsid w:val="009C4BD5"/>
    <w:rsid w:val="009D041F"/>
    <w:rsid w:val="009D0E52"/>
    <w:rsid w:val="009D1C95"/>
    <w:rsid w:val="009D4624"/>
    <w:rsid w:val="009D4AAB"/>
    <w:rsid w:val="009D7B77"/>
    <w:rsid w:val="009E0BB0"/>
    <w:rsid w:val="009E1113"/>
    <w:rsid w:val="009E347A"/>
    <w:rsid w:val="009E3581"/>
    <w:rsid w:val="009E3FBB"/>
    <w:rsid w:val="009E4FA6"/>
    <w:rsid w:val="009E6CB2"/>
    <w:rsid w:val="009F0036"/>
    <w:rsid w:val="009F0DF1"/>
    <w:rsid w:val="009F7A94"/>
    <w:rsid w:val="00A024C2"/>
    <w:rsid w:val="00A04072"/>
    <w:rsid w:val="00A04A86"/>
    <w:rsid w:val="00A05073"/>
    <w:rsid w:val="00A05400"/>
    <w:rsid w:val="00A06F03"/>
    <w:rsid w:val="00A102E4"/>
    <w:rsid w:val="00A11263"/>
    <w:rsid w:val="00A12C42"/>
    <w:rsid w:val="00A138CA"/>
    <w:rsid w:val="00A14DF7"/>
    <w:rsid w:val="00A167D0"/>
    <w:rsid w:val="00A16E54"/>
    <w:rsid w:val="00A17023"/>
    <w:rsid w:val="00A20D92"/>
    <w:rsid w:val="00A23573"/>
    <w:rsid w:val="00A30484"/>
    <w:rsid w:val="00A30A9D"/>
    <w:rsid w:val="00A31A0B"/>
    <w:rsid w:val="00A31C92"/>
    <w:rsid w:val="00A3246D"/>
    <w:rsid w:val="00A34CA1"/>
    <w:rsid w:val="00A3573B"/>
    <w:rsid w:val="00A36B66"/>
    <w:rsid w:val="00A36FA7"/>
    <w:rsid w:val="00A4261B"/>
    <w:rsid w:val="00A44A88"/>
    <w:rsid w:val="00A45C91"/>
    <w:rsid w:val="00A473DC"/>
    <w:rsid w:val="00A475B7"/>
    <w:rsid w:val="00A47AF7"/>
    <w:rsid w:val="00A47C3E"/>
    <w:rsid w:val="00A50226"/>
    <w:rsid w:val="00A51CF0"/>
    <w:rsid w:val="00A533ED"/>
    <w:rsid w:val="00A5419B"/>
    <w:rsid w:val="00A603F4"/>
    <w:rsid w:val="00A60BAD"/>
    <w:rsid w:val="00A62474"/>
    <w:rsid w:val="00A64321"/>
    <w:rsid w:val="00A645E4"/>
    <w:rsid w:val="00A6529C"/>
    <w:rsid w:val="00A700B9"/>
    <w:rsid w:val="00A7010B"/>
    <w:rsid w:val="00A714B8"/>
    <w:rsid w:val="00A720ED"/>
    <w:rsid w:val="00A7359B"/>
    <w:rsid w:val="00A74F4E"/>
    <w:rsid w:val="00A816E7"/>
    <w:rsid w:val="00A817AF"/>
    <w:rsid w:val="00A8211E"/>
    <w:rsid w:val="00A83243"/>
    <w:rsid w:val="00A832A0"/>
    <w:rsid w:val="00A84E36"/>
    <w:rsid w:val="00A8730E"/>
    <w:rsid w:val="00A90929"/>
    <w:rsid w:val="00A93761"/>
    <w:rsid w:val="00A938FA"/>
    <w:rsid w:val="00A964D1"/>
    <w:rsid w:val="00A96B7B"/>
    <w:rsid w:val="00AA085A"/>
    <w:rsid w:val="00AA0ED0"/>
    <w:rsid w:val="00AA1D5A"/>
    <w:rsid w:val="00AA1F48"/>
    <w:rsid w:val="00AA3206"/>
    <w:rsid w:val="00AA4DA6"/>
    <w:rsid w:val="00AA5686"/>
    <w:rsid w:val="00AA5D76"/>
    <w:rsid w:val="00AA5E8B"/>
    <w:rsid w:val="00AA6677"/>
    <w:rsid w:val="00AB02F1"/>
    <w:rsid w:val="00AB04EA"/>
    <w:rsid w:val="00AB0A94"/>
    <w:rsid w:val="00AB0CE4"/>
    <w:rsid w:val="00AC07F6"/>
    <w:rsid w:val="00AC24CF"/>
    <w:rsid w:val="00AC2B40"/>
    <w:rsid w:val="00AC2BB2"/>
    <w:rsid w:val="00AC2C3C"/>
    <w:rsid w:val="00AC512D"/>
    <w:rsid w:val="00AD0083"/>
    <w:rsid w:val="00AD078A"/>
    <w:rsid w:val="00AD17B7"/>
    <w:rsid w:val="00AD3C34"/>
    <w:rsid w:val="00AD5F48"/>
    <w:rsid w:val="00AD6DC2"/>
    <w:rsid w:val="00AD7353"/>
    <w:rsid w:val="00AE1D95"/>
    <w:rsid w:val="00AE428E"/>
    <w:rsid w:val="00AE4FAE"/>
    <w:rsid w:val="00AE65EB"/>
    <w:rsid w:val="00AE67A7"/>
    <w:rsid w:val="00AE7243"/>
    <w:rsid w:val="00AE78AE"/>
    <w:rsid w:val="00AF1D94"/>
    <w:rsid w:val="00AF5289"/>
    <w:rsid w:val="00AF54AB"/>
    <w:rsid w:val="00AF60C5"/>
    <w:rsid w:val="00AF669A"/>
    <w:rsid w:val="00AF7843"/>
    <w:rsid w:val="00B009C6"/>
    <w:rsid w:val="00B01548"/>
    <w:rsid w:val="00B017AE"/>
    <w:rsid w:val="00B0320E"/>
    <w:rsid w:val="00B03BEF"/>
    <w:rsid w:val="00B12908"/>
    <w:rsid w:val="00B144D8"/>
    <w:rsid w:val="00B151B2"/>
    <w:rsid w:val="00B20786"/>
    <w:rsid w:val="00B21AED"/>
    <w:rsid w:val="00B21D29"/>
    <w:rsid w:val="00B221D1"/>
    <w:rsid w:val="00B25034"/>
    <w:rsid w:val="00B25EF0"/>
    <w:rsid w:val="00B262F1"/>
    <w:rsid w:val="00B279E0"/>
    <w:rsid w:val="00B27DA1"/>
    <w:rsid w:val="00B30BD7"/>
    <w:rsid w:val="00B326D6"/>
    <w:rsid w:val="00B33588"/>
    <w:rsid w:val="00B33863"/>
    <w:rsid w:val="00B339E8"/>
    <w:rsid w:val="00B33FE3"/>
    <w:rsid w:val="00B357B1"/>
    <w:rsid w:val="00B37D17"/>
    <w:rsid w:val="00B4009C"/>
    <w:rsid w:val="00B4175E"/>
    <w:rsid w:val="00B439F8"/>
    <w:rsid w:val="00B44AAA"/>
    <w:rsid w:val="00B452CE"/>
    <w:rsid w:val="00B54C10"/>
    <w:rsid w:val="00B54C25"/>
    <w:rsid w:val="00B55114"/>
    <w:rsid w:val="00B5543F"/>
    <w:rsid w:val="00B64BDD"/>
    <w:rsid w:val="00B65222"/>
    <w:rsid w:val="00B65C2F"/>
    <w:rsid w:val="00B71205"/>
    <w:rsid w:val="00B71D45"/>
    <w:rsid w:val="00B738AD"/>
    <w:rsid w:val="00B751F3"/>
    <w:rsid w:val="00B76B91"/>
    <w:rsid w:val="00B77EB1"/>
    <w:rsid w:val="00B811C6"/>
    <w:rsid w:val="00B81F2F"/>
    <w:rsid w:val="00B8542A"/>
    <w:rsid w:val="00B85482"/>
    <w:rsid w:val="00B855B0"/>
    <w:rsid w:val="00B9210F"/>
    <w:rsid w:val="00B92E08"/>
    <w:rsid w:val="00B93AE7"/>
    <w:rsid w:val="00B95708"/>
    <w:rsid w:val="00B96359"/>
    <w:rsid w:val="00B974EE"/>
    <w:rsid w:val="00B9777A"/>
    <w:rsid w:val="00B97E76"/>
    <w:rsid w:val="00BA1A74"/>
    <w:rsid w:val="00BA26E9"/>
    <w:rsid w:val="00BA2EE8"/>
    <w:rsid w:val="00BA4D2D"/>
    <w:rsid w:val="00BB092A"/>
    <w:rsid w:val="00BB3C7B"/>
    <w:rsid w:val="00BB3F45"/>
    <w:rsid w:val="00BB4808"/>
    <w:rsid w:val="00BB7020"/>
    <w:rsid w:val="00BC0DA4"/>
    <w:rsid w:val="00BC0EDD"/>
    <w:rsid w:val="00BC14F6"/>
    <w:rsid w:val="00BC28C2"/>
    <w:rsid w:val="00BC3DC5"/>
    <w:rsid w:val="00BC4B0E"/>
    <w:rsid w:val="00BC523E"/>
    <w:rsid w:val="00BC57C8"/>
    <w:rsid w:val="00BC622A"/>
    <w:rsid w:val="00BC7754"/>
    <w:rsid w:val="00BD0B16"/>
    <w:rsid w:val="00BD5DBD"/>
    <w:rsid w:val="00BD6B16"/>
    <w:rsid w:val="00BE0A78"/>
    <w:rsid w:val="00BE23BD"/>
    <w:rsid w:val="00BE3B12"/>
    <w:rsid w:val="00BE582C"/>
    <w:rsid w:val="00BE61FF"/>
    <w:rsid w:val="00BE79F0"/>
    <w:rsid w:val="00BF046D"/>
    <w:rsid w:val="00BF0F29"/>
    <w:rsid w:val="00BF1190"/>
    <w:rsid w:val="00BF1851"/>
    <w:rsid w:val="00BF1AED"/>
    <w:rsid w:val="00BF309B"/>
    <w:rsid w:val="00BF3A0B"/>
    <w:rsid w:val="00BF5985"/>
    <w:rsid w:val="00BF5D04"/>
    <w:rsid w:val="00BF6990"/>
    <w:rsid w:val="00BF6AF8"/>
    <w:rsid w:val="00C02B79"/>
    <w:rsid w:val="00C02C05"/>
    <w:rsid w:val="00C049E0"/>
    <w:rsid w:val="00C05B8D"/>
    <w:rsid w:val="00C0663E"/>
    <w:rsid w:val="00C06E86"/>
    <w:rsid w:val="00C078AF"/>
    <w:rsid w:val="00C1164D"/>
    <w:rsid w:val="00C1302F"/>
    <w:rsid w:val="00C130D3"/>
    <w:rsid w:val="00C16861"/>
    <w:rsid w:val="00C16C01"/>
    <w:rsid w:val="00C27462"/>
    <w:rsid w:val="00C32765"/>
    <w:rsid w:val="00C345C5"/>
    <w:rsid w:val="00C34AE7"/>
    <w:rsid w:val="00C34F45"/>
    <w:rsid w:val="00C360F9"/>
    <w:rsid w:val="00C37F77"/>
    <w:rsid w:val="00C404A6"/>
    <w:rsid w:val="00C40A36"/>
    <w:rsid w:val="00C417D3"/>
    <w:rsid w:val="00C44419"/>
    <w:rsid w:val="00C452DD"/>
    <w:rsid w:val="00C45E7B"/>
    <w:rsid w:val="00C471B1"/>
    <w:rsid w:val="00C514D5"/>
    <w:rsid w:val="00C527BB"/>
    <w:rsid w:val="00C52DF7"/>
    <w:rsid w:val="00C5340C"/>
    <w:rsid w:val="00C5341C"/>
    <w:rsid w:val="00C53802"/>
    <w:rsid w:val="00C53EEC"/>
    <w:rsid w:val="00C545CC"/>
    <w:rsid w:val="00C54B5D"/>
    <w:rsid w:val="00C602C3"/>
    <w:rsid w:val="00C605DF"/>
    <w:rsid w:val="00C60826"/>
    <w:rsid w:val="00C61439"/>
    <w:rsid w:val="00C6232A"/>
    <w:rsid w:val="00C62509"/>
    <w:rsid w:val="00C6316B"/>
    <w:rsid w:val="00C634A9"/>
    <w:rsid w:val="00C64586"/>
    <w:rsid w:val="00C64739"/>
    <w:rsid w:val="00C66C4A"/>
    <w:rsid w:val="00C70D53"/>
    <w:rsid w:val="00C713C1"/>
    <w:rsid w:val="00C72919"/>
    <w:rsid w:val="00C72CC2"/>
    <w:rsid w:val="00C73D0B"/>
    <w:rsid w:val="00C75A62"/>
    <w:rsid w:val="00C76EE8"/>
    <w:rsid w:val="00C772FF"/>
    <w:rsid w:val="00C80137"/>
    <w:rsid w:val="00C801AF"/>
    <w:rsid w:val="00C80220"/>
    <w:rsid w:val="00C80256"/>
    <w:rsid w:val="00C80659"/>
    <w:rsid w:val="00C815BE"/>
    <w:rsid w:val="00C81C1D"/>
    <w:rsid w:val="00C8228B"/>
    <w:rsid w:val="00C822D5"/>
    <w:rsid w:val="00C84092"/>
    <w:rsid w:val="00C84507"/>
    <w:rsid w:val="00C85E2C"/>
    <w:rsid w:val="00C86B1F"/>
    <w:rsid w:val="00C918E4"/>
    <w:rsid w:val="00C93112"/>
    <w:rsid w:val="00C93865"/>
    <w:rsid w:val="00C93A21"/>
    <w:rsid w:val="00C94B40"/>
    <w:rsid w:val="00C953EB"/>
    <w:rsid w:val="00C96927"/>
    <w:rsid w:val="00C96F10"/>
    <w:rsid w:val="00CA2428"/>
    <w:rsid w:val="00CA2E22"/>
    <w:rsid w:val="00CA3138"/>
    <w:rsid w:val="00CA6460"/>
    <w:rsid w:val="00CB38EC"/>
    <w:rsid w:val="00CB6BC0"/>
    <w:rsid w:val="00CB705C"/>
    <w:rsid w:val="00CC03D8"/>
    <w:rsid w:val="00CC0A5B"/>
    <w:rsid w:val="00CC1B7C"/>
    <w:rsid w:val="00CC2060"/>
    <w:rsid w:val="00CC6819"/>
    <w:rsid w:val="00CC6E3B"/>
    <w:rsid w:val="00CC727F"/>
    <w:rsid w:val="00CC7A86"/>
    <w:rsid w:val="00CC7BE6"/>
    <w:rsid w:val="00CD04CF"/>
    <w:rsid w:val="00CD14B7"/>
    <w:rsid w:val="00CD1CE4"/>
    <w:rsid w:val="00CD277B"/>
    <w:rsid w:val="00CD52B1"/>
    <w:rsid w:val="00CD5421"/>
    <w:rsid w:val="00CE1F20"/>
    <w:rsid w:val="00CE32D6"/>
    <w:rsid w:val="00CE40AD"/>
    <w:rsid w:val="00CE5360"/>
    <w:rsid w:val="00CF0B74"/>
    <w:rsid w:val="00CF15C3"/>
    <w:rsid w:val="00CF2B6F"/>
    <w:rsid w:val="00CF33F8"/>
    <w:rsid w:val="00CF3A82"/>
    <w:rsid w:val="00CF3E21"/>
    <w:rsid w:val="00CF58B6"/>
    <w:rsid w:val="00CF676C"/>
    <w:rsid w:val="00CF6D93"/>
    <w:rsid w:val="00D010D3"/>
    <w:rsid w:val="00D0152E"/>
    <w:rsid w:val="00D017ED"/>
    <w:rsid w:val="00D026CE"/>
    <w:rsid w:val="00D03EDD"/>
    <w:rsid w:val="00D040D3"/>
    <w:rsid w:val="00D04C65"/>
    <w:rsid w:val="00D05ABF"/>
    <w:rsid w:val="00D07579"/>
    <w:rsid w:val="00D10304"/>
    <w:rsid w:val="00D1053A"/>
    <w:rsid w:val="00D1159A"/>
    <w:rsid w:val="00D12449"/>
    <w:rsid w:val="00D139C0"/>
    <w:rsid w:val="00D15357"/>
    <w:rsid w:val="00D16457"/>
    <w:rsid w:val="00D171BD"/>
    <w:rsid w:val="00D17DA2"/>
    <w:rsid w:val="00D209E2"/>
    <w:rsid w:val="00D224FE"/>
    <w:rsid w:val="00D24945"/>
    <w:rsid w:val="00D253E6"/>
    <w:rsid w:val="00D255E1"/>
    <w:rsid w:val="00D25B5E"/>
    <w:rsid w:val="00D27309"/>
    <w:rsid w:val="00D30951"/>
    <w:rsid w:val="00D30E29"/>
    <w:rsid w:val="00D31743"/>
    <w:rsid w:val="00D37F16"/>
    <w:rsid w:val="00D41EF3"/>
    <w:rsid w:val="00D44F28"/>
    <w:rsid w:val="00D459C4"/>
    <w:rsid w:val="00D47569"/>
    <w:rsid w:val="00D50006"/>
    <w:rsid w:val="00D506F8"/>
    <w:rsid w:val="00D514D0"/>
    <w:rsid w:val="00D5215E"/>
    <w:rsid w:val="00D54268"/>
    <w:rsid w:val="00D559BD"/>
    <w:rsid w:val="00D632E2"/>
    <w:rsid w:val="00D6493E"/>
    <w:rsid w:val="00D72BCB"/>
    <w:rsid w:val="00D7301E"/>
    <w:rsid w:val="00D74151"/>
    <w:rsid w:val="00D81974"/>
    <w:rsid w:val="00D82733"/>
    <w:rsid w:val="00D82904"/>
    <w:rsid w:val="00D838BE"/>
    <w:rsid w:val="00D8392E"/>
    <w:rsid w:val="00D83AE1"/>
    <w:rsid w:val="00D845C7"/>
    <w:rsid w:val="00D855D4"/>
    <w:rsid w:val="00D867B9"/>
    <w:rsid w:val="00D9066F"/>
    <w:rsid w:val="00D92487"/>
    <w:rsid w:val="00D928AA"/>
    <w:rsid w:val="00D92D0E"/>
    <w:rsid w:val="00D93466"/>
    <w:rsid w:val="00D938C8"/>
    <w:rsid w:val="00D966C8"/>
    <w:rsid w:val="00D96779"/>
    <w:rsid w:val="00DA029A"/>
    <w:rsid w:val="00DA1124"/>
    <w:rsid w:val="00DA18AE"/>
    <w:rsid w:val="00DA2351"/>
    <w:rsid w:val="00DA36C1"/>
    <w:rsid w:val="00DA5671"/>
    <w:rsid w:val="00DB0BF8"/>
    <w:rsid w:val="00DB23E3"/>
    <w:rsid w:val="00DB493E"/>
    <w:rsid w:val="00DB55F8"/>
    <w:rsid w:val="00DB6124"/>
    <w:rsid w:val="00DB757B"/>
    <w:rsid w:val="00DB75B7"/>
    <w:rsid w:val="00DC16B1"/>
    <w:rsid w:val="00DC5CC9"/>
    <w:rsid w:val="00DC6E02"/>
    <w:rsid w:val="00DC6EF7"/>
    <w:rsid w:val="00DD2B94"/>
    <w:rsid w:val="00DD375B"/>
    <w:rsid w:val="00DD3CC9"/>
    <w:rsid w:val="00DD5683"/>
    <w:rsid w:val="00DD56C1"/>
    <w:rsid w:val="00DD7AC4"/>
    <w:rsid w:val="00DE02AE"/>
    <w:rsid w:val="00DE0A40"/>
    <w:rsid w:val="00DE1BD5"/>
    <w:rsid w:val="00DE68BA"/>
    <w:rsid w:val="00DE7FD2"/>
    <w:rsid w:val="00DF0893"/>
    <w:rsid w:val="00DF1D7F"/>
    <w:rsid w:val="00DF2664"/>
    <w:rsid w:val="00DF27CE"/>
    <w:rsid w:val="00DF3992"/>
    <w:rsid w:val="00DF4BE4"/>
    <w:rsid w:val="00DF6FCA"/>
    <w:rsid w:val="00DF73E7"/>
    <w:rsid w:val="00E02FB4"/>
    <w:rsid w:val="00E03610"/>
    <w:rsid w:val="00E04B35"/>
    <w:rsid w:val="00E04B61"/>
    <w:rsid w:val="00E05E83"/>
    <w:rsid w:val="00E06297"/>
    <w:rsid w:val="00E07F6E"/>
    <w:rsid w:val="00E12904"/>
    <w:rsid w:val="00E1330C"/>
    <w:rsid w:val="00E14958"/>
    <w:rsid w:val="00E14D9B"/>
    <w:rsid w:val="00E16361"/>
    <w:rsid w:val="00E20571"/>
    <w:rsid w:val="00E206C8"/>
    <w:rsid w:val="00E20B0E"/>
    <w:rsid w:val="00E2147B"/>
    <w:rsid w:val="00E21691"/>
    <w:rsid w:val="00E2217F"/>
    <w:rsid w:val="00E235F7"/>
    <w:rsid w:val="00E23659"/>
    <w:rsid w:val="00E239D4"/>
    <w:rsid w:val="00E23F85"/>
    <w:rsid w:val="00E2535D"/>
    <w:rsid w:val="00E26130"/>
    <w:rsid w:val="00E274D1"/>
    <w:rsid w:val="00E27789"/>
    <w:rsid w:val="00E373C9"/>
    <w:rsid w:val="00E40B17"/>
    <w:rsid w:val="00E40B22"/>
    <w:rsid w:val="00E42065"/>
    <w:rsid w:val="00E434EA"/>
    <w:rsid w:val="00E45619"/>
    <w:rsid w:val="00E4588F"/>
    <w:rsid w:val="00E45AB3"/>
    <w:rsid w:val="00E46DA3"/>
    <w:rsid w:val="00E47971"/>
    <w:rsid w:val="00E51BB1"/>
    <w:rsid w:val="00E536AE"/>
    <w:rsid w:val="00E57A04"/>
    <w:rsid w:val="00E57FEB"/>
    <w:rsid w:val="00E614A4"/>
    <w:rsid w:val="00E6186E"/>
    <w:rsid w:val="00E624A5"/>
    <w:rsid w:val="00E671AC"/>
    <w:rsid w:val="00E671E1"/>
    <w:rsid w:val="00E7344E"/>
    <w:rsid w:val="00E76671"/>
    <w:rsid w:val="00E76C86"/>
    <w:rsid w:val="00E806FE"/>
    <w:rsid w:val="00E809A8"/>
    <w:rsid w:val="00E81165"/>
    <w:rsid w:val="00E830E2"/>
    <w:rsid w:val="00E90894"/>
    <w:rsid w:val="00E90D92"/>
    <w:rsid w:val="00E91AD7"/>
    <w:rsid w:val="00E92626"/>
    <w:rsid w:val="00E926F7"/>
    <w:rsid w:val="00E9457A"/>
    <w:rsid w:val="00E96642"/>
    <w:rsid w:val="00E97D45"/>
    <w:rsid w:val="00EA3204"/>
    <w:rsid w:val="00EA6DA2"/>
    <w:rsid w:val="00EA726E"/>
    <w:rsid w:val="00EB0798"/>
    <w:rsid w:val="00EB0DD9"/>
    <w:rsid w:val="00EB316A"/>
    <w:rsid w:val="00EB40AD"/>
    <w:rsid w:val="00EB4E4D"/>
    <w:rsid w:val="00EB586E"/>
    <w:rsid w:val="00EB5FC8"/>
    <w:rsid w:val="00EB6066"/>
    <w:rsid w:val="00EB6EF4"/>
    <w:rsid w:val="00EC15D8"/>
    <w:rsid w:val="00EC1834"/>
    <w:rsid w:val="00EC4BAB"/>
    <w:rsid w:val="00EC6A1B"/>
    <w:rsid w:val="00EC7A85"/>
    <w:rsid w:val="00EC7E38"/>
    <w:rsid w:val="00ED055A"/>
    <w:rsid w:val="00ED2F1E"/>
    <w:rsid w:val="00ED3ACD"/>
    <w:rsid w:val="00ED3CAD"/>
    <w:rsid w:val="00ED3FF8"/>
    <w:rsid w:val="00ED5A41"/>
    <w:rsid w:val="00ED5B6E"/>
    <w:rsid w:val="00ED5C9C"/>
    <w:rsid w:val="00ED6B5D"/>
    <w:rsid w:val="00ED73BD"/>
    <w:rsid w:val="00EE1DE8"/>
    <w:rsid w:val="00EE223A"/>
    <w:rsid w:val="00EE28BE"/>
    <w:rsid w:val="00EE3CEB"/>
    <w:rsid w:val="00EE4E92"/>
    <w:rsid w:val="00EE79C7"/>
    <w:rsid w:val="00EE7D0A"/>
    <w:rsid w:val="00EF00CD"/>
    <w:rsid w:val="00EF34A4"/>
    <w:rsid w:val="00EF4347"/>
    <w:rsid w:val="00EF452A"/>
    <w:rsid w:val="00EF594E"/>
    <w:rsid w:val="00EF635E"/>
    <w:rsid w:val="00EF7017"/>
    <w:rsid w:val="00F02E14"/>
    <w:rsid w:val="00F033EC"/>
    <w:rsid w:val="00F04F68"/>
    <w:rsid w:val="00F05132"/>
    <w:rsid w:val="00F0528F"/>
    <w:rsid w:val="00F1160B"/>
    <w:rsid w:val="00F12670"/>
    <w:rsid w:val="00F14B27"/>
    <w:rsid w:val="00F1781A"/>
    <w:rsid w:val="00F23692"/>
    <w:rsid w:val="00F266B1"/>
    <w:rsid w:val="00F27FA1"/>
    <w:rsid w:val="00F309C7"/>
    <w:rsid w:val="00F3148D"/>
    <w:rsid w:val="00F325C5"/>
    <w:rsid w:val="00F32FE0"/>
    <w:rsid w:val="00F35298"/>
    <w:rsid w:val="00F354F6"/>
    <w:rsid w:val="00F3735B"/>
    <w:rsid w:val="00F37FB9"/>
    <w:rsid w:val="00F437A6"/>
    <w:rsid w:val="00F43D38"/>
    <w:rsid w:val="00F44138"/>
    <w:rsid w:val="00F47333"/>
    <w:rsid w:val="00F47E37"/>
    <w:rsid w:val="00F53158"/>
    <w:rsid w:val="00F53C07"/>
    <w:rsid w:val="00F54B65"/>
    <w:rsid w:val="00F54D81"/>
    <w:rsid w:val="00F60AE4"/>
    <w:rsid w:val="00F61D84"/>
    <w:rsid w:val="00F63F9C"/>
    <w:rsid w:val="00F640B6"/>
    <w:rsid w:val="00F64CC6"/>
    <w:rsid w:val="00F668D4"/>
    <w:rsid w:val="00F7352F"/>
    <w:rsid w:val="00F75AC5"/>
    <w:rsid w:val="00F760A5"/>
    <w:rsid w:val="00F806E1"/>
    <w:rsid w:val="00F80E40"/>
    <w:rsid w:val="00F848D9"/>
    <w:rsid w:val="00F91C14"/>
    <w:rsid w:val="00F94C46"/>
    <w:rsid w:val="00F94F69"/>
    <w:rsid w:val="00F95177"/>
    <w:rsid w:val="00F96F8E"/>
    <w:rsid w:val="00F97222"/>
    <w:rsid w:val="00FA0C7F"/>
    <w:rsid w:val="00FA1F5F"/>
    <w:rsid w:val="00FA312D"/>
    <w:rsid w:val="00FA4480"/>
    <w:rsid w:val="00FA5B82"/>
    <w:rsid w:val="00FA639E"/>
    <w:rsid w:val="00FB195B"/>
    <w:rsid w:val="00FB3496"/>
    <w:rsid w:val="00FB3A1B"/>
    <w:rsid w:val="00FB448F"/>
    <w:rsid w:val="00FB6073"/>
    <w:rsid w:val="00FB641D"/>
    <w:rsid w:val="00FB7865"/>
    <w:rsid w:val="00FC25E4"/>
    <w:rsid w:val="00FC4A58"/>
    <w:rsid w:val="00FC4DB9"/>
    <w:rsid w:val="00FC4EF7"/>
    <w:rsid w:val="00FC7FEF"/>
    <w:rsid w:val="00FD282D"/>
    <w:rsid w:val="00FD3DF6"/>
    <w:rsid w:val="00FD3EFF"/>
    <w:rsid w:val="00FD3F24"/>
    <w:rsid w:val="00FD6DEE"/>
    <w:rsid w:val="00FE1042"/>
    <w:rsid w:val="00FE1DEE"/>
    <w:rsid w:val="00FE2FDD"/>
    <w:rsid w:val="00FE7851"/>
    <w:rsid w:val="00FF0739"/>
    <w:rsid w:val="00FF1227"/>
    <w:rsid w:val="00FF16A3"/>
    <w:rsid w:val="00FF2126"/>
    <w:rsid w:val="00FF22E2"/>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Outline List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F1227"/>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lang w:val="x-none" w:eastAsia="x-none"/>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 w:val="20"/>
      <w:szCs w:val="21"/>
      <w:lang w:val="x-none" w:eastAsia="x-none"/>
    </w:rPr>
  </w:style>
  <w:style w:type="paragraph" w:styleId="Heading4">
    <w:name w:val="heading 4"/>
    <w:basedOn w:val="Normal"/>
    <w:next w:val="Normal"/>
    <w:link w:val="Heading4Char"/>
    <w:qFormat/>
    <w:rsid w:val="00AD0083"/>
    <w:pPr>
      <w:keepNext/>
      <w:spacing w:before="360" w:after="0" w:line="220" w:lineRule="atLeast"/>
      <w:outlineLvl w:val="3"/>
    </w:pPr>
    <w:rPr>
      <w:b/>
      <w:bCs/>
      <w:sz w:val="20"/>
      <w:szCs w:val="21"/>
      <w:lang w:val="x-none" w:eastAsia="x-none"/>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 w:val="20"/>
      <w:szCs w:val="21"/>
      <w:lang w:val="x-none" w:eastAsia="x-none"/>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 w:val="20"/>
      <w:szCs w:val="21"/>
      <w:lang w:val="x-none" w:eastAsia="x-none"/>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8960DD"/>
    <w:rPr>
      <w:rFonts w:ascii="Arial" w:eastAsia="Times New Roman" w:hAnsi="Arial" w:cs="Times New Roman"/>
      <w:b/>
      <w:bCs/>
      <w:sz w:val="32"/>
      <w:szCs w:val="26"/>
    </w:rPr>
  </w:style>
  <w:style w:type="character" w:customStyle="1" w:styleId="Heading3Char">
    <w:name w:val="Heading 3 Char"/>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szCs w:val="20"/>
      <w:lang w:val="x-none" w:eastAsia="x-none"/>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F1227"/>
    <w:pPr>
      <w:keepNext/>
      <w:spacing w:line="220" w:lineRule="atLeast"/>
    </w:pPr>
    <w:rPr>
      <w:b/>
    </w:rPr>
  </w:style>
  <w:style w:type="character" w:customStyle="1" w:styleId="Heading4Char">
    <w:name w:val="Heading 4 Char"/>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szCs w:val="20"/>
      <w:lang w:val="x-none" w:eastAsia="x-none"/>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szCs w:val="20"/>
      <w:lang w:val="x-none" w:eastAsia="x-none"/>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uiPriority w:val="9"/>
    <w:rsid w:val="008960DD"/>
    <w:rPr>
      <w:rFonts w:ascii="Cambria" w:eastAsia="Times New Roman" w:hAnsi="Cambria" w:cs="Times New Roman"/>
      <w:b/>
      <w:bCs/>
      <w:i/>
      <w:color w:val="001523"/>
      <w:szCs w:val="21"/>
    </w:rPr>
  </w:style>
  <w:style w:type="character" w:customStyle="1" w:styleId="Heading6Char">
    <w:name w:val="Heading 6 Char"/>
    <w:link w:val="Heading6"/>
    <w:uiPriority w:val="9"/>
    <w:rsid w:val="00577130"/>
    <w:rPr>
      <w:rFonts w:ascii="Cambria" w:eastAsia="Times New Roman" w:hAnsi="Cambria" w:cs="Times New Roman"/>
      <w:bCs/>
      <w:i/>
      <w:szCs w:val="21"/>
    </w:rPr>
  </w:style>
  <w:style w:type="character" w:customStyle="1" w:styleId="Heading7Char">
    <w:name w:val="Heading 7 Char"/>
    <w:link w:val="Heading7"/>
    <w:uiPriority w:val="9"/>
    <w:rsid w:val="00AD0083"/>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lang w:val="x-none" w:eastAsia="x-none"/>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F37FB9"/>
    <w:pPr>
      <w:spacing w:before="0" w:line="240" w:lineRule="auto"/>
    </w:pPr>
    <w:rPr>
      <w:sz w:val="18"/>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color w:val="002035"/>
      <w:sz w:val="28"/>
      <w:lang w:val="en-US"/>
    </w:rPr>
  </w:style>
  <w:style w:type="paragraph" w:styleId="FootnoteText">
    <w:name w:val="footnote text"/>
    <w:basedOn w:val="Normal"/>
    <w:link w:val="FootnoteTextChar"/>
    <w:uiPriority w:val="99"/>
    <w:semiHidden/>
    <w:unhideWhenUsed/>
    <w:rsid w:val="00FF1227"/>
    <w:pPr>
      <w:spacing w:before="0" w:after="0" w:line="240" w:lineRule="auto"/>
    </w:pPr>
    <w:rPr>
      <w:sz w:val="18"/>
      <w:szCs w:val="20"/>
      <w:lang w:val="x-none"/>
    </w:rPr>
  </w:style>
  <w:style w:type="character" w:customStyle="1" w:styleId="FootnoteTextChar">
    <w:name w:val="Footnote Text Char"/>
    <w:link w:val="FootnoteText"/>
    <w:uiPriority w:val="99"/>
    <w:semiHidden/>
    <w:rsid w:val="00FF1227"/>
    <w:rPr>
      <w:sz w:val="18"/>
      <w:lang w:val="x-none" w:eastAsia="en-US"/>
    </w:rPr>
  </w:style>
  <w:style w:type="character" w:styleId="FootnoteReference">
    <w:name w:val="footnote reference"/>
    <w:uiPriority w:val="99"/>
    <w:semiHidden/>
    <w:unhideWhenUsed/>
    <w:rsid w:val="00777C5D"/>
    <w:rPr>
      <w:vertAlign w:val="superscript"/>
    </w:rPr>
  </w:style>
  <w:style w:type="paragraph" w:customStyle="1" w:styleId="QuestiontoSponsor">
    <w:name w:val="Question to Sponsor"/>
    <w:basedOn w:val="Normal"/>
    <w:autoRedefine/>
    <w:rsid w:val="00FD3DF6"/>
    <w:pPr>
      <w:numPr>
        <w:ilvl w:val="1"/>
        <w:numId w:val="5"/>
      </w:numPr>
      <w:spacing w:before="0" w:line="240" w:lineRule="auto"/>
    </w:pPr>
    <w:rPr>
      <w:rFonts w:ascii="Century Gothic" w:eastAsia="Times New Roman" w:hAnsi="Century Gothic"/>
      <w:b/>
      <w:sz w:val="24"/>
      <w:szCs w:val="20"/>
    </w:rPr>
  </w:style>
  <w:style w:type="paragraph" w:customStyle="1" w:styleId="GuidanceText-Bulleted">
    <w:name w:val="Guidance Text-Bulleted"/>
    <w:basedOn w:val="Normal"/>
    <w:rsid w:val="00FD3DF6"/>
    <w:pPr>
      <w:numPr>
        <w:numId w:val="5"/>
      </w:numPr>
      <w:tabs>
        <w:tab w:val="num" w:pos="643"/>
        <w:tab w:val="num" w:pos="4046"/>
      </w:tabs>
      <w:autoSpaceDE w:val="0"/>
      <w:autoSpaceDN w:val="0"/>
      <w:adjustRightInd w:val="0"/>
      <w:spacing w:before="240" w:after="0" w:line="240" w:lineRule="auto"/>
      <w:ind w:left="643"/>
    </w:pPr>
    <w:rPr>
      <w:rFonts w:ascii="Calibri" w:eastAsia="Times New Roman" w:hAnsi="Calibri" w:cs="Cambria"/>
      <w:color w:val="000000"/>
      <w:lang w:eastAsia="en-AU"/>
    </w:rPr>
  </w:style>
  <w:style w:type="paragraph" w:customStyle="1" w:styleId="Bulletpoint">
    <w:name w:val="Bullet point"/>
    <w:basedOn w:val="Normal"/>
    <w:rsid w:val="00B357B1"/>
    <w:pPr>
      <w:numPr>
        <w:numId w:val="6"/>
      </w:numPr>
      <w:tabs>
        <w:tab w:val="clear" w:pos="369"/>
        <w:tab w:val="left" w:pos="397"/>
        <w:tab w:val="num" w:pos="511"/>
      </w:tabs>
      <w:spacing w:before="0" w:after="180" w:line="252" w:lineRule="auto"/>
      <w:ind w:left="397" w:firstLine="0"/>
    </w:pPr>
    <w:rPr>
      <w:rFonts w:eastAsia="Times New Roman"/>
      <w:snapToGrid w:val="0"/>
      <w:kern w:val="16"/>
      <w:sz w:val="23"/>
      <w:szCs w:val="24"/>
    </w:rPr>
  </w:style>
  <w:style w:type="paragraph" w:customStyle="1" w:styleId="Standard">
    <w:name w:val="Standard"/>
    <w:basedOn w:val="Normal"/>
    <w:link w:val="StandardChar"/>
    <w:rsid w:val="00B357B1"/>
    <w:pPr>
      <w:spacing w:before="0" w:after="220" w:line="252" w:lineRule="auto"/>
    </w:pPr>
    <w:rPr>
      <w:rFonts w:eastAsia="Times New Roman"/>
      <w:snapToGrid w:val="0"/>
      <w:kern w:val="16"/>
      <w:sz w:val="23"/>
      <w:szCs w:val="24"/>
      <w:lang w:val="x-none"/>
    </w:rPr>
  </w:style>
  <w:style w:type="character" w:customStyle="1" w:styleId="StandardChar">
    <w:name w:val="Standard Char"/>
    <w:link w:val="Standard"/>
    <w:rsid w:val="00B357B1"/>
    <w:rPr>
      <w:rFonts w:eastAsia="Times New Roman"/>
      <w:snapToGrid w:val="0"/>
      <w:kern w:val="16"/>
      <w:sz w:val="23"/>
      <w:szCs w:val="24"/>
      <w:lang w:eastAsia="en-US"/>
    </w:rPr>
  </w:style>
  <w:style w:type="paragraph" w:customStyle="1" w:styleId="AssessmentSubsection">
    <w:name w:val="Assessment Subsection"/>
    <w:basedOn w:val="Standard"/>
    <w:next w:val="Standard"/>
    <w:rsid w:val="005003CC"/>
    <w:pPr>
      <w:keepNext/>
      <w:spacing w:after="110"/>
      <w:outlineLvl w:val="2"/>
    </w:pPr>
    <w:rPr>
      <w:b/>
      <w:i/>
    </w:rPr>
  </w:style>
  <w:style w:type="paragraph" w:customStyle="1" w:styleId="WhiteSpace">
    <w:name w:val="White Space"/>
    <w:basedOn w:val="Standard"/>
    <w:link w:val="WhiteSpaceChar"/>
    <w:rsid w:val="00B03BEF"/>
    <w:pPr>
      <w:spacing w:after="0"/>
    </w:pPr>
    <w:rPr>
      <w:sz w:val="16"/>
      <w:szCs w:val="16"/>
    </w:rPr>
  </w:style>
  <w:style w:type="character" w:customStyle="1" w:styleId="WhiteSpaceChar">
    <w:name w:val="White Space Char"/>
    <w:link w:val="WhiteSpace"/>
    <w:rsid w:val="00B03BEF"/>
    <w:rPr>
      <w:rFonts w:eastAsia="Times New Roman"/>
      <w:snapToGrid w:val="0"/>
      <w:kern w:val="16"/>
      <w:sz w:val="16"/>
      <w:szCs w:val="16"/>
      <w:lang w:eastAsia="en-US"/>
    </w:rPr>
  </w:style>
  <w:style w:type="paragraph" w:customStyle="1" w:styleId="AssessmentSubsection2">
    <w:name w:val="Assessment Subsection 2"/>
    <w:basedOn w:val="AssessmentSubsection"/>
    <w:next w:val="Standard"/>
    <w:rsid w:val="00D82904"/>
    <w:pPr>
      <w:outlineLvl w:val="3"/>
    </w:pPr>
    <w:rPr>
      <w:b w:val="0"/>
    </w:rPr>
  </w:style>
  <w:style w:type="paragraph" w:customStyle="1" w:styleId="TableCaption">
    <w:name w:val="Table Caption"/>
    <w:basedOn w:val="Standard"/>
    <w:next w:val="Standard"/>
    <w:link w:val="TableCaptionChar"/>
    <w:rsid w:val="00C049E0"/>
    <w:pPr>
      <w:spacing w:before="60" w:after="440" w:line="215" w:lineRule="exact"/>
      <w:ind w:left="170"/>
    </w:pPr>
    <w:rPr>
      <w:sz w:val="18"/>
      <w:szCs w:val="19"/>
    </w:rPr>
  </w:style>
  <w:style w:type="character" w:customStyle="1" w:styleId="TableCaptionChar">
    <w:name w:val="Table Caption Char"/>
    <w:link w:val="TableCaption"/>
    <w:rsid w:val="00C049E0"/>
    <w:rPr>
      <w:rFonts w:eastAsia="Times New Roman"/>
      <w:snapToGrid w:val="0"/>
      <w:kern w:val="16"/>
      <w:sz w:val="18"/>
      <w:szCs w:val="19"/>
      <w:lang w:eastAsia="en-US"/>
    </w:rPr>
  </w:style>
  <w:style w:type="numbering" w:styleId="1ai">
    <w:name w:val="Outline List 1"/>
    <w:basedOn w:val="NoList"/>
    <w:semiHidden/>
    <w:rsid w:val="00C049E0"/>
    <w:pPr>
      <w:numPr>
        <w:numId w:val="7"/>
      </w:numPr>
    </w:pPr>
  </w:style>
  <w:style w:type="paragraph" w:customStyle="1" w:styleId="AssessmentSection">
    <w:name w:val="Assessment Section"/>
    <w:basedOn w:val="AssessmentSubsection"/>
    <w:next w:val="Standard"/>
    <w:rsid w:val="00C049E0"/>
    <w:pPr>
      <w:outlineLvl w:val="1"/>
    </w:pPr>
    <w:rPr>
      <w:i w:val="0"/>
    </w:rPr>
  </w:style>
  <w:style w:type="paragraph" w:customStyle="1" w:styleId="Bullet1">
    <w:name w:val="Bullet 1"/>
    <w:basedOn w:val="Normal"/>
    <w:rsid w:val="005B7362"/>
    <w:pPr>
      <w:numPr>
        <w:numId w:val="8"/>
      </w:numPr>
      <w:spacing w:line="240" w:lineRule="auto"/>
      <w:jc w:val="both"/>
    </w:pPr>
    <w:rPr>
      <w:rFonts w:eastAsia="Times New Roman"/>
      <w:kern w:val="24"/>
      <w:szCs w:val="24"/>
      <w:lang w:val="en-US" w:eastAsia="en-AU"/>
    </w:rPr>
  </w:style>
  <w:style w:type="paragraph" w:customStyle="1" w:styleId="Bullet2">
    <w:name w:val="Bullet 2"/>
    <w:basedOn w:val="Bullet1"/>
    <w:rsid w:val="005B7362"/>
    <w:pPr>
      <w:numPr>
        <w:numId w:val="9"/>
      </w:numPr>
    </w:pPr>
  </w:style>
  <w:style w:type="paragraph" w:customStyle="1" w:styleId="Source">
    <w:name w:val="Source"/>
    <w:basedOn w:val="Normal"/>
    <w:qFormat/>
    <w:rsid w:val="00BC0DA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jc w:val="both"/>
    </w:pPr>
    <w:rPr>
      <w:rFonts w:eastAsia="Times New Roman"/>
      <w:kern w:val="16"/>
      <w:sz w:val="16"/>
      <w:szCs w:val="24"/>
      <w:lang w:val="en-US" w:eastAsia="en-AU"/>
    </w:rPr>
  </w:style>
  <w:style w:type="paragraph" w:styleId="ListParagraph">
    <w:name w:val="List Paragraph"/>
    <w:basedOn w:val="Normal"/>
    <w:uiPriority w:val="34"/>
    <w:qFormat/>
    <w:rsid w:val="008E091E"/>
    <w:pPr>
      <w:adjustRightInd w:val="0"/>
      <w:snapToGrid w:val="0"/>
      <w:spacing w:before="180" w:after="180"/>
      <w:ind w:left="720"/>
      <w:contextualSpacing/>
    </w:pPr>
    <w:rPr>
      <w:rFonts w:ascii="Arial" w:hAnsi="Arial" w:cs="Arial"/>
    </w:rPr>
  </w:style>
  <w:style w:type="character" w:styleId="CommentReference">
    <w:name w:val="annotation reference"/>
    <w:uiPriority w:val="99"/>
    <w:semiHidden/>
    <w:unhideWhenUsed/>
    <w:rsid w:val="00435845"/>
    <w:rPr>
      <w:sz w:val="16"/>
      <w:szCs w:val="16"/>
    </w:rPr>
  </w:style>
  <w:style w:type="paragraph" w:styleId="CommentText">
    <w:name w:val="annotation text"/>
    <w:basedOn w:val="Normal"/>
    <w:link w:val="CommentTextChar"/>
    <w:uiPriority w:val="99"/>
    <w:semiHidden/>
    <w:unhideWhenUsed/>
    <w:rsid w:val="00435845"/>
    <w:rPr>
      <w:sz w:val="20"/>
      <w:szCs w:val="20"/>
    </w:rPr>
  </w:style>
  <w:style w:type="character" w:customStyle="1" w:styleId="CommentTextChar">
    <w:name w:val="Comment Text Char"/>
    <w:link w:val="CommentText"/>
    <w:uiPriority w:val="99"/>
    <w:semiHidden/>
    <w:rsid w:val="00435845"/>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Outline List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F1227"/>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lang w:val="x-none" w:eastAsia="x-none"/>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 w:val="20"/>
      <w:szCs w:val="21"/>
      <w:lang w:val="x-none" w:eastAsia="x-none"/>
    </w:rPr>
  </w:style>
  <w:style w:type="paragraph" w:styleId="Heading4">
    <w:name w:val="heading 4"/>
    <w:basedOn w:val="Normal"/>
    <w:next w:val="Normal"/>
    <w:link w:val="Heading4Char"/>
    <w:qFormat/>
    <w:rsid w:val="00AD0083"/>
    <w:pPr>
      <w:keepNext/>
      <w:spacing w:before="360" w:after="0" w:line="220" w:lineRule="atLeast"/>
      <w:outlineLvl w:val="3"/>
    </w:pPr>
    <w:rPr>
      <w:b/>
      <w:bCs/>
      <w:sz w:val="20"/>
      <w:szCs w:val="21"/>
      <w:lang w:val="x-none" w:eastAsia="x-none"/>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 w:val="20"/>
      <w:szCs w:val="21"/>
      <w:lang w:val="x-none" w:eastAsia="x-none"/>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 w:val="20"/>
      <w:szCs w:val="21"/>
      <w:lang w:val="x-none" w:eastAsia="x-none"/>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8960DD"/>
    <w:rPr>
      <w:rFonts w:ascii="Arial" w:eastAsia="Times New Roman" w:hAnsi="Arial" w:cs="Times New Roman"/>
      <w:b/>
      <w:bCs/>
      <w:sz w:val="32"/>
      <w:szCs w:val="26"/>
    </w:rPr>
  </w:style>
  <w:style w:type="character" w:customStyle="1" w:styleId="Heading3Char">
    <w:name w:val="Heading 3 Char"/>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szCs w:val="20"/>
      <w:lang w:val="x-none" w:eastAsia="x-none"/>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F1227"/>
    <w:pPr>
      <w:keepNext/>
      <w:spacing w:line="220" w:lineRule="atLeast"/>
    </w:pPr>
    <w:rPr>
      <w:b/>
    </w:rPr>
  </w:style>
  <w:style w:type="character" w:customStyle="1" w:styleId="Heading4Char">
    <w:name w:val="Heading 4 Char"/>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szCs w:val="20"/>
      <w:lang w:val="x-none" w:eastAsia="x-none"/>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szCs w:val="20"/>
      <w:lang w:val="x-none" w:eastAsia="x-none"/>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uiPriority w:val="9"/>
    <w:rsid w:val="008960DD"/>
    <w:rPr>
      <w:rFonts w:ascii="Cambria" w:eastAsia="Times New Roman" w:hAnsi="Cambria" w:cs="Times New Roman"/>
      <w:b/>
      <w:bCs/>
      <w:i/>
      <w:color w:val="001523"/>
      <w:szCs w:val="21"/>
    </w:rPr>
  </w:style>
  <w:style w:type="character" w:customStyle="1" w:styleId="Heading6Char">
    <w:name w:val="Heading 6 Char"/>
    <w:link w:val="Heading6"/>
    <w:uiPriority w:val="9"/>
    <w:rsid w:val="00577130"/>
    <w:rPr>
      <w:rFonts w:ascii="Cambria" w:eastAsia="Times New Roman" w:hAnsi="Cambria" w:cs="Times New Roman"/>
      <w:bCs/>
      <w:i/>
      <w:szCs w:val="21"/>
    </w:rPr>
  </w:style>
  <w:style w:type="character" w:customStyle="1" w:styleId="Heading7Char">
    <w:name w:val="Heading 7 Char"/>
    <w:link w:val="Heading7"/>
    <w:uiPriority w:val="9"/>
    <w:rsid w:val="00AD0083"/>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lang w:val="x-none" w:eastAsia="x-none"/>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F37FB9"/>
    <w:pPr>
      <w:spacing w:before="0" w:line="240" w:lineRule="auto"/>
    </w:pPr>
    <w:rPr>
      <w:sz w:val="18"/>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color w:val="002035"/>
      <w:sz w:val="28"/>
      <w:lang w:val="en-US"/>
    </w:rPr>
  </w:style>
  <w:style w:type="paragraph" w:styleId="FootnoteText">
    <w:name w:val="footnote text"/>
    <w:basedOn w:val="Normal"/>
    <w:link w:val="FootnoteTextChar"/>
    <w:uiPriority w:val="99"/>
    <w:semiHidden/>
    <w:unhideWhenUsed/>
    <w:rsid w:val="00FF1227"/>
    <w:pPr>
      <w:spacing w:before="0" w:after="0" w:line="240" w:lineRule="auto"/>
    </w:pPr>
    <w:rPr>
      <w:sz w:val="18"/>
      <w:szCs w:val="20"/>
      <w:lang w:val="x-none"/>
    </w:rPr>
  </w:style>
  <w:style w:type="character" w:customStyle="1" w:styleId="FootnoteTextChar">
    <w:name w:val="Footnote Text Char"/>
    <w:link w:val="FootnoteText"/>
    <w:uiPriority w:val="99"/>
    <w:semiHidden/>
    <w:rsid w:val="00FF1227"/>
    <w:rPr>
      <w:sz w:val="18"/>
      <w:lang w:val="x-none" w:eastAsia="en-US"/>
    </w:rPr>
  </w:style>
  <w:style w:type="character" w:styleId="FootnoteReference">
    <w:name w:val="footnote reference"/>
    <w:uiPriority w:val="99"/>
    <w:semiHidden/>
    <w:unhideWhenUsed/>
    <w:rsid w:val="00777C5D"/>
    <w:rPr>
      <w:vertAlign w:val="superscript"/>
    </w:rPr>
  </w:style>
  <w:style w:type="paragraph" w:customStyle="1" w:styleId="QuestiontoSponsor">
    <w:name w:val="Question to Sponsor"/>
    <w:basedOn w:val="Normal"/>
    <w:autoRedefine/>
    <w:rsid w:val="00FD3DF6"/>
    <w:pPr>
      <w:numPr>
        <w:ilvl w:val="1"/>
        <w:numId w:val="5"/>
      </w:numPr>
      <w:spacing w:before="0" w:line="240" w:lineRule="auto"/>
    </w:pPr>
    <w:rPr>
      <w:rFonts w:ascii="Century Gothic" w:eastAsia="Times New Roman" w:hAnsi="Century Gothic"/>
      <w:b/>
      <w:sz w:val="24"/>
      <w:szCs w:val="20"/>
    </w:rPr>
  </w:style>
  <w:style w:type="paragraph" w:customStyle="1" w:styleId="GuidanceText-Bulleted">
    <w:name w:val="Guidance Text-Bulleted"/>
    <w:basedOn w:val="Normal"/>
    <w:rsid w:val="00FD3DF6"/>
    <w:pPr>
      <w:numPr>
        <w:numId w:val="5"/>
      </w:numPr>
      <w:tabs>
        <w:tab w:val="num" w:pos="643"/>
        <w:tab w:val="num" w:pos="4046"/>
      </w:tabs>
      <w:autoSpaceDE w:val="0"/>
      <w:autoSpaceDN w:val="0"/>
      <w:adjustRightInd w:val="0"/>
      <w:spacing w:before="240" w:after="0" w:line="240" w:lineRule="auto"/>
      <w:ind w:left="643"/>
    </w:pPr>
    <w:rPr>
      <w:rFonts w:ascii="Calibri" w:eastAsia="Times New Roman" w:hAnsi="Calibri" w:cs="Cambria"/>
      <w:color w:val="000000"/>
      <w:lang w:eastAsia="en-AU"/>
    </w:rPr>
  </w:style>
  <w:style w:type="paragraph" w:customStyle="1" w:styleId="Bulletpoint">
    <w:name w:val="Bullet point"/>
    <w:basedOn w:val="Normal"/>
    <w:rsid w:val="00B357B1"/>
    <w:pPr>
      <w:numPr>
        <w:numId w:val="6"/>
      </w:numPr>
      <w:tabs>
        <w:tab w:val="clear" w:pos="369"/>
        <w:tab w:val="left" w:pos="397"/>
        <w:tab w:val="num" w:pos="511"/>
      </w:tabs>
      <w:spacing w:before="0" w:after="180" w:line="252" w:lineRule="auto"/>
      <w:ind w:left="397" w:firstLine="0"/>
    </w:pPr>
    <w:rPr>
      <w:rFonts w:eastAsia="Times New Roman"/>
      <w:snapToGrid w:val="0"/>
      <w:kern w:val="16"/>
      <w:sz w:val="23"/>
      <w:szCs w:val="24"/>
    </w:rPr>
  </w:style>
  <w:style w:type="paragraph" w:customStyle="1" w:styleId="Standard">
    <w:name w:val="Standard"/>
    <w:basedOn w:val="Normal"/>
    <w:link w:val="StandardChar"/>
    <w:rsid w:val="00B357B1"/>
    <w:pPr>
      <w:spacing w:before="0" w:after="220" w:line="252" w:lineRule="auto"/>
    </w:pPr>
    <w:rPr>
      <w:rFonts w:eastAsia="Times New Roman"/>
      <w:snapToGrid w:val="0"/>
      <w:kern w:val="16"/>
      <w:sz w:val="23"/>
      <w:szCs w:val="24"/>
      <w:lang w:val="x-none"/>
    </w:rPr>
  </w:style>
  <w:style w:type="character" w:customStyle="1" w:styleId="StandardChar">
    <w:name w:val="Standard Char"/>
    <w:link w:val="Standard"/>
    <w:rsid w:val="00B357B1"/>
    <w:rPr>
      <w:rFonts w:eastAsia="Times New Roman"/>
      <w:snapToGrid w:val="0"/>
      <w:kern w:val="16"/>
      <w:sz w:val="23"/>
      <w:szCs w:val="24"/>
      <w:lang w:eastAsia="en-US"/>
    </w:rPr>
  </w:style>
  <w:style w:type="paragraph" w:customStyle="1" w:styleId="AssessmentSubsection">
    <w:name w:val="Assessment Subsection"/>
    <w:basedOn w:val="Standard"/>
    <w:next w:val="Standard"/>
    <w:rsid w:val="005003CC"/>
    <w:pPr>
      <w:keepNext/>
      <w:spacing w:after="110"/>
      <w:outlineLvl w:val="2"/>
    </w:pPr>
    <w:rPr>
      <w:b/>
      <w:i/>
    </w:rPr>
  </w:style>
  <w:style w:type="paragraph" w:customStyle="1" w:styleId="WhiteSpace">
    <w:name w:val="White Space"/>
    <w:basedOn w:val="Standard"/>
    <w:link w:val="WhiteSpaceChar"/>
    <w:rsid w:val="00B03BEF"/>
    <w:pPr>
      <w:spacing w:after="0"/>
    </w:pPr>
    <w:rPr>
      <w:sz w:val="16"/>
      <w:szCs w:val="16"/>
    </w:rPr>
  </w:style>
  <w:style w:type="character" w:customStyle="1" w:styleId="WhiteSpaceChar">
    <w:name w:val="White Space Char"/>
    <w:link w:val="WhiteSpace"/>
    <w:rsid w:val="00B03BEF"/>
    <w:rPr>
      <w:rFonts w:eastAsia="Times New Roman"/>
      <w:snapToGrid w:val="0"/>
      <w:kern w:val="16"/>
      <w:sz w:val="16"/>
      <w:szCs w:val="16"/>
      <w:lang w:eastAsia="en-US"/>
    </w:rPr>
  </w:style>
  <w:style w:type="paragraph" w:customStyle="1" w:styleId="AssessmentSubsection2">
    <w:name w:val="Assessment Subsection 2"/>
    <w:basedOn w:val="AssessmentSubsection"/>
    <w:next w:val="Standard"/>
    <w:rsid w:val="00D82904"/>
    <w:pPr>
      <w:outlineLvl w:val="3"/>
    </w:pPr>
    <w:rPr>
      <w:b w:val="0"/>
    </w:rPr>
  </w:style>
  <w:style w:type="paragraph" w:customStyle="1" w:styleId="TableCaption">
    <w:name w:val="Table Caption"/>
    <w:basedOn w:val="Standard"/>
    <w:next w:val="Standard"/>
    <w:link w:val="TableCaptionChar"/>
    <w:rsid w:val="00C049E0"/>
    <w:pPr>
      <w:spacing w:before="60" w:after="440" w:line="215" w:lineRule="exact"/>
      <w:ind w:left="170"/>
    </w:pPr>
    <w:rPr>
      <w:sz w:val="18"/>
      <w:szCs w:val="19"/>
    </w:rPr>
  </w:style>
  <w:style w:type="character" w:customStyle="1" w:styleId="TableCaptionChar">
    <w:name w:val="Table Caption Char"/>
    <w:link w:val="TableCaption"/>
    <w:rsid w:val="00C049E0"/>
    <w:rPr>
      <w:rFonts w:eastAsia="Times New Roman"/>
      <w:snapToGrid w:val="0"/>
      <w:kern w:val="16"/>
      <w:sz w:val="18"/>
      <w:szCs w:val="19"/>
      <w:lang w:eastAsia="en-US"/>
    </w:rPr>
  </w:style>
  <w:style w:type="numbering" w:styleId="1ai">
    <w:name w:val="Outline List 1"/>
    <w:basedOn w:val="NoList"/>
    <w:semiHidden/>
    <w:rsid w:val="00C049E0"/>
    <w:pPr>
      <w:numPr>
        <w:numId w:val="7"/>
      </w:numPr>
    </w:pPr>
  </w:style>
  <w:style w:type="paragraph" w:customStyle="1" w:styleId="AssessmentSection">
    <w:name w:val="Assessment Section"/>
    <w:basedOn w:val="AssessmentSubsection"/>
    <w:next w:val="Standard"/>
    <w:rsid w:val="00C049E0"/>
    <w:pPr>
      <w:outlineLvl w:val="1"/>
    </w:pPr>
    <w:rPr>
      <w:i w:val="0"/>
    </w:rPr>
  </w:style>
  <w:style w:type="paragraph" w:customStyle="1" w:styleId="Bullet1">
    <w:name w:val="Bullet 1"/>
    <w:basedOn w:val="Normal"/>
    <w:rsid w:val="005B7362"/>
    <w:pPr>
      <w:numPr>
        <w:numId w:val="8"/>
      </w:numPr>
      <w:spacing w:line="240" w:lineRule="auto"/>
      <w:jc w:val="both"/>
    </w:pPr>
    <w:rPr>
      <w:rFonts w:eastAsia="Times New Roman"/>
      <w:kern w:val="24"/>
      <w:szCs w:val="24"/>
      <w:lang w:val="en-US" w:eastAsia="en-AU"/>
    </w:rPr>
  </w:style>
  <w:style w:type="paragraph" w:customStyle="1" w:styleId="Bullet2">
    <w:name w:val="Bullet 2"/>
    <w:basedOn w:val="Bullet1"/>
    <w:rsid w:val="005B7362"/>
    <w:pPr>
      <w:numPr>
        <w:numId w:val="9"/>
      </w:numPr>
    </w:pPr>
  </w:style>
  <w:style w:type="paragraph" w:customStyle="1" w:styleId="Source">
    <w:name w:val="Source"/>
    <w:basedOn w:val="Normal"/>
    <w:qFormat/>
    <w:rsid w:val="00BC0DA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jc w:val="both"/>
    </w:pPr>
    <w:rPr>
      <w:rFonts w:eastAsia="Times New Roman"/>
      <w:kern w:val="16"/>
      <w:sz w:val="16"/>
      <w:szCs w:val="24"/>
      <w:lang w:val="en-US" w:eastAsia="en-AU"/>
    </w:rPr>
  </w:style>
  <w:style w:type="paragraph" w:styleId="ListParagraph">
    <w:name w:val="List Paragraph"/>
    <w:basedOn w:val="Normal"/>
    <w:uiPriority w:val="34"/>
    <w:qFormat/>
    <w:rsid w:val="008E091E"/>
    <w:pPr>
      <w:adjustRightInd w:val="0"/>
      <w:snapToGrid w:val="0"/>
      <w:spacing w:before="180" w:after="180"/>
      <w:ind w:left="720"/>
      <w:contextualSpacing/>
    </w:pPr>
    <w:rPr>
      <w:rFonts w:ascii="Arial" w:hAnsi="Arial" w:cs="Arial"/>
    </w:rPr>
  </w:style>
  <w:style w:type="character" w:styleId="CommentReference">
    <w:name w:val="annotation reference"/>
    <w:uiPriority w:val="99"/>
    <w:semiHidden/>
    <w:unhideWhenUsed/>
    <w:rsid w:val="00435845"/>
    <w:rPr>
      <w:sz w:val="16"/>
      <w:szCs w:val="16"/>
    </w:rPr>
  </w:style>
  <w:style w:type="paragraph" w:styleId="CommentText">
    <w:name w:val="annotation text"/>
    <w:basedOn w:val="Normal"/>
    <w:link w:val="CommentTextChar"/>
    <w:uiPriority w:val="99"/>
    <w:semiHidden/>
    <w:unhideWhenUsed/>
    <w:rsid w:val="00435845"/>
    <w:rPr>
      <w:sz w:val="20"/>
      <w:szCs w:val="20"/>
    </w:rPr>
  </w:style>
  <w:style w:type="character" w:customStyle="1" w:styleId="CommentTextChar">
    <w:name w:val="Comment Text Char"/>
    <w:link w:val="CommentText"/>
    <w:uiPriority w:val="99"/>
    <w:semiHidden/>
    <w:rsid w:val="00435845"/>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header" Target="header5.xml"/><Relationship Id="rId50" Type="http://schemas.openxmlformats.org/officeDocument/2006/relationships/header" Target="header7.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eader" Target="header4.xml"/><Relationship Id="rId53"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eader" Target="header6.xml"/><Relationship Id="rId10" Type="http://schemas.openxmlformats.org/officeDocument/2006/relationships/hyperlink" Target="mailto:tga.copyright@tga.gov.au"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eader" Target="header3.xml"/><Relationship Id="rId52"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www.tga.gov.au/hp/information-medicines-pi.htm" TargetMode="External"/><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footer" Target="footer4.xml"/><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18668\t0T4437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B5CA6-5949-47B0-8115-E79AFD246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t0T4437A.DOTX</Template>
  <TotalTime>0</TotalTime>
  <Pages>81</Pages>
  <Words>35292</Words>
  <Characters>201167</Characters>
  <Application>Microsoft Office Word</Application>
  <DocSecurity>0</DocSecurity>
  <Lines>1676</Lines>
  <Paragraphs>471</Paragraphs>
  <ScaleCrop>false</ScaleCrop>
  <HeadingPairs>
    <vt:vector size="2" baseType="variant">
      <vt:variant>
        <vt:lpstr>Title</vt:lpstr>
      </vt:variant>
      <vt:variant>
        <vt:i4>1</vt:i4>
      </vt:variant>
    </vt:vector>
  </HeadingPairs>
  <TitlesOfParts>
    <vt:vector size="1" baseType="lpstr">
      <vt:lpstr>Australian public assessment report for catridecacog (rys)</vt:lpstr>
    </vt:vector>
  </TitlesOfParts>
  <Company>TGA</Company>
  <LinksUpToDate>false</LinksUpToDate>
  <CharactersWithSpaces>235988</CharactersWithSpaces>
  <SharedDoc>false</SharedDoc>
  <HLinks>
    <vt:vector size="240" baseType="variant">
      <vt:variant>
        <vt:i4>5701660</vt:i4>
      </vt:variant>
      <vt:variant>
        <vt:i4>219</vt:i4>
      </vt:variant>
      <vt:variant>
        <vt:i4>0</vt:i4>
      </vt:variant>
      <vt:variant>
        <vt:i4>5</vt:i4>
      </vt:variant>
      <vt:variant>
        <vt:lpwstr>http://www.tga.gov.au/hp/information-medicines-pi.htm</vt:lpwstr>
      </vt:variant>
      <vt:variant>
        <vt:lpwstr/>
      </vt:variant>
      <vt:variant>
        <vt:i4>1900603</vt:i4>
      </vt:variant>
      <vt:variant>
        <vt:i4>212</vt:i4>
      </vt:variant>
      <vt:variant>
        <vt:i4>0</vt:i4>
      </vt:variant>
      <vt:variant>
        <vt:i4>5</vt:i4>
      </vt:variant>
      <vt:variant>
        <vt:lpwstr/>
      </vt:variant>
      <vt:variant>
        <vt:lpwstr>_Toc389414026</vt:lpwstr>
      </vt:variant>
      <vt:variant>
        <vt:i4>1900603</vt:i4>
      </vt:variant>
      <vt:variant>
        <vt:i4>206</vt:i4>
      </vt:variant>
      <vt:variant>
        <vt:i4>0</vt:i4>
      </vt:variant>
      <vt:variant>
        <vt:i4>5</vt:i4>
      </vt:variant>
      <vt:variant>
        <vt:lpwstr/>
      </vt:variant>
      <vt:variant>
        <vt:lpwstr>_Toc389414025</vt:lpwstr>
      </vt:variant>
      <vt:variant>
        <vt:i4>1900603</vt:i4>
      </vt:variant>
      <vt:variant>
        <vt:i4>200</vt:i4>
      </vt:variant>
      <vt:variant>
        <vt:i4>0</vt:i4>
      </vt:variant>
      <vt:variant>
        <vt:i4>5</vt:i4>
      </vt:variant>
      <vt:variant>
        <vt:lpwstr/>
      </vt:variant>
      <vt:variant>
        <vt:lpwstr>_Toc389414024</vt:lpwstr>
      </vt:variant>
      <vt:variant>
        <vt:i4>1900603</vt:i4>
      </vt:variant>
      <vt:variant>
        <vt:i4>194</vt:i4>
      </vt:variant>
      <vt:variant>
        <vt:i4>0</vt:i4>
      </vt:variant>
      <vt:variant>
        <vt:i4>5</vt:i4>
      </vt:variant>
      <vt:variant>
        <vt:lpwstr/>
      </vt:variant>
      <vt:variant>
        <vt:lpwstr>_Toc389414023</vt:lpwstr>
      </vt:variant>
      <vt:variant>
        <vt:i4>1900603</vt:i4>
      </vt:variant>
      <vt:variant>
        <vt:i4>188</vt:i4>
      </vt:variant>
      <vt:variant>
        <vt:i4>0</vt:i4>
      </vt:variant>
      <vt:variant>
        <vt:i4>5</vt:i4>
      </vt:variant>
      <vt:variant>
        <vt:lpwstr/>
      </vt:variant>
      <vt:variant>
        <vt:lpwstr>_Toc389414022</vt:lpwstr>
      </vt:variant>
      <vt:variant>
        <vt:i4>1900603</vt:i4>
      </vt:variant>
      <vt:variant>
        <vt:i4>182</vt:i4>
      </vt:variant>
      <vt:variant>
        <vt:i4>0</vt:i4>
      </vt:variant>
      <vt:variant>
        <vt:i4>5</vt:i4>
      </vt:variant>
      <vt:variant>
        <vt:lpwstr/>
      </vt:variant>
      <vt:variant>
        <vt:lpwstr>_Toc389414021</vt:lpwstr>
      </vt:variant>
      <vt:variant>
        <vt:i4>1900603</vt:i4>
      </vt:variant>
      <vt:variant>
        <vt:i4>176</vt:i4>
      </vt:variant>
      <vt:variant>
        <vt:i4>0</vt:i4>
      </vt:variant>
      <vt:variant>
        <vt:i4>5</vt:i4>
      </vt:variant>
      <vt:variant>
        <vt:lpwstr/>
      </vt:variant>
      <vt:variant>
        <vt:lpwstr>_Toc389414020</vt:lpwstr>
      </vt:variant>
      <vt:variant>
        <vt:i4>1966139</vt:i4>
      </vt:variant>
      <vt:variant>
        <vt:i4>170</vt:i4>
      </vt:variant>
      <vt:variant>
        <vt:i4>0</vt:i4>
      </vt:variant>
      <vt:variant>
        <vt:i4>5</vt:i4>
      </vt:variant>
      <vt:variant>
        <vt:lpwstr/>
      </vt:variant>
      <vt:variant>
        <vt:lpwstr>_Toc389414019</vt:lpwstr>
      </vt:variant>
      <vt:variant>
        <vt:i4>1966139</vt:i4>
      </vt:variant>
      <vt:variant>
        <vt:i4>164</vt:i4>
      </vt:variant>
      <vt:variant>
        <vt:i4>0</vt:i4>
      </vt:variant>
      <vt:variant>
        <vt:i4>5</vt:i4>
      </vt:variant>
      <vt:variant>
        <vt:lpwstr/>
      </vt:variant>
      <vt:variant>
        <vt:lpwstr>_Toc389414018</vt:lpwstr>
      </vt:variant>
      <vt:variant>
        <vt:i4>1966139</vt:i4>
      </vt:variant>
      <vt:variant>
        <vt:i4>158</vt:i4>
      </vt:variant>
      <vt:variant>
        <vt:i4>0</vt:i4>
      </vt:variant>
      <vt:variant>
        <vt:i4>5</vt:i4>
      </vt:variant>
      <vt:variant>
        <vt:lpwstr/>
      </vt:variant>
      <vt:variant>
        <vt:lpwstr>_Toc389414017</vt:lpwstr>
      </vt:variant>
      <vt:variant>
        <vt:i4>1966139</vt:i4>
      </vt:variant>
      <vt:variant>
        <vt:i4>152</vt:i4>
      </vt:variant>
      <vt:variant>
        <vt:i4>0</vt:i4>
      </vt:variant>
      <vt:variant>
        <vt:i4>5</vt:i4>
      </vt:variant>
      <vt:variant>
        <vt:lpwstr/>
      </vt:variant>
      <vt:variant>
        <vt:lpwstr>_Toc389414016</vt:lpwstr>
      </vt:variant>
      <vt:variant>
        <vt:i4>1966139</vt:i4>
      </vt:variant>
      <vt:variant>
        <vt:i4>146</vt:i4>
      </vt:variant>
      <vt:variant>
        <vt:i4>0</vt:i4>
      </vt:variant>
      <vt:variant>
        <vt:i4>5</vt:i4>
      </vt:variant>
      <vt:variant>
        <vt:lpwstr/>
      </vt:variant>
      <vt:variant>
        <vt:lpwstr>_Toc389414015</vt:lpwstr>
      </vt:variant>
      <vt:variant>
        <vt:i4>1966139</vt:i4>
      </vt:variant>
      <vt:variant>
        <vt:i4>140</vt:i4>
      </vt:variant>
      <vt:variant>
        <vt:i4>0</vt:i4>
      </vt:variant>
      <vt:variant>
        <vt:i4>5</vt:i4>
      </vt:variant>
      <vt:variant>
        <vt:lpwstr/>
      </vt:variant>
      <vt:variant>
        <vt:lpwstr>_Toc389414014</vt:lpwstr>
      </vt:variant>
      <vt:variant>
        <vt:i4>1966139</vt:i4>
      </vt:variant>
      <vt:variant>
        <vt:i4>134</vt:i4>
      </vt:variant>
      <vt:variant>
        <vt:i4>0</vt:i4>
      </vt:variant>
      <vt:variant>
        <vt:i4>5</vt:i4>
      </vt:variant>
      <vt:variant>
        <vt:lpwstr/>
      </vt:variant>
      <vt:variant>
        <vt:lpwstr>_Toc389414013</vt:lpwstr>
      </vt:variant>
      <vt:variant>
        <vt:i4>1966139</vt:i4>
      </vt:variant>
      <vt:variant>
        <vt:i4>128</vt:i4>
      </vt:variant>
      <vt:variant>
        <vt:i4>0</vt:i4>
      </vt:variant>
      <vt:variant>
        <vt:i4>5</vt:i4>
      </vt:variant>
      <vt:variant>
        <vt:lpwstr/>
      </vt:variant>
      <vt:variant>
        <vt:lpwstr>_Toc389414012</vt:lpwstr>
      </vt:variant>
      <vt:variant>
        <vt:i4>1966139</vt:i4>
      </vt:variant>
      <vt:variant>
        <vt:i4>122</vt:i4>
      </vt:variant>
      <vt:variant>
        <vt:i4>0</vt:i4>
      </vt:variant>
      <vt:variant>
        <vt:i4>5</vt:i4>
      </vt:variant>
      <vt:variant>
        <vt:lpwstr/>
      </vt:variant>
      <vt:variant>
        <vt:lpwstr>_Toc389414011</vt:lpwstr>
      </vt:variant>
      <vt:variant>
        <vt:i4>1966139</vt:i4>
      </vt:variant>
      <vt:variant>
        <vt:i4>116</vt:i4>
      </vt:variant>
      <vt:variant>
        <vt:i4>0</vt:i4>
      </vt:variant>
      <vt:variant>
        <vt:i4>5</vt:i4>
      </vt:variant>
      <vt:variant>
        <vt:lpwstr/>
      </vt:variant>
      <vt:variant>
        <vt:lpwstr>_Toc389414010</vt:lpwstr>
      </vt:variant>
      <vt:variant>
        <vt:i4>2031675</vt:i4>
      </vt:variant>
      <vt:variant>
        <vt:i4>110</vt:i4>
      </vt:variant>
      <vt:variant>
        <vt:i4>0</vt:i4>
      </vt:variant>
      <vt:variant>
        <vt:i4>5</vt:i4>
      </vt:variant>
      <vt:variant>
        <vt:lpwstr/>
      </vt:variant>
      <vt:variant>
        <vt:lpwstr>_Toc389414009</vt:lpwstr>
      </vt:variant>
      <vt:variant>
        <vt:i4>2031675</vt:i4>
      </vt:variant>
      <vt:variant>
        <vt:i4>104</vt:i4>
      </vt:variant>
      <vt:variant>
        <vt:i4>0</vt:i4>
      </vt:variant>
      <vt:variant>
        <vt:i4>5</vt:i4>
      </vt:variant>
      <vt:variant>
        <vt:lpwstr/>
      </vt:variant>
      <vt:variant>
        <vt:lpwstr>_Toc389414008</vt:lpwstr>
      </vt:variant>
      <vt:variant>
        <vt:i4>2031675</vt:i4>
      </vt:variant>
      <vt:variant>
        <vt:i4>98</vt:i4>
      </vt:variant>
      <vt:variant>
        <vt:i4>0</vt:i4>
      </vt:variant>
      <vt:variant>
        <vt:i4>5</vt:i4>
      </vt:variant>
      <vt:variant>
        <vt:lpwstr/>
      </vt:variant>
      <vt:variant>
        <vt:lpwstr>_Toc389414007</vt:lpwstr>
      </vt:variant>
      <vt:variant>
        <vt:i4>2031675</vt:i4>
      </vt:variant>
      <vt:variant>
        <vt:i4>92</vt:i4>
      </vt:variant>
      <vt:variant>
        <vt:i4>0</vt:i4>
      </vt:variant>
      <vt:variant>
        <vt:i4>5</vt:i4>
      </vt:variant>
      <vt:variant>
        <vt:lpwstr/>
      </vt:variant>
      <vt:variant>
        <vt:lpwstr>_Toc389414006</vt:lpwstr>
      </vt:variant>
      <vt:variant>
        <vt:i4>2031675</vt:i4>
      </vt:variant>
      <vt:variant>
        <vt:i4>86</vt:i4>
      </vt:variant>
      <vt:variant>
        <vt:i4>0</vt:i4>
      </vt:variant>
      <vt:variant>
        <vt:i4>5</vt:i4>
      </vt:variant>
      <vt:variant>
        <vt:lpwstr/>
      </vt:variant>
      <vt:variant>
        <vt:lpwstr>_Toc389414005</vt:lpwstr>
      </vt:variant>
      <vt:variant>
        <vt:i4>2031675</vt:i4>
      </vt:variant>
      <vt:variant>
        <vt:i4>80</vt:i4>
      </vt:variant>
      <vt:variant>
        <vt:i4>0</vt:i4>
      </vt:variant>
      <vt:variant>
        <vt:i4>5</vt:i4>
      </vt:variant>
      <vt:variant>
        <vt:lpwstr/>
      </vt:variant>
      <vt:variant>
        <vt:lpwstr>_Toc389414004</vt:lpwstr>
      </vt:variant>
      <vt:variant>
        <vt:i4>2031675</vt:i4>
      </vt:variant>
      <vt:variant>
        <vt:i4>74</vt:i4>
      </vt:variant>
      <vt:variant>
        <vt:i4>0</vt:i4>
      </vt:variant>
      <vt:variant>
        <vt:i4>5</vt:i4>
      </vt:variant>
      <vt:variant>
        <vt:lpwstr/>
      </vt:variant>
      <vt:variant>
        <vt:lpwstr>_Toc389414003</vt:lpwstr>
      </vt:variant>
      <vt:variant>
        <vt:i4>2031675</vt:i4>
      </vt:variant>
      <vt:variant>
        <vt:i4>68</vt:i4>
      </vt:variant>
      <vt:variant>
        <vt:i4>0</vt:i4>
      </vt:variant>
      <vt:variant>
        <vt:i4>5</vt:i4>
      </vt:variant>
      <vt:variant>
        <vt:lpwstr/>
      </vt:variant>
      <vt:variant>
        <vt:lpwstr>_Toc389414002</vt:lpwstr>
      </vt:variant>
      <vt:variant>
        <vt:i4>2031675</vt:i4>
      </vt:variant>
      <vt:variant>
        <vt:i4>62</vt:i4>
      </vt:variant>
      <vt:variant>
        <vt:i4>0</vt:i4>
      </vt:variant>
      <vt:variant>
        <vt:i4>5</vt:i4>
      </vt:variant>
      <vt:variant>
        <vt:lpwstr/>
      </vt:variant>
      <vt:variant>
        <vt:lpwstr>_Toc389414001</vt:lpwstr>
      </vt:variant>
      <vt:variant>
        <vt:i4>2031675</vt:i4>
      </vt:variant>
      <vt:variant>
        <vt:i4>56</vt:i4>
      </vt:variant>
      <vt:variant>
        <vt:i4>0</vt:i4>
      </vt:variant>
      <vt:variant>
        <vt:i4>5</vt:i4>
      </vt:variant>
      <vt:variant>
        <vt:lpwstr/>
      </vt:variant>
      <vt:variant>
        <vt:lpwstr>_Toc389414000</vt:lpwstr>
      </vt:variant>
      <vt:variant>
        <vt:i4>1114162</vt:i4>
      </vt:variant>
      <vt:variant>
        <vt:i4>50</vt:i4>
      </vt:variant>
      <vt:variant>
        <vt:i4>0</vt:i4>
      </vt:variant>
      <vt:variant>
        <vt:i4>5</vt:i4>
      </vt:variant>
      <vt:variant>
        <vt:lpwstr/>
      </vt:variant>
      <vt:variant>
        <vt:lpwstr>_Toc389413999</vt:lpwstr>
      </vt:variant>
      <vt:variant>
        <vt:i4>1114162</vt:i4>
      </vt:variant>
      <vt:variant>
        <vt:i4>44</vt:i4>
      </vt:variant>
      <vt:variant>
        <vt:i4>0</vt:i4>
      </vt:variant>
      <vt:variant>
        <vt:i4>5</vt:i4>
      </vt:variant>
      <vt:variant>
        <vt:lpwstr/>
      </vt:variant>
      <vt:variant>
        <vt:lpwstr>_Toc389413998</vt:lpwstr>
      </vt:variant>
      <vt:variant>
        <vt:i4>1114162</vt:i4>
      </vt:variant>
      <vt:variant>
        <vt:i4>38</vt:i4>
      </vt:variant>
      <vt:variant>
        <vt:i4>0</vt:i4>
      </vt:variant>
      <vt:variant>
        <vt:i4>5</vt:i4>
      </vt:variant>
      <vt:variant>
        <vt:lpwstr/>
      </vt:variant>
      <vt:variant>
        <vt:lpwstr>_Toc389413997</vt:lpwstr>
      </vt:variant>
      <vt:variant>
        <vt:i4>1114162</vt:i4>
      </vt:variant>
      <vt:variant>
        <vt:i4>32</vt:i4>
      </vt:variant>
      <vt:variant>
        <vt:i4>0</vt:i4>
      </vt:variant>
      <vt:variant>
        <vt:i4>5</vt:i4>
      </vt:variant>
      <vt:variant>
        <vt:lpwstr/>
      </vt:variant>
      <vt:variant>
        <vt:lpwstr>_Toc389413996</vt:lpwstr>
      </vt:variant>
      <vt:variant>
        <vt:i4>1114162</vt:i4>
      </vt:variant>
      <vt:variant>
        <vt:i4>26</vt:i4>
      </vt:variant>
      <vt:variant>
        <vt:i4>0</vt:i4>
      </vt:variant>
      <vt:variant>
        <vt:i4>5</vt:i4>
      </vt:variant>
      <vt:variant>
        <vt:lpwstr/>
      </vt:variant>
      <vt:variant>
        <vt:lpwstr>_Toc389413995</vt:lpwstr>
      </vt:variant>
      <vt:variant>
        <vt:i4>1114162</vt:i4>
      </vt:variant>
      <vt:variant>
        <vt:i4>20</vt:i4>
      </vt:variant>
      <vt:variant>
        <vt:i4>0</vt:i4>
      </vt:variant>
      <vt:variant>
        <vt:i4>5</vt:i4>
      </vt:variant>
      <vt:variant>
        <vt:lpwstr/>
      </vt:variant>
      <vt:variant>
        <vt:lpwstr>_Toc389413994</vt:lpwstr>
      </vt:variant>
      <vt:variant>
        <vt:i4>1114162</vt:i4>
      </vt:variant>
      <vt:variant>
        <vt:i4>14</vt:i4>
      </vt:variant>
      <vt:variant>
        <vt:i4>0</vt:i4>
      </vt:variant>
      <vt:variant>
        <vt:i4>5</vt:i4>
      </vt:variant>
      <vt:variant>
        <vt:lpwstr/>
      </vt:variant>
      <vt:variant>
        <vt:lpwstr>_Toc389413993</vt:lpwstr>
      </vt:variant>
      <vt:variant>
        <vt:i4>1114162</vt:i4>
      </vt:variant>
      <vt:variant>
        <vt:i4>8</vt:i4>
      </vt:variant>
      <vt:variant>
        <vt:i4>0</vt:i4>
      </vt:variant>
      <vt:variant>
        <vt:i4>5</vt:i4>
      </vt:variant>
      <vt:variant>
        <vt:lpwstr/>
      </vt:variant>
      <vt:variant>
        <vt:lpwstr>_Toc389413992</vt:lpwstr>
      </vt:variant>
      <vt:variant>
        <vt:i4>6291548</vt:i4>
      </vt:variant>
      <vt:variant>
        <vt:i4>3</vt:i4>
      </vt:variant>
      <vt:variant>
        <vt:i4>0</vt:i4>
      </vt:variant>
      <vt:variant>
        <vt:i4>5</vt:i4>
      </vt:variant>
      <vt:variant>
        <vt:lpwstr>mailto:tga.copyright@tga.gov.au</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catridecacog (rys)</dc:title>
  <dc:subject>prescription medicine regulation</dc:subject>
  <dc:creator>Therapeutic Goods Administration</dc:creator>
  <cp:keywords>auspar, prescription, medicine, assessment, regulation, australia, catridecacog, rys, novothirteen</cp:keywords>
  <cp:lastModifiedBy>Sheppard, Fran</cp:lastModifiedBy>
  <cp:revision>2</cp:revision>
  <cp:lastPrinted>2010-12-20T23:59:00Z</cp:lastPrinted>
  <dcterms:created xsi:type="dcterms:W3CDTF">2014-06-05T00:38:00Z</dcterms:created>
  <dcterms:modified xsi:type="dcterms:W3CDTF">2014-06-05T00:38:00Z</dcterms:modified>
</cp:coreProperties>
</file>