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FA0C90" w14:textId="175FD8B7" w:rsidR="006608B6" w:rsidRPr="00945535" w:rsidRDefault="006608B6" w:rsidP="006608B6">
      <w:pPr>
        <w:tabs>
          <w:tab w:val="left" w:pos="284"/>
        </w:tabs>
        <w:spacing w:after="240"/>
      </w:pPr>
      <w:r w:rsidRPr="00945535">
        <w:rPr>
          <w:noProof/>
          <w:lang w:val="en-AU" w:eastAsia="zh-CN"/>
        </w:rPr>
        <mc:AlternateContent>
          <mc:Choice Requires="wps">
            <w:drawing>
              <wp:inline distT="0" distB="0" distL="0" distR="0" wp14:anchorId="0AC0E6DA" wp14:editId="2564FA4F">
                <wp:extent cx="252095" cy="252095"/>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86E4AB" w14:textId="77777777" w:rsidR="0060563E" w:rsidRPr="00BE2A26" w:rsidRDefault="0060563E" w:rsidP="006608B6">
                            <w:pPr>
                              <w:rPr>
                                <w:rFonts w:ascii="Wingdings 3" w:hAnsi="Wingdings 3"/>
                              </w:rPr>
                            </w:pPr>
                            <w:r w:rsidRPr="00BE2A26">
                              <w:rPr>
                                <w:rFonts w:ascii="SimSun" w:eastAsia="SimSun" w:hAnsi="SimSun" w:cs="Arial" w:hint="eastAsia"/>
                                <w:sz w:val="40"/>
                              </w:rPr>
                              <w:t>▼</w:t>
                            </w:r>
                          </w:p>
                        </w:txbxContent>
                      </wps:txbx>
                      <wps:bodyPr rot="0" vert="horz" wrap="square" lIns="0" tIns="0" rIns="0" bIns="0" anchor="t" anchorCtr="0" upright="1">
                        <a:noAutofit/>
                      </wps:bodyPr>
                    </wps:wsp>
                  </a:graphicData>
                </a:graphic>
              </wp:inline>
            </w:drawing>
          </mc:Choice>
          <mc:Fallback>
            <w:pict>
              <v:shapetype w14:anchorId="0AC0E6DA" id="_x0000_t202" coordsize="21600,21600" o:spt="202" path="m,l,21600r21600,l21600,xe">
                <v:stroke joinstyle="miter"/>
                <v:path gradientshapeok="t" o:connecttype="rect"/>
              </v:shapetype>
              <v:shape id="Text Box 2"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" stroked="f">
                <v:textbox inset="0,0,0,0">
                  <w:txbxContent>
                    <w:p w14:paraId="4A86E4AB" w14:textId="77777777" w:rsidR="0060563E" w:rsidRPr="00BE2A26" w:rsidRDefault="0060563E" w:rsidP="006608B6">
                      <w:pPr>
                        <w:rPr>
                          <w:rFonts w:ascii="Wingdings 3" w:hAnsi="Wingdings 3"/>
                        </w:rPr>
                      </w:pPr>
                      <w:r w:rsidRPr="00BE2A26">
                        <w:rPr>
                          <w:rFonts w:ascii="SimSun" w:eastAsia="SimSun" w:hAnsi="SimSun" w:cs="Arial" w:hint="eastAsia"/>
                          <w:sz w:val="40"/>
                        </w:rPr>
                        <w:t>▼</w:t>
                      </w:r>
                    </w:p>
                  </w:txbxContent>
                </v:textbox>
                <w10:anchorlock/>
              </v:shape>
            </w:pict>
          </mc:Fallback>
        </mc:AlternateContent>
      </w:r>
      <w:r w:rsidRPr="00945535">
        <w:t xml:space="preserve">This medicinal product is subject to additional monitoring in Australia. This will allow quick identification of new safety information. Healthcare professionals are asked to report any suspected adverse events at </w:t>
      </w:r>
      <w:hyperlink r:id="rId8" w:history="1">
        <w:r w:rsidRPr="00945535">
          <w:rPr>
            <w:rStyle w:val="Hyperlink"/>
          </w:rPr>
          <w:t>https://www.tga.gov.au/reporting-problems</w:t>
        </w:r>
      </w:hyperlink>
      <w:r w:rsidRPr="00945535">
        <w:t>.</w:t>
      </w:r>
    </w:p>
    <w:p w14:paraId="24A75497" w14:textId="77777777" w:rsidR="006608B6" w:rsidRDefault="006608B6" w:rsidP="00834C48">
      <w:pPr>
        <w:jc w:val="center"/>
        <w:rPr>
          <w:b/>
          <w:color w:val="auto"/>
          <w:sz w:val="28"/>
          <w:szCs w:val="28"/>
        </w:rPr>
      </w:pPr>
    </w:p>
    <w:p w14:paraId="7755A626" w14:textId="63B7FE65" w:rsidR="00834C48" w:rsidRPr="00A807D3" w:rsidRDefault="00834C48" w:rsidP="00834C48">
      <w:pPr>
        <w:jc w:val="center"/>
        <w:rPr>
          <w:b/>
          <w:color w:val="auto"/>
          <w:sz w:val="28"/>
          <w:szCs w:val="28"/>
        </w:rPr>
      </w:pPr>
      <w:r w:rsidRPr="00A807D3">
        <w:rPr>
          <w:b/>
          <w:color w:val="auto"/>
          <w:sz w:val="28"/>
          <w:szCs w:val="28"/>
        </w:rPr>
        <w:t>AUSTRALIAN PRODUCT INFORMATION</w:t>
      </w:r>
    </w:p>
    <w:p w14:paraId="01A54B2C" w14:textId="77777777" w:rsidR="00BB43EC" w:rsidRDefault="00BB43EC" w:rsidP="00BB43EC">
      <w:pPr>
        <w:jc w:val="center"/>
        <w:rPr>
          <w:b/>
          <w:sz w:val="28"/>
          <w:szCs w:val="28"/>
        </w:rPr>
      </w:pPr>
      <w:proofErr w:type="spellStart"/>
      <w:r w:rsidRPr="0061333F">
        <w:rPr>
          <w:b/>
          <w:sz w:val="28"/>
          <w:szCs w:val="28"/>
        </w:rPr>
        <w:t>Ronapreve</w:t>
      </w:r>
      <w:proofErr w:type="spellEnd"/>
      <w:r w:rsidRPr="00A807D3">
        <w:rPr>
          <w:b/>
          <w:sz w:val="28"/>
          <w:szCs w:val="28"/>
          <w:vertAlign w:val="superscript"/>
        </w:rPr>
        <w:t>®</w:t>
      </w:r>
      <w:r w:rsidRPr="00A807D3">
        <w:rPr>
          <w:b/>
          <w:sz w:val="28"/>
          <w:szCs w:val="28"/>
        </w:rPr>
        <w:t xml:space="preserve"> (</w:t>
      </w:r>
      <w:proofErr w:type="spellStart"/>
      <w:r w:rsidRPr="0061333F">
        <w:rPr>
          <w:b/>
          <w:sz w:val="28"/>
          <w:szCs w:val="28"/>
        </w:rPr>
        <w:t>casirivimab</w:t>
      </w:r>
      <w:proofErr w:type="spellEnd"/>
      <w:r>
        <w:rPr>
          <w:b/>
          <w:sz w:val="28"/>
          <w:szCs w:val="28"/>
        </w:rPr>
        <w:t xml:space="preserve"> and </w:t>
      </w:r>
      <w:proofErr w:type="spellStart"/>
      <w:r w:rsidRPr="0061333F">
        <w:rPr>
          <w:b/>
          <w:sz w:val="28"/>
          <w:szCs w:val="28"/>
        </w:rPr>
        <w:t>imdevimab</w:t>
      </w:r>
      <w:proofErr w:type="spellEnd"/>
      <w:r w:rsidRPr="00A807D3">
        <w:rPr>
          <w:b/>
          <w:sz w:val="28"/>
          <w:szCs w:val="28"/>
        </w:rPr>
        <w:t>)</w:t>
      </w:r>
    </w:p>
    <w:p w14:paraId="3B457DA1" w14:textId="77777777" w:rsidR="00666925" w:rsidRPr="00A807D3" w:rsidRDefault="00666925" w:rsidP="00834C48">
      <w:pPr>
        <w:jc w:val="center"/>
        <w:rPr>
          <w:color w:val="auto"/>
        </w:rPr>
      </w:pPr>
    </w:p>
    <w:p w14:paraId="7B960690" w14:textId="77777777" w:rsidR="00834C48" w:rsidRPr="00A807D3" w:rsidRDefault="00834C48">
      <w:pPr>
        <w:rPr>
          <w:color w:val="auto"/>
          <w:sz w:val="22"/>
          <w:szCs w:val="22"/>
        </w:rPr>
      </w:pPr>
    </w:p>
    <w:p w14:paraId="67A3DD47" w14:textId="01972CEA" w:rsidR="00D52399" w:rsidRPr="00A807D3" w:rsidRDefault="006C73C2" w:rsidP="0087549F">
      <w:pPr>
        <w:pStyle w:val="Heading1"/>
        <w:numPr>
          <w:ilvl w:val="0"/>
          <w:numId w:val="3"/>
        </w:numPr>
        <w:spacing w:before="0"/>
        <w:rPr>
          <w:color w:val="auto"/>
        </w:rPr>
      </w:pPr>
      <w:r w:rsidRPr="00A807D3">
        <w:rPr>
          <w:color w:val="auto"/>
        </w:rPr>
        <w:t>NAME OF THE MEDICINE</w:t>
      </w:r>
    </w:p>
    <w:p w14:paraId="2D77363B" w14:textId="57CA1219" w:rsidR="00875FD7" w:rsidRPr="00A807D3" w:rsidRDefault="00BB43EC" w:rsidP="009F4C5B">
      <w:pPr>
        <w:spacing w:after="240"/>
        <w:rPr>
          <w:color w:val="auto"/>
        </w:rPr>
      </w:pPr>
      <w:proofErr w:type="spellStart"/>
      <w:r>
        <w:rPr>
          <w:color w:val="auto"/>
        </w:rPr>
        <w:t>C</w:t>
      </w:r>
      <w:r w:rsidRPr="00BB43EC">
        <w:rPr>
          <w:color w:val="auto"/>
        </w:rPr>
        <w:t>asirivimab</w:t>
      </w:r>
      <w:proofErr w:type="spellEnd"/>
      <w:r w:rsidRPr="00BB43EC">
        <w:rPr>
          <w:color w:val="auto"/>
        </w:rPr>
        <w:t xml:space="preserve"> and </w:t>
      </w:r>
      <w:proofErr w:type="spellStart"/>
      <w:r w:rsidRPr="00BB43EC">
        <w:rPr>
          <w:color w:val="auto"/>
        </w:rPr>
        <w:t>imdevimab</w:t>
      </w:r>
      <w:proofErr w:type="spellEnd"/>
    </w:p>
    <w:p w14:paraId="51683A4B" w14:textId="77777777" w:rsidR="00D52399" w:rsidRPr="00A807D3" w:rsidRDefault="00615052" w:rsidP="009F4C5B">
      <w:pPr>
        <w:pStyle w:val="Heading1"/>
        <w:numPr>
          <w:ilvl w:val="0"/>
          <w:numId w:val="3"/>
        </w:numPr>
        <w:spacing w:before="0"/>
        <w:rPr>
          <w:color w:val="auto"/>
        </w:rPr>
      </w:pPr>
      <w:r w:rsidRPr="00A807D3">
        <w:rPr>
          <w:color w:val="auto"/>
        </w:rPr>
        <w:t>QUALITATIVE AND QUANTITATIVE COMPOSITION</w:t>
      </w:r>
    </w:p>
    <w:p w14:paraId="2F8E24A8" w14:textId="77777777" w:rsidR="00BB43EC" w:rsidRPr="00BB43EC" w:rsidRDefault="00BB43EC" w:rsidP="00BB43EC">
      <w:pPr>
        <w:spacing w:after="120"/>
        <w:rPr>
          <w:color w:val="auto"/>
        </w:rPr>
      </w:pPr>
      <w:proofErr w:type="spellStart"/>
      <w:r w:rsidRPr="00BB43EC">
        <w:rPr>
          <w:color w:val="auto"/>
        </w:rPr>
        <w:t>Ronapreve</w:t>
      </w:r>
      <w:proofErr w:type="spellEnd"/>
      <w:r w:rsidRPr="00BB43EC">
        <w:rPr>
          <w:color w:val="auto"/>
        </w:rPr>
        <w:t xml:space="preserve"> is available as:</w:t>
      </w:r>
    </w:p>
    <w:p w14:paraId="7B21201D" w14:textId="1790A209" w:rsidR="00BB43EC" w:rsidRPr="00BB43EC" w:rsidRDefault="00BB43EC" w:rsidP="00BB43EC">
      <w:pPr>
        <w:rPr>
          <w:color w:val="auto"/>
          <w:u w:val="single"/>
        </w:rPr>
      </w:pPr>
      <w:r w:rsidRPr="00BB43EC">
        <w:rPr>
          <w:color w:val="auto"/>
          <w:u w:val="single"/>
        </w:rPr>
        <w:t>a. Co-packaged 6 mL single-use vials</w:t>
      </w:r>
    </w:p>
    <w:p w14:paraId="40D9E5A2" w14:textId="3324CE78" w:rsidR="00BB43EC" w:rsidRPr="00BB43EC" w:rsidRDefault="00BB43EC" w:rsidP="00BB43EC">
      <w:pPr>
        <w:spacing w:after="120"/>
        <w:rPr>
          <w:color w:val="auto"/>
        </w:rPr>
      </w:pPr>
      <w:r w:rsidRPr="00BB43EC">
        <w:rPr>
          <w:color w:val="auto"/>
        </w:rPr>
        <w:t xml:space="preserve">Each </w:t>
      </w:r>
      <w:proofErr w:type="spellStart"/>
      <w:r w:rsidRPr="00BB43EC">
        <w:rPr>
          <w:color w:val="auto"/>
        </w:rPr>
        <w:t>casirivimab</w:t>
      </w:r>
      <w:proofErr w:type="spellEnd"/>
      <w:r w:rsidRPr="00BB43EC">
        <w:rPr>
          <w:color w:val="auto"/>
        </w:rPr>
        <w:t xml:space="preserve"> 6 mL vial contains 300 mg of </w:t>
      </w:r>
      <w:proofErr w:type="spellStart"/>
      <w:r w:rsidRPr="00BB43EC">
        <w:rPr>
          <w:color w:val="auto"/>
        </w:rPr>
        <w:t>casirivimab</w:t>
      </w:r>
      <w:proofErr w:type="spellEnd"/>
      <w:r w:rsidRPr="00BB43EC">
        <w:rPr>
          <w:color w:val="auto"/>
        </w:rPr>
        <w:t xml:space="preserve"> per 2.5 mL (120 mg/mL). </w:t>
      </w:r>
    </w:p>
    <w:p w14:paraId="1B7BE827" w14:textId="2611A9A3" w:rsidR="00BB43EC" w:rsidRPr="00BB43EC" w:rsidRDefault="00BB43EC" w:rsidP="00BB43EC">
      <w:pPr>
        <w:spacing w:after="240"/>
        <w:rPr>
          <w:color w:val="auto"/>
        </w:rPr>
      </w:pPr>
      <w:r w:rsidRPr="00BB43EC">
        <w:rPr>
          <w:color w:val="auto"/>
        </w:rPr>
        <w:t xml:space="preserve">Each </w:t>
      </w:r>
      <w:proofErr w:type="spellStart"/>
      <w:r w:rsidRPr="00BB43EC">
        <w:rPr>
          <w:color w:val="auto"/>
        </w:rPr>
        <w:t>imdevimab</w:t>
      </w:r>
      <w:proofErr w:type="spellEnd"/>
      <w:r w:rsidRPr="00BB43EC">
        <w:rPr>
          <w:color w:val="auto"/>
        </w:rPr>
        <w:t xml:space="preserve"> 6 mL vial contains 300 mg </w:t>
      </w:r>
      <w:proofErr w:type="spellStart"/>
      <w:r w:rsidRPr="00BB43EC">
        <w:rPr>
          <w:color w:val="auto"/>
        </w:rPr>
        <w:t>imdevimab</w:t>
      </w:r>
      <w:proofErr w:type="spellEnd"/>
      <w:r w:rsidRPr="00BB43EC">
        <w:rPr>
          <w:color w:val="auto"/>
        </w:rPr>
        <w:t xml:space="preserve"> per 2.5 mL (120 mg/mL).</w:t>
      </w:r>
    </w:p>
    <w:p w14:paraId="5945FBE8" w14:textId="3C38550A" w:rsidR="00BB43EC" w:rsidRPr="00BB43EC" w:rsidRDefault="00BB43EC" w:rsidP="00BB43EC">
      <w:pPr>
        <w:rPr>
          <w:color w:val="auto"/>
          <w:u w:val="single"/>
        </w:rPr>
      </w:pPr>
      <w:r w:rsidRPr="00BB43EC">
        <w:rPr>
          <w:color w:val="auto"/>
          <w:u w:val="single"/>
        </w:rPr>
        <w:t>b. Co-packaged 20 mL multidose vials</w:t>
      </w:r>
    </w:p>
    <w:p w14:paraId="6CDDDB34" w14:textId="0EA5961A" w:rsidR="00BB43EC" w:rsidRPr="00BB43EC" w:rsidRDefault="00BB43EC" w:rsidP="00BB43EC">
      <w:pPr>
        <w:spacing w:after="120"/>
        <w:rPr>
          <w:color w:val="auto"/>
        </w:rPr>
      </w:pPr>
      <w:r w:rsidRPr="00BB43EC">
        <w:rPr>
          <w:color w:val="auto"/>
        </w:rPr>
        <w:t xml:space="preserve">Each </w:t>
      </w:r>
      <w:proofErr w:type="spellStart"/>
      <w:r w:rsidRPr="00BB43EC">
        <w:rPr>
          <w:color w:val="auto"/>
        </w:rPr>
        <w:t>casirivimab</w:t>
      </w:r>
      <w:proofErr w:type="spellEnd"/>
      <w:r w:rsidRPr="00BB43EC">
        <w:rPr>
          <w:color w:val="auto"/>
        </w:rPr>
        <w:t xml:space="preserve"> 20 mL multidose vial contains 1 332 mg of </w:t>
      </w:r>
      <w:proofErr w:type="spellStart"/>
      <w:r w:rsidRPr="00BB43EC">
        <w:rPr>
          <w:color w:val="auto"/>
        </w:rPr>
        <w:t>casirivimab</w:t>
      </w:r>
      <w:proofErr w:type="spellEnd"/>
      <w:r w:rsidRPr="00BB43EC">
        <w:rPr>
          <w:color w:val="auto"/>
        </w:rPr>
        <w:t xml:space="preserve"> per 11.1 mL (120 mg/mL). </w:t>
      </w:r>
    </w:p>
    <w:p w14:paraId="381A5AB4" w14:textId="017C2CA8" w:rsidR="00D52399" w:rsidRPr="00666925" w:rsidRDefault="00BB43EC" w:rsidP="00BB43EC">
      <w:pPr>
        <w:spacing w:after="240"/>
        <w:rPr>
          <w:color w:val="auto"/>
        </w:rPr>
      </w:pPr>
      <w:r w:rsidRPr="00BB43EC">
        <w:rPr>
          <w:color w:val="auto"/>
        </w:rPr>
        <w:t xml:space="preserve">Each </w:t>
      </w:r>
      <w:proofErr w:type="spellStart"/>
      <w:r w:rsidRPr="00BB43EC">
        <w:rPr>
          <w:color w:val="auto"/>
        </w:rPr>
        <w:t>imdevimab</w:t>
      </w:r>
      <w:proofErr w:type="spellEnd"/>
      <w:r w:rsidRPr="00BB43EC">
        <w:rPr>
          <w:color w:val="auto"/>
        </w:rPr>
        <w:t xml:space="preserve"> 20 mL multidose vial contains 1 332 mg </w:t>
      </w:r>
      <w:proofErr w:type="spellStart"/>
      <w:r w:rsidRPr="00BB43EC">
        <w:rPr>
          <w:color w:val="auto"/>
        </w:rPr>
        <w:t>im</w:t>
      </w:r>
      <w:r>
        <w:rPr>
          <w:color w:val="auto"/>
        </w:rPr>
        <w:t>devimab</w:t>
      </w:r>
      <w:proofErr w:type="spellEnd"/>
      <w:r>
        <w:rPr>
          <w:color w:val="auto"/>
        </w:rPr>
        <w:t xml:space="preserve"> per 11.1 mL (120 mg/mL)</w:t>
      </w:r>
      <w:r w:rsidR="00B72105">
        <w:rPr>
          <w:color w:val="auto"/>
        </w:rPr>
        <w:t>.</w:t>
      </w:r>
      <w:r w:rsidR="00666925" w:rsidRPr="00666925">
        <w:rPr>
          <w:color w:val="auto"/>
        </w:rPr>
        <w:t xml:space="preserve"> </w:t>
      </w:r>
    </w:p>
    <w:p w14:paraId="66168F91" w14:textId="77777777" w:rsidR="00D52399" w:rsidRPr="00A807D3" w:rsidRDefault="00615052" w:rsidP="009F4C5B">
      <w:pPr>
        <w:spacing w:after="240"/>
        <w:rPr>
          <w:color w:val="auto"/>
          <w:u w:val="single"/>
        </w:rPr>
      </w:pPr>
      <w:bookmarkStart w:id="0" w:name="_gjdgxs" w:colFirst="0" w:colLast="0"/>
      <w:bookmarkEnd w:id="0"/>
      <w:r w:rsidRPr="00A807D3">
        <w:rPr>
          <w:color w:val="auto"/>
        </w:rPr>
        <w:t>For the full list of excipients, see section 6.1</w:t>
      </w:r>
      <w:r w:rsidR="009F4C5B" w:rsidRPr="00A807D3">
        <w:rPr>
          <w:color w:val="auto"/>
        </w:rPr>
        <w:t xml:space="preserve"> List of excipients</w:t>
      </w:r>
      <w:r w:rsidRPr="00A807D3">
        <w:rPr>
          <w:color w:val="auto"/>
        </w:rPr>
        <w:t>.</w:t>
      </w:r>
    </w:p>
    <w:p w14:paraId="0A8EA843" w14:textId="77777777" w:rsidR="00D52399" w:rsidRPr="00A807D3" w:rsidRDefault="00615052" w:rsidP="009F4C5B">
      <w:pPr>
        <w:pStyle w:val="Heading1"/>
        <w:numPr>
          <w:ilvl w:val="0"/>
          <w:numId w:val="3"/>
        </w:numPr>
        <w:spacing w:before="0"/>
        <w:rPr>
          <w:color w:val="auto"/>
        </w:rPr>
      </w:pPr>
      <w:r w:rsidRPr="00A807D3">
        <w:rPr>
          <w:color w:val="auto"/>
        </w:rPr>
        <w:t>PHARMACEUTICAL FORM</w:t>
      </w:r>
    </w:p>
    <w:p w14:paraId="051C9054" w14:textId="798B7860" w:rsidR="00875FD7" w:rsidRPr="00A807D3" w:rsidRDefault="00666925" w:rsidP="00666925">
      <w:pPr>
        <w:spacing w:after="240"/>
        <w:rPr>
          <w:color w:val="auto"/>
        </w:rPr>
      </w:pPr>
      <w:r>
        <w:rPr>
          <w:color w:val="auto"/>
        </w:rPr>
        <w:t>Solution for injection</w:t>
      </w:r>
      <w:r w:rsidR="00BB43EC">
        <w:rPr>
          <w:color w:val="auto"/>
        </w:rPr>
        <w:t xml:space="preserve"> or infusion</w:t>
      </w:r>
      <w:r w:rsidRPr="00A807D3">
        <w:rPr>
          <w:color w:val="auto"/>
        </w:rPr>
        <w:t>.</w:t>
      </w:r>
    </w:p>
    <w:p w14:paraId="33D987B6" w14:textId="75FA1CD8" w:rsidR="00063C81" w:rsidRPr="00A807D3" w:rsidRDefault="00BB43EC" w:rsidP="00666925">
      <w:pPr>
        <w:spacing w:after="240"/>
        <w:rPr>
          <w:color w:val="auto"/>
        </w:rPr>
      </w:pPr>
      <w:r w:rsidRPr="00BB43EC">
        <w:rPr>
          <w:color w:val="auto"/>
        </w:rPr>
        <w:t>Clear to slightly opalescent and colourless to pale yellow solution with a pH of 6.0.</w:t>
      </w:r>
    </w:p>
    <w:p w14:paraId="71C40DFB" w14:textId="77777777" w:rsidR="00D52399" w:rsidRPr="00A807D3" w:rsidRDefault="00615052" w:rsidP="009F4C5B">
      <w:pPr>
        <w:pStyle w:val="Heading1"/>
        <w:numPr>
          <w:ilvl w:val="0"/>
          <w:numId w:val="3"/>
        </w:numPr>
        <w:spacing w:before="0"/>
        <w:rPr>
          <w:color w:val="auto"/>
        </w:rPr>
      </w:pPr>
      <w:r w:rsidRPr="00A807D3">
        <w:rPr>
          <w:color w:val="auto"/>
        </w:rPr>
        <w:t>CLINICAL PARTICULARS</w:t>
      </w:r>
    </w:p>
    <w:p w14:paraId="09593C17" w14:textId="77777777" w:rsidR="00D52399" w:rsidRPr="00A807D3" w:rsidRDefault="00902EBE" w:rsidP="009F4C5B">
      <w:pPr>
        <w:pStyle w:val="Heading2"/>
        <w:numPr>
          <w:ilvl w:val="0"/>
          <w:numId w:val="1"/>
        </w:numPr>
        <w:spacing w:before="0"/>
        <w:ind w:hanging="786"/>
        <w:rPr>
          <w:color w:val="auto"/>
        </w:rPr>
      </w:pPr>
      <w:r w:rsidRPr="00A807D3">
        <w:rPr>
          <w:color w:val="auto"/>
        </w:rPr>
        <w:t>THERAPEUTIC INDICATIONS</w:t>
      </w:r>
    </w:p>
    <w:p w14:paraId="0591A7FF" w14:textId="6E1EAAAB" w:rsidR="00367961" w:rsidRDefault="00367961" w:rsidP="00367961">
      <w:pPr>
        <w:pStyle w:val="Paragraph"/>
        <w:keepNext/>
        <w:spacing w:after="120"/>
        <w:rPr>
          <w:b/>
          <w:sz w:val="24"/>
        </w:rPr>
      </w:pPr>
      <w:proofErr w:type="spellStart"/>
      <w:r w:rsidRPr="00367961">
        <w:rPr>
          <w:sz w:val="24"/>
        </w:rPr>
        <w:t>Ronapreve</w:t>
      </w:r>
      <w:proofErr w:type="spellEnd"/>
      <w:r w:rsidRPr="00367961">
        <w:rPr>
          <w:sz w:val="24"/>
        </w:rPr>
        <w:t xml:space="preserve"> has</w:t>
      </w:r>
      <w:r w:rsidRPr="00367961">
        <w:rPr>
          <w:b/>
          <w:sz w:val="24"/>
        </w:rPr>
        <w:t xml:space="preserve"> provisional approval </w:t>
      </w:r>
      <w:r w:rsidRPr="00367961">
        <w:rPr>
          <w:sz w:val="24"/>
        </w:rPr>
        <w:t>for the indications below:</w:t>
      </w:r>
    </w:p>
    <w:p w14:paraId="70DAD895" w14:textId="70519A19" w:rsidR="00BB43EC" w:rsidRPr="00BB43EC" w:rsidRDefault="00BB43EC" w:rsidP="00BB43EC">
      <w:pPr>
        <w:pStyle w:val="Paragraph"/>
        <w:keepNext/>
        <w:spacing w:after="120"/>
        <w:rPr>
          <w:b/>
          <w:sz w:val="24"/>
        </w:rPr>
      </w:pPr>
      <w:r w:rsidRPr="00BB43EC">
        <w:rPr>
          <w:b/>
          <w:sz w:val="24"/>
        </w:rPr>
        <w:t>Treatment</w:t>
      </w:r>
    </w:p>
    <w:p w14:paraId="4C1C2C50" w14:textId="30180EA9" w:rsidR="00BB43EC" w:rsidRDefault="00BB43EC" w:rsidP="00BB43EC">
      <w:pPr>
        <w:pStyle w:val="Paragraph"/>
        <w:spacing w:after="0"/>
        <w:rPr>
          <w:sz w:val="24"/>
        </w:rPr>
      </w:pPr>
      <w:proofErr w:type="spellStart"/>
      <w:r w:rsidRPr="00BB43EC">
        <w:rPr>
          <w:sz w:val="24"/>
        </w:rPr>
        <w:t>Ronapreve</w:t>
      </w:r>
      <w:proofErr w:type="spellEnd"/>
      <w:r w:rsidRPr="00BB43EC">
        <w:rPr>
          <w:sz w:val="24"/>
        </w:rPr>
        <w:t xml:space="preserve"> is indicated for the treatment of COVID-19 in </w:t>
      </w:r>
      <w:r w:rsidR="004E5377">
        <w:rPr>
          <w:sz w:val="24"/>
        </w:rPr>
        <w:t>adult</w:t>
      </w:r>
      <w:r w:rsidR="00E8206E">
        <w:rPr>
          <w:sz w:val="24"/>
        </w:rPr>
        <w:t>s</w:t>
      </w:r>
      <w:r w:rsidR="004E5377">
        <w:rPr>
          <w:sz w:val="24"/>
        </w:rPr>
        <w:t xml:space="preserve"> and adolescents</w:t>
      </w:r>
      <w:r w:rsidR="004E5377" w:rsidRPr="00BB43EC">
        <w:rPr>
          <w:sz w:val="24"/>
        </w:rPr>
        <w:t xml:space="preserve"> </w:t>
      </w:r>
      <w:r w:rsidR="004E5377">
        <w:rPr>
          <w:sz w:val="24"/>
        </w:rPr>
        <w:t>(</w:t>
      </w:r>
      <w:r w:rsidRPr="00BB43EC">
        <w:rPr>
          <w:sz w:val="24"/>
        </w:rPr>
        <w:t>aged 12 years and older and weighing at least 40 kg</w:t>
      </w:r>
      <w:r w:rsidR="004E5377">
        <w:rPr>
          <w:sz w:val="24"/>
        </w:rPr>
        <w:t>)</w:t>
      </w:r>
      <w:r w:rsidRPr="00BB43EC">
        <w:rPr>
          <w:sz w:val="24"/>
        </w:rPr>
        <w:t xml:space="preserve"> </w:t>
      </w:r>
      <w:r w:rsidR="005614CF">
        <w:rPr>
          <w:sz w:val="24"/>
        </w:rPr>
        <w:t>who</w:t>
      </w:r>
      <w:r w:rsidRPr="00BB43EC">
        <w:rPr>
          <w:sz w:val="24"/>
        </w:rPr>
        <w:t xml:space="preserve"> do not require supplemental oxygen for COVID-19 and who are at </w:t>
      </w:r>
      <w:r w:rsidR="004E5377">
        <w:rPr>
          <w:sz w:val="24"/>
        </w:rPr>
        <w:t>increased</w:t>
      </w:r>
      <w:r w:rsidRPr="00BB43EC">
        <w:rPr>
          <w:sz w:val="24"/>
        </w:rPr>
        <w:t xml:space="preserve"> risk of progressing to severe COVID-19.</w:t>
      </w:r>
    </w:p>
    <w:p w14:paraId="31BC1E7C" w14:textId="7131A878" w:rsidR="00BB43EC" w:rsidRDefault="00BB43EC" w:rsidP="00BB43EC">
      <w:pPr>
        <w:pStyle w:val="Paragraph"/>
        <w:spacing w:after="0"/>
        <w:rPr>
          <w:sz w:val="24"/>
        </w:rPr>
      </w:pPr>
    </w:p>
    <w:p w14:paraId="28772C05" w14:textId="03C801B1" w:rsidR="00BB43EC" w:rsidRPr="00BB43EC" w:rsidRDefault="00D214AE" w:rsidP="00BB43EC">
      <w:pPr>
        <w:pStyle w:val="Paragraph"/>
        <w:keepNext/>
        <w:spacing w:after="120"/>
        <w:rPr>
          <w:b/>
          <w:sz w:val="24"/>
        </w:rPr>
      </w:pPr>
      <w:r w:rsidRPr="00D214AE">
        <w:rPr>
          <w:b/>
          <w:sz w:val="24"/>
        </w:rPr>
        <w:t>Post-exposure prophylaxis</w:t>
      </w:r>
      <w:r w:rsidR="00BB43EC" w:rsidRPr="00BB43EC">
        <w:rPr>
          <w:b/>
          <w:sz w:val="24"/>
        </w:rPr>
        <w:t xml:space="preserve"> </w:t>
      </w:r>
    </w:p>
    <w:p w14:paraId="7EE07702" w14:textId="51AF1004" w:rsidR="00BB43EC" w:rsidRPr="004663D3" w:rsidRDefault="00BB43EC" w:rsidP="005614CF">
      <w:proofErr w:type="spellStart"/>
      <w:r w:rsidRPr="004663D3">
        <w:t>Ronapreve</w:t>
      </w:r>
      <w:proofErr w:type="spellEnd"/>
      <w:r w:rsidRPr="004663D3">
        <w:t xml:space="preserve"> is indicated for the prevention of COVID-19 in </w:t>
      </w:r>
      <w:r w:rsidR="004E5377">
        <w:t>adult</w:t>
      </w:r>
      <w:r w:rsidR="00E8206E">
        <w:t>s</w:t>
      </w:r>
      <w:r w:rsidR="004E5377">
        <w:t xml:space="preserve"> and adolescents</w:t>
      </w:r>
      <w:r w:rsidR="005614CF" w:rsidRPr="004663D3">
        <w:t xml:space="preserve"> </w:t>
      </w:r>
      <w:r w:rsidR="004E5377">
        <w:t>(</w:t>
      </w:r>
      <w:r w:rsidRPr="004663D3">
        <w:t>aged 12 years and older and weighing at least 40 kg</w:t>
      </w:r>
      <w:r w:rsidR="004E5377">
        <w:t>)</w:t>
      </w:r>
      <w:r w:rsidRPr="004663D3">
        <w:t xml:space="preserve"> who </w:t>
      </w:r>
      <w:r w:rsidR="00E8206E" w:rsidRPr="00E8206E">
        <w:t>have been exposed to SARS-CoV-2 AND who either</w:t>
      </w:r>
      <w:r w:rsidRPr="004663D3">
        <w:t>:</w:t>
      </w:r>
    </w:p>
    <w:p w14:paraId="047FE894" w14:textId="680B3F75" w:rsidR="00BB43EC" w:rsidRDefault="00BB43EC" w:rsidP="00D638E9">
      <w:pPr>
        <w:pStyle w:val="ListParagraph"/>
        <w:numPr>
          <w:ilvl w:val="0"/>
          <w:numId w:val="16"/>
        </w:numPr>
      </w:pPr>
      <w:r w:rsidRPr="004663D3">
        <w:t>have a medical condition making them unlikely to respond to or be protected by vaccination</w:t>
      </w:r>
      <w:r w:rsidR="00D638E9">
        <w:t>, OR</w:t>
      </w:r>
    </w:p>
    <w:p w14:paraId="4F8E91B3" w14:textId="722CEAC5" w:rsidR="00D638E9" w:rsidRDefault="00D638E9" w:rsidP="00D638E9">
      <w:pPr>
        <w:pStyle w:val="ListParagraph"/>
        <w:numPr>
          <w:ilvl w:val="0"/>
          <w:numId w:val="16"/>
        </w:numPr>
      </w:pPr>
      <w:r w:rsidRPr="00D638E9">
        <w:rPr>
          <w:lang w:val="en-GB"/>
        </w:rPr>
        <w:t xml:space="preserve">are not vaccinated against COVID-19. </w:t>
      </w:r>
    </w:p>
    <w:p w14:paraId="780D7F64" w14:textId="77777777" w:rsidR="00D638E9" w:rsidRDefault="00D638E9" w:rsidP="005614CF"/>
    <w:p w14:paraId="2D9331C0" w14:textId="2EBC24DF" w:rsidR="00651E59" w:rsidRPr="004663D3" w:rsidRDefault="00651E59" w:rsidP="005614CF">
      <w:r>
        <w:lastRenderedPageBreak/>
        <w:t>(refer to section</w:t>
      </w:r>
      <w:r w:rsidR="00927594">
        <w:t xml:space="preserve"> </w:t>
      </w:r>
      <w:r w:rsidR="00927594" w:rsidRPr="00927594">
        <w:t>4.2 Dose and method of administration</w:t>
      </w:r>
      <w:r w:rsidR="00927594">
        <w:t xml:space="preserve"> and section</w:t>
      </w:r>
      <w:r>
        <w:t xml:space="preserve"> 5.1, Clinical Trials)</w:t>
      </w:r>
    </w:p>
    <w:p w14:paraId="65094F79" w14:textId="77777777" w:rsidR="00B8096C" w:rsidRDefault="00B8096C" w:rsidP="00BB43EC"/>
    <w:p w14:paraId="06FF5451" w14:textId="7A9FF1B9" w:rsidR="00E8206E" w:rsidRDefault="00E8206E" w:rsidP="00BB43EC">
      <w:proofErr w:type="spellStart"/>
      <w:r w:rsidRPr="00E8206E">
        <w:t>Ronapreve</w:t>
      </w:r>
      <w:proofErr w:type="spellEnd"/>
      <w:r w:rsidRPr="00E8206E">
        <w:t xml:space="preserve"> is not intended to be used as a substitute for vaccination against COVID-19.</w:t>
      </w:r>
    </w:p>
    <w:p w14:paraId="2B0750AE" w14:textId="77777777" w:rsidR="00E8206E" w:rsidRDefault="00E8206E" w:rsidP="00BB43EC"/>
    <w:p w14:paraId="198F560A" w14:textId="777E0C3D" w:rsidR="00367961" w:rsidRPr="004663D3" w:rsidRDefault="00367961" w:rsidP="00BB43EC">
      <w:r w:rsidRPr="00367961">
        <w:t xml:space="preserve">The decision has been made on the basis of </w:t>
      </w:r>
      <w:proofErr w:type="gramStart"/>
      <w:r w:rsidRPr="00367961">
        <w:t>short term</w:t>
      </w:r>
      <w:proofErr w:type="gramEnd"/>
      <w:r w:rsidRPr="00367961">
        <w:t xml:space="preserve"> efficacy and safety data. Continued approval of this indication depends on the evidence of </w:t>
      </w:r>
      <w:proofErr w:type="gramStart"/>
      <w:r w:rsidRPr="00367961">
        <w:t>longer term</w:t>
      </w:r>
      <w:proofErr w:type="gramEnd"/>
      <w:r w:rsidRPr="00367961">
        <w:t xml:space="preserve"> efficacy and safety from ongoing clinical trials and post-market assessment.     </w:t>
      </w:r>
    </w:p>
    <w:p w14:paraId="79494D00" w14:textId="77777777" w:rsidR="00BB43EC" w:rsidRPr="004663D3" w:rsidRDefault="00BB43EC" w:rsidP="00BB43EC">
      <w:pPr>
        <w:tabs>
          <w:tab w:val="left" w:pos="567"/>
        </w:tabs>
      </w:pPr>
    </w:p>
    <w:p w14:paraId="51EEB884" w14:textId="77777777" w:rsidR="00D52399" w:rsidRPr="00A807D3" w:rsidRDefault="00902EBE" w:rsidP="00A8585F">
      <w:pPr>
        <w:pStyle w:val="Heading2"/>
        <w:numPr>
          <w:ilvl w:val="1"/>
          <w:numId w:val="2"/>
        </w:numPr>
        <w:ind w:left="0" w:firstLine="0"/>
        <w:rPr>
          <w:color w:val="auto"/>
        </w:rPr>
      </w:pPr>
      <w:r w:rsidRPr="00A807D3">
        <w:rPr>
          <w:color w:val="auto"/>
        </w:rPr>
        <w:t>DOSE AND METHOD OF ADMINISTRATION</w:t>
      </w:r>
    </w:p>
    <w:p w14:paraId="22462E06" w14:textId="4CB18759" w:rsidR="00B72105" w:rsidRDefault="00BB43EC" w:rsidP="00BB43EC">
      <w:pPr>
        <w:spacing w:after="240"/>
        <w:rPr>
          <w:rFonts w:eastAsia="MS Mincho"/>
        </w:rPr>
      </w:pPr>
      <w:r w:rsidRPr="004663D3">
        <w:rPr>
          <w:rFonts w:eastAsia="MS Mincho"/>
        </w:rPr>
        <w:t xml:space="preserve">Preparation and administration of </w:t>
      </w:r>
      <w:proofErr w:type="spellStart"/>
      <w:r w:rsidRPr="004663D3">
        <w:rPr>
          <w:rFonts w:eastAsia="MS Mincho"/>
        </w:rPr>
        <w:t>Ronapreve</w:t>
      </w:r>
      <w:proofErr w:type="spellEnd"/>
      <w:r w:rsidRPr="004663D3">
        <w:rPr>
          <w:rFonts w:eastAsia="MS Mincho"/>
        </w:rPr>
        <w:t xml:space="preserve"> should be initiated and monitored by a qualified healthcare provider using </w:t>
      </w:r>
      <w:r w:rsidRPr="000D5746">
        <w:rPr>
          <w:rFonts w:eastAsia="MS Mincho"/>
        </w:rPr>
        <w:t xml:space="preserve">aseptic technique. Administration should be under conditions where management of severe hypersensitivity reactions, such as anaphylaxis, is possible. Individuals should be monitored post intravenous </w:t>
      </w:r>
      <w:r w:rsidRPr="005614CF">
        <w:rPr>
          <w:rFonts w:eastAsia="MS Mincho"/>
        </w:rPr>
        <w:t>infusion according to local medical practice.</w:t>
      </w:r>
    </w:p>
    <w:p w14:paraId="400E48C7" w14:textId="77777777" w:rsidR="00BB43EC" w:rsidRPr="004663D3" w:rsidRDefault="00BB43EC" w:rsidP="00BB43EC">
      <w:pPr>
        <w:spacing w:line="280" w:lineRule="atLeast"/>
        <w:rPr>
          <w:i/>
          <w:lang w:eastAsia="en-US"/>
        </w:rPr>
      </w:pPr>
      <w:r w:rsidRPr="004663D3">
        <w:rPr>
          <w:i/>
          <w:lang w:eastAsia="en-US"/>
        </w:rPr>
        <w:t>Intravenous Administration</w:t>
      </w:r>
    </w:p>
    <w:p w14:paraId="7F0ABFE6" w14:textId="77777777" w:rsidR="00BB43EC" w:rsidRPr="004663D3" w:rsidRDefault="00BB43EC" w:rsidP="00BB43EC">
      <w:pPr>
        <w:spacing w:after="240" w:line="280" w:lineRule="atLeast"/>
        <w:rPr>
          <w:lang w:eastAsia="en-US"/>
        </w:rPr>
      </w:pPr>
      <w:proofErr w:type="spellStart"/>
      <w:r w:rsidRPr="004663D3">
        <w:rPr>
          <w:lang w:eastAsia="en-US"/>
        </w:rPr>
        <w:t>Casirivimab</w:t>
      </w:r>
      <w:proofErr w:type="spellEnd"/>
      <w:r w:rsidRPr="004663D3">
        <w:rPr>
          <w:lang w:eastAsia="en-US"/>
        </w:rPr>
        <w:t xml:space="preserve"> and </w:t>
      </w:r>
      <w:proofErr w:type="spellStart"/>
      <w:r w:rsidRPr="004663D3">
        <w:rPr>
          <w:lang w:eastAsia="en-US"/>
        </w:rPr>
        <w:t>imdevimab</w:t>
      </w:r>
      <w:proofErr w:type="spellEnd"/>
      <w:r w:rsidRPr="004663D3">
        <w:rPr>
          <w:lang w:eastAsia="en-US"/>
        </w:rPr>
        <w:t xml:space="preserve"> must be administered together, after dilution, as a single intravenous (IV) infusion.</w:t>
      </w:r>
    </w:p>
    <w:p w14:paraId="350C8717" w14:textId="77777777" w:rsidR="00BB43EC" w:rsidRPr="004663D3" w:rsidRDefault="00BB43EC" w:rsidP="00BB43EC">
      <w:pPr>
        <w:spacing w:line="280" w:lineRule="atLeast"/>
        <w:rPr>
          <w:i/>
          <w:lang w:eastAsia="en-US"/>
        </w:rPr>
      </w:pPr>
      <w:r w:rsidRPr="004663D3">
        <w:rPr>
          <w:i/>
          <w:lang w:eastAsia="en-US"/>
        </w:rPr>
        <w:t>Subcutaneous Administration</w:t>
      </w:r>
    </w:p>
    <w:p w14:paraId="3CA75985" w14:textId="7CE868DD" w:rsidR="00BB43EC" w:rsidRPr="004663D3" w:rsidRDefault="00BB43EC" w:rsidP="00BB43EC">
      <w:pPr>
        <w:spacing w:after="240" w:line="280" w:lineRule="atLeast"/>
        <w:rPr>
          <w:lang w:eastAsia="en-US"/>
        </w:rPr>
      </w:pPr>
      <w:proofErr w:type="spellStart"/>
      <w:r w:rsidRPr="004663D3">
        <w:rPr>
          <w:lang w:eastAsia="en-US"/>
        </w:rPr>
        <w:t>Casirivimab</w:t>
      </w:r>
      <w:proofErr w:type="spellEnd"/>
      <w:r w:rsidRPr="004663D3">
        <w:rPr>
          <w:lang w:eastAsia="en-US"/>
        </w:rPr>
        <w:t xml:space="preserve"> and </w:t>
      </w:r>
      <w:proofErr w:type="spellStart"/>
      <w:r w:rsidRPr="004663D3">
        <w:rPr>
          <w:lang w:eastAsia="en-US"/>
        </w:rPr>
        <w:t>imdevimab</w:t>
      </w:r>
      <w:proofErr w:type="spellEnd"/>
      <w:r w:rsidRPr="004663D3">
        <w:rPr>
          <w:lang w:eastAsia="en-US"/>
        </w:rPr>
        <w:t xml:space="preserve"> must be administered consecutively by</w:t>
      </w:r>
      <w:r w:rsidR="003044FC">
        <w:rPr>
          <w:lang w:eastAsia="en-US"/>
        </w:rPr>
        <w:t xml:space="preserve"> </w:t>
      </w:r>
      <w:r w:rsidR="007666D6">
        <w:rPr>
          <w:lang w:eastAsia="en-US"/>
        </w:rPr>
        <w:t>separate</w:t>
      </w:r>
      <w:r w:rsidR="007666D6" w:rsidRPr="004663D3">
        <w:rPr>
          <w:lang w:eastAsia="en-US"/>
        </w:rPr>
        <w:t xml:space="preserve"> </w:t>
      </w:r>
      <w:r w:rsidRPr="004663D3">
        <w:rPr>
          <w:lang w:eastAsia="en-US"/>
        </w:rPr>
        <w:t>subcutaneous injection</w:t>
      </w:r>
      <w:r w:rsidR="003044FC">
        <w:rPr>
          <w:lang w:eastAsia="en-US"/>
        </w:rPr>
        <w:t>s</w:t>
      </w:r>
      <w:r w:rsidRPr="004663D3">
        <w:rPr>
          <w:lang w:eastAsia="en-US"/>
        </w:rPr>
        <w:t>.</w:t>
      </w:r>
    </w:p>
    <w:p w14:paraId="4E298DA6" w14:textId="096D31D9" w:rsidR="00D52399" w:rsidRPr="00B72105" w:rsidRDefault="00615052" w:rsidP="00BF3D2C">
      <w:pPr>
        <w:pStyle w:val="Heading3"/>
      </w:pPr>
      <w:r w:rsidRPr="00B72105">
        <w:t>Dos</w:t>
      </w:r>
      <w:r w:rsidR="00F5220C" w:rsidRPr="00B72105">
        <w:t>age</w:t>
      </w:r>
    </w:p>
    <w:p w14:paraId="41CC9115" w14:textId="77777777" w:rsidR="00BB43EC" w:rsidRPr="00BB43EC" w:rsidRDefault="00BB43EC" w:rsidP="00BF3D2C">
      <w:pPr>
        <w:pStyle w:val="Heading4"/>
        <w:spacing w:before="120"/>
      </w:pPr>
      <w:r w:rsidRPr="00BB43EC">
        <w:t xml:space="preserve">Treatment </w:t>
      </w:r>
    </w:p>
    <w:p w14:paraId="5FE69936" w14:textId="6DC0E1B3" w:rsidR="00BB43EC" w:rsidRDefault="00BB43EC" w:rsidP="00BB43EC">
      <w:pPr>
        <w:pStyle w:val="C-BodyText"/>
        <w:spacing w:before="0" w:after="0"/>
        <w:rPr>
          <w:szCs w:val="24"/>
        </w:rPr>
      </w:pPr>
      <w:r w:rsidRPr="004663D3">
        <w:rPr>
          <w:szCs w:val="24"/>
        </w:rPr>
        <w:t xml:space="preserve">The dosage in </w:t>
      </w:r>
      <w:r w:rsidR="006608B6">
        <w:rPr>
          <w:szCs w:val="24"/>
        </w:rPr>
        <w:t xml:space="preserve">adult </w:t>
      </w:r>
      <w:r w:rsidRPr="004663D3">
        <w:rPr>
          <w:szCs w:val="24"/>
        </w:rPr>
        <w:t xml:space="preserve">patients </w:t>
      </w:r>
      <w:r w:rsidR="006608B6" w:rsidRPr="006608B6">
        <w:rPr>
          <w:szCs w:val="24"/>
        </w:rPr>
        <w:t xml:space="preserve">and adolescent patients </w:t>
      </w:r>
      <w:r w:rsidRPr="004663D3">
        <w:rPr>
          <w:szCs w:val="24"/>
        </w:rPr>
        <w:t>12 years of age and older weighing at least</w:t>
      </w:r>
      <w:r w:rsidR="004031AA">
        <w:rPr>
          <w:szCs w:val="24"/>
        </w:rPr>
        <w:t xml:space="preserve"> 40 kg is 600 mg of </w:t>
      </w:r>
      <w:proofErr w:type="spellStart"/>
      <w:r w:rsidR="004031AA">
        <w:rPr>
          <w:szCs w:val="24"/>
        </w:rPr>
        <w:t>casirivimab</w:t>
      </w:r>
      <w:proofErr w:type="spellEnd"/>
      <w:r w:rsidR="004031AA">
        <w:rPr>
          <w:szCs w:val="24"/>
        </w:rPr>
        <w:t xml:space="preserve"> </w:t>
      </w:r>
      <w:r w:rsidRPr="004663D3">
        <w:rPr>
          <w:szCs w:val="24"/>
        </w:rPr>
        <w:t xml:space="preserve">and 600 mg of </w:t>
      </w:r>
      <w:proofErr w:type="spellStart"/>
      <w:r w:rsidRPr="004663D3">
        <w:rPr>
          <w:szCs w:val="24"/>
        </w:rPr>
        <w:t>imdevimab</w:t>
      </w:r>
      <w:proofErr w:type="spellEnd"/>
      <w:r w:rsidRPr="004663D3">
        <w:rPr>
          <w:szCs w:val="24"/>
        </w:rPr>
        <w:t xml:space="preserve"> administered either together as a single IV infusion via pump or gravity (see Table 1) or by subcutaneous injection (see Table 3).</w:t>
      </w:r>
      <w:r w:rsidR="00E8206E">
        <w:rPr>
          <w:szCs w:val="24"/>
        </w:rPr>
        <w:t xml:space="preserve"> </w:t>
      </w:r>
      <w:r w:rsidR="00E8206E" w:rsidRPr="00E8206E">
        <w:rPr>
          <w:szCs w:val="24"/>
        </w:rPr>
        <w:t>Intravenous infusion is strongly recommended. Subcutaneous injection is an alternative route of administration when intravenous infusion is not feasible and would lead to delay in treatment.</w:t>
      </w:r>
    </w:p>
    <w:p w14:paraId="1B9F7329" w14:textId="77777777" w:rsidR="00E8206E" w:rsidRPr="004663D3" w:rsidRDefault="00E8206E" w:rsidP="00BB43EC">
      <w:pPr>
        <w:pStyle w:val="C-BodyText"/>
        <w:spacing w:before="0" w:after="0"/>
        <w:rPr>
          <w:szCs w:val="24"/>
        </w:rPr>
      </w:pPr>
    </w:p>
    <w:p w14:paraId="2C908A81" w14:textId="555885E8" w:rsidR="00BB43EC" w:rsidRDefault="00BB43EC" w:rsidP="00BB43EC">
      <w:pPr>
        <w:pStyle w:val="C-BodyText"/>
        <w:spacing w:before="0" w:after="0"/>
        <w:rPr>
          <w:szCs w:val="24"/>
        </w:rPr>
      </w:pPr>
      <w:proofErr w:type="spellStart"/>
      <w:r w:rsidRPr="004663D3">
        <w:rPr>
          <w:szCs w:val="24"/>
        </w:rPr>
        <w:t>Casirivimab</w:t>
      </w:r>
      <w:proofErr w:type="spellEnd"/>
      <w:r w:rsidRPr="004663D3">
        <w:rPr>
          <w:szCs w:val="24"/>
        </w:rPr>
        <w:t xml:space="preserve"> with </w:t>
      </w:r>
      <w:proofErr w:type="spellStart"/>
      <w:r w:rsidRPr="004663D3">
        <w:rPr>
          <w:szCs w:val="24"/>
        </w:rPr>
        <w:t>imdevimab</w:t>
      </w:r>
      <w:proofErr w:type="spellEnd"/>
      <w:r w:rsidRPr="004663D3">
        <w:rPr>
          <w:szCs w:val="24"/>
        </w:rPr>
        <w:t xml:space="preserve"> should be given together as soon as possible after a positive viral test for SARS</w:t>
      </w:r>
      <w:r w:rsidRPr="00D638E9">
        <w:rPr>
          <w:szCs w:val="24"/>
        </w:rPr>
        <w:t>-CoV-2</w:t>
      </w:r>
      <w:r w:rsidR="00D638E9">
        <w:rPr>
          <w:szCs w:val="24"/>
        </w:rPr>
        <w:t xml:space="preserve"> and not later than 7 days after the onset of first symptoms</w:t>
      </w:r>
      <w:r w:rsidRPr="00D638E9">
        <w:rPr>
          <w:szCs w:val="24"/>
        </w:rPr>
        <w:t>.</w:t>
      </w:r>
    </w:p>
    <w:p w14:paraId="0F74AFEA" w14:textId="73C5BD99" w:rsidR="00BB43EC" w:rsidRPr="00BB43EC" w:rsidRDefault="00BB43EC" w:rsidP="00BF3D2C">
      <w:pPr>
        <w:pStyle w:val="Heading4"/>
      </w:pPr>
      <w:r w:rsidRPr="00BB43EC">
        <w:t xml:space="preserve">Prevention </w:t>
      </w:r>
    </w:p>
    <w:p w14:paraId="6F594052" w14:textId="7AC2C72F" w:rsidR="00BB43EC" w:rsidRPr="004663D3" w:rsidRDefault="00367961" w:rsidP="00BF3D2C">
      <w:pPr>
        <w:pStyle w:val="Heading5"/>
        <w:spacing w:before="120"/>
      </w:pPr>
      <w:r w:rsidRPr="00367961">
        <w:t xml:space="preserve">Post-exposure prophylaxis </w:t>
      </w:r>
      <w:r>
        <w:t>(</w:t>
      </w:r>
      <w:r w:rsidR="00BB43EC">
        <w:t>S</w:t>
      </w:r>
      <w:r w:rsidR="00BB43EC" w:rsidRPr="004663D3">
        <w:t>ingle dose</w:t>
      </w:r>
      <w:r>
        <w:t>)</w:t>
      </w:r>
      <w:r w:rsidR="00BB43EC" w:rsidRPr="004663D3">
        <w:t xml:space="preserve"> </w:t>
      </w:r>
    </w:p>
    <w:p w14:paraId="4E05856C" w14:textId="3C6CDC14" w:rsidR="00BB43EC" w:rsidRPr="004663D3" w:rsidRDefault="00BB43EC" w:rsidP="00BB43EC">
      <w:pPr>
        <w:pStyle w:val="C-BodyText"/>
        <w:spacing w:before="0" w:after="0"/>
        <w:rPr>
          <w:szCs w:val="24"/>
          <w:u w:val="single"/>
        </w:rPr>
      </w:pPr>
      <w:r w:rsidRPr="004663D3">
        <w:rPr>
          <w:szCs w:val="24"/>
        </w:rPr>
        <w:t xml:space="preserve">The dosage in </w:t>
      </w:r>
      <w:r w:rsidR="006608B6">
        <w:rPr>
          <w:szCs w:val="24"/>
        </w:rPr>
        <w:t>adult patients and patients</w:t>
      </w:r>
      <w:r w:rsidRPr="004663D3">
        <w:rPr>
          <w:szCs w:val="24"/>
        </w:rPr>
        <w:t xml:space="preserve"> 12 years of age and older weighing at least 40 kg is 600 mg of </w:t>
      </w:r>
      <w:proofErr w:type="spellStart"/>
      <w:r w:rsidRPr="004663D3">
        <w:rPr>
          <w:szCs w:val="24"/>
        </w:rPr>
        <w:t>casirivimab</w:t>
      </w:r>
      <w:proofErr w:type="spellEnd"/>
      <w:r w:rsidRPr="004663D3">
        <w:rPr>
          <w:szCs w:val="24"/>
        </w:rPr>
        <w:t xml:space="preserve"> and 600 mg of </w:t>
      </w:r>
      <w:proofErr w:type="spellStart"/>
      <w:r w:rsidRPr="004663D3">
        <w:rPr>
          <w:szCs w:val="24"/>
        </w:rPr>
        <w:t>imdevimab</w:t>
      </w:r>
      <w:proofErr w:type="spellEnd"/>
      <w:r w:rsidRPr="004663D3">
        <w:rPr>
          <w:szCs w:val="24"/>
        </w:rPr>
        <w:t xml:space="preserve"> administered together either as a single IV infusion via pump or gravity (see Table 1) or by subcutaneous injection (see Table 3).</w:t>
      </w:r>
    </w:p>
    <w:p w14:paraId="44DC5A60" w14:textId="77777777" w:rsidR="00BB43EC" w:rsidRDefault="00BB43EC" w:rsidP="00BB43EC">
      <w:pPr>
        <w:pStyle w:val="C-BodyText"/>
        <w:spacing w:before="0" w:after="0"/>
        <w:rPr>
          <w:szCs w:val="24"/>
        </w:rPr>
      </w:pPr>
    </w:p>
    <w:p w14:paraId="5483DC0E" w14:textId="77777777" w:rsidR="00BB43EC" w:rsidRPr="004663D3" w:rsidRDefault="00BB43EC" w:rsidP="00BB43EC">
      <w:pPr>
        <w:pStyle w:val="C-BodyText"/>
        <w:spacing w:before="0" w:after="0"/>
        <w:rPr>
          <w:szCs w:val="24"/>
        </w:rPr>
      </w:pPr>
      <w:proofErr w:type="spellStart"/>
      <w:r w:rsidRPr="004663D3">
        <w:rPr>
          <w:szCs w:val="24"/>
        </w:rPr>
        <w:t>Casirivimab</w:t>
      </w:r>
      <w:proofErr w:type="spellEnd"/>
      <w:r w:rsidRPr="004663D3">
        <w:rPr>
          <w:szCs w:val="24"/>
        </w:rPr>
        <w:t xml:space="preserve"> and </w:t>
      </w:r>
      <w:proofErr w:type="spellStart"/>
      <w:r w:rsidRPr="004663D3">
        <w:rPr>
          <w:szCs w:val="24"/>
        </w:rPr>
        <w:t>imdevimab</w:t>
      </w:r>
      <w:proofErr w:type="spellEnd"/>
      <w:r w:rsidRPr="004663D3">
        <w:rPr>
          <w:szCs w:val="24"/>
        </w:rPr>
        <w:t xml:space="preserve"> should be given concurrently as soon as possible following exposure to SARS-CoV-2.</w:t>
      </w:r>
    </w:p>
    <w:p w14:paraId="03B416C9" w14:textId="45E5C92F" w:rsidR="00BB43EC" w:rsidRPr="00927594" w:rsidRDefault="00927594" w:rsidP="00BF3D2C">
      <w:pPr>
        <w:pStyle w:val="Heading5"/>
        <w:rPr>
          <w:highlight w:val="yellow"/>
          <w:lang w:val="en-AU"/>
        </w:rPr>
      </w:pPr>
      <w:r w:rsidRPr="00927594">
        <w:rPr>
          <w:lang w:val="en-AU"/>
        </w:rPr>
        <w:t>Repeat dose for ongoing</w:t>
      </w:r>
      <w:r w:rsidR="00367961" w:rsidRPr="00927594">
        <w:rPr>
          <w:lang w:val="en-AU"/>
        </w:rPr>
        <w:t xml:space="preserve"> prophylaxis (</w:t>
      </w:r>
      <w:r w:rsidR="00BB43EC" w:rsidRPr="00927594">
        <w:rPr>
          <w:lang w:val="en-AU"/>
        </w:rPr>
        <w:t>Repeat dose</w:t>
      </w:r>
      <w:r w:rsidR="00367961" w:rsidRPr="00927594">
        <w:rPr>
          <w:lang w:val="en-AU"/>
        </w:rPr>
        <w:t>)</w:t>
      </w:r>
    </w:p>
    <w:p w14:paraId="2EDADAB0" w14:textId="27A912D6" w:rsidR="00BB43EC" w:rsidRPr="005751F2" w:rsidRDefault="00BB43EC" w:rsidP="00BB43EC">
      <w:pPr>
        <w:pStyle w:val="C-BodyText"/>
        <w:spacing w:before="0" w:after="0"/>
        <w:rPr>
          <w:szCs w:val="24"/>
        </w:rPr>
      </w:pPr>
      <w:r w:rsidRPr="005751F2">
        <w:rPr>
          <w:szCs w:val="24"/>
        </w:rPr>
        <w:t xml:space="preserve">For individuals </w:t>
      </w:r>
      <w:r w:rsidR="00927594" w:rsidRPr="00927594">
        <w:rPr>
          <w:szCs w:val="24"/>
        </w:rPr>
        <w:t xml:space="preserve">in whom repeat dosing is determined to be appropriate for ongoing SARS-CoV-2 exposure (longer than 4 weeks) and </w:t>
      </w:r>
      <w:r w:rsidRPr="005751F2">
        <w:rPr>
          <w:szCs w:val="24"/>
        </w:rPr>
        <w:t xml:space="preserve">who have a medical condition making them unlikely to respond to or be protected by vaccination: </w:t>
      </w:r>
    </w:p>
    <w:p w14:paraId="1D045839" w14:textId="346381C2" w:rsidR="00BB43EC" w:rsidRPr="005751F2" w:rsidRDefault="00BB43EC" w:rsidP="00BB43EC">
      <w:pPr>
        <w:pStyle w:val="C-BodyText"/>
        <w:spacing w:before="0" w:after="0"/>
        <w:ind w:left="567" w:hanging="567"/>
        <w:rPr>
          <w:szCs w:val="24"/>
        </w:rPr>
      </w:pPr>
      <w:r w:rsidRPr="005751F2">
        <w:rPr>
          <w:szCs w:val="24"/>
          <w:lang w:val="en-GB"/>
        </w:rPr>
        <w:lastRenderedPageBreak/>
        <w:t>●</w:t>
      </w:r>
      <w:r w:rsidRPr="005751F2">
        <w:rPr>
          <w:szCs w:val="24"/>
          <w:lang w:val="en-GB"/>
        </w:rPr>
        <w:tab/>
      </w:r>
      <w:r w:rsidRPr="005751F2">
        <w:rPr>
          <w:szCs w:val="24"/>
        </w:rPr>
        <w:t>the initial</w:t>
      </w:r>
      <w:r w:rsidR="006608B6" w:rsidRPr="005751F2">
        <w:rPr>
          <w:szCs w:val="24"/>
        </w:rPr>
        <w:t xml:space="preserve"> (loading)</w:t>
      </w:r>
      <w:r w:rsidRPr="005751F2">
        <w:rPr>
          <w:szCs w:val="24"/>
        </w:rPr>
        <w:t xml:space="preserve"> dose</w:t>
      </w:r>
      <w:r w:rsidR="006608B6" w:rsidRPr="005751F2">
        <w:rPr>
          <w:szCs w:val="24"/>
        </w:rPr>
        <w:t xml:space="preserve"> in adult patients and in adolescent patients 12 years of age and older weighing at least 40 kg</w:t>
      </w:r>
      <w:r w:rsidRPr="005751F2">
        <w:rPr>
          <w:szCs w:val="24"/>
        </w:rPr>
        <w:t xml:space="preserve"> is 600 mg of </w:t>
      </w:r>
      <w:proofErr w:type="spellStart"/>
      <w:r w:rsidRPr="005751F2">
        <w:rPr>
          <w:szCs w:val="24"/>
        </w:rPr>
        <w:t>casirivimab</w:t>
      </w:r>
      <w:proofErr w:type="spellEnd"/>
      <w:r w:rsidRPr="005751F2">
        <w:rPr>
          <w:szCs w:val="24"/>
        </w:rPr>
        <w:t xml:space="preserve"> and 600 mg of </w:t>
      </w:r>
      <w:proofErr w:type="spellStart"/>
      <w:r w:rsidRPr="005751F2">
        <w:rPr>
          <w:szCs w:val="24"/>
        </w:rPr>
        <w:t>imdevimab</w:t>
      </w:r>
      <w:proofErr w:type="spellEnd"/>
      <w:r w:rsidRPr="005751F2">
        <w:rPr>
          <w:szCs w:val="24"/>
        </w:rPr>
        <w:t xml:space="preserve"> by IV infusion or subcutaneous injection.</w:t>
      </w:r>
    </w:p>
    <w:p w14:paraId="4AB944B8" w14:textId="47A51B20" w:rsidR="00BB43EC" w:rsidRPr="005751F2" w:rsidRDefault="00BB43EC" w:rsidP="00BB43EC">
      <w:pPr>
        <w:pStyle w:val="C-BodyText"/>
        <w:spacing w:before="0" w:after="0"/>
        <w:ind w:left="567" w:hanging="567"/>
        <w:rPr>
          <w:szCs w:val="24"/>
        </w:rPr>
      </w:pPr>
      <w:r w:rsidRPr="005751F2">
        <w:rPr>
          <w:szCs w:val="24"/>
          <w:lang w:val="en-GB"/>
        </w:rPr>
        <w:t>●</w:t>
      </w:r>
      <w:r w:rsidRPr="005751F2">
        <w:rPr>
          <w:szCs w:val="24"/>
          <w:lang w:val="en-GB"/>
        </w:rPr>
        <w:tab/>
      </w:r>
      <w:r w:rsidRPr="005751F2">
        <w:rPr>
          <w:szCs w:val="24"/>
        </w:rPr>
        <w:t xml:space="preserve">subsequent doses are 300 mg of </w:t>
      </w:r>
      <w:proofErr w:type="spellStart"/>
      <w:r w:rsidRPr="005751F2">
        <w:rPr>
          <w:szCs w:val="24"/>
        </w:rPr>
        <w:t>casirivimab</w:t>
      </w:r>
      <w:proofErr w:type="spellEnd"/>
      <w:r w:rsidRPr="005751F2">
        <w:rPr>
          <w:szCs w:val="24"/>
        </w:rPr>
        <w:t xml:space="preserve"> and 300 mg of </w:t>
      </w:r>
      <w:proofErr w:type="spellStart"/>
      <w:r w:rsidRPr="005751F2">
        <w:rPr>
          <w:szCs w:val="24"/>
        </w:rPr>
        <w:t>imdevimab</w:t>
      </w:r>
      <w:proofErr w:type="spellEnd"/>
      <w:r w:rsidRPr="005751F2">
        <w:rPr>
          <w:szCs w:val="24"/>
        </w:rPr>
        <w:t xml:space="preserve"> by IV infusion or subcutaneous injection once every 4 weeks</w:t>
      </w:r>
      <w:r w:rsidR="006608B6" w:rsidRPr="005751F2">
        <w:rPr>
          <w:szCs w:val="24"/>
        </w:rPr>
        <w:t xml:space="preserve"> until prophylaxis is no longer required. There are no data on repeat dosing beyond 24 weeks (6 doses)</w:t>
      </w:r>
      <w:r w:rsidRPr="005751F2">
        <w:rPr>
          <w:szCs w:val="24"/>
        </w:rPr>
        <w:t>.</w:t>
      </w:r>
    </w:p>
    <w:p w14:paraId="31175B44" w14:textId="77777777" w:rsidR="00927594" w:rsidRDefault="00927594" w:rsidP="00BB43EC">
      <w:pPr>
        <w:pStyle w:val="C-BodyText"/>
        <w:spacing w:before="0" w:after="0"/>
        <w:ind w:left="567" w:hanging="567"/>
        <w:rPr>
          <w:szCs w:val="24"/>
        </w:rPr>
      </w:pPr>
    </w:p>
    <w:p w14:paraId="408E21A8" w14:textId="0706C562" w:rsidR="00BB43EC" w:rsidRDefault="00927594" w:rsidP="00927594">
      <w:pPr>
        <w:pStyle w:val="C-BodyText"/>
        <w:spacing w:before="0" w:after="0"/>
        <w:rPr>
          <w:szCs w:val="24"/>
        </w:rPr>
      </w:pPr>
      <w:proofErr w:type="spellStart"/>
      <w:r w:rsidRPr="00927594">
        <w:rPr>
          <w:szCs w:val="24"/>
        </w:rPr>
        <w:t>Ronapreve</w:t>
      </w:r>
      <w:proofErr w:type="spellEnd"/>
      <w:r w:rsidRPr="00927594">
        <w:rPr>
          <w:szCs w:val="24"/>
        </w:rPr>
        <w:t xml:space="preserve"> is not intended to be used as a </w:t>
      </w:r>
      <w:proofErr w:type="gramStart"/>
      <w:r w:rsidRPr="00927594">
        <w:rPr>
          <w:szCs w:val="24"/>
        </w:rPr>
        <w:t>long term</w:t>
      </w:r>
      <w:proofErr w:type="gramEnd"/>
      <w:r w:rsidRPr="00927594">
        <w:rPr>
          <w:szCs w:val="24"/>
        </w:rPr>
        <w:t xml:space="preserve"> pre-exposure prophylaxis for prevention of COVID-19.</w:t>
      </w:r>
    </w:p>
    <w:p w14:paraId="29CEFB59" w14:textId="77777777" w:rsidR="00927594" w:rsidRPr="005751F2" w:rsidRDefault="00927594" w:rsidP="00927594">
      <w:pPr>
        <w:pStyle w:val="C-BodyText"/>
        <w:spacing w:before="0" w:after="0"/>
        <w:rPr>
          <w:szCs w:val="24"/>
        </w:rPr>
      </w:pPr>
    </w:p>
    <w:p w14:paraId="27AE0991" w14:textId="77777777" w:rsidR="00BB43EC" w:rsidRDefault="00BB43EC" w:rsidP="00BB43EC">
      <w:pPr>
        <w:pStyle w:val="C-BodyText"/>
        <w:spacing w:before="0" w:after="0"/>
        <w:rPr>
          <w:szCs w:val="24"/>
        </w:rPr>
      </w:pPr>
      <w:r w:rsidRPr="005751F2">
        <w:rPr>
          <w:szCs w:val="24"/>
        </w:rPr>
        <w:t>Repeat dosing regimens for prevention of COVID-19 allow for switching from intravenous infusion to subcutaneous injection or vice versa over the course of treatment.</w:t>
      </w:r>
    </w:p>
    <w:p w14:paraId="0B2427A4" w14:textId="77777777" w:rsidR="00BB43EC" w:rsidRPr="00BB43EC" w:rsidRDefault="00BB43EC" w:rsidP="00BF3D2C">
      <w:pPr>
        <w:pStyle w:val="Heading3"/>
      </w:pPr>
      <w:r w:rsidRPr="00BB43EC">
        <w:t>Dose Modification</w:t>
      </w:r>
    </w:p>
    <w:p w14:paraId="051163D2" w14:textId="77777777" w:rsidR="00BB43EC" w:rsidRPr="004663D3" w:rsidRDefault="00BB43EC" w:rsidP="00BB43EC">
      <w:pPr>
        <w:pStyle w:val="C-BodyText"/>
        <w:spacing w:before="0" w:after="0"/>
        <w:rPr>
          <w:szCs w:val="24"/>
        </w:rPr>
      </w:pPr>
      <w:r w:rsidRPr="004663D3">
        <w:rPr>
          <w:szCs w:val="24"/>
        </w:rPr>
        <w:t xml:space="preserve">The rate of infusion may be slowed, </w:t>
      </w:r>
      <w:proofErr w:type="gramStart"/>
      <w:r w:rsidRPr="004663D3">
        <w:rPr>
          <w:szCs w:val="24"/>
        </w:rPr>
        <w:t>interrupted</w:t>
      </w:r>
      <w:proofErr w:type="gramEnd"/>
      <w:r w:rsidRPr="004663D3">
        <w:rPr>
          <w:szCs w:val="24"/>
        </w:rPr>
        <w:t xml:space="preserve"> or discontinued if the patient develops any signs of infusion-associated events or other adverse events (see section 4.8).</w:t>
      </w:r>
    </w:p>
    <w:p w14:paraId="37EAD8A4" w14:textId="77777777" w:rsidR="00BB43EC" w:rsidRPr="00BB43EC" w:rsidRDefault="00BB43EC" w:rsidP="00BF3D2C">
      <w:pPr>
        <w:pStyle w:val="Heading3"/>
      </w:pPr>
      <w:r w:rsidRPr="00BB43EC">
        <w:t>Delayed or Missed dose</w:t>
      </w:r>
    </w:p>
    <w:p w14:paraId="4785DF59" w14:textId="77777777" w:rsidR="00BB43EC" w:rsidRPr="004663D3" w:rsidRDefault="00BB43EC" w:rsidP="00BB43EC">
      <w:pPr>
        <w:pStyle w:val="C-BodyText"/>
        <w:keepNext/>
        <w:keepLines/>
        <w:spacing w:before="0" w:after="240"/>
        <w:rPr>
          <w:szCs w:val="24"/>
        </w:rPr>
      </w:pPr>
      <w:r w:rsidRPr="004663D3">
        <w:rPr>
          <w:szCs w:val="24"/>
        </w:rPr>
        <w:t xml:space="preserve">Doses should not be </w:t>
      </w:r>
      <w:proofErr w:type="gramStart"/>
      <w:r w:rsidRPr="004663D3">
        <w:rPr>
          <w:szCs w:val="24"/>
        </w:rPr>
        <w:t>missed</w:t>
      </w:r>
      <w:proofErr w:type="gramEnd"/>
      <w:r w:rsidRPr="004663D3">
        <w:rPr>
          <w:szCs w:val="24"/>
        </w:rPr>
        <w:t xml:space="preserve"> and the dosing regimen should be adhered to as closely as possible. If a dose of </w:t>
      </w:r>
      <w:proofErr w:type="spellStart"/>
      <w:r w:rsidRPr="004663D3">
        <w:rPr>
          <w:szCs w:val="24"/>
        </w:rPr>
        <w:t>Ronapreve</w:t>
      </w:r>
      <w:proofErr w:type="spellEnd"/>
      <w:r w:rsidRPr="004663D3">
        <w:rPr>
          <w:szCs w:val="24"/>
        </w:rPr>
        <w:t xml:space="preserve"> is missed it should be administered as soon as possible. The schedule of administration should be adjusted to maintain the appropriate interval between doses.</w:t>
      </w:r>
    </w:p>
    <w:p w14:paraId="7B92FF6E" w14:textId="77777777" w:rsidR="00666925" w:rsidRPr="00B03DB2" w:rsidRDefault="00666925" w:rsidP="00BF3D2C">
      <w:pPr>
        <w:pStyle w:val="Heading3"/>
      </w:pPr>
      <w:r w:rsidRPr="00B03DB2">
        <w:t>Special populations</w:t>
      </w:r>
    </w:p>
    <w:p w14:paraId="515E1EA3" w14:textId="2E4E8122" w:rsidR="00666925" w:rsidRPr="00B03DB2" w:rsidRDefault="00666925" w:rsidP="00B03DB2">
      <w:pPr>
        <w:pStyle w:val="Heading4"/>
        <w:spacing w:before="0"/>
        <w:rPr>
          <w:color w:val="auto"/>
        </w:rPr>
      </w:pPr>
      <w:r w:rsidRPr="00B03DB2">
        <w:rPr>
          <w:color w:val="auto"/>
        </w:rPr>
        <w:t>P</w:t>
      </w:r>
      <w:r w:rsidR="000A3096" w:rsidRPr="00B03DB2">
        <w:rPr>
          <w:color w:val="auto"/>
        </w:rPr>
        <w:t>a</w:t>
      </w:r>
      <w:r w:rsidRPr="00B03DB2">
        <w:rPr>
          <w:color w:val="auto"/>
        </w:rPr>
        <w:t>ediatric use</w:t>
      </w:r>
    </w:p>
    <w:p w14:paraId="40EE546F" w14:textId="77777777" w:rsidR="00BB43EC" w:rsidRPr="004663D3" w:rsidRDefault="00BB43EC" w:rsidP="00BB43EC">
      <w:pPr>
        <w:pStyle w:val="C-BodyText"/>
        <w:spacing w:before="0" w:line="240" w:lineRule="auto"/>
        <w:rPr>
          <w:szCs w:val="24"/>
        </w:rPr>
      </w:pPr>
      <w:r w:rsidRPr="004663D3">
        <w:rPr>
          <w:szCs w:val="24"/>
        </w:rPr>
        <w:t xml:space="preserve">The safety and efficacy of </w:t>
      </w:r>
      <w:r w:rsidRPr="004663D3">
        <w:rPr>
          <w:noProof/>
          <w:szCs w:val="24"/>
        </w:rPr>
        <w:t xml:space="preserve">casirivimab and imdevimab </w:t>
      </w:r>
      <w:r w:rsidRPr="004663D3">
        <w:rPr>
          <w:szCs w:val="24"/>
        </w:rPr>
        <w:t xml:space="preserve">in children &lt; 12 years of age has not yet been established. No data are available. No dosage adjustment is recommended in </w:t>
      </w:r>
      <w:proofErr w:type="spellStart"/>
      <w:r w:rsidRPr="004663D3">
        <w:rPr>
          <w:szCs w:val="24"/>
        </w:rPr>
        <w:t>paediatric</w:t>
      </w:r>
      <w:proofErr w:type="spellEnd"/>
      <w:r w:rsidRPr="004663D3">
        <w:rPr>
          <w:szCs w:val="24"/>
        </w:rPr>
        <w:t xml:space="preserve"> individuals ≥ 12 years of age and older and weighing ≥ 40 kg (see section 5.2).</w:t>
      </w:r>
    </w:p>
    <w:p w14:paraId="05E47601" w14:textId="2D63FDF3" w:rsidR="00666925" w:rsidRPr="00B03DB2" w:rsidRDefault="00666925" w:rsidP="00B03DB2">
      <w:pPr>
        <w:pStyle w:val="Heading4"/>
        <w:spacing w:before="0"/>
        <w:rPr>
          <w:color w:val="auto"/>
        </w:rPr>
      </w:pPr>
      <w:r w:rsidRPr="00B03DB2">
        <w:rPr>
          <w:color w:val="auto"/>
        </w:rPr>
        <w:t>Geriatric use</w:t>
      </w:r>
    </w:p>
    <w:p w14:paraId="288FC268" w14:textId="3956A699" w:rsidR="00666925" w:rsidRPr="00A4304C" w:rsidRDefault="00BB43EC" w:rsidP="00BB43EC">
      <w:pPr>
        <w:pStyle w:val="Paragraph"/>
        <w:spacing w:after="120"/>
        <w:rPr>
          <w:sz w:val="24"/>
        </w:rPr>
      </w:pPr>
      <w:r w:rsidRPr="00BB43EC">
        <w:rPr>
          <w:sz w:val="24"/>
        </w:rPr>
        <w:t xml:space="preserve">No dose adjustment of </w:t>
      </w:r>
      <w:proofErr w:type="spellStart"/>
      <w:r w:rsidRPr="00BB43EC">
        <w:rPr>
          <w:sz w:val="24"/>
        </w:rPr>
        <w:t>casirivimab</w:t>
      </w:r>
      <w:proofErr w:type="spellEnd"/>
      <w:r w:rsidRPr="00BB43EC">
        <w:rPr>
          <w:sz w:val="24"/>
        </w:rPr>
        <w:t xml:space="preserve"> and </w:t>
      </w:r>
      <w:proofErr w:type="spellStart"/>
      <w:r w:rsidRPr="00BB43EC">
        <w:rPr>
          <w:sz w:val="24"/>
        </w:rPr>
        <w:t>imdevimab</w:t>
      </w:r>
      <w:proofErr w:type="spellEnd"/>
      <w:r w:rsidRPr="00BB43EC">
        <w:rPr>
          <w:sz w:val="24"/>
        </w:rPr>
        <w:t xml:space="preserve"> is required in elderly patients (see section 5.2)</w:t>
      </w:r>
      <w:r w:rsidR="00666925" w:rsidRPr="00A4304C">
        <w:rPr>
          <w:sz w:val="24"/>
        </w:rPr>
        <w:t>.</w:t>
      </w:r>
    </w:p>
    <w:p w14:paraId="6296F244" w14:textId="77777777" w:rsidR="00666925" w:rsidRPr="00B03DB2" w:rsidRDefault="00666925" w:rsidP="00B03DB2">
      <w:pPr>
        <w:pStyle w:val="Heading4"/>
        <w:spacing w:before="0"/>
        <w:rPr>
          <w:color w:val="auto"/>
        </w:rPr>
      </w:pPr>
      <w:r w:rsidRPr="00B03DB2">
        <w:rPr>
          <w:color w:val="auto"/>
        </w:rPr>
        <w:t>Renal Impairment</w:t>
      </w:r>
    </w:p>
    <w:p w14:paraId="53D8F763" w14:textId="7FE682ED" w:rsidR="00666925" w:rsidRPr="00A4304C" w:rsidRDefault="00BB43EC" w:rsidP="00B03DB2">
      <w:pPr>
        <w:pStyle w:val="Paragraph"/>
        <w:spacing w:after="120"/>
        <w:rPr>
          <w:sz w:val="24"/>
        </w:rPr>
      </w:pPr>
      <w:r w:rsidRPr="004663D3">
        <w:rPr>
          <w:sz w:val="24"/>
        </w:rPr>
        <w:t>No dosage adjustment is required in individuals with mild or moderate renal impairment, or in patients with creatinine clearance (</w:t>
      </w:r>
      <w:proofErr w:type="spellStart"/>
      <w:r w:rsidRPr="004663D3">
        <w:rPr>
          <w:sz w:val="24"/>
        </w:rPr>
        <w:t>CrCl</w:t>
      </w:r>
      <w:proofErr w:type="spellEnd"/>
      <w:r w:rsidRPr="004663D3">
        <w:rPr>
          <w:sz w:val="24"/>
        </w:rPr>
        <w:t>) &lt; 15 mL/min including those on dialysis. Limited data are available in individuals with severe renal impairment (see section 5.2)</w:t>
      </w:r>
      <w:r w:rsidR="00B03DB2" w:rsidRPr="00B03DB2">
        <w:rPr>
          <w:sz w:val="24"/>
        </w:rPr>
        <w:t>.</w:t>
      </w:r>
    </w:p>
    <w:p w14:paraId="60DFE4DB" w14:textId="77777777" w:rsidR="00666925" w:rsidRPr="00B03DB2" w:rsidRDefault="00666925" w:rsidP="00B03DB2">
      <w:pPr>
        <w:pStyle w:val="Heading4"/>
        <w:spacing w:before="0"/>
        <w:rPr>
          <w:color w:val="auto"/>
        </w:rPr>
      </w:pPr>
      <w:r w:rsidRPr="00B03DB2">
        <w:rPr>
          <w:color w:val="auto"/>
        </w:rPr>
        <w:t>Hepatic Impairment</w:t>
      </w:r>
    </w:p>
    <w:p w14:paraId="1494E3E7" w14:textId="619B8246" w:rsidR="00820652" w:rsidRDefault="00BB43EC" w:rsidP="00B03DB2">
      <w:pPr>
        <w:pStyle w:val="Paragraph"/>
        <w:spacing w:after="120"/>
        <w:rPr>
          <w:sz w:val="24"/>
        </w:rPr>
      </w:pPr>
      <w:r w:rsidRPr="004663D3">
        <w:rPr>
          <w:sz w:val="24"/>
        </w:rPr>
        <w:t xml:space="preserve">No dosage adjustment is required in individuals with mild hepatic impairment. Limited data are available in individuals with moderate hepatic impairment. </w:t>
      </w:r>
      <w:proofErr w:type="spellStart"/>
      <w:r w:rsidRPr="004663D3">
        <w:rPr>
          <w:sz w:val="24"/>
        </w:rPr>
        <w:t>Casirivimab</w:t>
      </w:r>
      <w:proofErr w:type="spellEnd"/>
      <w:r w:rsidRPr="004663D3">
        <w:rPr>
          <w:sz w:val="24"/>
        </w:rPr>
        <w:t xml:space="preserve"> and </w:t>
      </w:r>
      <w:proofErr w:type="spellStart"/>
      <w:r w:rsidRPr="004663D3">
        <w:rPr>
          <w:sz w:val="24"/>
        </w:rPr>
        <w:t>imdevimab</w:t>
      </w:r>
      <w:proofErr w:type="spellEnd"/>
      <w:r w:rsidRPr="004663D3">
        <w:rPr>
          <w:sz w:val="24"/>
        </w:rPr>
        <w:t xml:space="preserve"> have not been studied in individuals with severe hepatic impairment (see section 5.2</w:t>
      </w:r>
      <w:r w:rsidR="00820652">
        <w:rPr>
          <w:sz w:val="24"/>
        </w:rPr>
        <w:t>)</w:t>
      </w:r>
      <w:r w:rsidR="00666925" w:rsidRPr="00A4304C">
        <w:rPr>
          <w:sz w:val="24"/>
        </w:rPr>
        <w:t>.</w:t>
      </w:r>
    </w:p>
    <w:p w14:paraId="6377D31D" w14:textId="77777777" w:rsidR="00820652" w:rsidRPr="00A807D3" w:rsidRDefault="00820652" w:rsidP="00BF3D2C">
      <w:pPr>
        <w:pStyle w:val="Heading3"/>
      </w:pPr>
      <w:r>
        <w:t>Method of Administration</w:t>
      </w:r>
    </w:p>
    <w:p w14:paraId="6D46CBD2" w14:textId="65FEC886" w:rsidR="00BB43EC" w:rsidRDefault="00BB43EC" w:rsidP="00BB43EC">
      <w:pPr>
        <w:pStyle w:val="C-BodyText"/>
        <w:spacing w:before="0" w:after="0" w:line="240" w:lineRule="auto"/>
        <w:rPr>
          <w:szCs w:val="24"/>
        </w:rPr>
      </w:pPr>
      <w:r w:rsidRPr="000D5746">
        <w:rPr>
          <w:noProof/>
          <w:szCs w:val="24"/>
        </w:rPr>
        <w:t xml:space="preserve">Ronapreve </w:t>
      </w:r>
      <w:r w:rsidRPr="000D5746">
        <w:rPr>
          <w:szCs w:val="24"/>
        </w:rPr>
        <w:t xml:space="preserve">is for intravenous infusion or subcutaneous injection only. </w:t>
      </w:r>
    </w:p>
    <w:p w14:paraId="7A5FB4DD" w14:textId="31827708" w:rsidR="00BF3D2C" w:rsidRDefault="00BF3D2C" w:rsidP="00BB43EC">
      <w:pPr>
        <w:pStyle w:val="C-BodyText"/>
        <w:spacing w:before="0" w:after="0" w:line="240" w:lineRule="auto"/>
        <w:rPr>
          <w:szCs w:val="24"/>
        </w:rPr>
      </w:pPr>
      <w:r w:rsidRPr="00BF3D2C">
        <w:rPr>
          <w:szCs w:val="24"/>
        </w:rPr>
        <w:t xml:space="preserve">Do not use the medicine if the liquid </w:t>
      </w:r>
      <w:proofErr w:type="spellStart"/>
      <w:r>
        <w:rPr>
          <w:szCs w:val="24"/>
        </w:rPr>
        <w:t>discoloured</w:t>
      </w:r>
      <w:proofErr w:type="spellEnd"/>
      <w:r>
        <w:rPr>
          <w:szCs w:val="24"/>
        </w:rPr>
        <w:t xml:space="preserve"> or</w:t>
      </w:r>
      <w:r w:rsidRPr="00BF3D2C">
        <w:rPr>
          <w:szCs w:val="24"/>
        </w:rPr>
        <w:t xml:space="preserve"> has visible particles</w:t>
      </w:r>
      <w:r>
        <w:rPr>
          <w:szCs w:val="24"/>
        </w:rPr>
        <w:t>.</w:t>
      </w:r>
    </w:p>
    <w:p w14:paraId="7A481E08" w14:textId="0FD7BE61" w:rsidR="00475F45" w:rsidRPr="00475F45" w:rsidRDefault="00475F45" w:rsidP="00475F45">
      <w:pPr>
        <w:pStyle w:val="C-BodyText"/>
        <w:rPr>
          <w:szCs w:val="24"/>
        </w:rPr>
      </w:pPr>
      <w:r w:rsidRPr="00475F45">
        <w:rPr>
          <w:szCs w:val="24"/>
        </w:rPr>
        <w:t xml:space="preserve">The 6 mL vial is for single use in one patient only. </w:t>
      </w:r>
      <w:r w:rsidR="00160ECE" w:rsidRPr="004E5377">
        <w:rPr>
          <w:szCs w:val="24"/>
        </w:rPr>
        <w:t xml:space="preserve">Discard </w:t>
      </w:r>
      <w:r w:rsidR="004E5377" w:rsidRPr="004E5377">
        <w:rPr>
          <w:szCs w:val="24"/>
        </w:rPr>
        <w:t xml:space="preserve">any </w:t>
      </w:r>
      <w:r w:rsidR="004E5377">
        <w:rPr>
          <w:szCs w:val="24"/>
        </w:rPr>
        <w:t>remaining unused product</w:t>
      </w:r>
      <w:r w:rsidR="004E5377" w:rsidRPr="004E5377">
        <w:rPr>
          <w:szCs w:val="24"/>
        </w:rPr>
        <w:t>.</w:t>
      </w:r>
    </w:p>
    <w:p w14:paraId="3BD2A17A" w14:textId="30747D3D" w:rsidR="00475F45" w:rsidRPr="000D5746" w:rsidRDefault="00475F45" w:rsidP="00475F45">
      <w:pPr>
        <w:pStyle w:val="C-BodyText"/>
        <w:spacing w:before="0" w:after="0" w:line="240" w:lineRule="auto"/>
        <w:rPr>
          <w:szCs w:val="24"/>
        </w:rPr>
      </w:pPr>
      <w:r w:rsidRPr="00475F45">
        <w:rPr>
          <w:szCs w:val="24"/>
        </w:rPr>
        <w:t>The 20 mL vial is multi-dose and may be used to prepare doses for more than one patient.</w:t>
      </w:r>
    </w:p>
    <w:p w14:paraId="1A0A28D5" w14:textId="77777777" w:rsidR="00BB43EC" w:rsidRPr="00BB43EC" w:rsidRDefault="00BB43EC" w:rsidP="00BF3D2C">
      <w:pPr>
        <w:pStyle w:val="Heading4"/>
      </w:pPr>
      <w:r w:rsidRPr="00BB43EC">
        <w:t xml:space="preserve">Intravenous Infusion </w:t>
      </w:r>
    </w:p>
    <w:p w14:paraId="2F6BB06B" w14:textId="77777777" w:rsidR="00BF3D2C" w:rsidRPr="00BE7DC2" w:rsidRDefault="00BF3D2C" w:rsidP="00BF3D2C">
      <w:pPr>
        <w:pStyle w:val="Heading4"/>
      </w:pPr>
      <w:r w:rsidRPr="00BE7DC2">
        <w:t xml:space="preserve">Preparation </w:t>
      </w:r>
      <w:r>
        <w:t xml:space="preserve">of </w:t>
      </w:r>
      <w:proofErr w:type="spellStart"/>
      <w:r>
        <w:t>Ronapreve</w:t>
      </w:r>
      <w:proofErr w:type="spellEnd"/>
      <w:r>
        <w:t xml:space="preserve"> for intravenous infusion</w:t>
      </w:r>
    </w:p>
    <w:p w14:paraId="515BBBA2" w14:textId="77777777" w:rsidR="00BF3D2C" w:rsidRPr="000D5746" w:rsidRDefault="00BF3D2C" w:rsidP="00BF3D2C">
      <w:pPr>
        <w:tabs>
          <w:tab w:val="left" w:pos="7895"/>
        </w:tabs>
        <w:rPr>
          <w:color w:val="auto"/>
        </w:rPr>
      </w:pPr>
      <w:r w:rsidRPr="000D5746">
        <w:rPr>
          <w:noProof/>
          <w:color w:val="auto"/>
        </w:rPr>
        <w:lastRenderedPageBreak/>
        <w:t>Ronapreve</w:t>
      </w:r>
      <w:r w:rsidRPr="000D5746">
        <w:rPr>
          <w:color w:val="auto"/>
        </w:rPr>
        <w:t xml:space="preserve"> should be prepared by a healthcare professional using aseptic technique:  </w:t>
      </w:r>
    </w:p>
    <w:p w14:paraId="473A099F" w14:textId="77777777" w:rsidR="00BF3D2C" w:rsidRPr="000D5746" w:rsidRDefault="00BF3D2C" w:rsidP="00BF3D2C">
      <w:pPr>
        <w:ind w:left="567" w:hanging="567"/>
        <w:rPr>
          <w:color w:val="auto"/>
        </w:rPr>
      </w:pPr>
      <w:r w:rsidRPr="000D5746">
        <w:rPr>
          <w:color w:val="auto"/>
        </w:rPr>
        <w:t>1.</w:t>
      </w:r>
      <w:r w:rsidRPr="000D5746">
        <w:rPr>
          <w:color w:val="auto"/>
        </w:rPr>
        <w:tab/>
        <w:t xml:space="preserve">Remove the </w:t>
      </w:r>
      <w:proofErr w:type="spellStart"/>
      <w:r w:rsidRPr="000D5746">
        <w:rPr>
          <w:color w:val="auto"/>
        </w:rPr>
        <w:t>casirivimab</w:t>
      </w:r>
      <w:proofErr w:type="spellEnd"/>
      <w:r w:rsidRPr="000D5746">
        <w:rPr>
          <w:color w:val="auto"/>
        </w:rPr>
        <w:t xml:space="preserve"> and </w:t>
      </w:r>
      <w:proofErr w:type="spellStart"/>
      <w:r w:rsidRPr="000D5746">
        <w:rPr>
          <w:color w:val="auto"/>
        </w:rPr>
        <w:t>imdevimab</w:t>
      </w:r>
      <w:proofErr w:type="spellEnd"/>
      <w:r w:rsidRPr="000D5746">
        <w:rPr>
          <w:color w:val="auto"/>
        </w:rPr>
        <w:t xml:space="preserve"> vials from refrigerated storage and allow to equilibrate to room temperature for approximately 20 minutes before preparation. </w:t>
      </w:r>
    </w:p>
    <w:p w14:paraId="188FF573" w14:textId="77777777" w:rsidR="00BF3D2C" w:rsidRPr="000D5746" w:rsidRDefault="00BF3D2C" w:rsidP="00BF3D2C">
      <w:pPr>
        <w:ind w:left="990" w:hanging="423"/>
        <w:rPr>
          <w:color w:val="auto"/>
        </w:rPr>
      </w:pPr>
      <w:r w:rsidRPr="000D5746">
        <w:rPr>
          <w:bCs/>
          <w:color w:val="auto"/>
        </w:rPr>
        <w:t>-</w:t>
      </w:r>
      <w:r w:rsidRPr="000D5746">
        <w:rPr>
          <w:bCs/>
          <w:color w:val="auto"/>
        </w:rPr>
        <w:tab/>
        <w:t xml:space="preserve">Do not expose to direct heat. </w:t>
      </w:r>
    </w:p>
    <w:p w14:paraId="65C80AB3" w14:textId="77777777" w:rsidR="00BF3D2C" w:rsidRPr="000D5746" w:rsidRDefault="00BF3D2C" w:rsidP="00BF3D2C">
      <w:pPr>
        <w:ind w:left="990" w:hanging="423"/>
        <w:rPr>
          <w:color w:val="auto"/>
        </w:rPr>
      </w:pPr>
      <w:r w:rsidRPr="000D5746">
        <w:rPr>
          <w:bCs/>
          <w:color w:val="auto"/>
        </w:rPr>
        <w:t>-</w:t>
      </w:r>
      <w:r w:rsidRPr="000D5746">
        <w:rPr>
          <w:bCs/>
          <w:color w:val="auto"/>
        </w:rPr>
        <w:tab/>
        <w:t>Do not shake the vials.</w:t>
      </w:r>
      <w:r w:rsidRPr="000D5746">
        <w:rPr>
          <w:color w:val="auto"/>
        </w:rPr>
        <w:t xml:space="preserve"> </w:t>
      </w:r>
    </w:p>
    <w:p w14:paraId="464F71A2" w14:textId="77777777" w:rsidR="00BF3D2C" w:rsidRPr="000D5746" w:rsidRDefault="00BF3D2C" w:rsidP="00BF3D2C">
      <w:pPr>
        <w:ind w:left="567" w:hanging="567"/>
        <w:rPr>
          <w:color w:val="auto"/>
        </w:rPr>
      </w:pPr>
      <w:r w:rsidRPr="000D5746">
        <w:rPr>
          <w:color w:val="auto"/>
        </w:rPr>
        <w:t>2.</w:t>
      </w:r>
      <w:r w:rsidRPr="000D5746">
        <w:rPr>
          <w:color w:val="auto"/>
        </w:rPr>
        <w:tab/>
        <w:t xml:space="preserve">Inspect </w:t>
      </w:r>
      <w:proofErr w:type="spellStart"/>
      <w:r w:rsidRPr="000D5746">
        <w:rPr>
          <w:color w:val="auto"/>
        </w:rPr>
        <w:t>casirivimab</w:t>
      </w:r>
      <w:proofErr w:type="spellEnd"/>
      <w:r w:rsidRPr="000D5746">
        <w:rPr>
          <w:color w:val="auto"/>
        </w:rPr>
        <w:t xml:space="preserve"> and </w:t>
      </w:r>
      <w:proofErr w:type="spellStart"/>
      <w:r w:rsidRPr="000D5746">
        <w:rPr>
          <w:color w:val="auto"/>
        </w:rPr>
        <w:t>imdevimab</w:t>
      </w:r>
      <w:proofErr w:type="spellEnd"/>
      <w:r w:rsidRPr="000D5746">
        <w:rPr>
          <w:color w:val="auto"/>
        </w:rPr>
        <w:t xml:space="preserve"> vials visually for particulate matter and discoloration prior to administration. Should either be observed, the vial must be discarded and replaced with a new vial.</w:t>
      </w:r>
    </w:p>
    <w:p w14:paraId="70C7304F" w14:textId="77777777" w:rsidR="00BF3D2C" w:rsidRPr="000D5746" w:rsidRDefault="00BF3D2C" w:rsidP="00BF3D2C">
      <w:pPr>
        <w:ind w:left="990" w:hanging="423"/>
        <w:rPr>
          <w:color w:val="auto"/>
        </w:rPr>
      </w:pPr>
      <w:r w:rsidRPr="000D5746">
        <w:rPr>
          <w:color w:val="auto"/>
        </w:rPr>
        <w:t>-</w:t>
      </w:r>
      <w:r w:rsidRPr="000D5746">
        <w:rPr>
          <w:color w:val="auto"/>
        </w:rPr>
        <w:tab/>
        <w:t xml:space="preserve">The solution for each vial should be clear to slightly opalescent, </w:t>
      </w:r>
      <w:proofErr w:type="spellStart"/>
      <w:r w:rsidRPr="000D5746">
        <w:rPr>
          <w:color w:val="auto"/>
        </w:rPr>
        <w:t>colorless</w:t>
      </w:r>
      <w:proofErr w:type="spellEnd"/>
      <w:r w:rsidRPr="000D5746">
        <w:rPr>
          <w:color w:val="auto"/>
        </w:rPr>
        <w:t xml:space="preserve"> to pale yellow.</w:t>
      </w:r>
    </w:p>
    <w:p w14:paraId="24954C73" w14:textId="77777777" w:rsidR="00BF3D2C" w:rsidRPr="000D5746" w:rsidRDefault="00BF3D2C" w:rsidP="00BF3D2C">
      <w:pPr>
        <w:ind w:left="567" w:hanging="567"/>
        <w:rPr>
          <w:color w:val="auto"/>
        </w:rPr>
      </w:pPr>
      <w:r w:rsidRPr="000D5746">
        <w:rPr>
          <w:color w:val="auto"/>
        </w:rPr>
        <w:t>3.</w:t>
      </w:r>
      <w:r w:rsidRPr="000D5746">
        <w:rPr>
          <w:color w:val="auto"/>
        </w:rPr>
        <w:tab/>
        <w:t xml:space="preserve">Obtain a prefilled IV infusion bag [made from polyvinyl chloride (PVC) or polyolefin (PO)] containing either 50 mL, 100 mL, 150 mL, or 250 mL of 0.9% Sodium Chloride Injection or 5% Dextrose Injection. </w:t>
      </w:r>
    </w:p>
    <w:p w14:paraId="0EA29419" w14:textId="7714170C" w:rsidR="00BF3D2C" w:rsidRPr="000D5746" w:rsidRDefault="00BF3D2C" w:rsidP="00BF3D2C">
      <w:pPr>
        <w:ind w:left="567" w:hanging="567"/>
        <w:rPr>
          <w:rFonts w:eastAsia="SimSun"/>
          <w:b/>
          <w:bCs/>
          <w:color w:val="auto"/>
          <w:lang w:eastAsia="zh-CN"/>
        </w:rPr>
      </w:pPr>
      <w:r w:rsidRPr="000D5746">
        <w:rPr>
          <w:color w:val="auto"/>
        </w:rPr>
        <w:t>4.</w:t>
      </w:r>
      <w:r w:rsidRPr="000D5746">
        <w:rPr>
          <w:color w:val="auto"/>
        </w:rPr>
        <w:tab/>
        <w:t xml:space="preserve">Withdraw the appropriate volume of </w:t>
      </w:r>
      <w:proofErr w:type="spellStart"/>
      <w:r w:rsidRPr="000D5746">
        <w:rPr>
          <w:color w:val="auto"/>
        </w:rPr>
        <w:t>casirivimab</w:t>
      </w:r>
      <w:proofErr w:type="spellEnd"/>
      <w:r w:rsidRPr="000D5746">
        <w:rPr>
          <w:color w:val="auto"/>
        </w:rPr>
        <w:t xml:space="preserve"> and </w:t>
      </w:r>
      <w:proofErr w:type="spellStart"/>
      <w:r w:rsidRPr="000D5746">
        <w:rPr>
          <w:color w:val="auto"/>
        </w:rPr>
        <w:t>imdevimab</w:t>
      </w:r>
      <w:proofErr w:type="spellEnd"/>
      <w:r w:rsidRPr="000D5746">
        <w:rPr>
          <w:color w:val="auto"/>
        </w:rPr>
        <w:t xml:space="preserve"> from each respective vial and inject into a prefilled infusion bag containing 0.9% Sodium Chloride Injection or 5% Dextrose Injection </w:t>
      </w:r>
      <w:r w:rsidRPr="000D5746">
        <w:rPr>
          <w:color w:val="auto"/>
          <w:spacing w:val="-1"/>
        </w:rPr>
        <w:t xml:space="preserve">(see </w:t>
      </w:r>
      <w:r w:rsidRPr="000D5746">
        <w:rPr>
          <w:rFonts w:eastAsia="SimSun"/>
          <w:bCs/>
          <w:color w:val="auto"/>
          <w:lang w:eastAsia="zh-CN"/>
        </w:rPr>
        <w:t>Table </w:t>
      </w:r>
      <w:r w:rsidRPr="000D5746">
        <w:rPr>
          <w:rFonts w:eastAsia="SimSun"/>
          <w:bCs/>
          <w:noProof/>
          <w:color w:val="auto"/>
          <w:lang w:eastAsia="zh-CN"/>
        </w:rPr>
        <w:t>1</w:t>
      </w:r>
      <w:r w:rsidRPr="000D5746">
        <w:rPr>
          <w:color w:val="auto"/>
          <w:spacing w:val="-1"/>
        </w:rPr>
        <w:t>)</w:t>
      </w:r>
      <w:r w:rsidRPr="000D5746">
        <w:rPr>
          <w:color w:val="auto"/>
        </w:rPr>
        <w:t xml:space="preserve">. </w:t>
      </w:r>
      <w:r w:rsidR="00C41711">
        <w:rPr>
          <w:color w:val="auto"/>
        </w:rPr>
        <w:t>For any remaining product in the vial, follow the instructions in Section 6.4.</w:t>
      </w:r>
    </w:p>
    <w:p w14:paraId="0E183F07" w14:textId="77777777" w:rsidR="00BF3D2C" w:rsidRPr="000D5746" w:rsidRDefault="00BF3D2C" w:rsidP="00BF3D2C">
      <w:pPr>
        <w:ind w:left="567" w:hanging="567"/>
        <w:rPr>
          <w:color w:val="auto"/>
        </w:rPr>
      </w:pPr>
      <w:r w:rsidRPr="000D5746">
        <w:rPr>
          <w:color w:val="auto"/>
        </w:rPr>
        <w:t>5.</w:t>
      </w:r>
      <w:r w:rsidRPr="000D5746">
        <w:rPr>
          <w:color w:val="auto"/>
        </w:rPr>
        <w:tab/>
        <w:t xml:space="preserve">Gently mix infusion bag by inversion. </w:t>
      </w:r>
      <w:r w:rsidRPr="000D5746">
        <w:rPr>
          <w:bCs/>
          <w:color w:val="auto"/>
        </w:rPr>
        <w:t>Do not shake.</w:t>
      </w:r>
    </w:p>
    <w:p w14:paraId="5336AF02" w14:textId="77777777" w:rsidR="00BF3D2C" w:rsidRPr="000D5746" w:rsidRDefault="00BF3D2C" w:rsidP="00BF3D2C">
      <w:pPr>
        <w:ind w:left="567" w:hanging="567"/>
        <w:rPr>
          <w:color w:val="auto"/>
        </w:rPr>
      </w:pPr>
      <w:r w:rsidRPr="000D5746">
        <w:rPr>
          <w:color w:val="auto"/>
        </w:rPr>
        <w:t>6.</w:t>
      </w:r>
      <w:r w:rsidRPr="000D5746">
        <w:rPr>
          <w:color w:val="auto"/>
        </w:rPr>
        <w:tab/>
      </w:r>
      <w:proofErr w:type="spellStart"/>
      <w:r w:rsidRPr="000D5746">
        <w:rPr>
          <w:color w:val="auto"/>
        </w:rPr>
        <w:t>Ronapreve</w:t>
      </w:r>
      <w:proofErr w:type="spellEnd"/>
      <w:r w:rsidRPr="000D5746">
        <w:rPr>
          <w:color w:val="auto"/>
        </w:rPr>
        <w:t xml:space="preserve"> is preservative</w:t>
      </w:r>
      <w:r w:rsidRPr="000D5746">
        <w:rPr>
          <w:color w:val="auto"/>
        </w:rPr>
        <w:noBreakHyphen/>
        <w:t xml:space="preserve">free and therefore, the diluted infusion solution should be administered immediately </w:t>
      </w:r>
    </w:p>
    <w:p w14:paraId="60E0EDDA" w14:textId="5FE49D10" w:rsidR="000E3B5F" w:rsidRDefault="00BF3D2C" w:rsidP="00BF3D2C">
      <w:pPr>
        <w:spacing w:line="259" w:lineRule="auto"/>
        <w:ind w:left="990" w:hanging="423"/>
        <w:contextualSpacing/>
        <w:rPr>
          <w:color w:val="auto"/>
        </w:rPr>
      </w:pPr>
      <w:r w:rsidRPr="000D5746">
        <w:rPr>
          <w:color w:val="auto"/>
        </w:rPr>
        <w:t>-</w:t>
      </w:r>
      <w:r w:rsidRPr="000D5746">
        <w:rPr>
          <w:color w:val="auto"/>
        </w:rPr>
        <w:tab/>
        <w:t xml:space="preserve">If immediate administration is not possible, store the diluted </w:t>
      </w:r>
      <w:proofErr w:type="spellStart"/>
      <w:r w:rsidRPr="000D5746">
        <w:rPr>
          <w:color w:val="auto"/>
        </w:rPr>
        <w:t>casirivimab</w:t>
      </w:r>
      <w:proofErr w:type="spellEnd"/>
      <w:r w:rsidRPr="000D5746">
        <w:rPr>
          <w:color w:val="auto"/>
        </w:rPr>
        <w:t xml:space="preserve"> and </w:t>
      </w:r>
      <w:proofErr w:type="spellStart"/>
      <w:r w:rsidRPr="000D5746">
        <w:rPr>
          <w:color w:val="auto"/>
        </w:rPr>
        <w:t>imdevimab</w:t>
      </w:r>
      <w:proofErr w:type="spellEnd"/>
      <w:r w:rsidRPr="000D5746">
        <w:rPr>
          <w:color w:val="auto"/>
        </w:rPr>
        <w:t xml:space="preserve"> infusion solution at 2 °C to 8 °C for no more than </w:t>
      </w:r>
      <w:r w:rsidR="00C41711">
        <w:rPr>
          <w:color w:val="auto"/>
        </w:rPr>
        <w:t>48</w:t>
      </w:r>
      <w:r w:rsidR="00C41711" w:rsidRPr="000D5746">
        <w:rPr>
          <w:color w:val="auto"/>
        </w:rPr>
        <w:t> </w:t>
      </w:r>
      <w:r w:rsidRPr="000D5746">
        <w:rPr>
          <w:color w:val="auto"/>
        </w:rPr>
        <w:t xml:space="preserve">hours and at room temperature up to 25 °C for no more than </w:t>
      </w:r>
      <w:r w:rsidR="00C41711">
        <w:rPr>
          <w:color w:val="auto"/>
        </w:rPr>
        <w:t>12</w:t>
      </w:r>
      <w:r w:rsidR="00C41711" w:rsidRPr="000D5746">
        <w:rPr>
          <w:color w:val="auto"/>
        </w:rPr>
        <w:t> </w:t>
      </w:r>
      <w:r w:rsidRPr="000D5746">
        <w:rPr>
          <w:color w:val="auto"/>
        </w:rPr>
        <w:t>hours. If refrigerated, allow the infusion solution to equilibrate to room temperature for approximately 30 minutes prior to administration.</w:t>
      </w:r>
    </w:p>
    <w:p w14:paraId="3979DF5C" w14:textId="77777777" w:rsidR="000E3B5F" w:rsidRDefault="000E3B5F" w:rsidP="00BF3D2C">
      <w:pPr>
        <w:spacing w:line="259" w:lineRule="auto"/>
        <w:ind w:left="990" w:hanging="423"/>
        <w:contextualSpacing/>
        <w:rPr>
          <w:color w:val="auto"/>
        </w:rPr>
      </w:pPr>
    </w:p>
    <w:p w14:paraId="7D5CA969" w14:textId="606A46B4" w:rsidR="000E3B5F" w:rsidRPr="000D5746" w:rsidRDefault="000E3B5F" w:rsidP="000E3B5F">
      <w:pPr>
        <w:spacing w:line="259" w:lineRule="auto"/>
        <w:rPr>
          <w:lang w:eastAsia="zh-CN"/>
        </w:rPr>
      </w:pPr>
      <w:r w:rsidRPr="000D5746">
        <w:rPr>
          <w:lang w:eastAsia="zh-CN"/>
        </w:rPr>
        <w:t xml:space="preserve">The rate of infusion may be slowed, </w:t>
      </w:r>
      <w:proofErr w:type="gramStart"/>
      <w:r w:rsidRPr="000D5746">
        <w:rPr>
          <w:lang w:eastAsia="zh-CN"/>
        </w:rPr>
        <w:t>interrupted</w:t>
      </w:r>
      <w:proofErr w:type="gramEnd"/>
      <w:r w:rsidRPr="000D5746">
        <w:rPr>
          <w:lang w:eastAsia="zh-CN"/>
        </w:rPr>
        <w:t xml:space="preserve"> or discontinued if the patient develops any signs of infusion-associated events or other adverse </w:t>
      </w:r>
      <w:r w:rsidR="006608B6">
        <w:rPr>
          <w:lang w:eastAsia="zh-CN"/>
        </w:rPr>
        <w:t>reactions</w:t>
      </w:r>
      <w:r w:rsidRPr="000D5746">
        <w:rPr>
          <w:lang w:eastAsia="zh-CN"/>
        </w:rPr>
        <w:t xml:space="preserve">. </w:t>
      </w:r>
    </w:p>
    <w:p w14:paraId="27D26B4F" w14:textId="7A003513" w:rsidR="00BF3D2C" w:rsidRDefault="00BF3D2C" w:rsidP="00BF3D2C">
      <w:pPr>
        <w:spacing w:line="259" w:lineRule="auto"/>
        <w:ind w:left="990" w:hanging="423"/>
        <w:contextualSpacing/>
        <w:rPr>
          <w:color w:val="auto"/>
        </w:rPr>
      </w:pPr>
    </w:p>
    <w:p w14:paraId="0DCEA313" w14:textId="489AAC70" w:rsidR="000E3B5F" w:rsidRPr="004663D3" w:rsidDel="00367961" w:rsidRDefault="000E3B5F" w:rsidP="000E3B5F">
      <w:pPr>
        <w:pStyle w:val="C-TableHeader"/>
        <w:keepLines/>
        <w:widowControl w:val="0"/>
        <w:spacing w:before="0" w:after="120"/>
        <w:ind w:left="907" w:hanging="907"/>
        <w:rPr>
          <w:rFonts w:eastAsia="SimSun"/>
          <w:b w:val="0"/>
          <w:bCs/>
          <w:sz w:val="24"/>
          <w:szCs w:val="24"/>
          <w:lang w:eastAsia="zh-CN"/>
        </w:rPr>
      </w:pPr>
      <w:r w:rsidRPr="004663D3" w:rsidDel="00367961">
        <w:rPr>
          <w:rFonts w:eastAsia="SimSun"/>
          <w:sz w:val="24"/>
          <w:szCs w:val="24"/>
        </w:rPr>
        <w:t>Table </w:t>
      </w:r>
      <w:r w:rsidRPr="004663D3" w:rsidDel="00367961">
        <w:rPr>
          <w:rFonts w:eastAsia="SimSun"/>
          <w:sz w:val="24"/>
          <w:szCs w:val="24"/>
          <w:lang w:eastAsia="zh-CN"/>
        </w:rPr>
        <w:fldChar w:fldCharType="begin"/>
      </w:r>
      <w:r w:rsidRPr="004663D3" w:rsidDel="00367961">
        <w:rPr>
          <w:rFonts w:eastAsia="SimSun"/>
          <w:bCs/>
          <w:sz w:val="24"/>
          <w:szCs w:val="24"/>
          <w:lang w:eastAsia="zh-CN"/>
        </w:rPr>
        <w:instrText xml:space="preserve"> SEQ Table \* ARABIC \* MERGEFORMAT </w:instrText>
      </w:r>
      <w:r w:rsidRPr="004663D3" w:rsidDel="00367961">
        <w:rPr>
          <w:rFonts w:eastAsia="SimSun"/>
          <w:sz w:val="24"/>
          <w:szCs w:val="24"/>
          <w:lang w:eastAsia="zh-CN"/>
        </w:rPr>
        <w:fldChar w:fldCharType="separate"/>
      </w:r>
      <w:r w:rsidR="00074220">
        <w:rPr>
          <w:rFonts w:eastAsia="SimSun"/>
          <w:bCs/>
          <w:noProof/>
          <w:sz w:val="24"/>
          <w:szCs w:val="24"/>
          <w:lang w:eastAsia="zh-CN"/>
        </w:rPr>
        <w:t>1</w:t>
      </w:r>
      <w:r w:rsidRPr="004663D3" w:rsidDel="00367961">
        <w:rPr>
          <w:rFonts w:eastAsia="SimSun"/>
          <w:noProof/>
          <w:sz w:val="24"/>
          <w:szCs w:val="24"/>
          <w:lang w:eastAsia="zh-CN"/>
        </w:rPr>
        <w:fldChar w:fldCharType="end"/>
      </w:r>
      <w:r w:rsidRPr="004663D3" w:rsidDel="00367961">
        <w:rPr>
          <w:rFonts w:eastAsia="SimSun"/>
          <w:bCs/>
          <w:sz w:val="24"/>
          <w:szCs w:val="24"/>
          <w:lang w:eastAsia="zh-CN"/>
        </w:rPr>
        <w:t>:</w:t>
      </w:r>
      <w:r w:rsidRPr="004663D3" w:rsidDel="00367961">
        <w:rPr>
          <w:rFonts w:eastAsia="SimSun"/>
          <w:bCs/>
          <w:sz w:val="24"/>
          <w:szCs w:val="24"/>
          <w:lang w:eastAsia="zh-CN"/>
        </w:rPr>
        <w:tab/>
      </w:r>
      <w:r w:rsidDel="00367961">
        <w:rPr>
          <w:rFonts w:eastAsia="SimSun"/>
          <w:bCs/>
          <w:sz w:val="24"/>
          <w:szCs w:val="24"/>
          <w:lang w:eastAsia="zh-CN"/>
        </w:rPr>
        <w:t>Recommended d</w:t>
      </w:r>
      <w:r w:rsidRPr="004663D3" w:rsidDel="00367961">
        <w:rPr>
          <w:rFonts w:eastAsia="SimSun"/>
          <w:bCs/>
          <w:sz w:val="24"/>
          <w:szCs w:val="24"/>
          <w:lang w:eastAsia="zh-CN"/>
        </w:rPr>
        <w:t xml:space="preserve">ilution </w:t>
      </w:r>
      <w:r w:rsidDel="00367961">
        <w:rPr>
          <w:rFonts w:eastAsia="SimSun"/>
          <w:bCs/>
          <w:sz w:val="24"/>
          <w:szCs w:val="24"/>
          <w:lang w:eastAsia="zh-CN"/>
        </w:rPr>
        <w:t>i</w:t>
      </w:r>
      <w:r w:rsidRPr="004663D3" w:rsidDel="00367961">
        <w:rPr>
          <w:rFonts w:eastAsia="SimSun"/>
          <w:bCs/>
          <w:sz w:val="24"/>
          <w:szCs w:val="24"/>
          <w:lang w:eastAsia="zh-CN"/>
        </w:rPr>
        <w:t xml:space="preserve">nstructions for </w:t>
      </w:r>
      <w:proofErr w:type="spellStart"/>
      <w:r w:rsidRPr="004663D3" w:rsidDel="00367961">
        <w:rPr>
          <w:rFonts w:eastAsia="SimSun"/>
          <w:bCs/>
          <w:sz w:val="24"/>
          <w:szCs w:val="24"/>
          <w:lang w:eastAsia="zh-CN"/>
        </w:rPr>
        <w:t>Ronapreve</w:t>
      </w:r>
      <w:proofErr w:type="spellEnd"/>
      <w:r w:rsidRPr="004663D3" w:rsidDel="00367961">
        <w:rPr>
          <w:rFonts w:eastAsia="SimSun"/>
          <w:bCs/>
          <w:sz w:val="24"/>
          <w:szCs w:val="24"/>
          <w:lang w:eastAsia="zh-CN"/>
        </w:rPr>
        <w:t xml:space="preserve"> (</w:t>
      </w:r>
      <w:proofErr w:type="spellStart"/>
      <w:r w:rsidRPr="004663D3" w:rsidDel="00367961">
        <w:rPr>
          <w:rFonts w:eastAsia="SimSun"/>
          <w:bCs/>
          <w:sz w:val="24"/>
          <w:szCs w:val="24"/>
          <w:lang w:eastAsia="zh-CN"/>
        </w:rPr>
        <w:t>casirivimab</w:t>
      </w:r>
      <w:proofErr w:type="spellEnd"/>
      <w:r w:rsidRPr="004663D3" w:rsidDel="00367961">
        <w:rPr>
          <w:rFonts w:eastAsia="SimSun"/>
          <w:bCs/>
          <w:sz w:val="24"/>
          <w:szCs w:val="24"/>
          <w:lang w:eastAsia="zh-CN"/>
        </w:rPr>
        <w:t xml:space="preserve"> and </w:t>
      </w:r>
      <w:proofErr w:type="spellStart"/>
      <w:r w:rsidRPr="004663D3" w:rsidDel="00367961">
        <w:rPr>
          <w:rFonts w:eastAsia="SimSun"/>
          <w:bCs/>
          <w:sz w:val="24"/>
          <w:szCs w:val="24"/>
          <w:lang w:eastAsia="zh-CN"/>
        </w:rPr>
        <w:t>imdevimab</w:t>
      </w:r>
      <w:proofErr w:type="spellEnd"/>
      <w:r w:rsidRPr="004663D3" w:rsidDel="00367961">
        <w:rPr>
          <w:rFonts w:eastAsia="SimSun"/>
          <w:bCs/>
          <w:sz w:val="24"/>
          <w:szCs w:val="24"/>
          <w:lang w:eastAsia="zh-CN"/>
        </w:rPr>
        <w:t>) for</w:t>
      </w:r>
      <w:r w:rsidDel="00367961">
        <w:rPr>
          <w:rFonts w:eastAsia="SimSun"/>
          <w:bCs/>
          <w:sz w:val="24"/>
          <w:szCs w:val="24"/>
          <w:lang w:eastAsia="zh-CN"/>
        </w:rPr>
        <w:t xml:space="preserve"> </w:t>
      </w:r>
      <w:r w:rsidRPr="004663D3" w:rsidDel="00367961">
        <w:rPr>
          <w:rFonts w:eastAsia="SimSun"/>
          <w:bCs/>
          <w:sz w:val="24"/>
          <w:szCs w:val="24"/>
          <w:lang w:eastAsia="zh-CN"/>
        </w:rPr>
        <w:t xml:space="preserve">IV </w:t>
      </w:r>
      <w:r w:rsidDel="00367961">
        <w:rPr>
          <w:rFonts w:eastAsia="SimSun"/>
          <w:bCs/>
          <w:sz w:val="24"/>
          <w:szCs w:val="24"/>
          <w:lang w:eastAsia="zh-CN"/>
        </w:rPr>
        <w:t>i</w:t>
      </w:r>
      <w:r w:rsidRPr="004663D3" w:rsidDel="00367961">
        <w:rPr>
          <w:rFonts w:eastAsia="SimSun"/>
          <w:bCs/>
          <w:sz w:val="24"/>
          <w:szCs w:val="24"/>
          <w:lang w:eastAsia="zh-CN"/>
        </w:rPr>
        <w:t>nfusion</w:t>
      </w:r>
    </w:p>
    <w:tbl>
      <w:tblPr>
        <w:tblW w:w="9263" w:type="dxa"/>
        <w:jc w:val="center"/>
        <w:tblBorders>
          <w:top w:val="single" w:sz="6" w:space="0" w:color="000000"/>
          <w:left w:val="single" w:sz="4" w:space="0" w:color="auto"/>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1255"/>
        <w:gridCol w:w="2155"/>
        <w:gridCol w:w="905"/>
        <w:gridCol w:w="4948"/>
      </w:tblGrid>
      <w:tr w:rsidR="000E3B5F" w:rsidRPr="00BB43EC" w:rsidDel="00367961" w14:paraId="0F7DC2F6" w14:textId="77777777" w:rsidTr="0067390C">
        <w:trPr>
          <w:trHeight w:val="548"/>
          <w:jc w:val="center"/>
        </w:trPr>
        <w:tc>
          <w:tcPr>
            <w:tcW w:w="1255" w:type="dxa"/>
            <w:shd w:val="clear" w:color="auto" w:fill="FFFFFF" w:themeFill="background1"/>
            <w:tcMar>
              <w:top w:w="30" w:type="dxa"/>
              <w:left w:w="45" w:type="dxa"/>
              <w:bottom w:w="30" w:type="dxa"/>
              <w:right w:w="45" w:type="dxa"/>
            </w:tcMar>
            <w:hideMark/>
          </w:tcPr>
          <w:p w14:paraId="4B52B79D" w14:textId="77777777" w:rsidR="000E3B5F" w:rsidRPr="00BB43EC" w:rsidDel="00367961" w:rsidRDefault="000E3B5F" w:rsidP="0067390C">
            <w:pPr>
              <w:keepNext/>
              <w:keepLines/>
              <w:widowControl w:val="0"/>
              <w:rPr>
                <w:b/>
                <w:bCs/>
                <w:sz w:val="22"/>
                <w:szCs w:val="22"/>
                <w:lang w:eastAsia="en-US"/>
              </w:rPr>
            </w:pPr>
            <w:r w:rsidRPr="00BB43EC" w:rsidDel="00367961">
              <w:rPr>
                <w:b/>
                <w:bCs/>
                <w:sz w:val="22"/>
                <w:szCs w:val="22"/>
                <w:lang w:eastAsia="en-US"/>
              </w:rPr>
              <w:t>Indication</w:t>
            </w:r>
          </w:p>
        </w:tc>
        <w:tc>
          <w:tcPr>
            <w:tcW w:w="2155" w:type="dxa"/>
            <w:shd w:val="clear" w:color="auto" w:fill="FFFFFF" w:themeFill="background1"/>
          </w:tcPr>
          <w:p w14:paraId="3F5AE637" w14:textId="77777777" w:rsidR="000E3B5F" w:rsidRPr="00BB43EC" w:rsidDel="00367961" w:rsidRDefault="000E3B5F" w:rsidP="0067390C">
            <w:pPr>
              <w:keepNext/>
              <w:keepLines/>
              <w:widowControl w:val="0"/>
              <w:ind w:left="35" w:hanging="9"/>
              <w:rPr>
                <w:b/>
                <w:bCs/>
                <w:sz w:val="22"/>
                <w:szCs w:val="22"/>
                <w:lang w:eastAsia="en-US"/>
              </w:rPr>
            </w:pPr>
            <w:proofErr w:type="spellStart"/>
            <w:r w:rsidRPr="00BB43EC" w:rsidDel="00367961">
              <w:rPr>
                <w:b/>
                <w:sz w:val="22"/>
                <w:szCs w:val="22"/>
                <w:lang w:eastAsia="en-US"/>
              </w:rPr>
              <w:t>Ronapreve</w:t>
            </w:r>
            <w:proofErr w:type="spellEnd"/>
            <w:r w:rsidRPr="00BB43EC" w:rsidDel="00367961">
              <w:rPr>
                <w:b/>
                <w:sz w:val="22"/>
                <w:szCs w:val="22"/>
                <w:lang w:eastAsia="en-US"/>
              </w:rPr>
              <w:t xml:space="preserve"> Dose (Total)</w:t>
            </w:r>
          </w:p>
        </w:tc>
        <w:tc>
          <w:tcPr>
            <w:tcW w:w="905" w:type="dxa"/>
            <w:shd w:val="clear" w:color="auto" w:fill="FFFFFF" w:themeFill="background1"/>
            <w:tcMar>
              <w:top w:w="30" w:type="dxa"/>
              <w:left w:w="45" w:type="dxa"/>
              <w:bottom w:w="30" w:type="dxa"/>
              <w:right w:w="45" w:type="dxa"/>
            </w:tcMar>
            <w:hideMark/>
          </w:tcPr>
          <w:p w14:paraId="1D3EA034" w14:textId="77777777" w:rsidR="000E3B5F" w:rsidRPr="00BB43EC" w:rsidDel="00367961" w:rsidRDefault="000E3B5F" w:rsidP="0067390C">
            <w:pPr>
              <w:keepNext/>
              <w:keepLines/>
              <w:widowControl w:val="0"/>
              <w:rPr>
                <w:b/>
                <w:bCs/>
                <w:sz w:val="22"/>
                <w:szCs w:val="22"/>
                <w:lang w:eastAsia="en-US"/>
              </w:rPr>
            </w:pPr>
            <w:r w:rsidRPr="00BB43EC" w:rsidDel="00367961">
              <w:rPr>
                <w:b/>
                <w:bCs/>
                <w:sz w:val="22"/>
                <w:szCs w:val="22"/>
                <w:lang w:eastAsia="en-US"/>
              </w:rPr>
              <w:t>Total Volume for 1 Dose</w:t>
            </w:r>
          </w:p>
        </w:tc>
        <w:tc>
          <w:tcPr>
            <w:tcW w:w="4948" w:type="dxa"/>
            <w:shd w:val="clear" w:color="auto" w:fill="FFFFFF" w:themeFill="background1"/>
            <w:tcMar>
              <w:top w:w="30" w:type="dxa"/>
              <w:left w:w="45" w:type="dxa"/>
              <w:bottom w:w="30" w:type="dxa"/>
              <w:right w:w="45" w:type="dxa"/>
            </w:tcMar>
            <w:hideMark/>
          </w:tcPr>
          <w:p w14:paraId="0694A4AA" w14:textId="2E806653" w:rsidR="000E3B5F" w:rsidRPr="00BB43EC" w:rsidDel="00367961" w:rsidRDefault="000E3B5F" w:rsidP="0067390C">
            <w:pPr>
              <w:keepNext/>
              <w:keepLines/>
              <w:widowControl w:val="0"/>
              <w:rPr>
                <w:b/>
                <w:bCs/>
                <w:sz w:val="22"/>
                <w:szCs w:val="22"/>
                <w:lang w:eastAsia="en-US"/>
              </w:rPr>
            </w:pPr>
            <w:r w:rsidRPr="00BB43EC" w:rsidDel="00367961">
              <w:rPr>
                <w:b/>
                <w:bCs/>
                <w:sz w:val="22"/>
                <w:szCs w:val="22"/>
                <w:lang w:eastAsia="en-US"/>
              </w:rPr>
              <w:t xml:space="preserve">Volume to be withdrawn from each respective vial </w:t>
            </w:r>
            <w:proofErr w:type="gramStart"/>
            <w:r w:rsidRPr="00BB43EC" w:rsidDel="00367961">
              <w:rPr>
                <w:b/>
                <w:bCs/>
                <w:sz w:val="22"/>
                <w:szCs w:val="22"/>
                <w:lang w:eastAsia="en-US"/>
              </w:rPr>
              <w:t>and  inject</w:t>
            </w:r>
            <w:r w:rsidDel="00367961">
              <w:rPr>
                <w:b/>
                <w:bCs/>
                <w:sz w:val="22"/>
                <w:szCs w:val="22"/>
                <w:lang w:eastAsia="en-US"/>
              </w:rPr>
              <w:t>ed</w:t>
            </w:r>
            <w:proofErr w:type="gramEnd"/>
            <w:r w:rsidRPr="00BB43EC" w:rsidDel="00367961">
              <w:rPr>
                <w:b/>
                <w:bCs/>
                <w:sz w:val="22"/>
                <w:szCs w:val="22"/>
                <w:lang w:eastAsia="en-US"/>
              </w:rPr>
              <w:t xml:space="preserve"> into a </w:t>
            </w:r>
            <w:r w:rsidR="005614CF">
              <w:rPr>
                <w:b/>
                <w:bCs/>
                <w:sz w:val="22"/>
                <w:szCs w:val="22"/>
                <w:lang w:eastAsia="en-US"/>
              </w:rPr>
              <w:t xml:space="preserve">single </w:t>
            </w:r>
            <w:r w:rsidRPr="00BB43EC" w:rsidDel="00367961">
              <w:rPr>
                <w:b/>
                <w:bCs/>
                <w:sz w:val="22"/>
                <w:szCs w:val="22"/>
                <w:lang w:eastAsia="en-US"/>
              </w:rPr>
              <w:t>prefilled 0.9% sodium chloride or 5% dextrose infusion bag</w:t>
            </w:r>
            <w:r w:rsidR="005614CF">
              <w:rPr>
                <w:b/>
                <w:bCs/>
                <w:sz w:val="22"/>
                <w:szCs w:val="22"/>
                <w:lang w:eastAsia="en-US"/>
              </w:rPr>
              <w:t xml:space="preserve"> of 50 to 250 mL for co-administration</w:t>
            </w:r>
          </w:p>
        </w:tc>
      </w:tr>
      <w:tr w:rsidR="000E3B5F" w:rsidRPr="00BB43EC" w:rsidDel="00367961" w14:paraId="664B148F" w14:textId="77777777" w:rsidTr="0067390C">
        <w:trPr>
          <w:trHeight w:val="540"/>
          <w:jc w:val="center"/>
        </w:trPr>
        <w:tc>
          <w:tcPr>
            <w:tcW w:w="1255" w:type="dxa"/>
            <w:vMerge w:val="restart"/>
            <w:tcBorders>
              <w:bottom w:val="single" w:sz="6" w:space="0" w:color="000000"/>
            </w:tcBorders>
            <w:tcMar>
              <w:top w:w="30" w:type="dxa"/>
              <w:left w:w="45" w:type="dxa"/>
              <w:bottom w:w="30" w:type="dxa"/>
              <w:right w:w="45" w:type="dxa"/>
            </w:tcMar>
            <w:vAlign w:val="center"/>
            <w:hideMark/>
          </w:tcPr>
          <w:p w14:paraId="66AD097E" w14:textId="40DB7835" w:rsidR="000E3B5F" w:rsidRPr="00BB43EC" w:rsidDel="00367961" w:rsidRDefault="000E3B5F" w:rsidP="006608B6">
            <w:pPr>
              <w:keepNext/>
              <w:keepLines/>
              <w:widowControl w:val="0"/>
              <w:rPr>
                <w:sz w:val="22"/>
                <w:szCs w:val="22"/>
                <w:lang w:eastAsia="en-US"/>
              </w:rPr>
            </w:pPr>
            <w:r w:rsidRPr="00BB43EC" w:rsidDel="00367961">
              <w:rPr>
                <w:sz w:val="22"/>
                <w:szCs w:val="22"/>
                <w:lang w:eastAsia="en-US"/>
              </w:rPr>
              <w:t xml:space="preserve">Treatment and </w:t>
            </w:r>
            <w:r w:rsidR="006608B6">
              <w:rPr>
                <w:sz w:val="22"/>
                <w:szCs w:val="22"/>
                <w:lang w:eastAsia="en-US"/>
              </w:rPr>
              <w:t>Post-exposure prophylaxis</w:t>
            </w:r>
            <w:r w:rsidRPr="00BB43EC" w:rsidDel="00367961">
              <w:rPr>
                <w:sz w:val="22"/>
                <w:szCs w:val="22"/>
                <w:lang w:eastAsia="en-US"/>
              </w:rPr>
              <w:t xml:space="preserve"> </w:t>
            </w:r>
            <w:r w:rsidR="006608B6">
              <w:rPr>
                <w:sz w:val="22"/>
                <w:szCs w:val="22"/>
                <w:lang w:eastAsia="en-US"/>
              </w:rPr>
              <w:t>(</w:t>
            </w:r>
            <w:r w:rsidRPr="00BB43EC" w:rsidDel="00367961">
              <w:rPr>
                <w:sz w:val="22"/>
                <w:szCs w:val="22"/>
                <w:lang w:eastAsia="en-US"/>
              </w:rPr>
              <w:t>single dose</w:t>
            </w:r>
            <w:r w:rsidR="006608B6">
              <w:rPr>
                <w:sz w:val="22"/>
                <w:szCs w:val="22"/>
                <w:lang w:eastAsia="en-US"/>
              </w:rPr>
              <w:t>)</w:t>
            </w:r>
          </w:p>
        </w:tc>
        <w:tc>
          <w:tcPr>
            <w:tcW w:w="2155" w:type="dxa"/>
            <w:vMerge w:val="restart"/>
            <w:tcBorders>
              <w:bottom w:val="single" w:sz="6" w:space="0" w:color="000000"/>
            </w:tcBorders>
            <w:vAlign w:val="center"/>
          </w:tcPr>
          <w:p w14:paraId="17521479" w14:textId="77777777" w:rsidR="000E3B5F" w:rsidRPr="00BB43EC" w:rsidDel="00367961" w:rsidRDefault="000E3B5F" w:rsidP="0067390C">
            <w:pPr>
              <w:keepNext/>
              <w:keepLines/>
              <w:widowControl w:val="0"/>
              <w:ind w:left="35" w:hanging="9"/>
              <w:rPr>
                <w:sz w:val="22"/>
                <w:szCs w:val="22"/>
                <w:lang w:eastAsia="en-US"/>
              </w:rPr>
            </w:pPr>
            <w:r w:rsidRPr="00BB43EC" w:rsidDel="00367961">
              <w:rPr>
                <w:sz w:val="22"/>
                <w:szCs w:val="22"/>
                <w:lang w:eastAsia="en-US"/>
              </w:rPr>
              <w:t xml:space="preserve">600 mg </w:t>
            </w:r>
            <w:proofErr w:type="spellStart"/>
            <w:r w:rsidRPr="00BB43EC" w:rsidDel="00367961">
              <w:rPr>
                <w:sz w:val="22"/>
                <w:szCs w:val="22"/>
                <w:lang w:eastAsia="en-US"/>
              </w:rPr>
              <w:t>casirivimab</w:t>
            </w:r>
            <w:proofErr w:type="spellEnd"/>
            <w:r w:rsidRPr="00BB43EC" w:rsidDel="00367961">
              <w:rPr>
                <w:sz w:val="22"/>
                <w:szCs w:val="22"/>
                <w:lang w:eastAsia="en-US"/>
              </w:rPr>
              <w:t xml:space="preserve"> and </w:t>
            </w:r>
          </w:p>
          <w:p w14:paraId="42E81670" w14:textId="77777777" w:rsidR="000E3B5F" w:rsidRPr="00BB43EC" w:rsidDel="00367961" w:rsidRDefault="000E3B5F" w:rsidP="0067390C">
            <w:pPr>
              <w:keepNext/>
              <w:keepLines/>
              <w:widowControl w:val="0"/>
              <w:ind w:left="35" w:hanging="9"/>
              <w:rPr>
                <w:sz w:val="22"/>
                <w:szCs w:val="22"/>
                <w:lang w:eastAsia="en-US"/>
              </w:rPr>
            </w:pPr>
            <w:r w:rsidRPr="00BB43EC" w:rsidDel="00367961">
              <w:rPr>
                <w:sz w:val="22"/>
                <w:szCs w:val="22"/>
                <w:lang w:eastAsia="en-US"/>
              </w:rPr>
              <w:t xml:space="preserve">600 mg </w:t>
            </w:r>
            <w:proofErr w:type="spellStart"/>
            <w:r w:rsidRPr="00BB43EC" w:rsidDel="00367961">
              <w:rPr>
                <w:sz w:val="22"/>
                <w:szCs w:val="22"/>
                <w:lang w:eastAsia="en-US"/>
              </w:rPr>
              <w:t>imdevimab</w:t>
            </w:r>
            <w:proofErr w:type="spellEnd"/>
            <w:r w:rsidRPr="00BB43EC" w:rsidDel="00367961">
              <w:rPr>
                <w:sz w:val="22"/>
                <w:szCs w:val="22"/>
                <w:lang w:eastAsia="en-US"/>
              </w:rPr>
              <w:t xml:space="preserve"> </w:t>
            </w:r>
          </w:p>
          <w:p w14:paraId="5CB18E2B" w14:textId="77777777" w:rsidR="000E3B5F" w:rsidRPr="00BB43EC" w:rsidDel="00367961" w:rsidRDefault="000E3B5F" w:rsidP="0067390C">
            <w:pPr>
              <w:keepNext/>
              <w:keepLines/>
              <w:widowControl w:val="0"/>
              <w:ind w:left="35" w:hanging="9"/>
              <w:rPr>
                <w:sz w:val="22"/>
                <w:szCs w:val="22"/>
                <w:lang w:eastAsia="en-US"/>
              </w:rPr>
            </w:pPr>
            <w:r w:rsidRPr="00BB43EC" w:rsidDel="00367961">
              <w:rPr>
                <w:sz w:val="22"/>
                <w:szCs w:val="22"/>
                <w:lang w:eastAsia="en-US"/>
              </w:rPr>
              <w:t>(1 200 mg dose)</w:t>
            </w:r>
          </w:p>
        </w:tc>
        <w:tc>
          <w:tcPr>
            <w:tcW w:w="905" w:type="dxa"/>
            <w:vMerge w:val="restart"/>
            <w:tcBorders>
              <w:bottom w:val="single" w:sz="6" w:space="0" w:color="000000"/>
            </w:tcBorders>
            <w:tcMar>
              <w:top w:w="30" w:type="dxa"/>
              <w:left w:w="45" w:type="dxa"/>
              <w:bottom w:w="30" w:type="dxa"/>
              <w:right w:w="45" w:type="dxa"/>
            </w:tcMar>
            <w:vAlign w:val="center"/>
            <w:hideMark/>
          </w:tcPr>
          <w:p w14:paraId="22A7EC67" w14:textId="77777777" w:rsidR="000E3B5F" w:rsidRPr="00BB43EC" w:rsidDel="00367961" w:rsidRDefault="000E3B5F" w:rsidP="0067390C">
            <w:pPr>
              <w:keepNext/>
              <w:keepLines/>
              <w:widowControl w:val="0"/>
              <w:rPr>
                <w:sz w:val="22"/>
                <w:szCs w:val="22"/>
                <w:lang w:eastAsia="en-US"/>
              </w:rPr>
            </w:pPr>
            <w:r w:rsidRPr="00BB43EC" w:rsidDel="00367961">
              <w:rPr>
                <w:sz w:val="22"/>
                <w:szCs w:val="22"/>
                <w:lang w:eastAsia="en-US"/>
              </w:rPr>
              <w:t>10 mL</w:t>
            </w:r>
          </w:p>
        </w:tc>
        <w:tc>
          <w:tcPr>
            <w:tcW w:w="4948" w:type="dxa"/>
            <w:tcBorders>
              <w:bottom w:val="single" w:sz="6" w:space="0" w:color="000000"/>
            </w:tcBorders>
            <w:tcMar>
              <w:top w:w="30" w:type="dxa"/>
              <w:left w:w="45" w:type="dxa"/>
              <w:bottom w:w="30" w:type="dxa"/>
              <w:right w:w="45" w:type="dxa"/>
            </w:tcMar>
            <w:vAlign w:val="center"/>
            <w:hideMark/>
          </w:tcPr>
          <w:p w14:paraId="1F24EAA9" w14:textId="71D8B3F7" w:rsidR="000E3B5F" w:rsidRPr="00BB43EC" w:rsidDel="00367961" w:rsidRDefault="000E3B5F" w:rsidP="0067390C">
            <w:pPr>
              <w:keepNext/>
              <w:keepLines/>
              <w:widowControl w:val="0"/>
              <w:rPr>
                <w:sz w:val="22"/>
                <w:szCs w:val="22"/>
                <w:lang w:eastAsia="en-US"/>
              </w:rPr>
            </w:pPr>
            <w:r w:rsidRPr="00BB43EC" w:rsidDel="00367961">
              <w:rPr>
                <w:sz w:val="22"/>
                <w:szCs w:val="22"/>
                <w:lang w:eastAsia="en-US"/>
              </w:rPr>
              <w:t xml:space="preserve">2.5 mL from two 6 mL single -use vials of </w:t>
            </w:r>
            <w:proofErr w:type="spellStart"/>
            <w:r w:rsidRPr="00BB43EC" w:rsidDel="00367961">
              <w:rPr>
                <w:sz w:val="22"/>
                <w:szCs w:val="22"/>
                <w:lang w:eastAsia="en-US"/>
              </w:rPr>
              <w:t>casirivimab</w:t>
            </w:r>
            <w:proofErr w:type="spellEnd"/>
            <w:r w:rsidRPr="00BB43EC" w:rsidDel="00367961">
              <w:rPr>
                <w:sz w:val="22"/>
                <w:szCs w:val="22"/>
                <w:lang w:eastAsia="en-US"/>
              </w:rPr>
              <w:br/>
              <w:t>2.5 mL from two 6 mL single-use vial</w:t>
            </w:r>
            <w:r w:rsidR="00EE2A34">
              <w:rPr>
                <w:sz w:val="22"/>
                <w:szCs w:val="22"/>
                <w:lang w:eastAsia="en-US"/>
              </w:rPr>
              <w:t>s</w:t>
            </w:r>
            <w:r w:rsidRPr="00BB43EC" w:rsidDel="00367961">
              <w:rPr>
                <w:sz w:val="22"/>
                <w:szCs w:val="22"/>
                <w:lang w:eastAsia="en-US"/>
              </w:rPr>
              <w:t xml:space="preserve"> of </w:t>
            </w:r>
            <w:proofErr w:type="spellStart"/>
            <w:r w:rsidRPr="00BB43EC" w:rsidDel="00367961">
              <w:rPr>
                <w:sz w:val="22"/>
                <w:szCs w:val="22"/>
                <w:lang w:eastAsia="en-US"/>
              </w:rPr>
              <w:t>imdevimab</w:t>
            </w:r>
            <w:proofErr w:type="spellEnd"/>
          </w:p>
        </w:tc>
      </w:tr>
      <w:tr w:rsidR="000E3B5F" w:rsidRPr="00BB43EC" w:rsidDel="00367961" w14:paraId="7039B4DB" w14:textId="77777777" w:rsidTr="0067390C">
        <w:trPr>
          <w:trHeight w:val="459"/>
          <w:jc w:val="center"/>
        </w:trPr>
        <w:tc>
          <w:tcPr>
            <w:tcW w:w="1255" w:type="dxa"/>
            <w:vMerge/>
            <w:tcBorders>
              <w:bottom w:val="single" w:sz="6" w:space="0" w:color="000000"/>
            </w:tcBorders>
            <w:vAlign w:val="center"/>
            <w:hideMark/>
          </w:tcPr>
          <w:p w14:paraId="69609082" w14:textId="77777777" w:rsidR="000E3B5F" w:rsidRPr="00BB43EC" w:rsidDel="00367961" w:rsidRDefault="000E3B5F" w:rsidP="0067390C">
            <w:pPr>
              <w:keepNext/>
              <w:keepLines/>
              <w:widowControl w:val="0"/>
              <w:rPr>
                <w:sz w:val="22"/>
                <w:szCs w:val="22"/>
                <w:lang w:eastAsia="en-US"/>
              </w:rPr>
            </w:pPr>
          </w:p>
        </w:tc>
        <w:tc>
          <w:tcPr>
            <w:tcW w:w="2155" w:type="dxa"/>
            <w:vMerge/>
            <w:tcBorders>
              <w:bottom w:val="single" w:sz="6" w:space="0" w:color="000000"/>
            </w:tcBorders>
          </w:tcPr>
          <w:p w14:paraId="3894ADE8" w14:textId="77777777" w:rsidR="000E3B5F" w:rsidRPr="00BB43EC" w:rsidDel="00367961" w:rsidRDefault="000E3B5F" w:rsidP="0067390C">
            <w:pPr>
              <w:keepNext/>
              <w:keepLines/>
              <w:widowControl w:val="0"/>
              <w:ind w:left="35" w:hanging="9"/>
              <w:rPr>
                <w:sz w:val="22"/>
                <w:szCs w:val="22"/>
                <w:lang w:eastAsia="en-US"/>
              </w:rPr>
            </w:pPr>
          </w:p>
        </w:tc>
        <w:tc>
          <w:tcPr>
            <w:tcW w:w="905" w:type="dxa"/>
            <w:vMerge/>
            <w:tcBorders>
              <w:bottom w:val="single" w:sz="6" w:space="0" w:color="000000"/>
            </w:tcBorders>
            <w:vAlign w:val="center"/>
            <w:hideMark/>
          </w:tcPr>
          <w:p w14:paraId="3AE07F96" w14:textId="77777777" w:rsidR="000E3B5F" w:rsidRPr="00BB43EC" w:rsidDel="00367961" w:rsidRDefault="000E3B5F" w:rsidP="0067390C">
            <w:pPr>
              <w:keepNext/>
              <w:keepLines/>
              <w:widowControl w:val="0"/>
              <w:rPr>
                <w:sz w:val="22"/>
                <w:szCs w:val="22"/>
                <w:lang w:eastAsia="en-US"/>
              </w:rPr>
            </w:pPr>
          </w:p>
        </w:tc>
        <w:tc>
          <w:tcPr>
            <w:tcW w:w="4948" w:type="dxa"/>
            <w:tcBorders>
              <w:bottom w:val="single" w:sz="6" w:space="0" w:color="000000"/>
            </w:tcBorders>
            <w:tcMar>
              <w:top w:w="30" w:type="dxa"/>
              <w:left w:w="45" w:type="dxa"/>
              <w:bottom w:w="30" w:type="dxa"/>
              <w:right w:w="45" w:type="dxa"/>
            </w:tcMar>
            <w:vAlign w:val="center"/>
            <w:hideMark/>
          </w:tcPr>
          <w:p w14:paraId="518B8352" w14:textId="77777777" w:rsidR="000E3B5F" w:rsidRPr="00BB43EC" w:rsidDel="00367961" w:rsidRDefault="000E3B5F" w:rsidP="0067390C">
            <w:pPr>
              <w:keepNext/>
              <w:keepLines/>
              <w:widowControl w:val="0"/>
              <w:rPr>
                <w:sz w:val="22"/>
                <w:szCs w:val="22"/>
                <w:lang w:eastAsia="en-US"/>
              </w:rPr>
            </w:pPr>
            <w:r w:rsidRPr="00BB43EC" w:rsidDel="00367961">
              <w:rPr>
                <w:sz w:val="22"/>
                <w:szCs w:val="22"/>
                <w:lang w:eastAsia="en-US"/>
              </w:rPr>
              <w:t xml:space="preserve">5.0 mL from one 20 mL multidose vial of </w:t>
            </w:r>
            <w:proofErr w:type="spellStart"/>
            <w:r w:rsidRPr="00BB43EC" w:rsidDel="00367961">
              <w:rPr>
                <w:sz w:val="22"/>
                <w:szCs w:val="22"/>
                <w:lang w:eastAsia="en-US"/>
              </w:rPr>
              <w:t>casirivimab</w:t>
            </w:r>
            <w:proofErr w:type="spellEnd"/>
            <w:r w:rsidRPr="00BB43EC" w:rsidDel="00367961">
              <w:rPr>
                <w:sz w:val="22"/>
                <w:szCs w:val="22"/>
                <w:lang w:eastAsia="en-US"/>
              </w:rPr>
              <w:br/>
              <w:t xml:space="preserve">5.0 mL from one 20 mL multidose vial of </w:t>
            </w:r>
            <w:proofErr w:type="spellStart"/>
            <w:r w:rsidRPr="00BB43EC" w:rsidDel="00367961">
              <w:rPr>
                <w:sz w:val="22"/>
                <w:szCs w:val="22"/>
                <w:lang w:eastAsia="en-US"/>
              </w:rPr>
              <w:t>imdevimab</w:t>
            </w:r>
            <w:proofErr w:type="spellEnd"/>
          </w:p>
        </w:tc>
      </w:tr>
      <w:tr w:rsidR="000E3B5F" w:rsidRPr="00BB43EC" w:rsidDel="00367961" w14:paraId="77D7E47D" w14:textId="77777777" w:rsidTr="0067390C">
        <w:trPr>
          <w:trHeight w:val="252"/>
          <w:jc w:val="center"/>
        </w:trPr>
        <w:tc>
          <w:tcPr>
            <w:tcW w:w="1255" w:type="dxa"/>
            <w:vMerge w:val="restart"/>
            <w:tcBorders>
              <w:bottom w:val="single" w:sz="6" w:space="0" w:color="000000"/>
            </w:tcBorders>
            <w:tcMar>
              <w:top w:w="30" w:type="dxa"/>
              <w:left w:w="45" w:type="dxa"/>
              <w:bottom w:w="30" w:type="dxa"/>
              <w:right w:w="45" w:type="dxa"/>
            </w:tcMar>
            <w:vAlign w:val="center"/>
            <w:hideMark/>
          </w:tcPr>
          <w:p w14:paraId="6F2AE8BD" w14:textId="6D51C17F" w:rsidR="000E3B5F" w:rsidRPr="00B8096C" w:rsidDel="00367961" w:rsidRDefault="009F1918" w:rsidP="0067390C">
            <w:pPr>
              <w:keepNext/>
              <w:keepLines/>
              <w:widowControl w:val="0"/>
              <w:rPr>
                <w:sz w:val="22"/>
                <w:szCs w:val="22"/>
                <w:lang w:eastAsia="en-US"/>
              </w:rPr>
            </w:pPr>
            <w:proofErr w:type="spellStart"/>
            <w:r>
              <w:rPr>
                <w:sz w:val="22"/>
                <w:szCs w:val="22"/>
                <w:lang w:val="fr-FR" w:eastAsia="en-US"/>
              </w:rPr>
              <w:t>Ongoing</w:t>
            </w:r>
            <w:proofErr w:type="spellEnd"/>
            <w:r w:rsidR="006608B6" w:rsidRPr="00B8096C">
              <w:rPr>
                <w:sz w:val="22"/>
                <w:szCs w:val="22"/>
                <w:lang w:eastAsia="en-US"/>
              </w:rPr>
              <w:t xml:space="preserve"> prophylaxis</w:t>
            </w:r>
            <w:r w:rsidR="000E3B5F" w:rsidRPr="00B8096C" w:rsidDel="00367961">
              <w:rPr>
                <w:sz w:val="22"/>
                <w:szCs w:val="22"/>
                <w:lang w:eastAsia="en-US"/>
              </w:rPr>
              <w:t xml:space="preserve"> </w:t>
            </w:r>
            <w:r w:rsidR="006608B6" w:rsidRPr="00B8096C">
              <w:rPr>
                <w:sz w:val="22"/>
                <w:szCs w:val="22"/>
                <w:lang w:eastAsia="en-US"/>
              </w:rPr>
              <w:t>(</w:t>
            </w:r>
            <w:r w:rsidR="000E3B5F" w:rsidRPr="00B8096C" w:rsidDel="00367961">
              <w:rPr>
                <w:sz w:val="22"/>
                <w:szCs w:val="22"/>
                <w:lang w:eastAsia="en-US"/>
              </w:rPr>
              <w:t>repeat dose</w:t>
            </w:r>
            <w:r w:rsidR="006608B6" w:rsidRPr="00B8096C">
              <w:rPr>
                <w:sz w:val="22"/>
                <w:szCs w:val="22"/>
                <w:lang w:eastAsia="en-US"/>
              </w:rPr>
              <w:t>)</w:t>
            </w:r>
          </w:p>
        </w:tc>
        <w:tc>
          <w:tcPr>
            <w:tcW w:w="2155" w:type="dxa"/>
            <w:vMerge w:val="restart"/>
            <w:tcBorders>
              <w:bottom w:val="single" w:sz="6" w:space="0" w:color="000000"/>
            </w:tcBorders>
            <w:vAlign w:val="center"/>
          </w:tcPr>
          <w:p w14:paraId="5C2F9012" w14:textId="77777777" w:rsidR="000E3B5F" w:rsidRPr="00B8096C" w:rsidDel="00367961" w:rsidRDefault="000E3B5F" w:rsidP="0067390C">
            <w:pPr>
              <w:keepNext/>
              <w:keepLines/>
              <w:widowControl w:val="0"/>
              <w:ind w:left="35" w:hanging="9"/>
              <w:rPr>
                <w:sz w:val="22"/>
                <w:szCs w:val="22"/>
                <w:lang w:eastAsia="en-US"/>
              </w:rPr>
            </w:pPr>
            <w:r w:rsidRPr="00B8096C" w:rsidDel="00367961">
              <w:rPr>
                <w:sz w:val="22"/>
                <w:szCs w:val="22"/>
                <w:lang w:eastAsia="en-US"/>
              </w:rPr>
              <w:t xml:space="preserve">300 mg </w:t>
            </w:r>
            <w:proofErr w:type="spellStart"/>
            <w:r w:rsidRPr="00B8096C" w:rsidDel="00367961">
              <w:rPr>
                <w:sz w:val="22"/>
                <w:szCs w:val="22"/>
                <w:lang w:eastAsia="en-US"/>
              </w:rPr>
              <w:t>casirivimab</w:t>
            </w:r>
            <w:proofErr w:type="spellEnd"/>
            <w:r w:rsidRPr="00B8096C" w:rsidDel="00367961">
              <w:rPr>
                <w:sz w:val="22"/>
                <w:szCs w:val="22"/>
                <w:lang w:eastAsia="en-US"/>
              </w:rPr>
              <w:t xml:space="preserve"> and </w:t>
            </w:r>
          </w:p>
          <w:p w14:paraId="27B6F4A8" w14:textId="77777777" w:rsidR="000E3B5F" w:rsidRPr="00B8096C" w:rsidDel="00367961" w:rsidRDefault="000E3B5F" w:rsidP="0067390C">
            <w:pPr>
              <w:keepNext/>
              <w:keepLines/>
              <w:widowControl w:val="0"/>
              <w:ind w:left="35" w:hanging="9"/>
              <w:rPr>
                <w:sz w:val="22"/>
                <w:szCs w:val="22"/>
                <w:lang w:eastAsia="en-US"/>
              </w:rPr>
            </w:pPr>
            <w:r w:rsidRPr="00B8096C" w:rsidDel="00367961">
              <w:rPr>
                <w:sz w:val="22"/>
                <w:szCs w:val="22"/>
                <w:lang w:eastAsia="en-US"/>
              </w:rPr>
              <w:t xml:space="preserve">300 mg </w:t>
            </w:r>
            <w:proofErr w:type="spellStart"/>
            <w:r w:rsidRPr="00B8096C" w:rsidDel="00367961">
              <w:rPr>
                <w:sz w:val="22"/>
                <w:szCs w:val="22"/>
                <w:lang w:eastAsia="en-US"/>
              </w:rPr>
              <w:t>imdevimab</w:t>
            </w:r>
            <w:proofErr w:type="spellEnd"/>
            <w:r w:rsidRPr="00B8096C" w:rsidDel="00367961">
              <w:rPr>
                <w:sz w:val="22"/>
                <w:szCs w:val="22"/>
                <w:highlight w:val="yellow"/>
                <w:vertAlign w:val="superscript"/>
                <w:lang w:eastAsia="en-US"/>
              </w:rPr>
              <w:t xml:space="preserve"> </w:t>
            </w:r>
          </w:p>
          <w:p w14:paraId="30D49D03" w14:textId="77777777" w:rsidR="000E3B5F" w:rsidRPr="00B8096C" w:rsidDel="00367961" w:rsidRDefault="000E3B5F" w:rsidP="0067390C">
            <w:pPr>
              <w:keepNext/>
              <w:keepLines/>
              <w:widowControl w:val="0"/>
              <w:ind w:left="35" w:hanging="9"/>
              <w:rPr>
                <w:sz w:val="22"/>
                <w:szCs w:val="22"/>
                <w:lang w:eastAsia="en-US"/>
              </w:rPr>
            </w:pPr>
            <w:r w:rsidRPr="00B8096C" w:rsidDel="00367961">
              <w:rPr>
                <w:sz w:val="22"/>
                <w:szCs w:val="22"/>
                <w:lang w:eastAsia="en-US"/>
              </w:rPr>
              <w:t>(600 mg dose)</w:t>
            </w:r>
          </w:p>
          <w:p w14:paraId="6798369B" w14:textId="77777777" w:rsidR="000E3B5F" w:rsidRPr="00B8096C" w:rsidDel="00367961" w:rsidRDefault="000E3B5F" w:rsidP="0067390C">
            <w:pPr>
              <w:keepNext/>
              <w:keepLines/>
              <w:widowControl w:val="0"/>
              <w:ind w:left="35" w:hanging="9"/>
              <w:rPr>
                <w:sz w:val="22"/>
                <w:szCs w:val="22"/>
                <w:vertAlign w:val="superscript"/>
                <w:lang w:eastAsia="en-US"/>
              </w:rPr>
            </w:pPr>
          </w:p>
        </w:tc>
        <w:tc>
          <w:tcPr>
            <w:tcW w:w="905" w:type="dxa"/>
            <w:vMerge w:val="restart"/>
            <w:tcBorders>
              <w:bottom w:val="single" w:sz="6" w:space="0" w:color="000000"/>
            </w:tcBorders>
            <w:tcMar>
              <w:top w:w="30" w:type="dxa"/>
              <w:left w:w="45" w:type="dxa"/>
              <w:bottom w:w="30" w:type="dxa"/>
              <w:right w:w="45" w:type="dxa"/>
            </w:tcMar>
            <w:vAlign w:val="center"/>
            <w:hideMark/>
          </w:tcPr>
          <w:p w14:paraId="5573D331" w14:textId="77777777" w:rsidR="000E3B5F" w:rsidRPr="005751F2" w:rsidDel="00367961" w:rsidRDefault="000E3B5F" w:rsidP="0067390C">
            <w:pPr>
              <w:keepNext/>
              <w:keepLines/>
              <w:widowControl w:val="0"/>
              <w:rPr>
                <w:sz w:val="22"/>
                <w:szCs w:val="22"/>
                <w:lang w:eastAsia="en-US"/>
              </w:rPr>
            </w:pPr>
            <w:r w:rsidRPr="005751F2" w:rsidDel="00367961">
              <w:rPr>
                <w:sz w:val="22"/>
                <w:szCs w:val="22"/>
                <w:lang w:eastAsia="en-US"/>
              </w:rPr>
              <w:t xml:space="preserve">5 mL </w:t>
            </w:r>
          </w:p>
        </w:tc>
        <w:tc>
          <w:tcPr>
            <w:tcW w:w="4948" w:type="dxa"/>
            <w:tcBorders>
              <w:bottom w:val="single" w:sz="6" w:space="0" w:color="000000"/>
            </w:tcBorders>
            <w:tcMar>
              <w:top w:w="30" w:type="dxa"/>
              <w:left w:w="45" w:type="dxa"/>
              <w:bottom w:w="30" w:type="dxa"/>
              <w:right w:w="45" w:type="dxa"/>
            </w:tcMar>
            <w:vAlign w:val="center"/>
            <w:hideMark/>
          </w:tcPr>
          <w:p w14:paraId="5779D471" w14:textId="77777777" w:rsidR="000E3B5F" w:rsidRPr="005751F2" w:rsidDel="00367961" w:rsidRDefault="000E3B5F" w:rsidP="0067390C">
            <w:pPr>
              <w:keepNext/>
              <w:keepLines/>
              <w:widowControl w:val="0"/>
              <w:rPr>
                <w:sz w:val="22"/>
                <w:szCs w:val="22"/>
                <w:lang w:eastAsia="en-US"/>
              </w:rPr>
            </w:pPr>
            <w:r w:rsidRPr="005751F2" w:rsidDel="00367961">
              <w:rPr>
                <w:sz w:val="22"/>
                <w:szCs w:val="22"/>
                <w:lang w:eastAsia="en-US"/>
              </w:rPr>
              <w:t xml:space="preserve">2.5 mL from one 6 mL single-use vial of </w:t>
            </w:r>
            <w:proofErr w:type="spellStart"/>
            <w:r w:rsidRPr="005751F2" w:rsidDel="00367961">
              <w:rPr>
                <w:sz w:val="22"/>
                <w:szCs w:val="22"/>
                <w:lang w:eastAsia="en-US"/>
              </w:rPr>
              <w:t>casirivimab</w:t>
            </w:r>
            <w:proofErr w:type="spellEnd"/>
            <w:r w:rsidRPr="005751F2" w:rsidDel="00367961">
              <w:rPr>
                <w:sz w:val="22"/>
                <w:szCs w:val="22"/>
                <w:lang w:eastAsia="en-US"/>
              </w:rPr>
              <w:br/>
              <w:t xml:space="preserve">2.5 mL from one 6 mL single-use vial of </w:t>
            </w:r>
            <w:proofErr w:type="spellStart"/>
            <w:r w:rsidRPr="005751F2" w:rsidDel="00367961">
              <w:rPr>
                <w:sz w:val="22"/>
                <w:szCs w:val="22"/>
                <w:lang w:eastAsia="en-US"/>
              </w:rPr>
              <w:t>imdevimab</w:t>
            </w:r>
            <w:proofErr w:type="spellEnd"/>
          </w:p>
        </w:tc>
      </w:tr>
      <w:tr w:rsidR="000E3B5F" w:rsidRPr="00BB43EC" w:rsidDel="00367961" w14:paraId="0AB4B7D1" w14:textId="77777777" w:rsidTr="0067390C">
        <w:trPr>
          <w:trHeight w:val="207"/>
          <w:jc w:val="center"/>
        </w:trPr>
        <w:tc>
          <w:tcPr>
            <w:tcW w:w="1255" w:type="dxa"/>
            <w:vMerge/>
            <w:tcBorders>
              <w:bottom w:val="single" w:sz="6" w:space="0" w:color="000000"/>
            </w:tcBorders>
            <w:vAlign w:val="center"/>
            <w:hideMark/>
          </w:tcPr>
          <w:p w14:paraId="30658FC3" w14:textId="77777777" w:rsidR="000E3B5F" w:rsidRPr="00D638E9" w:rsidDel="00367961" w:rsidRDefault="000E3B5F" w:rsidP="0067390C">
            <w:pPr>
              <w:keepNext/>
              <w:keepLines/>
              <w:widowControl w:val="0"/>
              <w:rPr>
                <w:strike/>
                <w:sz w:val="22"/>
                <w:szCs w:val="22"/>
                <w:lang w:eastAsia="en-US"/>
                <w:rPrChange w:id="1" w:author="Harilall, Sheri-Lee {MWJG~Sydney}" w:date="2021-10-11T17:59:00Z">
                  <w:rPr>
                    <w:sz w:val="22"/>
                    <w:szCs w:val="22"/>
                    <w:lang w:eastAsia="en-US"/>
                  </w:rPr>
                </w:rPrChange>
              </w:rPr>
            </w:pPr>
          </w:p>
        </w:tc>
        <w:tc>
          <w:tcPr>
            <w:tcW w:w="2155" w:type="dxa"/>
            <w:vMerge/>
            <w:tcBorders>
              <w:bottom w:val="single" w:sz="6" w:space="0" w:color="000000"/>
            </w:tcBorders>
          </w:tcPr>
          <w:p w14:paraId="43490B86" w14:textId="77777777" w:rsidR="000E3B5F" w:rsidRPr="00D638E9" w:rsidDel="00367961" w:rsidRDefault="000E3B5F" w:rsidP="0067390C">
            <w:pPr>
              <w:keepNext/>
              <w:keepLines/>
              <w:widowControl w:val="0"/>
              <w:ind w:left="35" w:hanging="9"/>
              <w:rPr>
                <w:strike/>
                <w:sz w:val="22"/>
                <w:szCs w:val="22"/>
                <w:lang w:eastAsia="en-US"/>
                <w:rPrChange w:id="2" w:author="Harilall, Sheri-Lee {MWJG~Sydney}" w:date="2021-10-11T17:59:00Z">
                  <w:rPr>
                    <w:sz w:val="22"/>
                    <w:szCs w:val="22"/>
                    <w:lang w:eastAsia="en-US"/>
                  </w:rPr>
                </w:rPrChange>
              </w:rPr>
            </w:pPr>
          </w:p>
        </w:tc>
        <w:tc>
          <w:tcPr>
            <w:tcW w:w="905" w:type="dxa"/>
            <w:vMerge/>
            <w:tcBorders>
              <w:bottom w:val="single" w:sz="6" w:space="0" w:color="000000"/>
            </w:tcBorders>
            <w:vAlign w:val="center"/>
            <w:hideMark/>
          </w:tcPr>
          <w:p w14:paraId="644BEBCB" w14:textId="77777777" w:rsidR="000E3B5F" w:rsidRPr="00D638E9" w:rsidDel="00367961" w:rsidRDefault="000E3B5F" w:rsidP="0067390C">
            <w:pPr>
              <w:keepNext/>
              <w:keepLines/>
              <w:widowControl w:val="0"/>
              <w:rPr>
                <w:strike/>
                <w:sz w:val="22"/>
                <w:szCs w:val="22"/>
                <w:lang w:eastAsia="en-US"/>
                <w:rPrChange w:id="3" w:author="Harilall, Sheri-Lee {MWJG~Sydney}" w:date="2021-10-11T17:59:00Z">
                  <w:rPr>
                    <w:sz w:val="22"/>
                    <w:szCs w:val="22"/>
                    <w:lang w:eastAsia="en-US"/>
                  </w:rPr>
                </w:rPrChange>
              </w:rPr>
            </w:pPr>
          </w:p>
        </w:tc>
        <w:tc>
          <w:tcPr>
            <w:tcW w:w="4948" w:type="dxa"/>
            <w:tcBorders>
              <w:bottom w:val="single" w:sz="6" w:space="0" w:color="000000"/>
            </w:tcBorders>
            <w:tcMar>
              <w:top w:w="30" w:type="dxa"/>
              <w:left w:w="45" w:type="dxa"/>
              <w:bottom w:w="30" w:type="dxa"/>
              <w:right w:w="45" w:type="dxa"/>
            </w:tcMar>
            <w:vAlign w:val="center"/>
            <w:hideMark/>
          </w:tcPr>
          <w:p w14:paraId="4FA1BBF6" w14:textId="77777777" w:rsidR="000E3B5F" w:rsidRPr="005751F2" w:rsidDel="00367961" w:rsidRDefault="000E3B5F" w:rsidP="0067390C">
            <w:pPr>
              <w:keepNext/>
              <w:keepLines/>
              <w:widowControl w:val="0"/>
              <w:rPr>
                <w:sz w:val="22"/>
                <w:szCs w:val="22"/>
                <w:lang w:eastAsia="en-US"/>
              </w:rPr>
            </w:pPr>
            <w:r w:rsidRPr="005751F2" w:rsidDel="00367961">
              <w:rPr>
                <w:sz w:val="22"/>
                <w:szCs w:val="22"/>
                <w:lang w:eastAsia="en-US"/>
              </w:rPr>
              <w:t xml:space="preserve">2.5 mL from one 20 mL multidose vial of </w:t>
            </w:r>
            <w:proofErr w:type="spellStart"/>
            <w:r w:rsidRPr="005751F2" w:rsidDel="00367961">
              <w:rPr>
                <w:sz w:val="22"/>
                <w:szCs w:val="22"/>
                <w:lang w:eastAsia="en-US"/>
              </w:rPr>
              <w:t>casirivimab</w:t>
            </w:r>
            <w:proofErr w:type="spellEnd"/>
            <w:r w:rsidRPr="005751F2" w:rsidDel="00367961">
              <w:rPr>
                <w:sz w:val="22"/>
                <w:szCs w:val="22"/>
                <w:lang w:eastAsia="en-US"/>
              </w:rPr>
              <w:br/>
              <w:t xml:space="preserve">2.5 mL from one 20 mL multidose vial of </w:t>
            </w:r>
            <w:proofErr w:type="spellStart"/>
            <w:r w:rsidRPr="005751F2" w:rsidDel="00367961">
              <w:rPr>
                <w:sz w:val="22"/>
                <w:szCs w:val="22"/>
                <w:lang w:eastAsia="en-US"/>
              </w:rPr>
              <w:t>imdevimab</w:t>
            </w:r>
            <w:proofErr w:type="spellEnd"/>
          </w:p>
        </w:tc>
      </w:tr>
    </w:tbl>
    <w:p w14:paraId="75011562" w14:textId="77777777" w:rsidR="000E3B5F" w:rsidRPr="000D5746" w:rsidRDefault="000E3B5F" w:rsidP="00B8096C">
      <w:pPr>
        <w:spacing w:line="259" w:lineRule="auto"/>
        <w:ind w:left="980" w:hanging="418"/>
        <w:contextualSpacing/>
        <w:rPr>
          <w:color w:val="auto"/>
        </w:rPr>
      </w:pPr>
    </w:p>
    <w:p w14:paraId="4E6B7337" w14:textId="566E46EE" w:rsidR="00BF3D2C" w:rsidRDefault="00BF3D2C" w:rsidP="0060563E">
      <w:pPr>
        <w:pStyle w:val="Heading4"/>
        <w:pageBreakBefore/>
      </w:pPr>
      <w:r w:rsidRPr="000D5746">
        <w:lastRenderedPageBreak/>
        <w:t xml:space="preserve">Administration of </w:t>
      </w:r>
      <w:proofErr w:type="spellStart"/>
      <w:r w:rsidRPr="000D5746">
        <w:t>Ronapreve</w:t>
      </w:r>
      <w:proofErr w:type="spellEnd"/>
      <w:r w:rsidRPr="000D5746">
        <w:t xml:space="preserve"> by Intravenous Infusion</w:t>
      </w:r>
    </w:p>
    <w:p w14:paraId="5FA3F6B8" w14:textId="77777777" w:rsidR="0060563E" w:rsidRPr="0060563E" w:rsidRDefault="0060563E" w:rsidP="0060563E"/>
    <w:p w14:paraId="0B2FE3B2" w14:textId="77777777" w:rsidR="00BF3D2C" w:rsidRPr="000D5746" w:rsidRDefault="00BF3D2C" w:rsidP="00BF3D2C">
      <w:pPr>
        <w:keepNext/>
        <w:ind w:left="567" w:hanging="567"/>
        <w:rPr>
          <w:color w:val="auto"/>
        </w:rPr>
      </w:pPr>
      <w:r w:rsidRPr="000D5746">
        <w:rPr>
          <w:color w:val="auto"/>
          <w:lang w:val="en-GB"/>
        </w:rPr>
        <w:t>●</w:t>
      </w:r>
      <w:r w:rsidRPr="000D5746">
        <w:rPr>
          <w:color w:val="auto"/>
          <w:lang w:val="en-GB"/>
        </w:rPr>
        <w:tab/>
      </w:r>
      <w:r w:rsidRPr="000D5746">
        <w:rPr>
          <w:color w:val="auto"/>
        </w:rPr>
        <w:t>Gather the recommended materials for infusion:</w:t>
      </w:r>
    </w:p>
    <w:p w14:paraId="473EC78E" w14:textId="77777777" w:rsidR="00BF3D2C" w:rsidRPr="000D5746" w:rsidRDefault="00BF3D2C" w:rsidP="00BF3D2C">
      <w:pPr>
        <w:keepNext/>
        <w:ind w:left="990" w:hanging="423"/>
        <w:rPr>
          <w:color w:val="auto"/>
        </w:rPr>
      </w:pPr>
      <w:r w:rsidRPr="000D5746">
        <w:rPr>
          <w:color w:val="auto"/>
        </w:rPr>
        <w:t>-</w:t>
      </w:r>
      <w:r w:rsidRPr="000D5746">
        <w:rPr>
          <w:color w:val="auto"/>
        </w:rPr>
        <w:tab/>
        <w:t>Polyvinyl chloride (PVC), polyethylene (PE)</w:t>
      </w:r>
      <w:r w:rsidRPr="000D5746">
        <w:rPr>
          <w:color w:val="auto"/>
        </w:rPr>
        <w:noBreakHyphen/>
        <w:t>lined PVC, or polyurethane (PU) infusion set</w:t>
      </w:r>
    </w:p>
    <w:p w14:paraId="4E7A6CA6" w14:textId="77777777" w:rsidR="00BF3D2C" w:rsidRPr="000D5746" w:rsidRDefault="00BF3D2C" w:rsidP="00BF3D2C">
      <w:pPr>
        <w:ind w:left="990" w:hanging="423"/>
        <w:rPr>
          <w:color w:val="auto"/>
        </w:rPr>
      </w:pPr>
      <w:r w:rsidRPr="000D5746">
        <w:rPr>
          <w:color w:val="auto"/>
        </w:rPr>
        <w:t>-</w:t>
      </w:r>
      <w:r w:rsidRPr="000D5746">
        <w:rPr>
          <w:color w:val="auto"/>
        </w:rPr>
        <w:tab/>
        <w:t>In-line or add-on 0.2 </w:t>
      </w:r>
      <w:proofErr w:type="spellStart"/>
      <w:r w:rsidRPr="000D5746">
        <w:rPr>
          <w:color w:val="auto"/>
        </w:rPr>
        <w:t>μm</w:t>
      </w:r>
      <w:proofErr w:type="spellEnd"/>
      <w:r w:rsidRPr="000D5746">
        <w:rPr>
          <w:color w:val="auto"/>
        </w:rPr>
        <w:t xml:space="preserve"> to 5 </w:t>
      </w:r>
      <w:proofErr w:type="spellStart"/>
      <w:r w:rsidRPr="000D5746">
        <w:rPr>
          <w:color w:val="auto"/>
        </w:rPr>
        <w:t>μm</w:t>
      </w:r>
      <w:proofErr w:type="spellEnd"/>
      <w:r w:rsidRPr="000D5746">
        <w:rPr>
          <w:color w:val="auto"/>
        </w:rPr>
        <w:t xml:space="preserve"> </w:t>
      </w:r>
      <w:proofErr w:type="spellStart"/>
      <w:r w:rsidRPr="000D5746">
        <w:rPr>
          <w:color w:val="auto"/>
        </w:rPr>
        <w:t>polyethersulfone</w:t>
      </w:r>
      <w:proofErr w:type="spellEnd"/>
      <w:r w:rsidRPr="000D5746">
        <w:rPr>
          <w:color w:val="auto"/>
        </w:rPr>
        <w:t xml:space="preserve">, </w:t>
      </w:r>
      <w:proofErr w:type="spellStart"/>
      <w:r w:rsidRPr="000D5746">
        <w:rPr>
          <w:color w:val="auto"/>
        </w:rPr>
        <w:t>polysulfone</w:t>
      </w:r>
      <w:proofErr w:type="spellEnd"/>
      <w:r w:rsidRPr="000D5746">
        <w:rPr>
          <w:color w:val="auto"/>
        </w:rPr>
        <w:t>, or polyamide end filter for IV administration.</w:t>
      </w:r>
    </w:p>
    <w:p w14:paraId="49A702E2" w14:textId="77777777" w:rsidR="00BF3D2C" w:rsidRPr="000D5746" w:rsidRDefault="00BF3D2C" w:rsidP="00BF3D2C">
      <w:pPr>
        <w:ind w:left="567" w:hanging="567"/>
        <w:rPr>
          <w:color w:val="auto"/>
        </w:rPr>
      </w:pPr>
      <w:r w:rsidRPr="000D5746">
        <w:rPr>
          <w:color w:val="auto"/>
          <w:lang w:val="en-GB"/>
        </w:rPr>
        <w:t>●</w:t>
      </w:r>
      <w:r w:rsidRPr="000D5746">
        <w:rPr>
          <w:color w:val="auto"/>
          <w:lang w:val="en-GB"/>
        </w:rPr>
        <w:tab/>
      </w:r>
      <w:r w:rsidRPr="000D5746">
        <w:rPr>
          <w:color w:val="auto"/>
        </w:rPr>
        <w:t>Attach the infusion set to the IV bag.</w:t>
      </w:r>
    </w:p>
    <w:p w14:paraId="27266521" w14:textId="77777777" w:rsidR="00BF3D2C" w:rsidRPr="000D5746" w:rsidRDefault="00BF3D2C" w:rsidP="00BF3D2C">
      <w:pPr>
        <w:ind w:left="567" w:hanging="567"/>
        <w:rPr>
          <w:color w:val="auto"/>
        </w:rPr>
      </w:pPr>
      <w:r w:rsidRPr="000D5746">
        <w:rPr>
          <w:color w:val="auto"/>
          <w:lang w:val="en-GB"/>
        </w:rPr>
        <w:t>●</w:t>
      </w:r>
      <w:r w:rsidRPr="000D5746">
        <w:rPr>
          <w:color w:val="auto"/>
          <w:lang w:val="en-GB"/>
        </w:rPr>
        <w:tab/>
      </w:r>
      <w:r w:rsidRPr="000D5746">
        <w:rPr>
          <w:color w:val="auto"/>
        </w:rPr>
        <w:t>Prime the infusion set.</w:t>
      </w:r>
    </w:p>
    <w:p w14:paraId="07027257" w14:textId="4C3606DF" w:rsidR="00BF3D2C" w:rsidRPr="000D5746" w:rsidRDefault="00BF3D2C" w:rsidP="00BF3D2C">
      <w:pPr>
        <w:ind w:left="567" w:hanging="567"/>
        <w:rPr>
          <w:color w:val="auto"/>
        </w:rPr>
      </w:pPr>
      <w:r w:rsidRPr="000D5746">
        <w:rPr>
          <w:color w:val="auto"/>
          <w:lang w:val="en-GB"/>
        </w:rPr>
        <w:t>●</w:t>
      </w:r>
      <w:r w:rsidRPr="000D5746">
        <w:rPr>
          <w:color w:val="auto"/>
          <w:lang w:val="en-GB"/>
        </w:rPr>
        <w:tab/>
      </w:r>
      <w:r w:rsidRPr="000D5746">
        <w:rPr>
          <w:color w:val="auto"/>
        </w:rPr>
        <w:t>Administer the entire infusion solution in the bag via pump or gravity through an intravenous line containing a sterile, in-line or add-on 0.2 </w:t>
      </w:r>
      <w:proofErr w:type="spellStart"/>
      <w:r w:rsidRPr="000D5746">
        <w:rPr>
          <w:color w:val="auto"/>
        </w:rPr>
        <w:t>μm</w:t>
      </w:r>
      <w:proofErr w:type="spellEnd"/>
      <w:r w:rsidRPr="000D5746">
        <w:rPr>
          <w:color w:val="auto"/>
        </w:rPr>
        <w:t xml:space="preserve"> to 5 </w:t>
      </w:r>
      <w:proofErr w:type="spellStart"/>
      <w:r w:rsidRPr="000D5746">
        <w:rPr>
          <w:color w:val="auto"/>
        </w:rPr>
        <w:t>μm</w:t>
      </w:r>
      <w:proofErr w:type="spellEnd"/>
      <w:r w:rsidRPr="000D5746">
        <w:rPr>
          <w:color w:val="auto"/>
        </w:rPr>
        <w:t xml:space="preserve"> </w:t>
      </w:r>
      <w:proofErr w:type="spellStart"/>
      <w:r w:rsidRPr="000D5746">
        <w:rPr>
          <w:color w:val="auto"/>
        </w:rPr>
        <w:t>polyethersulfone</w:t>
      </w:r>
      <w:proofErr w:type="spellEnd"/>
      <w:r w:rsidRPr="000D5746">
        <w:rPr>
          <w:color w:val="auto"/>
        </w:rPr>
        <w:t xml:space="preserve">, </w:t>
      </w:r>
      <w:proofErr w:type="spellStart"/>
      <w:r w:rsidRPr="000D5746">
        <w:rPr>
          <w:color w:val="auto"/>
        </w:rPr>
        <w:t>polysulfone</w:t>
      </w:r>
      <w:proofErr w:type="spellEnd"/>
      <w:r w:rsidRPr="000D5746">
        <w:rPr>
          <w:color w:val="auto"/>
        </w:rPr>
        <w:t>, or polyamide end filter for IV administration (see Table 2).</w:t>
      </w:r>
    </w:p>
    <w:p w14:paraId="03E934CC" w14:textId="77777777" w:rsidR="00BF3D2C" w:rsidRPr="000D5746" w:rsidRDefault="00BF3D2C" w:rsidP="00BF3D2C">
      <w:pPr>
        <w:ind w:left="567" w:hanging="567"/>
        <w:rPr>
          <w:color w:val="auto"/>
        </w:rPr>
      </w:pPr>
      <w:r w:rsidRPr="000D5746">
        <w:rPr>
          <w:color w:val="auto"/>
          <w:lang w:val="en-GB"/>
        </w:rPr>
        <w:t>●</w:t>
      </w:r>
      <w:r w:rsidRPr="000D5746">
        <w:rPr>
          <w:color w:val="auto"/>
          <w:lang w:val="en-GB"/>
        </w:rPr>
        <w:tab/>
      </w:r>
      <w:r w:rsidRPr="000D5746">
        <w:rPr>
          <w:color w:val="auto"/>
        </w:rPr>
        <w:t xml:space="preserve">The prepared infusion solution should not be administered simultaneously with any other medication. The compatibility of </w:t>
      </w:r>
      <w:proofErr w:type="spellStart"/>
      <w:r w:rsidRPr="000D5746">
        <w:rPr>
          <w:color w:val="auto"/>
        </w:rPr>
        <w:t>casirivimab</w:t>
      </w:r>
      <w:proofErr w:type="spellEnd"/>
      <w:r w:rsidRPr="000D5746">
        <w:rPr>
          <w:color w:val="auto"/>
        </w:rPr>
        <w:t xml:space="preserve"> and </w:t>
      </w:r>
      <w:proofErr w:type="spellStart"/>
      <w:r w:rsidRPr="000D5746">
        <w:rPr>
          <w:color w:val="auto"/>
        </w:rPr>
        <w:t>imdevimab</w:t>
      </w:r>
      <w:proofErr w:type="spellEnd"/>
      <w:r w:rsidRPr="000D5746">
        <w:rPr>
          <w:color w:val="auto"/>
        </w:rPr>
        <w:t xml:space="preserve"> injection with IV solutions and medications other than 0.9% Sodium Chloride Injection or 5% Dextrose Injection is not known.</w:t>
      </w:r>
    </w:p>
    <w:p w14:paraId="249B2AA3" w14:textId="77777777" w:rsidR="00BF3D2C" w:rsidRPr="000D5746" w:rsidRDefault="00BF3D2C" w:rsidP="00BF3D2C">
      <w:pPr>
        <w:ind w:left="567" w:hanging="567"/>
        <w:rPr>
          <w:color w:val="auto"/>
        </w:rPr>
      </w:pPr>
      <w:r w:rsidRPr="000D5746">
        <w:rPr>
          <w:color w:val="auto"/>
          <w:lang w:val="en-GB"/>
        </w:rPr>
        <w:t>●</w:t>
      </w:r>
      <w:r w:rsidRPr="000D5746">
        <w:rPr>
          <w:color w:val="auto"/>
          <w:lang w:val="en-GB"/>
        </w:rPr>
        <w:tab/>
      </w:r>
      <w:r w:rsidRPr="000D5746">
        <w:rPr>
          <w:color w:val="auto"/>
        </w:rPr>
        <w:t xml:space="preserve">After infusion is complete, </w:t>
      </w:r>
      <w:r w:rsidRPr="000D5746">
        <w:rPr>
          <w:bCs/>
          <w:color w:val="auto"/>
        </w:rPr>
        <w:t>flush the tubing</w:t>
      </w:r>
      <w:r w:rsidRPr="000D5746">
        <w:rPr>
          <w:color w:val="auto"/>
        </w:rPr>
        <w:t xml:space="preserve"> with 0.9% Sodium Chloride Injection or 5% Dextrose Injection to ensure delivery of the required dose.</w:t>
      </w:r>
    </w:p>
    <w:p w14:paraId="6FBF6F5A" w14:textId="16615BA6" w:rsidR="00BF3D2C" w:rsidRDefault="00BF3D2C" w:rsidP="00BF3D2C">
      <w:pPr>
        <w:ind w:left="567" w:hanging="567"/>
        <w:rPr>
          <w:color w:val="auto"/>
        </w:rPr>
      </w:pPr>
      <w:r w:rsidRPr="000D5746">
        <w:rPr>
          <w:color w:val="auto"/>
          <w:lang w:val="en-GB"/>
        </w:rPr>
        <w:t>●</w:t>
      </w:r>
      <w:r w:rsidRPr="000D5746">
        <w:rPr>
          <w:color w:val="auto"/>
          <w:lang w:val="en-GB"/>
        </w:rPr>
        <w:tab/>
      </w:r>
      <w:r w:rsidRPr="000D5746">
        <w:rPr>
          <w:rFonts w:eastAsia="Calibri"/>
          <w:bCs/>
          <w:color w:val="auto"/>
        </w:rPr>
        <w:t>Individuals should be monitored post intravenous infusion according to local medical practice</w:t>
      </w:r>
      <w:r w:rsidRPr="000D5746">
        <w:rPr>
          <w:color w:val="auto"/>
        </w:rPr>
        <w:t>.</w:t>
      </w:r>
    </w:p>
    <w:p w14:paraId="3005A986" w14:textId="1D584D24" w:rsidR="000E3B5F" w:rsidRDefault="000E3B5F" w:rsidP="00BF3D2C">
      <w:pPr>
        <w:ind w:left="567" w:hanging="567"/>
        <w:rPr>
          <w:color w:val="auto"/>
        </w:rPr>
      </w:pPr>
    </w:p>
    <w:p w14:paraId="5756BEB0" w14:textId="256B69EA" w:rsidR="000E3B5F" w:rsidRPr="004663D3" w:rsidDel="00367961" w:rsidRDefault="000E3B5F" w:rsidP="000E3B5F">
      <w:pPr>
        <w:pStyle w:val="C-BodyText"/>
        <w:keepNext/>
        <w:keepLines/>
        <w:spacing w:before="0"/>
        <w:ind w:left="907" w:hanging="907"/>
        <w:rPr>
          <w:rFonts w:eastAsia="SimSun"/>
          <w:b/>
          <w:szCs w:val="24"/>
          <w:lang w:eastAsia="zh-CN"/>
        </w:rPr>
      </w:pPr>
      <w:r w:rsidRPr="004663D3" w:rsidDel="00367961">
        <w:rPr>
          <w:rFonts w:eastAsia="SimSun"/>
          <w:b/>
          <w:szCs w:val="24"/>
          <w:lang w:eastAsia="zh-CN"/>
        </w:rPr>
        <w:t>Table </w:t>
      </w:r>
      <w:r w:rsidRPr="004663D3" w:rsidDel="00367961">
        <w:rPr>
          <w:rFonts w:eastAsia="SimSun"/>
          <w:b/>
          <w:bCs/>
          <w:szCs w:val="24"/>
          <w:lang w:eastAsia="zh-CN"/>
        </w:rPr>
        <w:fldChar w:fldCharType="begin"/>
      </w:r>
      <w:r w:rsidRPr="004663D3" w:rsidDel="00367961">
        <w:rPr>
          <w:rFonts w:eastAsia="SimSun"/>
          <w:b/>
          <w:szCs w:val="24"/>
          <w:lang w:eastAsia="zh-CN"/>
        </w:rPr>
        <w:instrText xml:space="preserve"> SEQ Table \* ARABIC </w:instrText>
      </w:r>
      <w:r w:rsidRPr="004663D3" w:rsidDel="00367961">
        <w:rPr>
          <w:rFonts w:eastAsia="SimSun"/>
          <w:b/>
          <w:bCs/>
          <w:szCs w:val="24"/>
          <w:lang w:eastAsia="zh-CN"/>
        </w:rPr>
        <w:fldChar w:fldCharType="separate"/>
      </w:r>
      <w:r w:rsidR="00074220">
        <w:rPr>
          <w:rFonts w:eastAsia="SimSun"/>
          <w:b/>
          <w:noProof/>
          <w:szCs w:val="24"/>
          <w:lang w:eastAsia="zh-CN"/>
        </w:rPr>
        <w:t>2</w:t>
      </w:r>
      <w:r w:rsidRPr="004663D3" w:rsidDel="00367961">
        <w:rPr>
          <w:rFonts w:eastAsia="SimSun"/>
          <w:b/>
          <w:bCs/>
          <w:szCs w:val="24"/>
          <w:lang w:eastAsia="zh-CN"/>
        </w:rPr>
        <w:fldChar w:fldCharType="end"/>
      </w:r>
      <w:r w:rsidRPr="004663D3" w:rsidDel="00367961">
        <w:rPr>
          <w:rFonts w:eastAsia="SimSun"/>
          <w:b/>
          <w:szCs w:val="24"/>
          <w:lang w:eastAsia="zh-CN"/>
        </w:rPr>
        <w:t>:</w:t>
      </w:r>
      <w:r w:rsidRPr="004663D3" w:rsidDel="00367961">
        <w:rPr>
          <w:rFonts w:eastAsia="SimSun"/>
          <w:b/>
          <w:szCs w:val="24"/>
          <w:lang w:eastAsia="zh-CN"/>
        </w:rPr>
        <w:tab/>
        <w:t xml:space="preserve">Minimum infusion time for IV infusion bag volumes for diluted </w:t>
      </w:r>
      <w:proofErr w:type="spellStart"/>
      <w:r w:rsidRPr="004663D3" w:rsidDel="00367961">
        <w:rPr>
          <w:rFonts w:eastAsia="SimSun"/>
          <w:b/>
          <w:szCs w:val="24"/>
          <w:lang w:eastAsia="zh-CN"/>
        </w:rPr>
        <w:t>Ronapreve</w:t>
      </w:r>
      <w:proofErr w:type="spellEnd"/>
      <w:r w:rsidRPr="004663D3" w:rsidDel="00367961">
        <w:rPr>
          <w:rFonts w:eastAsia="SimSun"/>
          <w:b/>
          <w:szCs w:val="24"/>
          <w:lang w:eastAsia="zh-CN"/>
        </w:rPr>
        <w:t xml:space="preserve"> 600 mg of </w:t>
      </w:r>
      <w:proofErr w:type="spellStart"/>
      <w:r w:rsidRPr="004663D3" w:rsidDel="00367961">
        <w:rPr>
          <w:rFonts w:eastAsia="SimSun"/>
          <w:b/>
          <w:szCs w:val="24"/>
          <w:lang w:eastAsia="zh-CN"/>
        </w:rPr>
        <w:t>casirivimab</w:t>
      </w:r>
      <w:proofErr w:type="spellEnd"/>
      <w:r w:rsidRPr="004663D3" w:rsidDel="00367961">
        <w:rPr>
          <w:rFonts w:eastAsia="SimSun"/>
          <w:b/>
          <w:szCs w:val="24"/>
          <w:lang w:eastAsia="zh-CN"/>
        </w:rPr>
        <w:t xml:space="preserve"> and 600 mg of </w:t>
      </w:r>
      <w:proofErr w:type="spellStart"/>
      <w:r w:rsidRPr="004663D3" w:rsidDel="00367961">
        <w:rPr>
          <w:rFonts w:eastAsia="SimSun"/>
          <w:b/>
          <w:szCs w:val="24"/>
          <w:lang w:eastAsia="zh-CN"/>
        </w:rPr>
        <w:t>imdevimab</w:t>
      </w:r>
      <w:proofErr w:type="spellEnd"/>
      <w:r w:rsidRPr="004663D3" w:rsidDel="00367961">
        <w:rPr>
          <w:rFonts w:eastAsia="SimSun"/>
          <w:b/>
          <w:szCs w:val="24"/>
          <w:lang w:eastAsia="zh-CN"/>
        </w:rPr>
        <w:t xml:space="preserve"> (1 200 mg dose) </w:t>
      </w:r>
      <w:r w:rsidRPr="005751F2" w:rsidDel="00367961">
        <w:rPr>
          <w:rFonts w:eastAsia="SimSun"/>
          <w:b/>
          <w:szCs w:val="24"/>
          <w:lang w:eastAsia="zh-CN"/>
        </w:rPr>
        <w:t xml:space="preserve">or 300 mg of </w:t>
      </w:r>
      <w:proofErr w:type="spellStart"/>
      <w:r w:rsidRPr="005751F2" w:rsidDel="00367961">
        <w:rPr>
          <w:rFonts w:eastAsia="SimSun"/>
          <w:b/>
          <w:szCs w:val="24"/>
          <w:lang w:eastAsia="zh-CN"/>
        </w:rPr>
        <w:t>casirivimab</w:t>
      </w:r>
      <w:proofErr w:type="spellEnd"/>
      <w:r w:rsidRPr="005751F2" w:rsidDel="00367961">
        <w:rPr>
          <w:rFonts w:eastAsia="SimSun"/>
          <w:b/>
          <w:szCs w:val="24"/>
          <w:lang w:eastAsia="zh-CN"/>
        </w:rPr>
        <w:t xml:space="preserve"> and 300 mg of </w:t>
      </w:r>
      <w:proofErr w:type="spellStart"/>
      <w:r w:rsidRPr="005751F2" w:rsidDel="00367961">
        <w:rPr>
          <w:rFonts w:eastAsia="SimSun"/>
          <w:b/>
          <w:szCs w:val="24"/>
          <w:lang w:eastAsia="zh-CN"/>
        </w:rPr>
        <w:t>imdevimab</w:t>
      </w:r>
      <w:proofErr w:type="spellEnd"/>
      <w:r w:rsidRPr="005751F2" w:rsidDel="00367961">
        <w:rPr>
          <w:rFonts w:eastAsia="SimSun"/>
          <w:b/>
          <w:szCs w:val="24"/>
          <w:lang w:eastAsia="zh-CN"/>
        </w:rPr>
        <w:t xml:space="preserve"> (600 mg dose)</w:t>
      </w:r>
    </w:p>
    <w:tbl>
      <w:tblPr>
        <w:tblStyle w:val="TableGrid2"/>
        <w:tblW w:w="8280" w:type="dxa"/>
        <w:tblInd w:w="-5" w:type="dxa"/>
        <w:tblLook w:val="04A0" w:firstRow="1" w:lastRow="0" w:firstColumn="1" w:lastColumn="0" w:noHBand="0" w:noVBand="1"/>
      </w:tblPr>
      <w:tblGrid>
        <w:gridCol w:w="2610"/>
        <w:gridCol w:w="2790"/>
        <w:gridCol w:w="2880"/>
      </w:tblGrid>
      <w:tr w:rsidR="000E3B5F" w:rsidRPr="000D5746" w:rsidDel="00367961" w14:paraId="2FDF543E" w14:textId="77777777" w:rsidTr="0067390C">
        <w:trPr>
          <w:trHeight w:val="345"/>
          <w:tblHeader/>
        </w:trPr>
        <w:tc>
          <w:tcPr>
            <w:tcW w:w="2610" w:type="dxa"/>
            <w:shd w:val="clear" w:color="auto" w:fill="auto"/>
            <w:vAlign w:val="center"/>
          </w:tcPr>
          <w:p w14:paraId="35DE4EC3" w14:textId="77777777" w:rsidR="000E3B5F" w:rsidRPr="000D5746" w:rsidDel="00367961" w:rsidRDefault="000E3B5F" w:rsidP="0067390C">
            <w:pPr>
              <w:keepNext/>
              <w:autoSpaceDE w:val="0"/>
              <w:autoSpaceDN w:val="0"/>
              <w:adjustRightInd w:val="0"/>
              <w:jc w:val="center"/>
              <w:rPr>
                <w:rFonts w:ascii="Times New Roman" w:hAnsi="Times New Roman" w:cs="Times New Roman"/>
                <w:b/>
                <w:lang w:eastAsia="zh-CN"/>
              </w:rPr>
            </w:pPr>
            <w:r w:rsidRPr="000D5746" w:rsidDel="00367961">
              <w:rPr>
                <w:rFonts w:ascii="Times New Roman" w:hAnsi="Times New Roman" w:cs="Times New Roman"/>
                <w:b/>
                <w:lang w:eastAsia="zh-CN"/>
              </w:rPr>
              <w:t>Size of Prefilled 0.9% Sodium Chloride or</w:t>
            </w:r>
            <w:r w:rsidRPr="000D5746" w:rsidDel="00367961">
              <w:rPr>
                <w:rFonts w:ascii="Times New Roman" w:hAnsi="Times New Roman" w:cs="Times New Roman"/>
                <w:b/>
                <w:lang w:eastAsia="zh-CN"/>
              </w:rPr>
              <w:br/>
              <w:t>5% Dextrose Infusion Bag</w:t>
            </w:r>
          </w:p>
        </w:tc>
        <w:tc>
          <w:tcPr>
            <w:tcW w:w="2790" w:type="dxa"/>
          </w:tcPr>
          <w:p w14:paraId="2C806D1A" w14:textId="77777777" w:rsidR="000E3B5F" w:rsidRPr="000D5746" w:rsidDel="00367961" w:rsidRDefault="000E3B5F" w:rsidP="0067390C">
            <w:pPr>
              <w:keepNext/>
              <w:autoSpaceDE w:val="0"/>
              <w:autoSpaceDN w:val="0"/>
              <w:adjustRightInd w:val="0"/>
              <w:jc w:val="center"/>
              <w:rPr>
                <w:rFonts w:ascii="Times New Roman" w:hAnsi="Times New Roman" w:cs="Times New Roman"/>
                <w:b/>
                <w:lang w:eastAsia="zh-CN"/>
              </w:rPr>
            </w:pPr>
            <w:r w:rsidRPr="000D5746" w:rsidDel="00367961">
              <w:rPr>
                <w:rFonts w:ascii="Times New Roman" w:hAnsi="Times New Roman" w:cs="Times New Roman"/>
                <w:b/>
                <w:lang w:eastAsia="zh-CN"/>
              </w:rPr>
              <w:t xml:space="preserve">Minimum Infusion Time </w:t>
            </w:r>
            <w:proofErr w:type="spellStart"/>
            <w:r w:rsidRPr="000D5746" w:rsidDel="00367961">
              <w:rPr>
                <w:rFonts w:ascii="Times New Roman" w:hAnsi="Times New Roman" w:cs="Times New Roman"/>
                <w:b/>
                <w:lang w:eastAsia="zh-CN"/>
              </w:rPr>
              <w:t>Ronapreve</w:t>
            </w:r>
            <w:proofErr w:type="spellEnd"/>
            <w:r w:rsidRPr="000D5746" w:rsidDel="00367961">
              <w:rPr>
                <w:rFonts w:ascii="Times New Roman" w:hAnsi="Times New Roman" w:cs="Times New Roman"/>
                <w:b/>
                <w:lang w:eastAsia="zh-CN"/>
              </w:rPr>
              <w:t xml:space="preserve"> </w:t>
            </w:r>
          </w:p>
          <w:p w14:paraId="55E64540" w14:textId="77777777" w:rsidR="000E3B5F" w:rsidRPr="000D5746" w:rsidDel="00367961" w:rsidRDefault="000E3B5F" w:rsidP="0067390C">
            <w:pPr>
              <w:keepNext/>
              <w:autoSpaceDE w:val="0"/>
              <w:autoSpaceDN w:val="0"/>
              <w:adjustRightInd w:val="0"/>
              <w:jc w:val="center"/>
              <w:rPr>
                <w:rFonts w:ascii="Times New Roman" w:hAnsi="Times New Roman" w:cs="Times New Roman"/>
                <w:b/>
                <w:lang w:eastAsia="zh-CN"/>
              </w:rPr>
            </w:pPr>
            <w:r w:rsidRPr="000D5746" w:rsidDel="00367961">
              <w:rPr>
                <w:rFonts w:ascii="Times New Roman" w:hAnsi="Times New Roman" w:cs="Times New Roman"/>
                <w:b/>
                <w:lang w:eastAsia="zh-CN"/>
              </w:rPr>
              <w:t xml:space="preserve">600 mg </w:t>
            </w:r>
            <w:proofErr w:type="spellStart"/>
            <w:r w:rsidRPr="000D5746" w:rsidDel="00367961">
              <w:rPr>
                <w:rFonts w:ascii="Times New Roman" w:hAnsi="Times New Roman" w:cs="Times New Roman"/>
                <w:b/>
                <w:lang w:eastAsia="zh-CN"/>
              </w:rPr>
              <w:t>casirivimab</w:t>
            </w:r>
            <w:proofErr w:type="spellEnd"/>
            <w:r w:rsidRPr="000D5746" w:rsidDel="00367961">
              <w:rPr>
                <w:rFonts w:ascii="Times New Roman" w:hAnsi="Times New Roman" w:cs="Times New Roman"/>
                <w:b/>
                <w:lang w:eastAsia="zh-CN"/>
              </w:rPr>
              <w:t xml:space="preserve"> and 600 mg </w:t>
            </w:r>
            <w:proofErr w:type="spellStart"/>
            <w:r w:rsidRPr="000D5746" w:rsidDel="00367961">
              <w:rPr>
                <w:rFonts w:ascii="Times New Roman" w:hAnsi="Times New Roman" w:cs="Times New Roman"/>
                <w:b/>
                <w:lang w:eastAsia="zh-CN"/>
              </w:rPr>
              <w:t>imdevimab</w:t>
            </w:r>
            <w:proofErr w:type="spellEnd"/>
            <w:r w:rsidRPr="000D5746" w:rsidDel="00367961">
              <w:rPr>
                <w:rFonts w:ascii="Times New Roman" w:hAnsi="Times New Roman" w:cs="Times New Roman"/>
                <w:b/>
                <w:lang w:eastAsia="zh-CN"/>
              </w:rPr>
              <w:t xml:space="preserve"> </w:t>
            </w:r>
          </w:p>
          <w:p w14:paraId="7DFB9B09" w14:textId="77777777" w:rsidR="000E3B5F" w:rsidRPr="000D5746" w:rsidDel="00367961" w:rsidRDefault="000E3B5F" w:rsidP="0067390C">
            <w:pPr>
              <w:keepNext/>
              <w:autoSpaceDE w:val="0"/>
              <w:autoSpaceDN w:val="0"/>
              <w:adjustRightInd w:val="0"/>
              <w:jc w:val="center"/>
              <w:rPr>
                <w:rFonts w:ascii="Times New Roman" w:hAnsi="Times New Roman" w:cs="Times New Roman"/>
                <w:b/>
                <w:lang w:eastAsia="zh-CN"/>
              </w:rPr>
            </w:pPr>
            <w:r w:rsidRPr="000D5746" w:rsidDel="00367961">
              <w:rPr>
                <w:rFonts w:ascii="Times New Roman" w:hAnsi="Times New Roman" w:cs="Times New Roman"/>
                <w:b/>
                <w:lang w:eastAsia="zh-CN"/>
              </w:rPr>
              <w:t>(1 200 mg)</w:t>
            </w:r>
          </w:p>
        </w:tc>
        <w:tc>
          <w:tcPr>
            <w:tcW w:w="2880" w:type="dxa"/>
          </w:tcPr>
          <w:p w14:paraId="3877B2F6" w14:textId="77777777" w:rsidR="000E3B5F" w:rsidRPr="005751F2" w:rsidDel="00367961" w:rsidRDefault="000E3B5F" w:rsidP="0067390C">
            <w:pPr>
              <w:keepNext/>
              <w:autoSpaceDE w:val="0"/>
              <w:autoSpaceDN w:val="0"/>
              <w:adjustRightInd w:val="0"/>
              <w:jc w:val="center"/>
              <w:rPr>
                <w:rFonts w:ascii="Times New Roman" w:hAnsi="Times New Roman" w:cs="Times New Roman"/>
                <w:b/>
                <w:lang w:eastAsia="zh-CN"/>
              </w:rPr>
            </w:pPr>
            <w:r w:rsidRPr="005751F2" w:rsidDel="00367961">
              <w:rPr>
                <w:rFonts w:ascii="Times New Roman" w:hAnsi="Times New Roman" w:cs="Times New Roman"/>
                <w:b/>
                <w:lang w:eastAsia="zh-CN"/>
              </w:rPr>
              <w:t xml:space="preserve">Minimum Infusion Time </w:t>
            </w:r>
            <w:proofErr w:type="spellStart"/>
            <w:r w:rsidRPr="005751F2" w:rsidDel="00367961">
              <w:rPr>
                <w:rFonts w:ascii="Times New Roman" w:hAnsi="Times New Roman" w:cs="Times New Roman"/>
                <w:b/>
                <w:lang w:eastAsia="zh-CN"/>
              </w:rPr>
              <w:t>Ronapreve</w:t>
            </w:r>
            <w:proofErr w:type="spellEnd"/>
            <w:r w:rsidRPr="005751F2" w:rsidDel="00367961">
              <w:rPr>
                <w:rFonts w:ascii="Times New Roman" w:hAnsi="Times New Roman" w:cs="Times New Roman"/>
                <w:b/>
                <w:lang w:eastAsia="zh-CN"/>
              </w:rPr>
              <w:t xml:space="preserve"> </w:t>
            </w:r>
          </w:p>
          <w:p w14:paraId="63196999" w14:textId="77777777" w:rsidR="000E3B5F" w:rsidRPr="005751F2" w:rsidDel="00367961" w:rsidRDefault="000E3B5F" w:rsidP="0067390C">
            <w:pPr>
              <w:keepNext/>
              <w:autoSpaceDE w:val="0"/>
              <w:autoSpaceDN w:val="0"/>
              <w:adjustRightInd w:val="0"/>
              <w:jc w:val="center"/>
              <w:rPr>
                <w:rFonts w:ascii="Times New Roman" w:hAnsi="Times New Roman" w:cs="Times New Roman"/>
                <w:b/>
                <w:lang w:eastAsia="zh-CN"/>
              </w:rPr>
            </w:pPr>
            <w:r w:rsidRPr="005751F2" w:rsidDel="00367961">
              <w:rPr>
                <w:rFonts w:ascii="Times New Roman" w:hAnsi="Times New Roman" w:cs="Times New Roman"/>
                <w:b/>
                <w:lang w:eastAsia="zh-CN"/>
              </w:rPr>
              <w:t xml:space="preserve"> 300 mg </w:t>
            </w:r>
            <w:proofErr w:type="spellStart"/>
            <w:r w:rsidRPr="005751F2" w:rsidDel="00367961">
              <w:rPr>
                <w:rFonts w:ascii="Times New Roman" w:hAnsi="Times New Roman" w:cs="Times New Roman"/>
                <w:b/>
                <w:lang w:eastAsia="zh-CN"/>
              </w:rPr>
              <w:t>casirivimab</w:t>
            </w:r>
            <w:proofErr w:type="spellEnd"/>
            <w:r w:rsidRPr="005751F2" w:rsidDel="00367961">
              <w:rPr>
                <w:rFonts w:ascii="Times New Roman" w:hAnsi="Times New Roman" w:cs="Times New Roman"/>
                <w:b/>
                <w:lang w:eastAsia="zh-CN"/>
              </w:rPr>
              <w:t xml:space="preserve"> and 300 mg </w:t>
            </w:r>
            <w:proofErr w:type="spellStart"/>
            <w:r w:rsidRPr="005751F2" w:rsidDel="00367961">
              <w:rPr>
                <w:rFonts w:ascii="Times New Roman" w:hAnsi="Times New Roman" w:cs="Times New Roman"/>
                <w:b/>
                <w:lang w:eastAsia="zh-CN"/>
              </w:rPr>
              <w:t>imdevimab</w:t>
            </w:r>
            <w:proofErr w:type="spellEnd"/>
            <w:r w:rsidRPr="005751F2" w:rsidDel="00367961">
              <w:rPr>
                <w:rFonts w:ascii="Times New Roman" w:hAnsi="Times New Roman" w:cs="Times New Roman"/>
                <w:b/>
                <w:lang w:eastAsia="zh-CN"/>
              </w:rPr>
              <w:t xml:space="preserve"> </w:t>
            </w:r>
          </w:p>
          <w:p w14:paraId="60F4F171" w14:textId="77777777" w:rsidR="000E3B5F" w:rsidRPr="005751F2" w:rsidDel="00367961" w:rsidRDefault="000E3B5F" w:rsidP="0067390C">
            <w:pPr>
              <w:keepNext/>
              <w:autoSpaceDE w:val="0"/>
              <w:autoSpaceDN w:val="0"/>
              <w:adjustRightInd w:val="0"/>
              <w:jc w:val="center"/>
              <w:rPr>
                <w:rFonts w:ascii="Times New Roman" w:hAnsi="Times New Roman" w:cs="Times New Roman"/>
                <w:b/>
                <w:lang w:eastAsia="zh-CN"/>
              </w:rPr>
            </w:pPr>
            <w:r w:rsidRPr="005751F2" w:rsidDel="00367961">
              <w:rPr>
                <w:rFonts w:ascii="Times New Roman" w:hAnsi="Times New Roman" w:cs="Times New Roman"/>
                <w:b/>
                <w:lang w:eastAsia="zh-CN"/>
              </w:rPr>
              <w:t>(600 mg)</w:t>
            </w:r>
          </w:p>
        </w:tc>
      </w:tr>
      <w:tr w:rsidR="000E3B5F" w:rsidRPr="000D5746" w:rsidDel="00367961" w14:paraId="0DE5A7B9" w14:textId="77777777" w:rsidTr="0067390C">
        <w:trPr>
          <w:trHeight w:val="139"/>
        </w:trPr>
        <w:tc>
          <w:tcPr>
            <w:tcW w:w="2610" w:type="dxa"/>
            <w:shd w:val="clear" w:color="auto" w:fill="auto"/>
            <w:vAlign w:val="center"/>
          </w:tcPr>
          <w:p w14:paraId="25AFA059" w14:textId="77777777" w:rsidR="000E3B5F" w:rsidRPr="000D5746" w:rsidDel="00367961" w:rsidRDefault="000E3B5F" w:rsidP="0067390C">
            <w:pPr>
              <w:keepNext/>
              <w:autoSpaceDE w:val="0"/>
              <w:autoSpaceDN w:val="0"/>
              <w:adjustRightInd w:val="0"/>
              <w:jc w:val="center"/>
              <w:rPr>
                <w:rFonts w:ascii="Times New Roman" w:hAnsi="Times New Roman" w:cs="Times New Roman"/>
                <w:vertAlign w:val="superscript"/>
                <w:lang w:eastAsia="zh-CN"/>
              </w:rPr>
            </w:pPr>
            <w:r w:rsidRPr="000D5746" w:rsidDel="00367961">
              <w:rPr>
                <w:rFonts w:ascii="Times New Roman" w:hAnsi="Times New Roman" w:cs="Times New Roman"/>
                <w:lang w:eastAsia="zh-CN"/>
              </w:rPr>
              <w:t>50 mL</w:t>
            </w:r>
          </w:p>
        </w:tc>
        <w:tc>
          <w:tcPr>
            <w:tcW w:w="2790" w:type="dxa"/>
            <w:vAlign w:val="center"/>
          </w:tcPr>
          <w:p w14:paraId="5DA7374B" w14:textId="77777777" w:rsidR="000E3B5F" w:rsidRPr="000D5746" w:rsidDel="00367961" w:rsidRDefault="000E3B5F" w:rsidP="0067390C">
            <w:pPr>
              <w:keepNext/>
              <w:autoSpaceDE w:val="0"/>
              <w:autoSpaceDN w:val="0"/>
              <w:adjustRightInd w:val="0"/>
              <w:jc w:val="center"/>
              <w:rPr>
                <w:rFonts w:ascii="Times New Roman" w:hAnsi="Times New Roman" w:cs="Times New Roman"/>
                <w:bCs/>
                <w:lang w:eastAsia="zh-CN"/>
              </w:rPr>
            </w:pPr>
            <w:r w:rsidRPr="000D5746" w:rsidDel="00367961">
              <w:rPr>
                <w:rFonts w:ascii="Times New Roman" w:hAnsi="Times New Roman" w:cs="Times New Roman"/>
                <w:bCs/>
                <w:lang w:eastAsia="zh-CN"/>
              </w:rPr>
              <w:t>20 minutes</w:t>
            </w:r>
          </w:p>
        </w:tc>
        <w:tc>
          <w:tcPr>
            <w:tcW w:w="2880" w:type="dxa"/>
            <w:vAlign w:val="center"/>
          </w:tcPr>
          <w:p w14:paraId="73012497" w14:textId="77777777" w:rsidR="000E3B5F" w:rsidRPr="005751F2" w:rsidDel="00367961" w:rsidRDefault="000E3B5F" w:rsidP="0067390C">
            <w:pPr>
              <w:keepNext/>
              <w:autoSpaceDE w:val="0"/>
              <w:autoSpaceDN w:val="0"/>
              <w:adjustRightInd w:val="0"/>
              <w:jc w:val="center"/>
              <w:rPr>
                <w:rFonts w:ascii="Times New Roman" w:hAnsi="Times New Roman" w:cs="Times New Roman"/>
                <w:bCs/>
                <w:lang w:eastAsia="zh-CN"/>
              </w:rPr>
            </w:pPr>
            <w:r w:rsidRPr="005751F2" w:rsidDel="00367961">
              <w:rPr>
                <w:rFonts w:ascii="Times New Roman" w:hAnsi="Times New Roman" w:cs="Times New Roman"/>
                <w:bCs/>
                <w:lang w:eastAsia="zh-CN"/>
              </w:rPr>
              <w:t>20 minutes</w:t>
            </w:r>
          </w:p>
        </w:tc>
      </w:tr>
      <w:tr w:rsidR="000E3B5F" w:rsidRPr="000D5746" w:rsidDel="00367961" w14:paraId="5D8CB977" w14:textId="77777777" w:rsidTr="0067390C">
        <w:trPr>
          <w:trHeight w:val="70"/>
        </w:trPr>
        <w:tc>
          <w:tcPr>
            <w:tcW w:w="2610" w:type="dxa"/>
            <w:shd w:val="clear" w:color="auto" w:fill="auto"/>
            <w:vAlign w:val="center"/>
          </w:tcPr>
          <w:p w14:paraId="3E602937" w14:textId="77777777" w:rsidR="000E3B5F" w:rsidRPr="000D5746" w:rsidDel="00367961" w:rsidRDefault="000E3B5F" w:rsidP="0067390C">
            <w:pPr>
              <w:keepNext/>
              <w:autoSpaceDE w:val="0"/>
              <w:autoSpaceDN w:val="0"/>
              <w:adjustRightInd w:val="0"/>
              <w:jc w:val="center"/>
              <w:rPr>
                <w:rFonts w:ascii="Times New Roman" w:hAnsi="Times New Roman" w:cs="Times New Roman"/>
                <w:lang w:eastAsia="zh-CN"/>
              </w:rPr>
            </w:pPr>
            <w:r w:rsidRPr="000D5746" w:rsidDel="00367961">
              <w:rPr>
                <w:rFonts w:ascii="Times New Roman" w:hAnsi="Times New Roman" w:cs="Times New Roman"/>
                <w:lang w:eastAsia="zh-CN"/>
              </w:rPr>
              <w:t>100 mL</w:t>
            </w:r>
          </w:p>
        </w:tc>
        <w:tc>
          <w:tcPr>
            <w:tcW w:w="2790" w:type="dxa"/>
            <w:vAlign w:val="center"/>
          </w:tcPr>
          <w:p w14:paraId="0A1A07FD" w14:textId="77777777" w:rsidR="000E3B5F" w:rsidRPr="000D5746" w:rsidDel="00367961" w:rsidRDefault="000E3B5F" w:rsidP="0067390C">
            <w:pPr>
              <w:keepNext/>
              <w:autoSpaceDE w:val="0"/>
              <w:autoSpaceDN w:val="0"/>
              <w:adjustRightInd w:val="0"/>
              <w:jc w:val="center"/>
              <w:rPr>
                <w:rFonts w:ascii="Times New Roman" w:hAnsi="Times New Roman" w:cs="Times New Roman"/>
                <w:bCs/>
                <w:lang w:eastAsia="zh-CN"/>
              </w:rPr>
            </w:pPr>
            <w:r w:rsidRPr="000D5746" w:rsidDel="00367961">
              <w:rPr>
                <w:rFonts w:ascii="Times New Roman" w:hAnsi="Times New Roman" w:cs="Times New Roman"/>
                <w:bCs/>
                <w:lang w:eastAsia="zh-CN"/>
              </w:rPr>
              <w:t>20 minutes</w:t>
            </w:r>
          </w:p>
        </w:tc>
        <w:tc>
          <w:tcPr>
            <w:tcW w:w="2880" w:type="dxa"/>
            <w:vAlign w:val="center"/>
          </w:tcPr>
          <w:p w14:paraId="23B122B2" w14:textId="77777777" w:rsidR="000E3B5F" w:rsidRPr="005751F2" w:rsidDel="00367961" w:rsidRDefault="000E3B5F" w:rsidP="0067390C">
            <w:pPr>
              <w:keepNext/>
              <w:autoSpaceDE w:val="0"/>
              <w:autoSpaceDN w:val="0"/>
              <w:adjustRightInd w:val="0"/>
              <w:jc w:val="center"/>
              <w:rPr>
                <w:rFonts w:ascii="Times New Roman" w:hAnsi="Times New Roman" w:cs="Times New Roman"/>
                <w:bCs/>
                <w:lang w:eastAsia="zh-CN"/>
              </w:rPr>
            </w:pPr>
            <w:r w:rsidRPr="005751F2" w:rsidDel="00367961">
              <w:rPr>
                <w:rFonts w:ascii="Times New Roman" w:hAnsi="Times New Roman" w:cs="Times New Roman"/>
                <w:bCs/>
                <w:lang w:eastAsia="zh-CN"/>
              </w:rPr>
              <w:t>20 minutes</w:t>
            </w:r>
          </w:p>
        </w:tc>
      </w:tr>
      <w:tr w:rsidR="000E3B5F" w:rsidRPr="000D5746" w:rsidDel="00367961" w14:paraId="19F52FC5" w14:textId="77777777" w:rsidTr="0067390C">
        <w:trPr>
          <w:trHeight w:val="70"/>
        </w:trPr>
        <w:tc>
          <w:tcPr>
            <w:tcW w:w="2610" w:type="dxa"/>
            <w:shd w:val="clear" w:color="auto" w:fill="auto"/>
            <w:vAlign w:val="center"/>
          </w:tcPr>
          <w:p w14:paraId="7AB3E9E9" w14:textId="77777777" w:rsidR="000E3B5F" w:rsidRPr="000D5746" w:rsidDel="00367961" w:rsidRDefault="000E3B5F" w:rsidP="0067390C">
            <w:pPr>
              <w:keepNext/>
              <w:autoSpaceDE w:val="0"/>
              <w:autoSpaceDN w:val="0"/>
              <w:adjustRightInd w:val="0"/>
              <w:jc w:val="center"/>
              <w:rPr>
                <w:rFonts w:ascii="Times New Roman" w:hAnsi="Times New Roman" w:cs="Times New Roman"/>
                <w:lang w:eastAsia="zh-CN"/>
              </w:rPr>
            </w:pPr>
            <w:r w:rsidRPr="000D5746" w:rsidDel="00367961">
              <w:rPr>
                <w:rFonts w:ascii="Times New Roman" w:hAnsi="Times New Roman" w:cs="Times New Roman"/>
                <w:lang w:eastAsia="zh-CN"/>
              </w:rPr>
              <w:t>150 mL</w:t>
            </w:r>
          </w:p>
        </w:tc>
        <w:tc>
          <w:tcPr>
            <w:tcW w:w="2790" w:type="dxa"/>
            <w:vAlign w:val="center"/>
          </w:tcPr>
          <w:p w14:paraId="63218E1F" w14:textId="77777777" w:rsidR="000E3B5F" w:rsidRPr="000D5746" w:rsidDel="00367961" w:rsidRDefault="000E3B5F" w:rsidP="0067390C">
            <w:pPr>
              <w:keepNext/>
              <w:autoSpaceDE w:val="0"/>
              <w:autoSpaceDN w:val="0"/>
              <w:adjustRightInd w:val="0"/>
              <w:jc w:val="center"/>
              <w:rPr>
                <w:rFonts w:ascii="Times New Roman" w:hAnsi="Times New Roman" w:cs="Times New Roman"/>
                <w:bCs/>
                <w:lang w:eastAsia="zh-CN"/>
              </w:rPr>
            </w:pPr>
            <w:r w:rsidRPr="000D5746" w:rsidDel="00367961">
              <w:rPr>
                <w:rFonts w:ascii="Times New Roman" w:hAnsi="Times New Roman" w:cs="Times New Roman"/>
                <w:bCs/>
                <w:lang w:eastAsia="zh-CN"/>
              </w:rPr>
              <w:t>20 minutes</w:t>
            </w:r>
          </w:p>
        </w:tc>
        <w:tc>
          <w:tcPr>
            <w:tcW w:w="2880" w:type="dxa"/>
            <w:vAlign w:val="center"/>
          </w:tcPr>
          <w:p w14:paraId="19562C7B" w14:textId="77777777" w:rsidR="000E3B5F" w:rsidRPr="005751F2" w:rsidDel="00367961" w:rsidRDefault="000E3B5F" w:rsidP="0067390C">
            <w:pPr>
              <w:keepNext/>
              <w:autoSpaceDE w:val="0"/>
              <w:autoSpaceDN w:val="0"/>
              <w:adjustRightInd w:val="0"/>
              <w:jc w:val="center"/>
              <w:rPr>
                <w:rFonts w:ascii="Times New Roman" w:hAnsi="Times New Roman" w:cs="Times New Roman"/>
                <w:bCs/>
                <w:lang w:eastAsia="zh-CN"/>
              </w:rPr>
            </w:pPr>
            <w:r w:rsidRPr="005751F2" w:rsidDel="00367961">
              <w:rPr>
                <w:rFonts w:ascii="Times New Roman" w:hAnsi="Times New Roman" w:cs="Times New Roman"/>
                <w:bCs/>
                <w:lang w:eastAsia="zh-CN"/>
              </w:rPr>
              <w:t>20 minutes</w:t>
            </w:r>
          </w:p>
        </w:tc>
      </w:tr>
      <w:tr w:rsidR="000E3B5F" w:rsidRPr="000D5746" w:rsidDel="00367961" w14:paraId="37DA20E3" w14:textId="77777777" w:rsidTr="0067390C">
        <w:trPr>
          <w:trHeight w:val="70"/>
        </w:trPr>
        <w:tc>
          <w:tcPr>
            <w:tcW w:w="2610" w:type="dxa"/>
            <w:shd w:val="clear" w:color="auto" w:fill="auto"/>
            <w:vAlign w:val="center"/>
          </w:tcPr>
          <w:p w14:paraId="6E365E2C" w14:textId="77777777" w:rsidR="000E3B5F" w:rsidRPr="000D5746" w:rsidDel="00367961" w:rsidRDefault="000E3B5F" w:rsidP="0067390C">
            <w:pPr>
              <w:autoSpaceDE w:val="0"/>
              <w:autoSpaceDN w:val="0"/>
              <w:adjustRightInd w:val="0"/>
              <w:jc w:val="center"/>
              <w:rPr>
                <w:rFonts w:ascii="Times New Roman" w:hAnsi="Times New Roman" w:cs="Times New Roman"/>
                <w:lang w:eastAsia="zh-CN"/>
              </w:rPr>
            </w:pPr>
            <w:r w:rsidRPr="000D5746" w:rsidDel="00367961">
              <w:rPr>
                <w:rFonts w:ascii="Times New Roman" w:hAnsi="Times New Roman" w:cs="Times New Roman"/>
                <w:lang w:eastAsia="zh-CN"/>
              </w:rPr>
              <w:t>250 mL</w:t>
            </w:r>
          </w:p>
        </w:tc>
        <w:tc>
          <w:tcPr>
            <w:tcW w:w="2790" w:type="dxa"/>
            <w:vAlign w:val="center"/>
          </w:tcPr>
          <w:p w14:paraId="36C7B45F" w14:textId="77777777" w:rsidR="000E3B5F" w:rsidRPr="000D5746" w:rsidDel="00367961" w:rsidRDefault="000E3B5F" w:rsidP="0067390C">
            <w:pPr>
              <w:autoSpaceDE w:val="0"/>
              <w:autoSpaceDN w:val="0"/>
              <w:adjustRightInd w:val="0"/>
              <w:jc w:val="center"/>
              <w:rPr>
                <w:rFonts w:ascii="Times New Roman" w:hAnsi="Times New Roman" w:cs="Times New Roman"/>
                <w:bCs/>
                <w:lang w:eastAsia="zh-CN"/>
              </w:rPr>
            </w:pPr>
            <w:r w:rsidRPr="000D5746" w:rsidDel="00367961">
              <w:rPr>
                <w:rFonts w:ascii="Times New Roman" w:hAnsi="Times New Roman" w:cs="Times New Roman"/>
                <w:bCs/>
                <w:lang w:eastAsia="zh-CN"/>
              </w:rPr>
              <w:t>30 minutes</w:t>
            </w:r>
          </w:p>
        </w:tc>
        <w:tc>
          <w:tcPr>
            <w:tcW w:w="2880" w:type="dxa"/>
            <w:vAlign w:val="center"/>
          </w:tcPr>
          <w:p w14:paraId="265F7A0E" w14:textId="77777777" w:rsidR="000E3B5F" w:rsidRPr="005751F2" w:rsidDel="00367961" w:rsidRDefault="000E3B5F" w:rsidP="0067390C">
            <w:pPr>
              <w:autoSpaceDE w:val="0"/>
              <w:autoSpaceDN w:val="0"/>
              <w:adjustRightInd w:val="0"/>
              <w:jc w:val="center"/>
              <w:rPr>
                <w:rFonts w:ascii="Times New Roman" w:hAnsi="Times New Roman" w:cs="Times New Roman"/>
                <w:bCs/>
                <w:lang w:eastAsia="zh-CN"/>
              </w:rPr>
            </w:pPr>
            <w:r w:rsidRPr="005751F2" w:rsidDel="00367961">
              <w:rPr>
                <w:bCs/>
                <w:lang w:eastAsia="zh-CN"/>
              </w:rPr>
              <w:t>30 minutes</w:t>
            </w:r>
          </w:p>
        </w:tc>
      </w:tr>
    </w:tbl>
    <w:p w14:paraId="5F9422A3" w14:textId="184B8A98" w:rsidR="000E3B5F" w:rsidRDefault="000E3B5F" w:rsidP="00BF3D2C">
      <w:pPr>
        <w:ind w:left="567" w:hanging="567"/>
        <w:rPr>
          <w:color w:val="auto"/>
        </w:rPr>
      </w:pPr>
    </w:p>
    <w:p w14:paraId="73365713" w14:textId="77777777" w:rsidR="00DD0E07" w:rsidRPr="00BB43EC" w:rsidDel="000E3B5F" w:rsidRDefault="00DD0E07" w:rsidP="00DD0E07">
      <w:pPr>
        <w:pStyle w:val="Heading4"/>
        <w:rPr>
          <w:lang w:eastAsia="zh-CN"/>
        </w:rPr>
      </w:pPr>
      <w:r w:rsidRPr="00BB43EC" w:rsidDel="000E3B5F">
        <w:rPr>
          <w:lang w:eastAsia="zh-CN"/>
        </w:rPr>
        <w:t xml:space="preserve">Subcutaneous injection </w:t>
      </w:r>
    </w:p>
    <w:p w14:paraId="1E1FBC1E" w14:textId="77777777" w:rsidR="00BF3D2C" w:rsidRPr="000D5746" w:rsidRDefault="00BF3D2C" w:rsidP="00BF3D2C">
      <w:pPr>
        <w:pStyle w:val="Heading4"/>
      </w:pPr>
      <w:r w:rsidRPr="000D5746">
        <w:t xml:space="preserve">Preparation of </w:t>
      </w:r>
      <w:proofErr w:type="spellStart"/>
      <w:r w:rsidRPr="000D5746">
        <w:t>Ronapreve</w:t>
      </w:r>
      <w:proofErr w:type="spellEnd"/>
      <w:r w:rsidRPr="000D5746">
        <w:t xml:space="preserve"> for Subcutaneous Injection </w:t>
      </w:r>
    </w:p>
    <w:p w14:paraId="42809E72" w14:textId="77777777" w:rsidR="00BF3D2C" w:rsidRPr="000D5746" w:rsidRDefault="00BF3D2C" w:rsidP="00BF3D2C">
      <w:pPr>
        <w:rPr>
          <w:bCs/>
          <w:color w:val="auto"/>
        </w:rPr>
      </w:pPr>
      <w:r w:rsidRPr="000D5746">
        <w:rPr>
          <w:bCs/>
          <w:color w:val="auto"/>
        </w:rPr>
        <w:t xml:space="preserve">Remove the </w:t>
      </w:r>
      <w:proofErr w:type="spellStart"/>
      <w:r w:rsidRPr="000D5746">
        <w:rPr>
          <w:bCs/>
          <w:color w:val="auto"/>
        </w:rPr>
        <w:t>casirivimab</w:t>
      </w:r>
      <w:proofErr w:type="spellEnd"/>
      <w:r w:rsidRPr="000D5746">
        <w:rPr>
          <w:bCs/>
          <w:color w:val="auto"/>
        </w:rPr>
        <w:t xml:space="preserve"> and </w:t>
      </w:r>
      <w:proofErr w:type="spellStart"/>
      <w:r w:rsidRPr="000D5746">
        <w:rPr>
          <w:bCs/>
          <w:color w:val="auto"/>
        </w:rPr>
        <w:t>imdevimab</w:t>
      </w:r>
      <w:proofErr w:type="spellEnd"/>
      <w:r w:rsidRPr="000D5746">
        <w:rPr>
          <w:bCs/>
          <w:color w:val="auto"/>
        </w:rPr>
        <w:t xml:space="preserve"> vial(s) from refrigerated storage and allow to equilibrate to room temperature for approximately 20 minutes before preparation. </w:t>
      </w:r>
    </w:p>
    <w:p w14:paraId="5B4B4332" w14:textId="77777777" w:rsidR="00BF3D2C" w:rsidRPr="000D5746" w:rsidRDefault="00BF3D2C" w:rsidP="00BF3D2C">
      <w:pPr>
        <w:rPr>
          <w:color w:val="auto"/>
        </w:rPr>
      </w:pPr>
      <w:r w:rsidRPr="000D5746">
        <w:rPr>
          <w:color w:val="auto"/>
        </w:rPr>
        <w:t xml:space="preserve">Do not expose to direct heat. </w:t>
      </w:r>
    </w:p>
    <w:p w14:paraId="715DAF73" w14:textId="77777777" w:rsidR="00BF3D2C" w:rsidRPr="000D5746" w:rsidRDefault="00BF3D2C" w:rsidP="00BF3D2C">
      <w:pPr>
        <w:rPr>
          <w:b/>
          <w:color w:val="auto"/>
        </w:rPr>
      </w:pPr>
      <w:r w:rsidRPr="000D5746">
        <w:rPr>
          <w:color w:val="auto"/>
        </w:rPr>
        <w:t>Do not shake the vials</w:t>
      </w:r>
      <w:r w:rsidRPr="000D5746">
        <w:rPr>
          <w:b/>
          <w:bCs/>
          <w:color w:val="auto"/>
        </w:rPr>
        <w:t>.</w:t>
      </w:r>
    </w:p>
    <w:p w14:paraId="3220CA43" w14:textId="77777777" w:rsidR="00BF3D2C" w:rsidRPr="000D5746" w:rsidRDefault="00BF3D2C" w:rsidP="00BF3D2C">
      <w:pPr>
        <w:rPr>
          <w:bCs/>
          <w:color w:val="auto"/>
        </w:rPr>
      </w:pPr>
    </w:p>
    <w:p w14:paraId="2EFC2D01" w14:textId="77777777" w:rsidR="00BF3D2C" w:rsidRPr="000D5746" w:rsidRDefault="00BF3D2C" w:rsidP="00BF3D2C">
      <w:pPr>
        <w:rPr>
          <w:bCs/>
          <w:color w:val="auto"/>
        </w:rPr>
      </w:pPr>
      <w:r w:rsidRPr="000D5746">
        <w:rPr>
          <w:bCs/>
          <w:color w:val="auto"/>
        </w:rPr>
        <w:t xml:space="preserve">Inspect </w:t>
      </w:r>
      <w:proofErr w:type="spellStart"/>
      <w:r w:rsidRPr="000D5746">
        <w:rPr>
          <w:bCs/>
          <w:color w:val="auto"/>
        </w:rPr>
        <w:t>casirivimab</w:t>
      </w:r>
      <w:proofErr w:type="spellEnd"/>
      <w:r w:rsidRPr="000D5746">
        <w:rPr>
          <w:bCs/>
          <w:color w:val="auto"/>
        </w:rPr>
        <w:t xml:space="preserve"> and </w:t>
      </w:r>
      <w:proofErr w:type="spellStart"/>
      <w:r w:rsidRPr="000D5746">
        <w:rPr>
          <w:bCs/>
          <w:color w:val="auto"/>
        </w:rPr>
        <w:t>imdevimab</w:t>
      </w:r>
      <w:proofErr w:type="spellEnd"/>
      <w:r w:rsidRPr="000D5746">
        <w:rPr>
          <w:bCs/>
          <w:color w:val="auto"/>
        </w:rPr>
        <w:t xml:space="preserve"> vial(s) visually for particulate matter and discoloration prior to administration. Should either be observed, the vial must be discarded and replaced with a new vial. The solution for each vial should be clear to slightly opalescent, </w:t>
      </w:r>
      <w:proofErr w:type="spellStart"/>
      <w:r w:rsidRPr="000D5746">
        <w:rPr>
          <w:bCs/>
          <w:color w:val="auto"/>
        </w:rPr>
        <w:t>colorless</w:t>
      </w:r>
      <w:proofErr w:type="spellEnd"/>
      <w:r w:rsidRPr="000D5746">
        <w:rPr>
          <w:bCs/>
          <w:color w:val="auto"/>
        </w:rPr>
        <w:t xml:space="preserve"> to pale yellow.</w:t>
      </w:r>
    </w:p>
    <w:p w14:paraId="1B574FD7" w14:textId="77777777" w:rsidR="00BF3D2C" w:rsidRPr="000D5746" w:rsidRDefault="00BF3D2C" w:rsidP="00BF3D2C">
      <w:pPr>
        <w:rPr>
          <w:bCs/>
          <w:color w:val="auto"/>
        </w:rPr>
      </w:pPr>
    </w:p>
    <w:p w14:paraId="7F9EA1BA" w14:textId="6733FD11" w:rsidR="00BF3D2C" w:rsidRPr="000D5746" w:rsidRDefault="00BF3D2C" w:rsidP="00BF3D2C">
      <w:pPr>
        <w:ind w:left="567" w:hanging="567"/>
        <w:rPr>
          <w:bCs/>
          <w:color w:val="auto"/>
        </w:rPr>
      </w:pPr>
      <w:r w:rsidRPr="000D5746">
        <w:rPr>
          <w:bCs/>
          <w:color w:val="auto"/>
        </w:rPr>
        <w:t>1.</w:t>
      </w:r>
      <w:r w:rsidRPr="000D5746">
        <w:rPr>
          <w:bCs/>
          <w:color w:val="auto"/>
        </w:rPr>
        <w:tab/>
      </w:r>
      <w:proofErr w:type="spellStart"/>
      <w:r w:rsidRPr="000D5746">
        <w:rPr>
          <w:bCs/>
          <w:color w:val="auto"/>
        </w:rPr>
        <w:t>Ronapreve</w:t>
      </w:r>
      <w:proofErr w:type="spellEnd"/>
      <w:r w:rsidRPr="000D5746">
        <w:rPr>
          <w:bCs/>
          <w:color w:val="auto"/>
        </w:rPr>
        <w:t xml:space="preserve"> should be prepared using the appropriate number of syringes (see Table 3). Obtain 3 mL or 5 mL polypropylene syringes with </w:t>
      </w:r>
      <w:proofErr w:type="spellStart"/>
      <w:r w:rsidRPr="000D5746">
        <w:rPr>
          <w:bCs/>
          <w:color w:val="auto"/>
        </w:rPr>
        <w:t>luer</w:t>
      </w:r>
      <w:proofErr w:type="spellEnd"/>
      <w:r w:rsidRPr="000D5746">
        <w:rPr>
          <w:bCs/>
          <w:color w:val="auto"/>
        </w:rPr>
        <w:t xml:space="preserve"> connection and 21-gauge transfer needles.</w:t>
      </w:r>
    </w:p>
    <w:p w14:paraId="03AF4660" w14:textId="1C40141C" w:rsidR="00BF3D2C" w:rsidRPr="000D5746" w:rsidRDefault="00BF3D2C" w:rsidP="00BF3D2C">
      <w:pPr>
        <w:ind w:left="567" w:hanging="567"/>
        <w:rPr>
          <w:bCs/>
          <w:color w:val="auto"/>
        </w:rPr>
      </w:pPr>
      <w:r w:rsidRPr="000D5746">
        <w:rPr>
          <w:bCs/>
          <w:color w:val="auto"/>
        </w:rPr>
        <w:lastRenderedPageBreak/>
        <w:t>2.</w:t>
      </w:r>
      <w:r w:rsidRPr="000D5746">
        <w:rPr>
          <w:bCs/>
          <w:color w:val="auto"/>
        </w:rPr>
        <w:tab/>
        <w:t xml:space="preserve">Withdraw the appropriate volume of </w:t>
      </w:r>
      <w:proofErr w:type="spellStart"/>
      <w:r w:rsidRPr="000D5746">
        <w:rPr>
          <w:bCs/>
          <w:color w:val="auto"/>
        </w:rPr>
        <w:t>casirivimab</w:t>
      </w:r>
      <w:proofErr w:type="spellEnd"/>
      <w:r w:rsidRPr="000D5746">
        <w:rPr>
          <w:bCs/>
          <w:color w:val="auto"/>
        </w:rPr>
        <w:t xml:space="preserve"> and </w:t>
      </w:r>
      <w:proofErr w:type="spellStart"/>
      <w:r w:rsidRPr="000D5746">
        <w:rPr>
          <w:bCs/>
          <w:color w:val="auto"/>
        </w:rPr>
        <w:t>imdevimab</w:t>
      </w:r>
      <w:proofErr w:type="spellEnd"/>
      <w:r w:rsidRPr="000D5746">
        <w:rPr>
          <w:bCs/>
          <w:color w:val="auto"/>
        </w:rPr>
        <w:t xml:space="preserve"> from each respective vial into each syringe (see Table 3</w:t>
      </w:r>
      <w:r w:rsidRPr="000D5746">
        <w:rPr>
          <w:bCs/>
          <w:color w:val="auto"/>
        </w:rPr>
        <w:fldChar w:fldCharType="begin"/>
      </w:r>
      <w:r w:rsidRPr="000D5746">
        <w:rPr>
          <w:bCs/>
          <w:color w:val="auto"/>
        </w:rPr>
        <w:instrText xml:space="preserve"> REF _Ref74335391 \h  \* MERGEFORMAT </w:instrText>
      </w:r>
      <w:r w:rsidRPr="000D5746">
        <w:rPr>
          <w:bCs/>
          <w:color w:val="auto"/>
        </w:rPr>
      </w:r>
      <w:r w:rsidRPr="000D5746">
        <w:rPr>
          <w:bCs/>
          <w:color w:val="auto"/>
        </w:rPr>
        <w:fldChar w:fldCharType="end"/>
      </w:r>
      <w:r w:rsidRPr="000D5746">
        <w:rPr>
          <w:bCs/>
          <w:color w:val="auto"/>
        </w:rPr>
        <w:t xml:space="preserve">) for a total of 4 syringes for the 1 200 mg combined total dose and a total of 2 syringes for the 600 mg combined total dose. </w:t>
      </w:r>
      <w:r w:rsidR="00C41711">
        <w:rPr>
          <w:bCs/>
          <w:color w:val="auto"/>
        </w:rPr>
        <w:t>For</w:t>
      </w:r>
      <w:r w:rsidR="00C41711" w:rsidRPr="000D5746">
        <w:rPr>
          <w:bCs/>
          <w:color w:val="auto"/>
        </w:rPr>
        <w:t xml:space="preserve"> </w:t>
      </w:r>
      <w:r w:rsidRPr="000D5746">
        <w:rPr>
          <w:bCs/>
          <w:color w:val="auto"/>
        </w:rPr>
        <w:t xml:space="preserve">any remaining product </w:t>
      </w:r>
      <w:r w:rsidR="00C41711">
        <w:rPr>
          <w:bCs/>
          <w:color w:val="auto"/>
        </w:rPr>
        <w:t xml:space="preserve">in the vial, following the </w:t>
      </w:r>
      <w:proofErr w:type="gramStart"/>
      <w:r w:rsidR="00C41711">
        <w:rPr>
          <w:bCs/>
          <w:color w:val="auto"/>
        </w:rPr>
        <w:t xml:space="preserve">instructions </w:t>
      </w:r>
      <w:r w:rsidRPr="000D5746">
        <w:rPr>
          <w:bCs/>
          <w:color w:val="auto"/>
        </w:rPr>
        <w:t xml:space="preserve"> in</w:t>
      </w:r>
      <w:proofErr w:type="gramEnd"/>
      <w:r w:rsidRPr="000D5746">
        <w:rPr>
          <w:bCs/>
          <w:color w:val="auto"/>
        </w:rPr>
        <w:t xml:space="preserve"> </w:t>
      </w:r>
      <w:r w:rsidRPr="00C41711">
        <w:rPr>
          <w:bCs/>
          <w:color w:val="auto"/>
        </w:rPr>
        <w:t>Section 6.</w:t>
      </w:r>
      <w:r w:rsidR="00C41711" w:rsidRPr="00C41711">
        <w:rPr>
          <w:bCs/>
          <w:color w:val="auto"/>
        </w:rPr>
        <w:t>4</w:t>
      </w:r>
      <w:r w:rsidRPr="00C41711">
        <w:rPr>
          <w:bCs/>
          <w:color w:val="auto"/>
        </w:rPr>
        <w:t>.</w:t>
      </w:r>
      <w:r w:rsidRPr="000D5746">
        <w:rPr>
          <w:bCs/>
          <w:color w:val="auto"/>
        </w:rPr>
        <w:t xml:space="preserve"> </w:t>
      </w:r>
    </w:p>
    <w:p w14:paraId="762B7044" w14:textId="77777777" w:rsidR="00BF3D2C" w:rsidRPr="000D5746" w:rsidRDefault="00BF3D2C" w:rsidP="00BF3D2C">
      <w:pPr>
        <w:ind w:left="567" w:hanging="567"/>
        <w:rPr>
          <w:bCs/>
          <w:color w:val="auto"/>
        </w:rPr>
      </w:pPr>
      <w:r w:rsidRPr="000D5746">
        <w:rPr>
          <w:bCs/>
          <w:color w:val="auto"/>
        </w:rPr>
        <w:t>3.</w:t>
      </w:r>
      <w:r w:rsidRPr="000D5746">
        <w:rPr>
          <w:bCs/>
          <w:color w:val="auto"/>
        </w:rPr>
        <w:tab/>
        <w:t>Replace the 21-gauge transfer needle with a 25-gauge or 27-gauge needle for subcutaneous injection.</w:t>
      </w:r>
    </w:p>
    <w:p w14:paraId="7B7EE506" w14:textId="7F26B16F" w:rsidR="00BF3D2C" w:rsidRDefault="00BF3D2C" w:rsidP="00BF3D2C">
      <w:pPr>
        <w:ind w:left="567" w:hanging="567"/>
        <w:rPr>
          <w:bCs/>
          <w:color w:val="auto"/>
        </w:rPr>
      </w:pPr>
      <w:r w:rsidRPr="000D5746">
        <w:rPr>
          <w:bCs/>
          <w:color w:val="auto"/>
        </w:rPr>
        <w:t>4.</w:t>
      </w:r>
      <w:r w:rsidRPr="000D5746">
        <w:rPr>
          <w:bCs/>
          <w:color w:val="auto"/>
        </w:rPr>
        <w:tab/>
        <w:t xml:space="preserve">This product is preservative-free and therefore, the prepared syringes should be administered immediately. If immediate administration is not possible, store the prepared </w:t>
      </w:r>
      <w:proofErr w:type="spellStart"/>
      <w:r w:rsidRPr="000D5746">
        <w:rPr>
          <w:bCs/>
          <w:color w:val="auto"/>
        </w:rPr>
        <w:t>casirivimab</w:t>
      </w:r>
      <w:proofErr w:type="spellEnd"/>
      <w:r w:rsidRPr="000D5746">
        <w:rPr>
          <w:bCs/>
          <w:color w:val="auto"/>
        </w:rPr>
        <w:t xml:space="preserve"> and </w:t>
      </w:r>
      <w:proofErr w:type="spellStart"/>
      <w:r w:rsidRPr="000D5746">
        <w:rPr>
          <w:bCs/>
          <w:color w:val="auto"/>
        </w:rPr>
        <w:t>imdevimab</w:t>
      </w:r>
      <w:proofErr w:type="spellEnd"/>
      <w:r w:rsidRPr="000D5746">
        <w:rPr>
          <w:bCs/>
          <w:color w:val="auto"/>
        </w:rPr>
        <w:t xml:space="preserve"> syringes at 2 ºC to 8 ºC for no more than </w:t>
      </w:r>
      <w:r w:rsidR="00C41711">
        <w:rPr>
          <w:bCs/>
          <w:color w:val="auto"/>
        </w:rPr>
        <w:t>24</w:t>
      </w:r>
      <w:r w:rsidR="00C41711" w:rsidRPr="000D5746">
        <w:rPr>
          <w:bCs/>
          <w:color w:val="auto"/>
        </w:rPr>
        <w:t> </w:t>
      </w:r>
      <w:r w:rsidRPr="000D5746">
        <w:rPr>
          <w:bCs/>
          <w:color w:val="auto"/>
        </w:rPr>
        <w:t xml:space="preserve">hours and at room temperature up to 25 ºC for no more than </w:t>
      </w:r>
      <w:r w:rsidR="00C41711">
        <w:rPr>
          <w:bCs/>
          <w:color w:val="auto"/>
        </w:rPr>
        <w:t>6</w:t>
      </w:r>
      <w:r w:rsidR="00C41711" w:rsidRPr="000D5746">
        <w:rPr>
          <w:bCs/>
          <w:color w:val="auto"/>
        </w:rPr>
        <w:t> </w:t>
      </w:r>
      <w:r w:rsidRPr="000D5746">
        <w:rPr>
          <w:bCs/>
          <w:color w:val="auto"/>
        </w:rPr>
        <w:t>hours. If refrigerated, allow the syringes to equilibrate to room temperature for approximately 10 - 15 minutes prior to administration.</w:t>
      </w:r>
    </w:p>
    <w:p w14:paraId="2339D3C8" w14:textId="24BB4192" w:rsidR="000E3B5F" w:rsidRDefault="000E3B5F" w:rsidP="00BF3D2C">
      <w:pPr>
        <w:ind w:left="567" w:hanging="567"/>
        <w:rPr>
          <w:bCs/>
          <w:color w:val="auto"/>
        </w:rPr>
      </w:pPr>
    </w:p>
    <w:p w14:paraId="781570D4" w14:textId="77777777" w:rsidR="000E3B5F" w:rsidRPr="004663D3" w:rsidDel="00367961" w:rsidRDefault="000E3B5F" w:rsidP="000E3B5F">
      <w:pPr>
        <w:spacing w:after="120"/>
        <w:ind w:left="907" w:hanging="907"/>
        <w:rPr>
          <w:b/>
        </w:rPr>
      </w:pPr>
      <w:r w:rsidRPr="004663D3" w:rsidDel="00367961">
        <w:rPr>
          <w:b/>
        </w:rPr>
        <w:t>Table 3:</w:t>
      </w:r>
      <w:r w:rsidRPr="004663D3" w:rsidDel="00367961">
        <w:rPr>
          <w:b/>
        </w:rPr>
        <w:tab/>
        <w:t xml:space="preserve">Preparation of </w:t>
      </w:r>
      <w:proofErr w:type="spellStart"/>
      <w:r w:rsidRPr="004663D3" w:rsidDel="00367961">
        <w:rPr>
          <w:b/>
        </w:rPr>
        <w:t>Ronapreve</w:t>
      </w:r>
      <w:proofErr w:type="spellEnd"/>
      <w:r w:rsidRPr="004663D3" w:rsidDel="00367961">
        <w:rPr>
          <w:b/>
        </w:rPr>
        <w:t xml:space="preserve"> (</w:t>
      </w:r>
      <w:proofErr w:type="spellStart"/>
      <w:r w:rsidRPr="004663D3" w:rsidDel="00367961">
        <w:rPr>
          <w:b/>
        </w:rPr>
        <w:t>casirivimab</w:t>
      </w:r>
      <w:proofErr w:type="spellEnd"/>
      <w:r w:rsidRPr="004663D3" w:rsidDel="00367961">
        <w:rPr>
          <w:b/>
        </w:rPr>
        <w:t xml:space="preserve"> and </w:t>
      </w:r>
      <w:proofErr w:type="spellStart"/>
      <w:r w:rsidRPr="004663D3" w:rsidDel="00367961">
        <w:rPr>
          <w:b/>
        </w:rPr>
        <w:t>imdevimab</w:t>
      </w:r>
      <w:proofErr w:type="spellEnd"/>
      <w:r w:rsidRPr="004663D3" w:rsidDel="00367961">
        <w:rPr>
          <w:b/>
        </w:rPr>
        <w:t>) for subcutaneous injection</w:t>
      </w:r>
    </w:p>
    <w:tbl>
      <w:tblPr>
        <w:tblW w:w="9490" w:type="dxa"/>
        <w:jc w:val="center"/>
        <w:tblCellMar>
          <w:left w:w="0" w:type="dxa"/>
          <w:right w:w="0" w:type="dxa"/>
        </w:tblCellMar>
        <w:tblLook w:val="04A0" w:firstRow="1" w:lastRow="0" w:firstColumn="1" w:lastColumn="0" w:noHBand="0" w:noVBand="1"/>
      </w:tblPr>
      <w:tblGrid>
        <w:gridCol w:w="1268"/>
        <w:gridCol w:w="1964"/>
        <w:gridCol w:w="900"/>
        <w:gridCol w:w="5358"/>
      </w:tblGrid>
      <w:tr w:rsidR="000E3B5F" w:rsidRPr="00BB43EC" w:rsidDel="00367961" w14:paraId="181FB32E" w14:textId="77777777" w:rsidTr="0067390C">
        <w:trPr>
          <w:trHeight w:val="315"/>
          <w:jc w:val="center"/>
        </w:trPr>
        <w:tc>
          <w:tcPr>
            <w:tcW w:w="12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99665DB" w14:textId="77777777" w:rsidR="000E3B5F" w:rsidRPr="00BB43EC" w:rsidDel="00367961" w:rsidRDefault="000E3B5F" w:rsidP="0067390C">
            <w:pPr>
              <w:keepNext/>
              <w:keepLines/>
              <w:ind w:left="27" w:hanging="9"/>
              <w:rPr>
                <w:b/>
                <w:sz w:val="22"/>
                <w:szCs w:val="22"/>
                <w:lang w:eastAsia="en-US"/>
              </w:rPr>
            </w:pPr>
            <w:r w:rsidRPr="00BB43EC" w:rsidDel="00367961">
              <w:rPr>
                <w:b/>
                <w:sz w:val="22"/>
                <w:szCs w:val="22"/>
                <w:lang w:eastAsia="en-US"/>
              </w:rPr>
              <w:t>Indication</w:t>
            </w:r>
          </w:p>
        </w:tc>
        <w:tc>
          <w:tcPr>
            <w:tcW w:w="1964" w:type="dxa"/>
            <w:tcBorders>
              <w:top w:val="single" w:sz="6" w:space="0" w:color="000000"/>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hideMark/>
          </w:tcPr>
          <w:p w14:paraId="49CE71AD" w14:textId="77777777" w:rsidR="000E3B5F" w:rsidRPr="00BB43EC" w:rsidDel="00367961" w:rsidRDefault="000E3B5F" w:rsidP="0067390C">
            <w:pPr>
              <w:keepNext/>
              <w:keepLines/>
              <w:rPr>
                <w:b/>
                <w:sz w:val="22"/>
                <w:szCs w:val="22"/>
                <w:lang w:eastAsia="en-US"/>
              </w:rPr>
            </w:pPr>
            <w:proofErr w:type="spellStart"/>
            <w:r w:rsidRPr="00BB43EC" w:rsidDel="00367961">
              <w:rPr>
                <w:b/>
                <w:sz w:val="22"/>
                <w:szCs w:val="22"/>
                <w:lang w:eastAsia="en-US"/>
              </w:rPr>
              <w:t>Ronapreve</w:t>
            </w:r>
            <w:proofErr w:type="spellEnd"/>
            <w:r w:rsidRPr="00BB43EC" w:rsidDel="00367961">
              <w:rPr>
                <w:b/>
                <w:sz w:val="22"/>
                <w:szCs w:val="22"/>
                <w:lang w:eastAsia="en-US"/>
              </w:rPr>
              <w:t xml:space="preserve"> Dose (Total)</w:t>
            </w:r>
          </w:p>
        </w:tc>
        <w:tc>
          <w:tcPr>
            <w:tcW w:w="900" w:type="dxa"/>
            <w:tcBorders>
              <w:top w:val="single" w:sz="6" w:space="0" w:color="000000"/>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14:paraId="0FEBE200" w14:textId="77777777" w:rsidR="000E3B5F" w:rsidRPr="00BB43EC" w:rsidDel="00367961" w:rsidRDefault="000E3B5F" w:rsidP="0067390C">
            <w:pPr>
              <w:keepNext/>
              <w:keepLines/>
              <w:rPr>
                <w:b/>
                <w:sz w:val="22"/>
                <w:szCs w:val="22"/>
                <w:lang w:eastAsia="en-US"/>
              </w:rPr>
            </w:pPr>
            <w:r w:rsidRPr="00BB43EC" w:rsidDel="00367961">
              <w:rPr>
                <w:b/>
                <w:sz w:val="22"/>
                <w:szCs w:val="22"/>
                <w:lang w:eastAsia="en-US"/>
              </w:rPr>
              <w:t>Total Volume for 1 Dose</w:t>
            </w:r>
          </w:p>
        </w:tc>
        <w:tc>
          <w:tcPr>
            <w:tcW w:w="5358" w:type="dxa"/>
            <w:tcBorders>
              <w:top w:val="single" w:sz="6" w:space="0" w:color="000000"/>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14:paraId="6749DFE8" w14:textId="77777777" w:rsidR="000E3B5F" w:rsidRPr="00BB43EC" w:rsidDel="00367961" w:rsidRDefault="000E3B5F" w:rsidP="0067390C">
            <w:pPr>
              <w:keepNext/>
              <w:keepLines/>
              <w:rPr>
                <w:b/>
                <w:sz w:val="22"/>
                <w:szCs w:val="22"/>
                <w:lang w:eastAsia="en-US"/>
              </w:rPr>
            </w:pPr>
            <w:r w:rsidRPr="00BB43EC" w:rsidDel="00367961">
              <w:rPr>
                <w:b/>
                <w:sz w:val="22"/>
                <w:szCs w:val="22"/>
                <w:lang w:eastAsia="en-US"/>
              </w:rPr>
              <w:t>Volume to be withdrawn to prepare 4 syringes</w:t>
            </w:r>
          </w:p>
        </w:tc>
      </w:tr>
      <w:tr w:rsidR="000E3B5F" w:rsidRPr="00BB43EC" w:rsidDel="00367961" w14:paraId="4782C091" w14:textId="77777777" w:rsidTr="0067390C">
        <w:trPr>
          <w:trHeight w:val="405"/>
          <w:jc w:val="center"/>
        </w:trPr>
        <w:tc>
          <w:tcPr>
            <w:tcW w:w="1268" w:type="dxa"/>
            <w:vMerge w:val="restart"/>
            <w:tcBorders>
              <w:top w:val="single" w:sz="6" w:space="0" w:color="CCCCCC"/>
              <w:left w:val="single" w:sz="6" w:space="0" w:color="000000"/>
              <w:right w:val="single" w:sz="6" w:space="0" w:color="000000"/>
            </w:tcBorders>
            <w:vAlign w:val="center"/>
          </w:tcPr>
          <w:p w14:paraId="1329B4C5" w14:textId="46022F18" w:rsidR="000E3B5F" w:rsidRPr="00BB43EC" w:rsidDel="00367961" w:rsidRDefault="000E3B5F" w:rsidP="006608B6">
            <w:pPr>
              <w:keepNext/>
              <w:keepLines/>
              <w:ind w:left="27" w:hanging="9"/>
              <w:rPr>
                <w:sz w:val="22"/>
                <w:szCs w:val="22"/>
                <w:lang w:eastAsia="en-US"/>
              </w:rPr>
            </w:pPr>
            <w:r w:rsidRPr="00BB43EC" w:rsidDel="00367961">
              <w:rPr>
                <w:sz w:val="22"/>
                <w:szCs w:val="22"/>
                <w:lang w:eastAsia="en-US"/>
              </w:rPr>
              <w:t xml:space="preserve">Treatment and </w:t>
            </w:r>
            <w:r w:rsidR="006608B6">
              <w:rPr>
                <w:sz w:val="22"/>
                <w:szCs w:val="22"/>
                <w:lang w:eastAsia="en-US"/>
              </w:rPr>
              <w:t>Post-exposure prophylaxis</w:t>
            </w:r>
            <w:r w:rsidRPr="00BB43EC" w:rsidDel="00367961">
              <w:rPr>
                <w:sz w:val="22"/>
                <w:szCs w:val="22"/>
                <w:lang w:eastAsia="en-US"/>
              </w:rPr>
              <w:t xml:space="preserve"> </w:t>
            </w:r>
            <w:r w:rsidR="006608B6">
              <w:rPr>
                <w:sz w:val="22"/>
                <w:szCs w:val="22"/>
                <w:lang w:eastAsia="en-US"/>
              </w:rPr>
              <w:t>(</w:t>
            </w:r>
            <w:r w:rsidRPr="00BB43EC" w:rsidDel="00367961">
              <w:rPr>
                <w:sz w:val="22"/>
                <w:szCs w:val="22"/>
                <w:lang w:eastAsia="en-US"/>
              </w:rPr>
              <w:t>single dose</w:t>
            </w:r>
            <w:r w:rsidR="006608B6">
              <w:rPr>
                <w:sz w:val="22"/>
                <w:szCs w:val="22"/>
                <w:lang w:eastAsia="en-US"/>
              </w:rPr>
              <w:t>)</w:t>
            </w:r>
          </w:p>
        </w:tc>
        <w:tc>
          <w:tcPr>
            <w:tcW w:w="1964" w:type="dxa"/>
            <w:vMerge w:val="restart"/>
            <w:tcBorders>
              <w:top w:val="single" w:sz="6" w:space="0" w:color="CCCCCC"/>
              <w:left w:val="single" w:sz="6" w:space="0" w:color="000000"/>
              <w:right w:val="single" w:sz="6" w:space="0" w:color="000000"/>
            </w:tcBorders>
            <w:tcMar>
              <w:top w:w="30" w:type="dxa"/>
              <w:left w:w="45" w:type="dxa"/>
              <w:bottom w:w="30" w:type="dxa"/>
              <w:right w:w="45" w:type="dxa"/>
            </w:tcMar>
            <w:vAlign w:val="center"/>
          </w:tcPr>
          <w:p w14:paraId="4208A0DD" w14:textId="77777777" w:rsidR="000E3B5F" w:rsidRPr="00BB43EC" w:rsidDel="00367961" w:rsidRDefault="000E3B5F" w:rsidP="0067390C">
            <w:pPr>
              <w:keepNext/>
              <w:keepLines/>
              <w:rPr>
                <w:sz w:val="22"/>
                <w:szCs w:val="22"/>
                <w:lang w:eastAsia="en-US"/>
              </w:rPr>
            </w:pPr>
            <w:r w:rsidRPr="00BB43EC" w:rsidDel="00367961">
              <w:rPr>
                <w:sz w:val="22"/>
                <w:szCs w:val="22"/>
                <w:lang w:eastAsia="en-US"/>
              </w:rPr>
              <w:t xml:space="preserve">600 mg </w:t>
            </w:r>
            <w:proofErr w:type="spellStart"/>
            <w:r w:rsidRPr="00BB43EC" w:rsidDel="00367961">
              <w:rPr>
                <w:sz w:val="22"/>
                <w:szCs w:val="22"/>
                <w:lang w:eastAsia="en-US"/>
              </w:rPr>
              <w:t>casirivimab</w:t>
            </w:r>
            <w:proofErr w:type="spellEnd"/>
            <w:r w:rsidRPr="00BB43EC" w:rsidDel="00367961">
              <w:rPr>
                <w:sz w:val="22"/>
                <w:szCs w:val="22"/>
                <w:lang w:eastAsia="en-US"/>
              </w:rPr>
              <w:t xml:space="preserve"> and</w:t>
            </w:r>
          </w:p>
          <w:p w14:paraId="60101A12" w14:textId="77777777" w:rsidR="000E3B5F" w:rsidRPr="00BB43EC" w:rsidDel="00367961" w:rsidRDefault="000E3B5F" w:rsidP="0067390C">
            <w:pPr>
              <w:keepNext/>
              <w:keepLines/>
              <w:rPr>
                <w:sz w:val="22"/>
                <w:szCs w:val="22"/>
                <w:lang w:eastAsia="en-US"/>
              </w:rPr>
            </w:pPr>
            <w:r w:rsidRPr="00BB43EC" w:rsidDel="00367961">
              <w:rPr>
                <w:sz w:val="22"/>
                <w:szCs w:val="22"/>
                <w:lang w:eastAsia="en-US"/>
              </w:rPr>
              <w:t xml:space="preserve">600 mg </w:t>
            </w:r>
            <w:proofErr w:type="spellStart"/>
            <w:r w:rsidRPr="00BB43EC" w:rsidDel="00367961">
              <w:rPr>
                <w:sz w:val="22"/>
                <w:szCs w:val="22"/>
                <w:lang w:eastAsia="en-US"/>
              </w:rPr>
              <w:t>imdevimab</w:t>
            </w:r>
            <w:proofErr w:type="spellEnd"/>
          </w:p>
          <w:p w14:paraId="64C511EF" w14:textId="77777777" w:rsidR="000E3B5F" w:rsidRPr="00BB43EC" w:rsidDel="00367961" w:rsidRDefault="000E3B5F" w:rsidP="0067390C">
            <w:pPr>
              <w:keepNext/>
              <w:keepLines/>
              <w:rPr>
                <w:sz w:val="22"/>
                <w:szCs w:val="22"/>
                <w:lang w:eastAsia="en-US"/>
              </w:rPr>
            </w:pPr>
            <w:r w:rsidRPr="00BB43EC" w:rsidDel="00367961">
              <w:rPr>
                <w:sz w:val="22"/>
                <w:szCs w:val="22"/>
                <w:lang w:eastAsia="en-US"/>
              </w:rPr>
              <w:t>(1 200 mg dose)</w:t>
            </w:r>
          </w:p>
        </w:tc>
        <w:tc>
          <w:tcPr>
            <w:tcW w:w="900" w:type="dxa"/>
            <w:vMerge w:val="restart"/>
            <w:tcBorders>
              <w:top w:val="single" w:sz="6" w:space="0" w:color="CCCCCC"/>
              <w:left w:val="single" w:sz="6" w:space="0" w:color="CCCCCC"/>
              <w:right w:val="single" w:sz="6" w:space="0" w:color="000000"/>
            </w:tcBorders>
            <w:tcMar>
              <w:top w:w="30" w:type="dxa"/>
              <w:left w:w="45" w:type="dxa"/>
              <w:bottom w:w="30" w:type="dxa"/>
              <w:right w:w="45" w:type="dxa"/>
            </w:tcMar>
            <w:vAlign w:val="center"/>
          </w:tcPr>
          <w:p w14:paraId="774DDF27" w14:textId="77777777" w:rsidR="000E3B5F" w:rsidRPr="00BB43EC" w:rsidDel="00367961" w:rsidRDefault="000E3B5F" w:rsidP="0067390C">
            <w:pPr>
              <w:keepNext/>
              <w:keepLines/>
              <w:rPr>
                <w:sz w:val="22"/>
                <w:szCs w:val="22"/>
                <w:lang w:eastAsia="en-US"/>
              </w:rPr>
            </w:pPr>
            <w:r w:rsidRPr="00BB43EC" w:rsidDel="00367961">
              <w:rPr>
                <w:sz w:val="22"/>
                <w:szCs w:val="22"/>
                <w:lang w:eastAsia="en-US"/>
              </w:rPr>
              <w:t>10 mL</w:t>
            </w:r>
          </w:p>
        </w:tc>
        <w:tc>
          <w:tcPr>
            <w:tcW w:w="535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176D980" w14:textId="77777777" w:rsidR="000E3B5F" w:rsidRPr="00BB43EC" w:rsidDel="00367961" w:rsidRDefault="000E3B5F" w:rsidP="0067390C">
            <w:pPr>
              <w:keepNext/>
              <w:keepLines/>
              <w:rPr>
                <w:sz w:val="22"/>
                <w:szCs w:val="22"/>
                <w:lang w:eastAsia="en-US"/>
              </w:rPr>
            </w:pPr>
            <w:r w:rsidRPr="00BB43EC" w:rsidDel="00367961">
              <w:rPr>
                <w:sz w:val="22"/>
                <w:szCs w:val="22"/>
                <w:lang w:eastAsia="en-US"/>
              </w:rPr>
              <w:t xml:space="preserve">2.5 mL from two 6 mL single-use vials of </w:t>
            </w:r>
            <w:proofErr w:type="spellStart"/>
            <w:r w:rsidRPr="00BB43EC" w:rsidDel="00367961">
              <w:rPr>
                <w:sz w:val="22"/>
                <w:szCs w:val="22"/>
                <w:lang w:eastAsia="en-US"/>
              </w:rPr>
              <w:t>casirivimab</w:t>
            </w:r>
            <w:proofErr w:type="spellEnd"/>
            <w:r w:rsidRPr="00BB43EC" w:rsidDel="00367961">
              <w:rPr>
                <w:sz w:val="22"/>
                <w:szCs w:val="22"/>
                <w:lang w:eastAsia="en-US"/>
              </w:rPr>
              <w:br/>
              <w:t xml:space="preserve">2.5 mL from two 6 mL single-use vials of </w:t>
            </w:r>
            <w:proofErr w:type="spellStart"/>
            <w:r w:rsidRPr="00BB43EC" w:rsidDel="00367961">
              <w:rPr>
                <w:sz w:val="22"/>
                <w:szCs w:val="22"/>
                <w:lang w:eastAsia="en-US"/>
              </w:rPr>
              <w:t>imdevimab</w:t>
            </w:r>
            <w:proofErr w:type="spellEnd"/>
          </w:p>
        </w:tc>
      </w:tr>
      <w:tr w:rsidR="000E3B5F" w:rsidRPr="00BB43EC" w:rsidDel="00367961" w14:paraId="42B91D99" w14:textId="77777777" w:rsidTr="0067390C">
        <w:trPr>
          <w:trHeight w:val="176"/>
          <w:jc w:val="center"/>
        </w:trPr>
        <w:tc>
          <w:tcPr>
            <w:tcW w:w="1268" w:type="dxa"/>
            <w:vMerge/>
            <w:tcBorders>
              <w:left w:val="single" w:sz="6" w:space="0" w:color="000000"/>
              <w:bottom w:val="single" w:sz="4" w:space="0" w:color="auto"/>
              <w:right w:val="single" w:sz="6" w:space="0" w:color="000000"/>
            </w:tcBorders>
            <w:vAlign w:val="center"/>
          </w:tcPr>
          <w:p w14:paraId="1DC4B036" w14:textId="77777777" w:rsidR="000E3B5F" w:rsidRPr="00BB43EC" w:rsidDel="00367961" w:rsidRDefault="000E3B5F" w:rsidP="0067390C">
            <w:pPr>
              <w:keepNext/>
              <w:keepLines/>
              <w:ind w:left="27" w:hanging="9"/>
              <w:rPr>
                <w:sz w:val="22"/>
                <w:szCs w:val="22"/>
                <w:lang w:eastAsia="en-US"/>
              </w:rPr>
            </w:pPr>
          </w:p>
        </w:tc>
        <w:tc>
          <w:tcPr>
            <w:tcW w:w="1964" w:type="dxa"/>
            <w:vMerge/>
            <w:tcBorders>
              <w:left w:val="single" w:sz="6" w:space="0" w:color="000000"/>
              <w:bottom w:val="single" w:sz="4" w:space="0" w:color="auto"/>
              <w:right w:val="single" w:sz="6" w:space="0" w:color="000000"/>
            </w:tcBorders>
            <w:tcMar>
              <w:top w:w="30" w:type="dxa"/>
              <w:left w:w="45" w:type="dxa"/>
              <w:bottom w:w="30" w:type="dxa"/>
              <w:right w:w="45" w:type="dxa"/>
            </w:tcMar>
            <w:vAlign w:val="center"/>
          </w:tcPr>
          <w:p w14:paraId="1DA8CAC1" w14:textId="77777777" w:rsidR="000E3B5F" w:rsidRPr="00BB43EC" w:rsidDel="00367961" w:rsidRDefault="000E3B5F" w:rsidP="0067390C">
            <w:pPr>
              <w:keepNext/>
              <w:keepLines/>
              <w:rPr>
                <w:sz w:val="22"/>
                <w:szCs w:val="22"/>
                <w:lang w:eastAsia="en-US"/>
              </w:rPr>
            </w:pPr>
          </w:p>
        </w:tc>
        <w:tc>
          <w:tcPr>
            <w:tcW w:w="900" w:type="dxa"/>
            <w:vMerge/>
            <w:tcBorders>
              <w:left w:val="single" w:sz="6" w:space="0" w:color="CCCCCC"/>
              <w:bottom w:val="single" w:sz="4" w:space="0" w:color="auto"/>
              <w:right w:val="single" w:sz="6" w:space="0" w:color="000000"/>
            </w:tcBorders>
            <w:tcMar>
              <w:top w:w="30" w:type="dxa"/>
              <w:left w:w="45" w:type="dxa"/>
              <w:bottom w:w="30" w:type="dxa"/>
              <w:right w:w="45" w:type="dxa"/>
            </w:tcMar>
            <w:vAlign w:val="center"/>
          </w:tcPr>
          <w:p w14:paraId="6F771E5C" w14:textId="77777777" w:rsidR="000E3B5F" w:rsidRPr="00BB43EC" w:rsidDel="00367961" w:rsidRDefault="000E3B5F" w:rsidP="0067390C">
            <w:pPr>
              <w:keepNext/>
              <w:keepLines/>
              <w:rPr>
                <w:sz w:val="22"/>
                <w:szCs w:val="22"/>
                <w:lang w:eastAsia="en-US"/>
              </w:rPr>
            </w:pPr>
          </w:p>
        </w:tc>
        <w:tc>
          <w:tcPr>
            <w:tcW w:w="5358" w:type="dxa"/>
            <w:tcBorders>
              <w:top w:val="single" w:sz="4" w:space="0" w:color="auto"/>
              <w:left w:val="single" w:sz="6" w:space="0" w:color="CCCCCC"/>
              <w:bottom w:val="single" w:sz="4" w:space="0" w:color="auto"/>
              <w:right w:val="single" w:sz="6" w:space="0" w:color="000000"/>
            </w:tcBorders>
            <w:tcMar>
              <w:top w:w="30" w:type="dxa"/>
              <w:left w:w="45" w:type="dxa"/>
              <w:bottom w:w="30" w:type="dxa"/>
              <w:right w:w="45" w:type="dxa"/>
            </w:tcMar>
            <w:vAlign w:val="bottom"/>
          </w:tcPr>
          <w:p w14:paraId="47D49DDE" w14:textId="116F9478" w:rsidR="000E3B5F" w:rsidRPr="00BB43EC" w:rsidDel="00367961" w:rsidRDefault="00B8096C" w:rsidP="0067390C">
            <w:pPr>
              <w:keepNext/>
              <w:keepLines/>
              <w:rPr>
                <w:sz w:val="22"/>
                <w:szCs w:val="22"/>
                <w:lang w:eastAsia="en-US"/>
              </w:rPr>
            </w:pPr>
            <w:r w:rsidDel="00367961">
              <w:rPr>
                <w:sz w:val="22"/>
                <w:szCs w:val="22"/>
                <w:lang w:eastAsia="en-US"/>
              </w:rPr>
              <w:t xml:space="preserve">2.5 mL (2x) from one </w:t>
            </w:r>
            <w:r w:rsidRPr="00BB43EC" w:rsidDel="00367961">
              <w:rPr>
                <w:sz w:val="22"/>
                <w:szCs w:val="22"/>
                <w:lang w:eastAsia="en-US"/>
              </w:rPr>
              <w:t xml:space="preserve">20 mL multidose vial of </w:t>
            </w:r>
            <w:proofErr w:type="spellStart"/>
            <w:r w:rsidRPr="00BB43EC" w:rsidDel="00367961">
              <w:rPr>
                <w:sz w:val="22"/>
                <w:szCs w:val="22"/>
                <w:lang w:eastAsia="en-US"/>
              </w:rPr>
              <w:t>casirivimab</w:t>
            </w:r>
            <w:proofErr w:type="spellEnd"/>
            <w:r w:rsidRPr="00BB43EC" w:rsidDel="00367961">
              <w:rPr>
                <w:sz w:val="22"/>
                <w:szCs w:val="22"/>
                <w:lang w:eastAsia="en-US"/>
              </w:rPr>
              <w:br/>
              <w:t xml:space="preserve">2.5 mL (2x) from one 20 mL multidose vial of </w:t>
            </w:r>
            <w:proofErr w:type="spellStart"/>
            <w:r w:rsidRPr="00BB43EC" w:rsidDel="00367961">
              <w:rPr>
                <w:sz w:val="22"/>
                <w:szCs w:val="22"/>
                <w:lang w:eastAsia="en-US"/>
              </w:rPr>
              <w:t>imdevimab</w:t>
            </w:r>
            <w:proofErr w:type="spellEnd"/>
          </w:p>
        </w:tc>
      </w:tr>
      <w:tr w:rsidR="000E3B5F" w:rsidRPr="00BB43EC" w:rsidDel="00367961" w14:paraId="5B00D027" w14:textId="77777777" w:rsidTr="0067390C">
        <w:trPr>
          <w:trHeight w:val="176"/>
          <w:jc w:val="center"/>
        </w:trPr>
        <w:tc>
          <w:tcPr>
            <w:tcW w:w="1268" w:type="dxa"/>
            <w:tcBorders>
              <w:left w:val="single" w:sz="6" w:space="0" w:color="000000"/>
              <w:bottom w:val="single" w:sz="4" w:space="0" w:color="auto"/>
              <w:right w:val="single" w:sz="6" w:space="0" w:color="000000"/>
            </w:tcBorders>
            <w:vAlign w:val="center"/>
          </w:tcPr>
          <w:p w14:paraId="52B14927" w14:textId="77777777" w:rsidR="000E3B5F" w:rsidRPr="00BB43EC" w:rsidDel="00367961" w:rsidRDefault="000E3B5F" w:rsidP="0067390C">
            <w:pPr>
              <w:keepNext/>
              <w:keepLines/>
              <w:ind w:left="27" w:hanging="9"/>
              <w:rPr>
                <w:sz w:val="22"/>
                <w:szCs w:val="22"/>
                <w:lang w:eastAsia="en-US"/>
              </w:rPr>
            </w:pPr>
            <w:r w:rsidRPr="00BB43EC" w:rsidDel="00367961">
              <w:rPr>
                <w:b/>
                <w:sz w:val="22"/>
                <w:szCs w:val="22"/>
                <w:lang w:eastAsia="en-US"/>
              </w:rPr>
              <w:t>Indication</w:t>
            </w:r>
          </w:p>
        </w:tc>
        <w:tc>
          <w:tcPr>
            <w:tcW w:w="1964" w:type="dxa"/>
            <w:tcBorders>
              <w:left w:val="single" w:sz="6" w:space="0" w:color="000000"/>
              <w:bottom w:val="single" w:sz="4" w:space="0" w:color="auto"/>
              <w:right w:val="single" w:sz="6" w:space="0" w:color="000000"/>
            </w:tcBorders>
            <w:tcMar>
              <w:top w:w="30" w:type="dxa"/>
              <w:left w:w="45" w:type="dxa"/>
              <w:bottom w:w="30" w:type="dxa"/>
              <w:right w:w="45" w:type="dxa"/>
            </w:tcMar>
            <w:vAlign w:val="center"/>
          </w:tcPr>
          <w:p w14:paraId="76503D73" w14:textId="77777777" w:rsidR="000E3B5F" w:rsidRPr="00BB43EC" w:rsidDel="00367961" w:rsidRDefault="000E3B5F" w:rsidP="0067390C">
            <w:pPr>
              <w:keepNext/>
              <w:keepLines/>
              <w:rPr>
                <w:sz w:val="22"/>
                <w:szCs w:val="22"/>
                <w:lang w:eastAsia="en-US"/>
              </w:rPr>
            </w:pPr>
            <w:proofErr w:type="spellStart"/>
            <w:r w:rsidRPr="00BB43EC" w:rsidDel="00367961">
              <w:rPr>
                <w:b/>
                <w:sz w:val="22"/>
                <w:szCs w:val="22"/>
                <w:lang w:eastAsia="en-US"/>
              </w:rPr>
              <w:t>Ronapreve</w:t>
            </w:r>
            <w:proofErr w:type="spellEnd"/>
            <w:r w:rsidRPr="00BB43EC" w:rsidDel="00367961">
              <w:rPr>
                <w:b/>
                <w:sz w:val="22"/>
                <w:szCs w:val="22"/>
                <w:lang w:eastAsia="en-US"/>
              </w:rPr>
              <w:t xml:space="preserve"> Dose (Total)</w:t>
            </w:r>
          </w:p>
        </w:tc>
        <w:tc>
          <w:tcPr>
            <w:tcW w:w="900" w:type="dxa"/>
            <w:tcBorders>
              <w:left w:val="single" w:sz="6" w:space="0" w:color="CCCCCC"/>
              <w:bottom w:val="single" w:sz="4" w:space="0" w:color="auto"/>
              <w:right w:val="single" w:sz="6" w:space="0" w:color="000000"/>
            </w:tcBorders>
            <w:tcMar>
              <w:top w:w="30" w:type="dxa"/>
              <w:left w:w="45" w:type="dxa"/>
              <w:bottom w:w="30" w:type="dxa"/>
              <w:right w:w="45" w:type="dxa"/>
            </w:tcMar>
            <w:vAlign w:val="center"/>
          </w:tcPr>
          <w:p w14:paraId="7F524E46" w14:textId="77777777" w:rsidR="000E3B5F" w:rsidRPr="00BB43EC" w:rsidDel="00367961" w:rsidRDefault="000E3B5F" w:rsidP="0067390C">
            <w:pPr>
              <w:keepNext/>
              <w:keepLines/>
              <w:rPr>
                <w:sz w:val="22"/>
                <w:szCs w:val="22"/>
                <w:lang w:eastAsia="en-US"/>
              </w:rPr>
            </w:pPr>
            <w:r w:rsidRPr="00BB43EC" w:rsidDel="00367961">
              <w:rPr>
                <w:b/>
                <w:sz w:val="22"/>
                <w:szCs w:val="22"/>
                <w:lang w:eastAsia="en-US"/>
              </w:rPr>
              <w:t>Total Volume for 1 Dose</w:t>
            </w:r>
          </w:p>
        </w:tc>
        <w:tc>
          <w:tcPr>
            <w:tcW w:w="5358" w:type="dxa"/>
            <w:tcBorders>
              <w:top w:val="single" w:sz="4" w:space="0" w:color="auto"/>
              <w:left w:val="single" w:sz="6" w:space="0" w:color="CCCCCC"/>
              <w:bottom w:val="single" w:sz="4" w:space="0" w:color="auto"/>
              <w:right w:val="single" w:sz="6" w:space="0" w:color="000000"/>
            </w:tcBorders>
            <w:tcMar>
              <w:top w:w="30" w:type="dxa"/>
              <w:left w:w="45" w:type="dxa"/>
              <w:bottom w:w="30" w:type="dxa"/>
              <w:right w:w="45" w:type="dxa"/>
            </w:tcMar>
            <w:vAlign w:val="center"/>
          </w:tcPr>
          <w:p w14:paraId="1391CA0B" w14:textId="77777777" w:rsidR="000E3B5F" w:rsidRPr="00BB43EC" w:rsidDel="00367961" w:rsidRDefault="000E3B5F" w:rsidP="0067390C">
            <w:pPr>
              <w:keepNext/>
              <w:keepLines/>
              <w:rPr>
                <w:sz w:val="22"/>
                <w:szCs w:val="22"/>
                <w:lang w:eastAsia="en-US"/>
              </w:rPr>
            </w:pPr>
            <w:r w:rsidRPr="00BB43EC" w:rsidDel="00367961">
              <w:rPr>
                <w:b/>
                <w:sz w:val="22"/>
                <w:szCs w:val="22"/>
                <w:lang w:eastAsia="en-US"/>
              </w:rPr>
              <w:t>Vol</w:t>
            </w:r>
            <w:r w:rsidDel="00367961">
              <w:rPr>
                <w:b/>
                <w:sz w:val="22"/>
                <w:szCs w:val="22"/>
                <w:lang w:eastAsia="en-US"/>
              </w:rPr>
              <w:t>ume to be withdrawn to prepare 2</w:t>
            </w:r>
            <w:r w:rsidRPr="00BB43EC" w:rsidDel="00367961">
              <w:rPr>
                <w:b/>
                <w:sz w:val="22"/>
                <w:szCs w:val="22"/>
                <w:lang w:eastAsia="en-US"/>
              </w:rPr>
              <w:t xml:space="preserve"> syringes</w:t>
            </w:r>
          </w:p>
        </w:tc>
      </w:tr>
      <w:tr w:rsidR="000E3B5F" w:rsidRPr="00BB43EC" w:rsidDel="00367961" w14:paraId="6333D3EC" w14:textId="77777777" w:rsidTr="0067390C">
        <w:trPr>
          <w:trHeight w:val="329"/>
          <w:jc w:val="center"/>
        </w:trPr>
        <w:tc>
          <w:tcPr>
            <w:tcW w:w="1268" w:type="dxa"/>
            <w:vMerge w:val="restart"/>
            <w:tcBorders>
              <w:top w:val="single" w:sz="4" w:space="0" w:color="auto"/>
              <w:left w:val="single" w:sz="6" w:space="0" w:color="000000"/>
              <w:bottom w:val="nil"/>
              <w:right w:val="single" w:sz="6" w:space="0" w:color="000000"/>
            </w:tcBorders>
            <w:vAlign w:val="center"/>
          </w:tcPr>
          <w:p w14:paraId="493E3EEF" w14:textId="1726566B" w:rsidR="000E3B5F" w:rsidRPr="00E73887" w:rsidDel="00367961" w:rsidRDefault="009F1918" w:rsidP="0067390C">
            <w:pPr>
              <w:keepNext/>
              <w:keepLines/>
              <w:ind w:left="27" w:hanging="9"/>
              <w:rPr>
                <w:sz w:val="22"/>
                <w:szCs w:val="22"/>
                <w:lang w:val="fr-FR" w:eastAsia="en-US"/>
              </w:rPr>
            </w:pPr>
            <w:proofErr w:type="spellStart"/>
            <w:r>
              <w:rPr>
                <w:sz w:val="22"/>
                <w:szCs w:val="22"/>
                <w:lang w:val="fr-FR" w:eastAsia="en-US"/>
              </w:rPr>
              <w:t>Ongoing</w:t>
            </w:r>
            <w:proofErr w:type="spellEnd"/>
            <w:r>
              <w:rPr>
                <w:sz w:val="22"/>
                <w:szCs w:val="22"/>
                <w:lang w:val="fr-FR" w:eastAsia="en-US"/>
              </w:rPr>
              <w:t xml:space="preserve"> </w:t>
            </w:r>
            <w:proofErr w:type="spellStart"/>
            <w:r w:rsidR="006608B6" w:rsidRPr="00E73887">
              <w:rPr>
                <w:sz w:val="22"/>
                <w:szCs w:val="22"/>
                <w:lang w:val="fr-FR" w:eastAsia="en-US"/>
              </w:rPr>
              <w:t>prophylaxis</w:t>
            </w:r>
            <w:proofErr w:type="spellEnd"/>
            <w:r w:rsidR="000E3B5F" w:rsidRPr="00E73887" w:rsidDel="00367961">
              <w:rPr>
                <w:sz w:val="22"/>
                <w:szCs w:val="22"/>
                <w:lang w:val="fr-FR" w:eastAsia="en-US"/>
              </w:rPr>
              <w:t xml:space="preserve"> </w:t>
            </w:r>
            <w:r w:rsidR="006608B6" w:rsidRPr="00E73887">
              <w:rPr>
                <w:sz w:val="22"/>
                <w:szCs w:val="22"/>
                <w:lang w:val="fr-FR" w:eastAsia="en-US"/>
              </w:rPr>
              <w:t>(</w:t>
            </w:r>
            <w:proofErr w:type="spellStart"/>
            <w:r w:rsidR="000E3B5F" w:rsidRPr="00E73887" w:rsidDel="00367961">
              <w:rPr>
                <w:sz w:val="22"/>
                <w:szCs w:val="22"/>
                <w:lang w:val="fr-FR" w:eastAsia="en-US"/>
              </w:rPr>
              <w:t>repeat</w:t>
            </w:r>
            <w:proofErr w:type="spellEnd"/>
            <w:r w:rsidR="000E3B5F" w:rsidRPr="00E73887" w:rsidDel="00367961">
              <w:rPr>
                <w:sz w:val="22"/>
                <w:szCs w:val="22"/>
                <w:lang w:val="fr-FR" w:eastAsia="en-US"/>
              </w:rPr>
              <w:t xml:space="preserve"> dose</w:t>
            </w:r>
            <w:r w:rsidR="006608B6" w:rsidRPr="00E73887">
              <w:rPr>
                <w:sz w:val="22"/>
                <w:szCs w:val="22"/>
                <w:lang w:val="fr-FR" w:eastAsia="en-US"/>
              </w:rPr>
              <w:t>)</w:t>
            </w:r>
          </w:p>
          <w:p w14:paraId="74013DB3" w14:textId="77777777" w:rsidR="000E3B5F" w:rsidRPr="00E73887" w:rsidDel="00367961" w:rsidRDefault="000E3B5F" w:rsidP="0067390C">
            <w:pPr>
              <w:keepNext/>
              <w:keepLines/>
              <w:ind w:left="27" w:hanging="9"/>
              <w:rPr>
                <w:sz w:val="22"/>
                <w:szCs w:val="22"/>
                <w:lang w:val="fr-FR" w:eastAsia="en-US"/>
              </w:rPr>
            </w:pPr>
          </w:p>
        </w:tc>
        <w:tc>
          <w:tcPr>
            <w:tcW w:w="1964" w:type="dxa"/>
            <w:vMerge w:val="restart"/>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EA8E4ED" w14:textId="77777777" w:rsidR="000E3B5F" w:rsidRPr="009F1918" w:rsidDel="00367961" w:rsidRDefault="000E3B5F" w:rsidP="0067390C">
            <w:pPr>
              <w:keepNext/>
              <w:keepLines/>
              <w:rPr>
                <w:sz w:val="22"/>
                <w:szCs w:val="22"/>
                <w:lang w:val="fr-FR" w:eastAsia="en-US"/>
              </w:rPr>
            </w:pPr>
            <w:r w:rsidRPr="009F1918" w:rsidDel="00367961">
              <w:rPr>
                <w:sz w:val="22"/>
                <w:szCs w:val="22"/>
                <w:lang w:val="fr-FR" w:eastAsia="en-US"/>
              </w:rPr>
              <w:t xml:space="preserve">300 mg </w:t>
            </w:r>
            <w:proofErr w:type="spellStart"/>
            <w:r w:rsidRPr="009F1918" w:rsidDel="00367961">
              <w:rPr>
                <w:sz w:val="22"/>
                <w:szCs w:val="22"/>
                <w:lang w:val="fr-FR" w:eastAsia="en-US"/>
              </w:rPr>
              <w:t>casirivimab</w:t>
            </w:r>
            <w:proofErr w:type="spellEnd"/>
            <w:r w:rsidRPr="009F1918" w:rsidDel="00367961">
              <w:rPr>
                <w:sz w:val="22"/>
                <w:szCs w:val="22"/>
                <w:lang w:val="fr-FR" w:eastAsia="en-US"/>
              </w:rPr>
              <w:t xml:space="preserve"> and </w:t>
            </w:r>
          </w:p>
          <w:p w14:paraId="60633D53" w14:textId="77777777" w:rsidR="000E3B5F" w:rsidRPr="009F1918" w:rsidDel="00367961" w:rsidRDefault="000E3B5F" w:rsidP="0067390C">
            <w:pPr>
              <w:keepNext/>
              <w:keepLines/>
              <w:rPr>
                <w:sz w:val="22"/>
                <w:szCs w:val="22"/>
                <w:lang w:val="fr-FR" w:eastAsia="en-US"/>
              </w:rPr>
            </w:pPr>
            <w:r w:rsidRPr="009F1918" w:rsidDel="00367961">
              <w:rPr>
                <w:sz w:val="22"/>
                <w:szCs w:val="22"/>
                <w:lang w:val="fr-FR" w:eastAsia="en-US"/>
              </w:rPr>
              <w:t xml:space="preserve">300 mg </w:t>
            </w:r>
            <w:proofErr w:type="spellStart"/>
            <w:r w:rsidRPr="009F1918" w:rsidDel="00367961">
              <w:rPr>
                <w:sz w:val="22"/>
                <w:szCs w:val="22"/>
                <w:lang w:val="fr-FR" w:eastAsia="en-US"/>
              </w:rPr>
              <w:t>imdevimab</w:t>
            </w:r>
            <w:proofErr w:type="spellEnd"/>
            <w:r w:rsidRPr="009F1918" w:rsidDel="00367961">
              <w:rPr>
                <w:sz w:val="22"/>
                <w:szCs w:val="22"/>
                <w:lang w:val="fr-FR" w:eastAsia="en-US"/>
              </w:rPr>
              <w:t xml:space="preserve"> </w:t>
            </w:r>
          </w:p>
          <w:p w14:paraId="5A348247" w14:textId="77777777" w:rsidR="000E3B5F" w:rsidRPr="009F1918" w:rsidDel="00367961" w:rsidRDefault="000E3B5F" w:rsidP="0067390C">
            <w:pPr>
              <w:keepNext/>
              <w:keepLines/>
              <w:rPr>
                <w:sz w:val="22"/>
                <w:szCs w:val="22"/>
                <w:lang w:val="fr-FR" w:eastAsia="en-US"/>
              </w:rPr>
            </w:pPr>
            <w:r w:rsidRPr="009F1918" w:rsidDel="00367961">
              <w:rPr>
                <w:sz w:val="22"/>
                <w:szCs w:val="22"/>
                <w:lang w:val="fr-FR" w:eastAsia="en-US"/>
              </w:rPr>
              <w:t>(600 mg dose)</w:t>
            </w:r>
          </w:p>
        </w:tc>
        <w:tc>
          <w:tcPr>
            <w:tcW w:w="900" w:type="dxa"/>
            <w:vMerge w:val="restart"/>
            <w:tcBorders>
              <w:top w:val="single" w:sz="4" w:space="0" w:color="auto"/>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76B190" w14:textId="77777777" w:rsidR="000E3B5F" w:rsidRPr="005751F2" w:rsidDel="00367961" w:rsidRDefault="000E3B5F" w:rsidP="0067390C">
            <w:pPr>
              <w:keepNext/>
              <w:keepLines/>
              <w:rPr>
                <w:sz w:val="22"/>
                <w:szCs w:val="22"/>
                <w:lang w:eastAsia="en-US"/>
              </w:rPr>
            </w:pPr>
            <w:r w:rsidRPr="005751F2" w:rsidDel="00367961">
              <w:rPr>
                <w:sz w:val="22"/>
                <w:szCs w:val="22"/>
                <w:lang w:eastAsia="en-US"/>
              </w:rPr>
              <w:t xml:space="preserve">5 mL </w:t>
            </w:r>
          </w:p>
        </w:tc>
        <w:tc>
          <w:tcPr>
            <w:tcW w:w="5358" w:type="dxa"/>
            <w:tcBorders>
              <w:top w:val="single" w:sz="4" w:space="0" w:color="auto"/>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386BE01" w14:textId="77777777" w:rsidR="000E3B5F" w:rsidRPr="005751F2" w:rsidDel="00367961" w:rsidRDefault="000E3B5F" w:rsidP="0067390C">
            <w:pPr>
              <w:keepNext/>
              <w:keepLines/>
              <w:rPr>
                <w:sz w:val="22"/>
                <w:szCs w:val="22"/>
                <w:lang w:eastAsia="en-US"/>
              </w:rPr>
            </w:pPr>
            <w:r w:rsidRPr="005751F2" w:rsidDel="00367961">
              <w:rPr>
                <w:sz w:val="22"/>
                <w:szCs w:val="22"/>
                <w:lang w:eastAsia="en-US"/>
              </w:rPr>
              <w:t xml:space="preserve">2.5 mL from one 6 mL single-use vial of </w:t>
            </w:r>
            <w:proofErr w:type="spellStart"/>
            <w:r w:rsidRPr="005751F2" w:rsidDel="00367961">
              <w:rPr>
                <w:sz w:val="22"/>
                <w:szCs w:val="22"/>
                <w:lang w:eastAsia="en-US"/>
              </w:rPr>
              <w:t>casirivimab</w:t>
            </w:r>
            <w:proofErr w:type="spellEnd"/>
            <w:r w:rsidRPr="005751F2" w:rsidDel="00367961">
              <w:rPr>
                <w:sz w:val="22"/>
                <w:szCs w:val="22"/>
                <w:lang w:eastAsia="en-US"/>
              </w:rPr>
              <w:br/>
              <w:t xml:space="preserve">2.5 mL from one 6 mL single-use vial of </w:t>
            </w:r>
            <w:proofErr w:type="spellStart"/>
            <w:r w:rsidRPr="005751F2" w:rsidDel="00367961">
              <w:rPr>
                <w:sz w:val="22"/>
                <w:szCs w:val="22"/>
                <w:lang w:eastAsia="en-US"/>
              </w:rPr>
              <w:t>imdevimab</w:t>
            </w:r>
            <w:proofErr w:type="spellEnd"/>
          </w:p>
        </w:tc>
      </w:tr>
      <w:tr w:rsidR="000E3B5F" w:rsidRPr="00BB43EC" w:rsidDel="00367961" w14:paraId="3F626A38" w14:textId="77777777" w:rsidTr="00B8096C">
        <w:trPr>
          <w:trHeight w:val="306"/>
          <w:jc w:val="center"/>
        </w:trPr>
        <w:tc>
          <w:tcPr>
            <w:tcW w:w="1268" w:type="dxa"/>
            <w:vMerge/>
            <w:tcBorders>
              <w:left w:val="single" w:sz="6" w:space="0" w:color="000000"/>
              <w:bottom w:val="single" w:sz="4" w:space="0" w:color="auto"/>
              <w:right w:val="single" w:sz="6" w:space="0" w:color="000000"/>
            </w:tcBorders>
          </w:tcPr>
          <w:p w14:paraId="59E0B3E2" w14:textId="77777777" w:rsidR="000E3B5F" w:rsidRPr="00B8096C" w:rsidDel="00367961" w:rsidRDefault="000E3B5F" w:rsidP="0067390C">
            <w:pPr>
              <w:keepNext/>
              <w:keepLines/>
              <w:ind w:left="27" w:hanging="9"/>
              <w:rPr>
                <w:strike/>
                <w:sz w:val="22"/>
                <w:szCs w:val="22"/>
                <w:lang w:eastAsia="en-US"/>
              </w:rPr>
            </w:pPr>
          </w:p>
        </w:tc>
        <w:tc>
          <w:tcPr>
            <w:tcW w:w="1964" w:type="dxa"/>
            <w:vMerge/>
            <w:tcBorders>
              <w:top w:val="single" w:sz="6" w:space="0" w:color="CCCCCC"/>
              <w:left w:val="single" w:sz="6" w:space="0" w:color="000000"/>
              <w:bottom w:val="single" w:sz="6" w:space="0" w:color="000000"/>
              <w:right w:val="single" w:sz="6" w:space="0" w:color="000000"/>
            </w:tcBorders>
            <w:vAlign w:val="center"/>
            <w:hideMark/>
          </w:tcPr>
          <w:p w14:paraId="1C61DAF7" w14:textId="77777777" w:rsidR="000E3B5F" w:rsidRPr="00B8096C" w:rsidDel="00367961" w:rsidRDefault="000E3B5F" w:rsidP="0067390C">
            <w:pPr>
              <w:keepNext/>
              <w:keepLines/>
              <w:rPr>
                <w:strike/>
                <w:sz w:val="22"/>
                <w:szCs w:val="22"/>
                <w:lang w:eastAsia="en-US"/>
              </w:rPr>
            </w:pPr>
          </w:p>
        </w:tc>
        <w:tc>
          <w:tcPr>
            <w:tcW w:w="900" w:type="dxa"/>
            <w:vMerge/>
            <w:tcBorders>
              <w:top w:val="single" w:sz="6" w:space="0" w:color="CCCCCC"/>
              <w:left w:val="single" w:sz="6" w:space="0" w:color="CCCCCC"/>
              <w:bottom w:val="single" w:sz="6" w:space="0" w:color="000000"/>
              <w:right w:val="single" w:sz="6" w:space="0" w:color="000000"/>
            </w:tcBorders>
            <w:vAlign w:val="center"/>
            <w:hideMark/>
          </w:tcPr>
          <w:p w14:paraId="711A04DA" w14:textId="77777777" w:rsidR="000E3B5F" w:rsidRPr="00B8096C" w:rsidDel="00367961" w:rsidRDefault="000E3B5F" w:rsidP="0067390C">
            <w:pPr>
              <w:keepNext/>
              <w:keepLines/>
              <w:rPr>
                <w:strike/>
                <w:sz w:val="22"/>
                <w:szCs w:val="22"/>
                <w:lang w:eastAsia="en-US"/>
              </w:rPr>
            </w:pPr>
          </w:p>
        </w:tc>
        <w:tc>
          <w:tcPr>
            <w:tcW w:w="5358" w:type="dxa"/>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vAlign w:val="bottom"/>
          </w:tcPr>
          <w:p w14:paraId="0E391835" w14:textId="6A732307" w:rsidR="000E3B5F" w:rsidRPr="00B8096C" w:rsidDel="00367961" w:rsidRDefault="00B8096C" w:rsidP="0067390C">
            <w:pPr>
              <w:keepNext/>
              <w:keepLines/>
              <w:rPr>
                <w:strike/>
                <w:sz w:val="22"/>
                <w:szCs w:val="22"/>
                <w:lang w:eastAsia="en-US"/>
              </w:rPr>
            </w:pPr>
            <w:r w:rsidRPr="005751F2" w:rsidDel="00367961">
              <w:rPr>
                <w:sz w:val="22"/>
                <w:szCs w:val="22"/>
                <w:lang w:eastAsia="en-US"/>
              </w:rPr>
              <w:t xml:space="preserve">2.5 mL from one 20 mL multidose vial of </w:t>
            </w:r>
            <w:proofErr w:type="spellStart"/>
            <w:r w:rsidRPr="005751F2" w:rsidDel="00367961">
              <w:rPr>
                <w:sz w:val="22"/>
                <w:szCs w:val="22"/>
                <w:lang w:eastAsia="en-US"/>
              </w:rPr>
              <w:t>casirivimab</w:t>
            </w:r>
            <w:proofErr w:type="spellEnd"/>
            <w:r w:rsidRPr="005751F2" w:rsidDel="00367961">
              <w:rPr>
                <w:sz w:val="22"/>
                <w:szCs w:val="22"/>
                <w:lang w:eastAsia="en-US"/>
              </w:rPr>
              <w:br/>
              <w:t xml:space="preserve">2.5 mL from one 20 mL multidose vial of </w:t>
            </w:r>
            <w:proofErr w:type="spellStart"/>
            <w:r w:rsidRPr="005751F2" w:rsidDel="00367961">
              <w:rPr>
                <w:sz w:val="22"/>
                <w:szCs w:val="22"/>
                <w:lang w:eastAsia="en-US"/>
              </w:rPr>
              <w:t>imdevimab</w:t>
            </w:r>
            <w:proofErr w:type="spellEnd"/>
          </w:p>
        </w:tc>
      </w:tr>
    </w:tbl>
    <w:p w14:paraId="3ECF4A51" w14:textId="77777777" w:rsidR="000E3B5F" w:rsidRDefault="000E3B5F" w:rsidP="00BF3D2C">
      <w:pPr>
        <w:ind w:left="567" w:hanging="567"/>
        <w:rPr>
          <w:bCs/>
          <w:color w:val="auto"/>
        </w:rPr>
      </w:pPr>
    </w:p>
    <w:p w14:paraId="4E250EFD" w14:textId="77777777" w:rsidR="00BF3D2C" w:rsidRPr="000D5746" w:rsidRDefault="00BF3D2C" w:rsidP="00BF3D2C">
      <w:pPr>
        <w:pStyle w:val="Heading4"/>
      </w:pPr>
      <w:bookmarkStart w:id="4" w:name="_Ref74335391"/>
      <w:bookmarkEnd w:id="4"/>
      <w:r w:rsidRPr="000D5746">
        <w:t xml:space="preserve">Administration of </w:t>
      </w:r>
      <w:proofErr w:type="spellStart"/>
      <w:r w:rsidRPr="000D5746">
        <w:t>Ronapreve</w:t>
      </w:r>
      <w:proofErr w:type="spellEnd"/>
      <w:r w:rsidRPr="000D5746">
        <w:t xml:space="preserve"> by Subcutaneous Injection </w:t>
      </w:r>
    </w:p>
    <w:p w14:paraId="7EBCEAD4" w14:textId="5FEF6236" w:rsidR="00BF3D2C" w:rsidRPr="000D5746" w:rsidRDefault="00BF3D2C" w:rsidP="00BF3D2C">
      <w:pPr>
        <w:ind w:left="567" w:hanging="567"/>
        <w:rPr>
          <w:bCs/>
          <w:color w:val="auto"/>
        </w:rPr>
      </w:pPr>
      <w:r w:rsidRPr="000D5746">
        <w:rPr>
          <w:color w:val="auto"/>
          <w:lang w:val="en-GB"/>
        </w:rPr>
        <w:t>●</w:t>
      </w:r>
      <w:r w:rsidRPr="000D5746">
        <w:rPr>
          <w:color w:val="auto"/>
          <w:lang w:val="en-GB"/>
        </w:rPr>
        <w:tab/>
      </w:r>
      <w:r w:rsidRPr="000D5746">
        <w:rPr>
          <w:bCs/>
          <w:color w:val="auto"/>
        </w:rPr>
        <w:t xml:space="preserve">For the administration of </w:t>
      </w:r>
      <w:proofErr w:type="spellStart"/>
      <w:r w:rsidRPr="000D5746">
        <w:rPr>
          <w:bCs/>
          <w:color w:val="auto"/>
        </w:rPr>
        <w:t>Ronapreve</w:t>
      </w:r>
      <w:proofErr w:type="spellEnd"/>
      <w:r w:rsidRPr="000D5746">
        <w:rPr>
          <w:bCs/>
          <w:color w:val="auto"/>
        </w:rPr>
        <w:t xml:space="preserve"> 1 200 mg dose (600 mg of </w:t>
      </w:r>
      <w:proofErr w:type="spellStart"/>
      <w:r w:rsidRPr="000D5746">
        <w:rPr>
          <w:bCs/>
          <w:color w:val="auto"/>
        </w:rPr>
        <w:t>casirivimab</w:t>
      </w:r>
      <w:proofErr w:type="spellEnd"/>
      <w:r w:rsidRPr="000D5746">
        <w:rPr>
          <w:bCs/>
          <w:color w:val="auto"/>
        </w:rPr>
        <w:t xml:space="preserve"> and 600 mg of </w:t>
      </w:r>
      <w:proofErr w:type="spellStart"/>
      <w:r w:rsidRPr="000D5746">
        <w:rPr>
          <w:bCs/>
          <w:color w:val="auto"/>
        </w:rPr>
        <w:t>imdevimab</w:t>
      </w:r>
      <w:proofErr w:type="spellEnd"/>
      <w:r w:rsidRPr="000D5746">
        <w:rPr>
          <w:bCs/>
          <w:color w:val="auto"/>
        </w:rPr>
        <w:t>), gather 4 syringes (see Table 3</w:t>
      </w:r>
      <w:r w:rsidRPr="000D5746">
        <w:rPr>
          <w:bCs/>
          <w:color w:val="auto"/>
        </w:rPr>
        <w:fldChar w:fldCharType="begin"/>
      </w:r>
      <w:r w:rsidRPr="000D5746">
        <w:rPr>
          <w:bCs/>
          <w:color w:val="auto"/>
        </w:rPr>
        <w:instrText xml:space="preserve"> REF _Ref74335391 \h  \* MERGEFORMAT </w:instrText>
      </w:r>
      <w:r w:rsidRPr="000D5746">
        <w:rPr>
          <w:bCs/>
          <w:color w:val="auto"/>
        </w:rPr>
      </w:r>
      <w:r w:rsidRPr="000D5746">
        <w:rPr>
          <w:bCs/>
          <w:color w:val="auto"/>
        </w:rPr>
        <w:fldChar w:fldCharType="end"/>
      </w:r>
      <w:r w:rsidRPr="000D5746">
        <w:rPr>
          <w:bCs/>
          <w:color w:val="auto"/>
        </w:rPr>
        <w:t>) and prepare for subcutaneous injections.</w:t>
      </w:r>
    </w:p>
    <w:p w14:paraId="3089CEF0" w14:textId="3AB98E92" w:rsidR="00BF3D2C" w:rsidRPr="000D5746" w:rsidRDefault="00BF3D2C" w:rsidP="00BF3D2C">
      <w:pPr>
        <w:ind w:left="567" w:hanging="567"/>
        <w:rPr>
          <w:bCs/>
          <w:color w:val="auto"/>
        </w:rPr>
      </w:pPr>
      <w:r w:rsidRPr="000D5746">
        <w:rPr>
          <w:color w:val="auto"/>
          <w:lang w:val="en-GB"/>
        </w:rPr>
        <w:t>●</w:t>
      </w:r>
      <w:r w:rsidRPr="000D5746">
        <w:rPr>
          <w:color w:val="auto"/>
          <w:lang w:val="en-GB"/>
        </w:rPr>
        <w:tab/>
      </w:r>
      <w:r w:rsidRPr="000D5746">
        <w:rPr>
          <w:bCs/>
          <w:color w:val="auto"/>
        </w:rPr>
        <w:t xml:space="preserve">For the administration of </w:t>
      </w:r>
      <w:proofErr w:type="spellStart"/>
      <w:r w:rsidRPr="000D5746">
        <w:rPr>
          <w:bCs/>
          <w:color w:val="auto"/>
        </w:rPr>
        <w:t>Ronapreve</w:t>
      </w:r>
      <w:proofErr w:type="spellEnd"/>
      <w:r w:rsidRPr="000D5746">
        <w:rPr>
          <w:bCs/>
          <w:color w:val="auto"/>
        </w:rPr>
        <w:t xml:space="preserve"> 600 mg dose (300 mg of </w:t>
      </w:r>
      <w:proofErr w:type="spellStart"/>
      <w:r w:rsidRPr="000D5746">
        <w:rPr>
          <w:bCs/>
          <w:color w:val="auto"/>
        </w:rPr>
        <w:t>casirivimab</w:t>
      </w:r>
      <w:proofErr w:type="spellEnd"/>
      <w:r w:rsidRPr="000D5746">
        <w:rPr>
          <w:bCs/>
          <w:color w:val="auto"/>
        </w:rPr>
        <w:t xml:space="preserve"> and 300 mg of </w:t>
      </w:r>
      <w:proofErr w:type="spellStart"/>
      <w:r w:rsidRPr="000D5746">
        <w:rPr>
          <w:bCs/>
          <w:color w:val="auto"/>
        </w:rPr>
        <w:t>imdevimab</w:t>
      </w:r>
      <w:proofErr w:type="spellEnd"/>
      <w:r w:rsidRPr="000D5746">
        <w:rPr>
          <w:bCs/>
          <w:color w:val="auto"/>
        </w:rPr>
        <w:t>), gather 2 syringes (see</w:t>
      </w:r>
      <w:r w:rsidRPr="000D5746">
        <w:rPr>
          <w:rStyle w:val="C-Hyperlink"/>
          <w:color w:val="auto"/>
        </w:rPr>
        <w:t xml:space="preserve"> Table 3</w:t>
      </w:r>
      <w:r w:rsidRPr="000D5746">
        <w:rPr>
          <w:bCs/>
          <w:color w:val="auto"/>
        </w:rPr>
        <w:fldChar w:fldCharType="begin"/>
      </w:r>
      <w:r w:rsidRPr="000D5746">
        <w:rPr>
          <w:bCs/>
          <w:color w:val="auto"/>
        </w:rPr>
        <w:instrText xml:space="preserve"> REF _Ref74335391 \h  \* MERGEFORMAT </w:instrText>
      </w:r>
      <w:r w:rsidRPr="000D5746">
        <w:rPr>
          <w:bCs/>
          <w:color w:val="auto"/>
        </w:rPr>
      </w:r>
      <w:r w:rsidRPr="000D5746">
        <w:rPr>
          <w:bCs/>
          <w:color w:val="auto"/>
        </w:rPr>
        <w:fldChar w:fldCharType="end"/>
      </w:r>
      <w:r w:rsidRPr="000D5746">
        <w:rPr>
          <w:bCs/>
          <w:color w:val="auto"/>
        </w:rPr>
        <w:t>) and prepare for subcutaneous injections.</w:t>
      </w:r>
    </w:p>
    <w:p w14:paraId="31D493D9" w14:textId="77777777" w:rsidR="00BF3D2C" w:rsidRPr="000D5746" w:rsidRDefault="00BF3D2C" w:rsidP="00BF3D2C">
      <w:pPr>
        <w:ind w:left="567" w:hanging="567"/>
        <w:rPr>
          <w:bCs/>
          <w:color w:val="auto"/>
        </w:rPr>
      </w:pPr>
      <w:r w:rsidRPr="000D5746">
        <w:rPr>
          <w:color w:val="auto"/>
          <w:lang w:val="en-GB"/>
        </w:rPr>
        <w:t>●</w:t>
      </w:r>
      <w:r w:rsidRPr="000D5746">
        <w:rPr>
          <w:color w:val="auto"/>
          <w:lang w:val="en-GB"/>
        </w:rPr>
        <w:tab/>
      </w:r>
      <w:r w:rsidRPr="000D5746">
        <w:rPr>
          <w:bCs/>
          <w:color w:val="auto"/>
        </w:rPr>
        <w:t>Administer the subcutaneous injections consecutively, each at a different injection site, into the upper thigh, the upper outer arms, or abdomen, except for 5 cm around the navel. The waistline should be avoided. </w:t>
      </w:r>
    </w:p>
    <w:p w14:paraId="20AFF049" w14:textId="0160D06B" w:rsidR="00367961" w:rsidRDefault="00BF3D2C" w:rsidP="00B8096C">
      <w:pPr>
        <w:spacing w:after="120"/>
        <w:ind w:left="562" w:hanging="562"/>
        <w:rPr>
          <w:bCs/>
          <w:color w:val="auto"/>
        </w:rPr>
      </w:pPr>
      <w:r w:rsidRPr="000D5746">
        <w:rPr>
          <w:color w:val="auto"/>
          <w:lang w:val="en-GB"/>
        </w:rPr>
        <w:t>●</w:t>
      </w:r>
      <w:r w:rsidRPr="000D5746">
        <w:rPr>
          <w:color w:val="auto"/>
          <w:lang w:val="en-GB"/>
        </w:rPr>
        <w:tab/>
      </w:r>
      <w:r w:rsidRPr="000D5746">
        <w:rPr>
          <w:bCs/>
          <w:color w:val="auto"/>
        </w:rPr>
        <w:t xml:space="preserve">When administering the subcutaneous injections, it is recommended that providers use different quadrants of the abdomen or upper thighs or upper outer arms to space apart each 2.5 mL subcutaneous injection of </w:t>
      </w:r>
      <w:proofErr w:type="spellStart"/>
      <w:r w:rsidRPr="000D5746">
        <w:rPr>
          <w:bCs/>
          <w:color w:val="auto"/>
        </w:rPr>
        <w:t>casirivimab</w:t>
      </w:r>
      <w:proofErr w:type="spellEnd"/>
      <w:r w:rsidRPr="000D5746">
        <w:rPr>
          <w:bCs/>
          <w:color w:val="auto"/>
        </w:rPr>
        <w:t xml:space="preserve"> and </w:t>
      </w:r>
      <w:proofErr w:type="spellStart"/>
      <w:r w:rsidRPr="000D5746">
        <w:rPr>
          <w:bCs/>
          <w:color w:val="auto"/>
        </w:rPr>
        <w:t>imdevimab</w:t>
      </w:r>
      <w:proofErr w:type="spellEnd"/>
      <w:r w:rsidRPr="000D5746">
        <w:rPr>
          <w:bCs/>
          <w:color w:val="auto"/>
        </w:rPr>
        <w:t>. DO NOT inject into skin that is tender, damaged, bruised, or scarred.</w:t>
      </w:r>
    </w:p>
    <w:p w14:paraId="6FCF726E" w14:textId="77777777" w:rsidR="00D52399" w:rsidRPr="00A807D3" w:rsidRDefault="00902EBE" w:rsidP="00BF3D2C">
      <w:pPr>
        <w:pStyle w:val="Heading2"/>
        <w:numPr>
          <w:ilvl w:val="1"/>
          <w:numId w:val="2"/>
        </w:numPr>
        <w:ind w:left="0" w:firstLine="0"/>
        <w:rPr>
          <w:color w:val="auto"/>
        </w:rPr>
      </w:pPr>
      <w:r w:rsidRPr="00A807D3">
        <w:rPr>
          <w:color w:val="auto"/>
        </w:rPr>
        <w:t>CONTRAINDICATIONS</w:t>
      </w:r>
    </w:p>
    <w:p w14:paraId="1960CE4F" w14:textId="68F1C60A" w:rsidR="00BB43EC" w:rsidRDefault="00BB43EC" w:rsidP="00B03DB2">
      <w:pPr>
        <w:spacing w:after="120"/>
        <w:rPr>
          <w:noProof/>
        </w:rPr>
      </w:pPr>
      <w:r>
        <w:rPr>
          <w:noProof/>
        </w:rPr>
        <w:t>Ronapreve is contraindicated in patients with a known h</w:t>
      </w:r>
      <w:r w:rsidRPr="004663D3">
        <w:rPr>
          <w:noProof/>
        </w:rPr>
        <w:t xml:space="preserve">ypersensitivity to </w:t>
      </w:r>
      <w:r w:rsidRPr="0061333F">
        <w:rPr>
          <w:noProof/>
        </w:rPr>
        <w:t xml:space="preserve">casirivimab </w:t>
      </w:r>
      <w:r>
        <w:rPr>
          <w:noProof/>
        </w:rPr>
        <w:t xml:space="preserve">and </w:t>
      </w:r>
      <w:r w:rsidRPr="0061333F">
        <w:rPr>
          <w:noProof/>
        </w:rPr>
        <w:t xml:space="preserve">imdevimab </w:t>
      </w:r>
      <w:r w:rsidRPr="004663D3">
        <w:rPr>
          <w:noProof/>
        </w:rPr>
        <w:t xml:space="preserve">or to any of the excipients listed in section </w:t>
      </w:r>
      <w:r>
        <w:rPr>
          <w:noProof/>
        </w:rPr>
        <w:t>6.1.</w:t>
      </w:r>
    </w:p>
    <w:p w14:paraId="6EAC1ACD" w14:textId="77777777" w:rsidR="00D52399" w:rsidRPr="00A807D3" w:rsidRDefault="00902EBE" w:rsidP="00BF3D2C">
      <w:pPr>
        <w:pStyle w:val="Heading2"/>
        <w:ind w:left="792" w:hanging="792"/>
        <w:rPr>
          <w:color w:val="auto"/>
        </w:rPr>
      </w:pPr>
      <w:r w:rsidRPr="00A807D3">
        <w:rPr>
          <w:color w:val="auto"/>
        </w:rPr>
        <w:lastRenderedPageBreak/>
        <w:t>4.4</w:t>
      </w:r>
      <w:r w:rsidRPr="00A807D3">
        <w:rPr>
          <w:color w:val="auto"/>
        </w:rPr>
        <w:tab/>
        <w:t xml:space="preserve">SPECIAL WARNINGS AND </w:t>
      </w:r>
      <w:r w:rsidRPr="005614CF">
        <w:rPr>
          <w:color w:val="auto"/>
        </w:rPr>
        <w:t>PRECAUTIONS FOR USE</w:t>
      </w:r>
    </w:p>
    <w:p w14:paraId="7AEA9FC4" w14:textId="6FC53E5C" w:rsidR="00DC0776" w:rsidRPr="00A807D3" w:rsidRDefault="00BB43EC" w:rsidP="00DC0776">
      <w:pPr>
        <w:pStyle w:val="Heading3"/>
        <w:spacing w:after="120" w:line="240" w:lineRule="auto"/>
        <w:rPr>
          <w:color w:val="auto"/>
        </w:rPr>
      </w:pPr>
      <w:r w:rsidRPr="00BB43EC">
        <w:rPr>
          <w:color w:val="auto"/>
        </w:rPr>
        <w:t>Hypersensitivity Reactions including Anaphylaxis</w:t>
      </w:r>
    </w:p>
    <w:p w14:paraId="1FE9ADDF" w14:textId="620CFCBC" w:rsidR="00DC0776" w:rsidRDefault="00BB43EC" w:rsidP="00B03DB2">
      <w:pPr>
        <w:pStyle w:val="NormalWeb"/>
        <w:spacing w:before="0" w:beforeAutospacing="0" w:after="120" w:afterAutospacing="0" w:line="300" w:lineRule="atLeast"/>
      </w:pPr>
      <w:r w:rsidRPr="004663D3">
        <w:t xml:space="preserve">Hypersensitivity reactions, including anaphylaxis, have been reported with administration of </w:t>
      </w:r>
      <w:proofErr w:type="spellStart"/>
      <w:r w:rsidRPr="004663D3">
        <w:t>Ronapreve</w:t>
      </w:r>
      <w:proofErr w:type="spellEnd"/>
      <w:r w:rsidR="006608B6">
        <w:t xml:space="preserve"> (see section 4.8)</w:t>
      </w:r>
      <w:r w:rsidRPr="004663D3">
        <w:t xml:space="preserve">. If signs or symptoms of a clinically significant hypersensitivity reaction or anaphylaxis occur, immediately discontinue </w:t>
      </w:r>
      <w:proofErr w:type="gramStart"/>
      <w:r w:rsidRPr="004663D3">
        <w:t>administration</w:t>
      </w:r>
      <w:proofErr w:type="gramEnd"/>
      <w:r w:rsidRPr="004663D3">
        <w:t xml:space="preserve"> and initiate appropriate medications and/or supportive care</w:t>
      </w:r>
      <w:r w:rsidR="00B03DB2">
        <w:t>.</w:t>
      </w:r>
    </w:p>
    <w:p w14:paraId="77357B7F" w14:textId="77777777" w:rsidR="00B8096C" w:rsidRPr="00A807D3" w:rsidRDefault="00B8096C" w:rsidP="00B03DB2">
      <w:pPr>
        <w:pStyle w:val="NormalWeb"/>
        <w:spacing w:before="0" w:beforeAutospacing="0" w:after="120" w:afterAutospacing="0" w:line="300" w:lineRule="atLeast"/>
      </w:pPr>
    </w:p>
    <w:p w14:paraId="7E5D3057" w14:textId="65E402E1" w:rsidR="00DC0776" w:rsidRPr="001C2A3C" w:rsidRDefault="00BB43EC" w:rsidP="001C2A3C">
      <w:pPr>
        <w:pStyle w:val="Heading3"/>
        <w:spacing w:after="120" w:line="240" w:lineRule="auto"/>
        <w:rPr>
          <w:color w:val="auto"/>
        </w:rPr>
      </w:pPr>
      <w:r w:rsidRPr="00BB43EC">
        <w:rPr>
          <w:color w:val="auto"/>
        </w:rPr>
        <w:t>Infusion-related reactions</w:t>
      </w:r>
    </w:p>
    <w:p w14:paraId="58146DE5" w14:textId="5C12892F" w:rsidR="00DC0776" w:rsidRDefault="00BB43EC" w:rsidP="00B03DB2">
      <w:pPr>
        <w:widowControl w:val="0"/>
        <w:spacing w:after="120" w:line="300" w:lineRule="atLeast"/>
        <w:rPr>
          <w:rFonts w:eastAsia="Calibri"/>
          <w:color w:val="auto"/>
        </w:rPr>
      </w:pPr>
      <w:r w:rsidRPr="004663D3">
        <w:t xml:space="preserve">Infusion-related reactions (IRRs) have been observed with IV administration of </w:t>
      </w:r>
      <w:proofErr w:type="spellStart"/>
      <w:r w:rsidRPr="004663D3">
        <w:t>Ronapreve</w:t>
      </w:r>
      <w:proofErr w:type="spellEnd"/>
      <w:r w:rsidRPr="004663D3">
        <w:t xml:space="preserve">. IRRs observed in clinical studies were mostly mild to moderate in severity and were typically observed during or within 24 hours of infusion. The commonly reported signs and symptoms for these reactions included nausea, chills, dizziness (or syncope), rash, urticaria and flushing. However, infusion related reactions may present as severe or </w:t>
      </w:r>
      <w:proofErr w:type="gramStart"/>
      <w:r w:rsidRPr="004663D3">
        <w:t>life threatening</w:t>
      </w:r>
      <w:proofErr w:type="gramEnd"/>
      <w:r w:rsidRPr="004663D3">
        <w:t xml:space="preserve"> events and may include other signs and symptoms.</w:t>
      </w:r>
      <w:r>
        <w:t xml:space="preserve"> </w:t>
      </w:r>
      <w:r w:rsidRPr="004663D3">
        <w:t xml:space="preserve">If an IRR occurs, consider interrupting, </w:t>
      </w:r>
      <w:proofErr w:type="gramStart"/>
      <w:r w:rsidRPr="004663D3">
        <w:t>slowing</w:t>
      </w:r>
      <w:proofErr w:type="gramEnd"/>
      <w:r w:rsidRPr="004663D3">
        <w:t xml:space="preserve"> or stopping the infusion and administer appropriate medications and/or supportive care</w:t>
      </w:r>
      <w:r w:rsidR="00B03DB2" w:rsidRPr="00B03DB2">
        <w:rPr>
          <w:rFonts w:eastAsia="Calibri"/>
          <w:color w:val="auto"/>
        </w:rPr>
        <w:t>.</w:t>
      </w:r>
    </w:p>
    <w:p w14:paraId="4E25BB72" w14:textId="6F3877EC" w:rsidR="006608B6" w:rsidRPr="005614CF" w:rsidRDefault="006608B6" w:rsidP="006608B6">
      <w:pPr>
        <w:pStyle w:val="Heading3"/>
        <w:spacing w:after="120" w:line="240" w:lineRule="auto"/>
        <w:rPr>
          <w:color w:val="auto"/>
        </w:rPr>
      </w:pPr>
      <w:r w:rsidRPr="005614CF">
        <w:rPr>
          <w:color w:val="auto"/>
        </w:rPr>
        <w:t>Use in the elderly</w:t>
      </w:r>
    </w:p>
    <w:p w14:paraId="645D7DF6" w14:textId="7BF47CFF" w:rsidR="006608B6" w:rsidRPr="005614CF" w:rsidRDefault="005614CF" w:rsidP="00B03DB2">
      <w:pPr>
        <w:widowControl w:val="0"/>
        <w:spacing w:after="120" w:line="300" w:lineRule="atLeast"/>
        <w:rPr>
          <w:rFonts w:eastAsia="Calibri"/>
          <w:color w:val="auto"/>
        </w:rPr>
      </w:pPr>
      <w:r w:rsidRPr="005614CF">
        <w:rPr>
          <w:rFonts w:eastAsia="Calibri"/>
          <w:color w:val="auto"/>
        </w:rPr>
        <w:t xml:space="preserve">The safety profile of patients who were ≥ 65 years old was </w:t>
      </w:r>
      <w:proofErr w:type="gramStart"/>
      <w:r w:rsidRPr="005614CF">
        <w:rPr>
          <w:rFonts w:eastAsia="Calibri"/>
          <w:color w:val="auto"/>
        </w:rPr>
        <w:t>similar to</w:t>
      </w:r>
      <w:proofErr w:type="gramEnd"/>
      <w:r w:rsidRPr="005614CF">
        <w:rPr>
          <w:rFonts w:eastAsia="Calibri"/>
          <w:color w:val="auto"/>
        </w:rPr>
        <w:t xml:space="preserve"> that in adult patients &lt; 65 years old for both IV and SC administration (see section 4.8).</w:t>
      </w:r>
    </w:p>
    <w:p w14:paraId="37184949" w14:textId="0E039C52" w:rsidR="006608B6" w:rsidRPr="005614CF" w:rsidRDefault="006608B6" w:rsidP="006608B6">
      <w:pPr>
        <w:pStyle w:val="Heading3"/>
        <w:spacing w:after="120" w:line="240" w:lineRule="auto"/>
        <w:rPr>
          <w:color w:val="auto"/>
        </w:rPr>
      </w:pPr>
      <w:r w:rsidRPr="005614CF">
        <w:rPr>
          <w:color w:val="auto"/>
        </w:rPr>
        <w:t>Paediatric use</w:t>
      </w:r>
    </w:p>
    <w:p w14:paraId="3E13E101" w14:textId="4C05B681" w:rsidR="006608B6" w:rsidRPr="00A807D3" w:rsidRDefault="005614CF" w:rsidP="00B03DB2">
      <w:pPr>
        <w:widowControl w:val="0"/>
        <w:spacing w:after="120" w:line="300" w:lineRule="atLeast"/>
        <w:rPr>
          <w:rFonts w:eastAsia="Calibri"/>
          <w:color w:val="auto"/>
        </w:rPr>
      </w:pPr>
      <w:r w:rsidRPr="005614CF">
        <w:rPr>
          <w:rFonts w:eastAsia="Calibri"/>
          <w:color w:val="auto"/>
        </w:rPr>
        <w:t xml:space="preserve">The safety and efficacy of </w:t>
      </w:r>
      <w:proofErr w:type="spellStart"/>
      <w:r w:rsidRPr="005614CF">
        <w:rPr>
          <w:rFonts w:eastAsia="Calibri"/>
          <w:color w:val="auto"/>
        </w:rPr>
        <w:t>casirivimab</w:t>
      </w:r>
      <w:proofErr w:type="spellEnd"/>
      <w:r w:rsidRPr="005614CF">
        <w:rPr>
          <w:rFonts w:eastAsia="Calibri"/>
          <w:color w:val="auto"/>
        </w:rPr>
        <w:t xml:space="preserve"> and </w:t>
      </w:r>
      <w:proofErr w:type="spellStart"/>
      <w:r w:rsidRPr="005614CF">
        <w:rPr>
          <w:rFonts w:eastAsia="Calibri"/>
          <w:color w:val="auto"/>
        </w:rPr>
        <w:t>imdevimab</w:t>
      </w:r>
      <w:proofErr w:type="spellEnd"/>
      <w:r w:rsidRPr="005614CF">
        <w:rPr>
          <w:rFonts w:eastAsia="Calibri"/>
          <w:color w:val="auto"/>
        </w:rPr>
        <w:t xml:space="preserve"> in children &lt; 12 years of age has not yet been established (see section 4.2 and 4.8).</w:t>
      </w:r>
    </w:p>
    <w:p w14:paraId="0FF81822" w14:textId="77777777" w:rsidR="00834C48" w:rsidRPr="00A807D3" w:rsidRDefault="00407592" w:rsidP="00B1134D">
      <w:pPr>
        <w:pStyle w:val="Heading3"/>
        <w:rPr>
          <w:color w:val="auto"/>
        </w:rPr>
      </w:pPr>
      <w:r w:rsidRPr="00A807D3">
        <w:rPr>
          <w:color w:val="auto"/>
        </w:rPr>
        <w:t>Effects on laboratory tests</w:t>
      </w:r>
    </w:p>
    <w:p w14:paraId="3BC28FAB" w14:textId="077B72EF" w:rsidR="00B1134D" w:rsidRPr="00A807D3" w:rsidRDefault="00B65D51" w:rsidP="003E51CC">
      <w:pPr>
        <w:rPr>
          <w:color w:val="auto"/>
        </w:rPr>
      </w:pPr>
      <w:r w:rsidRPr="00A807D3">
        <w:rPr>
          <w:color w:val="auto"/>
        </w:rPr>
        <w:t>No data available.</w:t>
      </w:r>
    </w:p>
    <w:p w14:paraId="0A5CC6D7" w14:textId="77777777" w:rsidR="00B65D51" w:rsidRPr="00A807D3" w:rsidRDefault="00B65D51" w:rsidP="003E51CC">
      <w:pPr>
        <w:rPr>
          <w:color w:val="auto"/>
        </w:rPr>
      </w:pPr>
    </w:p>
    <w:p w14:paraId="6B82ED0D" w14:textId="77777777" w:rsidR="00D52399" w:rsidRPr="00A807D3" w:rsidRDefault="00902EBE" w:rsidP="009F4C5B">
      <w:pPr>
        <w:pStyle w:val="Heading2"/>
        <w:spacing w:before="0"/>
        <w:rPr>
          <w:color w:val="auto"/>
        </w:rPr>
      </w:pPr>
      <w:r w:rsidRPr="00A807D3">
        <w:rPr>
          <w:color w:val="auto"/>
        </w:rPr>
        <w:t>4.5</w:t>
      </w:r>
      <w:r w:rsidRPr="00A807D3">
        <w:rPr>
          <w:color w:val="auto"/>
        </w:rPr>
        <w:tab/>
        <w:t>INTERACTION</w:t>
      </w:r>
      <w:r w:rsidR="00177D8C" w:rsidRPr="00A807D3">
        <w:rPr>
          <w:color w:val="auto"/>
        </w:rPr>
        <w:t>S</w:t>
      </w:r>
      <w:r w:rsidRPr="00A807D3">
        <w:rPr>
          <w:color w:val="auto"/>
        </w:rPr>
        <w:t xml:space="preserve"> WITH OTHER MEDICINES AND OTHER FORMS OF INTERACTION</w:t>
      </w:r>
      <w:r w:rsidR="00177D8C" w:rsidRPr="00A807D3">
        <w:rPr>
          <w:color w:val="auto"/>
        </w:rPr>
        <w:t>S</w:t>
      </w:r>
    </w:p>
    <w:p w14:paraId="4F1FAF31" w14:textId="6AF8D505" w:rsidR="00BB43EC" w:rsidRPr="004663D3" w:rsidRDefault="00BB43EC" w:rsidP="00BB43EC">
      <w:pPr>
        <w:pStyle w:val="C-BodyText"/>
        <w:spacing w:before="0" w:after="0"/>
        <w:rPr>
          <w:szCs w:val="24"/>
        </w:rPr>
      </w:pPr>
      <w:r w:rsidRPr="004663D3">
        <w:rPr>
          <w:noProof/>
          <w:szCs w:val="24"/>
        </w:rPr>
        <w:t xml:space="preserve">No </w:t>
      </w:r>
      <w:r w:rsidR="006608B6">
        <w:rPr>
          <w:noProof/>
          <w:szCs w:val="24"/>
        </w:rPr>
        <w:t xml:space="preserve">formal drug-drug </w:t>
      </w:r>
      <w:r w:rsidRPr="004663D3">
        <w:rPr>
          <w:noProof/>
          <w:szCs w:val="24"/>
        </w:rPr>
        <w:t xml:space="preserve">interaction studies have been performed. </w:t>
      </w:r>
      <w:proofErr w:type="spellStart"/>
      <w:r w:rsidRPr="004663D3">
        <w:rPr>
          <w:szCs w:val="24"/>
        </w:rPr>
        <w:t>Casirivimab</w:t>
      </w:r>
      <w:proofErr w:type="spellEnd"/>
      <w:r w:rsidRPr="004663D3">
        <w:rPr>
          <w:szCs w:val="24"/>
        </w:rPr>
        <w:t xml:space="preserve"> and </w:t>
      </w:r>
      <w:proofErr w:type="spellStart"/>
      <w:r w:rsidRPr="004663D3">
        <w:rPr>
          <w:szCs w:val="24"/>
        </w:rPr>
        <w:t>imdevimab</w:t>
      </w:r>
      <w:proofErr w:type="spellEnd"/>
      <w:r w:rsidRPr="004663D3">
        <w:rPr>
          <w:szCs w:val="24"/>
        </w:rPr>
        <w:t xml:space="preserve"> are monoclonal antibodies, which are not renally excreted or </w:t>
      </w:r>
      <w:proofErr w:type="spellStart"/>
      <w:r w:rsidRPr="004663D3">
        <w:rPr>
          <w:szCs w:val="24"/>
        </w:rPr>
        <w:t>metabolised</w:t>
      </w:r>
      <w:proofErr w:type="spellEnd"/>
      <w:r w:rsidRPr="004663D3">
        <w:rPr>
          <w:szCs w:val="24"/>
        </w:rPr>
        <w:t xml:space="preserve"> by cytochrome P450 enzymes; therefore, interactions with concomitant medications that are renally excreted or that are substrates, inducers, or inhibitors of cytochrome P450 enzymes are unlikely.</w:t>
      </w:r>
    </w:p>
    <w:p w14:paraId="0D90D04B" w14:textId="77777777" w:rsidR="00BB43EC" w:rsidRPr="004663D3" w:rsidRDefault="00BB43EC" w:rsidP="00BB43EC">
      <w:pPr>
        <w:pStyle w:val="C-BodyText"/>
        <w:spacing w:before="0" w:after="0"/>
        <w:rPr>
          <w:szCs w:val="24"/>
        </w:rPr>
      </w:pPr>
    </w:p>
    <w:p w14:paraId="0793952E" w14:textId="77777777" w:rsidR="00BB43EC" w:rsidRPr="004663D3" w:rsidRDefault="00BB43EC" w:rsidP="00BB43EC">
      <w:pPr>
        <w:pStyle w:val="C-BodyText"/>
        <w:spacing w:before="0" w:after="0"/>
        <w:rPr>
          <w:color w:val="000000"/>
          <w:szCs w:val="24"/>
          <w:u w:val="single"/>
          <w:shd w:val="clear" w:color="auto" w:fill="FFFFFF"/>
        </w:rPr>
      </w:pPr>
      <w:r w:rsidRPr="004663D3">
        <w:rPr>
          <w:color w:val="000000"/>
          <w:szCs w:val="24"/>
          <w:u w:val="single"/>
          <w:shd w:val="clear" w:color="auto" w:fill="FFFFFF"/>
        </w:rPr>
        <w:t>COVID-19 Vaccines</w:t>
      </w:r>
    </w:p>
    <w:p w14:paraId="634260F2" w14:textId="18062E40" w:rsidR="007658C4" w:rsidRPr="00A807D3" w:rsidRDefault="00BB43EC" w:rsidP="00B8096C">
      <w:pPr>
        <w:pStyle w:val="Default"/>
        <w:spacing w:after="240" w:line="300" w:lineRule="atLeast"/>
        <w:jc w:val="both"/>
        <w:rPr>
          <w:color w:val="auto"/>
        </w:rPr>
      </w:pPr>
      <w:proofErr w:type="spellStart"/>
      <w:r w:rsidRPr="004663D3">
        <w:rPr>
          <w:shd w:val="clear" w:color="auto" w:fill="FFFFFF"/>
        </w:rPr>
        <w:t>Casirivimab</w:t>
      </w:r>
      <w:proofErr w:type="spellEnd"/>
      <w:r w:rsidRPr="004663D3">
        <w:rPr>
          <w:shd w:val="clear" w:color="auto" w:fill="FFFFFF"/>
        </w:rPr>
        <w:t xml:space="preserve"> and </w:t>
      </w:r>
      <w:proofErr w:type="spellStart"/>
      <w:r w:rsidRPr="004663D3">
        <w:rPr>
          <w:shd w:val="clear" w:color="auto" w:fill="FFFFFF"/>
        </w:rPr>
        <w:t>imdevimab</w:t>
      </w:r>
      <w:proofErr w:type="spellEnd"/>
      <w:r w:rsidRPr="004663D3">
        <w:rPr>
          <w:shd w:val="clear" w:color="auto" w:fill="FFFFFF"/>
        </w:rPr>
        <w:t xml:space="preserve"> bind to epitopes on spike protein used as immunogen in all COVID-19 vaccines, therefore it is possible that </w:t>
      </w:r>
      <w:proofErr w:type="spellStart"/>
      <w:r>
        <w:rPr>
          <w:shd w:val="clear" w:color="auto" w:fill="FFFFFF"/>
        </w:rPr>
        <w:t>Ronapreve</w:t>
      </w:r>
      <w:proofErr w:type="spellEnd"/>
      <w:r w:rsidRPr="004663D3">
        <w:rPr>
          <w:shd w:val="clear" w:color="auto" w:fill="FFFFFF"/>
        </w:rPr>
        <w:t xml:space="preserve"> may </w:t>
      </w:r>
      <w:r>
        <w:rPr>
          <w:shd w:val="clear" w:color="auto" w:fill="FFFFFF"/>
        </w:rPr>
        <w:t>interfere with the development of effective immune responses</w:t>
      </w:r>
      <w:r w:rsidRPr="004663D3">
        <w:rPr>
          <w:shd w:val="clear" w:color="auto" w:fill="FFFFFF"/>
        </w:rPr>
        <w:t xml:space="preserve"> to COVID-19 vaccines. </w:t>
      </w:r>
      <w:r w:rsidR="000E3B5F" w:rsidRPr="000E3B5F">
        <w:rPr>
          <w:color w:val="auto"/>
        </w:rPr>
        <w:t xml:space="preserve">Based on the serum half-lives of </w:t>
      </w:r>
      <w:proofErr w:type="spellStart"/>
      <w:r w:rsidR="000E3B5F" w:rsidRPr="000E3B5F">
        <w:rPr>
          <w:color w:val="auto"/>
        </w:rPr>
        <w:t>casirivimab</w:t>
      </w:r>
      <w:proofErr w:type="spellEnd"/>
      <w:r w:rsidR="000E3B5F" w:rsidRPr="000E3B5F">
        <w:rPr>
          <w:color w:val="auto"/>
        </w:rPr>
        <w:t xml:space="preserve"> and </w:t>
      </w:r>
      <w:proofErr w:type="spellStart"/>
      <w:r w:rsidR="000E3B5F" w:rsidRPr="000E3B5F">
        <w:rPr>
          <w:color w:val="auto"/>
        </w:rPr>
        <w:t>imdevimab</w:t>
      </w:r>
      <w:proofErr w:type="spellEnd"/>
      <w:r w:rsidR="005751F2">
        <w:rPr>
          <w:color w:val="auto"/>
        </w:rPr>
        <w:t xml:space="preserve"> and the risk of reinfection</w:t>
      </w:r>
      <w:r w:rsidR="000E3B5F" w:rsidRPr="000E3B5F">
        <w:rPr>
          <w:color w:val="auto"/>
        </w:rPr>
        <w:t xml:space="preserve">, it is recommended that vaccines against COVID-19 should not be administered for at least </w:t>
      </w:r>
      <w:r w:rsidR="00EE2A34">
        <w:rPr>
          <w:color w:val="auto"/>
        </w:rPr>
        <w:t>90 days</w:t>
      </w:r>
      <w:r w:rsidR="000E3B5F" w:rsidRPr="000E3B5F">
        <w:rPr>
          <w:color w:val="auto"/>
        </w:rPr>
        <w:t xml:space="preserve"> after a dose of </w:t>
      </w:r>
      <w:proofErr w:type="spellStart"/>
      <w:r w:rsidR="000E3B5F" w:rsidRPr="000E3B5F">
        <w:rPr>
          <w:color w:val="auto"/>
        </w:rPr>
        <w:t>Ronapreve</w:t>
      </w:r>
      <w:proofErr w:type="spellEnd"/>
      <w:r w:rsidR="000E3B5F" w:rsidRPr="000E3B5F">
        <w:rPr>
          <w:color w:val="auto"/>
        </w:rPr>
        <w:t>.</w:t>
      </w:r>
    </w:p>
    <w:p w14:paraId="681C36D8" w14:textId="77777777" w:rsidR="00D52399" w:rsidRPr="00A807D3" w:rsidRDefault="00902EBE" w:rsidP="0060563E">
      <w:pPr>
        <w:pStyle w:val="Heading2"/>
        <w:pageBreakBefore/>
        <w:spacing w:before="0"/>
        <w:ind w:left="788" w:hanging="788"/>
        <w:rPr>
          <w:color w:val="auto"/>
        </w:rPr>
      </w:pPr>
      <w:r w:rsidRPr="00A807D3">
        <w:rPr>
          <w:color w:val="auto"/>
        </w:rPr>
        <w:lastRenderedPageBreak/>
        <w:t>4.6</w:t>
      </w:r>
      <w:r w:rsidRPr="00A807D3">
        <w:rPr>
          <w:color w:val="auto"/>
        </w:rPr>
        <w:tab/>
        <w:t>FERTILITY, PREGNANCY AND LACTATION</w:t>
      </w:r>
    </w:p>
    <w:p w14:paraId="05A83E36" w14:textId="33A1856F" w:rsidR="00B1134D" w:rsidRPr="00B51201" w:rsidRDefault="00674CFD" w:rsidP="00B1134D">
      <w:pPr>
        <w:pStyle w:val="Heading3"/>
        <w:rPr>
          <w:color w:val="auto"/>
        </w:rPr>
      </w:pPr>
      <w:r w:rsidRPr="00B51201">
        <w:rPr>
          <w:color w:val="auto"/>
        </w:rPr>
        <w:t>Effects on Fertility</w:t>
      </w:r>
    </w:p>
    <w:p w14:paraId="5728D52C" w14:textId="2E79687E" w:rsidR="00B65D51" w:rsidRPr="00B51201" w:rsidRDefault="00BB43EC" w:rsidP="00B65D51">
      <w:pPr>
        <w:spacing w:after="120" w:line="300" w:lineRule="atLeast"/>
        <w:rPr>
          <w:color w:val="auto"/>
          <w:highlight w:val="yellow"/>
        </w:rPr>
      </w:pPr>
      <w:r w:rsidRPr="004663D3">
        <w:rPr>
          <w:noProof/>
        </w:rPr>
        <w:t>No fertility studies have been performed</w:t>
      </w:r>
      <w:r w:rsidR="00B51201" w:rsidRPr="00B51201">
        <w:rPr>
          <w:color w:val="auto"/>
        </w:rPr>
        <w:t>.</w:t>
      </w:r>
    </w:p>
    <w:p w14:paraId="0652504C" w14:textId="77777777" w:rsidR="0031764D" w:rsidRPr="00FE67FC" w:rsidRDefault="00674CFD" w:rsidP="00B1134D">
      <w:pPr>
        <w:pStyle w:val="Heading3"/>
        <w:rPr>
          <w:color w:val="auto"/>
        </w:rPr>
      </w:pPr>
      <w:r w:rsidRPr="00FE67FC">
        <w:rPr>
          <w:color w:val="auto"/>
        </w:rPr>
        <w:t xml:space="preserve">Use in pregnancy </w:t>
      </w:r>
    </w:p>
    <w:p w14:paraId="226742A2" w14:textId="37383063" w:rsidR="00B1134D" w:rsidRPr="00204BDD" w:rsidRDefault="0031764D" w:rsidP="00204BDD">
      <w:pPr>
        <w:pStyle w:val="Paragraph"/>
        <w:spacing w:after="120"/>
        <w:rPr>
          <w:b/>
        </w:rPr>
      </w:pPr>
      <w:r w:rsidRPr="00FE67FC">
        <w:rPr>
          <w:b/>
        </w:rPr>
        <w:t xml:space="preserve">Category </w:t>
      </w:r>
      <w:r w:rsidR="001A239A">
        <w:rPr>
          <w:b/>
        </w:rPr>
        <w:t>B</w:t>
      </w:r>
      <w:r w:rsidR="000571B5">
        <w:rPr>
          <w:b/>
        </w:rPr>
        <w:t>2</w:t>
      </w:r>
      <w:r w:rsidRPr="00204BDD">
        <w:rPr>
          <w:b/>
        </w:rPr>
        <w:t xml:space="preserve"> </w:t>
      </w:r>
    </w:p>
    <w:p w14:paraId="21758B89" w14:textId="51EDACB8" w:rsidR="00B51201" w:rsidRPr="00B51201" w:rsidRDefault="00BB43EC" w:rsidP="00B51201">
      <w:pPr>
        <w:spacing w:after="120" w:line="300" w:lineRule="atLeast"/>
        <w:rPr>
          <w:color w:val="auto"/>
        </w:rPr>
      </w:pPr>
      <w:r w:rsidRPr="004663D3">
        <w:t xml:space="preserve">There are no or limited amount of data from the use of </w:t>
      </w:r>
      <w:proofErr w:type="spellStart"/>
      <w:r>
        <w:t>Ronapreve</w:t>
      </w:r>
      <w:proofErr w:type="spellEnd"/>
      <w:r w:rsidRPr="004663D3">
        <w:t xml:space="preserve"> in pregnant women. Animal studies </w:t>
      </w:r>
      <w:r w:rsidR="006608B6">
        <w:t>have not been performed</w:t>
      </w:r>
      <w:r w:rsidRPr="004663D3">
        <w:t xml:space="preserve"> with respect to reproductive toxicity. Human immunoglobulin G1 (IgG1) antibodies are known to cross the placenta. It is unknown whether the potential transfer of </w:t>
      </w:r>
      <w:proofErr w:type="spellStart"/>
      <w:r>
        <w:t>Ronapreve</w:t>
      </w:r>
      <w:proofErr w:type="spellEnd"/>
      <w:r w:rsidRPr="004663D3">
        <w:t xml:space="preserve"> provides any treatment benefit or risk to the developing </w:t>
      </w:r>
      <w:proofErr w:type="spellStart"/>
      <w:r w:rsidRPr="004663D3">
        <w:t>fetus</w:t>
      </w:r>
      <w:proofErr w:type="spellEnd"/>
      <w:r w:rsidRPr="004663D3">
        <w:t xml:space="preserve">. </w:t>
      </w:r>
      <w:proofErr w:type="spellStart"/>
      <w:r w:rsidRPr="004663D3">
        <w:t>Ronapreve</w:t>
      </w:r>
      <w:proofErr w:type="spellEnd"/>
      <w:r w:rsidRPr="004663D3">
        <w:t xml:space="preserve"> should be used during pregnancy only if the potential benefit justifies the potential risk for the mother and the </w:t>
      </w:r>
      <w:proofErr w:type="spellStart"/>
      <w:r w:rsidRPr="004663D3">
        <w:t>fetus</w:t>
      </w:r>
      <w:proofErr w:type="spellEnd"/>
      <w:r w:rsidRPr="004663D3">
        <w:t xml:space="preserve"> considering all associated health factors. If a woman becomes pregnant while taking this medicine, the individual should be informed that any potential risk to the </w:t>
      </w:r>
      <w:proofErr w:type="spellStart"/>
      <w:r w:rsidRPr="004663D3">
        <w:t>fetus</w:t>
      </w:r>
      <w:proofErr w:type="spellEnd"/>
      <w:r w:rsidRPr="004663D3">
        <w:t xml:space="preserve"> is unknown</w:t>
      </w:r>
      <w:r w:rsidR="00B51201" w:rsidRPr="00B51201">
        <w:rPr>
          <w:color w:val="auto"/>
        </w:rPr>
        <w:t>.</w:t>
      </w:r>
    </w:p>
    <w:p w14:paraId="6E741059" w14:textId="77777777" w:rsidR="00834C48" w:rsidRPr="00B51201" w:rsidRDefault="00674CFD" w:rsidP="00B1498F">
      <w:pPr>
        <w:pStyle w:val="Heading3"/>
        <w:rPr>
          <w:color w:val="auto"/>
        </w:rPr>
      </w:pPr>
      <w:r w:rsidRPr="00B51201">
        <w:rPr>
          <w:color w:val="auto"/>
        </w:rPr>
        <w:t>Use in lactation</w:t>
      </w:r>
      <w:r w:rsidR="00834C48" w:rsidRPr="00B51201">
        <w:rPr>
          <w:color w:val="auto"/>
        </w:rPr>
        <w:t xml:space="preserve"> </w:t>
      </w:r>
    </w:p>
    <w:p w14:paraId="0DF1665D" w14:textId="77777777" w:rsidR="00BB43EC" w:rsidRPr="004663D3" w:rsidRDefault="00BB43EC" w:rsidP="00BB43EC">
      <w:pPr>
        <w:rPr>
          <w:noProof/>
        </w:rPr>
      </w:pPr>
      <w:r w:rsidRPr="000D5746">
        <w:rPr>
          <w:noProof/>
        </w:rPr>
        <w:t>There are no available data on the presence of casirivimab and/or imdevimab in human milk or animal milk, the effects on the breastfed infant, or the effects of the drug on milk production.</w:t>
      </w:r>
      <w:r>
        <w:rPr>
          <w:noProof/>
        </w:rPr>
        <w:t xml:space="preserve"> </w:t>
      </w:r>
      <w:r w:rsidRPr="004663D3">
        <w:rPr>
          <w:noProof/>
        </w:rPr>
        <w:t>A risk to the newborns/infants cannot be excluded.</w:t>
      </w:r>
    </w:p>
    <w:p w14:paraId="00F0BFCD" w14:textId="77777777" w:rsidR="00BB43EC" w:rsidRPr="004663D3" w:rsidRDefault="00BB43EC" w:rsidP="00BB43EC">
      <w:pPr>
        <w:rPr>
          <w:noProof/>
        </w:rPr>
      </w:pPr>
    </w:p>
    <w:p w14:paraId="75A41BD1" w14:textId="631623E1" w:rsidR="00834C48" w:rsidRPr="00A807D3" w:rsidRDefault="00BB43EC" w:rsidP="00B8096C">
      <w:pPr>
        <w:spacing w:after="240"/>
        <w:rPr>
          <w:color w:val="auto"/>
        </w:rPr>
      </w:pPr>
      <w:r w:rsidRPr="004663D3">
        <w:rPr>
          <w:rFonts w:eastAsia="Calibri"/>
          <w:lang w:val="en-GB" w:eastAsia="en-US"/>
        </w:rPr>
        <w:t>Maternal IgG is known to be present in human milk</w:t>
      </w:r>
      <w:r w:rsidRPr="004663D3">
        <w:rPr>
          <w:noProof/>
        </w:rPr>
        <w:t xml:space="preserve"> and any potential risk of adverse reactions from the drug in breast-feeding infants is unknown, a decision must be made whether to discontinue breast-feeding or to discontinue/abstain from Ronapreve therapy taking into account the benefit of breast-feeding for the child and the benefit of therapy for the woman. </w:t>
      </w:r>
    </w:p>
    <w:p w14:paraId="5EE6FFAB" w14:textId="77777777" w:rsidR="00D52399" w:rsidRPr="00A807D3" w:rsidRDefault="00902EBE" w:rsidP="009F4C5B">
      <w:pPr>
        <w:pStyle w:val="Heading2"/>
        <w:spacing w:before="0"/>
        <w:rPr>
          <w:color w:val="auto"/>
        </w:rPr>
      </w:pPr>
      <w:r w:rsidRPr="00A807D3">
        <w:rPr>
          <w:color w:val="auto"/>
        </w:rPr>
        <w:t>4.7</w:t>
      </w:r>
      <w:r w:rsidRPr="00A807D3">
        <w:rPr>
          <w:color w:val="auto"/>
        </w:rPr>
        <w:tab/>
        <w:t>EFFECTS ON ABILITY TO DRIVE AND USE MACHINES</w:t>
      </w:r>
    </w:p>
    <w:p w14:paraId="363781AF" w14:textId="62C1FB47" w:rsidR="00DE388D" w:rsidRPr="00A807D3" w:rsidRDefault="00BB43EC" w:rsidP="00B8096C">
      <w:pPr>
        <w:spacing w:after="240" w:line="300" w:lineRule="atLeast"/>
        <w:rPr>
          <w:color w:val="auto"/>
        </w:rPr>
      </w:pPr>
      <w:r w:rsidRPr="004663D3">
        <w:rPr>
          <w:noProof/>
        </w:rPr>
        <w:t>Ronapreve has no or negligible influence on the ability to drive and use machines</w:t>
      </w:r>
      <w:r w:rsidR="00DE388D" w:rsidRPr="00A807D3">
        <w:rPr>
          <w:color w:val="auto"/>
        </w:rPr>
        <w:t>.</w:t>
      </w:r>
    </w:p>
    <w:p w14:paraId="193737D8" w14:textId="5ACA4A7F" w:rsidR="00D52399" w:rsidRPr="00A807D3" w:rsidRDefault="00902EBE" w:rsidP="009F4C5B">
      <w:pPr>
        <w:pStyle w:val="Heading2"/>
        <w:spacing w:before="0"/>
        <w:rPr>
          <w:color w:val="auto"/>
        </w:rPr>
      </w:pPr>
      <w:r w:rsidRPr="00A807D3">
        <w:rPr>
          <w:color w:val="auto"/>
        </w:rPr>
        <w:t>4.8</w:t>
      </w:r>
      <w:r w:rsidRPr="00A807D3">
        <w:rPr>
          <w:color w:val="auto"/>
        </w:rPr>
        <w:tab/>
        <w:t>ADVERSE EFFECTS (UNDESIRABLE EFFECTS)</w:t>
      </w:r>
    </w:p>
    <w:p w14:paraId="42867618" w14:textId="2C776F17" w:rsidR="00DE388D" w:rsidRPr="00A807D3" w:rsidRDefault="00DE388D" w:rsidP="00204BDD">
      <w:pPr>
        <w:pStyle w:val="Heading3"/>
      </w:pPr>
      <w:r w:rsidRPr="00A807D3">
        <w:t>Summary of the safety profile</w:t>
      </w:r>
    </w:p>
    <w:p w14:paraId="610CF8F7" w14:textId="77777777" w:rsidR="00BB43EC" w:rsidRPr="004663D3" w:rsidRDefault="00BB43EC" w:rsidP="00BB43EC">
      <w:bookmarkStart w:id="5" w:name="_Hlk75351967"/>
      <w:r w:rsidRPr="004663D3">
        <w:t xml:space="preserve">Overall, approximately 7116 subjects (approximately 4666 via IV administration and 2450 via subcutaneous administration) have been treated with </w:t>
      </w:r>
      <w:proofErr w:type="spellStart"/>
      <w:r w:rsidRPr="004663D3">
        <w:t>Ronapreve</w:t>
      </w:r>
      <w:proofErr w:type="spellEnd"/>
      <w:r w:rsidRPr="004663D3">
        <w:t xml:space="preserve"> in clinical trials which support the listed indications</w:t>
      </w:r>
      <w:bookmarkEnd w:id="5"/>
      <w:r w:rsidRPr="004663D3">
        <w:t xml:space="preserve">. Since </w:t>
      </w:r>
      <w:proofErr w:type="spellStart"/>
      <w:r w:rsidRPr="004663D3">
        <w:t>Ronapreve</w:t>
      </w:r>
      <w:proofErr w:type="spellEnd"/>
      <w:r w:rsidRPr="004663D3">
        <w:t xml:space="preserve"> can be administered either as intravenous infusion or as subcutaneous injection for the treatment and prevention of COVID-19, the safety profile has been presented in relation to the route of administration. The safety profile of IV administration is primarily based on the pooled safety data analysis of the study COV</w:t>
      </w:r>
      <w:r w:rsidRPr="004663D3">
        <w:noBreakHyphen/>
        <w:t xml:space="preserve">2067 (phase 1/2/3) while for the subcutaneous route, it is based primarily on the study COV-2069. Expanded analysis has also been performed on safety data from the supportive studies (COV-20145, HV-2093). </w:t>
      </w:r>
    </w:p>
    <w:p w14:paraId="49B8132A" w14:textId="77777777" w:rsidR="00BB43EC" w:rsidRPr="004663D3" w:rsidRDefault="00BB43EC" w:rsidP="00BB43EC"/>
    <w:p w14:paraId="37945A7B" w14:textId="3F1740D3" w:rsidR="00B51201" w:rsidRDefault="006608B6" w:rsidP="00BB43EC">
      <w:pPr>
        <w:pStyle w:val="NormalWeb"/>
        <w:spacing w:before="0" w:beforeAutospacing="0" w:after="120" w:afterAutospacing="0" w:line="300" w:lineRule="atLeast"/>
      </w:pPr>
      <w:r>
        <w:t xml:space="preserve">The most frequently reported </w:t>
      </w:r>
      <w:r w:rsidR="00BB43EC" w:rsidRPr="004663D3">
        <w:t xml:space="preserve">adverse drug reactions (ADRs) </w:t>
      </w:r>
      <w:r>
        <w:t>are</w:t>
      </w:r>
      <w:r w:rsidR="00BB43EC" w:rsidRPr="004663D3">
        <w:t xml:space="preserve"> hypersensitivity reactions which include infusion related reactions and injection site reactions (ISRs). </w:t>
      </w:r>
    </w:p>
    <w:p w14:paraId="3C376936" w14:textId="77777777" w:rsidR="00DE388D" w:rsidRPr="00A807D3" w:rsidRDefault="00DE388D" w:rsidP="00204BDD">
      <w:pPr>
        <w:pStyle w:val="Heading3"/>
      </w:pPr>
      <w:r w:rsidRPr="00A807D3">
        <w:t>Tabulated summary of adverse reactions from clinical trials</w:t>
      </w:r>
    </w:p>
    <w:p w14:paraId="34CBFFAE" w14:textId="6592493A" w:rsidR="00DE388D" w:rsidRDefault="00BB43EC" w:rsidP="00BB43EC">
      <w:pPr>
        <w:pStyle w:val="NormalWeb"/>
        <w:spacing w:before="0" w:beforeAutospacing="0" w:after="240" w:afterAutospacing="0" w:line="300" w:lineRule="atLeast"/>
      </w:pPr>
      <w:r w:rsidRPr="004663D3">
        <w:rPr>
          <w:noProof/>
        </w:rPr>
        <w:t>The adverse reactions in Table 4 are listed below by system organ class and frequency. Frequencies are defined as Very common (≥ 1/10), (Common (≥ 1/100 to 1/10), Uncommon (≥ 1/1,000 to &lt; 1/100), Rare (≥ 1/10,000 to 1/1,000), Very rare (&lt; 1/10,000)</w:t>
      </w:r>
      <w:r w:rsidR="00B51201">
        <w:t>.</w:t>
      </w:r>
    </w:p>
    <w:p w14:paraId="7FE57843" w14:textId="51B942B8" w:rsidR="00BB43EC" w:rsidRPr="00BB43EC" w:rsidRDefault="00BB43EC" w:rsidP="00BB43EC">
      <w:pPr>
        <w:pStyle w:val="Caption"/>
        <w:keepLines/>
        <w:spacing w:after="120"/>
        <w:ind w:left="562" w:hanging="562"/>
        <w:rPr>
          <w:b/>
          <w:noProof/>
        </w:rPr>
      </w:pPr>
      <w:r w:rsidRPr="00BB43EC">
        <w:rPr>
          <w:b/>
          <w:noProof/>
        </w:rPr>
        <w:lastRenderedPageBreak/>
        <w:t>Table 4: Tabulated list of adverse reactions identified from Clinical Trials</w:t>
      </w:r>
    </w:p>
    <w:tbl>
      <w:tblPr>
        <w:tblW w:w="8686" w:type="dxa"/>
        <w:tblCellMar>
          <w:left w:w="0" w:type="dxa"/>
          <w:right w:w="0" w:type="dxa"/>
        </w:tblCellMar>
        <w:tblLook w:val="0400" w:firstRow="0" w:lastRow="0" w:firstColumn="0" w:lastColumn="0" w:noHBand="0" w:noVBand="1"/>
      </w:tblPr>
      <w:tblGrid>
        <w:gridCol w:w="20"/>
        <w:gridCol w:w="3030"/>
        <w:gridCol w:w="2160"/>
        <w:gridCol w:w="1738"/>
        <w:gridCol w:w="1738"/>
      </w:tblGrid>
      <w:tr w:rsidR="00BB43EC" w:rsidRPr="000D5746" w14:paraId="5EBFBFB3" w14:textId="77777777" w:rsidTr="00813E59">
        <w:trPr>
          <w:trHeight w:val="420"/>
        </w:trPr>
        <w:tc>
          <w:tcPr>
            <w:tcW w:w="305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143962E" w14:textId="77777777" w:rsidR="00BB43EC" w:rsidRPr="000D5746" w:rsidRDefault="00BB43EC" w:rsidP="00813E59">
            <w:pPr>
              <w:keepNext/>
              <w:keepLines/>
              <w:jc w:val="center"/>
              <w:rPr>
                <w:rFonts w:eastAsia="SimSun"/>
                <w:sz w:val="22"/>
                <w:szCs w:val="22"/>
                <w:lang w:eastAsia="zh-CN"/>
              </w:rPr>
            </w:pPr>
            <w:r w:rsidRPr="000D5746">
              <w:rPr>
                <w:rFonts w:eastAsia="SimSun"/>
                <w:b/>
                <w:bCs/>
                <w:sz w:val="22"/>
                <w:szCs w:val="22"/>
                <w:lang w:eastAsia="zh-CN"/>
              </w:rPr>
              <w:t>MedDRA System organ class</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8E535A8" w14:textId="77777777" w:rsidR="00BB43EC" w:rsidRPr="000D5746" w:rsidRDefault="00BB43EC" w:rsidP="00813E59">
            <w:pPr>
              <w:keepNext/>
              <w:keepLines/>
              <w:jc w:val="center"/>
              <w:rPr>
                <w:rFonts w:eastAsia="SimSun"/>
                <w:sz w:val="22"/>
                <w:szCs w:val="22"/>
                <w:lang w:eastAsia="zh-CN"/>
              </w:rPr>
            </w:pPr>
            <w:r w:rsidRPr="000D5746">
              <w:rPr>
                <w:rFonts w:eastAsia="SimSun"/>
                <w:b/>
                <w:bCs/>
                <w:sz w:val="22"/>
                <w:szCs w:val="22"/>
                <w:lang w:eastAsia="zh-CN"/>
              </w:rPr>
              <w:t>Adverse Reaction</w:t>
            </w:r>
          </w:p>
        </w:tc>
        <w:tc>
          <w:tcPr>
            <w:tcW w:w="1738" w:type="dxa"/>
            <w:tcBorders>
              <w:top w:val="single" w:sz="8" w:space="0" w:color="000000"/>
              <w:left w:val="single" w:sz="8" w:space="0" w:color="000000"/>
              <w:bottom w:val="single" w:sz="8" w:space="0" w:color="000000"/>
              <w:right w:val="single" w:sz="8" w:space="0" w:color="000000"/>
            </w:tcBorders>
          </w:tcPr>
          <w:p w14:paraId="4C484ACB" w14:textId="77777777" w:rsidR="00BB43EC" w:rsidRPr="000D5746" w:rsidRDefault="00BB43EC" w:rsidP="00813E59">
            <w:pPr>
              <w:keepNext/>
              <w:keepLines/>
              <w:jc w:val="center"/>
              <w:rPr>
                <w:rFonts w:eastAsia="SimSun"/>
                <w:b/>
                <w:bCs/>
                <w:sz w:val="22"/>
                <w:szCs w:val="22"/>
                <w:lang w:eastAsia="zh-CN"/>
              </w:rPr>
            </w:pPr>
            <w:r w:rsidRPr="000D5746">
              <w:rPr>
                <w:b/>
                <w:bCs/>
                <w:sz w:val="22"/>
                <w:szCs w:val="22"/>
              </w:rPr>
              <w:t>Frequency in Study</w:t>
            </w:r>
          </w:p>
        </w:tc>
        <w:tc>
          <w:tcPr>
            <w:tcW w:w="17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C6A22A5" w14:textId="77777777" w:rsidR="00BB43EC" w:rsidRPr="000D5746" w:rsidRDefault="00BB43EC" w:rsidP="00813E59">
            <w:pPr>
              <w:keepNext/>
              <w:keepLines/>
              <w:jc w:val="center"/>
              <w:rPr>
                <w:rFonts w:eastAsia="SimSun"/>
                <w:sz w:val="22"/>
                <w:szCs w:val="22"/>
                <w:lang w:eastAsia="zh-CN"/>
              </w:rPr>
            </w:pPr>
            <w:r w:rsidRPr="000D5746">
              <w:rPr>
                <w:rFonts w:eastAsia="SimSun"/>
                <w:b/>
                <w:bCs/>
                <w:sz w:val="22"/>
                <w:szCs w:val="22"/>
                <w:lang w:eastAsia="zh-CN"/>
              </w:rPr>
              <w:t>Frequency Category</w:t>
            </w:r>
          </w:p>
        </w:tc>
      </w:tr>
      <w:tr w:rsidR="00BB43EC" w:rsidRPr="000D5746" w14:paraId="52228425" w14:textId="77777777" w:rsidTr="00813E59">
        <w:trPr>
          <w:trHeight w:val="295"/>
        </w:trPr>
        <w:tc>
          <w:tcPr>
            <w:tcW w:w="8686" w:type="dxa"/>
            <w:gridSpan w:val="5"/>
            <w:tcBorders>
              <w:top w:val="single" w:sz="8" w:space="0" w:color="000000"/>
              <w:left w:val="single" w:sz="8" w:space="0" w:color="000000"/>
              <w:bottom w:val="single" w:sz="8" w:space="0" w:color="000000"/>
              <w:right w:val="single" w:sz="8" w:space="0" w:color="000000"/>
            </w:tcBorders>
            <w:shd w:val="clear" w:color="auto" w:fill="FFFFFF" w:themeFill="background1"/>
          </w:tcPr>
          <w:p w14:paraId="7D2A12DC" w14:textId="77777777" w:rsidR="00BB43EC" w:rsidRPr="000D5746" w:rsidRDefault="00BB43EC" w:rsidP="00813E59">
            <w:pPr>
              <w:keepNext/>
              <w:keepLines/>
              <w:jc w:val="center"/>
              <w:rPr>
                <w:rFonts w:eastAsia="SimSun"/>
                <w:sz w:val="22"/>
                <w:szCs w:val="22"/>
                <w:lang w:eastAsia="zh-CN"/>
              </w:rPr>
            </w:pPr>
            <w:r w:rsidRPr="000D5746">
              <w:rPr>
                <w:rFonts w:eastAsia="SimSun"/>
                <w:b/>
                <w:bCs/>
                <w:sz w:val="22"/>
                <w:szCs w:val="22"/>
                <w:lang w:eastAsia="zh-CN"/>
              </w:rPr>
              <w:t>Intravenous administration</w:t>
            </w:r>
          </w:p>
        </w:tc>
      </w:tr>
      <w:tr w:rsidR="00BB43EC" w:rsidRPr="000D5746" w14:paraId="00A8A9D9" w14:textId="77777777" w:rsidTr="00813E59">
        <w:trPr>
          <w:trHeight w:val="276"/>
        </w:trPr>
        <w:tc>
          <w:tcPr>
            <w:tcW w:w="3050" w:type="dxa"/>
            <w:gridSpan w:val="2"/>
            <w:tcBorders>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13473F5" w14:textId="77777777" w:rsidR="00BB43EC" w:rsidRPr="000D5746" w:rsidRDefault="00BB43EC" w:rsidP="00813E59">
            <w:pPr>
              <w:keepNext/>
              <w:keepLines/>
              <w:jc w:val="both"/>
              <w:rPr>
                <w:rFonts w:eastAsia="SimSun"/>
                <w:sz w:val="22"/>
                <w:szCs w:val="22"/>
                <w:lang w:eastAsia="zh-CN"/>
              </w:rPr>
            </w:pPr>
            <w:r w:rsidRPr="000D5746">
              <w:rPr>
                <w:rFonts w:eastAsia="SimSun"/>
                <w:sz w:val="22"/>
                <w:szCs w:val="22"/>
                <w:lang w:eastAsia="zh-CN"/>
              </w:rPr>
              <w:t>Immune system disorders</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45142CA" w14:textId="77777777" w:rsidR="00BB43EC" w:rsidRPr="000D5746" w:rsidRDefault="00BB43EC" w:rsidP="00813E59">
            <w:pPr>
              <w:keepNext/>
              <w:keepLines/>
              <w:jc w:val="both"/>
              <w:rPr>
                <w:rFonts w:eastAsia="SimSun"/>
                <w:sz w:val="22"/>
                <w:szCs w:val="22"/>
                <w:lang w:eastAsia="zh-CN"/>
              </w:rPr>
            </w:pPr>
            <w:r w:rsidRPr="000D5746">
              <w:rPr>
                <w:rFonts w:eastAsia="SimSun"/>
                <w:sz w:val="22"/>
                <w:szCs w:val="22"/>
                <w:lang w:eastAsia="zh-CN"/>
              </w:rPr>
              <w:t>Anaphylaxis</w:t>
            </w:r>
            <w:r w:rsidRPr="000D5746">
              <w:rPr>
                <w:rFonts w:eastAsia="SimSun"/>
                <w:sz w:val="22"/>
                <w:szCs w:val="22"/>
                <w:vertAlign w:val="superscript"/>
                <w:lang w:eastAsia="zh-CN"/>
              </w:rPr>
              <w:t>3</w:t>
            </w:r>
          </w:p>
        </w:tc>
        <w:tc>
          <w:tcPr>
            <w:tcW w:w="1738" w:type="dxa"/>
            <w:tcBorders>
              <w:top w:val="single" w:sz="8" w:space="0" w:color="000000"/>
              <w:left w:val="single" w:sz="8" w:space="0" w:color="000000"/>
              <w:bottom w:val="single" w:sz="8" w:space="0" w:color="000000"/>
              <w:right w:val="single" w:sz="8" w:space="0" w:color="000000"/>
            </w:tcBorders>
          </w:tcPr>
          <w:p w14:paraId="5C7C0F7B" w14:textId="7194BF66" w:rsidR="00BB43EC" w:rsidRPr="000D5746" w:rsidRDefault="00BB43EC" w:rsidP="00813E59">
            <w:pPr>
              <w:keepNext/>
              <w:keepLines/>
              <w:jc w:val="center"/>
              <w:rPr>
                <w:rFonts w:eastAsia="SimSun"/>
                <w:bCs/>
                <w:sz w:val="22"/>
                <w:szCs w:val="22"/>
                <w:lang w:eastAsia="zh-CN"/>
              </w:rPr>
            </w:pPr>
            <w:r w:rsidRPr="000D5746">
              <w:rPr>
                <w:sz w:val="22"/>
                <w:szCs w:val="22"/>
              </w:rPr>
              <w:t>0.0</w:t>
            </w:r>
            <w:r w:rsidR="007535E3">
              <w:rPr>
                <w:sz w:val="22"/>
                <w:szCs w:val="22"/>
              </w:rPr>
              <w:t>2</w:t>
            </w:r>
            <w:r w:rsidRPr="000D5746">
              <w:rPr>
                <w:sz w:val="22"/>
                <w:szCs w:val="22"/>
              </w:rPr>
              <w:t>%</w:t>
            </w:r>
            <w:r w:rsidRPr="000D5746">
              <w:rPr>
                <w:sz w:val="22"/>
                <w:szCs w:val="22"/>
                <w:vertAlign w:val="superscript"/>
              </w:rPr>
              <w:t>3</w:t>
            </w:r>
          </w:p>
        </w:tc>
        <w:tc>
          <w:tcPr>
            <w:tcW w:w="17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E6AC232" w14:textId="6D63F7DF" w:rsidR="00BB43EC" w:rsidRPr="000D5746" w:rsidRDefault="005751F2" w:rsidP="005751F2">
            <w:pPr>
              <w:keepNext/>
              <w:keepLines/>
              <w:jc w:val="both"/>
              <w:rPr>
                <w:rFonts w:eastAsia="SimSun"/>
                <w:bCs/>
                <w:sz w:val="22"/>
                <w:szCs w:val="22"/>
                <w:lang w:eastAsia="zh-CN"/>
              </w:rPr>
            </w:pPr>
            <w:r>
              <w:rPr>
                <w:rFonts w:eastAsia="SimSun"/>
                <w:bCs/>
                <w:sz w:val="22"/>
                <w:szCs w:val="22"/>
                <w:lang w:eastAsia="zh-CN"/>
              </w:rPr>
              <w:t>R</w:t>
            </w:r>
            <w:r w:rsidR="00BB43EC" w:rsidRPr="000D5746">
              <w:rPr>
                <w:rFonts w:eastAsia="SimSun"/>
                <w:bCs/>
                <w:sz w:val="22"/>
                <w:szCs w:val="22"/>
                <w:lang w:eastAsia="zh-CN"/>
              </w:rPr>
              <w:t>are</w:t>
            </w:r>
          </w:p>
        </w:tc>
      </w:tr>
      <w:tr w:rsidR="00BB43EC" w:rsidRPr="000D5746" w14:paraId="43864F5A" w14:textId="77777777" w:rsidTr="00813E59">
        <w:trPr>
          <w:trHeight w:val="274"/>
        </w:trPr>
        <w:tc>
          <w:tcPr>
            <w:tcW w:w="305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188875A" w14:textId="77777777" w:rsidR="00BB43EC" w:rsidRPr="000D5746" w:rsidRDefault="00BB43EC" w:rsidP="00813E59">
            <w:pPr>
              <w:keepNext/>
              <w:keepLines/>
              <w:jc w:val="both"/>
              <w:rPr>
                <w:rFonts w:eastAsia="SimSun"/>
                <w:sz w:val="22"/>
                <w:szCs w:val="22"/>
                <w:lang w:eastAsia="zh-CN"/>
              </w:rPr>
            </w:pPr>
            <w:r w:rsidRPr="000D5746">
              <w:rPr>
                <w:rFonts w:eastAsia="SimSun"/>
                <w:sz w:val="22"/>
                <w:szCs w:val="22"/>
                <w:lang w:eastAsia="zh-CN"/>
              </w:rPr>
              <w:t>Nervous system disorders</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DBD7744" w14:textId="77777777" w:rsidR="00BB43EC" w:rsidRPr="000D5746" w:rsidRDefault="00BB43EC" w:rsidP="00813E59">
            <w:pPr>
              <w:keepNext/>
              <w:keepLines/>
              <w:jc w:val="both"/>
              <w:rPr>
                <w:rFonts w:eastAsia="SimSun"/>
                <w:sz w:val="22"/>
                <w:szCs w:val="22"/>
                <w:lang w:eastAsia="zh-CN"/>
              </w:rPr>
            </w:pPr>
            <w:r w:rsidRPr="000D5746">
              <w:rPr>
                <w:rFonts w:eastAsia="SimSun"/>
                <w:sz w:val="22"/>
                <w:szCs w:val="22"/>
                <w:lang w:eastAsia="zh-CN"/>
              </w:rPr>
              <w:t>Dizziness</w:t>
            </w:r>
            <w:r w:rsidRPr="000D5746">
              <w:rPr>
                <w:rFonts w:eastAsia="SimSun"/>
                <w:sz w:val="22"/>
                <w:szCs w:val="22"/>
                <w:vertAlign w:val="superscript"/>
                <w:lang w:eastAsia="zh-CN"/>
              </w:rPr>
              <w:t>2</w:t>
            </w:r>
            <w:r w:rsidRPr="000D5746">
              <w:rPr>
                <w:rFonts w:eastAsia="SimSun"/>
                <w:sz w:val="22"/>
                <w:szCs w:val="22"/>
                <w:lang w:eastAsia="zh-CN"/>
              </w:rPr>
              <w:t>*</w:t>
            </w:r>
          </w:p>
        </w:tc>
        <w:tc>
          <w:tcPr>
            <w:tcW w:w="1738" w:type="dxa"/>
            <w:tcBorders>
              <w:top w:val="single" w:sz="8" w:space="0" w:color="000000"/>
              <w:left w:val="single" w:sz="8" w:space="0" w:color="000000"/>
              <w:bottom w:val="single" w:sz="8" w:space="0" w:color="000000"/>
              <w:right w:val="single" w:sz="8" w:space="0" w:color="000000"/>
            </w:tcBorders>
          </w:tcPr>
          <w:p w14:paraId="78953C66" w14:textId="77777777" w:rsidR="00BB43EC" w:rsidRPr="000D5746" w:rsidRDefault="00BB43EC" w:rsidP="00813E59">
            <w:pPr>
              <w:keepNext/>
              <w:keepLines/>
              <w:jc w:val="center"/>
              <w:rPr>
                <w:rFonts w:eastAsia="SimSun"/>
                <w:bCs/>
                <w:sz w:val="22"/>
                <w:szCs w:val="22"/>
                <w:lang w:eastAsia="zh-CN"/>
              </w:rPr>
            </w:pPr>
            <w:r w:rsidRPr="000D5746">
              <w:rPr>
                <w:sz w:val="22"/>
                <w:szCs w:val="22"/>
              </w:rPr>
              <w:t>0.2%</w:t>
            </w:r>
            <w:r w:rsidRPr="000D5746">
              <w:rPr>
                <w:sz w:val="22"/>
                <w:szCs w:val="22"/>
                <w:vertAlign w:val="superscript"/>
              </w:rPr>
              <w:t>2</w:t>
            </w:r>
          </w:p>
        </w:tc>
        <w:tc>
          <w:tcPr>
            <w:tcW w:w="17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03B06F3" w14:textId="77777777" w:rsidR="00BB43EC" w:rsidRPr="000D5746" w:rsidRDefault="00BB43EC" w:rsidP="00813E59">
            <w:pPr>
              <w:keepNext/>
              <w:keepLines/>
              <w:jc w:val="both"/>
              <w:rPr>
                <w:rFonts w:eastAsia="SimSun"/>
                <w:bCs/>
                <w:sz w:val="22"/>
                <w:szCs w:val="22"/>
                <w:lang w:eastAsia="zh-CN"/>
              </w:rPr>
            </w:pPr>
            <w:r w:rsidRPr="000D5746">
              <w:rPr>
                <w:rFonts w:eastAsia="SimSun"/>
                <w:bCs/>
                <w:sz w:val="22"/>
                <w:szCs w:val="22"/>
                <w:lang w:eastAsia="zh-CN"/>
              </w:rPr>
              <w:t>Uncommon</w:t>
            </w:r>
          </w:p>
        </w:tc>
      </w:tr>
      <w:tr w:rsidR="00BB43EC" w:rsidRPr="000D5746" w14:paraId="11AC5E31" w14:textId="77777777" w:rsidTr="00813E59">
        <w:trPr>
          <w:trHeight w:val="256"/>
        </w:trPr>
        <w:tc>
          <w:tcPr>
            <w:tcW w:w="305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29EF695" w14:textId="77777777" w:rsidR="00BB43EC" w:rsidRPr="000D5746" w:rsidRDefault="00BB43EC" w:rsidP="00813E59">
            <w:pPr>
              <w:keepNext/>
              <w:keepLines/>
              <w:jc w:val="both"/>
              <w:rPr>
                <w:rFonts w:eastAsia="SimSun"/>
                <w:sz w:val="22"/>
                <w:szCs w:val="22"/>
                <w:lang w:eastAsia="zh-CN"/>
              </w:rPr>
            </w:pPr>
            <w:r w:rsidRPr="000D5746">
              <w:rPr>
                <w:rFonts w:eastAsia="SimSun"/>
                <w:sz w:val="22"/>
                <w:szCs w:val="22"/>
                <w:lang w:eastAsia="zh-CN"/>
              </w:rPr>
              <w:t xml:space="preserve">Vascular disorders </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7665F28" w14:textId="77777777" w:rsidR="00BB43EC" w:rsidRPr="000D5746" w:rsidRDefault="00BB43EC" w:rsidP="00813E59">
            <w:pPr>
              <w:keepNext/>
              <w:keepLines/>
              <w:jc w:val="both"/>
              <w:rPr>
                <w:rFonts w:eastAsia="SimSun"/>
                <w:sz w:val="22"/>
                <w:szCs w:val="22"/>
                <w:lang w:eastAsia="zh-CN"/>
              </w:rPr>
            </w:pPr>
            <w:r w:rsidRPr="000D5746">
              <w:rPr>
                <w:rFonts w:eastAsia="SimSun"/>
                <w:sz w:val="22"/>
                <w:szCs w:val="22"/>
                <w:lang w:eastAsia="zh-CN"/>
              </w:rPr>
              <w:t>Flushing</w:t>
            </w:r>
            <w:r w:rsidRPr="000D5746">
              <w:rPr>
                <w:rFonts w:eastAsia="SimSun"/>
                <w:sz w:val="22"/>
                <w:szCs w:val="22"/>
                <w:vertAlign w:val="superscript"/>
                <w:lang w:eastAsia="zh-CN"/>
              </w:rPr>
              <w:t>2</w:t>
            </w:r>
            <w:r w:rsidRPr="000D5746">
              <w:rPr>
                <w:rFonts w:eastAsia="SimSun"/>
                <w:sz w:val="22"/>
                <w:szCs w:val="22"/>
                <w:lang w:eastAsia="zh-CN"/>
              </w:rPr>
              <w:t>*</w:t>
            </w:r>
          </w:p>
        </w:tc>
        <w:tc>
          <w:tcPr>
            <w:tcW w:w="1738" w:type="dxa"/>
            <w:tcBorders>
              <w:top w:val="single" w:sz="8" w:space="0" w:color="000000"/>
              <w:left w:val="single" w:sz="8" w:space="0" w:color="000000"/>
              <w:bottom w:val="single" w:sz="8" w:space="0" w:color="000000"/>
              <w:right w:val="single" w:sz="8" w:space="0" w:color="000000"/>
            </w:tcBorders>
          </w:tcPr>
          <w:p w14:paraId="2D5D881B" w14:textId="77777777" w:rsidR="00BB43EC" w:rsidRPr="000D5746" w:rsidRDefault="00BB43EC" w:rsidP="00813E59">
            <w:pPr>
              <w:jc w:val="center"/>
              <w:rPr>
                <w:sz w:val="22"/>
                <w:szCs w:val="22"/>
              </w:rPr>
            </w:pPr>
            <w:r w:rsidRPr="000D5746">
              <w:rPr>
                <w:sz w:val="22"/>
                <w:szCs w:val="22"/>
              </w:rPr>
              <w:t>&lt;0.1%</w:t>
            </w:r>
            <w:r w:rsidRPr="000D5746">
              <w:rPr>
                <w:sz w:val="22"/>
                <w:szCs w:val="22"/>
                <w:vertAlign w:val="superscript"/>
              </w:rPr>
              <w:t>2</w:t>
            </w:r>
          </w:p>
        </w:tc>
        <w:tc>
          <w:tcPr>
            <w:tcW w:w="17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83B2FF9" w14:textId="77777777" w:rsidR="00BB43EC" w:rsidRPr="000D5746" w:rsidRDefault="00BB43EC" w:rsidP="00813E59">
            <w:pPr>
              <w:keepNext/>
              <w:keepLines/>
              <w:jc w:val="both"/>
              <w:rPr>
                <w:rFonts w:eastAsia="SimSun"/>
                <w:bCs/>
                <w:sz w:val="22"/>
                <w:szCs w:val="22"/>
                <w:lang w:eastAsia="zh-CN"/>
              </w:rPr>
            </w:pPr>
            <w:r w:rsidRPr="000D5746">
              <w:rPr>
                <w:rFonts w:eastAsia="SimSun"/>
                <w:bCs/>
                <w:sz w:val="22"/>
                <w:szCs w:val="22"/>
                <w:lang w:eastAsia="zh-CN"/>
              </w:rPr>
              <w:t>Rare</w:t>
            </w:r>
          </w:p>
        </w:tc>
      </w:tr>
      <w:tr w:rsidR="00BB43EC" w:rsidRPr="000D5746" w14:paraId="611AEF07" w14:textId="77777777" w:rsidTr="00813E59">
        <w:trPr>
          <w:trHeight w:val="33"/>
        </w:trPr>
        <w:tc>
          <w:tcPr>
            <w:tcW w:w="305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CA645A9" w14:textId="77777777" w:rsidR="00BB43EC" w:rsidRPr="000D5746" w:rsidRDefault="00BB43EC" w:rsidP="00813E59">
            <w:pPr>
              <w:keepNext/>
              <w:keepLines/>
              <w:jc w:val="both"/>
              <w:rPr>
                <w:rFonts w:eastAsia="SimSun"/>
                <w:sz w:val="22"/>
                <w:szCs w:val="22"/>
                <w:lang w:eastAsia="zh-CN"/>
              </w:rPr>
            </w:pPr>
            <w:r w:rsidRPr="000D5746">
              <w:rPr>
                <w:rFonts w:eastAsia="SimSun"/>
                <w:sz w:val="22"/>
                <w:szCs w:val="22"/>
                <w:lang w:eastAsia="zh-CN"/>
              </w:rPr>
              <w:t>Gastrointestinal disorders</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1CB1F4A" w14:textId="77777777" w:rsidR="00BB43EC" w:rsidRPr="000D5746" w:rsidRDefault="00BB43EC" w:rsidP="00813E59">
            <w:pPr>
              <w:keepNext/>
              <w:keepLines/>
              <w:jc w:val="both"/>
              <w:rPr>
                <w:rFonts w:eastAsia="SimSun"/>
                <w:sz w:val="22"/>
                <w:szCs w:val="22"/>
                <w:lang w:eastAsia="zh-CN"/>
              </w:rPr>
            </w:pPr>
            <w:r w:rsidRPr="000D5746">
              <w:rPr>
                <w:rFonts w:eastAsia="SimSun"/>
                <w:sz w:val="22"/>
                <w:szCs w:val="22"/>
                <w:lang w:eastAsia="zh-CN"/>
              </w:rPr>
              <w:t>Nausea</w:t>
            </w:r>
            <w:r w:rsidRPr="000D5746">
              <w:rPr>
                <w:rFonts w:eastAsia="SimSun"/>
                <w:sz w:val="22"/>
                <w:szCs w:val="22"/>
                <w:vertAlign w:val="superscript"/>
                <w:lang w:eastAsia="zh-CN"/>
              </w:rPr>
              <w:t>2</w:t>
            </w:r>
            <w:r w:rsidRPr="000D5746">
              <w:rPr>
                <w:rFonts w:eastAsia="SimSun"/>
                <w:sz w:val="22"/>
                <w:szCs w:val="22"/>
                <w:lang w:eastAsia="zh-CN"/>
              </w:rPr>
              <w:t>*</w:t>
            </w:r>
          </w:p>
        </w:tc>
        <w:tc>
          <w:tcPr>
            <w:tcW w:w="1738" w:type="dxa"/>
            <w:tcBorders>
              <w:top w:val="single" w:sz="8" w:space="0" w:color="000000"/>
              <w:left w:val="single" w:sz="8" w:space="0" w:color="000000"/>
              <w:bottom w:val="single" w:sz="8" w:space="0" w:color="000000"/>
              <w:right w:val="single" w:sz="8" w:space="0" w:color="000000"/>
            </w:tcBorders>
          </w:tcPr>
          <w:p w14:paraId="587C2AE1" w14:textId="77777777" w:rsidR="00BB43EC" w:rsidRPr="000D5746" w:rsidRDefault="00BB43EC" w:rsidP="00813E59">
            <w:pPr>
              <w:keepNext/>
              <w:jc w:val="center"/>
              <w:rPr>
                <w:sz w:val="22"/>
                <w:szCs w:val="22"/>
              </w:rPr>
            </w:pPr>
            <w:r w:rsidRPr="000D5746">
              <w:rPr>
                <w:sz w:val="22"/>
                <w:szCs w:val="22"/>
              </w:rPr>
              <w:t>0.4%</w:t>
            </w:r>
            <w:r w:rsidRPr="000D5746">
              <w:rPr>
                <w:sz w:val="22"/>
                <w:szCs w:val="22"/>
                <w:vertAlign w:val="superscript"/>
              </w:rPr>
              <w:t>2</w:t>
            </w:r>
          </w:p>
        </w:tc>
        <w:tc>
          <w:tcPr>
            <w:tcW w:w="17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E85E124" w14:textId="77777777" w:rsidR="00BB43EC" w:rsidRPr="000D5746" w:rsidRDefault="00BB43EC" w:rsidP="00813E59">
            <w:pPr>
              <w:keepNext/>
              <w:keepLines/>
              <w:jc w:val="both"/>
              <w:rPr>
                <w:rFonts w:eastAsia="SimSun"/>
                <w:bCs/>
                <w:sz w:val="22"/>
                <w:szCs w:val="22"/>
                <w:lang w:eastAsia="zh-CN"/>
              </w:rPr>
            </w:pPr>
            <w:r w:rsidRPr="000D5746">
              <w:rPr>
                <w:rFonts w:eastAsia="SimSun"/>
                <w:bCs/>
                <w:sz w:val="22"/>
                <w:szCs w:val="22"/>
                <w:lang w:eastAsia="zh-CN"/>
              </w:rPr>
              <w:t>Uncommon</w:t>
            </w:r>
          </w:p>
        </w:tc>
      </w:tr>
      <w:tr w:rsidR="00BB43EC" w:rsidRPr="000D5746" w14:paraId="545CCDA8" w14:textId="77777777" w:rsidTr="00813E59">
        <w:trPr>
          <w:trHeight w:val="285"/>
        </w:trPr>
        <w:tc>
          <w:tcPr>
            <w:tcW w:w="3050" w:type="dxa"/>
            <w:gridSpan w:val="2"/>
            <w:vMerge w:val="restart"/>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hideMark/>
          </w:tcPr>
          <w:p w14:paraId="6150CE49" w14:textId="77777777" w:rsidR="00BB43EC" w:rsidRPr="000D5746" w:rsidRDefault="00BB43EC" w:rsidP="00813E59">
            <w:pPr>
              <w:keepNext/>
              <w:keepLines/>
              <w:rPr>
                <w:rFonts w:eastAsia="SimSun"/>
                <w:sz w:val="22"/>
                <w:szCs w:val="22"/>
                <w:lang w:eastAsia="zh-CN"/>
              </w:rPr>
            </w:pPr>
            <w:r w:rsidRPr="000D5746">
              <w:rPr>
                <w:rFonts w:eastAsia="SimSun"/>
                <w:sz w:val="22"/>
                <w:szCs w:val="22"/>
                <w:lang w:eastAsia="zh-CN"/>
              </w:rPr>
              <w:t>Skin and subcutaneous tissue disorders</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406B230" w14:textId="77777777" w:rsidR="00BB43EC" w:rsidRPr="000D5746" w:rsidRDefault="00BB43EC" w:rsidP="00813E59">
            <w:pPr>
              <w:keepNext/>
              <w:keepLines/>
              <w:jc w:val="both"/>
              <w:rPr>
                <w:rFonts w:eastAsia="SimSun"/>
                <w:sz w:val="22"/>
                <w:szCs w:val="22"/>
                <w:lang w:eastAsia="zh-CN"/>
              </w:rPr>
            </w:pPr>
            <w:r w:rsidRPr="000D5746">
              <w:rPr>
                <w:rFonts w:eastAsia="SimSun"/>
                <w:sz w:val="22"/>
                <w:szCs w:val="22"/>
                <w:lang w:eastAsia="zh-CN"/>
              </w:rPr>
              <w:t>Rash</w:t>
            </w:r>
            <w:r w:rsidRPr="000D5746">
              <w:rPr>
                <w:rFonts w:eastAsia="SimSun"/>
                <w:sz w:val="22"/>
                <w:szCs w:val="22"/>
                <w:vertAlign w:val="superscript"/>
                <w:lang w:eastAsia="zh-CN"/>
              </w:rPr>
              <w:t>2</w:t>
            </w:r>
            <w:r w:rsidRPr="000D5746">
              <w:rPr>
                <w:rFonts w:eastAsia="SimSun"/>
                <w:sz w:val="22"/>
                <w:szCs w:val="22"/>
                <w:lang w:eastAsia="zh-CN"/>
              </w:rPr>
              <w:t>*</w:t>
            </w:r>
          </w:p>
        </w:tc>
        <w:tc>
          <w:tcPr>
            <w:tcW w:w="1738" w:type="dxa"/>
            <w:tcBorders>
              <w:top w:val="single" w:sz="8" w:space="0" w:color="000000"/>
              <w:left w:val="single" w:sz="8" w:space="0" w:color="000000"/>
              <w:bottom w:val="single" w:sz="4" w:space="0" w:color="auto"/>
              <w:right w:val="single" w:sz="8" w:space="0" w:color="000000"/>
            </w:tcBorders>
          </w:tcPr>
          <w:p w14:paraId="3FEEDC51" w14:textId="77777777" w:rsidR="00BB43EC" w:rsidRPr="000D5746" w:rsidRDefault="00BB43EC" w:rsidP="00813E59">
            <w:pPr>
              <w:keepNext/>
              <w:jc w:val="center"/>
              <w:rPr>
                <w:sz w:val="22"/>
                <w:szCs w:val="22"/>
              </w:rPr>
            </w:pPr>
            <w:r w:rsidRPr="000D5746">
              <w:rPr>
                <w:sz w:val="22"/>
                <w:szCs w:val="22"/>
              </w:rPr>
              <w:t>0.1%</w:t>
            </w:r>
            <w:r w:rsidRPr="000D5746">
              <w:rPr>
                <w:sz w:val="22"/>
                <w:szCs w:val="22"/>
                <w:vertAlign w:val="superscript"/>
              </w:rPr>
              <w:t>2</w:t>
            </w:r>
          </w:p>
        </w:tc>
        <w:tc>
          <w:tcPr>
            <w:tcW w:w="1738" w:type="dxa"/>
            <w:tcBorders>
              <w:top w:val="single" w:sz="8" w:space="0" w:color="000000"/>
              <w:left w:val="single" w:sz="8" w:space="0" w:color="000000"/>
              <w:bottom w:val="single" w:sz="4" w:space="0" w:color="auto"/>
              <w:right w:val="single" w:sz="8" w:space="0" w:color="000000"/>
            </w:tcBorders>
            <w:shd w:val="clear" w:color="auto" w:fill="auto"/>
            <w:tcMar>
              <w:top w:w="15" w:type="dxa"/>
              <w:left w:w="108" w:type="dxa"/>
              <w:bottom w:w="0" w:type="dxa"/>
              <w:right w:w="108" w:type="dxa"/>
            </w:tcMar>
          </w:tcPr>
          <w:p w14:paraId="4986D316" w14:textId="77777777" w:rsidR="00BB43EC" w:rsidRPr="000D5746" w:rsidRDefault="00BB43EC" w:rsidP="00813E59">
            <w:pPr>
              <w:keepNext/>
              <w:keepLines/>
              <w:jc w:val="both"/>
              <w:rPr>
                <w:rFonts w:eastAsia="SimSun"/>
                <w:sz w:val="22"/>
                <w:szCs w:val="22"/>
                <w:lang w:eastAsia="zh-CN"/>
              </w:rPr>
            </w:pPr>
            <w:r w:rsidRPr="000D5746">
              <w:rPr>
                <w:rFonts w:eastAsia="SimSun"/>
                <w:sz w:val="22"/>
                <w:szCs w:val="22"/>
                <w:lang w:eastAsia="zh-CN"/>
              </w:rPr>
              <w:t>Uncommon</w:t>
            </w:r>
          </w:p>
        </w:tc>
      </w:tr>
      <w:tr w:rsidR="00BB43EC" w:rsidRPr="000D5746" w14:paraId="07DCE252" w14:textId="77777777" w:rsidTr="00813E59">
        <w:trPr>
          <w:trHeight w:val="284"/>
        </w:trPr>
        <w:tc>
          <w:tcPr>
            <w:tcW w:w="3050" w:type="dxa"/>
            <w:gridSpan w:val="2"/>
            <w:vMerge/>
            <w:tcBorders>
              <w:left w:val="single" w:sz="8" w:space="0" w:color="000000"/>
              <w:right w:val="single" w:sz="8" w:space="0" w:color="000000"/>
            </w:tcBorders>
            <w:shd w:val="clear" w:color="auto" w:fill="auto"/>
            <w:tcMar>
              <w:top w:w="15" w:type="dxa"/>
              <w:left w:w="108" w:type="dxa"/>
              <w:bottom w:w="0" w:type="dxa"/>
              <w:right w:w="108" w:type="dxa"/>
            </w:tcMar>
          </w:tcPr>
          <w:p w14:paraId="074A77A2" w14:textId="77777777" w:rsidR="00BB43EC" w:rsidRPr="000D5746" w:rsidRDefault="00BB43EC" w:rsidP="00813E59">
            <w:pPr>
              <w:keepNext/>
              <w:keepLines/>
              <w:rPr>
                <w:rFonts w:eastAsia="SimSun"/>
                <w:sz w:val="22"/>
                <w:szCs w:val="22"/>
                <w:lang w:eastAsia="zh-CN"/>
              </w:rPr>
            </w:pP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EDC2DE9" w14:textId="77777777" w:rsidR="00BB43EC" w:rsidRPr="000D5746" w:rsidRDefault="00BB43EC" w:rsidP="00813E59">
            <w:pPr>
              <w:keepNext/>
              <w:keepLines/>
              <w:jc w:val="both"/>
              <w:rPr>
                <w:rFonts w:eastAsia="SimSun"/>
                <w:sz w:val="22"/>
                <w:szCs w:val="22"/>
                <w:lang w:eastAsia="zh-CN"/>
              </w:rPr>
            </w:pPr>
            <w:r w:rsidRPr="000D5746">
              <w:rPr>
                <w:rFonts w:eastAsia="SimSun"/>
                <w:sz w:val="22"/>
                <w:szCs w:val="22"/>
                <w:lang w:eastAsia="zh-CN"/>
              </w:rPr>
              <w:t>Urticaria</w:t>
            </w:r>
            <w:r w:rsidRPr="000D5746">
              <w:rPr>
                <w:rFonts w:eastAsia="SimSun"/>
                <w:sz w:val="22"/>
                <w:szCs w:val="22"/>
                <w:vertAlign w:val="superscript"/>
                <w:lang w:eastAsia="zh-CN"/>
              </w:rPr>
              <w:t>2</w:t>
            </w:r>
            <w:r w:rsidRPr="000D5746">
              <w:rPr>
                <w:rFonts w:eastAsia="SimSun"/>
                <w:sz w:val="22"/>
                <w:szCs w:val="22"/>
                <w:lang w:eastAsia="zh-CN"/>
              </w:rPr>
              <w:t>*</w:t>
            </w:r>
          </w:p>
        </w:tc>
        <w:tc>
          <w:tcPr>
            <w:tcW w:w="1738" w:type="dxa"/>
            <w:tcBorders>
              <w:top w:val="single" w:sz="4" w:space="0" w:color="auto"/>
              <w:left w:val="single" w:sz="8" w:space="0" w:color="000000"/>
              <w:bottom w:val="single" w:sz="8" w:space="0" w:color="000000"/>
              <w:right w:val="single" w:sz="8" w:space="0" w:color="000000"/>
            </w:tcBorders>
          </w:tcPr>
          <w:p w14:paraId="6FDA15FD" w14:textId="77777777" w:rsidR="00BB43EC" w:rsidRPr="000D5746" w:rsidRDefault="00BB43EC" w:rsidP="00813E59">
            <w:pPr>
              <w:keepNext/>
              <w:jc w:val="center"/>
              <w:rPr>
                <w:sz w:val="22"/>
                <w:szCs w:val="22"/>
              </w:rPr>
            </w:pPr>
            <w:r w:rsidRPr="000D5746">
              <w:rPr>
                <w:sz w:val="22"/>
                <w:szCs w:val="22"/>
              </w:rPr>
              <w:t>&lt;0.1%</w:t>
            </w:r>
            <w:r w:rsidRPr="000D5746">
              <w:rPr>
                <w:sz w:val="22"/>
                <w:szCs w:val="22"/>
                <w:vertAlign w:val="superscript"/>
              </w:rPr>
              <w:t>2</w:t>
            </w:r>
          </w:p>
        </w:tc>
        <w:tc>
          <w:tcPr>
            <w:tcW w:w="1738" w:type="dxa"/>
            <w:tcBorders>
              <w:top w:val="single" w:sz="4" w:space="0" w:color="auto"/>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C8A7CA7" w14:textId="77777777" w:rsidR="00BB43EC" w:rsidRPr="000D5746" w:rsidRDefault="00BB43EC" w:rsidP="00813E59">
            <w:pPr>
              <w:keepNext/>
              <w:keepLines/>
              <w:jc w:val="both"/>
              <w:rPr>
                <w:rFonts w:eastAsia="SimSun"/>
                <w:sz w:val="22"/>
                <w:szCs w:val="22"/>
                <w:lang w:eastAsia="zh-CN"/>
              </w:rPr>
            </w:pPr>
            <w:r w:rsidRPr="000D5746">
              <w:rPr>
                <w:rFonts w:eastAsia="SimSun"/>
                <w:sz w:val="22"/>
                <w:szCs w:val="22"/>
                <w:lang w:eastAsia="zh-CN"/>
              </w:rPr>
              <w:t>Rare</w:t>
            </w:r>
          </w:p>
        </w:tc>
      </w:tr>
      <w:tr w:rsidR="00BB43EC" w:rsidRPr="000D5746" w14:paraId="2E9AD615" w14:textId="77777777" w:rsidTr="00813E59">
        <w:trPr>
          <w:trHeight w:val="101"/>
        </w:trPr>
        <w:tc>
          <w:tcPr>
            <w:tcW w:w="305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FE31A7D" w14:textId="77777777" w:rsidR="00BB43EC" w:rsidRPr="000D5746" w:rsidRDefault="00BB43EC" w:rsidP="00813E59">
            <w:pPr>
              <w:keepNext/>
              <w:keepLines/>
              <w:rPr>
                <w:rFonts w:eastAsia="SimSun"/>
                <w:sz w:val="22"/>
                <w:szCs w:val="22"/>
                <w:lang w:eastAsia="zh-CN"/>
              </w:rPr>
            </w:pPr>
            <w:r w:rsidRPr="000D5746">
              <w:rPr>
                <w:rFonts w:eastAsia="SimSun"/>
                <w:sz w:val="22"/>
                <w:szCs w:val="22"/>
                <w:lang w:eastAsia="zh-CN"/>
              </w:rPr>
              <w:t>General disorders and administration site conditions</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67BF7D1" w14:textId="77777777" w:rsidR="00BB43EC" w:rsidRPr="000D5746" w:rsidRDefault="00BB43EC" w:rsidP="00813E59">
            <w:pPr>
              <w:keepNext/>
              <w:keepLines/>
              <w:rPr>
                <w:rFonts w:eastAsia="SimSun"/>
                <w:sz w:val="22"/>
                <w:szCs w:val="22"/>
                <w:lang w:eastAsia="zh-CN"/>
              </w:rPr>
            </w:pPr>
            <w:r w:rsidRPr="000D5746">
              <w:rPr>
                <w:rFonts w:eastAsia="SimSun"/>
                <w:sz w:val="22"/>
                <w:szCs w:val="22"/>
                <w:lang w:eastAsia="zh-CN"/>
              </w:rPr>
              <w:t>Chills</w:t>
            </w:r>
            <w:r w:rsidRPr="000D5746">
              <w:rPr>
                <w:rFonts w:eastAsia="SimSun"/>
                <w:sz w:val="22"/>
                <w:szCs w:val="22"/>
                <w:vertAlign w:val="superscript"/>
                <w:lang w:eastAsia="zh-CN"/>
              </w:rPr>
              <w:t>2</w:t>
            </w:r>
            <w:r w:rsidRPr="000D5746">
              <w:rPr>
                <w:rFonts w:eastAsia="SimSun"/>
                <w:sz w:val="22"/>
                <w:szCs w:val="22"/>
                <w:lang w:eastAsia="zh-CN"/>
              </w:rPr>
              <w:t>*</w:t>
            </w:r>
          </w:p>
        </w:tc>
        <w:tc>
          <w:tcPr>
            <w:tcW w:w="1738" w:type="dxa"/>
            <w:tcBorders>
              <w:top w:val="single" w:sz="8" w:space="0" w:color="000000"/>
              <w:left w:val="single" w:sz="8" w:space="0" w:color="000000"/>
              <w:bottom w:val="single" w:sz="8" w:space="0" w:color="000000"/>
              <w:right w:val="single" w:sz="8" w:space="0" w:color="000000"/>
            </w:tcBorders>
          </w:tcPr>
          <w:p w14:paraId="5CDECE90" w14:textId="77777777" w:rsidR="00BB43EC" w:rsidRPr="000D5746" w:rsidRDefault="00BB43EC" w:rsidP="00813E59">
            <w:pPr>
              <w:keepNext/>
              <w:keepLines/>
              <w:jc w:val="center"/>
              <w:rPr>
                <w:rFonts w:eastAsia="SimSun"/>
                <w:sz w:val="22"/>
                <w:szCs w:val="22"/>
                <w:lang w:eastAsia="zh-CN"/>
              </w:rPr>
            </w:pPr>
            <w:r w:rsidRPr="000D5746">
              <w:rPr>
                <w:sz w:val="22"/>
                <w:szCs w:val="22"/>
              </w:rPr>
              <w:t>0.1%</w:t>
            </w:r>
            <w:r w:rsidRPr="000D5746">
              <w:rPr>
                <w:sz w:val="22"/>
                <w:szCs w:val="22"/>
                <w:vertAlign w:val="superscript"/>
              </w:rPr>
              <w:t>2</w:t>
            </w:r>
          </w:p>
        </w:tc>
        <w:tc>
          <w:tcPr>
            <w:tcW w:w="17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AA748A5" w14:textId="77777777" w:rsidR="00BB43EC" w:rsidRPr="000D5746" w:rsidRDefault="00BB43EC" w:rsidP="00813E59">
            <w:pPr>
              <w:keepNext/>
              <w:keepLines/>
              <w:rPr>
                <w:rFonts w:eastAsia="SimSun"/>
                <w:sz w:val="22"/>
                <w:szCs w:val="22"/>
                <w:lang w:eastAsia="zh-CN"/>
              </w:rPr>
            </w:pPr>
            <w:r w:rsidRPr="000D5746">
              <w:rPr>
                <w:rFonts w:eastAsia="SimSun"/>
                <w:sz w:val="22"/>
                <w:szCs w:val="22"/>
                <w:lang w:eastAsia="zh-CN"/>
              </w:rPr>
              <w:t>Uncommon</w:t>
            </w:r>
          </w:p>
        </w:tc>
      </w:tr>
      <w:tr w:rsidR="00BB43EC" w:rsidRPr="000D5746" w14:paraId="52A86952" w14:textId="77777777" w:rsidTr="00813E59">
        <w:trPr>
          <w:trHeight w:val="371"/>
        </w:trPr>
        <w:tc>
          <w:tcPr>
            <w:tcW w:w="305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513ABF0" w14:textId="77777777" w:rsidR="00BB43EC" w:rsidRPr="000D5746" w:rsidRDefault="00BB43EC" w:rsidP="00813E59">
            <w:pPr>
              <w:keepNext/>
              <w:keepLines/>
              <w:rPr>
                <w:rFonts w:eastAsia="SimSun"/>
                <w:sz w:val="22"/>
                <w:szCs w:val="22"/>
                <w:lang w:eastAsia="zh-CN"/>
              </w:rPr>
            </w:pPr>
            <w:r w:rsidRPr="000D5746">
              <w:rPr>
                <w:rFonts w:eastAsia="SimSun"/>
                <w:sz w:val="22"/>
                <w:szCs w:val="22"/>
                <w:lang w:eastAsia="zh-CN"/>
              </w:rPr>
              <w:t>Injury, poisoning and procedural complications</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EB7D487" w14:textId="77777777" w:rsidR="00BB43EC" w:rsidRPr="000D5746" w:rsidRDefault="00BB43EC" w:rsidP="00813E59">
            <w:pPr>
              <w:keepNext/>
              <w:keepLines/>
              <w:rPr>
                <w:rFonts w:eastAsia="SimSun"/>
                <w:sz w:val="22"/>
                <w:szCs w:val="22"/>
                <w:lang w:eastAsia="zh-CN"/>
              </w:rPr>
            </w:pPr>
            <w:r w:rsidRPr="000D5746">
              <w:rPr>
                <w:rFonts w:eastAsia="SimSun"/>
                <w:sz w:val="22"/>
                <w:szCs w:val="22"/>
                <w:lang w:eastAsia="zh-CN"/>
              </w:rPr>
              <w:t>Infusion related reactions</w:t>
            </w:r>
            <w:r w:rsidRPr="000D5746">
              <w:rPr>
                <w:rFonts w:eastAsia="SimSun"/>
                <w:sz w:val="22"/>
                <w:szCs w:val="22"/>
                <w:vertAlign w:val="superscript"/>
                <w:lang w:eastAsia="zh-CN"/>
              </w:rPr>
              <w:t>2</w:t>
            </w:r>
          </w:p>
        </w:tc>
        <w:tc>
          <w:tcPr>
            <w:tcW w:w="1738" w:type="dxa"/>
            <w:tcBorders>
              <w:top w:val="single" w:sz="8" w:space="0" w:color="000000"/>
              <w:left w:val="single" w:sz="8" w:space="0" w:color="000000"/>
              <w:bottom w:val="single" w:sz="8" w:space="0" w:color="000000"/>
              <w:right w:val="single" w:sz="8" w:space="0" w:color="000000"/>
            </w:tcBorders>
          </w:tcPr>
          <w:p w14:paraId="4D611DAD" w14:textId="77777777" w:rsidR="00BB43EC" w:rsidRPr="000D5746" w:rsidRDefault="00BB43EC" w:rsidP="00813E59">
            <w:pPr>
              <w:keepNext/>
              <w:jc w:val="center"/>
              <w:rPr>
                <w:sz w:val="22"/>
                <w:szCs w:val="22"/>
              </w:rPr>
            </w:pPr>
            <w:r w:rsidRPr="000D5746">
              <w:rPr>
                <w:sz w:val="22"/>
                <w:szCs w:val="22"/>
              </w:rPr>
              <w:t>0.1%</w:t>
            </w:r>
            <w:r w:rsidRPr="000D5746">
              <w:rPr>
                <w:sz w:val="22"/>
                <w:szCs w:val="22"/>
                <w:vertAlign w:val="superscript"/>
              </w:rPr>
              <w:t>2</w:t>
            </w:r>
          </w:p>
        </w:tc>
        <w:tc>
          <w:tcPr>
            <w:tcW w:w="17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1BC5F80" w14:textId="77777777" w:rsidR="00BB43EC" w:rsidRPr="000D5746" w:rsidRDefault="00BB43EC" w:rsidP="00813E59">
            <w:pPr>
              <w:keepNext/>
              <w:keepLines/>
              <w:rPr>
                <w:rFonts w:eastAsia="SimSun"/>
                <w:sz w:val="22"/>
                <w:szCs w:val="22"/>
                <w:lang w:eastAsia="zh-CN"/>
              </w:rPr>
            </w:pPr>
            <w:r w:rsidRPr="000D5746">
              <w:rPr>
                <w:rFonts w:eastAsia="SimSun"/>
                <w:sz w:val="22"/>
                <w:szCs w:val="22"/>
                <w:lang w:eastAsia="zh-CN"/>
              </w:rPr>
              <w:t>Uncommon</w:t>
            </w:r>
          </w:p>
        </w:tc>
      </w:tr>
      <w:tr w:rsidR="00BB43EC" w:rsidRPr="000D5746" w14:paraId="431264D2" w14:textId="77777777" w:rsidTr="00813E59">
        <w:trPr>
          <w:trHeight w:val="313"/>
        </w:trPr>
        <w:tc>
          <w:tcPr>
            <w:tcW w:w="8686" w:type="dxa"/>
            <w:gridSpan w:val="5"/>
            <w:tcBorders>
              <w:top w:val="single" w:sz="8" w:space="0" w:color="000000"/>
              <w:left w:val="single" w:sz="8" w:space="0" w:color="000000"/>
              <w:bottom w:val="single" w:sz="8" w:space="0" w:color="000000"/>
              <w:right w:val="single" w:sz="8" w:space="0" w:color="000000"/>
            </w:tcBorders>
            <w:shd w:val="clear" w:color="auto" w:fill="FFFFFF" w:themeFill="background1"/>
          </w:tcPr>
          <w:p w14:paraId="21DD54FE" w14:textId="77777777" w:rsidR="00BB43EC" w:rsidRPr="000D5746" w:rsidRDefault="00BB43EC" w:rsidP="00813E59">
            <w:pPr>
              <w:keepNext/>
              <w:keepLines/>
              <w:jc w:val="center"/>
              <w:rPr>
                <w:rFonts w:eastAsia="SimSun"/>
                <w:sz w:val="22"/>
                <w:szCs w:val="22"/>
                <w:lang w:eastAsia="zh-CN"/>
              </w:rPr>
            </w:pPr>
            <w:r w:rsidRPr="000D5746">
              <w:rPr>
                <w:rFonts w:eastAsia="SimSun"/>
                <w:b/>
                <w:bCs/>
                <w:sz w:val="22"/>
                <w:szCs w:val="22"/>
                <w:lang w:eastAsia="zh-CN"/>
              </w:rPr>
              <w:t>Subcutaneous administration</w:t>
            </w:r>
          </w:p>
        </w:tc>
      </w:tr>
      <w:tr w:rsidR="00BB43EC" w:rsidRPr="000D5746" w14:paraId="2176C975" w14:textId="77777777" w:rsidTr="00813E59">
        <w:trPr>
          <w:trHeight w:val="383"/>
        </w:trPr>
        <w:tc>
          <w:tcPr>
            <w:tcW w:w="305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3B2B03F" w14:textId="77777777" w:rsidR="00BB43EC" w:rsidRPr="000D5746" w:rsidRDefault="00BB43EC" w:rsidP="00813E59">
            <w:pPr>
              <w:keepNext/>
              <w:keepLines/>
              <w:rPr>
                <w:rFonts w:eastAsia="SimSun"/>
                <w:sz w:val="22"/>
                <w:szCs w:val="22"/>
                <w:lang w:eastAsia="zh-CN"/>
              </w:rPr>
            </w:pPr>
            <w:r w:rsidRPr="000D5746">
              <w:rPr>
                <w:rFonts w:eastAsia="SimSun"/>
                <w:sz w:val="22"/>
                <w:szCs w:val="22"/>
                <w:lang w:eastAsia="zh-CN"/>
              </w:rPr>
              <w:t>Blood and lymphatic system disorders</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9202033" w14:textId="77777777" w:rsidR="00BB43EC" w:rsidRPr="000D5746" w:rsidRDefault="00BB43EC" w:rsidP="00813E59">
            <w:pPr>
              <w:keepNext/>
              <w:keepLines/>
              <w:rPr>
                <w:rFonts w:eastAsia="SimSun"/>
                <w:sz w:val="22"/>
                <w:szCs w:val="22"/>
                <w:lang w:eastAsia="zh-CN"/>
              </w:rPr>
            </w:pPr>
            <w:r w:rsidRPr="000D5746">
              <w:rPr>
                <w:rFonts w:eastAsia="SimSun"/>
                <w:sz w:val="22"/>
                <w:szCs w:val="22"/>
                <w:lang w:eastAsia="zh-CN"/>
              </w:rPr>
              <w:t>Lymphadenopathy</w:t>
            </w:r>
            <w:r w:rsidRPr="000D5746">
              <w:rPr>
                <w:rFonts w:eastAsia="SimSun"/>
                <w:sz w:val="22"/>
                <w:szCs w:val="22"/>
                <w:vertAlign w:val="superscript"/>
                <w:lang w:eastAsia="zh-CN"/>
              </w:rPr>
              <w:t>1, 4*</w:t>
            </w:r>
          </w:p>
        </w:tc>
        <w:tc>
          <w:tcPr>
            <w:tcW w:w="1738" w:type="dxa"/>
            <w:tcBorders>
              <w:top w:val="single" w:sz="8" w:space="0" w:color="000000"/>
              <w:left w:val="single" w:sz="8" w:space="0" w:color="000000"/>
              <w:bottom w:val="single" w:sz="8" w:space="0" w:color="000000"/>
              <w:right w:val="single" w:sz="8" w:space="0" w:color="000000"/>
            </w:tcBorders>
          </w:tcPr>
          <w:p w14:paraId="10803107" w14:textId="10BAF614" w:rsidR="00BB43EC" w:rsidRPr="000D5746" w:rsidRDefault="006608B6" w:rsidP="006608B6">
            <w:pPr>
              <w:keepNext/>
              <w:keepLines/>
              <w:jc w:val="center"/>
              <w:rPr>
                <w:rFonts w:eastAsia="SimSun"/>
                <w:sz w:val="22"/>
                <w:szCs w:val="22"/>
                <w:lang w:eastAsia="zh-CN"/>
              </w:rPr>
            </w:pPr>
            <w:r>
              <w:rPr>
                <w:rFonts w:eastAsia="SimSun"/>
                <w:sz w:val="22"/>
                <w:szCs w:val="22"/>
                <w:lang w:eastAsia="zh-CN"/>
              </w:rPr>
              <w:t>0.5%</w:t>
            </w:r>
            <w:r w:rsidRPr="006608B6">
              <w:rPr>
                <w:rFonts w:eastAsia="SimSun"/>
                <w:sz w:val="22"/>
                <w:szCs w:val="22"/>
                <w:vertAlign w:val="superscript"/>
                <w:lang w:eastAsia="zh-CN"/>
              </w:rPr>
              <w:t>4</w:t>
            </w:r>
          </w:p>
        </w:tc>
        <w:tc>
          <w:tcPr>
            <w:tcW w:w="17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0E58D9F" w14:textId="77777777" w:rsidR="00BB43EC" w:rsidRPr="000D5746" w:rsidRDefault="00BB43EC" w:rsidP="00813E59">
            <w:pPr>
              <w:keepNext/>
              <w:keepLines/>
              <w:rPr>
                <w:rFonts w:eastAsia="SimSun"/>
                <w:sz w:val="22"/>
                <w:szCs w:val="22"/>
                <w:lang w:eastAsia="zh-CN"/>
              </w:rPr>
            </w:pPr>
            <w:r w:rsidRPr="000D5746">
              <w:rPr>
                <w:rFonts w:eastAsia="SimSun"/>
                <w:sz w:val="22"/>
                <w:szCs w:val="22"/>
                <w:lang w:eastAsia="zh-CN"/>
              </w:rPr>
              <w:t>Uncommon</w:t>
            </w:r>
          </w:p>
        </w:tc>
      </w:tr>
      <w:tr w:rsidR="00BB43EC" w:rsidRPr="000D5746" w14:paraId="7D10DEF7" w14:textId="77777777" w:rsidTr="00813E59">
        <w:trPr>
          <w:trHeight w:val="279"/>
        </w:trPr>
        <w:tc>
          <w:tcPr>
            <w:tcW w:w="3050" w:type="dxa"/>
            <w:gridSpan w:val="2"/>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tcPr>
          <w:p w14:paraId="651B45EC" w14:textId="77777777" w:rsidR="00BB43EC" w:rsidRPr="000D5746" w:rsidRDefault="00BB43EC" w:rsidP="00813E59">
            <w:pPr>
              <w:keepNext/>
              <w:keepLines/>
              <w:rPr>
                <w:rFonts w:eastAsia="SimSun"/>
                <w:sz w:val="22"/>
                <w:szCs w:val="22"/>
                <w:lang w:eastAsia="zh-CN"/>
              </w:rPr>
            </w:pPr>
            <w:r w:rsidRPr="000D5746">
              <w:rPr>
                <w:rFonts w:eastAsia="SimSun"/>
                <w:sz w:val="22"/>
                <w:szCs w:val="22"/>
                <w:lang w:eastAsia="zh-CN"/>
              </w:rPr>
              <w:t>Nervous system disorders</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2566651" w14:textId="77777777" w:rsidR="00BB43EC" w:rsidRPr="000D5746" w:rsidRDefault="00BB43EC" w:rsidP="00813E59">
            <w:pPr>
              <w:keepNext/>
              <w:keepLines/>
              <w:rPr>
                <w:rFonts w:eastAsia="SimSun"/>
                <w:sz w:val="22"/>
                <w:szCs w:val="22"/>
                <w:lang w:eastAsia="zh-CN"/>
              </w:rPr>
            </w:pPr>
            <w:r w:rsidRPr="000D5746">
              <w:rPr>
                <w:rFonts w:eastAsia="SimSun"/>
                <w:sz w:val="22"/>
                <w:szCs w:val="22"/>
                <w:lang w:eastAsia="zh-CN"/>
              </w:rPr>
              <w:t>Dizziness</w:t>
            </w:r>
            <w:r w:rsidRPr="000D5746">
              <w:rPr>
                <w:rFonts w:eastAsia="SimSun"/>
                <w:sz w:val="22"/>
                <w:szCs w:val="22"/>
                <w:vertAlign w:val="superscript"/>
                <w:lang w:eastAsia="zh-CN"/>
              </w:rPr>
              <w:t>5</w:t>
            </w:r>
          </w:p>
        </w:tc>
        <w:tc>
          <w:tcPr>
            <w:tcW w:w="1738" w:type="dxa"/>
            <w:tcBorders>
              <w:top w:val="single" w:sz="8" w:space="0" w:color="000000"/>
              <w:left w:val="single" w:sz="8" w:space="0" w:color="000000"/>
              <w:bottom w:val="single" w:sz="8" w:space="0" w:color="000000"/>
              <w:right w:val="single" w:sz="8" w:space="0" w:color="000000"/>
            </w:tcBorders>
          </w:tcPr>
          <w:p w14:paraId="27A02DBC" w14:textId="36544F0E" w:rsidR="00BB43EC" w:rsidRPr="000D5746" w:rsidRDefault="006608B6" w:rsidP="006608B6">
            <w:pPr>
              <w:keepNext/>
              <w:keepLines/>
              <w:jc w:val="center"/>
              <w:rPr>
                <w:rFonts w:eastAsia="SimSun"/>
                <w:sz w:val="22"/>
                <w:szCs w:val="22"/>
                <w:lang w:eastAsia="zh-CN"/>
              </w:rPr>
            </w:pPr>
            <w:r w:rsidRPr="002E6C45">
              <w:t>0.4%</w:t>
            </w:r>
            <w:r w:rsidRPr="002E6C45">
              <w:rPr>
                <w:vertAlign w:val="superscript"/>
              </w:rPr>
              <w:t>5</w:t>
            </w:r>
          </w:p>
        </w:tc>
        <w:tc>
          <w:tcPr>
            <w:tcW w:w="17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70745E3" w14:textId="77777777" w:rsidR="00BB43EC" w:rsidRPr="000D5746" w:rsidRDefault="00BB43EC" w:rsidP="00813E59">
            <w:pPr>
              <w:keepNext/>
              <w:keepLines/>
              <w:rPr>
                <w:rFonts w:eastAsia="SimSun"/>
                <w:sz w:val="22"/>
                <w:szCs w:val="22"/>
                <w:lang w:eastAsia="zh-CN"/>
              </w:rPr>
            </w:pPr>
            <w:r w:rsidRPr="000D5746">
              <w:rPr>
                <w:rFonts w:eastAsia="SimSun"/>
                <w:sz w:val="22"/>
                <w:szCs w:val="22"/>
                <w:lang w:eastAsia="zh-CN"/>
              </w:rPr>
              <w:t>Uncommon</w:t>
            </w:r>
          </w:p>
        </w:tc>
      </w:tr>
      <w:tr w:rsidR="00BB43EC" w:rsidRPr="000D5746" w14:paraId="63B5CE9C" w14:textId="77777777" w:rsidTr="00813E59">
        <w:trPr>
          <w:trHeight w:val="238"/>
        </w:trPr>
        <w:tc>
          <w:tcPr>
            <w:tcW w:w="305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B46B134" w14:textId="77777777" w:rsidR="00BB43EC" w:rsidRPr="000D5746" w:rsidRDefault="00BB43EC" w:rsidP="00813E59">
            <w:pPr>
              <w:keepNext/>
              <w:keepLines/>
              <w:rPr>
                <w:rFonts w:eastAsia="SimSun"/>
                <w:sz w:val="22"/>
                <w:szCs w:val="22"/>
                <w:lang w:eastAsia="zh-CN"/>
              </w:rPr>
            </w:pPr>
            <w:r w:rsidRPr="000D5746">
              <w:rPr>
                <w:rFonts w:eastAsia="SimSun"/>
                <w:sz w:val="22"/>
                <w:szCs w:val="22"/>
                <w:lang w:eastAsia="zh-CN"/>
              </w:rPr>
              <w:t>Skin and subcutaneous tissue disorders</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208DAF4" w14:textId="77777777" w:rsidR="00BB43EC" w:rsidRPr="000D5746" w:rsidRDefault="00BB43EC" w:rsidP="00813E59">
            <w:pPr>
              <w:keepNext/>
              <w:keepLines/>
              <w:rPr>
                <w:rFonts w:eastAsia="SimSun"/>
                <w:sz w:val="22"/>
                <w:szCs w:val="22"/>
                <w:lang w:eastAsia="zh-CN"/>
              </w:rPr>
            </w:pPr>
            <w:r w:rsidRPr="000D5746">
              <w:rPr>
                <w:rFonts w:eastAsia="SimSun"/>
                <w:sz w:val="22"/>
                <w:szCs w:val="22"/>
                <w:lang w:eastAsia="zh-CN"/>
              </w:rPr>
              <w:t>Pruritus</w:t>
            </w:r>
            <w:r w:rsidRPr="000D5746">
              <w:rPr>
                <w:rFonts w:eastAsia="SimSun"/>
                <w:sz w:val="22"/>
                <w:szCs w:val="22"/>
                <w:vertAlign w:val="superscript"/>
                <w:lang w:eastAsia="zh-CN"/>
              </w:rPr>
              <w:t>5</w:t>
            </w:r>
            <w:r w:rsidRPr="000D5746">
              <w:rPr>
                <w:rFonts w:eastAsia="SimSun"/>
                <w:sz w:val="22"/>
                <w:szCs w:val="22"/>
                <w:lang w:eastAsia="zh-CN"/>
              </w:rPr>
              <w:t>*</w:t>
            </w:r>
          </w:p>
        </w:tc>
        <w:tc>
          <w:tcPr>
            <w:tcW w:w="1738" w:type="dxa"/>
            <w:tcBorders>
              <w:top w:val="single" w:sz="8" w:space="0" w:color="000000"/>
              <w:left w:val="single" w:sz="8" w:space="0" w:color="000000"/>
              <w:bottom w:val="single" w:sz="8" w:space="0" w:color="000000"/>
              <w:right w:val="single" w:sz="8" w:space="0" w:color="000000"/>
            </w:tcBorders>
          </w:tcPr>
          <w:p w14:paraId="18C48BEC" w14:textId="32D73E6A" w:rsidR="00BB43EC" w:rsidRPr="000D5746" w:rsidRDefault="006608B6" w:rsidP="006608B6">
            <w:pPr>
              <w:keepNext/>
              <w:keepLines/>
              <w:jc w:val="center"/>
              <w:rPr>
                <w:rFonts w:eastAsia="SimSun"/>
                <w:sz w:val="22"/>
                <w:szCs w:val="22"/>
                <w:lang w:eastAsia="zh-CN"/>
              </w:rPr>
            </w:pPr>
            <w:r w:rsidRPr="002E6C45">
              <w:t>&lt;0.1%</w:t>
            </w:r>
            <w:r w:rsidRPr="002E6C45">
              <w:rPr>
                <w:vertAlign w:val="superscript"/>
              </w:rPr>
              <w:t>5</w:t>
            </w:r>
          </w:p>
        </w:tc>
        <w:tc>
          <w:tcPr>
            <w:tcW w:w="17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738A8F0" w14:textId="77777777" w:rsidR="00BB43EC" w:rsidRPr="000D5746" w:rsidRDefault="00BB43EC" w:rsidP="00813E59">
            <w:pPr>
              <w:keepNext/>
              <w:keepLines/>
              <w:rPr>
                <w:rFonts w:eastAsia="SimSun"/>
                <w:sz w:val="22"/>
                <w:szCs w:val="22"/>
                <w:lang w:eastAsia="zh-CN"/>
              </w:rPr>
            </w:pPr>
            <w:r w:rsidRPr="000D5746">
              <w:rPr>
                <w:rFonts w:eastAsia="SimSun"/>
                <w:sz w:val="22"/>
                <w:szCs w:val="22"/>
                <w:lang w:eastAsia="zh-CN"/>
              </w:rPr>
              <w:t>Rare</w:t>
            </w:r>
          </w:p>
        </w:tc>
      </w:tr>
      <w:tr w:rsidR="00BB43EC" w:rsidRPr="000D5746" w14:paraId="3252B07E" w14:textId="77777777" w:rsidTr="00813E59">
        <w:trPr>
          <w:trHeight w:val="383"/>
        </w:trPr>
        <w:tc>
          <w:tcPr>
            <w:tcW w:w="305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0C42531" w14:textId="77777777" w:rsidR="00BB43EC" w:rsidRPr="000D5746" w:rsidRDefault="00BB43EC" w:rsidP="00813E59">
            <w:pPr>
              <w:keepNext/>
              <w:keepLines/>
              <w:rPr>
                <w:rFonts w:eastAsia="SimSun"/>
                <w:sz w:val="22"/>
                <w:szCs w:val="22"/>
                <w:lang w:eastAsia="zh-CN"/>
              </w:rPr>
            </w:pPr>
            <w:r w:rsidRPr="000D5746">
              <w:rPr>
                <w:rFonts w:eastAsia="SimSun"/>
                <w:sz w:val="22"/>
                <w:szCs w:val="22"/>
                <w:lang w:eastAsia="zh-CN"/>
              </w:rPr>
              <w:t>General disorders and administration site conditions</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FD39F92" w14:textId="77777777" w:rsidR="00BB43EC" w:rsidRPr="000D5746" w:rsidRDefault="00BB43EC" w:rsidP="00813E59">
            <w:pPr>
              <w:keepNext/>
              <w:keepLines/>
              <w:rPr>
                <w:rFonts w:eastAsia="SimSun"/>
                <w:sz w:val="22"/>
                <w:szCs w:val="22"/>
                <w:lang w:eastAsia="zh-CN"/>
              </w:rPr>
            </w:pPr>
            <w:r w:rsidRPr="000D5746">
              <w:rPr>
                <w:rFonts w:eastAsia="SimSun"/>
                <w:sz w:val="22"/>
                <w:szCs w:val="22"/>
                <w:lang w:eastAsia="zh-CN"/>
              </w:rPr>
              <w:t>Injection site reactions</w:t>
            </w:r>
            <w:r w:rsidRPr="000D5746">
              <w:rPr>
                <w:rFonts w:eastAsia="SimSun"/>
                <w:sz w:val="22"/>
                <w:szCs w:val="22"/>
                <w:vertAlign w:val="superscript"/>
                <w:lang w:eastAsia="zh-CN"/>
              </w:rPr>
              <w:t>5</w:t>
            </w:r>
          </w:p>
        </w:tc>
        <w:tc>
          <w:tcPr>
            <w:tcW w:w="1738" w:type="dxa"/>
            <w:tcBorders>
              <w:top w:val="single" w:sz="8" w:space="0" w:color="000000"/>
              <w:left w:val="single" w:sz="8" w:space="0" w:color="000000"/>
              <w:bottom w:val="single" w:sz="8" w:space="0" w:color="000000"/>
              <w:right w:val="single" w:sz="8" w:space="0" w:color="000000"/>
            </w:tcBorders>
          </w:tcPr>
          <w:p w14:paraId="449D648D" w14:textId="7BBFD599" w:rsidR="00BB43EC" w:rsidRPr="000D5746" w:rsidRDefault="006608B6" w:rsidP="006608B6">
            <w:pPr>
              <w:keepNext/>
              <w:keepLines/>
              <w:jc w:val="center"/>
              <w:rPr>
                <w:rFonts w:eastAsia="SimSun"/>
                <w:sz w:val="22"/>
                <w:szCs w:val="22"/>
                <w:lang w:eastAsia="zh-CN"/>
              </w:rPr>
            </w:pPr>
            <w:r w:rsidRPr="002E6C45">
              <w:t>4.2%</w:t>
            </w:r>
            <w:r w:rsidRPr="002E6C45">
              <w:rPr>
                <w:vertAlign w:val="superscript"/>
              </w:rPr>
              <w:t>5</w:t>
            </w:r>
          </w:p>
        </w:tc>
        <w:tc>
          <w:tcPr>
            <w:tcW w:w="17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5275E1F" w14:textId="77777777" w:rsidR="00BB43EC" w:rsidRPr="000D5746" w:rsidRDefault="00BB43EC" w:rsidP="00813E59">
            <w:pPr>
              <w:keepNext/>
              <w:keepLines/>
              <w:rPr>
                <w:rFonts w:eastAsia="SimSun"/>
                <w:sz w:val="22"/>
                <w:szCs w:val="22"/>
                <w:lang w:eastAsia="zh-CN"/>
              </w:rPr>
            </w:pPr>
            <w:r w:rsidRPr="000D5746">
              <w:rPr>
                <w:rFonts w:eastAsia="SimSun"/>
                <w:sz w:val="22"/>
                <w:szCs w:val="22"/>
                <w:lang w:eastAsia="zh-CN"/>
              </w:rPr>
              <w:t>Common</w:t>
            </w:r>
          </w:p>
        </w:tc>
      </w:tr>
      <w:tr w:rsidR="00BB43EC" w:rsidRPr="000D5746" w14:paraId="5287DAEA" w14:textId="77777777" w:rsidTr="00813E59">
        <w:trPr>
          <w:trHeight w:val="505"/>
        </w:trPr>
        <w:tc>
          <w:tcPr>
            <w:tcW w:w="20" w:type="dxa"/>
            <w:tcBorders>
              <w:top w:val="single" w:sz="8" w:space="0" w:color="000000"/>
            </w:tcBorders>
          </w:tcPr>
          <w:p w14:paraId="29499476" w14:textId="77777777" w:rsidR="00BB43EC" w:rsidRPr="000D5746" w:rsidRDefault="00BB43EC" w:rsidP="00813E59">
            <w:pPr>
              <w:keepNext/>
              <w:keepLines/>
              <w:rPr>
                <w:rFonts w:eastAsia="SimSun"/>
                <w:sz w:val="22"/>
                <w:szCs w:val="22"/>
                <w:vertAlign w:val="superscript"/>
                <w:lang w:eastAsia="zh-CN"/>
              </w:rPr>
            </w:pPr>
          </w:p>
        </w:tc>
        <w:tc>
          <w:tcPr>
            <w:tcW w:w="8666" w:type="dxa"/>
            <w:gridSpan w:val="4"/>
            <w:tcBorders>
              <w:top w:val="single" w:sz="8" w:space="0" w:color="000000"/>
            </w:tcBorders>
            <w:shd w:val="clear" w:color="auto" w:fill="auto"/>
            <w:tcMar>
              <w:top w:w="15" w:type="dxa"/>
              <w:left w:w="108" w:type="dxa"/>
              <w:bottom w:w="0" w:type="dxa"/>
              <w:right w:w="108" w:type="dxa"/>
            </w:tcMar>
            <w:hideMark/>
          </w:tcPr>
          <w:p w14:paraId="06D13FAC" w14:textId="77777777" w:rsidR="00BB43EC" w:rsidRPr="000D5746" w:rsidRDefault="00BB43EC" w:rsidP="00813E59">
            <w:pPr>
              <w:keepNext/>
              <w:keepLines/>
              <w:rPr>
                <w:rFonts w:eastAsia="SimSun"/>
                <w:sz w:val="22"/>
                <w:szCs w:val="22"/>
                <w:lang w:eastAsia="zh-CN"/>
              </w:rPr>
            </w:pPr>
            <w:r w:rsidRPr="000D5746">
              <w:rPr>
                <w:rFonts w:eastAsia="SimSun"/>
                <w:sz w:val="22"/>
                <w:szCs w:val="22"/>
                <w:vertAlign w:val="superscript"/>
                <w:lang w:eastAsia="zh-CN"/>
              </w:rPr>
              <w:t>1</w:t>
            </w:r>
            <w:r w:rsidRPr="000D5746">
              <w:rPr>
                <w:rFonts w:eastAsia="SimSun"/>
                <w:sz w:val="22"/>
                <w:szCs w:val="22"/>
                <w:lang w:eastAsia="zh-CN"/>
              </w:rPr>
              <w:t xml:space="preserve"> Observed with repeat dose subcutaneous administration in Study HV-2093</w:t>
            </w:r>
          </w:p>
          <w:p w14:paraId="248463EE" w14:textId="77777777" w:rsidR="00BB43EC" w:rsidRPr="000D5746" w:rsidRDefault="00BB43EC" w:rsidP="00813E59">
            <w:pPr>
              <w:keepNext/>
              <w:keepLines/>
              <w:rPr>
                <w:rFonts w:eastAsia="SimSun"/>
                <w:sz w:val="22"/>
                <w:szCs w:val="22"/>
                <w:lang w:eastAsia="zh-CN"/>
              </w:rPr>
            </w:pPr>
            <w:r w:rsidRPr="000D5746">
              <w:rPr>
                <w:rFonts w:eastAsia="SimSun"/>
                <w:sz w:val="22"/>
                <w:szCs w:val="22"/>
                <w:vertAlign w:val="superscript"/>
                <w:lang w:eastAsia="zh-CN"/>
              </w:rPr>
              <w:t>2</w:t>
            </w:r>
            <w:r w:rsidRPr="000D5746">
              <w:rPr>
                <w:rFonts w:eastAsia="SimSun"/>
                <w:sz w:val="22"/>
                <w:szCs w:val="22"/>
                <w:lang w:eastAsia="zh-CN"/>
              </w:rPr>
              <w:t xml:space="preserve"> Frequency determined from study COV 2067</w:t>
            </w:r>
          </w:p>
          <w:p w14:paraId="05FA6F04" w14:textId="201BCACD" w:rsidR="00BB43EC" w:rsidRPr="000D5746" w:rsidRDefault="00BB43EC" w:rsidP="00813E59">
            <w:pPr>
              <w:keepNext/>
              <w:keepLines/>
              <w:rPr>
                <w:rFonts w:eastAsia="SimSun"/>
                <w:sz w:val="22"/>
                <w:szCs w:val="22"/>
                <w:lang w:eastAsia="zh-CN"/>
              </w:rPr>
            </w:pPr>
            <w:r w:rsidRPr="000D5746">
              <w:rPr>
                <w:rFonts w:eastAsia="SimSun"/>
                <w:sz w:val="22"/>
                <w:szCs w:val="22"/>
                <w:vertAlign w:val="superscript"/>
                <w:lang w:eastAsia="zh-CN"/>
              </w:rPr>
              <w:t>3</w:t>
            </w:r>
            <w:r w:rsidRPr="000D5746">
              <w:rPr>
                <w:rFonts w:eastAsia="SimSun"/>
                <w:sz w:val="22"/>
                <w:szCs w:val="22"/>
                <w:lang w:eastAsia="zh-CN"/>
              </w:rPr>
              <w:t xml:space="preserve"> </w:t>
            </w:r>
            <w:r w:rsidRPr="007535E3">
              <w:rPr>
                <w:rFonts w:eastAsia="SimSun"/>
                <w:sz w:val="22"/>
                <w:szCs w:val="22"/>
                <w:lang w:eastAsia="zh-CN"/>
              </w:rPr>
              <w:t xml:space="preserve">Frequency determined </w:t>
            </w:r>
            <w:r w:rsidR="007535E3">
              <w:rPr>
                <w:rFonts w:eastAsia="SimSun"/>
                <w:sz w:val="22"/>
                <w:szCs w:val="22"/>
                <w:lang w:eastAsia="zh-CN"/>
              </w:rPr>
              <w:t xml:space="preserve">from studies </w:t>
            </w:r>
            <w:r w:rsidRPr="007535E3">
              <w:rPr>
                <w:rFonts w:eastAsia="SimSun"/>
                <w:sz w:val="22"/>
                <w:szCs w:val="22"/>
                <w:lang w:eastAsia="zh-CN"/>
              </w:rPr>
              <w:t xml:space="preserve">using IV </w:t>
            </w:r>
            <w:r w:rsidR="007535E3">
              <w:rPr>
                <w:rFonts w:eastAsia="SimSun"/>
                <w:sz w:val="22"/>
                <w:szCs w:val="22"/>
                <w:lang w:eastAsia="zh-CN"/>
              </w:rPr>
              <w:t>administration</w:t>
            </w:r>
            <w:r w:rsidRPr="007535E3">
              <w:rPr>
                <w:rFonts w:eastAsia="SimSun"/>
                <w:sz w:val="22"/>
                <w:szCs w:val="22"/>
                <w:lang w:eastAsia="zh-CN"/>
              </w:rPr>
              <w:t xml:space="preserve"> (2066, 2067 </w:t>
            </w:r>
            <w:r w:rsidR="007535E3">
              <w:rPr>
                <w:rFonts w:eastAsia="SimSun"/>
                <w:sz w:val="22"/>
                <w:szCs w:val="22"/>
                <w:lang w:eastAsia="zh-CN"/>
              </w:rPr>
              <w:t xml:space="preserve">and </w:t>
            </w:r>
            <w:r w:rsidRPr="007535E3">
              <w:rPr>
                <w:rFonts w:eastAsia="SimSun"/>
                <w:sz w:val="22"/>
                <w:szCs w:val="22"/>
                <w:lang w:eastAsia="zh-CN"/>
              </w:rPr>
              <w:t>20145)</w:t>
            </w:r>
            <w:r w:rsidRPr="000D5746">
              <w:rPr>
                <w:rFonts w:eastAsia="SimSun"/>
                <w:sz w:val="22"/>
                <w:szCs w:val="22"/>
                <w:lang w:eastAsia="zh-CN"/>
              </w:rPr>
              <w:t xml:space="preserve"> </w:t>
            </w:r>
          </w:p>
          <w:p w14:paraId="73819FDA" w14:textId="77777777" w:rsidR="00BB43EC" w:rsidRPr="000D5746" w:rsidRDefault="00BB43EC" w:rsidP="00813E59">
            <w:pPr>
              <w:keepNext/>
              <w:keepLines/>
              <w:rPr>
                <w:rFonts w:eastAsia="SimSun"/>
                <w:sz w:val="22"/>
                <w:szCs w:val="22"/>
                <w:lang w:eastAsia="zh-CN"/>
              </w:rPr>
            </w:pPr>
            <w:r w:rsidRPr="000D5746">
              <w:rPr>
                <w:rFonts w:eastAsia="SimSun"/>
                <w:sz w:val="22"/>
                <w:szCs w:val="22"/>
                <w:vertAlign w:val="superscript"/>
                <w:lang w:eastAsia="zh-CN"/>
              </w:rPr>
              <w:t xml:space="preserve">4 </w:t>
            </w:r>
            <w:r w:rsidRPr="000D5746">
              <w:rPr>
                <w:rFonts w:eastAsia="SimSun"/>
                <w:sz w:val="22"/>
                <w:szCs w:val="22"/>
                <w:lang w:eastAsia="zh-CN"/>
              </w:rPr>
              <w:t>Frequency determined from study HV 2093 (repeat dose subcutaneous study)</w:t>
            </w:r>
          </w:p>
          <w:p w14:paraId="4EDE5F43" w14:textId="358BC746" w:rsidR="00BB43EC" w:rsidRPr="000D5746" w:rsidRDefault="00BB43EC" w:rsidP="00813E59">
            <w:pPr>
              <w:keepNext/>
              <w:keepLines/>
              <w:rPr>
                <w:rFonts w:eastAsia="SimSun"/>
                <w:sz w:val="22"/>
                <w:szCs w:val="22"/>
                <w:lang w:eastAsia="zh-CN"/>
              </w:rPr>
            </w:pPr>
            <w:r w:rsidRPr="007535E3">
              <w:rPr>
                <w:rFonts w:eastAsia="SimSun"/>
                <w:sz w:val="22"/>
                <w:szCs w:val="22"/>
                <w:vertAlign w:val="superscript"/>
                <w:lang w:eastAsia="zh-CN"/>
              </w:rPr>
              <w:t xml:space="preserve">5 </w:t>
            </w:r>
            <w:r w:rsidRPr="007535E3">
              <w:rPr>
                <w:rFonts w:eastAsia="SimSun"/>
                <w:sz w:val="22"/>
                <w:szCs w:val="22"/>
                <w:lang w:eastAsia="zh-CN"/>
              </w:rPr>
              <w:t>Frequency determined from study COV 2069</w:t>
            </w:r>
            <w:r w:rsidR="007535E3" w:rsidRPr="007535E3">
              <w:rPr>
                <w:rFonts w:eastAsia="SimSun"/>
                <w:sz w:val="22"/>
                <w:szCs w:val="22"/>
                <w:lang w:eastAsia="zh-CN"/>
              </w:rPr>
              <w:t>. ISR include erythema, pruritus, ecchymosis, oedema, pain, tenderness and urticaria</w:t>
            </w:r>
          </w:p>
          <w:p w14:paraId="43F96AED" w14:textId="77777777" w:rsidR="00BB43EC" w:rsidRPr="000D5746" w:rsidRDefault="00BB43EC" w:rsidP="00813E59">
            <w:pPr>
              <w:keepNext/>
              <w:keepLines/>
              <w:rPr>
                <w:rFonts w:eastAsia="SimSun"/>
                <w:sz w:val="22"/>
                <w:szCs w:val="22"/>
                <w:lang w:eastAsia="zh-CN"/>
              </w:rPr>
            </w:pPr>
            <w:r w:rsidRPr="000D5746">
              <w:rPr>
                <w:rFonts w:eastAsia="SimSun"/>
                <w:sz w:val="22"/>
                <w:szCs w:val="22"/>
                <w:lang w:eastAsia="zh-CN"/>
              </w:rPr>
              <w:t>* In some cases, symptoms of IRRs and ISRs have been reported as individual ADRs</w:t>
            </w:r>
          </w:p>
        </w:tc>
      </w:tr>
    </w:tbl>
    <w:p w14:paraId="5151941C" w14:textId="77777777" w:rsidR="00BB43EC" w:rsidRPr="00BB43EC" w:rsidRDefault="00BB43EC" w:rsidP="00BB43EC">
      <w:pPr>
        <w:pStyle w:val="NormalWeb"/>
        <w:spacing w:before="0" w:beforeAutospacing="0" w:after="0" w:afterAutospacing="0" w:line="300" w:lineRule="atLeast"/>
        <w:contextualSpacing/>
        <w:rPr>
          <w:lang w:val="en-NZ"/>
        </w:rPr>
      </w:pPr>
    </w:p>
    <w:p w14:paraId="47B437D9" w14:textId="63002603" w:rsidR="00DE388D" w:rsidRPr="00A807D3" w:rsidRDefault="00DE388D" w:rsidP="00204BDD">
      <w:pPr>
        <w:pStyle w:val="Heading3"/>
      </w:pPr>
      <w:r w:rsidRPr="00A807D3">
        <w:t xml:space="preserve">Description of selected adverse </w:t>
      </w:r>
      <w:r w:rsidR="00FF2BBE">
        <w:t xml:space="preserve">drug </w:t>
      </w:r>
      <w:r w:rsidRPr="00A807D3">
        <w:t>reactions</w:t>
      </w:r>
      <w:r w:rsidR="00FF2BBE">
        <w:t xml:space="preserve"> from clinical trials</w:t>
      </w:r>
    </w:p>
    <w:p w14:paraId="5158C4EE" w14:textId="17BF2F50" w:rsidR="00BB43EC" w:rsidRPr="007535E3" w:rsidRDefault="00BB43EC" w:rsidP="00BB43EC">
      <w:pPr>
        <w:pStyle w:val="Heading4"/>
      </w:pPr>
      <w:r w:rsidRPr="007535E3">
        <w:t>Hypersensitivity Including Anaphylaxis</w:t>
      </w:r>
    </w:p>
    <w:p w14:paraId="2218D234" w14:textId="7A24EA00" w:rsidR="00BB43EC" w:rsidRPr="007535E3" w:rsidRDefault="00BB43EC" w:rsidP="00BB43EC">
      <w:r w:rsidRPr="007535E3">
        <w:t>The following hypersensitivity reactions of varying severity were observed across the clinical development programme.</w:t>
      </w:r>
    </w:p>
    <w:p w14:paraId="70F4BC4D" w14:textId="7531E966" w:rsidR="00BB43EC" w:rsidRPr="007535E3" w:rsidRDefault="00BB43EC" w:rsidP="00BB43EC"/>
    <w:p w14:paraId="334A1345" w14:textId="2F13135F" w:rsidR="00204BDD" w:rsidRPr="007535E3" w:rsidRDefault="00BB43EC" w:rsidP="00BB43EC">
      <w:r w:rsidRPr="007535E3">
        <w:t>Anaphylaxis/anaphylactic reaction has been observed in the clinical development programme but was a very rare event and occurred within 1 hour of completion of the infusion and resolved after supportive treatment, which included epinephrine (see section 4.4)</w:t>
      </w:r>
      <w:r w:rsidR="00204BDD" w:rsidRPr="007535E3">
        <w:t>.</w:t>
      </w:r>
    </w:p>
    <w:p w14:paraId="7F597B75" w14:textId="09DAF9E8" w:rsidR="00BB43EC" w:rsidRPr="007535E3" w:rsidRDefault="00BB43EC" w:rsidP="00BB43EC">
      <w:pPr>
        <w:pStyle w:val="Heading4"/>
        <w:rPr>
          <w:rFonts w:eastAsia="SimSun"/>
          <w:lang w:eastAsia="zh-CN"/>
        </w:rPr>
      </w:pPr>
      <w:r w:rsidRPr="007535E3">
        <w:rPr>
          <w:rFonts w:eastAsia="SimSun"/>
          <w:lang w:eastAsia="zh-CN"/>
        </w:rPr>
        <w:t>Infusion-related reactions (IRR)</w:t>
      </w:r>
    </w:p>
    <w:p w14:paraId="26E23310" w14:textId="4A165EEE" w:rsidR="00BB43EC" w:rsidRPr="007535E3" w:rsidRDefault="00BB43EC" w:rsidP="00BB43EC">
      <w:pPr>
        <w:rPr>
          <w:rFonts w:eastAsia="SimSun"/>
          <w:lang w:eastAsia="zh-CN"/>
        </w:rPr>
      </w:pPr>
      <w:r w:rsidRPr="007535E3">
        <w:rPr>
          <w:rFonts w:eastAsia="SimSun"/>
          <w:lang w:eastAsia="zh-CN"/>
        </w:rPr>
        <w:t xml:space="preserve">Infusion-related reactions have been observed with IV administration of </w:t>
      </w:r>
      <w:proofErr w:type="spellStart"/>
      <w:r w:rsidRPr="007535E3">
        <w:rPr>
          <w:rFonts w:eastAsia="SimSun"/>
          <w:lang w:eastAsia="zh-CN"/>
        </w:rPr>
        <w:t>casirivimab</w:t>
      </w:r>
      <w:proofErr w:type="spellEnd"/>
      <w:r w:rsidRPr="007535E3">
        <w:rPr>
          <w:rFonts w:eastAsia="SimSun"/>
          <w:lang w:eastAsia="zh-CN"/>
        </w:rPr>
        <w:t xml:space="preserve"> and </w:t>
      </w:r>
      <w:proofErr w:type="spellStart"/>
      <w:r w:rsidRPr="007535E3">
        <w:rPr>
          <w:rFonts w:eastAsia="SimSun"/>
          <w:lang w:eastAsia="zh-CN"/>
        </w:rPr>
        <w:t>imdevimab</w:t>
      </w:r>
      <w:proofErr w:type="spellEnd"/>
      <w:r w:rsidRPr="007535E3">
        <w:rPr>
          <w:rFonts w:eastAsia="SimSun"/>
          <w:lang w:eastAsia="zh-CN"/>
        </w:rPr>
        <w:t xml:space="preserve"> across all dose groups in clinical studies. These reactions were mostly mild to moderate in severity </w:t>
      </w:r>
      <w:r w:rsidRPr="007535E3">
        <w:rPr>
          <w:rFonts w:eastAsia="SimSun"/>
        </w:rPr>
        <w:t xml:space="preserve">and were </w:t>
      </w:r>
      <w:r w:rsidRPr="007535E3">
        <w:t xml:space="preserve">typically observed during or within 24 hours of infusion </w:t>
      </w:r>
      <w:r w:rsidRPr="007535E3">
        <w:rPr>
          <w:rFonts w:eastAsia="SimSun"/>
          <w:lang w:eastAsia="zh-CN"/>
        </w:rPr>
        <w:t xml:space="preserve">and resolved either without intervention or with usual standard of care. Commonly reported signs and symptoms for infusion related reactions included nausea, chills, dizziness (or syncope), rash, urticaria and flushing. Other known clinical presentations of IRR may also be expected (see section 4.4). </w:t>
      </w:r>
    </w:p>
    <w:p w14:paraId="449325A3" w14:textId="5744A953" w:rsidR="00BB43EC" w:rsidRPr="007535E3" w:rsidRDefault="00BB43EC" w:rsidP="00BB43EC">
      <w:pPr>
        <w:pStyle w:val="Heading4"/>
        <w:rPr>
          <w:rFonts w:eastAsia="SimSun"/>
          <w:lang w:eastAsia="zh-CN"/>
        </w:rPr>
      </w:pPr>
      <w:r w:rsidRPr="007535E3">
        <w:rPr>
          <w:rFonts w:eastAsia="SimSun"/>
          <w:lang w:eastAsia="zh-CN"/>
        </w:rPr>
        <w:lastRenderedPageBreak/>
        <w:t>Injection Site Reactions (ISR)</w:t>
      </w:r>
    </w:p>
    <w:p w14:paraId="5C17B774" w14:textId="51DD7123" w:rsidR="00BB43EC" w:rsidRPr="004663D3" w:rsidRDefault="00BB43EC" w:rsidP="00BB43EC">
      <w:pPr>
        <w:rPr>
          <w:rFonts w:eastAsia="SimSun"/>
          <w:strike/>
          <w:lang w:eastAsia="zh-CN"/>
        </w:rPr>
      </w:pPr>
      <w:r w:rsidRPr="007535E3">
        <w:rPr>
          <w:rFonts w:eastAsia="SimSun"/>
          <w:lang w:eastAsia="zh-CN"/>
        </w:rPr>
        <w:t>Injection site reactions were reported in all studies with subcutaneous administration including single dose and repeat dose studies. All ISRs were mainly local, mild to moderate in severity and resolved either without intervention or with usual standard of care. Commonly reported signs and symptoms for these reactions included erythema, pruritis, ecchymosis, oedema, pain/tenderness and urticaria. In the repeat dose study, (HV-2093) localised lymphadenopathy was also observed.</w:t>
      </w:r>
    </w:p>
    <w:p w14:paraId="425710B3" w14:textId="77777777" w:rsidR="00BB43EC" w:rsidRPr="00173338" w:rsidRDefault="00BB43EC" w:rsidP="00BB43EC">
      <w:pPr>
        <w:pStyle w:val="Heading4"/>
      </w:pPr>
      <w:r w:rsidRPr="00173338">
        <w:t>Paediatric Population</w:t>
      </w:r>
    </w:p>
    <w:p w14:paraId="29A71E2F" w14:textId="4EE96DC4" w:rsidR="00BB43EC" w:rsidRPr="00173338" w:rsidRDefault="00BB43EC" w:rsidP="00BB43EC">
      <w:r w:rsidRPr="00173338">
        <w:t>IV administration (Treatment population): No data are available for paediatric patients &lt; 18 years old.</w:t>
      </w:r>
    </w:p>
    <w:p w14:paraId="6C24D5C9" w14:textId="77777777" w:rsidR="00BB43EC" w:rsidRPr="00173338" w:rsidRDefault="00BB43EC" w:rsidP="00BB43EC"/>
    <w:p w14:paraId="0B3DB9AF" w14:textId="77777777" w:rsidR="00BB43EC" w:rsidRPr="00173338" w:rsidRDefault="00BB43EC" w:rsidP="00BB43EC">
      <w:pPr>
        <w:rPr>
          <w:u w:val="single"/>
        </w:rPr>
      </w:pPr>
      <w:r w:rsidRPr="00173338">
        <w:t>Subcutaneous administration: 45 (3%) and</w:t>
      </w:r>
      <w:r w:rsidRPr="00173338">
        <w:rPr>
          <w:rFonts w:eastAsia="SimSun"/>
          <w:lang w:eastAsia="zh-CN"/>
        </w:rPr>
        <w:t xml:space="preserve"> 21 (14%) adolescents ≥ 12 and &lt; 18 years old received treatment with </w:t>
      </w:r>
      <w:proofErr w:type="spellStart"/>
      <w:r w:rsidRPr="00173338">
        <w:rPr>
          <w:rFonts w:eastAsia="SimSun"/>
          <w:lang w:eastAsia="zh-CN"/>
        </w:rPr>
        <w:t>Ronapreve</w:t>
      </w:r>
      <w:proofErr w:type="spellEnd"/>
      <w:r w:rsidRPr="00173338">
        <w:rPr>
          <w:rFonts w:eastAsia="SimSun"/>
          <w:lang w:eastAsia="zh-CN"/>
        </w:rPr>
        <w:t xml:space="preserve"> in study COV-2069 cohort A and B, respectively and safety profile observed was </w:t>
      </w:r>
      <w:proofErr w:type="gramStart"/>
      <w:r w:rsidRPr="00173338">
        <w:rPr>
          <w:rFonts w:eastAsia="SimSun"/>
          <w:lang w:eastAsia="zh-CN"/>
        </w:rPr>
        <w:t>similar to</w:t>
      </w:r>
      <w:proofErr w:type="gramEnd"/>
      <w:r w:rsidRPr="00173338">
        <w:rPr>
          <w:rFonts w:eastAsia="SimSun"/>
          <w:lang w:eastAsia="zh-CN"/>
        </w:rPr>
        <w:t xml:space="preserve"> that in adult patients.</w:t>
      </w:r>
    </w:p>
    <w:p w14:paraId="2B7A7DC0" w14:textId="77777777" w:rsidR="00BB43EC" w:rsidRPr="00173338" w:rsidRDefault="00BB43EC" w:rsidP="00BB43EC">
      <w:pPr>
        <w:pStyle w:val="Heading4"/>
      </w:pPr>
      <w:r w:rsidRPr="00173338">
        <w:t>Elderly</w:t>
      </w:r>
    </w:p>
    <w:p w14:paraId="78299EDD" w14:textId="440A083A" w:rsidR="00BB43EC" w:rsidRPr="00173338" w:rsidRDefault="00BB43EC" w:rsidP="00BB43EC">
      <w:pPr>
        <w:rPr>
          <w:rFonts w:eastAsia="SimSun"/>
          <w:lang w:eastAsia="zh-CN"/>
        </w:rPr>
      </w:pPr>
      <w:r w:rsidRPr="00173338">
        <w:t xml:space="preserve">IV administration: In </w:t>
      </w:r>
      <w:r w:rsidR="00045860">
        <w:t>study</w:t>
      </w:r>
      <w:r w:rsidR="00045860" w:rsidRPr="00173338">
        <w:t xml:space="preserve"> </w:t>
      </w:r>
      <w:r w:rsidRPr="00173338">
        <w:t xml:space="preserve">COV-2067, 485 (12%) patients who were </w:t>
      </w:r>
      <w:r w:rsidRPr="00173338">
        <w:rPr>
          <w:rFonts w:eastAsia="SimSun"/>
          <w:lang w:eastAsia="zh-CN"/>
        </w:rPr>
        <w:t>≥</w:t>
      </w:r>
      <w:r w:rsidRPr="00173338">
        <w:t xml:space="preserve"> 65 years old, </w:t>
      </w:r>
      <w:r w:rsidRPr="00173338">
        <w:rPr>
          <w:rFonts w:eastAsia="SimSun"/>
          <w:lang w:eastAsia="zh-CN"/>
        </w:rPr>
        <w:t xml:space="preserve">received treatment with </w:t>
      </w:r>
      <w:proofErr w:type="spellStart"/>
      <w:r w:rsidRPr="00173338">
        <w:rPr>
          <w:rFonts w:eastAsia="SimSun"/>
          <w:lang w:eastAsia="zh-CN"/>
        </w:rPr>
        <w:t>Ronapreve</w:t>
      </w:r>
      <w:proofErr w:type="spellEnd"/>
      <w:r w:rsidRPr="00173338">
        <w:rPr>
          <w:rFonts w:eastAsia="SimSun"/>
          <w:lang w:eastAsia="zh-CN"/>
        </w:rPr>
        <w:t xml:space="preserve">. The safety profile of these patients was </w:t>
      </w:r>
      <w:proofErr w:type="gramStart"/>
      <w:r w:rsidRPr="00173338">
        <w:rPr>
          <w:rFonts w:eastAsia="SimSun"/>
          <w:lang w:eastAsia="zh-CN"/>
        </w:rPr>
        <w:t>similar to</w:t>
      </w:r>
      <w:proofErr w:type="gramEnd"/>
      <w:r w:rsidRPr="00173338">
        <w:rPr>
          <w:rFonts w:eastAsia="SimSun"/>
          <w:lang w:eastAsia="zh-CN"/>
        </w:rPr>
        <w:t xml:space="preserve"> that in adult patients &lt; 65 years old.</w:t>
      </w:r>
    </w:p>
    <w:p w14:paraId="140104F1" w14:textId="77777777" w:rsidR="00BB43EC" w:rsidRPr="00173338" w:rsidRDefault="00BB43EC" w:rsidP="00BB43EC"/>
    <w:p w14:paraId="6FC08B27" w14:textId="77777777" w:rsidR="00BB43EC" w:rsidRPr="004663D3" w:rsidRDefault="00BB43EC" w:rsidP="00BB43EC">
      <w:r w:rsidRPr="00173338">
        <w:t xml:space="preserve">Subcutaneous administration: In studies COV-2069 (cohort A and cohort B) and HV-2093, a total of 120 (9%), 15 (10.0%) and 90 (12%) individuals who were </w:t>
      </w:r>
      <w:r w:rsidRPr="00173338">
        <w:rPr>
          <w:rFonts w:eastAsia="SimSun"/>
          <w:lang w:eastAsia="zh-CN"/>
        </w:rPr>
        <w:t>≥</w:t>
      </w:r>
      <w:r w:rsidRPr="00173338">
        <w:t xml:space="preserve"> 65 years old respectively, were treated with </w:t>
      </w:r>
      <w:proofErr w:type="spellStart"/>
      <w:r w:rsidRPr="00173338">
        <w:t>Ronapreve</w:t>
      </w:r>
      <w:proofErr w:type="spellEnd"/>
      <w:r w:rsidRPr="00173338">
        <w:t xml:space="preserve"> and the safety profile was similar to adults &lt; 65 years old.</w:t>
      </w:r>
      <w:r w:rsidRPr="004663D3">
        <w:t xml:space="preserve"> </w:t>
      </w:r>
    </w:p>
    <w:p w14:paraId="72292241" w14:textId="77777777" w:rsidR="00DE388D" w:rsidRPr="00A807D3" w:rsidRDefault="00DE388D" w:rsidP="00DE388D">
      <w:pPr>
        <w:pStyle w:val="Heading3"/>
        <w:spacing w:line="300" w:lineRule="atLeast"/>
        <w:rPr>
          <w:color w:val="auto"/>
        </w:rPr>
      </w:pPr>
      <w:proofErr w:type="spellStart"/>
      <w:r w:rsidRPr="00A807D3">
        <w:rPr>
          <w:color w:val="auto"/>
        </w:rPr>
        <w:t>Postmarketing</w:t>
      </w:r>
      <w:proofErr w:type="spellEnd"/>
      <w:r w:rsidRPr="00A807D3">
        <w:rPr>
          <w:color w:val="auto"/>
        </w:rPr>
        <w:t xml:space="preserve"> Experience</w:t>
      </w:r>
    </w:p>
    <w:p w14:paraId="2F1416EB" w14:textId="77777777" w:rsidR="00DE388D" w:rsidRPr="00A807D3" w:rsidRDefault="00DE388D" w:rsidP="00DE388D">
      <w:pPr>
        <w:pStyle w:val="Paragraph"/>
        <w:spacing w:after="120"/>
        <w:rPr>
          <w:sz w:val="24"/>
        </w:rPr>
      </w:pPr>
      <w:r w:rsidRPr="00A807D3">
        <w:rPr>
          <w:sz w:val="24"/>
        </w:rPr>
        <w:t>Not applicable</w:t>
      </w:r>
    </w:p>
    <w:p w14:paraId="0B442F48" w14:textId="77777777" w:rsidR="006F052E" w:rsidRPr="00A807D3" w:rsidRDefault="006F052E" w:rsidP="00CC6729">
      <w:pPr>
        <w:pStyle w:val="Heading3"/>
        <w:rPr>
          <w:color w:val="auto"/>
        </w:rPr>
      </w:pPr>
      <w:r w:rsidRPr="00A807D3">
        <w:rPr>
          <w:color w:val="auto"/>
        </w:rPr>
        <w:t>Reporting of suspected adverse reactions</w:t>
      </w:r>
    </w:p>
    <w:p w14:paraId="51D697E6" w14:textId="7B9F57C5" w:rsidR="00E21CCD" w:rsidRPr="00A807D3" w:rsidRDefault="00E21CCD">
      <w:pPr>
        <w:rPr>
          <w:color w:val="auto"/>
        </w:rPr>
      </w:pPr>
      <w:r w:rsidRPr="00A807D3">
        <w:rPr>
          <w:color w:val="auto"/>
        </w:rPr>
        <w:t>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9" w:history="1">
        <w:r w:rsidR="00B1134D" w:rsidRPr="00A807D3">
          <w:rPr>
            <w:rStyle w:val="Hyperlink"/>
            <w:color w:val="auto"/>
          </w:rPr>
          <w:t>www.tga.gov.au/reporting-problems</w:t>
        </w:r>
      </w:hyperlink>
      <w:r w:rsidR="00B1134D" w:rsidRPr="00A807D3">
        <w:rPr>
          <w:color w:val="auto"/>
        </w:rPr>
        <w:t>.</w:t>
      </w:r>
    </w:p>
    <w:p w14:paraId="308E3BFB" w14:textId="77777777" w:rsidR="009F4C5B" w:rsidRPr="00A807D3" w:rsidRDefault="009F4C5B">
      <w:pPr>
        <w:rPr>
          <w:color w:val="auto"/>
        </w:rPr>
      </w:pPr>
    </w:p>
    <w:p w14:paraId="5B9FD576" w14:textId="6887EB63" w:rsidR="00D52399" w:rsidRPr="00A807D3" w:rsidRDefault="00902EBE" w:rsidP="009F4C5B">
      <w:pPr>
        <w:pStyle w:val="Heading2"/>
        <w:spacing w:before="0"/>
        <w:rPr>
          <w:color w:val="auto"/>
        </w:rPr>
      </w:pPr>
      <w:r w:rsidRPr="00A807D3">
        <w:rPr>
          <w:color w:val="auto"/>
        </w:rPr>
        <w:t>4.9</w:t>
      </w:r>
      <w:r w:rsidRPr="00A807D3">
        <w:rPr>
          <w:color w:val="auto"/>
        </w:rPr>
        <w:tab/>
        <w:t>OVERDOSE</w:t>
      </w:r>
    </w:p>
    <w:p w14:paraId="2FCAD150" w14:textId="3D533F62" w:rsidR="00BB43EC" w:rsidRDefault="00BB43EC" w:rsidP="00BB43EC">
      <w:pPr>
        <w:pStyle w:val="Paragraph"/>
        <w:spacing w:after="0" w:line="240" w:lineRule="auto"/>
        <w:rPr>
          <w:sz w:val="24"/>
        </w:rPr>
      </w:pPr>
      <w:r w:rsidRPr="004663D3">
        <w:rPr>
          <w:sz w:val="24"/>
        </w:rPr>
        <w:t xml:space="preserve">Doses up to 8 000 mg (4 000 mg each of </w:t>
      </w:r>
      <w:proofErr w:type="spellStart"/>
      <w:r w:rsidRPr="004663D3">
        <w:rPr>
          <w:sz w:val="24"/>
        </w:rPr>
        <w:t>casirivimab</w:t>
      </w:r>
      <w:proofErr w:type="spellEnd"/>
      <w:r w:rsidRPr="004663D3">
        <w:rPr>
          <w:sz w:val="24"/>
        </w:rPr>
        <w:t xml:space="preserve"> and </w:t>
      </w:r>
      <w:proofErr w:type="spellStart"/>
      <w:r w:rsidRPr="004663D3">
        <w:rPr>
          <w:sz w:val="24"/>
        </w:rPr>
        <w:t>imdevimab</w:t>
      </w:r>
      <w:proofErr w:type="spellEnd"/>
      <w:r w:rsidRPr="004663D3">
        <w:rPr>
          <w:sz w:val="24"/>
        </w:rPr>
        <w:t xml:space="preserve">, approximately 7-times the recommended dose) have been administered in clinical trials with no new safety concerns identified. </w:t>
      </w:r>
      <w:r w:rsidR="006608B6" w:rsidRPr="006608B6">
        <w:rPr>
          <w:sz w:val="24"/>
        </w:rPr>
        <w:t>The safety profile for 8 000 mg IV was not substantially different to that for the recommended dose.</w:t>
      </w:r>
    </w:p>
    <w:p w14:paraId="3DB3549D" w14:textId="77777777" w:rsidR="00B8096C" w:rsidRPr="004663D3" w:rsidRDefault="00B8096C" w:rsidP="00BB43EC">
      <w:pPr>
        <w:pStyle w:val="Paragraph"/>
        <w:spacing w:after="0" w:line="240" w:lineRule="auto"/>
        <w:rPr>
          <w:sz w:val="24"/>
        </w:rPr>
      </w:pPr>
    </w:p>
    <w:p w14:paraId="27D3A862" w14:textId="2BE658CD" w:rsidR="00DE388D" w:rsidRDefault="00BB43EC" w:rsidP="00BB43EC">
      <w:pPr>
        <w:pStyle w:val="Default"/>
        <w:spacing w:line="300" w:lineRule="atLeast"/>
        <w:rPr>
          <w:color w:val="auto"/>
        </w:rPr>
      </w:pPr>
      <w:r w:rsidRPr="004663D3">
        <w:t xml:space="preserve">There is no known specific antidote for </w:t>
      </w:r>
      <w:proofErr w:type="spellStart"/>
      <w:r w:rsidRPr="004663D3">
        <w:t>casirivimab</w:t>
      </w:r>
      <w:proofErr w:type="spellEnd"/>
      <w:r w:rsidRPr="004663D3">
        <w:t xml:space="preserve"> and </w:t>
      </w:r>
      <w:proofErr w:type="spellStart"/>
      <w:r w:rsidRPr="004663D3">
        <w:t>imdevimab</w:t>
      </w:r>
      <w:proofErr w:type="spellEnd"/>
      <w:r w:rsidRPr="004663D3">
        <w:t xml:space="preserve"> overdose. Treatment of overdose should consist of general supportive measures including monitoring of vital signs and observation of the clinical status of the patient</w:t>
      </w:r>
      <w:r w:rsidR="00FF2BBE" w:rsidRPr="00FF2BBE">
        <w:rPr>
          <w:color w:val="auto"/>
        </w:rPr>
        <w:t>.</w:t>
      </w:r>
    </w:p>
    <w:p w14:paraId="3EE96C44" w14:textId="77777777" w:rsidR="00BB43EC" w:rsidRPr="00A807D3" w:rsidRDefault="00BB43EC" w:rsidP="00BB43EC">
      <w:pPr>
        <w:pStyle w:val="Default"/>
        <w:spacing w:line="300" w:lineRule="atLeast"/>
        <w:rPr>
          <w:color w:val="auto"/>
        </w:rPr>
      </w:pPr>
    </w:p>
    <w:p w14:paraId="5E51970C" w14:textId="48467316" w:rsidR="008903F2" w:rsidRDefault="008903F2" w:rsidP="00B1498F">
      <w:pPr>
        <w:spacing w:after="240"/>
        <w:rPr>
          <w:color w:val="auto"/>
        </w:rPr>
      </w:pPr>
      <w:r w:rsidRPr="00A807D3">
        <w:rPr>
          <w:color w:val="auto"/>
        </w:rPr>
        <w:t>For information on the management of overdose, contact the Poisons Information Centre on 13 11 26 (Australia).</w:t>
      </w:r>
      <w:r w:rsidR="00BA0878" w:rsidRPr="00A807D3">
        <w:rPr>
          <w:color w:val="auto"/>
        </w:rPr>
        <w:t xml:space="preserve"> </w:t>
      </w:r>
    </w:p>
    <w:p w14:paraId="7B1C8E3C" w14:textId="77777777" w:rsidR="00D52399" w:rsidRPr="00A807D3" w:rsidRDefault="00615052" w:rsidP="0060563E">
      <w:pPr>
        <w:pStyle w:val="Heading1"/>
        <w:pageBreakBefore/>
        <w:numPr>
          <w:ilvl w:val="0"/>
          <w:numId w:val="2"/>
        </w:numPr>
        <w:spacing w:before="0"/>
        <w:ind w:left="357" w:hanging="357"/>
        <w:rPr>
          <w:color w:val="auto"/>
        </w:rPr>
      </w:pPr>
      <w:r w:rsidRPr="00A807D3">
        <w:rPr>
          <w:color w:val="auto"/>
        </w:rPr>
        <w:lastRenderedPageBreak/>
        <w:t>PHARMACOLOGICAL PROPERTIES</w:t>
      </w:r>
    </w:p>
    <w:p w14:paraId="11897CB3" w14:textId="77777777" w:rsidR="00D52399" w:rsidRPr="00A807D3" w:rsidRDefault="00CC6729" w:rsidP="0087549F">
      <w:pPr>
        <w:pStyle w:val="Heading2"/>
        <w:spacing w:before="0"/>
        <w:rPr>
          <w:color w:val="auto"/>
        </w:rPr>
      </w:pPr>
      <w:r w:rsidRPr="00A807D3">
        <w:rPr>
          <w:color w:val="auto"/>
        </w:rPr>
        <w:t xml:space="preserve">5.1 </w:t>
      </w:r>
      <w:r w:rsidRPr="00A807D3">
        <w:rPr>
          <w:color w:val="auto"/>
        </w:rPr>
        <w:tab/>
      </w:r>
      <w:r w:rsidR="00902EBE" w:rsidRPr="00A807D3">
        <w:rPr>
          <w:color w:val="auto"/>
        </w:rPr>
        <w:t>PHARMACODYNAMIC PROPERTIES</w:t>
      </w:r>
    </w:p>
    <w:p w14:paraId="7CF31D2A" w14:textId="77777777" w:rsidR="00BB43EC" w:rsidRPr="00BB43EC" w:rsidRDefault="00BB43EC" w:rsidP="00BB43EC">
      <w:pPr>
        <w:pStyle w:val="C-BodyText"/>
        <w:spacing w:before="0" w:after="0"/>
        <w:rPr>
          <w:noProof/>
          <w:szCs w:val="24"/>
          <w:u w:val="single"/>
        </w:rPr>
      </w:pPr>
      <w:r w:rsidRPr="00BB43EC">
        <w:rPr>
          <w:noProof/>
          <w:szCs w:val="24"/>
          <w:u w:val="single"/>
        </w:rPr>
        <w:t>Casirivimab:</w:t>
      </w:r>
    </w:p>
    <w:p w14:paraId="15B2C6AD" w14:textId="77777777" w:rsidR="00BB43EC" w:rsidRPr="004663D3" w:rsidRDefault="00BB43EC" w:rsidP="00BB43EC">
      <w:pPr>
        <w:pStyle w:val="C-BodyText"/>
        <w:spacing w:before="0" w:after="0"/>
        <w:rPr>
          <w:noProof/>
          <w:szCs w:val="24"/>
        </w:rPr>
      </w:pPr>
      <w:r w:rsidRPr="004663D3">
        <w:rPr>
          <w:noProof/>
          <w:szCs w:val="24"/>
        </w:rPr>
        <w:t>Pharmacotherapeutic group: Not yet assigned. ATC code: Not yet assigned.</w:t>
      </w:r>
    </w:p>
    <w:p w14:paraId="067C9C6A" w14:textId="77777777" w:rsidR="00BB43EC" w:rsidRPr="004663D3" w:rsidRDefault="00BB43EC" w:rsidP="00BB43EC">
      <w:pPr>
        <w:pStyle w:val="C-BodyText"/>
        <w:spacing w:before="0" w:after="0"/>
        <w:rPr>
          <w:noProof/>
          <w:szCs w:val="24"/>
        </w:rPr>
      </w:pPr>
    </w:p>
    <w:p w14:paraId="75893F82" w14:textId="77777777" w:rsidR="00BB43EC" w:rsidRPr="00BB43EC" w:rsidRDefault="00BB43EC" w:rsidP="00BB43EC">
      <w:pPr>
        <w:pStyle w:val="C-BodyText"/>
        <w:spacing w:before="0" w:after="0"/>
        <w:rPr>
          <w:noProof/>
          <w:szCs w:val="24"/>
          <w:u w:val="single"/>
        </w:rPr>
      </w:pPr>
      <w:r w:rsidRPr="00BB43EC">
        <w:rPr>
          <w:noProof/>
          <w:szCs w:val="24"/>
          <w:u w:val="single"/>
        </w:rPr>
        <w:t>Imdevimab:</w:t>
      </w:r>
    </w:p>
    <w:p w14:paraId="0B30D489" w14:textId="21FAB1B2" w:rsidR="00B65D51" w:rsidRPr="001A239A" w:rsidRDefault="00BB43EC" w:rsidP="00BB43EC">
      <w:pPr>
        <w:pStyle w:val="Paragraph"/>
        <w:spacing w:after="120"/>
        <w:rPr>
          <w:color w:val="000000"/>
          <w:sz w:val="24"/>
          <w:lang w:val="en-NZ" w:eastAsia="en-AU"/>
        </w:rPr>
      </w:pPr>
      <w:r w:rsidRPr="001A239A">
        <w:rPr>
          <w:color w:val="000000"/>
          <w:sz w:val="24"/>
          <w:lang w:val="en-NZ" w:eastAsia="en-AU"/>
        </w:rPr>
        <w:t>Pharmacotherapeutic group: Not yet assigned. ATC code: Not yet assigned.</w:t>
      </w:r>
    </w:p>
    <w:p w14:paraId="21931CE1" w14:textId="67F1F7A7" w:rsidR="00D52399" w:rsidRPr="00A807D3" w:rsidRDefault="00615052">
      <w:pPr>
        <w:pStyle w:val="Heading3"/>
        <w:rPr>
          <w:color w:val="auto"/>
        </w:rPr>
      </w:pPr>
      <w:r w:rsidRPr="00A807D3">
        <w:rPr>
          <w:color w:val="auto"/>
        </w:rPr>
        <w:t>Mechanism of Action</w:t>
      </w:r>
    </w:p>
    <w:p w14:paraId="6A0E5E47" w14:textId="77777777" w:rsidR="00BB43EC" w:rsidRPr="004663D3" w:rsidRDefault="00BB43EC" w:rsidP="00BB43EC">
      <w:proofErr w:type="spellStart"/>
      <w:r w:rsidRPr="004663D3">
        <w:t>Casirivimab</w:t>
      </w:r>
      <w:proofErr w:type="spellEnd"/>
      <w:r w:rsidRPr="004663D3">
        <w:t xml:space="preserve"> (IgG1κ) and </w:t>
      </w:r>
      <w:proofErr w:type="spellStart"/>
      <w:r w:rsidRPr="004663D3">
        <w:t>imdevimab</w:t>
      </w:r>
      <w:proofErr w:type="spellEnd"/>
      <w:r w:rsidRPr="004663D3">
        <w:t xml:space="preserve"> (IgG1λ) are two recombinant human monoclonal antibodies which are unmodified in the Fc regions. </w:t>
      </w:r>
      <w:proofErr w:type="spellStart"/>
      <w:r w:rsidRPr="004663D3">
        <w:t>Casirivimab</w:t>
      </w:r>
      <w:proofErr w:type="spellEnd"/>
      <w:r w:rsidRPr="004663D3">
        <w:t xml:space="preserve"> and </w:t>
      </w:r>
      <w:proofErr w:type="spellStart"/>
      <w:r w:rsidRPr="004663D3">
        <w:t>imdevimab</w:t>
      </w:r>
      <w:proofErr w:type="spellEnd"/>
      <w:r w:rsidRPr="004663D3">
        <w:t xml:space="preserve"> bind to non</w:t>
      </w:r>
      <w:r w:rsidRPr="004663D3">
        <w:noBreakHyphen/>
        <w:t>overlapping epitopes of the spike protein receptor binding domain (RBD) of SARS</w:t>
      </w:r>
      <w:r w:rsidRPr="004663D3">
        <w:noBreakHyphen/>
        <w:t>CoV</w:t>
      </w:r>
      <w:r w:rsidRPr="004663D3">
        <w:noBreakHyphen/>
        <w:t>2 with dissociation constants K</w:t>
      </w:r>
      <w:r w:rsidRPr="004663D3">
        <w:rPr>
          <w:vertAlign w:val="subscript"/>
        </w:rPr>
        <w:t>D</w:t>
      </w:r>
      <w:r w:rsidRPr="004663D3">
        <w:t xml:space="preserve"> = 45.8 </w:t>
      </w:r>
      <w:proofErr w:type="spellStart"/>
      <w:r w:rsidRPr="004663D3">
        <w:t>pM</w:t>
      </w:r>
      <w:proofErr w:type="spellEnd"/>
      <w:r w:rsidRPr="004663D3">
        <w:t xml:space="preserve"> and 46.7 </w:t>
      </w:r>
      <w:proofErr w:type="spellStart"/>
      <w:r w:rsidRPr="004663D3">
        <w:t>pM</w:t>
      </w:r>
      <w:proofErr w:type="spellEnd"/>
      <w:r w:rsidRPr="004663D3">
        <w:t xml:space="preserve">, respectively. </w:t>
      </w:r>
      <w:proofErr w:type="spellStart"/>
      <w:r w:rsidRPr="004663D3">
        <w:t>Casirivimab</w:t>
      </w:r>
      <w:proofErr w:type="spellEnd"/>
      <w:r w:rsidRPr="004663D3">
        <w:t xml:space="preserve">, </w:t>
      </w:r>
      <w:proofErr w:type="spellStart"/>
      <w:r w:rsidRPr="004663D3">
        <w:t>imdevimab</w:t>
      </w:r>
      <w:proofErr w:type="spellEnd"/>
      <w:r w:rsidRPr="004663D3">
        <w:t xml:space="preserve"> and </w:t>
      </w:r>
      <w:proofErr w:type="spellStart"/>
      <w:r w:rsidRPr="004663D3">
        <w:t>casirivimab</w:t>
      </w:r>
      <w:proofErr w:type="spellEnd"/>
      <w:r w:rsidRPr="004663D3">
        <w:t xml:space="preserve"> and </w:t>
      </w:r>
      <w:proofErr w:type="spellStart"/>
      <w:r w:rsidRPr="004663D3">
        <w:t>imdevimab</w:t>
      </w:r>
      <w:proofErr w:type="spellEnd"/>
      <w:r w:rsidRPr="004663D3">
        <w:t xml:space="preserve"> together blocked RBD binding to the human ACE2 receptor with IC</w:t>
      </w:r>
      <w:r w:rsidRPr="004663D3">
        <w:rPr>
          <w:vertAlign w:val="subscript"/>
        </w:rPr>
        <w:t>50</w:t>
      </w:r>
      <w:r w:rsidRPr="004663D3">
        <w:t xml:space="preserve"> values of 56.4 </w:t>
      </w:r>
      <w:proofErr w:type="spellStart"/>
      <w:r w:rsidRPr="004663D3">
        <w:t>pM</w:t>
      </w:r>
      <w:proofErr w:type="spellEnd"/>
      <w:r w:rsidRPr="004663D3">
        <w:t>, 165 </w:t>
      </w:r>
      <w:proofErr w:type="spellStart"/>
      <w:r w:rsidRPr="004663D3">
        <w:t>pM</w:t>
      </w:r>
      <w:proofErr w:type="spellEnd"/>
      <w:r w:rsidRPr="004663D3">
        <w:t xml:space="preserve"> and 81.8 </w:t>
      </w:r>
      <w:proofErr w:type="spellStart"/>
      <w:r w:rsidRPr="004663D3">
        <w:t>pM</w:t>
      </w:r>
      <w:proofErr w:type="spellEnd"/>
      <w:r w:rsidRPr="004663D3">
        <w:t>, respectively.</w:t>
      </w:r>
    </w:p>
    <w:p w14:paraId="6888A7A8" w14:textId="6FA0CEFE" w:rsidR="001A239A" w:rsidRPr="001A239A" w:rsidRDefault="001A239A" w:rsidP="001A239A">
      <w:pPr>
        <w:pStyle w:val="Paragraph"/>
        <w:spacing w:after="0"/>
        <w:rPr>
          <w:b/>
          <w:sz w:val="24"/>
          <w:lang w:val="en-AU" w:eastAsia="en-AU"/>
        </w:rPr>
      </w:pPr>
    </w:p>
    <w:p w14:paraId="325BF27B" w14:textId="48D47555" w:rsidR="001A239A" w:rsidRPr="007535E3" w:rsidRDefault="007535E3" w:rsidP="001A239A">
      <w:pPr>
        <w:pStyle w:val="Heading3"/>
        <w:spacing w:before="0"/>
      </w:pPr>
      <w:r>
        <w:t>In-vitro antiviral activity</w:t>
      </w:r>
    </w:p>
    <w:p w14:paraId="78B7527D" w14:textId="77777777" w:rsidR="00BB43EC" w:rsidRPr="004663D3" w:rsidRDefault="00BB43EC" w:rsidP="00BB43EC">
      <w:pPr>
        <w:shd w:val="clear" w:color="auto" w:fill="FFFFFF" w:themeFill="background1"/>
      </w:pPr>
      <w:r w:rsidRPr="004663D3">
        <w:rPr>
          <w:iCs/>
        </w:rPr>
        <w:t>In a SARS</w:t>
      </w:r>
      <w:r w:rsidRPr="004663D3">
        <w:rPr>
          <w:iCs/>
        </w:rPr>
        <w:noBreakHyphen/>
        <w:t>CoV</w:t>
      </w:r>
      <w:r w:rsidRPr="004663D3">
        <w:rPr>
          <w:iCs/>
        </w:rPr>
        <w:noBreakHyphen/>
        <w:t xml:space="preserve">2 virus neutralisation assay in Vero E6 cells, </w:t>
      </w:r>
      <w:proofErr w:type="spellStart"/>
      <w:r w:rsidRPr="004663D3">
        <w:rPr>
          <w:iCs/>
        </w:rPr>
        <w:t>casirivimab</w:t>
      </w:r>
      <w:proofErr w:type="spellEnd"/>
      <w:r w:rsidRPr="004663D3">
        <w:rPr>
          <w:iCs/>
        </w:rPr>
        <w:t xml:space="preserve">, </w:t>
      </w:r>
      <w:proofErr w:type="spellStart"/>
      <w:r w:rsidRPr="004663D3">
        <w:rPr>
          <w:iCs/>
        </w:rPr>
        <w:t>imdevimab</w:t>
      </w:r>
      <w:proofErr w:type="spellEnd"/>
      <w:r w:rsidRPr="004663D3">
        <w:rPr>
          <w:iCs/>
        </w:rPr>
        <w:t xml:space="preserve">, and </w:t>
      </w:r>
      <w:proofErr w:type="spellStart"/>
      <w:r w:rsidRPr="004663D3">
        <w:t>casirivimab</w:t>
      </w:r>
      <w:proofErr w:type="spellEnd"/>
      <w:r w:rsidRPr="004663D3">
        <w:t xml:space="preserve"> and </w:t>
      </w:r>
      <w:proofErr w:type="spellStart"/>
      <w:r w:rsidRPr="004663D3">
        <w:t>imdevimab</w:t>
      </w:r>
      <w:proofErr w:type="spellEnd"/>
      <w:r w:rsidRPr="004663D3">
        <w:t xml:space="preserve"> together </w:t>
      </w:r>
      <w:r w:rsidRPr="004663D3">
        <w:rPr>
          <w:iCs/>
        </w:rPr>
        <w:t>neutralised SARS</w:t>
      </w:r>
      <w:r w:rsidRPr="004663D3">
        <w:rPr>
          <w:iCs/>
        </w:rPr>
        <w:noBreakHyphen/>
        <w:t>CoV</w:t>
      </w:r>
      <w:r w:rsidRPr="004663D3">
        <w:rPr>
          <w:iCs/>
        </w:rPr>
        <w:noBreakHyphen/>
        <w:t>2 (USA</w:t>
      </w:r>
      <w:r w:rsidRPr="004663D3">
        <w:rPr>
          <w:iCs/>
        </w:rPr>
        <w:noBreakHyphen/>
        <w:t xml:space="preserve">WA1/2020 isolate) with </w:t>
      </w:r>
      <w:r w:rsidRPr="004663D3">
        <w:t>EC</w:t>
      </w:r>
      <w:r w:rsidRPr="004663D3">
        <w:rPr>
          <w:vertAlign w:val="subscript"/>
        </w:rPr>
        <w:t>50</w:t>
      </w:r>
      <w:r w:rsidRPr="004663D3">
        <w:t xml:space="preserve"> values of 37.4 </w:t>
      </w:r>
      <w:proofErr w:type="spellStart"/>
      <w:r w:rsidRPr="004663D3">
        <w:t>pM</w:t>
      </w:r>
      <w:proofErr w:type="spellEnd"/>
      <w:r w:rsidRPr="004663D3">
        <w:t xml:space="preserve"> (0.006 </w:t>
      </w:r>
      <w:proofErr w:type="spellStart"/>
      <w:r w:rsidRPr="004663D3">
        <w:rPr>
          <w:iCs/>
        </w:rPr>
        <w:t>μg</w:t>
      </w:r>
      <w:proofErr w:type="spellEnd"/>
      <w:r w:rsidRPr="004663D3">
        <w:rPr>
          <w:iCs/>
        </w:rPr>
        <w:t>/mL), 42.1 </w:t>
      </w:r>
      <w:proofErr w:type="spellStart"/>
      <w:r w:rsidRPr="004663D3">
        <w:rPr>
          <w:iCs/>
        </w:rPr>
        <w:t>pM</w:t>
      </w:r>
      <w:proofErr w:type="spellEnd"/>
      <w:r w:rsidRPr="004663D3">
        <w:rPr>
          <w:iCs/>
        </w:rPr>
        <w:t xml:space="preserve"> (0.006 </w:t>
      </w:r>
      <w:proofErr w:type="spellStart"/>
      <w:r w:rsidRPr="004663D3">
        <w:rPr>
          <w:iCs/>
        </w:rPr>
        <w:t>μg</w:t>
      </w:r>
      <w:proofErr w:type="spellEnd"/>
      <w:r w:rsidRPr="004663D3">
        <w:rPr>
          <w:iCs/>
        </w:rPr>
        <w:t>/mL), and 31.0 </w:t>
      </w:r>
      <w:proofErr w:type="spellStart"/>
      <w:r w:rsidRPr="004663D3">
        <w:rPr>
          <w:iCs/>
        </w:rPr>
        <w:t>pM</w:t>
      </w:r>
      <w:proofErr w:type="spellEnd"/>
      <w:r w:rsidRPr="004663D3">
        <w:rPr>
          <w:iCs/>
        </w:rPr>
        <w:t xml:space="preserve"> (0.005 </w:t>
      </w:r>
      <w:proofErr w:type="spellStart"/>
      <w:r w:rsidRPr="004663D3">
        <w:rPr>
          <w:iCs/>
        </w:rPr>
        <w:t>μg</w:t>
      </w:r>
      <w:proofErr w:type="spellEnd"/>
      <w:r w:rsidRPr="004663D3">
        <w:rPr>
          <w:iCs/>
        </w:rPr>
        <w:t>/mL) respectively.</w:t>
      </w:r>
    </w:p>
    <w:p w14:paraId="3669A3D7" w14:textId="30B1E9FF" w:rsidR="00C70AB9" w:rsidRPr="00C70AB9" w:rsidRDefault="00C70AB9" w:rsidP="00C70AB9">
      <w:pPr>
        <w:pStyle w:val="Heading4"/>
      </w:pPr>
      <w:r w:rsidRPr="00C70AB9">
        <w:t>Effector function</w:t>
      </w:r>
    </w:p>
    <w:p w14:paraId="7A341AC7" w14:textId="77777777" w:rsidR="00BB43EC" w:rsidRPr="004663D3" w:rsidRDefault="00BB43EC" w:rsidP="00BB43EC">
      <w:pPr>
        <w:pStyle w:val="C-BodyText"/>
        <w:spacing w:before="0" w:after="0" w:line="240" w:lineRule="auto"/>
        <w:rPr>
          <w:szCs w:val="24"/>
        </w:rPr>
      </w:pPr>
      <w:r w:rsidRPr="007535E3">
        <w:rPr>
          <w:iCs/>
          <w:szCs w:val="24"/>
        </w:rPr>
        <w:t>Antibody</w:t>
      </w:r>
      <w:r w:rsidRPr="007535E3">
        <w:rPr>
          <w:iCs/>
          <w:szCs w:val="24"/>
        </w:rPr>
        <w:noBreakHyphen/>
        <w:t>dependent</w:t>
      </w:r>
      <w:r w:rsidRPr="004663D3">
        <w:rPr>
          <w:iCs/>
          <w:szCs w:val="24"/>
        </w:rPr>
        <w:t xml:space="preserve"> cell</w:t>
      </w:r>
      <w:r w:rsidRPr="004663D3">
        <w:rPr>
          <w:iCs/>
          <w:szCs w:val="24"/>
        </w:rPr>
        <w:noBreakHyphen/>
        <w:t>mediated cytotoxicity (ADCC) and antibody</w:t>
      </w:r>
      <w:r w:rsidRPr="004663D3">
        <w:rPr>
          <w:iCs/>
          <w:szCs w:val="24"/>
        </w:rPr>
        <w:noBreakHyphen/>
        <w:t xml:space="preserve">dependent cellular phagocytosis (ADCP) were assessed using </w:t>
      </w:r>
      <w:proofErr w:type="spellStart"/>
      <w:r w:rsidRPr="004663D3">
        <w:rPr>
          <w:iCs/>
          <w:szCs w:val="24"/>
        </w:rPr>
        <w:t>Jurkat</w:t>
      </w:r>
      <w:proofErr w:type="spellEnd"/>
      <w:r w:rsidRPr="004663D3">
        <w:rPr>
          <w:iCs/>
          <w:szCs w:val="24"/>
        </w:rPr>
        <w:t xml:space="preserve"> target cells expressing SARS</w:t>
      </w:r>
      <w:r w:rsidRPr="004663D3">
        <w:rPr>
          <w:iCs/>
          <w:szCs w:val="24"/>
        </w:rPr>
        <w:noBreakHyphen/>
        <w:t>CoV</w:t>
      </w:r>
      <w:r w:rsidRPr="004663D3">
        <w:rPr>
          <w:iCs/>
          <w:szCs w:val="24"/>
        </w:rPr>
        <w:noBreakHyphen/>
        <w:t xml:space="preserve">2 spike protein. </w:t>
      </w:r>
      <w:proofErr w:type="spellStart"/>
      <w:r w:rsidRPr="004663D3">
        <w:rPr>
          <w:iCs/>
          <w:szCs w:val="24"/>
        </w:rPr>
        <w:t>Casirivimab</w:t>
      </w:r>
      <w:proofErr w:type="spellEnd"/>
      <w:r w:rsidRPr="004663D3">
        <w:rPr>
          <w:iCs/>
          <w:szCs w:val="24"/>
        </w:rPr>
        <w:t xml:space="preserve">, </w:t>
      </w:r>
      <w:proofErr w:type="spellStart"/>
      <w:r w:rsidRPr="004663D3">
        <w:rPr>
          <w:iCs/>
          <w:szCs w:val="24"/>
        </w:rPr>
        <w:t>imdevimab</w:t>
      </w:r>
      <w:proofErr w:type="spellEnd"/>
      <w:r w:rsidRPr="004663D3">
        <w:rPr>
          <w:iCs/>
          <w:szCs w:val="24"/>
        </w:rPr>
        <w:t xml:space="preserve"> and </w:t>
      </w:r>
      <w:proofErr w:type="spellStart"/>
      <w:r w:rsidRPr="004663D3">
        <w:rPr>
          <w:szCs w:val="24"/>
        </w:rPr>
        <w:t>casirivimab</w:t>
      </w:r>
      <w:proofErr w:type="spellEnd"/>
      <w:r w:rsidRPr="004663D3">
        <w:rPr>
          <w:szCs w:val="24"/>
        </w:rPr>
        <w:t xml:space="preserve"> and </w:t>
      </w:r>
      <w:proofErr w:type="spellStart"/>
      <w:r w:rsidRPr="004663D3">
        <w:rPr>
          <w:szCs w:val="24"/>
        </w:rPr>
        <w:t>imdevimab</w:t>
      </w:r>
      <w:proofErr w:type="spellEnd"/>
      <w:r w:rsidRPr="004663D3">
        <w:rPr>
          <w:szCs w:val="24"/>
        </w:rPr>
        <w:t xml:space="preserve"> together </w:t>
      </w:r>
      <w:r w:rsidRPr="004663D3">
        <w:rPr>
          <w:iCs/>
          <w:szCs w:val="24"/>
        </w:rPr>
        <w:t xml:space="preserve">mediated ADCC with human natural killer (NK) effector cells. </w:t>
      </w:r>
      <w:proofErr w:type="spellStart"/>
      <w:r w:rsidRPr="004663D3">
        <w:rPr>
          <w:iCs/>
          <w:szCs w:val="24"/>
        </w:rPr>
        <w:t>Casirivimab</w:t>
      </w:r>
      <w:proofErr w:type="spellEnd"/>
      <w:r w:rsidRPr="004663D3">
        <w:rPr>
          <w:iCs/>
          <w:szCs w:val="24"/>
        </w:rPr>
        <w:t xml:space="preserve">, </w:t>
      </w:r>
      <w:proofErr w:type="spellStart"/>
      <w:r w:rsidRPr="004663D3">
        <w:rPr>
          <w:iCs/>
          <w:szCs w:val="24"/>
        </w:rPr>
        <w:t>imdevimab</w:t>
      </w:r>
      <w:proofErr w:type="spellEnd"/>
      <w:r w:rsidRPr="004663D3">
        <w:rPr>
          <w:iCs/>
          <w:szCs w:val="24"/>
        </w:rPr>
        <w:t xml:space="preserve"> and </w:t>
      </w:r>
      <w:proofErr w:type="spellStart"/>
      <w:r w:rsidRPr="004663D3">
        <w:rPr>
          <w:szCs w:val="24"/>
        </w:rPr>
        <w:t>casirivimab</w:t>
      </w:r>
      <w:proofErr w:type="spellEnd"/>
      <w:r w:rsidRPr="004663D3">
        <w:rPr>
          <w:szCs w:val="24"/>
        </w:rPr>
        <w:t xml:space="preserve"> and </w:t>
      </w:r>
      <w:proofErr w:type="spellStart"/>
      <w:r w:rsidRPr="004663D3">
        <w:rPr>
          <w:szCs w:val="24"/>
        </w:rPr>
        <w:t>imdevimab</w:t>
      </w:r>
      <w:proofErr w:type="spellEnd"/>
      <w:r w:rsidRPr="004663D3">
        <w:rPr>
          <w:szCs w:val="24"/>
        </w:rPr>
        <w:t xml:space="preserve"> together mediated ADCP with human macrophages</w:t>
      </w:r>
      <w:r w:rsidRPr="004663D3">
        <w:rPr>
          <w:iCs/>
          <w:szCs w:val="24"/>
        </w:rPr>
        <w:t xml:space="preserve">. </w:t>
      </w:r>
      <w:proofErr w:type="spellStart"/>
      <w:r w:rsidRPr="004663D3">
        <w:rPr>
          <w:iCs/>
          <w:szCs w:val="24"/>
        </w:rPr>
        <w:t>Casirivimab</w:t>
      </w:r>
      <w:proofErr w:type="spellEnd"/>
      <w:r w:rsidRPr="004663D3">
        <w:rPr>
          <w:iCs/>
          <w:szCs w:val="24"/>
        </w:rPr>
        <w:t xml:space="preserve">, </w:t>
      </w:r>
      <w:proofErr w:type="spellStart"/>
      <w:r w:rsidRPr="004663D3">
        <w:rPr>
          <w:iCs/>
          <w:szCs w:val="24"/>
        </w:rPr>
        <w:t>imdevimab</w:t>
      </w:r>
      <w:proofErr w:type="spellEnd"/>
      <w:r w:rsidRPr="004663D3">
        <w:rPr>
          <w:iCs/>
          <w:szCs w:val="24"/>
        </w:rPr>
        <w:t xml:space="preserve"> and </w:t>
      </w:r>
      <w:proofErr w:type="spellStart"/>
      <w:r w:rsidRPr="004663D3">
        <w:rPr>
          <w:szCs w:val="24"/>
        </w:rPr>
        <w:t>casirivimab</w:t>
      </w:r>
      <w:proofErr w:type="spellEnd"/>
      <w:r w:rsidRPr="004663D3">
        <w:rPr>
          <w:szCs w:val="24"/>
        </w:rPr>
        <w:t xml:space="preserve"> and </w:t>
      </w:r>
      <w:proofErr w:type="spellStart"/>
      <w:r w:rsidRPr="004663D3">
        <w:rPr>
          <w:szCs w:val="24"/>
        </w:rPr>
        <w:t>imdevimab</w:t>
      </w:r>
      <w:proofErr w:type="spellEnd"/>
      <w:r w:rsidRPr="004663D3">
        <w:rPr>
          <w:szCs w:val="24"/>
        </w:rPr>
        <w:t xml:space="preserve"> together </w:t>
      </w:r>
      <w:r w:rsidRPr="004663D3">
        <w:rPr>
          <w:iCs/>
          <w:szCs w:val="24"/>
        </w:rPr>
        <w:t>did not mediate complement</w:t>
      </w:r>
      <w:r w:rsidRPr="004663D3">
        <w:rPr>
          <w:iCs/>
          <w:szCs w:val="24"/>
        </w:rPr>
        <w:noBreakHyphen/>
        <w:t>dependent cytotoxicity in cell</w:t>
      </w:r>
      <w:r w:rsidRPr="004663D3">
        <w:rPr>
          <w:iCs/>
          <w:szCs w:val="24"/>
        </w:rPr>
        <w:noBreakHyphen/>
        <w:t>based assays.</w:t>
      </w:r>
    </w:p>
    <w:p w14:paraId="2348413B" w14:textId="5A4A3491" w:rsidR="00BB43EC" w:rsidRPr="004663D3" w:rsidRDefault="00BB43EC" w:rsidP="00BB43EC">
      <w:pPr>
        <w:pStyle w:val="Heading4"/>
      </w:pPr>
      <w:r w:rsidRPr="004663D3">
        <w:t xml:space="preserve">Antibody Dependent Enhancement </w:t>
      </w:r>
      <w:r>
        <w:t>(ADE) of i</w:t>
      </w:r>
      <w:r w:rsidRPr="004663D3">
        <w:t>nfection</w:t>
      </w:r>
    </w:p>
    <w:p w14:paraId="3144EFA7" w14:textId="0C5EE3EB" w:rsidR="00BB43EC" w:rsidRDefault="00BB43EC" w:rsidP="00BB43EC">
      <w:pPr>
        <w:pStyle w:val="C-BodyText"/>
        <w:spacing w:before="0" w:after="0" w:line="240" w:lineRule="auto"/>
        <w:rPr>
          <w:szCs w:val="24"/>
        </w:rPr>
      </w:pPr>
      <w:r w:rsidRPr="004663D3">
        <w:rPr>
          <w:szCs w:val="24"/>
        </w:rPr>
        <w:t xml:space="preserve">The potential of </w:t>
      </w:r>
      <w:proofErr w:type="spellStart"/>
      <w:r w:rsidRPr="004663D3">
        <w:rPr>
          <w:szCs w:val="24"/>
        </w:rPr>
        <w:t>casirivimab</w:t>
      </w:r>
      <w:proofErr w:type="spellEnd"/>
      <w:r w:rsidRPr="004663D3">
        <w:rPr>
          <w:szCs w:val="24"/>
        </w:rPr>
        <w:t xml:space="preserve"> and of </w:t>
      </w:r>
      <w:proofErr w:type="spellStart"/>
      <w:r w:rsidRPr="004663D3">
        <w:rPr>
          <w:szCs w:val="24"/>
        </w:rPr>
        <w:t>imdevimab</w:t>
      </w:r>
      <w:proofErr w:type="spellEnd"/>
      <w:r w:rsidRPr="004663D3">
        <w:rPr>
          <w:szCs w:val="24"/>
        </w:rPr>
        <w:t xml:space="preserve"> to mediate viral entry was assessed in immune cell lines co incubated with recombinant vesicular stomatitis virus (VSV) </w:t>
      </w:r>
      <w:proofErr w:type="spellStart"/>
      <w:r w:rsidRPr="004663D3">
        <w:rPr>
          <w:szCs w:val="24"/>
        </w:rPr>
        <w:t>pseudoparticles</w:t>
      </w:r>
      <w:proofErr w:type="spellEnd"/>
      <w:r w:rsidRPr="004663D3">
        <w:rPr>
          <w:szCs w:val="24"/>
        </w:rPr>
        <w:t xml:space="preserve"> expressing SARS-CoV-2 spike protein at concentrations of monoclonal antibodies down to approximately 10 fold below the respective </w:t>
      </w:r>
      <w:proofErr w:type="spellStart"/>
      <w:r w:rsidRPr="004663D3">
        <w:rPr>
          <w:szCs w:val="24"/>
        </w:rPr>
        <w:t>neutralisation</w:t>
      </w:r>
      <w:proofErr w:type="spellEnd"/>
      <w:r w:rsidRPr="004663D3">
        <w:rPr>
          <w:szCs w:val="24"/>
        </w:rPr>
        <w:t xml:space="preserve"> EC50 values. </w:t>
      </w:r>
      <w:proofErr w:type="spellStart"/>
      <w:r w:rsidRPr="004663D3">
        <w:rPr>
          <w:szCs w:val="24"/>
        </w:rPr>
        <w:t>Casirivimab</w:t>
      </w:r>
      <w:proofErr w:type="spellEnd"/>
      <w:r w:rsidRPr="004663D3">
        <w:rPr>
          <w:szCs w:val="24"/>
        </w:rPr>
        <w:t xml:space="preserve"> and </w:t>
      </w:r>
      <w:proofErr w:type="spellStart"/>
      <w:r w:rsidRPr="004663D3">
        <w:rPr>
          <w:szCs w:val="24"/>
        </w:rPr>
        <w:t>imdevimab</w:t>
      </w:r>
      <w:proofErr w:type="spellEnd"/>
      <w:r w:rsidRPr="004663D3">
        <w:rPr>
          <w:szCs w:val="24"/>
        </w:rPr>
        <w:t xml:space="preserve"> together and </w:t>
      </w:r>
      <w:proofErr w:type="spellStart"/>
      <w:r w:rsidRPr="004663D3">
        <w:rPr>
          <w:szCs w:val="24"/>
        </w:rPr>
        <w:t>imdevimab</w:t>
      </w:r>
      <w:proofErr w:type="spellEnd"/>
      <w:r w:rsidRPr="004663D3">
        <w:rPr>
          <w:szCs w:val="24"/>
        </w:rPr>
        <w:t xml:space="preserve"> alone, but not </w:t>
      </w:r>
      <w:proofErr w:type="spellStart"/>
      <w:r w:rsidRPr="004663D3">
        <w:rPr>
          <w:szCs w:val="24"/>
        </w:rPr>
        <w:t>casirivimab</w:t>
      </w:r>
      <w:proofErr w:type="spellEnd"/>
      <w:r w:rsidRPr="004663D3">
        <w:rPr>
          <w:szCs w:val="24"/>
        </w:rPr>
        <w:t xml:space="preserve"> alone, mediated entry of </w:t>
      </w:r>
      <w:proofErr w:type="spellStart"/>
      <w:r w:rsidRPr="004663D3">
        <w:rPr>
          <w:szCs w:val="24"/>
        </w:rPr>
        <w:t>pseudoparticles</w:t>
      </w:r>
      <w:proofErr w:type="spellEnd"/>
      <w:r w:rsidRPr="004663D3">
        <w:rPr>
          <w:szCs w:val="24"/>
        </w:rPr>
        <w:t xml:space="preserve"> into FcγR2+ Raji and FcγR1+/FcγR2+ THP1 cells (maximum infection in total cells of 1.34% and 0.24%, respectively, for </w:t>
      </w:r>
      <w:proofErr w:type="spellStart"/>
      <w:r w:rsidRPr="004663D3">
        <w:rPr>
          <w:szCs w:val="24"/>
        </w:rPr>
        <w:t>imdevimab</w:t>
      </w:r>
      <w:proofErr w:type="spellEnd"/>
      <w:r w:rsidRPr="004663D3">
        <w:rPr>
          <w:szCs w:val="24"/>
        </w:rPr>
        <w:t xml:space="preserve">; 0.69% and 0.06%, respectively for </w:t>
      </w:r>
      <w:proofErr w:type="spellStart"/>
      <w:r w:rsidRPr="004663D3">
        <w:rPr>
          <w:szCs w:val="24"/>
        </w:rPr>
        <w:t>casirivimab</w:t>
      </w:r>
      <w:proofErr w:type="spellEnd"/>
      <w:r w:rsidRPr="004663D3">
        <w:rPr>
          <w:szCs w:val="24"/>
        </w:rPr>
        <w:t xml:space="preserve"> and </w:t>
      </w:r>
      <w:proofErr w:type="spellStart"/>
      <w:r w:rsidRPr="004663D3">
        <w:rPr>
          <w:szCs w:val="24"/>
        </w:rPr>
        <w:t>imdevimab</w:t>
      </w:r>
      <w:proofErr w:type="spellEnd"/>
      <w:r w:rsidRPr="004663D3">
        <w:rPr>
          <w:szCs w:val="24"/>
        </w:rPr>
        <w:t xml:space="preserve"> together), but not any other cell lines tested (IM9, K562, Ramos and U937 cells).</w:t>
      </w:r>
    </w:p>
    <w:p w14:paraId="5B60D381" w14:textId="18F828BC" w:rsidR="006608B6" w:rsidRDefault="00C70AB9" w:rsidP="00BB43EC">
      <w:pPr>
        <w:pStyle w:val="C-BodyText"/>
        <w:spacing w:before="0" w:after="0" w:line="240" w:lineRule="auto"/>
        <w:rPr>
          <w:szCs w:val="24"/>
        </w:rPr>
      </w:pPr>
      <w:r w:rsidRPr="00C70AB9">
        <w:rPr>
          <w:szCs w:val="24"/>
        </w:rPr>
        <w:t>The potential for ADE was also evaluated in a hamster model and no evidence of enhancement of disease was observed at any dose evaluated, including sub-</w:t>
      </w:r>
      <w:proofErr w:type="spellStart"/>
      <w:r w:rsidRPr="00C70AB9">
        <w:rPr>
          <w:szCs w:val="24"/>
        </w:rPr>
        <w:t>neutralising</w:t>
      </w:r>
      <w:proofErr w:type="spellEnd"/>
      <w:r w:rsidRPr="00C70AB9">
        <w:rPr>
          <w:szCs w:val="24"/>
        </w:rPr>
        <w:t xml:space="preserve"> doses.</w:t>
      </w:r>
    </w:p>
    <w:p w14:paraId="77DB6041" w14:textId="18B9208D" w:rsidR="00BB43EC" w:rsidRPr="004663D3" w:rsidRDefault="00BB43EC" w:rsidP="00BB43EC">
      <w:pPr>
        <w:pStyle w:val="Heading4"/>
      </w:pPr>
      <w:r w:rsidRPr="004663D3">
        <w:t xml:space="preserve">Antiviral </w:t>
      </w:r>
      <w:r>
        <w:t>r</w:t>
      </w:r>
      <w:r w:rsidRPr="004663D3">
        <w:t>esistance</w:t>
      </w:r>
    </w:p>
    <w:p w14:paraId="02A6D7BF" w14:textId="77777777" w:rsidR="00BB43EC" w:rsidRPr="004663D3" w:rsidRDefault="00BB43EC" w:rsidP="00BB43EC">
      <w:pPr>
        <w:pStyle w:val="C-BodyText"/>
        <w:keepNext/>
        <w:spacing w:before="0" w:after="0" w:line="240" w:lineRule="auto"/>
        <w:rPr>
          <w:szCs w:val="24"/>
        </w:rPr>
      </w:pPr>
      <w:r w:rsidRPr="004663D3">
        <w:rPr>
          <w:szCs w:val="24"/>
        </w:rPr>
        <w:t xml:space="preserve">There is a potential risk of treatment failure due to the development of viral variants that are resistant to </w:t>
      </w:r>
      <w:proofErr w:type="spellStart"/>
      <w:r w:rsidRPr="004663D3">
        <w:rPr>
          <w:szCs w:val="24"/>
        </w:rPr>
        <w:t>casirivimab</w:t>
      </w:r>
      <w:proofErr w:type="spellEnd"/>
      <w:r w:rsidRPr="004663D3">
        <w:rPr>
          <w:szCs w:val="24"/>
        </w:rPr>
        <w:t xml:space="preserve"> and </w:t>
      </w:r>
      <w:proofErr w:type="spellStart"/>
      <w:r w:rsidRPr="004663D3">
        <w:rPr>
          <w:szCs w:val="24"/>
        </w:rPr>
        <w:t>imdevimab</w:t>
      </w:r>
      <w:proofErr w:type="spellEnd"/>
      <w:r w:rsidRPr="004663D3">
        <w:rPr>
          <w:szCs w:val="24"/>
        </w:rPr>
        <w:t xml:space="preserve"> administered together. Prescribing healthcare providers should consider the prevalence of SARS-CoV-2 variants in their area, where data are available, when considering treatment options.</w:t>
      </w:r>
    </w:p>
    <w:p w14:paraId="55AF5A01" w14:textId="77777777" w:rsidR="00BB43EC" w:rsidRPr="004663D3" w:rsidRDefault="00BB43EC" w:rsidP="00BB43EC">
      <w:pPr>
        <w:pStyle w:val="C-BodyText"/>
        <w:spacing w:before="0" w:after="0" w:line="240" w:lineRule="auto"/>
        <w:rPr>
          <w:szCs w:val="24"/>
        </w:rPr>
      </w:pPr>
    </w:p>
    <w:p w14:paraId="431CCB3B" w14:textId="77777777" w:rsidR="00BB43EC" w:rsidRPr="004663D3" w:rsidRDefault="00BB43EC" w:rsidP="00BB43EC">
      <w:pPr>
        <w:pStyle w:val="C-BodyText"/>
        <w:spacing w:before="0" w:after="0" w:line="240" w:lineRule="auto"/>
        <w:rPr>
          <w:szCs w:val="24"/>
        </w:rPr>
      </w:pPr>
      <w:r w:rsidRPr="004663D3">
        <w:rPr>
          <w:szCs w:val="24"/>
        </w:rPr>
        <w:t xml:space="preserve">A key element in the development of </w:t>
      </w:r>
      <w:proofErr w:type="spellStart"/>
      <w:r w:rsidRPr="004663D3">
        <w:rPr>
          <w:szCs w:val="24"/>
        </w:rPr>
        <w:t>casirivimab</w:t>
      </w:r>
      <w:proofErr w:type="spellEnd"/>
      <w:r w:rsidRPr="004663D3">
        <w:rPr>
          <w:szCs w:val="24"/>
        </w:rPr>
        <w:t xml:space="preserve"> and </w:t>
      </w:r>
      <w:proofErr w:type="spellStart"/>
      <w:r w:rsidRPr="004663D3">
        <w:rPr>
          <w:szCs w:val="24"/>
        </w:rPr>
        <w:t>imdevimab</w:t>
      </w:r>
      <w:proofErr w:type="spellEnd"/>
      <w:r w:rsidRPr="004663D3">
        <w:rPr>
          <w:szCs w:val="24"/>
        </w:rPr>
        <w:t xml:space="preserve"> is to have 2 antibodies that bind to distinct, non-overlapping epitopes of the SARS-CoV-2 S protein to reduce the likelihood of </w:t>
      </w:r>
      <w:r w:rsidRPr="004663D3">
        <w:rPr>
          <w:szCs w:val="24"/>
        </w:rPr>
        <w:lastRenderedPageBreak/>
        <w:t xml:space="preserve">viral resistance. The </w:t>
      </w:r>
      <w:proofErr w:type="spellStart"/>
      <w:r w:rsidRPr="004663D3">
        <w:rPr>
          <w:szCs w:val="24"/>
        </w:rPr>
        <w:t>neutralisation</w:t>
      </w:r>
      <w:proofErr w:type="spellEnd"/>
      <w:r w:rsidRPr="004663D3">
        <w:rPr>
          <w:szCs w:val="24"/>
        </w:rPr>
        <w:t xml:space="preserve"> potency of </w:t>
      </w:r>
      <w:proofErr w:type="spellStart"/>
      <w:r w:rsidRPr="004663D3">
        <w:rPr>
          <w:szCs w:val="24"/>
        </w:rPr>
        <w:t>casirivimab</w:t>
      </w:r>
      <w:proofErr w:type="spellEnd"/>
      <w:r w:rsidRPr="004663D3">
        <w:rPr>
          <w:szCs w:val="24"/>
        </w:rPr>
        <w:t xml:space="preserve"> alone, </w:t>
      </w:r>
      <w:proofErr w:type="spellStart"/>
      <w:r w:rsidRPr="004663D3">
        <w:rPr>
          <w:szCs w:val="24"/>
        </w:rPr>
        <w:t>imdevimab</w:t>
      </w:r>
      <w:proofErr w:type="spellEnd"/>
      <w:r w:rsidRPr="004663D3">
        <w:rPr>
          <w:szCs w:val="24"/>
        </w:rPr>
        <w:t xml:space="preserve"> alone, and </w:t>
      </w:r>
      <w:proofErr w:type="spellStart"/>
      <w:r w:rsidRPr="004663D3">
        <w:rPr>
          <w:szCs w:val="24"/>
        </w:rPr>
        <w:t>casirivimab</w:t>
      </w:r>
      <w:proofErr w:type="spellEnd"/>
      <w:r w:rsidRPr="004663D3">
        <w:rPr>
          <w:szCs w:val="24"/>
        </w:rPr>
        <w:t xml:space="preserve"> and </w:t>
      </w:r>
      <w:proofErr w:type="spellStart"/>
      <w:r w:rsidRPr="004663D3">
        <w:rPr>
          <w:szCs w:val="24"/>
        </w:rPr>
        <w:t>imdevimab</w:t>
      </w:r>
      <w:proofErr w:type="spellEnd"/>
      <w:r w:rsidRPr="004663D3">
        <w:rPr>
          <w:szCs w:val="24"/>
        </w:rPr>
        <w:t xml:space="preserve"> together was assessed against S protein variants, including known Variants of Concern/Interest, variants identified in in vitro escape studies, and variants from publicly available SARS</w:t>
      </w:r>
      <w:r w:rsidRPr="004663D3">
        <w:rPr>
          <w:szCs w:val="24"/>
        </w:rPr>
        <w:noBreakHyphen/>
        <w:t xml:space="preserve">CoV-2 genome data obtained from the Global Initiative on Sharing All Influenza Data (GISAID). </w:t>
      </w:r>
    </w:p>
    <w:p w14:paraId="42AD725F" w14:textId="77777777" w:rsidR="00BB43EC" w:rsidRPr="004663D3" w:rsidRDefault="00BB43EC" w:rsidP="00BB43EC">
      <w:pPr>
        <w:pStyle w:val="C-BodyText"/>
        <w:spacing w:before="0" w:after="0"/>
        <w:rPr>
          <w:szCs w:val="24"/>
          <w:u w:val="single"/>
        </w:rPr>
      </w:pPr>
    </w:p>
    <w:p w14:paraId="13097B7C" w14:textId="77777777" w:rsidR="00BB43EC" w:rsidRPr="004663D3" w:rsidRDefault="00BB43EC" w:rsidP="00BB43EC">
      <w:pPr>
        <w:pStyle w:val="C-BodyText"/>
        <w:spacing w:before="0" w:after="0" w:line="240" w:lineRule="auto"/>
        <w:rPr>
          <w:szCs w:val="24"/>
        </w:rPr>
      </w:pPr>
      <w:r w:rsidRPr="004663D3">
        <w:rPr>
          <w:szCs w:val="24"/>
        </w:rPr>
        <w:t xml:space="preserve">See Table 5 for a comprehensive list of </w:t>
      </w:r>
      <w:proofErr w:type="spellStart"/>
      <w:r w:rsidRPr="004663D3">
        <w:rPr>
          <w:szCs w:val="24"/>
        </w:rPr>
        <w:t>pseudotyped</w:t>
      </w:r>
      <w:proofErr w:type="spellEnd"/>
      <w:r w:rsidRPr="004663D3">
        <w:rPr>
          <w:szCs w:val="24"/>
        </w:rPr>
        <w:t xml:space="preserve"> virus-like particles (VLP) encoding full sequences or key S protein substitutions of Variants of Concern/Interest assessed for susceptibility to </w:t>
      </w:r>
      <w:proofErr w:type="spellStart"/>
      <w:r w:rsidRPr="004663D3">
        <w:rPr>
          <w:szCs w:val="24"/>
        </w:rPr>
        <w:t>casirivimab</w:t>
      </w:r>
      <w:proofErr w:type="spellEnd"/>
      <w:r w:rsidRPr="004663D3">
        <w:rPr>
          <w:szCs w:val="24"/>
        </w:rPr>
        <w:t xml:space="preserve"> and </w:t>
      </w:r>
      <w:proofErr w:type="spellStart"/>
      <w:r w:rsidRPr="004663D3">
        <w:rPr>
          <w:szCs w:val="24"/>
        </w:rPr>
        <w:t>imdevimab</w:t>
      </w:r>
      <w:proofErr w:type="spellEnd"/>
      <w:r w:rsidRPr="004663D3">
        <w:rPr>
          <w:szCs w:val="24"/>
        </w:rPr>
        <w:t xml:space="preserve"> alone and together. </w:t>
      </w:r>
      <w:proofErr w:type="spellStart"/>
      <w:r w:rsidRPr="004663D3">
        <w:rPr>
          <w:szCs w:val="24"/>
        </w:rPr>
        <w:t>Casirivimab</w:t>
      </w:r>
      <w:proofErr w:type="spellEnd"/>
      <w:r w:rsidRPr="004663D3">
        <w:rPr>
          <w:szCs w:val="24"/>
        </w:rPr>
        <w:t xml:space="preserve"> and </w:t>
      </w:r>
      <w:proofErr w:type="spellStart"/>
      <w:r w:rsidRPr="004663D3">
        <w:rPr>
          <w:szCs w:val="24"/>
        </w:rPr>
        <w:t>imdevimab</w:t>
      </w:r>
      <w:proofErr w:type="spellEnd"/>
      <w:r w:rsidRPr="004663D3">
        <w:rPr>
          <w:szCs w:val="24"/>
        </w:rPr>
        <w:t xml:space="preserve"> retain </w:t>
      </w:r>
      <w:proofErr w:type="spellStart"/>
      <w:r w:rsidRPr="004663D3">
        <w:rPr>
          <w:szCs w:val="24"/>
        </w:rPr>
        <w:t>neutralisation</w:t>
      </w:r>
      <w:proofErr w:type="spellEnd"/>
      <w:r w:rsidRPr="004663D3">
        <w:rPr>
          <w:szCs w:val="24"/>
        </w:rPr>
        <w:t xml:space="preserve"> potency against all the Variants of Concern/Interest shown in Table 5 even if one of the antibodies is impacted. Therefore, </w:t>
      </w:r>
      <w:proofErr w:type="spellStart"/>
      <w:r w:rsidRPr="004663D3">
        <w:rPr>
          <w:szCs w:val="24"/>
        </w:rPr>
        <w:t>Ronapreve</w:t>
      </w:r>
      <w:proofErr w:type="spellEnd"/>
      <w:r w:rsidRPr="004663D3">
        <w:rPr>
          <w:szCs w:val="24"/>
        </w:rPr>
        <w:t xml:space="preserve"> is expected to retain activity against these Variants of Concern/Interest.</w:t>
      </w:r>
    </w:p>
    <w:p w14:paraId="6DD2F6C5" w14:textId="77777777" w:rsidR="00BB43EC" w:rsidRPr="004663D3" w:rsidRDefault="00BB43EC" w:rsidP="00BB43EC">
      <w:pPr>
        <w:pStyle w:val="C-BodyText"/>
        <w:spacing w:before="0" w:after="0" w:line="240" w:lineRule="auto"/>
        <w:rPr>
          <w:szCs w:val="24"/>
        </w:rPr>
      </w:pPr>
    </w:p>
    <w:p w14:paraId="5151E2A5" w14:textId="77777777" w:rsidR="00BB43EC" w:rsidRPr="004663D3" w:rsidRDefault="00BB43EC" w:rsidP="00BB43EC">
      <w:pPr>
        <w:pStyle w:val="C-TableHeader"/>
        <w:keepLines/>
        <w:spacing w:after="120"/>
        <w:ind w:left="900" w:hanging="900"/>
        <w:rPr>
          <w:sz w:val="24"/>
          <w:szCs w:val="24"/>
        </w:rPr>
      </w:pPr>
      <w:r w:rsidRPr="004663D3">
        <w:rPr>
          <w:sz w:val="24"/>
          <w:szCs w:val="24"/>
        </w:rPr>
        <w:t>Table 5:</w:t>
      </w:r>
      <w:r w:rsidRPr="004663D3">
        <w:rPr>
          <w:sz w:val="24"/>
          <w:szCs w:val="24"/>
        </w:rPr>
        <w:tab/>
      </w:r>
      <w:proofErr w:type="spellStart"/>
      <w:r w:rsidRPr="007535E3">
        <w:rPr>
          <w:sz w:val="24"/>
          <w:szCs w:val="24"/>
        </w:rPr>
        <w:t>Pseudotyped</w:t>
      </w:r>
      <w:proofErr w:type="spellEnd"/>
      <w:r w:rsidRPr="007535E3">
        <w:rPr>
          <w:sz w:val="24"/>
          <w:szCs w:val="24"/>
        </w:rPr>
        <w:t xml:space="preserve"> virus-like particle </w:t>
      </w:r>
      <w:proofErr w:type="spellStart"/>
      <w:r w:rsidRPr="007535E3">
        <w:rPr>
          <w:sz w:val="24"/>
          <w:szCs w:val="24"/>
        </w:rPr>
        <w:t>neutralisation</w:t>
      </w:r>
      <w:proofErr w:type="spellEnd"/>
      <w:r w:rsidRPr="007535E3">
        <w:rPr>
          <w:sz w:val="24"/>
          <w:szCs w:val="24"/>
        </w:rPr>
        <w:t xml:space="preserve"> data for full sequence or key SARS-CoV-2 S-protein variant substitutions</w:t>
      </w:r>
      <w:r w:rsidRPr="004663D3">
        <w:rPr>
          <w:sz w:val="24"/>
          <w:szCs w:val="24"/>
        </w:rPr>
        <w:t xml:space="preserve"> from Variants of Concern/Interest with </w:t>
      </w:r>
      <w:proofErr w:type="spellStart"/>
      <w:r w:rsidRPr="004663D3">
        <w:rPr>
          <w:sz w:val="24"/>
          <w:szCs w:val="24"/>
        </w:rPr>
        <w:t>casirivimab</w:t>
      </w:r>
      <w:proofErr w:type="spellEnd"/>
      <w:r w:rsidRPr="004663D3">
        <w:rPr>
          <w:sz w:val="24"/>
          <w:szCs w:val="24"/>
        </w:rPr>
        <w:t xml:space="preserve"> and </w:t>
      </w:r>
      <w:proofErr w:type="spellStart"/>
      <w:r w:rsidRPr="004663D3">
        <w:rPr>
          <w:sz w:val="24"/>
          <w:szCs w:val="24"/>
        </w:rPr>
        <w:t>imdevimab</w:t>
      </w:r>
      <w:proofErr w:type="spellEnd"/>
      <w:r w:rsidRPr="004663D3">
        <w:rPr>
          <w:sz w:val="24"/>
          <w:szCs w:val="24"/>
        </w:rPr>
        <w:t xml:space="preserve"> alone or together </w:t>
      </w:r>
    </w:p>
    <w:tbl>
      <w:tblPr>
        <w:tblStyle w:val="TableGrid"/>
        <w:tblW w:w="5000" w:type="pct"/>
        <w:tblInd w:w="0" w:type="dxa"/>
        <w:tblLook w:val="04A0" w:firstRow="1" w:lastRow="0" w:firstColumn="1" w:lastColumn="0" w:noHBand="0" w:noVBand="1"/>
      </w:tblPr>
      <w:tblGrid>
        <w:gridCol w:w="2277"/>
        <w:gridCol w:w="1985"/>
        <w:gridCol w:w="1801"/>
        <w:gridCol w:w="1734"/>
        <w:gridCol w:w="1733"/>
      </w:tblGrid>
      <w:tr w:rsidR="00BB43EC" w:rsidRPr="00BB43EC" w14:paraId="2F4A7E0F" w14:textId="77777777" w:rsidTr="00813E59">
        <w:tc>
          <w:tcPr>
            <w:tcW w:w="1194" w:type="pct"/>
            <w:vAlign w:val="center"/>
          </w:tcPr>
          <w:p w14:paraId="4D70B02D" w14:textId="77777777" w:rsidR="00BB43EC" w:rsidRPr="00BB43EC" w:rsidRDefault="00BB43EC" w:rsidP="00813E59">
            <w:pPr>
              <w:keepNext/>
              <w:keepLines/>
              <w:jc w:val="center"/>
              <w:rPr>
                <w:b/>
                <w:sz w:val="22"/>
                <w:szCs w:val="22"/>
              </w:rPr>
            </w:pPr>
            <w:r w:rsidRPr="00BB43EC">
              <w:rPr>
                <w:b/>
                <w:sz w:val="22"/>
                <w:szCs w:val="22"/>
              </w:rPr>
              <w:t>Lineage with Spike Protein Substitutions</w:t>
            </w:r>
          </w:p>
        </w:tc>
        <w:tc>
          <w:tcPr>
            <w:tcW w:w="1041" w:type="pct"/>
            <w:vAlign w:val="center"/>
          </w:tcPr>
          <w:p w14:paraId="77239F30" w14:textId="77777777" w:rsidR="00BB43EC" w:rsidRPr="00BB43EC" w:rsidRDefault="00BB43EC" w:rsidP="00813E59">
            <w:pPr>
              <w:keepNext/>
              <w:keepLines/>
              <w:jc w:val="center"/>
              <w:rPr>
                <w:b/>
                <w:sz w:val="22"/>
                <w:szCs w:val="22"/>
              </w:rPr>
            </w:pPr>
            <w:r w:rsidRPr="00BB43EC">
              <w:rPr>
                <w:b/>
                <w:sz w:val="22"/>
                <w:szCs w:val="22"/>
              </w:rPr>
              <w:t>Key Substitutions Tested</w:t>
            </w:r>
          </w:p>
        </w:tc>
        <w:tc>
          <w:tcPr>
            <w:tcW w:w="945" w:type="pct"/>
            <w:vAlign w:val="center"/>
          </w:tcPr>
          <w:p w14:paraId="2C9EE368" w14:textId="77777777" w:rsidR="00BB43EC" w:rsidRPr="00BB43EC" w:rsidRDefault="00BB43EC" w:rsidP="00813E59">
            <w:pPr>
              <w:keepNext/>
              <w:keepLines/>
              <w:jc w:val="center"/>
              <w:rPr>
                <w:b/>
                <w:sz w:val="22"/>
                <w:szCs w:val="22"/>
              </w:rPr>
            </w:pPr>
            <w:r w:rsidRPr="00BB43EC">
              <w:rPr>
                <w:b/>
                <w:sz w:val="22"/>
                <w:szCs w:val="22"/>
              </w:rPr>
              <w:t xml:space="preserve">Reduced Susceptibility to </w:t>
            </w:r>
            <w:proofErr w:type="spellStart"/>
            <w:r w:rsidRPr="00BB43EC">
              <w:rPr>
                <w:b/>
                <w:sz w:val="22"/>
                <w:szCs w:val="22"/>
              </w:rPr>
              <w:t>casirivimab</w:t>
            </w:r>
            <w:proofErr w:type="spellEnd"/>
            <w:r w:rsidRPr="00BB43EC">
              <w:rPr>
                <w:b/>
                <w:sz w:val="22"/>
                <w:szCs w:val="22"/>
              </w:rPr>
              <w:t xml:space="preserve"> and </w:t>
            </w:r>
            <w:proofErr w:type="spellStart"/>
            <w:r w:rsidRPr="00BB43EC">
              <w:rPr>
                <w:b/>
                <w:sz w:val="22"/>
                <w:szCs w:val="22"/>
              </w:rPr>
              <w:t>imdevimab</w:t>
            </w:r>
            <w:proofErr w:type="spellEnd"/>
            <w:r w:rsidRPr="00BB43EC">
              <w:rPr>
                <w:b/>
                <w:sz w:val="22"/>
                <w:szCs w:val="22"/>
              </w:rPr>
              <w:t xml:space="preserve"> Together </w:t>
            </w:r>
          </w:p>
        </w:tc>
        <w:tc>
          <w:tcPr>
            <w:tcW w:w="910" w:type="pct"/>
            <w:vAlign w:val="center"/>
          </w:tcPr>
          <w:p w14:paraId="6686E711" w14:textId="77777777" w:rsidR="00BB43EC" w:rsidRPr="00BB43EC" w:rsidRDefault="00BB43EC" w:rsidP="00813E59">
            <w:pPr>
              <w:keepNext/>
              <w:keepLines/>
              <w:jc w:val="center"/>
              <w:rPr>
                <w:b/>
                <w:sz w:val="22"/>
                <w:szCs w:val="22"/>
              </w:rPr>
            </w:pPr>
            <w:r w:rsidRPr="00BB43EC">
              <w:rPr>
                <w:b/>
                <w:sz w:val="22"/>
                <w:szCs w:val="22"/>
              </w:rPr>
              <w:t xml:space="preserve">Reduced Susceptibility to </w:t>
            </w:r>
            <w:proofErr w:type="spellStart"/>
            <w:r w:rsidRPr="00BB43EC">
              <w:rPr>
                <w:b/>
                <w:sz w:val="22"/>
                <w:szCs w:val="22"/>
              </w:rPr>
              <w:t>casirivimab</w:t>
            </w:r>
            <w:proofErr w:type="spellEnd"/>
            <w:r w:rsidRPr="00BB43EC">
              <w:rPr>
                <w:b/>
                <w:sz w:val="22"/>
                <w:szCs w:val="22"/>
              </w:rPr>
              <w:t xml:space="preserve"> Alone</w:t>
            </w:r>
          </w:p>
        </w:tc>
        <w:tc>
          <w:tcPr>
            <w:tcW w:w="909" w:type="pct"/>
            <w:vAlign w:val="center"/>
          </w:tcPr>
          <w:p w14:paraId="605B72A8" w14:textId="77777777" w:rsidR="00BB43EC" w:rsidRPr="00BB43EC" w:rsidRDefault="00BB43EC" w:rsidP="00813E59">
            <w:pPr>
              <w:keepNext/>
              <w:keepLines/>
              <w:jc w:val="center"/>
              <w:rPr>
                <w:b/>
                <w:sz w:val="22"/>
                <w:szCs w:val="22"/>
              </w:rPr>
            </w:pPr>
            <w:r w:rsidRPr="00BB43EC">
              <w:rPr>
                <w:b/>
                <w:sz w:val="22"/>
                <w:szCs w:val="22"/>
              </w:rPr>
              <w:t xml:space="preserve">Reduced Susceptibility to </w:t>
            </w:r>
            <w:proofErr w:type="spellStart"/>
            <w:r w:rsidRPr="00BB43EC">
              <w:rPr>
                <w:b/>
                <w:sz w:val="22"/>
                <w:szCs w:val="22"/>
              </w:rPr>
              <w:t>imdevimab</w:t>
            </w:r>
            <w:proofErr w:type="spellEnd"/>
            <w:r w:rsidRPr="00BB43EC">
              <w:rPr>
                <w:b/>
                <w:sz w:val="22"/>
                <w:szCs w:val="22"/>
              </w:rPr>
              <w:t xml:space="preserve"> Alone</w:t>
            </w:r>
          </w:p>
        </w:tc>
      </w:tr>
      <w:tr w:rsidR="00BB43EC" w:rsidRPr="00BB43EC" w14:paraId="3BEC5935" w14:textId="77777777" w:rsidTr="00813E59">
        <w:tc>
          <w:tcPr>
            <w:tcW w:w="1194" w:type="pct"/>
            <w:vAlign w:val="center"/>
          </w:tcPr>
          <w:p w14:paraId="57D2D5EC" w14:textId="77777777" w:rsidR="00BB43EC" w:rsidRPr="00BB43EC" w:rsidRDefault="00BB43EC" w:rsidP="00813E59">
            <w:pPr>
              <w:keepNext/>
              <w:keepLines/>
              <w:jc w:val="center"/>
              <w:rPr>
                <w:sz w:val="22"/>
                <w:szCs w:val="22"/>
              </w:rPr>
            </w:pPr>
            <w:r w:rsidRPr="00BB43EC">
              <w:rPr>
                <w:sz w:val="22"/>
                <w:szCs w:val="22"/>
              </w:rPr>
              <w:t>B.1.1.7 (UK origin/Alpha)</w:t>
            </w:r>
          </w:p>
        </w:tc>
        <w:tc>
          <w:tcPr>
            <w:tcW w:w="1041" w:type="pct"/>
            <w:vAlign w:val="center"/>
          </w:tcPr>
          <w:p w14:paraId="4E659BB8" w14:textId="77777777" w:rsidR="00BB43EC" w:rsidRPr="00BB43EC" w:rsidRDefault="00BB43EC" w:rsidP="00813E59">
            <w:pPr>
              <w:keepNext/>
              <w:keepLines/>
              <w:jc w:val="center"/>
              <w:rPr>
                <w:sz w:val="22"/>
                <w:szCs w:val="22"/>
              </w:rPr>
            </w:pPr>
            <w:r w:rsidRPr="00BB43EC">
              <w:rPr>
                <w:sz w:val="22"/>
                <w:szCs w:val="22"/>
              </w:rPr>
              <w:t xml:space="preserve">Full S </w:t>
            </w:r>
            <w:proofErr w:type="spellStart"/>
            <w:r w:rsidRPr="00BB43EC">
              <w:rPr>
                <w:sz w:val="22"/>
                <w:szCs w:val="22"/>
              </w:rPr>
              <w:t>protein</w:t>
            </w:r>
            <w:r w:rsidRPr="00BB43EC">
              <w:rPr>
                <w:sz w:val="22"/>
                <w:szCs w:val="22"/>
                <w:vertAlign w:val="superscript"/>
              </w:rPr>
              <w:t>a</w:t>
            </w:r>
            <w:proofErr w:type="spellEnd"/>
          </w:p>
        </w:tc>
        <w:tc>
          <w:tcPr>
            <w:tcW w:w="945" w:type="pct"/>
            <w:vAlign w:val="center"/>
          </w:tcPr>
          <w:p w14:paraId="2B13CBA5" w14:textId="77777777" w:rsidR="00BB43EC" w:rsidRPr="00BB43EC" w:rsidRDefault="00BB43EC" w:rsidP="00813E59">
            <w:pPr>
              <w:keepNext/>
              <w:keepLines/>
              <w:jc w:val="center"/>
              <w:rPr>
                <w:sz w:val="22"/>
                <w:szCs w:val="22"/>
              </w:rPr>
            </w:pPr>
            <w:r w:rsidRPr="00BB43EC">
              <w:rPr>
                <w:sz w:val="22"/>
                <w:szCs w:val="22"/>
              </w:rPr>
              <w:t>no change</w:t>
            </w:r>
            <w:r w:rsidRPr="00BB43EC">
              <w:rPr>
                <w:sz w:val="22"/>
                <w:szCs w:val="22"/>
                <w:vertAlign w:val="superscript"/>
              </w:rPr>
              <w:t>d</w:t>
            </w:r>
          </w:p>
        </w:tc>
        <w:tc>
          <w:tcPr>
            <w:tcW w:w="910" w:type="pct"/>
            <w:vAlign w:val="center"/>
          </w:tcPr>
          <w:p w14:paraId="31783EB3" w14:textId="77777777" w:rsidR="00BB43EC" w:rsidRPr="00BB43EC" w:rsidRDefault="00BB43EC" w:rsidP="00813E59">
            <w:pPr>
              <w:keepNext/>
              <w:keepLines/>
              <w:jc w:val="center"/>
              <w:rPr>
                <w:sz w:val="22"/>
                <w:szCs w:val="22"/>
              </w:rPr>
            </w:pPr>
            <w:r w:rsidRPr="00BB43EC">
              <w:rPr>
                <w:sz w:val="22"/>
                <w:szCs w:val="22"/>
              </w:rPr>
              <w:t>no change</w:t>
            </w:r>
            <w:r w:rsidRPr="00BB43EC">
              <w:rPr>
                <w:sz w:val="22"/>
                <w:szCs w:val="22"/>
                <w:vertAlign w:val="superscript"/>
              </w:rPr>
              <w:t>d</w:t>
            </w:r>
          </w:p>
        </w:tc>
        <w:tc>
          <w:tcPr>
            <w:tcW w:w="909" w:type="pct"/>
            <w:vAlign w:val="center"/>
          </w:tcPr>
          <w:p w14:paraId="6D0A36FC" w14:textId="77777777" w:rsidR="00BB43EC" w:rsidRPr="00BB43EC" w:rsidRDefault="00BB43EC" w:rsidP="00813E59">
            <w:pPr>
              <w:keepNext/>
              <w:keepLines/>
              <w:jc w:val="center"/>
              <w:rPr>
                <w:sz w:val="22"/>
                <w:szCs w:val="22"/>
              </w:rPr>
            </w:pPr>
            <w:r w:rsidRPr="00BB43EC">
              <w:rPr>
                <w:sz w:val="22"/>
                <w:szCs w:val="22"/>
              </w:rPr>
              <w:t>no change</w:t>
            </w:r>
            <w:r w:rsidRPr="00BB43EC">
              <w:rPr>
                <w:sz w:val="22"/>
                <w:szCs w:val="22"/>
                <w:vertAlign w:val="superscript"/>
              </w:rPr>
              <w:t>d</w:t>
            </w:r>
          </w:p>
        </w:tc>
      </w:tr>
      <w:tr w:rsidR="00BB43EC" w:rsidRPr="00BB43EC" w14:paraId="4583AF2F" w14:textId="77777777" w:rsidTr="00813E59">
        <w:trPr>
          <w:trHeight w:val="107"/>
        </w:trPr>
        <w:tc>
          <w:tcPr>
            <w:tcW w:w="1194" w:type="pct"/>
            <w:vAlign w:val="center"/>
          </w:tcPr>
          <w:p w14:paraId="7527233D" w14:textId="77777777" w:rsidR="00BB43EC" w:rsidRPr="00BB43EC" w:rsidRDefault="00BB43EC" w:rsidP="00813E59">
            <w:pPr>
              <w:keepNext/>
              <w:keepLines/>
              <w:jc w:val="center"/>
              <w:rPr>
                <w:sz w:val="22"/>
                <w:szCs w:val="22"/>
              </w:rPr>
            </w:pPr>
            <w:r w:rsidRPr="00BB43EC">
              <w:rPr>
                <w:sz w:val="22"/>
                <w:szCs w:val="22"/>
              </w:rPr>
              <w:t>B.1.351 (South Africa origin/Beta)</w:t>
            </w:r>
          </w:p>
        </w:tc>
        <w:tc>
          <w:tcPr>
            <w:tcW w:w="1041" w:type="pct"/>
            <w:vAlign w:val="center"/>
          </w:tcPr>
          <w:p w14:paraId="797FC4F5" w14:textId="77777777" w:rsidR="00BB43EC" w:rsidRPr="00BB43EC" w:rsidRDefault="00BB43EC" w:rsidP="00813E59">
            <w:pPr>
              <w:keepNext/>
              <w:keepLines/>
              <w:jc w:val="center"/>
              <w:rPr>
                <w:sz w:val="22"/>
                <w:szCs w:val="22"/>
                <w:lang w:val="pt-BR"/>
              </w:rPr>
            </w:pPr>
            <w:r w:rsidRPr="00BB43EC">
              <w:rPr>
                <w:sz w:val="22"/>
                <w:szCs w:val="22"/>
                <w:lang w:val="pt-BR"/>
              </w:rPr>
              <w:t>Full S protein</w:t>
            </w:r>
            <w:r w:rsidRPr="00BB43EC">
              <w:rPr>
                <w:sz w:val="22"/>
                <w:szCs w:val="22"/>
                <w:vertAlign w:val="superscript"/>
                <w:lang w:val="pt-BR"/>
              </w:rPr>
              <w:t>b</w:t>
            </w:r>
          </w:p>
        </w:tc>
        <w:tc>
          <w:tcPr>
            <w:tcW w:w="945" w:type="pct"/>
            <w:vAlign w:val="center"/>
          </w:tcPr>
          <w:p w14:paraId="35B3D720" w14:textId="77777777" w:rsidR="00BB43EC" w:rsidRPr="00BB43EC" w:rsidRDefault="00BB43EC" w:rsidP="00813E59">
            <w:pPr>
              <w:keepNext/>
              <w:keepLines/>
              <w:jc w:val="center"/>
              <w:rPr>
                <w:sz w:val="22"/>
                <w:szCs w:val="22"/>
              </w:rPr>
            </w:pPr>
            <w:r w:rsidRPr="00BB43EC">
              <w:rPr>
                <w:sz w:val="22"/>
                <w:szCs w:val="22"/>
              </w:rPr>
              <w:t>no change</w:t>
            </w:r>
            <w:r w:rsidRPr="00BB43EC">
              <w:rPr>
                <w:sz w:val="22"/>
                <w:szCs w:val="22"/>
                <w:vertAlign w:val="superscript"/>
              </w:rPr>
              <w:t>d</w:t>
            </w:r>
          </w:p>
        </w:tc>
        <w:tc>
          <w:tcPr>
            <w:tcW w:w="910" w:type="pct"/>
            <w:vAlign w:val="center"/>
          </w:tcPr>
          <w:p w14:paraId="4F50C4A9" w14:textId="77777777" w:rsidR="00BB43EC" w:rsidRPr="00BB43EC" w:rsidRDefault="00BB43EC" w:rsidP="00813E59">
            <w:pPr>
              <w:keepNext/>
              <w:keepLines/>
              <w:jc w:val="center"/>
              <w:rPr>
                <w:sz w:val="22"/>
                <w:szCs w:val="22"/>
              </w:rPr>
            </w:pPr>
            <w:r w:rsidRPr="00BB43EC">
              <w:rPr>
                <w:sz w:val="22"/>
                <w:szCs w:val="22"/>
              </w:rPr>
              <w:t>45-fold</w:t>
            </w:r>
          </w:p>
        </w:tc>
        <w:tc>
          <w:tcPr>
            <w:tcW w:w="909" w:type="pct"/>
            <w:vAlign w:val="center"/>
          </w:tcPr>
          <w:p w14:paraId="68955FA8" w14:textId="77777777" w:rsidR="00BB43EC" w:rsidRPr="00BB43EC" w:rsidRDefault="00BB43EC" w:rsidP="00813E59">
            <w:pPr>
              <w:keepNext/>
              <w:keepLines/>
              <w:jc w:val="center"/>
              <w:rPr>
                <w:sz w:val="22"/>
                <w:szCs w:val="22"/>
              </w:rPr>
            </w:pPr>
            <w:r w:rsidRPr="00BB43EC">
              <w:rPr>
                <w:sz w:val="22"/>
                <w:szCs w:val="22"/>
              </w:rPr>
              <w:t>no change</w:t>
            </w:r>
            <w:r w:rsidRPr="00BB43EC">
              <w:rPr>
                <w:sz w:val="22"/>
                <w:szCs w:val="22"/>
                <w:vertAlign w:val="superscript"/>
              </w:rPr>
              <w:t>d</w:t>
            </w:r>
          </w:p>
        </w:tc>
      </w:tr>
      <w:tr w:rsidR="00BB43EC" w:rsidRPr="00BB43EC" w14:paraId="18EC5BD1" w14:textId="77777777" w:rsidTr="00813E59">
        <w:tc>
          <w:tcPr>
            <w:tcW w:w="1194" w:type="pct"/>
            <w:vAlign w:val="center"/>
          </w:tcPr>
          <w:p w14:paraId="67E48147" w14:textId="77777777" w:rsidR="00BB43EC" w:rsidRPr="00BB43EC" w:rsidRDefault="00BB43EC" w:rsidP="00813E59">
            <w:pPr>
              <w:keepNext/>
              <w:keepLines/>
              <w:jc w:val="center"/>
              <w:rPr>
                <w:sz w:val="22"/>
                <w:szCs w:val="22"/>
              </w:rPr>
            </w:pPr>
            <w:r w:rsidRPr="00BB43EC">
              <w:rPr>
                <w:sz w:val="22"/>
                <w:szCs w:val="22"/>
              </w:rPr>
              <w:t>P.1 (Brazil origin/Gamma)</w:t>
            </w:r>
          </w:p>
        </w:tc>
        <w:tc>
          <w:tcPr>
            <w:tcW w:w="1041" w:type="pct"/>
            <w:vAlign w:val="center"/>
          </w:tcPr>
          <w:p w14:paraId="44406D84" w14:textId="77777777" w:rsidR="00BB43EC" w:rsidRPr="00BB43EC" w:rsidRDefault="00BB43EC" w:rsidP="00813E59">
            <w:pPr>
              <w:keepNext/>
              <w:keepLines/>
              <w:jc w:val="center"/>
              <w:rPr>
                <w:sz w:val="22"/>
                <w:szCs w:val="22"/>
                <w:lang w:val="de-CH"/>
              </w:rPr>
            </w:pPr>
            <w:r w:rsidRPr="00BB43EC">
              <w:rPr>
                <w:sz w:val="22"/>
                <w:szCs w:val="22"/>
                <w:lang w:val="de-CH"/>
              </w:rPr>
              <w:t>Full S protein</w:t>
            </w:r>
            <w:r w:rsidRPr="00BB43EC">
              <w:rPr>
                <w:sz w:val="22"/>
                <w:szCs w:val="22"/>
                <w:vertAlign w:val="superscript"/>
                <w:lang w:val="de-CH"/>
              </w:rPr>
              <w:t>c</w:t>
            </w:r>
          </w:p>
        </w:tc>
        <w:tc>
          <w:tcPr>
            <w:tcW w:w="945" w:type="pct"/>
            <w:vAlign w:val="center"/>
          </w:tcPr>
          <w:p w14:paraId="76B629EE" w14:textId="77777777" w:rsidR="00BB43EC" w:rsidRPr="00BB43EC" w:rsidRDefault="00BB43EC" w:rsidP="00813E59">
            <w:pPr>
              <w:keepNext/>
              <w:keepLines/>
              <w:jc w:val="center"/>
              <w:rPr>
                <w:sz w:val="22"/>
                <w:szCs w:val="22"/>
              </w:rPr>
            </w:pPr>
            <w:r w:rsidRPr="00BB43EC">
              <w:rPr>
                <w:sz w:val="22"/>
                <w:szCs w:val="22"/>
              </w:rPr>
              <w:t>no change</w:t>
            </w:r>
            <w:r w:rsidRPr="00BB43EC">
              <w:rPr>
                <w:sz w:val="22"/>
                <w:szCs w:val="22"/>
                <w:vertAlign w:val="superscript"/>
              </w:rPr>
              <w:t>d</w:t>
            </w:r>
          </w:p>
        </w:tc>
        <w:tc>
          <w:tcPr>
            <w:tcW w:w="910" w:type="pct"/>
            <w:vAlign w:val="center"/>
          </w:tcPr>
          <w:p w14:paraId="45738C84" w14:textId="77777777" w:rsidR="00BB43EC" w:rsidRPr="00BB43EC" w:rsidRDefault="00BB43EC" w:rsidP="00813E59">
            <w:pPr>
              <w:keepNext/>
              <w:keepLines/>
              <w:jc w:val="center"/>
              <w:rPr>
                <w:sz w:val="22"/>
                <w:szCs w:val="22"/>
              </w:rPr>
            </w:pPr>
            <w:r w:rsidRPr="00BB43EC">
              <w:rPr>
                <w:sz w:val="22"/>
                <w:szCs w:val="22"/>
              </w:rPr>
              <w:t>418-fold</w:t>
            </w:r>
          </w:p>
        </w:tc>
        <w:tc>
          <w:tcPr>
            <w:tcW w:w="909" w:type="pct"/>
            <w:vAlign w:val="center"/>
          </w:tcPr>
          <w:p w14:paraId="7CE283EF" w14:textId="77777777" w:rsidR="00BB43EC" w:rsidRPr="00BB43EC" w:rsidRDefault="00BB43EC" w:rsidP="00813E59">
            <w:pPr>
              <w:keepNext/>
              <w:keepLines/>
              <w:jc w:val="center"/>
              <w:rPr>
                <w:sz w:val="22"/>
                <w:szCs w:val="22"/>
              </w:rPr>
            </w:pPr>
            <w:r w:rsidRPr="00BB43EC">
              <w:rPr>
                <w:sz w:val="22"/>
                <w:szCs w:val="22"/>
              </w:rPr>
              <w:t>no change</w:t>
            </w:r>
            <w:r w:rsidRPr="00BB43EC">
              <w:rPr>
                <w:sz w:val="22"/>
                <w:szCs w:val="22"/>
                <w:vertAlign w:val="superscript"/>
              </w:rPr>
              <w:t>d</w:t>
            </w:r>
          </w:p>
        </w:tc>
      </w:tr>
      <w:tr w:rsidR="00BB43EC" w:rsidRPr="00BB43EC" w14:paraId="5F24D183" w14:textId="77777777" w:rsidTr="00813E59">
        <w:tc>
          <w:tcPr>
            <w:tcW w:w="1194" w:type="pct"/>
            <w:vAlign w:val="center"/>
          </w:tcPr>
          <w:p w14:paraId="3E8B1B4C" w14:textId="77777777" w:rsidR="00BB43EC" w:rsidRPr="00BB43EC" w:rsidRDefault="00BB43EC" w:rsidP="00813E59">
            <w:pPr>
              <w:keepNext/>
              <w:keepLines/>
              <w:jc w:val="center"/>
              <w:rPr>
                <w:sz w:val="22"/>
                <w:szCs w:val="22"/>
                <w:lang w:val="it-IT"/>
              </w:rPr>
            </w:pPr>
            <w:r w:rsidRPr="00BB43EC">
              <w:rPr>
                <w:sz w:val="22"/>
                <w:szCs w:val="22"/>
                <w:lang w:val="it-IT"/>
              </w:rPr>
              <w:t>B.1.427/B.1.429 (California origin/Epsilon)</w:t>
            </w:r>
          </w:p>
        </w:tc>
        <w:tc>
          <w:tcPr>
            <w:tcW w:w="1041" w:type="pct"/>
            <w:vAlign w:val="center"/>
          </w:tcPr>
          <w:p w14:paraId="79A2F930" w14:textId="77777777" w:rsidR="00BB43EC" w:rsidRPr="00BB43EC" w:rsidRDefault="00BB43EC" w:rsidP="00813E59">
            <w:pPr>
              <w:keepNext/>
              <w:keepLines/>
              <w:jc w:val="center"/>
              <w:rPr>
                <w:sz w:val="22"/>
                <w:szCs w:val="22"/>
              </w:rPr>
            </w:pPr>
            <w:r w:rsidRPr="00BB43EC">
              <w:rPr>
                <w:sz w:val="22"/>
                <w:szCs w:val="22"/>
              </w:rPr>
              <w:t>L452R</w:t>
            </w:r>
          </w:p>
        </w:tc>
        <w:tc>
          <w:tcPr>
            <w:tcW w:w="945" w:type="pct"/>
            <w:vAlign w:val="center"/>
          </w:tcPr>
          <w:p w14:paraId="7C3EAAAF" w14:textId="77777777" w:rsidR="00BB43EC" w:rsidRPr="00BB43EC" w:rsidRDefault="00BB43EC" w:rsidP="00813E59">
            <w:pPr>
              <w:keepNext/>
              <w:keepLines/>
              <w:jc w:val="center"/>
              <w:rPr>
                <w:sz w:val="22"/>
                <w:szCs w:val="22"/>
              </w:rPr>
            </w:pPr>
            <w:r w:rsidRPr="00BB43EC">
              <w:rPr>
                <w:sz w:val="22"/>
                <w:szCs w:val="22"/>
              </w:rPr>
              <w:t>no change</w:t>
            </w:r>
            <w:r w:rsidRPr="00BB43EC">
              <w:rPr>
                <w:sz w:val="22"/>
                <w:szCs w:val="22"/>
                <w:vertAlign w:val="superscript"/>
              </w:rPr>
              <w:t>d</w:t>
            </w:r>
          </w:p>
        </w:tc>
        <w:tc>
          <w:tcPr>
            <w:tcW w:w="910" w:type="pct"/>
            <w:vAlign w:val="center"/>
          </w:tcPr>
          <w:p w14:paraId="0B26EC58" w14:textId="77777777" w:rsidR="00BB43EC" w:rsidRPr="00BB43EC" w:rsidRDefault="00BB43EC" w:rsidP="00813E59">
            <w:pPr>
              <w:keepNext/>
              <w:keepLines/>
              <w:jc w:val="center"/>
              <w:rPr>
                <w:sz w:val="22"/>
                <w:szCs w:val="22"/>
              </w:rPr>
            </w:pPr>
            <w:r w:rsidRPr="00BB43EC">
              <w:rPr>
                <w:sz w:val="22"/>
                <w:szCs w:val="22"/>
              </w:rPr>
              <w:t>no change</w:t>
            </w:r>
            <w:r w:rsidRPr="00BB43EC">
              <w:rPr>
                <w:sz w:val="22"/>
                <w:szCs w:val="22"/>
                <w:vertAlign w:val="superscript"/>
              </w:rPr>
              <w:t>d</w:t>
            </w:r>
          </w:p>
        </w:tc>
        <w:tc>
          <w:tcPr>
            <w:tcW w:w="909" w:type="pct"/>
            <w:vAlign w:val="center"/>
          </w:tcPr>
          <w:p w14:paraId="6F45ADAE" w14:textId="77777777" w:rsidR="00BB43EC" w:rsidRPr="00BB43EC" w:rsidRDefault="00BB43EC" w:rsidP="00813E59">
            <w:pPr>
              <w:keepNext/>
              <w:keepLines/>
              <w:jc w:val="center"/>
              <w:rPr>
                <w:sz w:val="22"/>
                <w:szCs w:val="22"/>
              </w:rPr>
            </w:pPr>
            <w:r w:rsidRPr="00BB43EC">
              <w:rPr>
                <w:sz w:val="22"/>
                <w:szCs w:val="22"/>
              </w:rPr>
              <w:t>no change</w:t>
            </w:r>
            <w:r w:rsidRPr="00BB43EC">
              <w:rPr>
                <w:sz w:val="22"/>
                <w:szCs w:val="22"/>
                <w:vertAlign w:val="superscript"/>
              </w:rPr>
              <w:t>d</w:t>
            </w:r>
          </w:p>
        </w:tc>
      </w:tr>
      <w:tr w:rsidR="00BB43EC" w:rsidRPr="00BB43EC" w14:paraId="277CC726" w14:textId="77777777" w:rsidTr="00813E59">
        <w:trPr>
          <w:trHeight w:val="233"/>
        </w:trPr>
        <w:tc>
          <w:tcPr>
            <w:tcW w:w="1194" w:type="pct"/>
            <w:vAlign w:val="center"/>
          </w:tcPr>
          <w:p w14:paraId="22867E9C" w14:textId="77777777" w:rsidR="00BB43EC" w:rsidRPr="00BB43EC" w:rsidRDefault="00BB43EC" w:rsidP="00813E59">
            <w:pPr>
              <w:keepNext/>
              <w:keepLines/>
              <w:jc w:val="center"/>
              <w:rPr>
                <w:sz w:val="22"/>
                <w:szCs w:val="22"/>
              </w:rPr>
            </w:pPr>
            <w:r w:rsidRPr="00BB43EC">
              <w:rPr>
                <w:sz w:val="22"/>
                <w:szCs w:val="22"/>
              </w:rPr>
              <w:t>B.1.526 (New York origin/</w:t>
            </w:r>
            <w:proofErr w:type="gramStart"/>
            <w:r w:rsidRPr="00BB43EC">
              <w:rPr>
                <w:sz w:val="22"/>
                <w:szCs w:val="22"/>
              </w:rPr>
              <w:t>Iota)</w:t>
            </w:r>
            <w:r w:rsidRPr="00BB43EC">
              <w:rPr>
                <w:sz w:val="22"/>
                <w:szCs w:val="22"/>
                <w:vertAlign w:val="superscript"/>
              </w:rPr>
              <w:t>e</w:t>
            </w:r>
            <w:proofErr w:type="gramEnd"/>
          </w:p>
        </w:tc>
        <w:tc>
          <w:tcPr>
            <w:tcW w:w="1041" w:type="pct"/>
            <w:vAlign w:val="center"/>
          </w:tcPr>
          <w:p w14:paraId="1CB3EF5B" w14:textId="77777777" w:rsidR="00BB43EC" w:rsidRPr="00BB43EC" w:rsidRDefault="00BB43EC" w:rsidP="00813E59">
            <w:pPr>
              <w:keepNext/>
              <w:keepLines/>
              <w:jc w:val="center"/>
              <w:rPr>
                <w:sz w:val="22"/>
                <w:szCs w:val="22"/>
              </w:rPr>
            </w:pPr>
            <w:r w:rsidRPr="00BB43EC">
              <w:rPr>
                <w:sz w:val="22"/>
                <w:szCs w:val="22"/>
              </w:rPr>
              <w:t>E484K</w:t>
            </w:r>
          </w:p>
        </w:tc>
        <w:tc>
          <w:tcPr>
            <w:tcW w:w="945" w:type="pct"/>
            <w:vAlign w:val="center"/>
          </w:tcPr>
          <w:p w14:paraId="3DF230E1" w14:textId="77777777" w:rsidR="00BB43EC" w:rsidRPr="00BB43EC" w:rsidRDefault="00BB43EC" w:rsidP="00813E59">
            <w:pPr>
              <w:keepNext/>
              <w:keepLines/>
              <w:jc w:val="center"/>
              <w:rPr>
                <w:sz w:val="22"/>
                <w:szCs w:val="22"/>
              </w:rPr>
            </w:pPr>
            <w:r w:rsidRPr="00BB43EC">
              <w:rPr>
                <w:sz w:val="22"/>
                <w:szCs w:val="22"/>
              </w:rPr>
              <w:t>no change</w:t>
            </w:r>
            <w:r w:rsidRPr="00BB43EC">
              <w:rPr>
                <w:sz w:val="22"/>
                <w:szCs w:val="22"/>
                <w:vertAlign w:val="superscript"/>
              </w:rPr>
              <w:t>d</w:t>
            </w:r>
          </w:p>
        </w:tc>
        <w:tc>
          <w:tcPr>
            <w:tcW w:w="910" w:type="pct"/>
            <w:vAlign w:val="center"/>
          </w:tcPr>
          <w:p w14:paraId="0F49F1C5" w14:textId="77777777" w:rsidR="00BB43EC" w:rsidRPr="00BB43EC" w:rsidRDefault="00BB43EC" w:rsidP="00813E59">
            <w:pPr>
              <w:keepNext/>
              <w:keepLines/>
              <w:jc w:val="center"/>
              <w:rPr>
                <w:sz w:val="22"/>
                <w:szCs w:val="22"/>
              </w:rPr>
            </w:pPr>
            <w:r w:rsidRPr="00BB43EC">
              <w:rPr>
                <w:sz w:val="22"/>
                <w:szCs w:val="22"/>
              </w:rPr>
              <w:t>25-fold</w:t>
            </w:r>
          </w:p>
        </w:tc>
        <w:tc>
          <w:tcPr>
            <w:tcW w:w="909" w:type="pct"/>
            <w:vAlign w:val="center"/>
          </w:tcPr>
          <w:p w14:paraId="22CCD7BA" w14:textId="77777777" w:rsidR="00BB43EC" w:rsidRPr="00BB43EC" w:rsidRDefault="00BB43EC" w:rsidP="00813E59">
            <w:pPr>
              <w:keepNext/>
              <w:keepLines/>
              <w:jc w:val="center"/>
              <w:rPr>
                <w:sz w:val="22"/>
                <w:szCs w:val="22"/>
              </w:rPr>
            </w:pPr>
            <w:r w:rsidRPr="00BB43EC">
              <w:rPr>
                <w:sz w:val="22"/>
                <w:szCs w:val="22"/>
              </w:rPr>
              <w:t>no change</w:t>
            </w:r>
            <w:r w:rsidRPr="00BB43EC">
              <w:rPr>
                <w:sz w:val="22"/>
                <w:szCs w:val="22"/>
                <w:vertAlign w:val="superscript"/>
              </w:rPr>
              <w:t>d</w:t>
            </w:r>
          </w:p>
        </w:tc>
      </w:tr>
      <w:tr w:rsidR="00BB43EC" w:rsidRPr="00BB43EC" w14:paraId="60CD3B29" w14:textId="77777777" w:rsidTr="00813E59">
        <w:trPr>
          <w:trHeight w:val="233"/>
        </w:trPr>
        <w:tc>
          <w:tcPr>
            <w:tcW w:w="1194" w:type="pct"/>
            <w:vAlign w:val="center"/>
          </w:tcPr>
          <w:p w14:paraId="78F0C8B4" w14:textId="77777777" w:rsidR="00BB43EC" w:rsidRPr="00BB43EC" w:rsidRDefault="00BB43EC" w:rsidP="00813E59">
            <w:pPr>
              <w:keepNext/>
              <w:keepLines/>
              <w:jc w:val="center"/>
              <w:rPr>
                <w:sz w:val="22"/>
                <w:szCs w:val="22"/>
                <w:lang w:val="it-IT"/>
              </w:rPr>
            </w:pPr>
            <w:r w:rsidRPr="00BB43EC">
              <w:rPr>
                <w:sz w:val="22"/>
                <w:szCs w:val="22"/>
                <w:lang w:val="it-IT"/>
              </w:rPr>
              <w:t>B.1.617.1/B.1.617.3 (India origin/Kappa)</w:t>
            </w:r>
          </w:p>
        </w:tc>
        <w:tc>
          <w:tcPr>
            <w:tcW w:w="1041" w:type="pct"/>
            <w:vAlign w:val="center"/>
          </w:tcPr>
          <w:p w14:paraId="4850A1AB" w14:textId="77777777" w:rsidR="00BB43EC" w:rsidRPr="00BB43EC" w:rsidRDefault="00BB43EC" w:rsidP="00813E59">
            <w:pPr>
              <w:keepNext/>
              <w:keepLines/>
              <w:jc w:val="center"/>
              <w:rPr>
                <w:sz w:val="22"/>
                <w:szCs w:val="22"/>
              </w:rPr>
            </w:pPr>
            <w:r w:rsidRPr="00BB43EC">
              <w:rPr>
                <w:sz w:val="22"/>
                <w:szCs w:val="22"/>
              </w:rPr>
              <w:t>L452R+E484Q</w:t>
            </w:r>
          </w:p>
        </w:tc>
        <w:tc>
          <w:tcPr>
            <w:tcW w:w="945" w:type="pct"/>
            <w:vAlign w:val="center"/>
          </w:tcPr>
          <w:p w14:paraId="5856F5C3" w14:textId="77777777" w:rsidR="00BB43EC" w:rsidRPr="00BB43EC" w:rsidRDefault="00BB43EC" w:rsidP="00813E59">
            <w:pPr>
              <w:keepNext/>
              <w:keepLines/>
              <w:jc w:val="center"/>
              <w:rPr>
                <w:sz w:val="22"/>
                <w:szCs w:val="22"/>
              </w:rPr>
            </w:pPr>
            <w:r w:rsidRPr="00BB43EC">
              <w:rPr>
                <w:sz w:val="22"/>
                <w:szCs w:val="22"/>
              </w:rPr>
              <w:t>no change</w:t>
            </w:r>
            <w:r w:rsidRPr="00BB43EC">
              <w:rPr>
                <w:sz w:val="22"/>
                <w:szCs w:val="22"/>
                <w:vertAlign w:val="superscript"/>
              </w:rPr>
              <w:t>d</w:t>
            </w:r>
          </w:p>
        </w:tc>
        <w:tc>
          <w:tcPr>
            <w:tcW w:w="910" w:type="pct"/>
            <w:vAlign w:val="center"/>
          </w:tcPr>
          <w:p w14:paraId="1B1F0F1C" w14:textId="77777777" w:rsidR="00BB43EC" w:rsidRPr="00BB43EC" w:rsidRDefault="00BB43EC" w:rsidP="00813E59">
            <w:pPr>
              <w:keepNext/>
              <w:keepLines/>
              <w:jc w:val="center"/>
              <w:rPr>
                <w:sz w:val="22"/>
                <w:szCs w:val="22"/>
              </w:rPr>
            </w:pPr>
            <w:r w:rsidRPr="00BB43EC">
              <w:rPr>
                <w:sz w:val="22"/>
                <w:szCs w:val="22"/>
              </w:rPr>
              <w:t>7-fold</w:t>
            </w:r>
          </w:p>
        </w:tc>
        <w:tc>
          <w:tcPr>
            <w:tcW w:w="909" w:type="pct"/>
            <w:vAlign w:val="center"/>
          </w:tcPr>
          <w:p w14:paraId="119373C6" w14:textId="77777777" w:rsidR="00BB43EC" w:rsidRPr="00BB43EC" w:rsidRDefault="00BB43EC" w:rsidP="00813E59">
            <w:pPr>
              <w:keepNext/>
              <w:keepLines/>
              <w:jc w:val="center"/>
              <w:rPr>
                <w:sz w:val="22"/>
                <w:szCs w:val="22"/>
              </w:rPr>
            </w:pPr>
            <w:r w:rsidRPr="00BB43EC">
              <w:rPr>
                <w:sz w:val="22"/>
                <w:szCs w:val="22"/>
              </w:rPr>
              <w:t>no change</w:t>
            </w:r>
            <w:r w:rsidRPr="00BB43EC">
              <w:rPr>
                <w:sz w:val="22"/>
                <w:szCs w:val="22"/>
                <w:vertAlign w:val="superscript"/>
              </w:rPr>
              <w:t>d</w:t>
            </w:r>
          </w:p>
        </w:tc>
      </w:tr>
      <w:tr w:rsidR="00BB43EC" w:rsidRPr="00BB43EC" w14:paraId="508C3330" w14:textId="77777777" w:rsidTr="00813E59">
        <w:trPr>
          <w:trHeight w:val="233"/>
        </w:trPr>
        <w:tc>
          <w:tcPr>
            <w:tcW w:w="1194" w:type="pct"/>
            <w:vAlign w:val="center"/>
          </w:tcPr>
          <w:p w14:paraId="3C6371A1" w14:textId="77777777" w:rsidR="00BB43EC" w:rsidRPr="00BB43EC" w:rsidRDefault="00BB43EC" w:rsidP="00813E59">
            <w:pPr>
              <w:keepNext/>
              <w:keepLines/>
              <w:jc w:val="center"/>
              <w:rPr>
                <w:sz w:val="22"/>
                <w:szCs w:val="22"/>
              </w:rPr>
            </w:pPr>
            <w:r w:rsidRPr="00BB43EC">
              <w:rPr>
                <w:sz w:val="22"/>
                <w:szCs w:val="22"/>
              </w:rPr>
              <w:t>B.1.617.2 (India origin/Delta)</w:t>
            </w:r>
          </w:p>
        </w:tc>
        <w:tc>
          <w:tcPr>
            <w:tcW w:w="1041" w:type="pct"/>
            <w:vAlign w:val="center"/>
          </w:tcPr>
          <w:p w14:paraId="4E0B103E" w14:textId="77777777" w:rsidR="00BB43EC" w:rsidRPr="00BB43EC" w:rsidRDefault="00BB43EC" w:rsidP="00813E59">
            <w:pPr>
              <w:keepNext/>
              <w:keepLines/>
              <w:jc w:val="center"/>
              <w:rPr>
                <w:sz w:val="22"/>
                <w:szCs w:val="22"/>
              </w:rPr>
            </w:pPr>
            <w:r w:rsidRPr="00BB43EC">
              <w:rPr>
                <w:sz w:val="22"/>
                <w:szCs w:val="22"/>
              </w:rPr>
              <w:t>L452R+T478K</w:t>
            </w:r>
          </w:p>
        </w:tc>
        <w:tc>
          <w:tcPr>
            <w:tcW w:w="945" w:type="pct"/>
            <w:vAlign w:val="center"/>
          </w:tcPr>
          <w:p w14:paraId="197B03CD" w14:textId="77777777" w:rsidR="00BB43EC" w:rsidRPr="00BB43EC" w:rsidRDefault="00BB43EC" w:rsidP="00813E59">
            <w:pPr>
              <w:keepNext/>
              <w:keepLines/>
              <w:jc w:val="center"/>
              <w:rPr>
                <w:sz w:val="22"/>
                <w:szCs w:val="22"/>
              </w:rPr>
            </w:pPr>
            <w:r w:rsidRPr="00BB43EC">
              <w:rPr>
                <w:sz w:val="22"/>
                <w:szCs w:val="22"/>
              </w:rPr>
              <w:t>no change</w:t>
            </w:r>
            <w:r w:rsidRPr="00BB43EC">
              <w:rPr>
                <w:sz w:val="22"/>
                <w:szCs w:val="22"/>
                <w:vertAlign w:val="superscript"/>
              </w:rPr>
              <w:t>d</w:t>
            </w:r>
          </w:p>
        </w:tc>
        <w:tc>
          <w:tcPr>
            <w:tcW w:w="910" w:type="pct"/>
            <w:vAlign w:val="center"/>
          </w:tcPr>
          <w:p w14:paraId="1F4D8AD1" w14:textId="77777777" w:rsidR="00BB43EC" w:rsidRPr="00BB43EC" w:rsidRDefault="00BB43EC" w:rsidP="00813E59">
            <w:pPr>
              <w:keepNext/>
              <w:keepLines/>
              <w:jc w:val="center"/>
              <w:rPr>
                <w:sz w:val="22"/>
                <w:szCs w:val="22"/>
              </w:rPr>
            </w:pPr>
            <w:r w:rsidRPr="00BB43EC">
              <w:rPr>
                <w:sz w:val="22"/>
                <w:szCs w:val="22"/>
              </w:rPr>
              <w:t>no change</w:t>
            </w:r>
            <w:r w:rsidRPr="00BB43EC">
              <w:rPr>
                <w:sz w:val="22"/>
                <w:szCs w:val="22"/>
                <w:vertAlign w:val="superscript"/>
              </w:rPr>
              <w:t>d</w:t>
            </w:r>
          </w:p>
        </w:tc>
        <w:tc>
          <w:tcPr>
            <w:tcW w:w="909" w:type="pct"/>
            <w:vAlign w:val="center"/>
          </w:tcPr>
          <w:p w14:paraId="7CD3485E" w14:textId="77777777" w:rsidR="00BB43EC" w:rsidRPr="00BB43EC" w:rsidRDefault="00BB43EC" w:rsidP="00813E59">
            <w:pPr>
              <w:keepNext/>
              <w:keepLines/>
              <w:jc w:val="center"/>
              <w:rPr>
                <w:sz w:val="22"/>
                <w:szCs w:val="22"/>
              </w:rPr>
            </w:pPr>
            <w:r w:rsidRPr="00BB43EC">
              <w:rPr>
                <w:sz w:val="22"/>
                <w:szCs w:val="22"/>
              </w:rPr>
              <w:t>no change</w:t>
            </w:r>
            <w:r w:rsidRPr="00BB43EC">
              <w:rPr>
                <w:sz w:val="22"/>
                <w:szCs w:val="22"/>
                <w:vertAlign w:val="superscript"/>
              </w:rPr>
              <w:t>d</w:t>
            </w:r>
          </w:p>
        </w:tc>
      </w:tr>
    </w:tbl>
    <w:p w14:paraId="2D9487CA" w14:textId="77777777" w:rsidR="00BB43EC" w:rsidRPr="0061333F" w:rsidRDefault="00BB43EC" w:rsidP="00BB43EC">
      <w:pPr>
        <w:keepNext/>
        <w:keepLines/>
        <w:rPr>
          <w:sz w:val="20"/>
        </w:rPr>
      </w:pPr>
      <w:r w:rsidRPr="0061333F">
        <w:rPr>
          <w:sz w:val="20"/>
          <w:vertAlign w:val="superscript"/>
        </w:rPr>
        <w:t>a</w:t>
      </w:r>
      <w:r w:rsidRPr="0061333F">
        <w:rPr>
          <w:sz w:val="20"/>
        </w:rPr>
        <w:t xml:space="preserve"> </w:t>
      </w:r>
      <w:proofErr w:type="spellStart"/>
      <w:r w:rsidRPr="0061333F">
        <w:rPr>
          <w:sz w:val="20"/>
        </w:rPr>
        <w:t>Pseudotyped</w:t>
      </w:r>
      <w:proofErr w:type="spellEnd"/>
      <w:r w:rsidRPr="0061333F">
        <w:rPr>
          <w:sz w:val="20"/>
        </w:rPr>
        <w:t xml:space="preserve"> VLP expressing the entire variant spike protein was tested. The following changes from wild-type spike protein are found in the variant: del69-70, del145, N501Y, A570D, D614G, P681H, T716I, S982A, D1118H.</w:t>
      </w:r>
    </w:p>
    <w:p w14:paraId="362A1192" w14:textId="77777777" w:rsidR="00BB43EC" w:rsidRPr="0061333F" w:rsidRDefault="00BB43EC" w:rsidP="00BB43EC">
      <w:pPr>
        <w:keepNext/>
        <w:keepLines/>
        <w:rPr>
          <w:sz w:val="20"/>
        </w:rPr>
      </w:pPr>
      <w:r w:rsidRPr="0061333F">
        <w:rPr>
          <w:sz w:val="20"/>
          <w:vertAlign w:val="superscript"/>
        </w:rPr>
        <w:t>b</w:t>
      </w:r>
      <w:r w:rsidRPr="0061333F">
        <w:rPr>
          <w:sz w:val="20"/>
        </w:rPr>
        <w:t xml:space="preserve"> </w:t>
      </w:r>
      <w:proofErr w:type="spellStart"/>
      <w:r w:rsidRPr="0061333F">
        <w:rPr>
          <w:sz w:val="20"/>
        </w:rPr>
        <w:t>Pseudotyped</w:t>
      </w:r>
      <w:proofErr w:type="spellEnd"/>
      <w:r w:rsidRPr="0061333F">
        <w:rPr>
          <w:sz w:val="20"/>
        </w:rPr>
        <w:t xml:space="preserve"> VLP expressing the entire variant spike protein was tested. The following changes from wild-type spike protein are found in the variant: D80Y, D215Y, del241-243, K417N, E484K, N501Y, D614G, A701V.</w:t>
      </w:r>
    </w:p>
    <w:p w14:paraId="06F0E8EE" w14:textId="77777777" w:rsidR="00BB43EC" w:rsidRPr="0061333F" w:rsidRDefault="00BB43EC" w:rsidP="00BB43EC">
      <w:pPr>
        <w:keepNext/>
        <w:keepLines/>
        <w:rPr>
          <w:sz w:val="20"/>
        </w:rPr>
      </w:pPr>
      <w:r w:rsidRPr="0061333F">
        <w:rPr>
          <w:sz w:val="20"/>
          <w:vertAlign w:val="superscript"/>
        </w:rPr>
        <w:t>c</w:t>
      </w:r>
      <w:r w:rsidRPr="0061333F">
        <w:rPr>
          <w:sz w:val="20"/>
        </w:rPr>
        <w:t xml:space="preserve"> </w:t>
      </w:r>
      <w:proofErr w:type="spellStart"/>
      <w:r w:rsidRPr="0061333F">
        <w:rPr>
          <w:sz w:val="20"/>
        </w:rPr>
        <w:t>Pseudotyped</w:t>
      </w:r>
      <w:proofErr w:type="spellEnd"/>
      <w:r w:rsidRPr="0061333F">
        <w:rPr>
          <w:sz w:val="20"/>
        </w:rPr>
        <w:t xml:space="preserve"> VLP expressing the entire variant spike protein was tested. The following changes from wild-type spike protein are found in the variant: L18F, T20N, P26S, D138Y, R190S, K417T, E484K, N501Y, D614G, H655Y, T1027I, V1176F</w:t>
      </w:r>
    </w:p>
    <w:p w14:paraId="6324B299" w14:textId="77777777" w:rsidR="00BB43EC" w:rsidRPr="0061333F" w:rsidRDefault="00BB43EC" w:rsidP="00BB43EC">
      <w:pPr>
        <w:keepNext/>
        <w:keepLines/>
        <w:rPr>
          <w:sz w:val="20"/>
        </w:rPr>
      </w:pPr>
      <w:r w:rsidRPr="0061333F">
        <w:rPr>
          <w:sz w:val="20"/>
          <w:vertAlign w:val="superscript"/>
        </w:rPr>
        <w:t>d</w:t>
      </w:r>
      <w:r w:rsidRPr="0061333F">
        <w:rPr>
          <w:sz w:val="20"/>
        </w:rPr>
        <w:t xml:space="preserve"> No change: ≤ 5-fold reduction in susceptibility.</w:t>
      </w:r>
    </w:p>
    <w:p w14:paraId="11E48402" w14:textId="77777777" w:rsidR="00BB43EC" w:rsidRPr="0061333F" w:rsidRDefault="00BB43EC" w:rsidP="00BB43EC">
      <w:pPr>
        <w:keepNext/>
        <w:keepLines/>
        <w:rPr>
          <w:sz w:val="20"/>
        </w:rPr>
      </w:pPr>
      <w:r w:rsidRPr="0061333F">
        <w:rPr>
          <w:sz w:val="20"/>
          <w:vertAlign w:val="superscript"/>
        </w:rPr>
        <w:t>e</w:t>
      </w:r>
      <w:r w:rsidRPr="0061333F">
        <w:rPr>
          <w:sz w:val="20"/>
        </w:rPr>
        <w:t xml:space="preserve"> Not all isolates of the New York lineage </w:t>
      </w:r>
      <w:proofErr w:type="spellStart"/>
      <w:r w:rsidRPr="0061333F">
        <w:rPr>
          <w:sz w:val="20"/>
        </w:rPr>
        <w:t>harbor</w:t>
      </w:r>
      <w:proofErr w:type="spellEnd"/>
      <w:r w:rsidRPr="0061333F">
        <w:rPr>
          <w:sz w:val="20"/>
        </w:rPr>
        <w:t xml:space="preserve"> the E484K substitution (as of February 2021).</w:t>
      </w:r>
    </w:p>
    <w:p w14:paraId="06A8EDD6" w14:textId="77777777" w:rsidR="00BB43EC" w:rsidRPr="0061333F" w:rsidRDefault="00BB43EC" w:rsidP="00BB43EC">
      <w:pPr>
        <w:pStyle w:val="CommentText"/>
        <w:keepNext/>
        <w:keepLines/>
      </w:pPr>
      <w:r w:rsidRPr="0061333F">
        <w:t xml:space="preserve">*Variants of interest/concern as defined by the </w:t>
      </w:r>
      <w:proofErr w:type="spellStart"/>
      <w:r w:rsidRPr="0061333F">
        <w:t>Centers</w:t>
      </w:r>
      <w:proofErr w:type="spellEnd"/>
      <w:r w:rsidRPr="0061333F">
        <w:t xml:space="preserve"> for Disease Control and Prevention (CDC, 2021) {https://www.cdc.gov/coronavirus/2019-ncov/variants/variant-info.html}</w:t>
      </w:r>
    </w:p>
    <w:p w14:paraId="19B8EB8F" w14:textId="77777777" w:rsidR="00BB43EC" w:rsidRPr="004663D3" w:rsidRDefault="00BB43EC" w:rsidP="00BB43EC"/>
    <w:p w14:paraId="663184FE" w14:textId="77777777" w:rsidR="00BB43EC" w:rsidRPr="004663D3" w:rsidRDefault="00BB43EC" w:rsidP="00BB43EC">
      <w:pPr>
        <w:pStyle w:val="C-BodyText"/>
        <w:spacing w:before="0" w:after="0"/>
        <w:rPr>
          <w:szCs w:val="24"/>
        </w:rPr>
      </w:pPr>
      <w:r w:rsidRPr="004663D3">
        <w:rPr>
          <w:szCs w:val="24"/>
        </w:rPr>
        <w:t>See Table 6</w:t>
      </w:r>
      <w:r w:rsidRPr="004663D3">
        <w:rPr>
          <w:color w:val="0000FF"/>
          <w:szCs w:val="24"/>
        </w:rPr>
        <w:t xml:space="preserve"> </w:t>
      </w:r>
      <w:r w:rsidRPr="004663D3">
        <w:rPr>
          <w:szCs w:val="24"/>
        </w:rPr>
        <w:t xml:space="preserve">for a comprehensive list of authentic SARS-CoV-2 Variants of Concern/Interest assessed for susceptibility to </w:t>
      </w:r>
      <w:proofErr w:type="spellStart"/>
      <w:r w:rsidRPr="004663D3">
        <w:rPr>
          <w:szCs w:val="24"/>
        </w:rPr>
        <w:t>casirivimab</w:t>
      </w:r>
      <w:proofErr w:type="spellEnd"/>
      <w:r w:rsidRPr="004663D3">
        <w:rPr>
          <w:szCs w:val="24"/>
        </w:rPr>
        <w:t xml:space="preserve"> and </w:t>
      </w:r>
      <w:proofErr w:type="spellStart"/>
      <w:r w:rsidRPr="004663D3">
        <w:rPr>
          <w:szCs w:val="24"/>
        </w:rPr>
        <w:t>imdevimab</w:t>
      </w:r>
      <w:proofErr w:type="spellEnd"/>
      <w:r w:rsidRPr="004663D3">
        <w:rPr>
          <w:szCs w:val="24"/>
        </w:rPr>
        <w:t xml:space="preserve"> alone and together.</w:t>
      </w:r>
    </w:p>
    <w:p w14:paraId="14C7FF62" w14:textId="3F4AD537" w:rsidR="00BB43EC" w:rsidRDefault="00BB43EC" w:rsidP="00BB43EC">
      <w:pPr>
        <w:pStyle w:val="C-BodyText"/>
        <w:spacing w:before="0" w:after="0"/>
        <w:rPr>
          <w:szCs w:val="24"/>
        </w:rPr>
      </w:pPr>
    </w:p>
    <w:p w14:paraId="579D16C9" w14:textId="77777777" w:rsidR="00BB43EC" w:rsidRPr="004663D3" w:rsidRDefault="00BB43EC" w:rsidP="00BB43EC">
      <w:pPr>
        <w:pStyle w:val="C-TableHeader"/>
        <w:spacing w:before="0" w:after="120"/>
        <w:ind w:left="900" w:hanging="900"/>
        <w:rPr>
          <w:sz w:val="24"/>
          <w:szCs w:val="24"/>
        </w:rPr>
      </w:pPr>
      <w:bookmarkStart w:id="6" w:name="_Ref75515948"/>
      <w:r w:rsidRPr="004663D3">
        <w:rPr>
          <w:sz w:val="24"/>
          <w:szCs w:val="24"/>
        </w:rPr>
        <w:lastRenderedPageBreak/>
        <w:t xml:space="preserve">Table </w:t>
      </w:r>
      <w:bookmarkEnd w:id="6"/>
      <w:r w:rsidRPr="004663D3">
        <w:rPr>
          <w:sz w:val="24"/>
          <w:szCs w:val="24"/>
        </w:rPr>
        <w:t>6:</w:t>
      </w:r>
      <w:r w:rsidRPr="004663D3">
        <w:rPr>
          <w:sz w:val="24"/>
          <w:szCs w:val="24"/>
        </w:rPr>
        <w:tab/>
      </w:r>
      <w:proofErr w:type="spellStart"/>
      <w:r w:rsidRPr="007535E3">
        <w:rPr>
          <w:sz w:val="24"/>
          <w:szCs w:val="24"/>
        </w:rPr>
        <w:t>Neutralisation</w:t>
      </w:r>
      <w:proofErr w:type="spellEnd"/>
      <w:r w:rsidRPr="007535E3">
        <w:rPr>
          <w:sz w:val="24"/>
          <w:szCs w:val="24"/>
        </w:rPr>
        <w:t xml:space="preserve"> data</w:t>
      </w:r>
      <w:r w:rsidRPr="004663D3">
        <w:rPr>
          <w:sz w:val="24"/>
          <w:szCs w:val="24"/>
        </w:rPr>
        <w:t xml:space="preserve"> for authentic SARS-CoV-2 </w:t>
      </w:r>
      <w:r>
        <w:rPr>
          <w:sz w:val="24"/>
          <w:szCs w:val="24"/>
        </w:rPr>
        <w:t>v</w:t>
      </w:r>
      <w:r w:rsidRPr="004663D3">
        <w:rPr>
          <w:sz w:val="24"/>
          <w:szCs w:val="24"/>
        </w:rPr>
        <w:t xml:space="preserve">ariants with </w:t>
      </w:r>
      <w:proofErr w:type="spellStart"/>
      <w:r w:rsidRPr="004663D3">
        <w:rPr>
          <w:sz w:val="24"/>
          <w:szCs w:val="24"/>
        </w:rPr>
        <w:t>casirivimab</w:t>
      </w:r>
      <w:proofErr w:type="spellEnd"/>
      <w:r w:rsidRPr="004663D3">
        <w:rPr>
          <w:sz w:val="24"/>
          <w:szCs w:val="24"/>
        </w:rPr>
        <w:t xml:space="preserve"> and </w:t>
      </w:r>
      <w:proofErr w:type="spellStart"/>
      <w:r w:rsidRPr="004663D3">
        <w:rPr>
          <w:sz w:val="24"/>
          <w:szCs w:val="24"/>
        </w:rPr>
        <w:t>i</w:t>
      </w:r>
      <w:r>
        <w:rPr>
          <w:sz w:val="24"/>
          <w:szCs w:val="24"/>
        </w:rPr>
        <w:t>mdevimab</w:t>
      </w:r>
      <w:proofErr w:type="spellEnd"/>
      <w:r>
        <w:rPr>
          <w:sz w:val="24"/>
          <w:szCs w:val="24"/>
        </w:rPr>
        <w:t xml:space="preserve"> a</w:t>
      </w:r>
      <w:r w:rsidRPr="004663D3">
        <w:rPr>
          <w:sz w:val="24"/>
          <w:szCs w:val="24"/>
        </w:rPr>
        <w:t xml:space="preserve">lone or </w:t>
      </w:r>
      <w:r>
        <w:rPr>
          <w:sz w:val="24"/>
          <w:szCs w:val="24"/>
        </w:rPr>
        <w:t>t</w:t>
      </w:r>
      <w:r w:rsidRPr="004663D3">
        <w:rPr>
          <w:sz w:val="24"/>
          <w:szCs w:val="24"/>
        </w:rPr>
        <w:t>ogether</w:t>
      </w:r>
    </w:p>
    <w:tbl>
      <w:tblPr>
        <w:tblStyle w:val="TableGrid3"/>
        <w:tblW w:w="5000" w:type="pct"/>
        <w:tblLook w:val="04A0" w:firstRow="1" w:lastRow="0" w:firstColumn="1" w:lastColumn="0" w:noHBand="0" w:noVBand="1"/>
      </w:tblPr>
      <w:tblGrid>
        <w:gridCol w:w="2195"/>
        <w:gridCol w:w="2447"/>
        <w:gridCol w:w="2445"/>
        <w:gridCol w:w="2443"/>
      </w:tblGrid>
      <w:tr w:rsidR="00BB43EC" w:rsidRPr="00BB43EC" w14:paraId="10DD8DA9" w14:textId="77777777" w:rsidTr="00813E59">
        <w:tc>
          <w:tcPr>
            <w:tcW w:w="1151" w:type="pct"/>
            <w:vAlign w:val="center"/>
          </w:tcPr>
          <w:p w14:paraId="40800219" w14:textId="77777777" w:rsidR="00BB43EC" w:rsidRPr="00BB43EC" w:rsidRDefault="00BB43EC" w:rsidP="00813E59">
            <w:pPr>
              <w:jc w:val="center"/>
              <w:rPr>
                <w:b/>
                <w:sz w:val="22"/>
                <w:szCs w:val="22"/>
                <w:lang w:eastAsia="zh-CN"/>
              </w:rPr>
            </w:pPr>
            <w:r w:rsidRPr="00BB43EC">
              <w:rPr>
                <w:b/>
                <w:sz w:val="22"/>
                <w:szCs w:val="22"/>
                <w:lang w:eastAsia="zh-CN"/>
              </w:rPr>
              <w:t>Lineage with Spike Protein Substitution</w:t>
            </w:r>
          </w:p>
        </w:tc>
        <w:tc>
          <w:tcPr>
            <w:tcW w:w="1284" w:type="pct"/>
            <w:vAlign w:val="center"/>
          </w:tcPr>
          <w:p w14:paraId="09DD5433" w14:textId="77777777" w:rsidR="00BB43EC" w:rsidRPr="00BB43EC" w:rsidRDefault="00BB43EC" w:rsidP="00813E59">
            <w:pPr>
              <w:jc w:val="center"/>
              <w:rPr>
                <w:b/>
                <w:sz w:val="22"/>
                <w:szCs w:val="22"/>
                <w:lang w:eastAsia="zh-CN"/>
              </w:rPr>
            </w:pPr>
            <w:r w:rsidRPr="00BB43EC">
              <w:rPr>
                <w:b/>
                <w:sz w:val="22"/>
                <w:szCs w:val="22"/>
                <w:lang w:eastAsia="zh-CN"/>
              </w:rPr>
              <w:t xml:space="preserve">Reduced Susceptibility to </w:t>
            </w:r>
            <w:proofErr w:type="spellStart"/>
            <w:r w:rsidRPr="00BB43EC">
              <w:rPr>
                <w:b/>
                <w:sz w:val="22"/>
                <w:szCs w:val="22"/>
                <w:lang w:eastAsia="zh-CN"/>
              </w:rPr>
              <w:t>casirivimab</w:t>
            </w:r>
            <w:proofErr w:type="spellEnd"/>
            <w:r w:rsidRPr="00BB43EC">
              <w:rPr>
                <w:b/>
                <w:sz w:val="22"/>
                <w:szCs w:val="22"/>
                <w:lang w:eastAsia="zh-CN"/>
              </w:rPr>
              <w:t xml:space="preserve"> and </w:t>
            </w:r>
            <w:proofErr w:type="spellStart"/>
            <w:r w:rsidRPr="00BB43EC">
              <w:rPr>
                <w:b/>
                <w:sz w:val="22"/>
                <w:szCs w:val="22"/>
                <w:lang w:eastAsia="zh-CN"/>
              </w:rPr>
              <w:t>imdevimab</w:t>
            </w:r>
            <w:proofErr w:type="spellEnd"/>
            <w:r w:rsidRPr="00BB43EC">
              <w:rPr>
                <w:b/>
                <w:sz w:val="22"/>
                <w:szCs w:val="22"/>
                <w:lang w:eastAsia="zh-CN"/>
              </w:rPr>
              <w:t xml:space="preserve"> Together</w:t>
            </w:r>
          </w:p>
        </w:tc>
        <w:tc>
          <w:tcPr>
            <w:tcW w:w="1283" w:type="pct"/>
            <w:vAlign w:val="center"/>
          </w:tcPr>
          <w:p w14:paraId="0AF3D736" w14:textId="77777777" w:rsidR="00BB43EC" w:rsidRPr="00BB43EC" w:rsidRDefault="00BB43EC" w:rsidP="00813E59">
            <w:pPr>
              <w:jc w:val="center"/>
              <w:rPr>
                <w:b/>
                <w:sz w:val="22"/>
                <w:szCs w:val="22"/>
                <w:lang w:eastAsia="zh-CN"/>
              </w:rPr>
            </w:pPr>
            <w:r w:rsidRPr="00BB43EC">
              <w:rPr>
                <w:b/>
                <w:sz w:val="22"/>
                <w:szCs w:val="22"/>
                <w:lang w:eastAsia="zh-CN"/>
              </w:rPr>
              <w:t xml:space="preserve">Reduced Susceptibility to </w:t>
            </w:r>
            <w:proofErr w:type="spellStart"/>
            <w:r w:rsidRPr="00BB43EC">
              <w:rPr>
                <w:b/>
                <w:sz w:val="22"/>
                <w:szCs w:val="22"/>
                <w:lang w:eastAsia="zh-CN"/>
              </w:rPr>
              <w:t>casirivimab</w:t>
            </w:r>
            <w:proofErr w:type="spellEnd"/>
            <w:r w:rsidRPr="00BB43EC">
              <w:rPr>
                <w:b/>
                <w:sz w:val="22"/>
                <w:szCs w:val="22"/>
                <w:lang w:eastAsia="zh-CN"/>
              </w:rPr>
              <w:t xml:space="preserve"> Alone</w:t>
            </w:r>
          </w:p>
        </w:tc>
        <w:tc>
          <w:tcPr>
            <w:tcW w:w="1283" w:type="pct"/>
            <w:vAlign w:val="center"/>
          </w:tcPr>
          <w:p w14:paraId="4793EC50" w14:textId="77777777" w:rsidR="00BB43EC" w:rsidRPr="00BB43EC" w:rsidRDefault="00BB43EC" w:rsidP="00813E59">
            <w:pPr>
              <w:jc w:val="center"/>
              <w:rPr>
                <w:b/>
                <w:sz w:val="22"/>
                <w:szCs w:val="22"/>
                <w:lang w:eastAsia="zh-CN"/>
              </w:rPr>
            </w:pPr>
            <w:r w:rsidRPr="00BB43EC">
              <w:rPr>
                <w:b/>
                <w:sz w:val="22"/>
                <w:szCs w:val="22"/>
                <w:lang w:eastAsia="zh-CN"/>
              </w:rPr>
              <w:t xml:space="preserve">Reduced Susceptibility to </w:t>
            </w:r>
            <w:proofErr w:type="spellStart"/>
            <w:r w:rsidRPr="00BB43EC">
              <w:rPr>
                <w:b/>
                <w:sz w:val="22"/>
                <w:szCs w:val="22"/>
                <w:lang w:eastAsia="zh-CN"/>
              </w:rPr>
              <w:t>imdevimab</w:t>
            </w:r>
            <w:proofErr w:type="spellEnd"/>
            <w:r w:rsidRPr="00BB43EC">
              <w:rPr>
                <w:b/>
                <w:sz w:val="22"/>
                <w:szCs w:val="22"/>
                <w:lang w:eastAsia="zh-CN"/>
              </w:rPr>
              <w:t xml:space="preserve"> Alone</w:t>
            </w:r>
          </w:p>
        </w:tc>
      </w:tr>
      <w:tr w:rsidR="00BB43EC" w:rsidRPr="00BB43EC" w14:paraId="666A4D68" w14:textId="77777777" w:rsidTr="00813E59">
        <w:tc>
          <w:tcPr>
            <w:tcW w:w="1151" w:type="pct"/>
            <w:vAlign w:val="center"/>
          </w:tcPr>
          <w:p w14:paraId="1E9042A5" w14:textId="77777777" w:rsidR="00BB43EC" w:rsidRPr="00BB43EC" w:rsidRDefault="00BB43EC" w:rsidP="00813E59">
            <w:pPr>
              <w:jc w:val="center"/>
              <w:rPr>
                <w:sz w:val="22"/>
                <w:szCs w:val="22"/>
                <w:lang w:eastAsia="zh-CN"/>
              </w:rPr>
            </w:pPr>
            <w:r w:rsidRPr="00BB43EC">
              <w:rPr>
                <w:sz w:val="22"/>
                <w:szCs w:val="22"/>
                <w:lang w:eastAsia="zh-CN"/>
              </w:rPr>
              <w:t>B.1.1.7 (UK origin/alpha)</w:t>
            </w:r>
          </w:p>
        </w:tc>
        <w:tc>
          <w:tcPr>
            <w:tcW w:w="1284" w:type="pct"/>
            <w:vAlign w:val="center"/>
          </w:tcPr>
          <w:p w14:paraId="1F597AE7" w14:textId="77777777" w:rsidR="00BB43EC" w:rsidRPr="00BB43EC" w:rsidRDefault="00BB43EC" w:rsidP="00813E59">
            <w:pPr>
              <w:jc w:val="center"/>
              <w:rPr>
                <w:sz w:val="22"/>
                <w:szCs w:val="22"/>
                <w:lang w:eastAsia="zh-CN"/>
              </w:rPr>
            </w:pPr>
            <w:r w:rsidRPr="00BB43EC">
              <w:rPr>
                <w:sz w:val="22"/>
                <w:szCs w:val="22"/>
                <w:lang w:eastAsia="zh-CN"/>
              </w:rPr>
              <w:t xml:space="preserve">no </w:t>
            </w:r>
            <w:proofErr w:type="spellStart"/>
            <w:r w:rsidRPr="00BB43EC">
              <w:rPr>
                <w:sz w:val="22"/>
                <w:szCs w:val="22"/>
                <w:lang w:eastAsia="zh-CN"/>
              </w:rPr>
              <w:t>change</w:t>
            </w:r>
            <w:r w:rsidRPr="00BB43EC">
              <w:rPr>
                <w:sz w:val="22"/>
                <w:szCs w:val="22"/>
                <w:vertAlign w:val="superscript"/>
                <w:lang w:eastAsia="zh-CN"/>
              </w:rPr>
              <w:t>a</w:t>
            </w:r>
            <w:proofErr w:type="spellEnd"/>
          </w:p>
        </w:tc>
        <w:tc>
          <w:tcPr>
            <w:tcW w:w="1283" w:type="pct"/>
            <w:vAlign w:val="center"/>
          </w:tcPr>
          <w:p w14:paraId="46CCA3EB" w14:textId="77777777" w:rsidR="00BB43EC" w:rsidRPr="00BB43EC" w:rsidRDefault="00BB43EC" w:rsidP="00813E59">
            <w:pPr>
              <w:jc w:val="center"/>
              <w:rPr>
                <w:sz w:val="22"/>
                <w:szCs w:val="22"/>
                <w:lang w:eastAsia="zh-CN"/>
              </w:rPr>
            </w:pPr>
            <w:r w:rsidRPr="00BB43EC">
              <w:rPr>
                <w:sz w:val="22"/>
                <w:szCs w:val="22"/>
                <w:lang w:eastAsia="zh-CN"/>
              </w:rPr>
              <w:t xml:space="preserve">no </w:t>
            </w:r>
            <w:proofErr w:type="spellStart"/>
            <w:r w:rsidRPr="00BB43EC">
              <w:rPr>
                <w:sz w:val="22"/>
                <w:szCs w:val="22"/>
                <w:lang w:eastAsia="zh-CN"/>
              </w:rPr>
              <w:t>change</w:t>
            </w:r>
            <w:r w:rsidRPr="00BB43EC">
              <w:rPr>
                <w:sz w:val="22"/>
                <w:szCs w:val="22"/>
                <w:vertAlign w:val="superscript"/>
                <w:lang w:eastAsia="zh-CN"/>
              </w:rPr>
              <w:t>a</w:t>
            </w:r>
            <w:proofErr w:type="spellEnd"/>
          </w:p>
        </w:tc>
        <w:tc>
          <w:tcPr>
            <w:tcW w:w="1283" w:type="pct"/>
            <w:vAlign w:val="center"/>
          </w:tcPr>
          <w:p w14:paraId="33B94A76" w14:textId="77777777" w:rsidR="00BB43EC" w:rsidRPr="00BB43EC" w:rsidRDefault="00BB43EC" w:rsidP="00813E59">
            <w:pPr>
              <w:jc w:val="center"/>
              <w:rPr>
                <w:sz w:val="22"/>
                <w:szCs w:val="22"/>
                <w:lang w:eastAsia="zh-CN"/>
              </w:rPr>
            </w:pPr>
            <w:r w:rsidRPr="00BB43EC">
              <w:rPr>
                <w:sz w:val="22"/>
                <w:szCs w:val="22"/>
                <w:lang w:eastAsia="zh-CN"/>
              </w:rPr>
              <w:t xml:space="preserve">no </w:t>
            </w:r>
            <w:proofErr w:type="spellStart"/>
            <w:r w:rsidRPr="00BB43EC">
              <w:rPr>
                <w:sz w:val="22"/>
                <w:szCs w:val="22"/>
                <w:lang w:eastAsia="zh-CN"/>
              </w:rPr>
              <w:t>change</w:t>
            </w:r>
            <w:r w:rsidRPr="00BB43EC">
              <w:rPr>
                <w:sz w:val="22"/>
                <w:szCs w:val="22"/>
                <w:vertAlign w:val="superscript"/>
                <w:lang w:eastAsia="zh-CN"/>
              </w:rPr>
              <w:t>a</w:t>
            </w:r>
            <w:proofErr w:type="spellEnd"/>
          </w:p>
        </w:tc>
      </w:tr>
      <w:tr w:rsidR="00BB43EC" w:rsidRPr="00BB43EC" w14:paraId="3C137A27" w14:textId="77777777" w:rsidTr="00813E59">
        <w:trPr>
          <w:trHeight w:val="107"/>
        </w:trPr>
        <w:tc>
          <w:tcPr>
            <w:tcW w:w="1151" w:type="pct"/>
            <w:vAlign w:val="center"/>
          </w:tcPr>
          <w:p w14:paraId="172885FF" w14:textId="77777777" w:rsidR="00BB43EC" w:rsidRPr="00BB43EC" w:rsidRDefault="00BB43EC" w:rsidP="00813E59">
            <w:pPr>
              <w:jc w:val="center"/>
              <w:rPr>
                <w:sz w:val="22"/>
                <w:szCs w:val="22"/>
                <w:lang w:eastAsia="zh-CN"/>
              </w:rPr>
            </w:pPr>
            <w:r w:rsidRPr="00BB43EC">
              <w:rPr>
                <w:sz w:val="22"/>
                <w:szCs w:val="22"/>
                <w:lang w:eastAsia="zh-CN"/>
              </w:rPr>
              <w:t>B.1.351 (South Africa origin/beta)</w:t>
            </w:r>
          </w:p>
        </w:tc>
        <w:tc>
          <w:tcPr>
            <w:tcW w:w="1284" w:type="pct"/>
            <w:vAlign w:val="center"/>
          </w:tcPr>
          <w:p w14:paraId="08A93ABE" w14:textId="77777777" w:rsidR="00BB43EC" w:rsidRPr="00BB43EC" w:rsidRDefault="00BB43EC" w:rsidP="00813E59">
            <w:pPr>
              <w:jc w:val="center"/>
              <w:rPr>
                <w:sz w:val="22"/>
                <w:szCs w:val="22"/>
                <w:lang w:eastAsia="zh-CN"/>
              </w:rPr>
            </w:pPr>
            <w:r w:rsidRPr="00BB43EC">
              <w:rPr>
                <w:sz w:val="22"/>
                <w:szCs w:val="22"/>
                <w:lang w:eastAsia="zh-CN"/>
              </w:rPr>
              <w:t xml:space="preserve">no </w:t>
            </w:r>
            <w:proofErr w:type="spellStart"/>
            <w:r w:rsidRPr="00BB43EC">
              <w:rPr>
                <w:sz w:val="22"/>
                <w:szCs w:val="22"/>
                <w:lang w:eastAsia="zh-CN"/>
              </w:rPr>
              <w:t>change</w:t>
            </w:r>
            <w:r w:rsidRPr="00BB43EC">
              <w:rPr>
                <w:sz w:val="22"/>
                <w:szCs w:val="22"/>
                <w:vertAlign w:val="superscript"/>
                <w:lang w:eastAsia="zh-CN"/>
              </w:rPr>
              <w:t>a</w:t>
            </w:r>
            <w:proofErr w:type="spellEnd"/>
          </w:p>
        </w:tc>
        <w:tc>
          <w:tcPr>
            <w:tcW w:w="1283" w:type="pct"/>
            <w:vAlign w:val="center"/>
          </w:tcPr>
          <w:p w14:paraId="5F3F39DA" w14:textId="77777777" w:rsidR="00BB43EC" w:rsidRPr="00BB43EC" w:rsidRDefault="00BB43EC" w:rsidP="00813E59">
            <w:pPr>
              <w:jc w:val="center"/>
              <w:rPr>
                <w:sz w:val="22"/>
                <w:szCs w:val="22"/>
                <w:lang w:eastAsia="zh-CN"/>
              </w:rPr>
            </w:pPr>
            <w:r w:rsidRPr="00BB43EC">
              <w:rPr>
                <w:sz w:val="22"/>
                <w:szCs w:val="22"/>
                <w:lang w:eastAsia="zh-CN"/>
              </w:rPr>
              <w:t>5-fold</w:t>
            </w:r>
          </w:p>
        </w:tc>
        <w:tc>
          <w:tcPr>
            <w:tcW w:w="1283" w:type="pct"/>
            <w:vAlign w:val="center"/>
          </w:tcPr>
          <w:p w14:paraId="179B4E31" w14:textId="77777777" w:rsidR="00BB43EC" w:rsidRPr="00BB43EC" w:rsidRDefault="00BB43EC" w:rsidP="00813E59">
            <w:pPr>
              <w:jc w:val="center"/>
              <w:rPr>
                <w:sz w:val="22"/>
                <w:szCs w:val="22"/>
                <w:lang w:eastAsia="zh-CN"/>
              </w:rPr>
            </w:pPr>
            <w:r w:rsidRPr="00BB43EC">
              <w:rPr>
                <w:sz w:val="22"/>
                <w:szCs w:val="22"/>
                <w:lang w:eastAsia="zh-CN"/>
              </w:rPr>
              <w:t xml:space="preserve">no </w:t>
            </w:r>
            <w:proofErr w:type="spellStart"/>
            <w:r w:rsidRPr="00BB43EC">
              <w:rPr>
                <w:sz w:val="22"/>
                <w:szCs w:val="22"/>
                <w:lang w:eastAsia="zh-CN"/>
              </w:rPr>
              <w:t>change</w:t>
            </w:r>
            <w:r w:rsidRPr="00BB43EC">
              <w:rPr>
                <w:sz w:val="22"/>
                <w:szCs w:val="22"/>
                <w:vertAlign w:val="superscript"/>
                <w:lang w:eastAsia="zh-CN"/>
              </w:rPr>
              <w:t>a</w:t>
            </w:r>
            <w:proofErr w:type="spellEnd"/>
          </w:p>
        </w:tc>
      </w:tr>
      <w:tr w:rsidR="00BB43EC" w:rsidRPr="00BB43EC" w14:paraId="409DECC0" w14:textId="77777777" w:rsidTr="00813E59">
        <w:trPr>
          <w:trHeight w:val="233"/>
        </w:trPr>
        <w:tc>
          <w:tcPr>
            <w:tcW w:w="1151" w:type="pct"/>
            <w:vAlign w:val="center"/>
          </w:tcPr>
          <w:p w14:paraId="52420787" w14:textId="77777777" w:rsidR="00BB43EC" w:rsidRPr="00BB43EC" w:rsidRDefault="00BB43EC" w:rsidP="00813E59">
            <w:pPr>
              <w:jc w:val="center"/>
              <w:rPr>
                <w:sz w:val="22"/>
                <w:szCs w:val="22"/>
                <w:lang w:val="it-IT" w:eastAsia="zh-CN"/>
              </w:rPr>
            </w:pPr>
            <w:r w:rsidRPr="00BB43EC">
              <w:rPr>
                <w:sz w:val="22"/>
                <w:szCs w:val="22"/>
                <w:lang w:val="it-IT" w:eastAsia="zh-CN"/>
              </w:rPr>
              <w:t>B.1.617.1 (India origin/Kappa)</w:t>
            </w:r>
          </w:p>
        </w:tc>
        <w:tc>
          <w:tcPr>
            <w:tcW w:w="1284" w:type="pct"/>
            <w:vAlign w:val="center"/>
          </w:tcPr>
          <w:p w14:paraId="4A27AC52" w14:textId="77777777" w:rsidR="00BB43EC" w:rsidRPr="00BB43EC" w:rsidRDefault="00BB43EC" w:rsidP="00813E59">
            <w:pPr>
              <w:jc w:val="center"/>
              <w:rPr>
                <w:sz w:val="22"/>
                <w:szCs w:val="22"/>
                <w:lang w:eastAsia="zh-CN"/>
              </w:rPr>
            </w:pPr>
            <w:r w:rsidRPr="00BB43EC">
              <w:rPr>
                <w:sz w:val="22"/>
                <w:szCs w:val="22"/>
                <w:lang w:eastAsia="zh-CN"/>
              </w:rPr>
              <w:t xml:space="preserve">no </w:t>
            </w:r>
            <w:proofErr w:type="spellStart"/>
            <w:r w:rsidRPr="00BB43EC">
              <w:rPr>
                <w:sz w:val="22"/>
                <w:szCs w:val="22"/>
                <w:lang w:eastAsia="zh-CN"/>
              </w:rPr>
              <w:t>change</w:t>
            </w:r>
            <w:r w:rsidRPr="00BB43EC">
              <w:rPr>
                <w:sz w:val="22"/>
                <w:szCs w:val="22"/>
                <w:vertAlign w:val="superscript"/>
                <w:lang w:eastAsia="zh-CN"/>
              </w:rPr>
              <w:t>a</w:t>
            </w:r>
            <w:proofErr w:type="spellEnd"/>
          </w:p>
        </w:tc>
        <w:tc>
          <w:tcPr>
            <w:tcW w:w="1283" w:type="pct"/>
            <w:vAlign w:val="center"/>
          </w:tcPr>
          <w:p w14:paraId="6F0A9D4E" w14:textId="77777777" w:rsidR="00BB43EC" w:rsidRPr="00BB43EC" w:rsidRDefault="00BB43EC" w:rsidP="00813E59">
            <w:pPr>
              <w:jc w:val="center"/>
              <w:rPr>
                <w:sz w:val="22"/>
                <w:szCs w:val="22"/>
                <w:lang w:eastAsia="zh-CN"/>
              </w:rPr>
            </w:pPr>
            <w:r w:rsidRPr="00BB43EC">
              <w:rPr>
                <w:sz w:val="22"/>
                <w:szCs w:val="22"/>
                <w:lang w:eastAsia="zh-CN"/>
              </w:rPr>
              <w:t>6-fold</w:t>
            </w:r>
          </w:p>
        </w:tc>
        <w:tc>
          <w:tcPr>
            <w:tcW w:w="1283" w:type="pct"/>
            <w:vAlign w:val="center"/>
          </w:tcPr>
          <w:p w14:paraId="0541992C" w14:textId="77777777" w:rsidR="00BB43EC" w:rsidRPr="00BB43EC" w:rsidRDefault="00BB43EC" w:rsidP="00813E59">
            <w:pPr>
              <w:jc w:val="center"/>
              <w:rPr>
                <w:sz w:val="22"/>
                <w:szCs w:val="22"/>
                <w:lang w:eastAsia="zh-CN"/>
              </w:rPr>
            </w:pPr>
            <w:r w:rsidRPr="00BB43EC">
              <w:rPr>
                <w:sz w:val="22"/>
                <w:szCs w:val="22"/>
                <w:lang w:eastAsia="zh-CN"/>
              </w:rPr>
              <w:t xml:space="preserve">no </w:t>
            </w:r>
            <w:proofErr w:type="spellStart"/>
            <w:r w:rsidRPr="00BB43EC">
              <w:rPr>
                <w:sz w:val="22"/>
                <w:szCs w:val="22"/>
                <w:lang w:eastAsia="zh-CN"/>
              </w:rPr>
              <w:t>change</w:t>
            </w:r>
            <w:r w:rsidRPr="00BB43EC">
              <w:rPr>
                <w:sz w:val="22"/>
                <w:szCs w:val="22"/>
                <w:vertAlign w:val="superscript"/>
                <w:lang w:eastAsia="zh-CN"/>
              </w:rPr>
              <w:t>a</w:t>
            </w:r>
            <w:proofErr w:type="spellEnd"/>
          </w:p>
        </w:tc>
      </w:tr>
    </w:tbl>
    <w:p w14:paraId="05904B55" w14:textId="77777777" w:rsidR="00BB43EC" w:rsidRPr="004663D3" w:rsidRDefault="00BB43EC" w:rsidP="00BB43EC">
      <w:r w:rsidRPr="0061333F">
        <w:rPr>
          <w:sz w:val="20"/>
          <w:vertAlign w:val="superscript"/>
        </w:rPr>
        <w:t>a</w:t>
      </w:r>
      <w:r w:rsidRPr="0061333F">
        <w:rPr>
          <w:sz w:val="20"/>
        </w:rPr>
        <w:t xml:space="preserve"> No change: ≤ 5-fold reduction in susceptibility.</w:t>
      </w:r>
    </w:p>
    <w:p w14:paraId="0BA6BD98" w14:textId="77777777" w:rsidR="00BB43EC" w:rsidRPr="004663D3" w:rsidRDefault="00BB43EC" w:rsidP="00BB43EC">
      <w:pPr>
        <w:rPr>
          <w:lang w:eastAsia="en-US"/>
        </w:rPr>
      </w:pPr>
    </w:p>
    <w:p w14:paraId="16C42F29" w14:textId="18530D4D" w:rsidR="00BB43EC" w:rsidRPr="004663D3" w:rsidRDefault="00BB43EC" w:rsidP="00BB43EC">
      <w:pPr>
        <w:keepNext/>
        <w:keepLines/>
        <w:rPr>
          <w:lang w:eastAsia="en-US"/>
        </w:rPr>
      </w:pPr>
      <w:r w:rsidRPr="004663D3">
        <w:rPr>
          <w:lang w:eastAsia="en-US"/>
        </w:rPr>
        <w:t>See</w:t>
      </w:r>
      <w:r w:rsidRPr="004663D3">
        <w:rPr>
          <w:color w:val="0000F4"/>
          <w:lang w:eastAsia="en-US"/>
        </w:rPr>
        <w:t xml:space="preserve"> </w:t>
      </w:r>
      <w:r w:rsidRPr="004663D3">
        <w:rPr>
          <w:lang w:eastAsia="en-US"/>
        </w:rPr>
        <w:t xml:space="preserve">Table 7 for a comprehensive list of variants with a ≥ 5-fold reduced susceptibility to </w:t>
      </w:r>
      <w:proofErr w:type="spellStart"/>
      <w:r w:rsidRPr="004663D3">
        <w:rPr>
          <w:lang w:eastAsia="en-US"/>
        </w:rPr>
        <w:t>casirivimab</w:t>
      </w:r>
      <w:proofErr w:type="spellEnd"/>
      <w:r w:rsidRPr="004663D3">
        <w:rPr>
          <w:lang w:eastAsia="en-US"/>
        </w:rPr>
        <w:t xml:space="preserve"> alone, or </w:t>
      </w:r>
      <w:proofErr w:type="spellStart"/>
      <w:r w:rsidRPr="004663D3">
        <w:rPr>
          <w:lang w:eastAsia="en-US"/>
        </w:rPr>
        <w:t>imdevimab</w:t>
      </w:r>
      <w:proofErr w:type="spellEnd"/>
      <w:r w:rsidRPr="004663D3">
        <w:rPr>
          <w:lang w:eastAsia="en-US"/>
        </w:rPr>
        <w:t xml:space="preserve"> alone, or </w:t>
      </w:r>
      <w:proofErr w:type="spellStart"/>
      <w:r w:rsidRPr="004663D3">
        <w:rPr>
          <w:lang w:eastAsia="en-US"/>
        </w:rPr>
        <w:t>casirivimab</w:t>
      </w:r>
      <w:proofErr w:type="spellEnd"/>
      <w:r w:rsidRPr="004663D3">
        <w:rPr>
          <w:lang w:eastAsia="en-US"/>
        </w:rPr>
        <w:t xml:space="preserve"> and </w:t>
      </w:r>
      <w:proofErr w:type="spellStart"/>
      <w:r w:rsidRPr="004663D3">
        <w:rPr>
          <w:lang w:eastAsia="en-US"/>
        </w:rPr>
        <w:t>imdevimab</w:t>
      </w:r>
      <w:proofErr w:type="spellEnd"/>
      <w:r w:rsidRPr="004663D3">
        <w:rPr>
          <w:lang w:eastAsia="en-US"/>
        </w:rPr>
        <w:t xml:space="preserve"> together. </w:t>
      </w:r>
    </w:p>
    <w:p w14:paraId="7F52018C" w14:textId="77777777" w:rsidR="00BB43EC" w:rsidRPr="004663D3" w:rsidRDefault="00BB43EC" w:rsidP="00BB43EC">
      <w:pPr>
        <w:keepNext/>
        <w:keepLines/>
        <w:rPr>
          <w:rFonts w:eastAsia="SimSun"/>
          <w:b/>
          <w:bCs/>
          <w:lang w:eastAsia="zh-CN"/>
        </w:rPr>
      </w:pPr>
    </w:p>
    <w:p w14:paraId="081246E8" w14:textId="77777777" w:rsidR="00BB43EC" w:rsidRPr="004663D3" w:rsidRDefault="00BB43EC" w:rsidP="00BB43EC">
      <w:pPr>
        <w:pStyle w:val="C-TableHeader"/>
        <w:spacing w:before="0" w:after="120"/>
        <w:ind w:left="900" w:hanging="900"/>
        <w:rPr>
          <w:rFonts w:eastAsia="SimSun"/>
          <w:b w:val="0"/>
          <w:bCs/>
          <w:sz w:val="24"/>
          <w:szCs w:val="24"/>
          <w:lang w:eastAsia="zh-CN"/>
        </w:rPr>
      </w:pPr>
      <w:r w:rsidRPr="004663D3">
        <w:rPr>
          <w:rFonts w:eastAsia="SimSun"/>
          <w:sz w:val="24"/>
          <w:szCs w:val="24"/>
        </w:rPr>
        <w:t xml:space="preserve">Table </w:t>
      </w:r>
      <w:r w:rsidRPr="004663D3">
        <w:rPr>
          <w:rFonts w:eastAsia="SimSun"/>
          <w:sz w:val="24"/>
          <w:szCs w:val="24"/>
          <w:lang w:eastAsia="zh-CN"/>
        </w:rPr>
        <w:t>7</w:t>
      </w:r>
      <w:r w:rsidRPr="004663D3">
        <w:rPr>
          <w:rFonts w:eastAsia="SimSun"/>
          <w:b w:val="0"/>
          <w:bCs/>
          <w:sz w:val="24"/>
          <w:szCs w:val="24"/>
          <w:lang w:eastAsia="zh-CN"/>
        </w:rPr>
        <w:t>:</w:t>
      </w:r>
      <w:r w:rsidRPr="004663D3">
        <w:rPr>
          <w:rFonts w:eastAsia="SimSun"/>
          <w:b w:val="0"/>
          <w:bCs/>
          <w:sz w:val="24"/>
          <w:szCs w:val="24"/>
          <w:lang w:eastAsia="zh-CN"/>
        </w:rPr>
        <w:tab/>
      </w:r>
      <w:proofErr w:type="spellStart"/>
      <w:r w:rsidRPr="004663D3">
        <w:rPr>
          <w:rFonts w:eastAsia="SimSun"/>
          <w:bCs/>
          <w:sz w:val="24"/>
          <w:szCs w:val="24"/>
          <w:lang w:eastAsia="zh-CN"/>
        </w:rPr>
        <w:t>Pseudotyped</w:t>
      </w:r>
      <w:proofErr w:type="spellEnd"/>
      <w:r w:rsidRPr="004663D3">
        <w:rPr>
          <w:rFonts w:eastAsia="SimSun"/>
          <w:bCs/>
          <w:sz w:val="24"/>
          <w:szCs w:val="24"/>
          <w:lang w:eastAsia="zh-CN"/>
        </w:rPr>
        <w:t xml:space="preserve"> virus-like particle </w:t>
      </w:r>
      <w:proofErr w:type="spellStart"/>
      <w:r w:rsidRPr="004663D3">
        <w:rPr>
          <w:rFonts w:eastAsia="SimSun"/>
          <w:bCs/>
          <w:sz w:val="24"/>
          <w:szCs w:val="24"/>
          <w:lang w:eastAsia="zh-CN"/>
        </w:rPr>
        <w:t>neutralisation</w:t>
      </w:r>
      <w:proofErr w:type="spellEnd"/>
      <w:r w:rsidRPr="004663D3">
        <w:rPr>
          <w:rFonts w:eastAsia="SimSun"/>
          <w:bCs/>
          <w:sz w:val="24"/>
          <w:szCs w:val="24"/>
          <w:lang w:eastAsia="zh-CN"/>
        </w:rPr>
        <w:t xml:space="preserve"> data for SARS-CoV-2 </w:t>
      </w:r>
      <w:r>
        <w:rPr>
          <w:rFonts w:eastAsia="SimSun"/>
          <w:bCs/>
          <w:sz w:val="24"/>
          <w:szCs w:val="24"/>
          <w:lang w:eastAsia="zh-CN"/>
        </w:rPr>
        <w:t xml:space="preserve">variants </w:t>
      </w:r>
      <w:r w:rsidRPr="004663D3">
        <w:rPr>
          <w:rFonts w:eastAsia="SimSun"/>
          <w:bCs/>
          <w:sz w:val="24"/>
          <w:szCs w:val="24"/>
          <w:lang w:eastAsia="zh-CN"/>
        </w:rPr>
        <w:t xml:space="preserve">that impact </w:t>
      </w:r>
      <w:proofErr w:type="spellStart"/>
      <w:r w:rsidRPr="004663D3">
        <w:rPr>
          <w:rFonts w:eastAsia="SimSun"/>
          <w:bCs/>
          <w:sz w:val="24"/>
          <w:szCs w:val="24"/>
          <w:lang w:eastAsia="zh-CN"/>
        </w:rPr>
        <w:t>neutralisation</w:t>
      </w:r>
      <w:proofErr w:type="spellEnd"/>
      <w:r w:rsidRPr="004663D3">
        <w:rPr>
          <w:rFonts w:eastAsia="SimSun"/>
          <w:bCs/>
          <w:sz w:val="24"/>
          <w:szCs w:val="24"/>
          <w:lang w:eastAsia="zh-CN"/>
        </w:rPr>
        <w:t xml:space="preserve"> potency of </w:t>
      </w:r>
      <w:proofErr w:type="spellStart"/>
      <w:r w:rsidRPr="004663D3">
        <w:rPr>
          <w:rFonts w:eastAsia="SimSun"/>
          <w:bCs/>
          <w:sz w:val="24"/>
          <w:szCs w:val="24"/>
          <w:lang w:eastAsia="zh-CN"/>
        </w:rPr>
        <w:t>casirivimab</w:t>
      </w:r>
      <w:proofErr w:type="spellEnd"/>
      <w:r w:rsidRPr="004663D3">
        <w:rPr>
          <w:rFonts w:eastAsia="SimSun"/>
          <w:bCs/>
          <w:sz w:val="24"/>
          <w:szCs w:val="24"/>
          <w:lang w:eastAsia="zh-CN"/>
        </w:rPr>
        <w:t xml:space="preserve"> and </w:t>
      </w:r>
      <w:proofErr w:type="spellStart"/>
      <w:r w:rsidRPr="004663D3">
        <w:rPr>
          <w:rFonts w:eastAsia="SimSun"/>
          <w:bCs/>
          <w:sz w:val="24"/>
          <w:szCs w:val="24"/>
          <w:lang w:eastAsia="zh-CN"/>
        </w:rPr>
        <w:t>imdevimab</w:t>
      </w:r>
      <w:proofErr w:type="spellEnd"/>
      <w:r w:rsidRPr="004663D3">
        <w:rPr>
          <w:rFonts w:eastAsia="SimSun"/>
          <w:bCs/>
          <w:sz w:val="24"/>
          <w:szCs w:val="24"/>
          <w:lang w:eastAsia="zh-CN"/>
        </w:rPr>
        <w:t xml:space="preserve"> alone</w:t>
      </w:r>
      <w:r>
        <w:rPr>
          <w:rFonts w:eastAsia="SimSun"/>
          <w:bCs/>
          <w:sz w:val="24"/>
          <w:szCs w:val="24"/>
          <w:lang w:eastAsia="zh-CN"/>
        </w:rPr>
        <w:t xml:space="preserve"> or t</w:t>
      </w:r>
      <w:r w:rsidRPr="004663D3">
        <w:rPr>
          <w:rFonts w:eastAsia="SimSun"/>
          <w:bCs/>
          <w:sz w:val="24"/>
          <w:szCs w:val="24"/>
          <w:lang w:eastAsia="zh-CN"/>
        </w:rPr>
        <w:t>ogether</w:t>
      </w:r>
      <w:r w:rsidRPr="004663D3">
        <w:rPr>
          <w:rFonts w:eastAsia="SimSun"/>
          <w:b w:val="0"/>
          <w:bCs/>
          <w:sz w:val="24"/>
          <w:szCs w:val="24"/>
          <w:lang w:eastAsia="zh-CN"/>
        </w:rPr>
        <w:t xml:space="preserve"> </w:t>
      </w:r>
    </w:p>
    <w:tbl>
      <w:tblPr>
        <w:tblStyle w:val="TableGrid"/>
        <w:tblW w:w="0" w:type="auto"/>
        <w:jc w:val="center"/>
        <w:tblInd w:w="0" w:type="dxa"/>
        <w:tblLook w:val="04A0" w:firstRow="1" w:lastRow="0" w:firstColumn="1" w:lastColumn="0" w:noHBand="0" w:noVBand="1"/>
      </w:tblPr>
      <w:tblGrid>
        <w:gridCol w:w="2251"/>
        <w:gridCol w:w="2097"/>
        <w:gridCol w:w="2097"/>
        <w:gridCol w:w="2098"/>
      </w:tblGrid>
      <w:tr w:rsidR="00BB43EC" w:rsidRPr="00BB43EC" w14:paraId="03AB10FC" w14:textId="77777777" w:rsidTr="0060563E">
        <w:trPr>
          <w:tblHeader/>
          <w:jc w:val="center"/>
        </w:trPr>
        <w:tc>
          <w:tcPr>
            <w:tcW w:w="2251" w:type="dxa"/>
          </w:tcPr>
          <w:p w14:paraId="4036ED40" w14:textId="77777777" w:rsidR="00BB43EC" w:rsidRPr="00BB43EC" w:rsidRDefault="00BB43EC" w:rsidP="00813E59">
            <w:pPr>
              <w:pStyle w:val="C-BodyText"/>
              <w:keepNext/>
              <w:keepLines/>
              <w:spacing w:before="0" w:after="0" w:line="240" w:lineRule="auto"/>
              <w:jc w:val="center"/>
              <w:rPr>
                <w:b/>
                <w:sz w:val="22"/>
                <w:szCs w:val="22"/>
              </w:rPr>
            </w:pPr>
            <w:r w:rsidRPr="00BB43EC">
              <w:rPr>
                <w:b/>
                <w:sz w:val="22"/>
                <w:szCs w:val="22"/>
              </w:rPr>
              <w:t>SARS-CoV-2 Variant</w:t>
            </w:r>
          </w:p>
        </w:tc>
        <w:tc>
          <w:tcPr>
            <w:tcW w:w="2097" w:type="dxa"/>
          </w:tcPr>
          <w:p w14:paraId="16388838" w14:textId="77777777" w:rsidR="00BB43EC" w:rsidRPr="00BB43EC" w:rsidRDefault="00BB43EC" w:rsidP="00813E59">
            <w:pPr>
              <w:pStyle w:val="C-BodyText"/>
              <w:keepNext/>
              <w:keepLines/>
              <w:spacing w:before="0" w:after="0" w:line="240" w:lineRule="auto"/>
              <w:jc w:val="center"/>
              <w:rPr>
                <w:b/>
                <w:sz w:val="22"/>
                <w:szCs w:val="22"/>
              </w:rPr>
            </w:pPr>
            <w:r w:rsidRPr="00BB43EC">
              <w:rPr>
                <w:b/>
                <w:sz w:val="22"/>
                <w:szCs w:val="22"/>
              </w:rPr>
              <w:t xml:space="preserve">Reduced Susceptibility to </w:t>
            </w:r>
            <w:proofErr w:type="spellStart"/>
            <w:r w:rsidRPr="00BB43EC">
              <w:rPr>
                <w:b/>
                <w:sz w:val="22"/>
                <w:szCs w:val="22"/>
              </w:rPr>
              <w:t>casirivimab</w:t>
            </w:r>
            <w:proofErr w:type="spellEnd"/>
            <w:r w:rsidRPr="00BB43EC">
              <w:rPr>
                <w:b/>
                <w:sz w:val="22"/>
                <w:szCs w:val="22"/>
              </w:rPr>
              <w:t xml:space="preserve"> and </w:t>
            </w:r>
            <w:proofErr w:type="spellStart"/>
            <w:r w:rsidRPr="00BB43EC">
              <w:rPr>
                <w:b/>
                <w:sz w:val="22"/>
                <w:szCs w:val="22"/>
              </w:rPr>
              <w:t>imdevimab</w:t>
            </w:r>
            <w:proofErr w:type="spellEnd"/>
            <w:r w:rsidRPr="00BB43EC">
              <w:rPr>
                <w:b/>
                <w:sz w:val="22"/>
                <w:szCs w:val="22"/>
              </w:rPr>
              <w:t xml:space="preserve"> together</w:t>
            </w:r>
          </w:p>
        </w:tc>
        <w:tc>
          <w:tcPr>
            <w:tcW w:w="2097" w:type="dxa"/>
          </w:tcPr>
          <w:p w14:paraId="11CE8943" w14:textId="77777777" w:rsidR="00BB43EC" w:rsidRPr="00BB43EC" w:rsidRDefault="00BB43EC" w:rsidP="00813E59">
            <w:pPr>
              <w:pStyle w:val="C-BodyText"/>
              <w:keepNext/>
              <w:keepLines/>
              <w:spacing w:before="0" w:after="0" w:line="240" w:lineRule="auto"/>
              <w:jc w:val="center"/>
              <w:rPr>
                <w:b/>
                <w:sz w:val="22"/>
                <w:szCs w:val="22"/>
              </w:rPr>
            </w:pPr>
            <w:r w:rsidRPr="00BB43EC">
              <w:rPr>
                <w:b/>
                <w:sz w:val="22"/>
                <w:szCs w:val="22"/>
              </w:rPr>
              <w:t xml:space="preserve">Reduced Susceptibility to </w:t>
            </w:r>
            <w:proofErr w:type="spellStart"/>
            <w:r w:rsidRPr="00BB43EC">
              <w:rPr>
                <w:b/>
                <w:sz w:val="22"/>
                <w:szCs w:val="22"/>
              </w:rPr>
              <w:t>casirivimab</w:t>
            </w:r>
            <w:proofErr w:type="spellEnd"/>
          </w:p>
        </w:tc>
        <w:tc>
          <w:tcPr>
            <w:tcW w:w="2098" w:type="dxa"/>
          </w:tcPr>
          <w:p w14:paraId="3B749CAB" w14:textId="77777777" w:rsidR="00BB43EC" w:rsidRPr="00BB43EC" w:rsidRDefault="00BB43EC" w:rsidP="00813E59">
            <w:pPr>
              <w:pStyle w:val="C-BodyText"/>
              <w:keepNext/>
              <w:keepLines/>
              <w:spacing w:before="0" w:after="0" w:line="240" w:lineRule="auto"/>
              <w:jc w:val="center"/>
              <w:rPr>
                <w:b/>
                <w:sz w:val="22"/>
                <w:szCs w:val="22"/>
              </w:rPr>
            </w:pPr>
            <w:r w:rsidRPr="00BB43EC">
              <w:rPr>
                <w:b/>
                <w:sz w:val="22"/>
                <w:szCs w:val="22"/>
              </w:rPr>
              <w:t xml:space="preserve">Reduced Susceptibility to </w:t>
            </w:r>
            <w:proofErr w:type="spellStart"/>
            <w:r w:rsidRPr="00BB43EC">
              <w:rPr>
                <w:b/>
                <w:sz w:val="22"/>
                <w:szCs w:val="22"/>
              </w:rPr>
              <w:t>imdevimab</w:t>
            </w:r>
            <w:proofErr w:type="spellEnd"/>
          </w:p>
        </w:tc>
      </w:tr>
      <w:tr w:rsidR="00BB43EC" w:rsidRPr="00BB43EC" w14:paraId="060993F3" w14:textId="77777777" w:rsidTr="00813E59">
        <w:trPr>
          <w:jc w:val="center"/>
        </w:trPr>
        <w:tc>
          <w:tcPr>
            <w:tcW w:w="2251" w:type="dxa"/>
          </w:tcPr>
          <w:p w14:paraId="54B74440" w14:textId="77777777" w:rsidR="00BB43EC" w:rsidRPr="00BB43EC" w:rsidRDefault="00BB43EC" w:rsidP="00813E59">
            <w:pPr>
              <w:pStyle w:val="C-BodyText"/>
              <w:keepNext/>
              <w:keepLines/>
              <w:spacing w:before="0" w:after="0" w:line="240" w:lineRule="auto"/>
              <w:jc w:val="center"/>
              <w:rPr>
                <w:sz w:val="22"/>
                <w:szCs w:val="22"/>
              </w:rPr>
            </w:pPr>
            <w:r w:rsidRPr="00BB43EC">
              <w:rPr>
                <w:sz w:val="22"/>
                <w:szCs w:val="22"/>
              </w:rPr>
              <w:t>K417E</w:t>
            </w:r>
          </w:p>
        </w:tc>
        <w:tc>
          <w:tcPr>
            <w:tcW w:w="2097" w:type="dxa"/>
          </w:tcPr>
          <w:p w14:paraId="15C227A4" w14:textId="77777777" w:rsidR="00BB43EC" w:rsidRPr="00BB43EC" w:rsidRDefault="00BB43EC" w:rsidP="00813E59">
            <w:pPr>
              <w:pStyle w:val="C-BodyText"/>
              <w:keepNext/>
              <w:keepLines/>
              <w:spacing w:before="0" w:after="0" w:line="240" w:lineRule="auto"/>
              <w:jc w:val="center"/>
              <w:rPr>
                <w:sz w:val="22"/>
                <w:szCs w:val="22"/>
              </w:rPr>
            </w:pPr>
            <w:r w:rsidRPr="00BB43EC">
              <w:rPr>
                <w:sz w:val="22"/>
                <w:szCs w:val="22"/>
              </w:rPr>
              <w:t xml:space="preserve">no </w:t>
            </w:r>
            <w:proofErr w:type="spellStart"/>
            <w:r w:rsidRPr="00BB43EC">
              <w:rPr>
                <w:sz w:val="22"/>
                <w:szCs w:val="22"/>
              </w:rPr>
              <w:t>change</w:t>
            </w:r>
            <w:r w:rsidRPr="00BB43EC">
              <w:rPr>
                <w:sz w:val="22"/>
                <w:szCs w:val="22"/>
                <w:vertAlign w:val="superscript"/>
              </w:rPr>
              <w:t>a</w:t>
            </w:r>
            <w:proofErr w:type="spellEnd"/>
          </w:p>
        </w:tc>
        <w:tc>
          <w:tcPr>
            <w:tcW w:w="2097" w:type="dxa"/>
          </w:tcPr>
          <w:p w14:paraId="547770A1" w14:textId="77777777" w:rsidR="00BB43EC" w:rsidRPr="00BB43EC" w:rsidRDefault="00BB43EC" w:rsidP="00813E59">
            <w:pPr>
              <w:pStyle w:val="C-BodyText"/>
              <w:keepNext/>
              <w:keepLines/>
              <w:spacing w:before="0" w:after="0" w:line="240" w:lineRule="auto"/>
              <w:jc w:val="center"/>
              <w:rPr>
                <w:sz w:val="22"/>
                <w:szCs w:val="22"/>
              </w:rPr>
            </w:pPr>
            <w:r w:rsidRPr="00BB43EC">
              <w:rPr>
                <w:sz w:val="22"/>
                <w:szCs w:val="22"/>
              </w:rPr>
              <w:t>182-fold</w:t>
            </w:r>
          </w:p>
        </w:tc>
        <w:tc>
          <w:tcPr>
            <w:tcW w:w="2098" w:type="dxa"/>
          </w:tcPr>
          <w:p w14:paraId="0528B738" w14:textId="77777777" w:rsidR="00BB43EC" w:rsidRPr="00BB43EC" w:rsidRDefault="00BB43EC" w:rsidP="00813E59">
            <w:pPr>
              <w:pStyle w:val="C-BodyText"/>
              <w:keepNext/>
              <w:keepLines/>
              <w:spacing w:before="0" w:after="0" w:line="240" w:lineRule="auto"/>
              <w:jc w:val="center"/>
              <w:rPr>
                <w:sz w:val="22"/>
                <w:szCs w:val="22"/>
              </w:rPr>
            </w:pPr>
            <w:r w:rsidRPr="00BB43EC">
              <w:rPr>
                <w:sz w:val="22"/>
                <w:szCs w:val="22"/>
              </w:rPr>
              <w:t xml:space="preserve">no </w:t>
            </w:r>
            <w:proofErr w:type="spellStart"/>
            <w:r w:rsidRPr="00BB43EC">
              <w:rPr>
                <w:sz w:val="22"/>
                <w:szCs w:val="22"/>
              </w:rPr>
              <w:t>change</w:t>
            </w:r>
            <w:r w:rsidRPr="00BB43EC">
              <w:rPr>
                <w:sz w:val="22"/>
                <w:szCs w:val="22"/>
                <w:vertAlign w:val="superscript"/>
              </w:rPr>
              <w:t>a</w:t>
            </w:r>
            <w:proofErr w:type="spellEnd"/>
          </w:p>
        </w:tc>
      </w:tr>
      <w:tr w:rsidR="00BB43EC" w:rsidRPr="00BB43EC" w14:paraId="56C5052A" w14:textId="77777777" w:rsidTr="00813E59">
        <w:trPr>
          <w:jc w:val="center"/>
        </w:trPr>
        <w:tc>
          <w:tcPr>
            <w:tcW w:w="2251" w:type="dxa"/>
          </w:tcPr>
          <w:p w14:paraId="387D7206" w14:textId="77777777" w:rsidR="00BB43EC" w:rsidRPr="00BB43EC" w:rsidRDefault="00BB43EC" w:rsidP="00813E59">
            <w:pPr>
              <w:pStyle w:val="C-BodyText"/>
              <w:keepNext/>
              <w:keepLines/>
              <w:spacing w:before="0" w:after="0" w:line="240" w:lineRule="auto"/>
              <w:jc w:val="center"/>
              <w:rPr>
                <w:sz w:val="22"/>
                <w:szCs w:val="22"/>
              </w:rPr>
            </w:pPr>
            <w:r w:rsidRPr="00BB43EC">
              <w:rPr>
                <w:sz w:val="22"/>
                <w:szCs w:val="22"/>
              </w:rPr>
              <w:t>K417N</w:t>
            </w:r>
          </w:p>
        </w:tc>
        <w:tc>
          <w:tcPr>
            <w:tcW w:w="2097" w:type="dxa"/>
          </w:tcPr>
          <w:p w14:paraId="3F8C121E" w14:textId="77777777" w:rsidR="00BB43EC" w:rsidRPr="00BB43EC" w:rsidRDefault="00BB43EC" w:rsidP="00813E59">
            <w:pPr>
              <w:pStyle w:val="C-BodyText"/>
              <w:keepNext/>
              <w:keepLines/>
              <w:spacing w:before="0" w:after="0" w:line="240" w:lineRule="auto"/>
              <w:jc w:val="center"/>
              <w:rPr>
                <w:sz w:val="22"/>
                <w:szCs w:val="22"/>
              </w:rPr>
            </w:pPr>
            <w:r w:rsidRPr="00BB43EC">
              <w:rPr>
                <w:sz w:val="22"/>
                <w:szCs w:val="22"/>
              </w:rPr>
              <w:t xml:space="preserve">no </w:t>
            </w:r>
            <w:proofErr w:type="spellStart"/>
            <w:r w:rsidRPr="00BB43EC">
              <w:rPr>
                <w:sz w:val="22"/>
                <w:szCs w:val="22"/>
              </w:rPr>
              <w:t>change</w:t>
            </w:r>
            <w:r w:rsidRPr="00BB43EC">
              <w:rPr>
                <w:sz w:val="22"/>
                <w:szCs w:val="22"/>
                <w:vertAlign w:val="superscript"/>
              </w:rPr>
              <w:t>a</w:t>
            </w:r>
            <w:proofErr w:type="spellEnd"/>
          </w:p>
        </w:tc>
        <w:tc>
          <w:tcPr>
            <w:tcW w:w="2097" w:type="dxa"/>
          </w:tcPr>
          <w:p w14:paraId="7B9FDCBD" w14:textId="77777777" w:rsidR="00BB43EC" w:rsidRPr="00BB43EC" w:rsidRDefault="00BB43EC" w:rsidP="00813E59">
            <w:pPr>
              <w:pStyle w:val="C-BodyText"/>
              <w:keepNext/>
              <w:keepLines/>
              <w:spacing w:before="0" w:after="0" w:line="240" w:lineRule="auto"/>
              <w:jc w:val="center"/>
              <w:rPr>
                <w:sz w:val="22"/>
                <w:szCs w:val="22"/>
              </w:rPr>
            </w:pPr>
            <w:r w:rsidRPr="00BB43EC">
              <w:rPr>
                <w:sz w:val="22"/>
                <w:szCs w:val="22"/>
              </w:rPr>
              <w:t>7-fold</w:t>
            </w:r>
          </w:p>
        </w:tc>
        <w:tc>
          <w:tcPr>
            <w:tcW w:w="2098" w:type="dxa"/>
          </w:tcPr>
          <w:p w14:paraId="3EE448AE" w14:textId="77777777" w:rsidR="00BB43EC" w:rsidRPr="00BB43EC" w:rsidRDefault="00BB43EC" w:rsidP="00813E59">
            <w:pPr>
              <w:pStyle w:val="C-BodyText"/>
              <w:keepNext/>
              <w:keepLines/>
              <w:spacing w:before="0" w:after="0" w:line="240" w:lineRule="auto"/>
              <w:jc w:val="center"/>
              <w:rPr>
                <w:sz w:val="22"/>
                <w:szCs w:val="22"/>
              </w:rPr>
            </w:pPr>
            <w:r w:rsidRPr="00BB43EC">
              <w:rPr>
                <w:sz w:val="22"/>
                <w:szCs w:val="22"/>
              </w:rPr>
              <w:t xml:space="preserve">no </w:t>
            </w:r>
            <w:proofErr w:type="spellStart"/>
            <w:r w:rsidRPr="00BB43EC">
              <w:rPr>
                <w:sz w:val="22"/>
                <w:szCs w:val="22"/>
              </w:rPr>
              <w:t>change</w:t>
            </w:r>
            <w:r w:rsidRPr="00BB43EC">
              <w:rPr>
                <w:sz w:val="22"/>
                <w:szCs w:val="22"/>
                <w:vertAlign w:val="superscript"/>
              </w:rPr>
              <w:t>a</w:t>
            </w:r>
            <w:proofErr w:type="spellEnd"/>
          </w:p>
        </w:tc>
      </w:tr>
      <w:tr w:rsidR="00BB43EC" w:rsidRPr="00BB43EC" w14:paraId="146C95E1" w14:textId="77777777" w:rsidTr="00813E59">
        <w:trPr>
          <w:jc w:val="center"/>
        </w:trPr>
        <w:tc>
          <w:tcPr>
            <w:tcW w:w="2251" w:type="dxa"/>
          </w:tcPr>
          <w:p w14:paraId="5F6400CF" w14:textId="77777777" w:rsidR="00BB43EC" w:rsidRPr="00BB43EC" w:rsidRDefault="00BB43EC" w:rsidP="00813E59">
            <w:pPr>
              <w:pStyle w:val="C-BodyText"/>
              <w:keepNext/>
              <w:keepLines/>
              <w:spacing w:before="0" w:after="0" w:line="240" w:lineRule="auto"/>
              <w:jc w:val="center"/>
              <w:rPr>
                <w:sz w:val="22"/>
                <w:szCs w:val="22"/>
              </w:rPr>
            </w:pPr>
            <w:r w:rsidRPr="00BB43EC">
              <w:rPr>
                <w:sz w:val="22"/>
                <w:szCs w:val="22"/>
              </w:rPr>
              <w:t>K417R</w:t>
            </w:r>
          </w:p>
        </w:tc>
        <w:tc>
          <w:tcPr>
            <w:tcW w:w="2097" w:type="dxa"/>
          </w:tcPr>
          <w:p w14:paraId="1A7FFC43" w14:textId="77777777" w:rsidR="00BB43EC" w:rsidRPr="00BB43EC" w:rsidRDefault="00BB43EC" w:rsidP="00813E59">
            <w:pPr>
              <w:pStyle w:val="C-BodyText"/>
              <w:keepNext/>
              <w:keepLines/>
              <w:spacing w:before="0" w:after="0" w:line="240" w:lineRule="auto"/>
              <w:jc w:val="center"/>
              <w:rPr>
                <w:sz w:val="22"/>
                <w:szCs w:val="22"/>
              </w:rPr>
            </w:pPr>
            <w:r w:rsidRPr="00BB43EC">
              <w:rPr>
                <w:sz w:val="22"/>
                <w:szCs w:val="22"/>
              </w:rPr>
              <w:t xml:space="preserve">no </w:t>
            </w:r>
            <w:proofErr w:type="spellStart"/>
            <w:r w:rsidRPr="00BB43EC">
              <w:rPr>
                <w:sz w:val="22"/>
                <w:szCs w:val="22"/>
              </w:rPr>
              <w:t>change</w:t>
            </w:r>
            <w:r w:rsidRPr="00BB43EC">
              <w:rPr>
                <w:sz w:val="22"/>
                <w:szCs w:val="22"/>
                <w:vertAlign w:val="superscript"/>
              </w:rPr>
              <w:t>a</w:t>
            </w:r>
            <w:proofErr w:type="spellEnd"/>
          </w:p>
        </w:tc>
        <w:tc>
          <w:tcPr>
            <w:tcW w:w="2097" w:type="dxa"/>
          </w:tcPr>
          <w:p w14:paraId="3AFD61DE" w14:textId="77777777" w:rsidR="00BB43EC" w:rsidRPr="00BB43EC" w:rsidRDefault="00BB43EC" w:rsidP="00813E59">
            <w:pPr>
              <w:pStyle w:val="C-BodyText"/>
              <w:keepNext/>
              <w:keepLines/>
              <w:spacing w:before="0" w:after="0" w:line="240" w:lineRule="auto"/>
              <w:jc w:val="center"/>
              <w:rPr>
                <w:sz w:val="22"/>
                <w:szCs w:val="22"/>
              </w:rPr>
            </w:pPr>
            <w:r w:rsidRPr="00BB43EC">
              <w:rPr>
                <w:sz w:val="22"/>
                <w:szCs w:val="22"/>
              </w:rPr>
              <w:t>61-fold</w:t>
            </w:r>
          </w:p>
        </w:tc>
        <w:tc>
          <w:tcPr>
            <w:tcW w:w="2098" w:type="dxa"/>
          </w:tcPr>
          <w:p w14:paraId="25A05F16" w14:textId="77777777" w:rsidR="00BB43EC" w:rsidRPr="00BB43EC" w:rsidRDefault="00BB43EC" w:rsidP="00813E59">
            <w:pPr>
              <w:pStyle w:val="C-BodyText"/>
              <w:keepNext/>
              <w:keepLines/>
              <w:spacing w:before="0" w:after="0" w:line="240" w:lineRule="auto"/>
              <w:jc w:val="center"/>
              <w:rPr>
                <w:sz w:val="22"/>
                <w:szCs w:val="22"/>
              </w:rPr>
            </w:pPr>
            <w:r w:rsidRPr="00BB43EC">
              <w:rPr>
                <w:sz w:val="22"/>
                <w:szCs w:val="22"/>
              </w:rPr>
              <w:t xml:space="preserve">no </w:t>
            </w:r>
            <w:proofErr w:type="spellStart"/>
            <w:r w:rsidRPr="00BB43EC">
              <w:rPr>
                <w:sz w:val="22"/>
                <w:szCs w:val="22"/>
              </w:rPr>
              <w:t>change</w:t>
            </w:r>
            <w:r w:rsidRPr="00BB43EC">
              <w:rPr>
                <w:sz w:val="22"/>
                <w:szCs w:val="22"/>
                <w:vertAlign w:val="superscript"/>
              </w:rPr>
              <w:t>a</w:t>
            </w:r>
            <w:proofErr w:type="spellEnd"/>
          </w:p>
        </w:tc>
      </w:tr>
      <w:tr w:rsidR="00BB43EC" w:rsidRPr="00BB43EC" w14:paraId="5AA68EDE" w14:textId="77777777" w:rsidTr="00813E59">
        <w:trPr>
          <w:jc w:val="center"/>
        </w:trPr>
        <w:tc>
          <w:tcPr>
            <w:tcW w:w="2251" w:type="dxa"/>
          </w:tcPr>
          <w:p w14:paraId="24BE85C6" w14:textId="77777777" w:rsidR="00BB43EC" w:rsidRPr="00BB43EC" w:rsidRDefault="00BB43EC" w:rsidP="00813E59">
            <w:pPr>
              <w:pStyle w:val="C-BodyText"/>
              <w:keepNext/>
              <w:keepLines/>
              <w:spacing w:before="0" w:after="0" w:line="240" w:lineRule="auto"/>
              <w:jc w:val="center"/>
              <w:rPr>
                <w:sz w:val="22"/>
                <w:szCs w:val="22"/>
              </w:rPr>
            </w:pPr>
            <w:r w:rsidRPr="00BB43EC">
              <w:rPr>
                <w:sz w:val="22"/>
                <w:szCs w:val="22"/>
              </w:rPr>
              <w:t>Y453F</w:t>
            </w:r>
          </w:p>
        </w:tc>
        <w:tc>
          <w:tcPr>
            <w:tcW w:w="2097" w:type="dxa"/>
          </w:tcPr>
          <w:p w14:paraId="3C1EB6C6" w14:textId="77777777" w:rsidR="00BB43EC" w:rsidRPr="00BB43EC" w:rsidRDefault="00BB43EC" w:rsidP="00813E59">
            <w:pPr>
              <w:pStyle w:val="C-BodyText"/>
              <w:keepNext/>
              <w:keepLines/>
              <w:spacing w:before="0" w:after="0" w:line="240" w:lineRule="auto"/>
              <w:jc w:val="center"/>
              <w:rPr>
                <w:sz w:val="22"/>
                <w:szCs w:val="22"/>
              </w:rPr>
            </w:pPr>
            <w:r w:rsidRPr="00BB43EC">
              <w:rPr>
                <w:sz w:val="22"/>
                <w:szCs w:val="22"/>
              </w:rPr>
              <w:t xml:space="preserve">no </w:t>
            </w:r>
            <w:proofErr w:type="spellStart"/>
            <w:r w:rsidRPr="00BB43EC">
              <w:rPr>
                <w:sz w:val="22"/>
                <w:szCs w:val="22"/>
              </w:rPr>
              <w:t>change</w:t>
            </w:r>
            <w:r w:rsidRPr="00BB43EC">
              <w:rPr>
                <w:sz w:val="22"/>
                <w:szCs w:val="22"/>
                <w:vertAlign w:val="superscript"/>
              </w:rPr>
              <w:t>a</w:t>
            </w:r>
            <w:proofErr w:type="spellEnd"/>
          </w:p>
        </w:tc>
        <w:tc>
          <w:tcPr>
            <w:tcW w:w="2097" w:type="dxa"/>
          </w:tcPr>
          <w:p w14:paraId="0156AC77" w14:textId="77777777" w:rsidR="00BB43EC" w:rsidRPr="00BB43EC" w:rsidRDefault="00BB43EC" w:rsidP="00813E59">
            <w:pPr>
              <w:pStyle w:val="C-BodyText"/>
              <w:keepNext/>
              <w:keepLines/>
              <w:spacing w:before="0" w:after="0" w:line="240" w:lineRule="auto"/>
              <w:jc w:val="center"/>
              <w:rPr>
                <w:sz w:val="22"/>
                <w:szCs w:val="22"/>
              </w:rPr>
            </w:pPr>
            <w:r w:rsidRPr="00BB43EC">
              <w:rPr>
                <w:sz w:val="22"/>
                <w:szCs w:val="22"/>
              </w:rPr>
              <w:t>&gt; 438-fold</w:t>
            </w:r>
          </w:p>
        </w:tc>
        <w:tc>
          <w:tcPr>
            <w:tcW w:w="2098" w:type="dxa"/>
          </w:tcPr>
          <w:p w14:paraId="7522FF3C" w14:textId="77777777" w:rsidR="00BB43EC" w:rsidRPr="00BB43EC" w:rsidRDefault="00BB43EC" w:rsidP="00813E59">
            <w:pPr>
              <w:pStyle w:val="C-BodyText"/>
              <w:keepNext/>
              <w:keepLines/>
              <w:spacing w:before="0" w:after="0" w:line="240" w:lineRule="auto"/>
              <w:jc w:val="center"/>
              <w:rPr>
                <w:sz w:val="22"/>
                <w:szCs w:val="22"/>
              </w:rPr>
            </w:pPr>
            <w:r w:rsidRPr="00BB43EC">
              <w:rPr>
                <w:sz w:val="22"/>
                <w:szCs w:val="22"/>
              </w:rPr>
              <w:t xml:space="preserve">no </w:t>
            </w:r>
            <w:proofErr w:type="spellStart"/>
            <w:r w:rsidRPr="00BB43EC">
              <w:rPr>
                <w:sz w:val="22"/>
                <w:szCs w:val="22"/>
              </w:rPr>
              <w:t>change</w:t>
            </w:r>
            <w:r w:rsidRPr="00BB43EC">
              <w:rPr>
                <w:sz w:val="22"/>
                <w:szCs w:val="22"/>
                <w:vertAlign w:val="superscript"/>
              </w:rPr>
              <w:t>a</w:t>
            </w:r>
            <w:proofErr w:type="spellEnd"/>
          </w:p>
        </w:tc>
      </w:tr>
      <w:tr w:rsidR="00BB43EC" w:rsidRPr="00BB43EC" w14:paraId="289228D8" w14:textId="77777777" w:rsidTr="00813E59">
        <w:trPr>
          <w:jc w:val="center"/>
        </w:trPr>
        <w:tc>
          <w:tcPr>
            <w:tcW w:w="2251" w:type="dxa"/>
          </w:tcPr>
          <w:p w14:paraId="42C3B995" w14:textId="77777777" w:rsidR="00BB43EC" w:rsidRPr="00BB43EC" w:rsidRDefault="00BB43EC" w:rsidP="00813E59">
            <w:pPr>
              <w:pStyle w:val="C-BodyText"/>
              <w:keepNext/>
              <w:keepLines/>
              <w:spacing w:before="0" w:after="0" w:line="240" w:lineRule="auto"/>
              <w:jc w:val="center"/>
              <w:rPr>
                <w:sz w:val="22"/>
                <w:szCs w:val="22"/>
              </w:rPr>
            </w:pPr>
            <w:r w:rsidRPr="00BB43EC">
              <w:rPr>
                <w:sz w:val="22"/>
                <w:szCs w:val="22"/>
              </w:rPr>
              <w:t>L455F</w:t>
            </w:r>
          </w:p>
        </w:tc>
        <w:tc>
          <w:tcPr>
            <w:tcW w:w="2097" w:type="dxa"/>
          </w:tcPr>
          <w:p w14:paraId="69B36849" w14:textId="77777777" w:rsidR="00BB43EC" w:rsidRPr="00BB43EC" w:rsidRDefault="00BB43EC" w:rsidP="00813E59">
            <w:pPr>
              <w:pStyle w:val="C-BodyText"/>
              <w:keepNext/>
              <w:keepLines/>
              <w:spacing w:before="0" w:after="0" w:line="240" w:lineRule="auto"/>
              <w:jc w:val="center"/>
              <w:rPr>
                <w:sz w:val="22"/>
                <w:szCs w:val="22"/>
              </w:rPr>
            </w:pPr>
            <w:r w:rsidRPr="00BB43EC">
              <w:rPr>
                <w:sz w:val="22"/>
                <w:szCs w:val="22"/>
              </w:rPr>
              <w:t xml:space="preserve">no </w:t>
            </w:r>
            <w:proofErr w:type="spellStart"/>
            <w:r w:rsidRPr="00BB43EC">
              <w:rPr>
                <w:sz w:val="22"/>
                <w:szCs w:val="22"/>
              </w:rPr>
              <w:t>change</w:t>
            </w:r>
            <w:r w:rsidRPr="00BB43EC">
              <w:rPr>
                <w:sz w:val="22"/>
                <w:szCs w:val="22"/>
                <w:vertAlign w:val="superscript"/>
              </w:rPr>
              <w:t>a</w:t>
            </w:r>
            <w:proofErr w:type="spellEnd"/>
          </w:p>
        </w:tc>
        <w:tc>
          <w:tcPr>
            <w:tcW w:w="2097" w:type="dxa"/>
          </w:tcPr>
          <w:p w14:paraId="22B4AC96" w14:textId="77777777" w:rsidR="00BB43EC" w:rsidRPr="00BB43EC" w:rsidRDefault="00BB43EC" w:rsidP="00813E59">
            <w:pPr>
              <w:pStyle w:val="C-BodyText"/>
              <w:keepNext/>
              <w:keepLines/>
              <w:spacing w:before="0" w:after="0" w:line="240" w:lineRule="auto"/>
              <w:jc w:val="center"/>
              <w:rPr>
                <w:sz w:val="22"/>
                <w:szCs w:val="22"/>
              </w:rPr>
            </w:pPr>
            <w:r w:rsidRPr="00BB43EC">
              <w:rPr>
                <w:sz w:val="22"/>
                <w:szCs w:val="22"/>
              </w:rPr>
              <w:t>80-fold</w:t>
            </w:r>
          </w:p>
        </w:tc>
        <w:tc>
          <w:tcPr>
            <w:tcW w:w="2098" w:type="dxa"/>
          </w:tcPr>
          <w:p w14:paraId="084DB7D5" w14:textId="77777777" w:rsidR="00BB43EC" w:rsidRPr="00BB43EC" w:rsidRDefault="00BB43EC" w:rsidP="00813E59">
            <w:pPr>
              <w:pStyle w:val="C-BodyText"/>
              <w:keepNext/>
              <w:keepLines/>
              <w:spacing w:before="0" w:after="0" w:line="240" w:lineRule="auto"/>
              <w:jc w:val="center"/>
              <w:rPr>
                <w:sz w:val="22"/>
                <w:szCs w:val="22"/>
              </w:rPr>
            </w:pPr>
            <w:r w:rsidRPr="00BB43EC">
              <w:rPr>
                <w:sz w:val="22"/>
                <w:szCs w:val="22"/>
              </w:rPr>
              <w:t xml:space="preserve">no </w:t>
            </w:r>
            <w:proofErr w:type="spellStart"/>
            <w:r w:rsidRPr="00BB43EC">
              <w:rPr>
                <w:sz w:val="22"/>
                <w:szCs w:val="22"/>
              </w:rPr>
              <w:t>change</w:t>
            </w:r>
            <w:r w:rsidRPr="00BB43EC">
              <w:rPr>
                <w:sz w:val="22"/>
                <w:szCs w:val="22"/>
                <w:vertAlign w:val="superscript"/>
              </w:rPr>
              <w:t>a</w:t>
            </w:r>
            <w:proofErr w:type="spellEnd"/>
          </w:p>
        </w:tc>
      </w:tr>
      <w:tr w:rsidR="00BB43EC" w:rsidRPr="00BB43EC" w14:paraId="7558FE1C" w14:textId="77777777" w:rsidTr="00813E59">
        <w:trPr>
          <w:jc w:val="center"/>
        </w:trPr>
        <w:tc>
          <w:tcPr>
            <w:tcW w:w="2251" w:type="dxa"/>
          </w:tcPr>
          <w:p w14:paraId="0A359E5E" w14:textId="77777777" w:rsidR="00BB43EC" w:rsidRPr="00BB43EC" w:rsidRDefault="00BB43EC" w:rsidP="00813E59">
            <w:pPr>
              <w:pStyle w:val="C-BodyText"/>
              <w:keepNext/>
              <w:keepLines/>
              <w:spacing w:before="0" w:after="0" w:line="240" w:lineRule="auto"/>
              <w:jc w:val="center"/>
              <w:rPr>
                <w:sz w:val="22"/>
                <w:szCs w:val="22"/>
              </w:rPr>
            </w:pPr>
            <w:r w:rsidRPr="00BB43EC">
              <w:rPr>
                <w:sz w:val="22"/>
                <w:szCs w:val="22"/>
              </w:rPr>
              <w:t>E484K</w:t>
            </w:r>
          </w:p>
        </w:tc>
        <w:tc>
          <w:tcPr>
            <w:tcW w:w="2097" w:type="dxa"/>
          </w:tcPr>
          <w:p w14:paraId="460942F5" w14:textId="77777777" w:rsidR="00BB43EC" w:rsidRPr="00BB43EC" w:rsidRDefault="00BB43EC" w:rsidP="00813E59">
            <w:pPr>
              <w:pStyle w:val="C-BodyText"/>
              <w:keepNext/>
              <w:keepLines/>
              <w:spacing w:before="0" w:after="0" w:line="240" w:lineRule="auto"/>
              <w:jc w:val="center"/>
              <w:rPr>
                <w:sz w:val="22"/>
                <w:szCs w:val="22"/>
              </w:rPr>
            </w:pPr>
            <w:r w:rsidRPr="00BB43EC">
              <w:rPr>
                <w:sz w:val="22"/>
                <w:szCs w:val="22"/>
              </w:rPr>
              <w:t xml:space="preserve">no </w:t>
            </w:r>
            <w:proofErr w:type="spellStart"/>
            <w:r w:rsidRPr="00BB43EC">
              <w:rPr>
                <w:sz w:val="22"/>
                <w:szCs w:val="22"/>
              </w:rPr>
              <w:t>change</w:t>
            </w:r>
            <w:r w:rsidRPr="00BB43EC">
              <w:rPr>
                <w:sz w:val="22"/>
                <w:szCs w:val="22"/>
                <w:vertAlign w:val="superscript"/>
              </w:rPr>
              <w:t>a</w:t>
            </w:r>
            <w:proofErr w:type="spellEnd"/>
          </w:p>
        </w:tc>
        <w:tc>
          <w:tcPr>
            <w:tcW w:w="2097" w:type="dxa"/>
          </w:tcPr>
          <w:p w14:paraId="6C5A7D6E" w14:textId="77777777" w:rsidR="00BB43EC" w:rsidRPr="00BB43EC" w:rsidRDefault="00BB43EC" w:rsidP="00813E59">
            <w:pPr>
              <w:pStyle w:val="C-BodyText"/>
              <w:keepNext/>
              <w:keepLines/>
              <w:spacing w:before="0" w:after="0" w:line="240" w:lineRule="auto"/>
              <w:jc w:val="center"/>
              <w:rPr>
                <w:sz w:val="22"/>
                <w:szCs w:val="22"/>
              </w:rPr>
            </w:pPr>
            <w:r w:rsidRPr="00BB43EC">
              <w:rPr>
                <w:sz w:val="22"/>
                <w:szCs w:val="22"/>
              </w:rPr>
              <w:t>25-fold</w:t>
            </w:r>
          </w:p>
        </w:tc>
        <w:tc>
          <w:tcPr>
            <w:tcW w:w="2098" w:type="dxa"/>
          </w:tcPr>
          <w:p w14:paraId="668AC94A" w14:textId="77777777" w:rsidR="00BB43EC" w:rsidRPr="00BB43EC" w:rsidRDefault="00BB43EC" w:rsidP="00813E59">
            <w:pPr>
              <w:pStyle w:val="C-BodyText"/>
              <w:keepNext/>
              <w:keepLines/>
              <w:spacing w:before="0" w:after="0" w:line="240" w:lineRule="auto"/>
              <w:jc w:val="center"/>
              <w:rPr>
                <w:sz w:val="22"/>
                <w:szCs w:val="22"/>
              </w:rPr>
            </w:pPr>
            <w:r w:rsidRPr="00BB43EC">
              <w:rPr>
                <w:sz w:val="22"/>
                <w:szCs w:val="22"/>
              </w:rPr>
              <w:t xml:space="preserve">no </w:t>
            </w:r>
            <w:proofErr w:type="spellStart"/>
            <w:r w:rsidRPr="00BB43EC">
              <w:rPr>
                <w:sz w:val="22"/>
                <w:szCs w:val="22"/>
              </w:rPr>
              <w:t>change</w:t>
            </w:r>
            <w:r w:rsidRPr="00BB43EC">
              <w:rPr>
                <w:sz w:val="22"/>
                <w:szCs w:val="22"/>
                <w:vertAlign w:val="superscript"/>
              </w:rPr>
              <w:t>a</w:t>
            </w:r>
            <w:proofErr w:type="spellEnd"/>
          </w:p>
        </w:tc>
      </w:tr>
      <w:tr w:rsidR="00BB43EC" w:rsidRPr="00BB43EC" w14:paraId="73859D17" w14:textId="77777777" w:rsidTr="00813E59">
        <w:trPr>
          <w:jc w:val="center"/>
        </w:trPr>
        <w:tc>
          <w:tcPr>
            <w:tcW w:w="2251" w:type="dxa"/>
          </w:tcPr>
          <w:p w14:paraId="72197D64" w14:textId="77777777" w:rsidR="00BB43EC" w:rsidRPr="00BB43EC" w:rsidRDefault="00BB43EC" w:rsidP="00813E59">
            <w:pPr>
              <w:pStyle w:val="C-BodyText"/>
              <w:keepNext/>
              <w:keepLines/>
              <w:spacing w:before="0" w:after="0" w:line="240" w:lineRule="auto"/>
              <w:jc w:val="center"/>
              <w:rPr>
                <w:sz w:val="22"/>
                <w:szCs w:val="22"/>
              </w:rPr>
            </w:pPr>
            <w:r w:rsidRPr="00BB43EC">
              <w:rPr>
                <w:sz w:val="22"/>
                <w:szCs w:val="22"/>
              </w:rPr>
              <w:t>F486V</w:t>
            </w:r>
          </w:p>
        </w:tc>
        <w:tc>
          <w:tcPr>
            <w:tcW w:w="2097" w:type="dxa"/>
          </w:tcPr>
          <w:p w14:paraId="56EC6408" w14:textId="77777777" w:rsidR="00BB43EC" w:rsidRPr="00BB43EC" w:rsidRDefault="00BB43EC" w:rsidP="00813E59">
            <w:pPr>
              <w:pStyle w:val="C-BodyText"/>
              <w:keepNext/>
              <w:keepLines/>
              <w:spacing w:before="0" w:after="0" w:line="240" w:lineRule="auto"/>
              <w:jc w:val="center"/>
              <w:rPr>
                <w:sz w:val="22"/>
                <w:szCs w:val="22"/>
              </w:rPr>
            </w:pPr>
            <w:r w:rsidRPr="00BB43EC">
              <w:rPr>
                <w:sz w:val="22"/>
                <w:szCs w:val="22"/>
              </w:rPr>
              <w:t xml:space="preserve">no </w:t>
            </w:r>
            <w:proofErr w:type="spellStart"/>
            <w:r w:rsidRPr="00BB43EC">
              <w:rPr>
                <w:sz w:val="22"/>
                <w:szCs w:val="22"/>
              </w:rPr>
              <w:t>change</w:t>
            </w:r>
            <w:r w:rsidRPr="00BB43EC">
              <w:rPr>
                <w:sz w:val="22"/>
                <w:szCs w:val="22"/>
                <w:vertAlign w:val="superscript"/>
              </w:rPr>
              <w:t>a</w:t>
            </w:r>
            <w:proofErr w:type="spellEnd"/>
          </w:p>
        </w:tc>
        <w:tc>
          <w:tcPr>
            <w:tcW w:w="2097" w:type="dxa"/>
          </w:tcPr>
          <w:p w14:paraId="45C666BD" w14:textId="77777777" w:rsidR="00BB43EC" w:rsidRPr="00BB43EC" w:rsidRDefault="00BB43EC" w:rsidP="00813E59">
            <w:pPr>
              <w:pStyle w:val="C-BodyText"/>
              <w:keepNext/>
              <w:keepLines/>
              <w:spacing w:before="0" w:after="0" w:line="240" w:lineRule="auto"/>
              <w:jc w:val="center"/>
              <w:rPr>
                <w:sz w:val="22"/>
                <w:szCs w:val="22"/>
              </w:rPr>
            </w:pPr>
            <w:r w:rsidRPr="00BB43EC">
              <w:rPr>
                <w:sz w:val="22"/>
                <w:szCs w:val="22"/>
              </w:rPr>
              <w:t>&gt; 438-fold</w:t>
            </w:r>
          </w:p>
        </w:tc>
        <w:tc>
          <w:tcPr>
            <w:tcW w:w="2098" w:type="dxa"/>
          </w:tcPr>
          <w:p w14:paraId="676046B6" w14:textId="77777777" w:rsidR="00BB43EC" w:rsidRPr="00BB43EC" w:rsidRDefault="00BB43EC" w:rsidP="00813E59">
            <w:pPr>
              <w:pStyle w:val="C-BodyText"/>
              <w:keepNext/>
              <w:keepLines/>
              <w:spacing w:before="0" w:after="0" w:line="240" w:lineRule="auto"/>
              <w:jc w:val="center"/>
              <w:rPr>
                <w:sz w:val="22"/>
                <w:szCs w:val="22"/>
              </w:rPr>
            </w:pPr>
            <w:r w:rsidRPr="00BB43EC">
              <w:rPr>
                <w:sz w:val="22"/>
                <w:szCs w:val="22"/>
              </w:rPr>
              <w:t xml:space="preserve">no </w:t>
            </w:r>
            <w:proofErr w:type="spellStart"/>
            <w:r w:rsidRPr="00BB43EC">
              <w:rPr>
                <w:sz w:val="22"/>
                <w:szCs w:val="22"/>
              </w:rPr>
              <w:t>change</w:t>
            </w:r>
            <w:r w:rsidRPr="00BB43EC">
              <w:rPr>
                <w:sz w:val="22"/>
                <w:szCs w:val="22"/>
                <w:vertAlign w:val="superscript"/>
              </w:rPr>
              <w:t>a</w:t>
            </w:r>
            <w:proofErr w:type="spellEnd"/>
          </w:p>
        </w:tc>
      </w:tr>
      <w:tr w:rsidR="00BB43EC" w:rsidRPr="00BB43EC" w14:paraId="367717EC" w14:textId="77777777" w:rsidTr="00813E59">
        <w:trPr>
          <w:jc w:val="center"/>
        </w:trPr>
        <w:tc>
          <w:tcPr>
            <w:tcW w:w="2251" w:type="dxa"/>
          </w:tcPr>
          <w:p w14:paraId="67E8678D" w14:textId="77777777" w:rsidR="00BB43EC" w:rsidRPr="00BB43EC" w:rsidRDefault="00BB43EC" w:rsidP="00813E59">
            <w:pPr>
              <w:pStyle w:val="C-BodyText"/>
              <w:keepNext/>
              <w:keepLines/>
              <w:spacing w:before="0" w:after="0" w:line="240" w:lineRule="auto"/>
              <w:jc w:val="center"/>
              <w:rPr>
                <w:sz w:val="22"/>
                <w:szCs w:val="22"/>
              </w:rPr>
            </w:pPr>
            <w:r w:rsidRPr="00BB43EC">
              <w:rPr>
                <w:sz w:val="22"/>
                <w:szCs w:val="22"/>
              </w:rPr>
              <w:t>Q493K</w:t>
            </w:r>
          </w:p>
        </w:tc>
        <w:tc>
          <w:tcPr>
            <w:tcW w:w="2097" w:type="dxa"/>
          </w:tcPr>
          <w:p w14:paraId="59D97126" w14:textId="77777777" w:rsidR="00BB43EC" w:rsidRPr="00BB43EC" w:rsidRDefault="00BB43EC" w:rsidP="00813E59">
            <w:pPr>
              <w:pStyle w:val="C-BodyText"/>
              <w:keepNext/>
              <w:keepLines/>
              <w:spacing w:before="0" w:after="0" w:line="240" w:lineRule="auto"/>
              <w:jc w:val="center"/>
              <w:rPr>
                <w:sz w:val="22"/>
                <w:szCs w:val="22"/>
              </w:rPr>
            </w:pPr>
            <w:r w:rsidRPr="00BB43EC">
              <w:rPr>
                <w:sz w:val="22"/>
                <w:szCs w:val="22"/>
              </w:rPr>
              <w:t xml:space="preserve">no </w:t>
            </w:r>
            <w:proofErr w:type="spellStart"/>
            <w:r w:rsidRPr="00BB43EC">
              <w:rPr>
                <w:sz w:val="22"/>
                <w:szCs w:val="22"/>
              </w:rPr>
              <w:t>change</w:t>
            </w:r>
            <w:r w:rsidRPr="00BB43EC">
              <w:rPr>
                <w:sz w:val="22"/>
                <w:szCs w:val="22"/>
                <w:vertAlign w:val="superscript"/>
              </w:rPr>
              <w:t>a</w:t>
            </w:r>
            <w:proofErr w:type="spellEnd"/>
          </w:p>
        </w:tc>
        <w:tc>
          <w:tcPr>
            <w:tcW w:w="2097" w:type="dxa"/>
          </w:tcPr>
          <w:p w14:paraId="05D6B259" w14:textId="77777777" w:rsidR="00BB43EC" w:rsidRPr="00BB43EC" w:rsidRDefault="00BB43EC" w:rsidP="00813E59">
            <w:pPr>
              <w:pStyle w:val="C-BodyText"/>
              <w:keepNext/>
              <w:keepLines/>
              <w:spacing w:before="0" w:after="0" w:line="240" w:lineRule="auto"/>
              <w:jc w:val="center"/>
              <w:rPr>
                <w:sz w:val="22"/>
                <w:szCs w:val="22"/>
              </w:rPr>
            </w:pPr>
            <w:r w:rsidRPr="00BB43EC">
              <w:rPr>
                <w:sz w:val="22"/>
                <w:szCs w:val="22"/>
              </w:rPr>
              <w:t>&gt; 438-fold</w:t>
            </w:r>
          </w:p>
        </w:tc>
        <w:tc>
          <w:tcPr>
            <w:tcW w:w="2098" w:type="dxa"/>
          </w:tcPr>
          <w:p w14:paraId="1884B742" w14:textId="77777777" w:rsidR="00BB43EC" w:rsidRPr="00BB43EC" w:rsidRDefault="00BB43EC" w:rsidP="00813E59">
            <w:pPr>
              <w:pStyle w:val="C-BodyText"/>
              <w:keepNext/>
              <w:keepLines/>
              <w:spacing w:before="0" w:after="0" w:line="240" w:lineRule="auto"/>
              <w:jc w:val="center"/>
              <w:rPr>
                <w:sz w:val="22"/>
                <w:szCs w:val="22"/>
              </w:rPr>
            </w:pPr>
            <w:r w:rsidRPr="00BB43EC">
              <w:rPr>
                <w:sz w:val="22"/>
                <w:szCs w:val="22"/>
              </w:rPr>
              <w:t xml:space="preserve">no </w:t>
            </w:r>
            <w:proofErr w:type="spellStart"/>
            <w:r w:rsidRPr="00BB43EC">
              <w:rPr>
                <w:sz w:val="22"/>
                <w:szCs w:val="22"/>
              </w:rPr>
              <w:t>change</w:t>
            </w:r>
            <w:r w:rsidRPr="00BB43EC">
              <w:rPr>
                <w:sz w:val="22"/>
                <w:szCs w:val="22"/>
                <w:vertAlign w:val="superscript"/>
              </w:rPr>
              <w:t>a</w:t>
            </w:r>
            <w:proofErr w:type="spellEnd"/>
          </w:p>
        </w:tc>
      </w:tr>
      <w:tr w:rsidR="00BB43EC" w:rsidRPr="00BB43EC" w14:paraId="5F292E70" w14:textId="77777777" w:rsidTr="00813E59">
        <w:trPr>
          <w:jc w:val="center"/>
        </w:trPr>
        <w:tc>
          <w:tcPr>
            <w:tcW w:w="2251" w:type="dxa"/>
          </w:tcPr>
          <w:p w14:paraId="11DD9460" w14:textId="77777777" w:rsidR="00BB43EC" w:rsidRPr="00BB43EC" w:rsidRDefault="00BB43EC" w:rsidP="00813E59">
            <w:pPr>
              <w:pStyle w:val="C-BodyText"/>
              <w:keepNext/>
              <w:keepLines/>
              <w:spacing w:before="0" w:after="0" w:line="240" w:lineRule="auto"/>
              <w:jc w:val="center"/>
              <w:rPr>
                <w:sz w:val="22"/>
                <w:szCs w:val="22"/>
              </w:rPr>
            </w:pPr>
            <w:r w:rsidRPr="00BB43EC">
              <w:rPr>
                <w:sz w:val="22"/>
                <w:szCs w:val="22"/>
              </w:rPr>
              <w:t>K444N</w:t>
            </w:r>
          </w:p>
        </w:tc>
        <w:tc>
          <w:tcPr>
            <w:tcW w:w="2097" w:type="dxa"/>
          </w:tcPr>
          <w:p w14:paraId="7C91DFF8" w14:textId="77777777" w:rsidR="00BB43EC" w:rsidRPr="00BB43EC" w:rsidRDefault="00BB43EC" w:rsidP="00813E59">
            <w:pPr>
              <w:pStyle w:val="C-BodyText"/>
              <w:keepNext/>
              <w:keepLines/>
              <w:spacing w:before="0" w:after="0" w:line="240" w:lineRule="auto"/>
              <w:jc w:val="center"/>
              <w:rPr>
                <w:sz w:val="22"/>
                <w:szCs w:val="22"/>
              </w:rPr>
            </w:pPr>
            <w:r w:rsidRPr="00BB43EC">
              <w:rPr>
                <w:sz w:val="22"/>
                <w:szCs w:val="22"/>
              </w:rPr>
              <w:t xml:space="preserve">no </w:t>
            </w:r>
            <w:proofErr w:type="spellStart"/>
            <w:r w:rsidRPr="00BB43EC">
              <w:rPr>
                <w:sz w:val="22"/>
                <w:szCs w:val="22"/>
              </w:rPr>
              <w:t>change</w:t>
            </w:r>
            <w:r w:rsidRPr="00BB43EC">
              <w:rPr>
                <w:sz w:val="22"/>
                <w:szCs w:val="22"/>
                <w:vertAlign w:val="superscript"/>
              </w:rPr>
              <w:t>a</w:t>
            </w:r>
            <w:proofErr w:type="spellEnd"/>
          </w:p>
        </w:tc>
        <w:tc>
          <w:tcPr>
            <w:tcW w:w="2097" w:type="dxa"/>
          </w:tcPr>
          <w:p w14:paraId="034A16AC" w14:textId="77777777" w:rsidR="00BB43EC" w:rsidRPr="00BB43EC" w:rsidRDefault="00BB43EC" w:rsidP="00813E59">
            <w:pPr>
              <w:pStyle w:val="C-BodyText"/>
              <w:keepNext/>
              <w:keepLines/>
              <w:spacing w:before="0" w:after="0" w:line="240" w:lineRule="auto"/>
              <w:jc w:val="center"/>
              <w:rPr>
                <w:sz w:val="22"/>
                <w:szCs w:val="22"/>
              </w:rPr>
            </w:pPr>
            <w:r w:rsidRPr="00BB43EC">
              <w:rPr>
                <w:sz w:val="22"/>
                <w:szCs w:val="22"/>
              </w:rPr>
              <w:t xml:space="preserve">no </w:t>
            </w:r>
            <w:proofErr w:type="spellStart"/>
            <w:r w:rsidRPr="00BB43EC">
              <w:rPr>
                <w:sz w:val="22"/>
                <w:szCs w:val="22"/>
              </w:rPr>
              <w:t>change</w:t>
            </w:r>
            <w:r w:rsidRPr="00BB43EC">
              <w:rPr>
                <w:sz w:val="22"/>
                <w:szCs w:val="22"/>
                <w:vertAlign w:val="superscript"/>
              </w:rPr>
              <w:t>a</w:t>
            </w:r>
            <w:proofErr w:type="spellEnd"/>
          </w:p>
        </w:tc>
        <w:tc>
          <w:tcPr>
            <w:tcW w:w="2098" w:type="dxa"/>
          </w:tcPr>
          <w:p w14:paraId="4C54756A" w14:textId="77777777" w:rsidR="00BB43EC" w:rsidRPr="00BB43EC" w:rsidRDefault="00BB43EC" w:rsidP="00813E59">
            <w:pPr>
              <w:pStyle w:val="C-BodyText"/>
              <w:keepNext/>
              <w:keepLines/>
              <w:spacing w:before="0" w:after="0" w:line="240" w:lineRule="auto"/>
              <w:jc w:val="center"/>
              <w:rPr>
                <w:sz w:val="22"/>
                <w:szCs w:val="22"/>
              </w:rPr>
            </w:pPr>
            <w:r w:rsidRPr="00BB43EC">
              <w:rPr>
                <w:sz w:val="22"/>
                <w:szCs w:val="22"/>
              </w:rPr>
              <w:t>&gt; 755-fold</w:t>
            </w:r>
          </w:p>
        </w:tc>
      </w:tr>
      <w:tr w:rsidR="00BB43EC" w:rsidRPr="00BB43EC" w14:paraId="3679604D" w14:textId="77777777" w:rsidTr="00813E59">
        <w:trPr>
          <w:jc w:val="center"/>
        </w:trPr>
        <w:tc>
          <w:tcPr>
            <w:tcW w:w="2251" w:type="dxa"/>
          </w:tcPr>
          <w:p w14:paraId="49E761BE" w14:textId="77777777" w:rsidR="00BB43EC" w:rsidRPr="00BB43EC" w:rsidRDefault="00BB43EC" w:rsidP="00813E59">
            <w:pPr>
              <w:pStyle w:val="C-BodyText"/>
              <w:keepNext/>
              <w:keepLines/>
              <w:spacing w:before="0" w:after="0" w:line="240" w:lineRule="auto"/>
              <w:jc w:val="center"/>
              <w:rPr>
                <w:sz w:val="22"/>
                <w:szCs w:val="22"/>
              </w:rPr>
            </w:pPr>
            <w:r w:rsidRPr="00BB43EC">
              <w:rPr>
                <w:sz w:val="22"/>
                <w:szCs w:val="22"/>
              </w:rPr>
              <w:t>K444Q</w:t>
            </w:r>
          </w:p>
        </w:tc>
        <w:tc>
          <w:tcPr>
            <w:tcW w:w="2097" w:type="dxa"/>
          </w:tcPr>
          <w:p w14:paraId="4C9D94CF" w14:textId="77777777" w:rsidR="00BB43EC" w:rsidRPr="00BB43EC" w:rsidRDefault="00BB43EC" w:rsidP="00813E59">
            <w:pPr>
              <w:pStyle w:val="C-BodyText"/>
              <w:keepNext/>
              <w:keepLines/>
              <w:spacing w:before="0" w:after="0" w:line="240" w:lineRule="auto"/>
              <w:jc w:val="center"/>
              <w:rPr>
                <w:sz w:val="22"/>
                <w:szCs w:val="22"/>
              </w:rPr>
            </w:pPr>
            <w:r w:rsidRPr="00BB43EC">
              <w:rPr>
                <w:sz w:val="22"/>
                <w:szCs w:val="22"/>
              </w:rPr>
              <w:t xml:space="preserve">no </w:t>
            </w:r>
            <w:proofErr w:type="spellStart"/>
            <w:r w:rsidRPr="00BB43EC">
              <w:rPr>
                <w:sz w:val="22"/>
                <w:szCs w:val="22"/>
              </w:rPr>
              <w:t>change</w:t>
            </w:r>
            <w:r w:rsidRPr="00BB43EC">
              <w:rPr>
                <w:sz w:val="22"/>
                <w:szCs w:val="22"/>
                <w:vertAlign w:val="superscript"/>
              </w:rPr>
              <w:t>a</w:t>
            </w:r>
            <w:proofErr w:type="spellEnd"/>
          </w:p>
        </w:tc>
        <w:tc>
          <w:tcPr>
            <w:tcW w:w="2097" w:type="dxa"/>
          </w:tcPr>
          <w:p w14:paraId="54629A6C" w14:textId="77777777" w:rsidR="00BB43EC" w:rsidRPr="00BB43EC" w:rsidRDefault="00BB43EC" w:rsidP="00813E59">
            <w:pPr>
              <w:pStyle w:val="C-BodyText"/>
              <w:keepNext/>
              <w:keepLines/>
              <w:spacing w:before="0" w:after="0" w:line="240" w:lineRule="auto"/>
              <w:jc w:val="center"/>
              <w:rPr>
                <w:sz w:val="22"/>
                <w:szCs w:val="22"/>
              </w:rPr>
            </w:pPr>
            <w:r w:rsidRPr="00BB43EC">
              <w:rPr>
                <w:sz w:val="22"/>
                <w:szCs w:val="22"/>
              </w:rPr>
              <w:t xml:space="preserve">no </w:t>
            </w:r>
            <w:proofErr w:type="spellStart"/>
            <w:r w:rsidRPr="00BB43EC">
              <w:rPr>
                <w:sz w:val="22"/>
                <w:szCs w:val="22"/>
              </w:rPr>
              <w:t>change</w:t>
            </w:r>
            <w:r w:rsidRPr="00BB43EC">
              <w:rPr>
                <w:sz w:val="22"/>
                <w:szCs w:val="22"/>
                <w:vertAlign w:val="superscript"/>
              </w:rPr>
              <w:t>a</w:t>
            </w:r>
            <w:proofErr w:type="spellEnd"/>
          </w:p>
        </w:tc>
        <w:tc>
          <w:tcPr>
            <w:tcW w:w="2098" w:type="dxa"/>
          </w:tcPr>
          <w:p w14:paraId="65CAF72D" w14:textId="77777777" w:rsidR="00BB43EC" w:rsidRPr="00BB43EC" w:rsidRDefault="00BB43EC" w:rsidP="00813E59">
            <w:pPr>
              <w:pStyle w:val="C-BodyText"/>
              <w:keepNext/>
              <w:keepLines/>
              <w:spacing w:before="0" w:after="0" w:line="240" w:lineRule="auto"/>
              <w:jc w:val="center"/>
              <w:rPr>
                <w:sz w:val="22"/>
                <w:szCs w:val="22"/>
              </w:rPr>
            </w:pPr>
            <w:r w:rsidRPr="00BB43EC">
              <w:rPr>
                <w:sz w:val="22"/>
                <w:szCs w:val="22"/>
              </w:rPr>
              <w:t>&gt; 548-fold</w:t>
            </w:r>
          </w:p>
        </w:tc>
      </w:tr>
      <w:tr w:rsidR="00BB43EC" w:rsidRPr="00BB43EC" w14:paraId="1D4CF512" w14:textId="77777777" w:rsidTr="00813E59">
        <w:trPr>
          <w:jc w:val="center"/>
        </w:trPr>
        <w:tc>
          <w:tcPr>
            <w:tcW w:w="2251" w:type="dxa"/>
          </w:tcPr>
          <w:p w14:paraId="6970337A" w14:textId="77777777" w:rsidR="00BB43EC" w:rsidRPr="00BB43EC" w:rsidRDefault="00BB43EC" w:rsidP="00813E59">
            <w:pPr>
              <w:pStyle w:val="C-BodyText"/>
              <w:keepNext/>
              <w:keepLines/>
              <w:spacing w:before="0" w:after="0" w:line="240" w:lineRule="auto"/>
              <w:jc w:val="center"/>
              <w:rPr>
                <w:sz w:val="22"/>
                <w:szCs w:val="22"/>
              </w:rPr>
            </w:pPr>
            <w:r w:rsidRPr="00BB43EC">
              <w:rPr>
                <w:sz w:val="22"/>
                <w:szCs w:val="22"/>
              </w:rPr>
              <w:t>K444T</w:t>
            </w:r>
          </w:p>
        </w:tc>
        <w:tc>
          <w:tcPr>
            <w:tcW w:w="2097" w:type="dxa"/>
          </w:tcPr>
          <w:p w14:paraId="1073B06E" w14:textId="77777777" w:rsidR="00BB43EC" w:rsidRPr="00BB43EC" w:rsidRDefault="00BB43EC" w:rsidP="00813E59">
            <w:pPr>
              <w:pStyle w:val="C-BodyText"/>
              <w:keepNext/>
              <w:keepLines/>
              <w:spacing w:before="0" w:after="0" w:line="240" w:lineRule="auto"/>
              <w:jc w:val="center"/>
              <w:rPr>
                <w:sz w:val="22"/>
                <w:szCs w:val="22"/>
              </w:rPr>
            </w:pPr>
            <w:r w:rsidRPr="00BB43EC">
              <w:rPr>
                <w:sz w:val="22"/>
                <w:szCs w:val="22"/>
              </w:rPr>
              <w:t>6-fold</w:t>
            </w:r>
          </w:p>
        </w:tc>
        <w:tc>
          <w:tcPr>
            <w:tcW w:w="2097" w:type="dxa"/>
          </w:tcPr>
          <w:p w14:paraId="41442F06" w14:textId="77777777" w:rsidR="00BB43EC" w:rsidRPr="00BB43EC" w:rsidRDefault="00BB43EC" w:rsidP="00813E59">
            <w:pPr>
              <w:pStyle w:val="C-BodyText"/>
              <w:keepNext/>
              <w:keepLines/>
              <w:spacing w:before="0" w:after="0" w:line="240" w:lineRule="auto"/>
              <w:jc w:val="center"/>
              <w:rPr>
                <w:sz w:val="22"/>
                <w:szCs w:val="22"/>
              </w:rPr>
            </w:pPr>
            <w:r w:rsidRPr="00BB43EC">
              <w:rPr>
                <w:sz w:val="22"/>
                <w:szCs w:val="22"/>
              </w:rPr>
              <w:t xml:space="preserve">no </w:t>
            </w:r>
            <w:proofErr w:type="spellStart"/>
            <w:r w:rsidRPr="00BB43EC">
              <w:rPr>
                <w:sz w:val="22"/>
                <w:szCs w:val="22"/>
              </w:rPr>
              <w:t>change</w:t>
            </w:r>
            <w:r w:rsidRPr="00BB43EC">
              <w:rPr>
                <w:sz w:val="22"/>
                <w:szCs w:val="22"/>
                <w:vertAlign w:val="superscript"/>
              </w:rPr>
              <w:t>a</w:t>
            </w:r>
            <w:proofErr w:type="spellEnd"/>
          </w:p>
        </w:tc>
        <w:tc>
          <w:tcPr>
            <w:tcW w:w="2098" w:type="dxa"/>
          </w:tcPr>
          <w:p w14:paraId="6FCCC275" w14:textId="77777777" w:rsidR="00BB43EC" w:rsidRPr="00BB43EC" w:rsidRDefault="00BB43EC" w:rsidP="00813E59">
            <w:pPr>
              <w:pStyle w:val="C-BodyText"/>
              <w:keepNext/>
              <w:keepLines/>
              <w:spacing w:before="0" w:after="0" w:line="240" w:lineRule="auto"/>
              <w:jc w:val="center"/>
              <w:rPr>
                <w:sz w:val="22"/>
                <w:szCs w:val="22"/>
              </w:rPr>
            </w:pPr>
            <w:r w:rsidRPr="00BB43EC">
              <w:rPr>
                <w:sz w:val="22"/>
                <w:szCs w:val="22"/>
              </w:rPr>
              <w:t>&gt; 1033-fold</w:t>
            </w:r>
          </w:p>
        </w:tc>
      </w:tr>
      <w:tr w:rsidR="00BB43EC" w:rsidRPr="00BB43EC" w14:paraId="6597A8F7" w14:textId="77777777" w:rsidTr="00813E59">
        <w:trPr>
          <w:jc w:val="center"/>
        </w:trPr>
        <w:tc>
          <w:tcPr>
            <w:tcW w:w="2251" w:type="dxa"/>
          </w:tcPr>
          <w:p w14:paraId="2C62830A" w14:textId="77777777" w:rsidR="00BB43EC" w:rsidRPr="00BB43EC" w:rsidRDefault="00BB43EC" w:rsidP="00813E59">
            <w:pPr>
              <w:pStyle w:val="C-BodyText"/>
              <w:keepNext/>
              <w:keepLines/>
              <w:spacing w:before="0" w:after="0" w:line="240" w:lineRule="auto"/>
              <w:jc w:val="center"/>
              <w:rPr>
                <w:sz w:val="22"/>
                <w:szCs w:val="22"/>
              </w:rPr>
            </w:pPr>
            <w:r w:rsidRPr="00BB43EC">
              <w:rPr>
                <w:sz w:val="22"/>
                <w:szCs w:val="22"/>
              </w:rPr>
              <w:t>V445A</w:t>
            </w:r>
          </w:p>
        </w:tc>
        <w:tc>
          <w:tcPr>
            <w:tcW w:w="2097" w:type="dxa"/>
          </w:tcPr>
          <w:p w14:paraId="5A49E5C1" w14:textId="77777777" w:rsidR="00BB43EC" w:rsidRPr="00BB43EC" w:rsidRDefault="00BB43EC" w:rsidP="00813E59">
            <w:pPr>
              <w:pStyle w:val="C-BodyText"/>
              <w:keepNext/>
              <w:keepLines/>
              <w:spacing w:before="0" w:after="0" w:line="240" w:lineRule="auto"/>
              <w:jc w:val="center"/>
              <w:rPr>
                <w:sz w:val="22"/>
                <w:szCs w:val="22"/>
              </w:rPr>
            </w:pPr>
            <w:r w:rsidRPr="00BB43EC">
              <w:rPr>
                <w:sz w:val="22"/>
                <w:szCs w:val="22"/>
              </w:rPr>
              <w:t xml:space="preserve"> no </w:t>
            </w:r>
            <w:proofErr w:type="spellStart"/>
            <w:r w:rsidRPr="00BB43EC">
              <w:rPr>
                <w:sz w:val="22"/>
                <w:szCs w:val="22"/>
              </w:rPr>
              <w:t>change</w:t>
            </w:r>
            <w:r w:rsidRPr="00BB43EC">
              <w:rPr>
                <w:sz w:val="22"/>
                <w:szCs w:val="22"/>
                <w:vertAlign w:val="superscript"/>
              </w:rPr>
              <w:t>a</w:t>
            </w:r>
            <w:proofErr w:type="spellEnd"/>
          </w:p>
        </w:tc>
        <w:tc>
          <w:tcPr>
            <w:tcW w:w="2097" w:type="dxa"/>
          </w:tcPr>
          <w:p w14:paraId="6000161F" w14:textId="77777777" w:rsidR="00BB43EC" w:rsidRPr="00BB43EC" w:rsidRDefault="00BB43EC" w:rsidP="00813E59">
            <w:pPr>
              <w:pStyle w:val="C-BodyText"/>
              <w:keepNext/>
              <w:keepLines/>
              <w:spacing w:before="0" w:after="0" w:line="240" w:lineRule="auto"/>
              <w:jc w:val="center"/>
              <w:rPr>
                <w:sz w:val="22"/>
                <w:szCs w:val="22"/>
              </w:rPr>
            </w:pPr>
            <w:r w:rsidRPr="00BB43EC">
              <w:rPr>
                <w:sz w:val="22"/>
                <w:szCs w:val="22"/>
              </w:rPr>
              <w:t xml:space="preserve">no </w:t>
            </w:r>
            <w:proofErr w:type="spellStart"/>
            <w:r w:rsidRPr="00BB43EC">
              <w:rPr>
                <w:sz w:val="22"/>
                <w:szCs w:val="22"/>
              </w:rPr>
              <w:t>change</w:t>
            </w:r>
            <w:r w:rsidRPr="00BB43EC">
              <w:rPr>
                <w:sz w:val="22"/>
                <w:szCs w:val="22"/>
                <w:vertAlign w:val="superscript"/>
              </w:rPr>
              <w:t>a</w:t>
            </w:r>
            <w:proofErr w:type="spellEnd"/>
          </w:p>
        </w:tc>
        <w:tc>
          <w:tcPr>
            <w:tcW w:w="2098" w:type="dxa"/>
          </w:tcPr>
          <w:p w14:paraId="7E5D8A82" w14:textId="77777777" w:rsidR="00BB43EC" w:rsidRPr="00BB43EC" w:rsidRDefault="00BB43EC" w:rsidP="00813E59">
            <w:pPr>
              <w:pStyle w:val="C-BodyText"/>
              <w:keepNext/>
              <w:keepLines/>
              <w:spacing w:before="0" w:after="0" w:line="240" w:lineRule="auto"/>
              <w:jc w:val="center"/>
              <w:rPr>
                <w:sz w:val="22"/>
                <w:szCs w:val="22"/>
              </w:rPr>
            </w:pPr>
            <w:r w:rsidRPr="00BB43EC">
              <w:rPr>
                <w:sz w:val="22"/>
                <w:szCs w:val="22"/>
              </w:rPr>
              <w:t>548-fold</w:t>
            </w:r>
          </w:p>
        </w:tc>
      </w:tr>
      <w:tr w:rsidR="00BB43EC" w:rsidRPr="00BB43EC" w14:paraId="454172AC" w14:textId="77777777" w:rsidTr="00813E59">
        <w:trPr>
          <w:jc w:val="center"/>
        </w:trPr>
        <w:tc>
          <w:tcPr>
            <w:tcW w:w="2251" w:type="dxa"/>
          </w:tcPr>
          <w:p w14:paraId="063A02CC" w14:textId="77777777" w:rsidR="00BB43EC" w:rsidRPr="00BB43EC" w:rsidRDefault="00BB43EC" w:rsidP="00813E59">
            <w:pPr>
              <w:pStyle w:val="C-BodyText"/>
              <w:spacing w:before="0" w:after="0" w:line="240" w:lineRule="auto"/>
              <w:jc w:val="center"/>
              <w:rPr>
                <w:sz w:val="22"/>
                <w:szCs w:val="22"/>
              </w:rPr>
            </w:pPr>
            <w:r w:rsidRPr="00BB43EC">
              <w:rPr>
                <w:sz w:val="22"/>
                <w:szCs w:val="22"/>
              </w:rPr>
              <w:t>V445T</w:t>
            </w:r>
          </w:p>
        </w:tc>
        <w:tc>
          <w:tcPr>
            <w:tcW w:w="2097" w:type="dxa"/>
          </w:tcPr>
          <w:p w14:paraId="7A89F145" w14:textId="77777777" w:rsidR="00BB43EC" w:rsidRPr="00BB43EC" w:rsidRDefault="00BB43EC" w:rsidP="00813E59">
            <w:pPr>
              <w:pStyle w:val="C-BodyText"/>
              <w:keepNext/>
              <w:keepLines/>
              <w:spacing w:before="0" w:after="0" w:line="240" w:lineRule="auto"/>
              <w:jc w:val="center"/>
              <w:rPr>
                <w:sz w:val="22"/>
                <w:szCs w:val="22"/>
              </w:rPr>
            </w:pPr>
            <w:r w:rsidRPr="00BB43EC">
              <w:rPr>
                <w:sz w:val="22"/>
                <w:szCs w:val="22"/>
              </w:rPr>
              <w:t xml:space="preserve">no </w:t>
            </w:r>
            <w:proofErr w:type="spellStart"/>
            <w:r w:rsidRPr="00BB43EC">
              <w:rPr>
                <w:sz w:val="22"/>
                <w:szCs w:val="22"/>
              </w:rPr>
              <w:t>change</w:t>
            </w:r>
            <w:r w:rsidRPr="00BB43EC">
              <w:rPr>
                <w:sz w:val="22"/>
                <w:szCs w:val="22"/>
                <w:vertAlign w:val="superscript"/>
              </w:rPr>
              <w:t>a</w:t>
            </w:r>
            <w:proofErr w:type="spellEnd"/>
          </w:p>
        </w:tc>
        <w:tc>
          <w:tcPr>
            <w:tcW w:w="2097" w:type="dxa"/>
          </w:tcPr>
          <w:p w14:paraId="18F9E7DE" w14:textId="77777777" w:rsidR="00BB43EC" w:rsidRPr="00BB43EC" w:rsidRDefault="00BB43EC" w:rsidP="00813E59">
            <w:pPr>
              <w:pStyle w:val="C-BodyText"/>
              <w:keepNext/>
              <w:keepLines/>
              <w:spacing w:before="0" w:after="0" w:line="240" w:lineRule="auto"/>
              <w:jc w:val="center"/>
              <w:rPr>
                <w:sz w:val="22"/>
                <w:szCs w:val="22"/>
              </w:rPr>
            </w:pPr>
            <w:r w:rsidRPr="00BB43EC">
              <w:rPr>
                <w:sz w:val="22"/>
                <w:szCs w:val="22"/>
              </w:rPr>
              <w:t>107-fold</w:t>
            </w:r>
          </w:p>
        </w:tc>
        <w:tc>
          <w:tcPr>
            <w:tcW w:w="2098" w:type="dxa"/>
          </w:tcPr>
          <w:p w14:paraId="4640F69B" w14:textId="77777777" w:rsidR="00BB43EC" w:rsidRPr="00BB43EC" w:rsidRDefault="00BB43EC" w:rsidP="00813E59">
            <w:pPr>
              <w:pStyle w:val="C-BodyText"/>
              <w:keepNext/>
              <w:keepLines/>
              <w:spacing w:before="0" w:after="0" w:line="240" w:lineRule="auto"/>
              <w:jc w:val="center"/>
              <w:rPr>
                <w:sz w:val="22"/>
                <w:szCs w:val="22"/>
              </w:rPr>
            </w:pPr>
            <w:r w:rsidRPr="00BB43EC">
              <w:rPr>
                <w:sz w:val="22"/>
                <w:szCs w:val="22"/>
              </w:rPr>
              <w:t xml:space="preserve">no </w:t>
            </w:r>
            <w:proofErr w:type="spellStart"/>
            <w:r w:rsidRPr="00BB43EC">
              <w:rPr>
                <w:sz w:val="22"/>
                <w:szCs w:val="22"/>
              </w:rPr>
              <w:t>change</w:t>
            </w:r>
            <w:r w:rsidRPr="00BB43EC">
              <w:rPr>
                <w:sz w:val="22"/>
                <w:szCs w:val="22"/>
                <w:vertAlign w:val="superscript"/>
              </w:rPr>
              <w:t>a</w:t>
            </w:r>
            <w:proofErr w:type="spellEnd"/>
          </w:p>
        </w:tc>
      </w:tr>
      <w:tr w:rsidR="00BB43EC" w:rsidRPr="00BB43EC" w14:paraId="41693E66" w14:textId="77777777" w:rsidTr="00813E59">
        <w:trPr>
          <w:jc w:val="center"/>
        </w:trPr>
        <w:tc>
          <w:tcPr>
            <w:tcW w:w="2251" w:type="dxa"/>
          </w:tcPr>
          <w:p w14:paraId="7AD90C91" w14:textId="77777777" w:rsidR="00BB43EC" w:rsidRPr="00BB43EC" w:rsidRDefault="00BB43EC" w:rsidP="00813E59">
            <w:pPr>
              <w:pStyle w:val="C-BodyText"/>
              <w:keepNext/>
              <w:keepLines/>
              <w:spacing w:before="0" w:after="0" w:line="240" w:lineRule="auto"/>
              <w:jc w:val="center"/>
              <w:rPr>
                <w:sz w:val="22"/>
                <w:szCs w:val="22"/>
              </w:rPr>
            </w:pPr>
            <w:r w:rsidRPr="00BB43EC">
              <w:rPr>
                <w:sz w:val="22"/>
                <w:szCs w:val="22"/>
              </w:rPr>
              <w:lastRenderedPageBreak/>
              <w:t>E406D</w:t>
            </w:r>
          </w:p>
        </w:tc>
        <w:tc>
          <w:tcPr>
            <w:tcW w:w="2097" w:type="dxa"/>
          </w:tcPr>
          <w:p w14:paraId="73C41FF1" w14:textId="77777777" w:rsidR="00BB43EC" w:rsidRPr="00BB43EC" w:rsidRDefault="00BB43EC" w:rsidP="00813E59">
            <w:pPr>
              <w:pStyle w:val="C-BodyText"/>
              <w:keepNext/>
              <w:keepLines/>
              <w:spacing w:before="0" w:after="0" w:line="240" w:lineRule="auto"/>
              <w:jc w:val="center"/>
              <w:rPr>
                <w:sz w:val="22"/>
                <w:szCs w:val="22"/>
              </w:rPr>
            </w:pPr>
            <w:r w:rsidRPr="00BB43EC">
              <w:rPr>
                <w:sz w:val="22"/>
                <w:szCs w:val="22"/>
              </w:rPr>
              <w:t xml:space="preserve">no </w:t>
            </w:r>
            <w:proofErr w:type="spellStart"/>
            <w:r w:rsidRPr="00BB43EC">
              <w:rPr>
                <w:sz w:val="22"/>
                <w:szCs w:val="22"/>
              </w:rPr>
              <w:t>change</w:t>
            </w:r>
            <w:r w:rsidRPr="00BB43EC">
              <w:rPr>
                <w:sz w:val="22"/>
                <w:szCs w:val="22"/>
                <w:vertAlign w:val="superscript"/>
              </w:rPr>
              <w:t>a</w:t>
            </w:r>
            <w:proofErr w:type="spellEnd"/>
          </w:p>
        </w:tc>
        <w:tc>
          <w:tcPr>
            <w:tcW w:w="2097" w:type="dxa"/>
          </w:tcPr>
          <w:p w14:paraId="460A57C3" w14:textId="77777777" w:rsidR="00BB43EC" w:rsidRPr="00BB43EC" w:rsidRDefault="00BB43EC" w:rsidP="00813E59">
            <w:pPr>
              <w:pStyle w:val="C-BodyText"/>
              <w:keepNext/>
              <w:keepLines/>
              <w:spacing w:before="0" w:after="0" w:line="240" w:lineRule="auto"/>
              <w:jc w:val="center"/>
              <w:rPr>
                <w:sz w:val="22"/>
                <w:szCs w:val="22"/>
              </w:rPr>
            </w:pPr>
            <w:r w:rsidRPr="00BB43EC">
              <w:rPr>
                <w:sz w:val="22"/>
                <w:szCs w:val="22"/>
              </w:rPr>
              <w:t>51-fold</w:t>
            </w:r>
          </w:p>
        </w:tc>
        <w:tc>
          <w:tcPr>
            <w:tcW w:w="2098" w:type="dxa"/>
          </w:tcPr>
          <w:p w14:paraId="15D5AD62" w14:textId="77777777" w:rsidR="00BB43EC" w:rsidRPr="00BB43EC" w:rsidRDefault="00BB43EC" w:rsidP="00813E59">
            <w:pPr>
              <w:pStyle w:val="C-BodyText"/>
              <w:keepNext/>
              <w:keepLines/>
              <w:spacing w:before="0" w:after="0" w:line="240" w:lineRule="auto"/>
              <w:jc w:val="center"/>
              <w:rPr>
                <w:sz w:val="22"/>
                <w:szCs w:val="22"/>
              </w:rPr>
            </w:pPr>
            <w:r w:rsidRPr="00BB43EC">
              <w:rPr>
                <w:sz w:val="22"/>
                <w:szCs w:val="22"/>
              </w:rPr>
              <w:t xml:space="preserve">no </w:t>
            </w:r>
            <w:proofErr w:type="spellStart"/>
            <w:r w:rsidRPr="00BB43EC">
              <w:rPr>
                <w:sz w:val="22"/>
                <w:szCs w:val="22"/>
              </w:rPr>
              <w:t>change</w:t>
            </w:r>
            <w:r w:rsidRPr="00BB43EC">
              <w:rPr>
                <w:sz w:val="22"/>
                <w:szCs w:val="22"/>
                <w:vertAlign w:val="superscript"/>
              </w:rPr>
              <w:t>a</w:t>
            </w:r>
            <w:proofErr w:type="spellEnd"/>
          </w:p>
        </w:tc>
      </w:tr>
      <w:tr w:rsidR="00BB43EC" w:rsidRPr="00BB43EC" w14:paraId="61E43D7D" w14:textId="77777777" w:rsidTr="00813E59">
        <w:trPr>
          <w:jc w:val="center"/>
        </w:trPr>
        <w:tc>
          <w:tcPr>
            <w:tcW w:w="2251" w:type="dxa"/>
          </w:tcPr>
          <w:p w14:paraId="7D8BB8ED" w14:textId="77777777" w:rsidR="00BB43EC" w:rsidRPr="00BB43EC" w:rsidRDefault="00BB43EC" w:rsidP="00813E59">
            <w:pPr>
              <w:pStyle w:val="C-BodyText"/>
              <w:keepNext/>
              <w:keepLines/>
              <w:spacing w:before="0" w:after="0" w:line="240" w:lineRule="auto"/>
              <w:jc w:val="center"/>
              <w:rPr>
                <w:sz w:val="22"/>
                <w:szCs w:val="22"/>
              </w:rPr>
            </w:pPr>
            <w:r w:rsidRPr="00BB43EC">
              <w:rPr>
                <w:sz w:val="22"/>
                <w:szCs w:val="22"/>
              </w:rPr>
              <w:t>G485D</w:t>
            </w:r>
          </w:p>
        </w:tc>
        <w:tc>
          <w:tcPr>
            <w:tcW w:w="2097" w:type="dxa"/>
          </w:tcPr>
          <w:p w14:paraId="74424F2F" w14:textId="77777777" w:rsidR="00BB43EC" w:rsidRPr="00BB43EC" w:rsidRDefault="00BB43EC" w:rsidP="00813E59">
            <w:pPr>
              <w:pStyle w:val="C-BodyText"/>
              <w:keepNext/>
              <w:keepLines/>
              <w:spacing w:before="0" w:after="0" w:line="240" w:lineRule="auto"/>
              <w:jc w:val="center"/>
              <w:rPr>
                <w:sz w:val="22"/>
                <w:szCs w:val="22"/>
              </w:rPr>
            </w:pPr>
            <w:r w:rsidRPr="00BB43EC">
              <w:rPr>
                <w:sz w:val="22"/>
                <w:szCs w:val="22"/>
              </w:rPr>
              <w:t xml:space="preserve">no </w:t>
            </w:r>
            <w:proofErr w:type="spellStart"/>
            <w:r w:rsidRPr="00BB43EC">
              <w:rPr>
                <w:sz w:val="22"/>
                <w:szCs w:val="22"/>
              </w:rPr>
              <w:t>change</w:t>
            </w:r>
            <w:r w:rsidRPr="00BB43EC">
              <w:rPr>
                <w:sz w:val="22"/>
                <w:szCs w:val="22"/>
                <w:vertAlign w:val="superscript"/>
              </w:rPr>
              <w:t>a</w:t>
            </w:r>
            <w:proofErr w:type="spellEnd"/>
          </w:p>
        </w:tc>
        <w:tc>
          <w:tcPr>
            <w:tcW w:w="2097" w:type="dxa"/>
          </w:tcPr>
          <w:p w14:paraId="2EE4BE47" w14:textId="77777777" w:rsidR="00BB43EC" w:rsidRPr="00BB43EC" w:rsidRDefault="00BB43EC" w:rsidP="00813E59">
            <w:pPr>
              <w:pStyle w:val="C-BodyText"/>
              <w:keepNext/>
              <w:keepLines/>
              <w:spacing w:before="0" w:after="0" w:line="240" w:lineRule="auto"/>
              <w:jc w:val="center"/>
              <w:rPr>
                <w:sz w:val="22"/>
                <w:szCs w:val="22"/>
              </w:rPr>
            </w:pPr>
            <w:r w:rsidRPr="00BB43EC">
              <w:rPr>
                <w:sz w:val="22"/>
                <w:szCs w:val="22"/>
              </w:rPr>
              <w:t>5-fold</w:t>
            </w:r>
          </w:p>
        </w:tc>
        <w:tc>
          <w:tcPr>
            <w:tcW w:w="2098" w:type="dxa"/>
          </w:tcPr>
          <w:p w14:paraId="18647B8B" w14:textId="77777777" w:rsidR="00BB43EC" w:rsidRPr="00BB43EC" w:rsidRDefault="00BB43EC" w:rsidP="00813E59">
            <w:pPr>
              <w:pStyle w:val="C-BodyText"/>
              <w:keepNext/>
              <w:keepLines/>
              <w:spacing w:before="0" w:after="0" w:line="240" w:lineRule="auto"/>
              <w:jc w:val="center"/>
              <w:rPr>
                <w:sz w:val="22"/>
                <w:szCs w:val="22"/>
              </w:rPr>
            </w:pPr>
            <w:r w:rsidRPr="00BB43EC">
              <w:rPr>
                <w:sz w:val="22"/>
                <w:szCs w:val="22"/>
              </w:rPr>
              <w:t xml:space="preserve">no </w:t>
            </w:r>
            <w:proofErr w:type="spellStart"/>
            <w:r w:rsidRPr="00BB43EC">
              <w:rPr>
                <w:sz w:val="22"/>
                <w:szCs w:val="22"/>
              </w:rPr>
              <w:t>change</w:t>
            </w:r>
            <w:r w:rsidRPr="00BB43EC">
              <w:rPr>
                <w:sz w:val="22"/>
                <w:szCs w:val="22"/>
                <w:vertAlign w:val="superscript"/>
              </w:rPr>
              <w:t>a</w:t>
            </w:r>
            <w:proofErr w:type="spellEnd"/>
          </w:p>
        </w:tc>
      </w:tr>
      <w:tr w:rsidR="00BB43EC" w:rsidRPr="00BB43EC" w14:paraId="47007262" w14:textId="77777777" w:rsidTr="00813E59">
        <w:trPr>
          <w:jc w:val="center"/>
        </w:trPr>
        <w:tc>
          <w:tcPr>
            <w:tcW w:w="2251" w:type="dxa"/>
          </w:tcPr>
          <w:p w14:paraId="0C17D4E2" w14:textId="77777777" w:rsidR="00BB43EC" w:rsidRPr="00BB43EC" w:rsidRDefault="00BB43EC" w:rsidP="00813E59">
            <w:pPr>
              <w:pStyle w:val="C-BodyText"/>
              <w:keepNext/>
              <w:keepLines/>
              <w:spacing w:before="0" w:after="0" w:line="240" w:lineRule="auto"/>
              <w:jc w:val="center"/>
              <w:rPr>
                <w:sz w:val="22"/>
                <w:szCs w:val="22"/>
              </w:rPr>
            </w:pPr>
            <w:r w:rsidRPr="00BB43EC">
              <w:rPr>
                <w:sz w:val="22"/>
                <w:szCs w:val="22"/>
              </w:rPr>
              <w:t>G476S</w:t>
            </w:r>
          </w:p>
        </w:tc>
        <w:tc>
          <w:tcPr>
            <w:tcW w:w="2097" w:type="dxa"/>
          </w:tcPr>
          <w:p w14:paraId="094E87DE" w14:textId="77777777" w:rsidR="00BB43EC" w:rsidRPr="00BB43EC" w:rsidRDefault="00BB43EC" w:rsidP="00813E59">
            <w:pPr>
              <w:pStyle w:val="C-BodyText"/>
              <w:keepNext/>
              <w:keepLines/>
              <w:spacing w:before="0" w:after="0" w:line="240" w:lineRule="auto"/>
              <w:jc w:val="center"/>
              <w:rPr>
                <w:sz w:val="22"/>
                <w:szCs w:val="22"/>
              </w:rPr>
            </w:pPr>
            <w:r w:rsidRPr="00BB43EC">
              <w:rPr>
                <w:sz w:val="22"/>
                <w:szCs w:val="22"/>
              </w:rPr>
              <w:t xml:space="preserve">no </w:t>
            </w:r>
            <w:proofErr w:type="spellStart"/>
            <w:r w:rsidRPr="00BB43EC">
              <w:rPr>
                <w:sz w:val="22"/>
                <w:szCs w:val="22"/>
              </w:rPr>
              <w:t>change</w:t>
            </w:r>
            <w:r w:rsidRPr="00BB43EC">
              <w:rPr>
                <w:sz w:val="22"/>
                <w:szCs w:val="22"/>
                <w:vertAlign w:val="superscript"/>
              </w:rPr>
              <w:t>a</w:t>
            </w:r>
            <w:proofErr w:type="spellEnd"/>
          </w:p>
        </w:tc>
        <w:tc>
          <w:tcPr>
            <w:tcW w:w="2097" w:type="dxa"/>
          </w:tcPr>
          <w:p w14:paraId="24BF181B" w14:textId="77777777" w:rsidR="00BB43EC" w:rsidRPr="00BB43EC" w:rsidRDefault="00BB43EC" w:rsidP="00813E59">
            <w:pPr>
              <w:pStyle w:val="C-BodyText"/>
              <w:keepNext/>
              <w:keepLines/>
              <w:spacing w:before="0" w:after="0" w:line="240" w:lineRule="auto"/>
              <w:jc w:val="center"/>
              <w:rPr>
                <w:sz w:val="22"/>
                <w:szCs w:val="22"/>
              </w:rPr>
            </w:pPr>
            <w:r w:rsidRPr="00BB43EC">
              <w:rPr>
                <w:sz w:val="22"/>
                <w:szCs w:val="22"/>
              </w:rPr>
              <w:t>5-fold</w:t>
            </w:r>
          </w:p>
        </w:tc>
        <w:tc>
          <w:tcPr>
            <w:tcW w:w="2098" w:type="dxa"/>
          </w:tcPr>
          <w:p w14:paraId="520C9016" w14:textId="77777777" w:rsidR="00BB43EC" w:rsidRPr="00BB43EC" w:rsidRDefault="00BB43EC" w:rsidP="00813E59">
            <w:pPr>
              <w:pStyle w:val="C-BodyText"/>
              <w:keepNext/>
              <w:keepLines/>
              <w:spacing w:before="0" w:after="0" w:line="240" w:lineRule="auto"/>
              <w:jc w:val="center"/>
              <w:rPr>
                <w:sz w:val="22"/>
                <w:szCs w:val="22"/>
              </w:rPr>
            </w:pPr>
            <w:r w:rsidRPr="00BB43EC">
              <w:rPr>
                <w:sz w:val="22"/>
                <w:szCs w:val="22"/>
              </w:rPr>
              <w:t xml:space="preserve">no </w:t>
            </w:r>
            <w:proofErr w:type="spellStart"/>
            <w:r w:rsidRPr="00BB43EC">
              <w:rPr>
                <w:sz w:val="22"/>
                <w:szCs w:val="22"/>
              </w:rPr>
              <w:t>change</w:t>
            </w:r>
            <w:r w:rsidRPr="00BB43EC">
              <w:rPr>
                <w:sz w:val="22"/>
                <w:szCs w:val="22"/>
                <w:vertAlign w:val="superscript"/>
              </w:rPr>
              <w:t>a</w:t>
            </w:r>
            <w:proofErr w:type="spellEnd"/>
          </w:p>
        </w:tc>
      </w:tr>
      <w:tr w:rsidR="00BB43EC" w:rsidRPr="00BB43EC" w14:paraId="06FDDB65" w14:textId="77777777" w:rsidTr="00813E59">
        <w:trPr>
          <w:jc w:val="center"/>
        </w:trPr>
        <w:tc>
          <w:tcPr>
            <w:tcW w:w="2251" w:type="dxa"/>
          </w:tcPr>
          <w:p w14:paraId="773103FF" w14:textId="77777777" w:rsidR="00BB43EC" w:rsidRPr="00BB43EC" w:rsidRDefault="00BB43EC" w:rsidP="00813E59">
            <w:pPr>
              <w:pStyle w:val="C-BodyText"/>
              <w:keepNext/>
              <w:keepLines/>
              <w:spacing w:before="0" w:after="0" w:line="240" w:lineRule="auto"/>
              <w:jc w:val="center"/>
              <w:rPr>
                <w:sz w:val="22"/>
                <w:szCs w:val="22"/>
              </w:rPr>
            </w:pPr>
            <w:r w:rsidRPr="00BB43EC">
              <w:rPr>
                <w:sz w:val="22"/>
                <w:szCs w:val="22"/>
              </w:rPr>
              <w:t>F486L</w:t>
            </w:r>
          </w:p>
        </w:tc>
        <w:tc>
          <w:tcPr>
            <w:tcW w:w="2097" w:type="dxa"/>
          </w:tcPr>
          <w:p w14:paraId="2E734B25" w14:textId="77777777" w:rsidR="00BB43EC" w:rsidRPr="00BB43EC" w:rsidRDefault="00BB43EC" w:rsidP="00813E59">
            <w:pPr>
              <w:pStyle w:val="C-BodyText"/>
              <w:keepNext/>
              <w:keepLines/>
              <w:spacing w:before="0" w:after="0" w:line="240" w:lineRule="auto"/>
              <w:jc w:val="center"/>
              <w:rPr>
                <w:sz w:val="22"/>
                <w:szCs w:val="22"/>
              </w:rPr>
            </w:pPr>
            <w:r w:rsidRPr="00BB43EC">
              <w:rPr>
                <w:sz w:val="22"/>
                <w:szCs w:val="22"/>
              </w:rPr>
              <w:t xml:space="preserve">no </w:t>
            </w:r>
            <w:proofErr w:type="spellStart"/>
            <w:r w:rsidRPr="00BB43EC">
              <w:rPr>
                <w:sz w:val="22"/>
                <w:szCs w:val="22"/>
              </w:rPr>
              <w:t>change</w:t>
            </w:r>
            <w:r w:rsidRPr="00BB43EC">
              <w:rPr>
                <w:sz w:val="22"/>
                <w:szCs w:val="22"/>
                <w:vertAlign w:val="superscript"/>
              </w:rPr>
              <w:t>a</w:t>
            </w:r>
            <w:proofErr w:type="spellEnd"/>
          </w:p>
        </w:tc>
        <w:tc>
          <w:tcPr>
            <w:tcW w:w="2097" w:type="dxa"/>
          </w:tcPr>
          <w:p w14:paraId="18168783" w14:textId="77777777" w:rsidR="00BB43EC" w:rsidRPr="00BB43EC" w:rsidRDefault="00BB43EC" w:rsidP="00813E59">
            <w:pPr>
              <w:pStyle w:val="C-BodyText"/>
              <w:keepNext/>
              <w:keepLines/>
              <w:spacing w:before="0" w:after="0" w:line="240" w:lineRule="auto"/>
              <w:jc w:val="center"/>
              <w:rPr>
                <w:sz w:val="22"/>
                <w:szCs w:val="22"/>
              </w:rPr>
            </w:pPr>
            <w:r w:rsidRPr="00BB43EC">
              <w:rPr>
                <w:sz w:val="22"/>
                <w:szCs w:val="22"/>
              </w:rPr>
              <w:t>61-fold</w:t>
            </w:r>
          </w:p>
        </w:tc>
        <w:tc>
          <w:tcPr>
            <w:tcW w:w="2098" w:type="dxa"/>
          </w:tcPr>
          <w:p w14:paraId="3359617E" w14:textId="77777777" w:rsidR="00BB43EC" w:rsidRPr="00BB43EC" w:rsidRDefault="00BB43EC" w:rsidP="00813E59">
            <w:pPr>
              <w:pStyle w:val="C-BodyText"/>
              <w:keepNext/>
              <w:keepLines/>
              <w:spacing w:before="0" w:after="0" w:line="240" w:lineRule="auto"/>
              <w:jc w:val="center"/>
              <w:rPr>
                <w:sz w:val="22"/>
                <w:szCs w:val="22"/>
              </w:rPr>
            </w:pPr>
            <w:r w:rsidRPr="00BB43EC">
              <w:rPr>
                <w:sz w:val="22"/>
                <w:szCs w:val="22"/>
              </w:rPr>
              <w:t xml:space="preserve">no </w:t>
            </w:r>
            <w:proofErr w:type="spellStart"/>
            <w:r w:rsidRPr="00BB43EC">
              <w:rPr>
                <w:sz w:val="22"/>
                <w:szCs w:val="22"/>
              </w:rPr>
              <w:t>change</w:t>
            </w:r>
            <w:r w:rsidRPr="00BB43EC">
              <w:rPr>
                <w:sz w:val="22"/>
                <w:szCs w:val="22"/>
                <w:vertAlign w:val="superscript"/>
              </w:rPr>
              <w:t>a</w:t>
            </w:r>
            <w:proofErr w:type="spellEnd"/>
          </w:p>
        </w:tc>
      </w:tr>
      <w:tr w:rsidR="00BB43EC" w:rsidRPr="00BB43EC" w14:paraId="64FA7CD7" w14:textId="77777777" w:rsidTr="00813E59">
        <w:trPr>
          <w:jc w:val="center"/>
        </w:trPr>
        <w:tc>
          <w:tcPr>
            <w:tcW w:w="2251" w:type="dxa"/>
          </w:tcPr>
          <w:p w14:paraId="53D66325" w14:textId="77777777" w:rsidR="00BB43EC" w:rsidRPr="00BB43EC" w:rsidRDefault="00BB43EC" w:rsidP="00813E59">
            <w:pPr>
              <w:pStyle w:val="C-BodyText"/>
              <w:keepNext/>
              <w:keepLines/>
              <w:spacing w:before="0" w:after="0" w:line="240" w:lineRule="auto"/>
              <w:jc w:val="center"/>
              <w:rPr>
                <w:sz w:val="22"/>
                <w:szCs w:val="22"/>
              </w:rPr>
            </w:pPr>
            <w:r w:rsidRPr="00BB43EC">
              <w:rPr>
                <w:sz w:val="22"/>
                <w:szCs w:val="22"/>
              </w:rPr>
              <w:t>F486S</w:t>
            </w:r>
          </w:p>
        </w:tc>
        <w:tc>
          <w:tcPr>
            <w:tcW w:w="2097" w:type="dxa"/>
          </w:tcPr>
          <w:p w14:paraId="62A657C8" w14:textId="77777777" w:rsidR="00BB43EC" w:rsidRPr="00BB43EC" w:rsidRDefault="00BB43EC" w:rsidP="00813E59">
            <w:pPr>
              <w:pStyle w:val="C-BodyText"/>
              <w:keepNext/>
              <w:keepLines/>
              <w:spacing w:before="0" w:after="0" w:line="240" w:lineRule="auto"/>
              <w:jc w:val="center"/>
              <w:rPr>
                <w:sz w:val="22"/>
                <w:szCs w:val="22"/>
              </w:rPr>
            </w:pPr>
            <w:r w:rsidRPr="00BB43EC">
              <w:rPr>
                <w:sz w:val="22"/>
                <w:szCs w:val="22"/>
              </w:rPr>
              <w:t xml:space="preserve">no </w:t>
            </w:r>
            <w:proofErr w:type="spellStart"/>
            <w:r w:rsidRPr="00BB43EC">
              <w:rPr>
                <w:sz w:val="22"/>
                <w:szCs w:val="22"/>
              </w:rPr>
              <w:t>change</w:t>
            </w:r>
            <w:r w:rsidRPr="00BB43EC">
              <w:rPr>
                <w:sz w:val="22"/>
                <w:szCs w:val="22"/>
                <w:vertAlign w:val="superscript"/>
              </w:rPr>
              <w:t>a</w:t>
            </w:r>
            <w:proofErr w:type="spellEnd"/>
          </w:p>
        </w:tc>
        <w:tc>
          <w:tcPr>
            <w:tcW w:w="2097" w:type="dxa"/>
          </w:tcPr>
          <w:p w14:paraId="22828F97" w14:textId="77777777" w:rsidR="00BB43EC" w:rsidRPr="00BB43EC" w:rsidRDefault="00BB43EC" w:rsidP="00813E59">
            <w:pPr>
              <w:pStyle w:val="C-BodyText"/>
              <w:keepNext/>
              <w:keepLines/>
              <w:spacing w:before="0" w:after="0" w:line="240" w:lineRule="auto"/>
              <w:jc w:val="center"/>
              <w:rPr>
                <w:sz w:val="22"/>
                <w:szCs w:val="22"/>
              </w:rPr>
            </w:pPr>
            <w:r w:rsidRPr="00BB43EC">
              <w:rPr>
                <w:sz w:val="22"/>
                <w:szCs w:val="22"/>
              </w:rPr>
              <w:t>&gt; 715-fold</w:t>
            </w:r>
          </w:p>
        </w:tc>
        <w:tc>
          <w:tcPr>
            <w:tcW w:w="2098" w:type="dxa"/>
          </w:tcPr>
          <w:p w14:paraId="05CB57F8" w14:textId="77777777" w:rsidR="00BB43EC" w:rsidRPr="00BB43EC" w:rsidRDefault="00BB43EC" w:rsidP="00813E59">
            <w:pPr>
              <w:pStyle w:val="C-BodyText"/>
              <w:keepNext/>
              <w:keepLines/>
              <w:spacing w:before="0" w:after="0" w:line="240" w:lineRule="auto"/>
              <w:jc w:val="center"/>
              <w:rPr>
                <w:sz w:val="22"/>
                <w:szCs w:val="22"/>
              </w:rPr>
            </w:pPr>
            <w:r w:rsidRPr="00BB43EC">
              <w:rPr>
                <w:sz w:val="22"/>
                <w:szCs w:val="22"/>
              </w:rPr>
              <w:t xml:space="preserve">no </w:t>
            </w:r>
            <w:proofErr w:type="spellStart"/>
            <w:r w:rsidRPr="00BB43EC">
              <w:rPr>
                <w:sz w:val="22"/>
                <w:szCs w:val="22"/>
              </w:rPr>
              <w:t>change</w:t>
            </w:r>
            <w:r w:rsidRPr="00BB43EC">
              <w:rPr>
                <w:sz w:val="22"/>
                <w:szCs w:val="22"/>
                <w:vertAlign w:val="superscript"/>
              </w:rPr>
              <w:t>a</w:t>
            </w:r>
            <w:proofErr w:type="spellEnd"/>
          </w:p>
        </w:tc>
      </w:tr>
      <w:tr w:rsidR="00BB43EC" w:rsidRPr="00BB43EC" w14:paraId="4A5685C4" w14:textId="77777777" w:rsidTr="00813E59">
        <w:trPr>
          <w:jc w:val="center"/>
        </w:trPr>
        <w:tc>
          <w:tcPr>
            <w:tcW w:w="2251" w:type="dxa"/>
          </w:tcPr>
          <w:p w14:paraId="78942356" w14:textId="77777777" w:rsidR="00BB43EC" w:rsidRPr="00BB43EC" w:rsidRDefault="00BB43EC" w:rsidP="00813E59">
            <w:pPr>
              <w:pStyle w:val="C-BodyText"/>
              <w:keepNext/>
              <w:keepLines/>
              <w:spacing w:before="0" w:after="0" w:line="240" w:lineRule="auto"/>
              <w:jc w:val="center"/>
              <w:rPr>
                <w:sz w:val="22"/>
                <w:szCs w:val="22"/>
              </w:rPr>
            </w:pPr>
            <w:r w:rsidRPr="00BB43EC">
              <w:rPr>
                <w:sz w:val="22"/>
                <w:szCs w:val="22"/>
              </w:rPr>
              <w:t>P337L</w:t>
            </w:r>
          </w:p>
        </w:tc>
        <w:tc>
          <w:tcPr>
            <w:tcW w:w="2097" w:type="dxa"/>
          </w:tcPr>
          <w:p w14:paraId="661C9546" w14:textId="77777777" w:rsidR="00BB43EC" w:rsidRPr="00BB43EC" w:rsidRDefault="00BB43EC" w:rsidP="00813E59">
            <w:pPr>
              <w:pStyle w:val="C-BodyText"/>
              <w:keepNext/>
              <w:keepLines/>
              <w:spacing w:before="0" w:after="0" w:line="240" w:lineRule="auto"/>
              <w:jc w:val="center"/>
              <w:rPr>
                <w:sz w:val="22"/>
                <w:szCs w:val="22"/>
              </w:rPr>
            </w:pPr>
            <w:r w:rsidRPr="00BB43EC">
              <w:rPr>
                <w:sz w:val="22"/>
                <w:szCs w:val="22"/>
              </w:rPr>
              <w:t xml:space="preserve">no </w:t>
            </w:r>
            <w:proofErr w:type="spellStart"/>
            <w:r w:rsidRPr="00BB43EC">
              <w:rPr>
                <w:sz w:val="22"/>
                <w:szCs w:val="22"/>
              </w:rPr>
              <w:t>change</w:t>
            </w:r>
            <w:r w:rsidRPr="00BB43EC">
              <w:rPr>
                <w:sz w:val="22"/>
                <w:szCs w:val="22"/>
                <w:vertAlign w:val="superscript"/>
              </w:rPr>
              <w:t>a</w:t>
            </w:r>
            <w:proofErr w:type="spellEnd"/>
          </w:p>
        </w:tc>
        <w:tc>
          <w:tcPr>
            <w:tcW w:w="2097" w:type="dxa"/>
          </w:tcPr>
          <w:p w14:paraId="71978228" w14:textId="77777777" w:rsidR="00BB43EC" w:rsidRPr="00BB43EC" w:rsidRDefault="00BB43EC" w:rsidP="00813E59">
            <w:pPr>
              <w:pStyle w:val="C-BodyText"/>
              <w:keepNext/>
              <w:keepLines/>
              <w:spacing w:before="0" w:after="0" w:line="240" w:lineRule="auto"/>
              <w:jc w:val="center"/>
              <w:rPr>
                <w:sz w:val="22"/>
                <w:szCs w:val="22"/>
              </w:rPr>
            </w:pPr>
            <w:r w:rsidRPr="00BB43EC">
              <w:rPr>
                <w:sz w:val="22"/>
                <w:szCs w:val="22"/>
              </w:rPr>
              <w:t xml:space="preserve">no </w:t>
            </w:r>
            <w:proofErr w:type="spellStart"/>
            <w:r w:rsidRPr="00BB43EC">
              <w:rPr>
                <w:sz w:val="22"/>
                <w:szCs w:val="22"/>
              </w:rPr>
              <w:t>change</w:t>
            </w:r>
            <w:r w:rsidRPr="00BB43EC">
              <w:rPr>
                <w:sz w:val="22"/>
                <w:szCs w:val="22"/>
                <w:vertAlign w:val="superscript"/>
              </w:rPr>
              <w:t>a</w:t>
            </w:r>
            <w:proofErr w:type="spellEnd"/>
          </w:p>
        </w:tc>
        <w:tc>
          <w:tcPr>
            <w:tcW w:w="2098" w:type="dxa"/>
          </w:tcPr>
          <w:p w14:paraId="5C692FAA" w14:textId="77777777" w:rsidR="00BB43EC" w:rsidRPr="00BB43EC" w:rsidRDefault="00BB43EC" w:rsidP="00813E59">
            <w:pPr>
              <w:pStyle w:val="C-BodyText"/>
              <w:keepNext/>
              <w:keepLines/>
              <w:spacing w:before="0" w:after="0" w:line="240" w:lineRule="auto"/>
              <w:jc w:val="center"/>
              <w:rPr>
                <w:sz w:val="22"/>
                <w:szCs w:val="22"/>
              </w:rPr>
            </w:pPr>
            <w:r w:rsidRPr="00BB43EC">
              <w:rPr>
                <w:sz w:val="22"/>
                <w:szCs w:val="22"/>
              </w:rPr>
              <w:t>5-fold</w:t>
            </w:r>
          </w:p>
        </w:tc>
      </w:tr>
      <w:tr w:rsidR="00BB43EC" w:rsidRPr="00BB43EC" w14:paraId="4C226F9E" w14:textId="77777777" w:rsidTr="00813E59">
        <w:trPr>
          <w:jc w:val="center"/>
        </w:trPr>
        <w:tc>
          <w:tcPr>
            <w:tcW w:w="2251" w:type="dxa"/>
          </w:tcPr>
          <w:p w14:paraId="74569774" w14:textId="77777777" w:rsidR="00BB43EC" w:rsidRPr="00BB43EC" w:rsidRDefault="00BB43EC" w:rsidP="00813E59">
            <w:pPr>
              <w:pStyle w:val="C-BodyText"/>
              <w:keepNext/>
              <w:keepLines/>
              <w:spacing w:before="0" w:after="0" w:line="240" w:lineRule="auto"/>
              <w:jc w:val="center"/>
              <w:rPr>
                <w:sz w:val="22"/>
                <w:szCs w:val="22"/>
              </w:rPr>
            </w:pPr>
            <w:r w:rsidRPr="00BB43EC">
              <w:rPr>
                <w:sz w:val="22"/>
                <w:szCs w:val="22"/>
              </w:rPr>
              <w:t>N439K</w:t>
            </w:r>
          </w:p>
        </w:tc>
        <w:tc>
          <w:tcPr>
            <w:tcW w:w="2097" w:type="dxa"/>
          </w:tcPr>
          <w:p w14:paraId="38FD2285" w14:textId="77777777" w:rsidR="00BB43EC" w:rsidRPr="00BB43EC" w:rsidRDefault="00BB43EC" w:rsidP="00813E59">
            <w:pPr>
              <w:pStyle w:val="C-BodyText"/>
              <w:keepNext/>
              <w:keepLines/>
              <w:spacing w:before="0" w:after="0" w:line="240" w:lineRule="auto"/>
              <w:jc w:val="center"/>
              <w:rPr>
                <w:sz w:val="22"/>
                <w:szCs w:val="22"/>
              </w:rPr>
            </w:pPr>
            <w:r w:rsidRPr="00BB43EC">
              <w:rPr>
                <w:sz w:val="22"/>
                <w:szCs w:val="22"/>
              </w:rPr>
              <w:t xml:space="preserve">no </w:t>
            </w:r>
            <w:proofErr w:type="spellStart"/>
            <w:r w:rsidRPr="00BB43EC">
              <w:rPr>
                <w:sz w:val="22"/>
                <w:szCs w:val="22"/>
              </w:rPr>
              <w:t>change</w:t>
            </w:r>
            <w:r w:rsidRPr="00BB43EC">
              <w:rPr>
                <w:sz w:val="22"/>
                <w:szCs w:val="22"/>
                <w:vertAlign w:val="superscript"/>
              </w:rPr>
              <w:t>a</w:t>
            </w:r>
            <w:proofErr w:type="spellEnd"/>
          </w:p>
        </w:tc>
        <w:tc>
          <w:tcPr>
            <w:tcW w:w="2097" w:type="dxa"/>
          </w:tcPr>
          <w:p w14:paraId="62221903" w14:textId="77777777" w:rsidR="00BB43EC" w:rsidRPr="00BB43EC" w:rsidRDefault="00BB43EC" w:rsidP="00813E59">
            <w:pPr>
              <w:pStyle w:val="C-BodyText"/>
              <w:keepNext/>
              <w:keepLines/>
              <w:spacing w:before="0" w:after="0" w:line="240" w:lineRule="auto"/>
              <w:jc w:val="center"/>
              <w:rPr>
                <w:sz w:val="22"/>
                <w:szCs w:val="22"/>
              </w:rPr>
            </w:pPr>
            <w:r w:rsidRPr="00BB43EC">
              <w:rPr>
                <w:sz w:val="22"/>
                <w:szCs w:val="22"/>
              </w:rPr>
              <w:t xml:space="preserve">no </w:t>
            </w:r>
            <w:proofErr w:type="spellStart"/>
            <w:r w:rsidRPr="00BB43EC">
              <w:rPr>
                <w:sz w:val="22"/>
                <w:szCs w:val="22"/>
              </w:rPr>
              <w:t>change</w:t>
            </w:r>
            <w:r w:rsidRPr="00BB43EC">
              <w:rPr>
                <w:sz w:val="22"/>
                <w:szCs w:val="22"/>
                <w:vertAlign w:val="superscript"/>
              </w:rPr>
              <w:t>a</w:t>
            </w:r>
            <w:proofErr w:type="spellEnd"/>
          </w:p>
        </w:tc>
        <w:tc>
          <w:tcPr>
            <w:tcW w:w="2098" w:type="dxa"/>
          </w:tcPr>
          <w:p w14:paraId="512679FB" w14:textId="77777777" w:rsidR="00BB43EC" w:rsidRPr="00BB43EC" w:rsidRDefault="00BB43EC" w:rsidP="00813E59">
            <w:pPr>
              <w:pStyle w:val="C-BodyText"/>
              <w:keepNext/>
              <w:keepLines/>
              <w:spacing w:before="0" w:after="0" w:line="240" w:lineRule="auto"/>
              <w:jc w:val="center"/>
              <w:rPr>
                <w:sz w:val="22"/>
                <w:szCs w:val="22"/>
              </w:rPr>
            </w:pPr>
            <w:r w:rsidRPr="00BB43EC">
              <w:rPr>
                <w:sz w:val="22"/>
                <w:szCs w:val="22"/>
              </w:rPr>
              <w:t>463-fold</w:t>
            </w:r>
          </w:p>
        </w:tc>
      </w:tr>
      <w:tr w:rsidR="00BB43EC" w:rsidRPr="00BB43EC" w14:paraId="25CEEA12" w14:textId="77777777" w:rsidTr="00813E59">
        <w:trPr>
          <w:jc w:val="center"/>
        </w:trPr>
        <w:tc>
          <w:tcPr>
            <w:tcW w:w="2251" w:type="dxa"/>
          </w:tcPr>
          <w:p w14:paraId="6020EDA4" w14:textId="77777777" w:rsidR="00BB43EC" w:rsidRPr="00BB43EC" w:rsidRDefault="00BB43EC" w:rsidP="00813E59">
            <w:pPr>
              <w:pStyle w:val="C-BodyText"/>
              <w:keepNext/>
              <w:keepLines/>
              <w:spacing w:before="0" w:after="0" w:line="240" w:lineRule="auto"/>
              <w:jc w:val="center"/>
              <w:rPr>
                <w:sz w:val="22"/>
                <w:szCs w:val="22"/>
              </w:rPr>
            </w:pPr>
            <w:r w:rsidRPr="00BB43EC">
              <w:rPr>
                <w:sz w:val="22"/>
                <w:szCs w:val="22"/>
              </w:rPr>
              <w:t>N440K</w:t>
            </w:r>
          </w:p>
        </w:tc>
        <w:tc>
          <w:tcPr>
            <w:tcW w:w="2097" w:type="dxa"/>
          </w:tcPr>
          <w:p w14:paraId="6A49A656" w14:textId="77777777" w:rsidR="00BB43EC" w:rsidRPr="00BB43EC" w:rsidRDefault="00BB43EC" w:rsidP="00813E59">
            <w:pPr>
              <w:pStyle w:val="C-BodyText"/>
              <w:keepNext/>
              <w:keepLines/>
              <w:spacing w:before="0" w:after="0" w:line="240" w:lineRule="auto"/>
              <w:jc w:val="center"/>
              <w:rPr>
                <w:sz w:val="22"/>
                <w:szCs w:val="22"/>
              </w:rPr>
            </w:pPr>
            <w:r w:rsidRPr="00BB43EC">
              <w:rPr>
                <w:sz w:val="22"/>
                <w:szCs w:val="22"/>
              </w:rPr>
              <w:t xml:space="preserve">no </w:t>
            </w:r>
            <w:proofErr w:type="spellStart"/>
            <w:r w:rsidRPr="00BB43EC">
              <w:rPr>
                <w:sz w:val="22"/>
                <w:szCs w:val="22"/>
              </w:rPr>
              <w:t>change</w:t>
            </w:r>
            <w:r w:rsidRPr="00BB43EC">
              <w:rPr>
                <w:sz w:val="22"/>
                <w:szCs w:val="22"/>
                <w:vertAlign w:val="superscript"/>
              </w:rPr>
              <w:t>a</w:t>
            </w:r>
            <w:proofErr w:type="spellEnd"/>
          </w:p>
        </w:tc>
        <w:tc>
          <w:tcPr>
            <w:tcW w:w="2097" w:type="dxa"/>
          </w:tcPr>
          <w:p w14:paraId="267F1174" w14:textId="77777777" w:rsidR="00BB43EC" w:rsidRPr="00BB43EC" w:rsidRDefault="00BB43EC" w:rsidP="00813E59">
            <w:pPr>
              <w:pStyle w:val="C-BodyText"/>
              <w:keepNext/>
              <w:keepLines/>
              <w:spacing w:before="0" w:after="0" w:line="240" w:lineRule="auto"/>
              <w:jc w:val="center"/>
              <w:rPr>
                <w:sz w:val="22"/>
                <w:szCs w:val="22"/>
              </w:rPr>
            </w:pPr>
            <w:r w:rsidRPr="00BB43EC">
              <w:rPr>
                <w:sz w:val="22"/>
                <w:szCs w:val="22"/>
              </w:rPr>
              <w:t xml:space="preserve">no </w:t>
            </w:r>
            <w:proofErr w:type="spellStart"/>
            <w:r w:rsidRPr="00BB43EC">
              <w:rPr>
                <w:sz w:val="22"/>
                <w:szCs w:val="22"/>
              </w:rPr>
              <w:t>change</w:t>
            </w:r>
            <w:r w:rsidRPr="00BB43EC">
              <w:rPr>
                <w:sz w:val="22"/>
                <w:szCs w:val="22"/>
                <w:vertAlign w:val="superscript"/>
              </w:rPr>
              <w:t>a</w:t>
            </w:r>
            <w:proofErr w:type="spellEnd"/>
          </w:p>
        </w:tc>
        <w:tc>
          <w:tcPr>
            <w:tcW w:w="2098" w:type="dxa"/>
          </w:tcPr>
          <w:p w14:paraId="73CD4B4E" w14:textId="77777777" w:rsidR="00BB43EC" w:rsidRPr="00BB43EC" w:rsidRDefault="00BB43EC" w:rsidP="00813E59">
            <w:pPr>
              <w:pStyle w:val="C-BodyText"/>
              <w:keepNext/>
              <w:keepLines/>
              <w:spacing w:before="0" w:after="0" w:line="240" w:lineRule="auto"/>
              <w:jc w:val="center"/>
              <w:rPr>
                <w:sz w:val="22"/>
                <w:szCs w:val="22"/>
              </w:rPr>
            </w:pPr>
            <w:r w:rsidRPr="00BB43EC">
              <w:rPr>
                <w:sz w:val="22"/>
                <w:szCs w:val="22"/>
              </w:rPr>
              <w:t>28-fold</w:t>
            </w:r>
          </w:p>
        </w:tc>
      </w:tr>
      <w:tr w:rsidR="00BB43EC" w:rsidRPr="00BB43EC" w14:paraId="17BDAA55" w14:textId="77777777" w:rsidTr="00813E59">
        <w:trPr>
          <w:jc w:val="center"/>
        </w:trPr>
        <w:tc>
          <w:tcPr>
            <w:tcW w:w="2251" w:type="dxa"/>
          </w:tcPr>
          <w:p w14:paraId="0DF67C66" w14:textId="77777777" w:rsidR="00BB43EC" w:rsidRPr="00BB43EC" w:rsidRDefault="00BB43EC" w:rsidP="00813E59">
            <w:pPr>
              <w:pStyle w:val="C-BodyText"/>
              <w:keepNext/>
              <w:keepLines/>
              <w:spacing w:before="0" w:after="0" w:line="240" w:lineRule="auto"/>
              <w:jc w:val="center"/>
              <w:rPr>
                <w:sz w:val="22"/>
                <w:szCs w:val="22"/>
              </w:rPr>
            </w:pPr>
            <w:r w:rsidRPr="00BB43EC">
              <w:rPr>
                <w:sz w:val="22"/>
                <w:szCs w:val="22"/>
              </w:rPr>
              <w:t>K444L</w:t>
            </w:r>
          </w:p>
        </w:tc>
        <w:tc>
          <w:tcPr>
            <w:tcW w:w="2097" w:type="dxa"/>
          </w:tcPr>
          <w:p w14:paraId="440F0FF3" w14:textId="77777777" w:rsidR="00BB43EC" w:rsidRPr="00BB43EC" w:rsidRDefault="00BB43EC" w:rsidP="00813E59">
            <w:pPr>
              <w:pStyle w:val="C-BodyText"/>
              <w:keepNext/>
              <w:keepLines/>
              <w:spacing w:before="0" w:after="0" w:line="240" w:lineRule="auto"/>
              <w:jc w:val="center"/>
              <w:rPr>
                <w:sz w:val="22"/>
                <w:szCs w:val="22"/>
              </w:rPr>
            </w:pPr>
            <w:r w:rsidRPr="00BB43EC">
              <w:rPr>
                <w:sz w:val="22"/>
                <w:szCs w:val="22"/>
              </w:rPr>
              <w:t xml:space="preserve">no </w:t>
            </w:r>
            <w:proofErr w:type="spellStart"/>
            <w:r w:rsidRPr="00BB43EC">
              <w:rPr>
                <w:sz w:val="22"/>
                <w:szCs w:val="22"/>
              </w:rPr>
              <w:t>change</w:t>
            </w:r>
            <w:r w:rsidRPr="00BB43EC">
              <w:rPr>
                <w:sz w:val="22"/>
                <w:szCs w:val="22"/>
                <w:vertAlign w:val="superscript"/>
              </w:rPr>
              <w:t>a</w:t>
            </w:r>
            <w:proofErr w:type="spellEnd"/>
          </w:p>
        </w:tc>
        <w:tc>
          <w:tcPr>
            <w:tcW w:w="2097" w:type="dxa"/>
          </w:tcPr>
          <w:p w14:paraId="10E3AE47" w14:textId="77777777" w:rsidR="00BB43EC" w:rsidRPr="00BB43EC" w:rsidRDefault="00BB43EC" w:rsidP="00813E59">
            <w:pPr>
              <w:pStyle w:val="C-BodyText"/>
              <w:keepNext/>
              <w:keepLines/>
              <w:spacing w:before="0" w:after="0" w:line="240" w:lineRule="auto"/>
              <w:jc w:val="center"/>
              <w:rPr>
                <w:sz w:val="22"/>
                <w:szCs w:val="22"/>
              </w:rPr>
            </w:pPr>
            <w:r w:rsidRPr="00BB43EC">
              <w:rPr>
                <w:sz w:val="22"/>
                <w:szCs w:val="22"/>
              </w:rPr>
              <w:t xml:space="preserve">no </w:t>
            </w:r>
            <w:proofErr w:type="spellStart"/>
            <w:r w:rsidRPr="00BB43EC">
              <w:rPr>
                <w:sz w:val="22"/>
                <w:szCs w:val="22"/>
              </w:rPr>
              <w:t>change</w:t>
            </w:r>
            <w:r w:rsidRPr="00BB43EC">
              <w:rPr>
                <w:sz w:val="22"/>
                <w:szCs w:val="22"/>
                <w:vertAlign w:val="superscript"/>
              </w:rPr>
              <w:t>a</w:t>
            </w:r>
            <w:proofErr w:type="spellEnd"/>
          </w:p>
        </w:tc>
        <w:tc>
          <w:tcPr>
            <w:tcW w:w="2098" w:type="dxa"/>
          </w:tcPr>
          <w:p w14:paraId="09A19AD6" w14:textId="77777777" w:rsidR="00BB43EC" w:rsidRPr="00BB43EC" w:rsidRDefault="00BB43EC" w:rsidP="00813E59">
            <w:pPr>
              <w:pStyle w:val="C-BodyText"/>
              <w:keepNext/>
              <w:keepLines/>
              <w:spacing w:before="0" w:after="0" w:line="240" w:lineRule="auto"/>
              <w:jc w:val="center"/>
              <w:rPr>
                <w:sz w:val="22"/>
                <w:szCs w:val="22"/>
              </w:rPr>
            </w:pPr>
            <w:r w:rsidRPr="00BB43EC">
              <w:rPr>
                <w:sz w:val="22"/>
                <w:szCs w:val="22"/>
              </w:rPr>
              <w:t>153-fold</w:t>
            </w:r>
          </w:p>
        </w:tc>
      </w:tr>
      <w:tr w:rsidR="00BB43EC" w:rsidRPr="00BB43EC" w14:paraId="45E6C004" w14:textId="77777777" w:rsidTr="00813E59">
        <w:trPr>
          <w:jc w:val="center"/>
        </w:trPr>
        <w:tc>
          <w:tcPr>
            <w:tcW w:w="2251" w:type="dxa"/>
          </w:tcPr>
          <w:p w14:paraId="623C4742" w14:textId="77777777" w:rsidR="00BB43EC" w:rsidRPr="00BB43EC" w:rsidRDefault="00BB43EC" w:rsidP="00813E59">
            <w:pPr>
              <w:pStyle w:val="C-BodyText"/>
              <w:keepNext/>
              <w:keepLines/>
              <w:spacing w:before="0" w:after="0" w:line="240" w:lineRule="auto"/>
              <w:jc w:val="center"/>
              <w:rPr>
                <w:sz w:val="22"/>
                <w:szCs w:val="22"/>
              </w:rPr>
            </w:pPr>
            <w:r w:rsidRPr="00BB43EC">
              <w:rPr>
                <w:sz w:val="22"/>
                <w:szCs w:val="22"/>
              </w:rPr>
              <w:t>K444M</w:t>
            </w:r>
          </w:p>
        </w:tc>
        <w:tc>
          <w:tcPr>
            <w:tcW w:w="2097" w:type="dxa"/>
          </w:tcPr>
          <w:p w14:paraId="3D869AA6" w14:textId="77777777" w:rsidR="00BB43EC" w:rsidRPr="00BB43EC" w:rsidRDefault="00BB43EC" w:rsidP="00813E59">
            <w:pPr>
              <w:pStyle w:val="C-BodyText"/>
              <w:keepNext/>
              <w:keepLines/>
              <w:spacing w:before="0" w:after="0" w:line="240" w:lineRule="auto"/>
              <w:jc w:val="center"/>
              <w:rPr>
                <w:sz w:val="22"/>
                <w:szCs w:val="22"/>
              </w:rPr>
            </w:pPr>
            <w:r w:rsidRPr="00BB43EC">
              <w:rPr>
                <w:sz w:val="22"/>
                <w:szCs w:val="22"/>
              </w:rPr>
              <w:t xml:space="preserve">no </w:t>
            </w:r>
            <w:proofErr w:type="spellStart"/>
            <w:r w:rsidRPr="00BB43EC">
              <w:rPr>
                <w:sz w:val="22"/>
                <w:szCs w:val="22"/>
              </w:rPr>
              <w:t>change</w:t>
            </w:r>
            <w:r w:rsidRPr="00BB43EC">
              <w:rPr>
                <w:sz w:val="22"/>
                <w:szCs w:val="22"/>
                <w:vertAlign w:val="superscript"/>
              </w:rPr>
              <w:t>a</w:t>
            </w:r>
            <w:proofErr w:type="spellEnd"/>
          </w:p>
        </w:tc>
        <w:tc>
          <w:tcPr>
            <w:tcW w:w="2097" w:type="dxa"/>
          </w:tcPr>
          <w:p w14:paraId="6FE7ACD1" w14:textId="77777777" w:rsidR="00BB43EC" w:rsidRPr="00BB43EC" w:rsidRDefault="00BB43EC" w:rsidP="00813E59">
            <w:pPr>
              <w:pStyle w:val="C-BodyText"/>
              <w:keepNext/>
              <w:keepLines/>
              <w:spacing w:before="0" w:after="0" w:line="240" w:lineRule="auto"/>
              <w:jc w:val="center"/>
              <w:rPr>
                <w:sz w:val="22"/>
                <w:szCs w:val="22"/>
              </w:rPr>
            </w:pPr>
            <w:r w:rsidRPr="00BB43EC">
              <w:rPr>
                <w:sz w:val="22"/>
                <w:szCs w:val="22"/>
              </w:rPr>
              <w:t xml:space="preserve">no </w:t>
            </w:r>
            <w:proofErr w:type="spellStart"/>
            <w:r w:rsidRPr="00BB43EC">
              <w:rPr>
                <w:sz w:val="22"/>
                <w:szCs w:val="22"/>
              </w:rPr>
              <w:t>change</w:t>
            </w:r>
            <w:r w:rsidRPr="00BB43EC">
              <w:rPr>
                <w:sz w:val="22"/>
                <w:szCs w:val="22"/>
                <w:vertAlign w:val="superscript"/>
              </w:rPr>
              <w:t>a</w:t>
            </w:r>
            <w:proofErr w:type="spellEnd"/>
          </w:p>
        </w:tc>
        <w:tc>
          <w:tcPr>
            <w:tcW w:w="2098" w:type="dxa"/>
          </w:tcPr>
          <w:p w14:paraId="25DDB7F4" w14:textId="77777777" w:rsidR="00BB43EC" w:rsidRPr="00BB43EC" w:rsidRDefault="00BB43EC" w:rsidP="00813E59">
            <w:pPr>
              <w:pStyle w:val="C-BodyText"/>
              <w:keepNext/>
              <w:keepLines/>
              <w:spacing w:before="0" w:after="0" w:line="240" w:lineRule="auto"/>
              <w:jc w:val="center"/>
              <w:rPr>
                <w:sz w:val="22"/>
                <w:szCs w:val="22"/>
              </w:rPr>
            </w:pPr>
            <w:r w:rsidRPr="00BB43EC">
              <w:rPr>
                <w:sz w:val="22"/>
                <w:szCs w:val="22"/>
              </w:rPr>
              <w:t>1577-fold</w:t>
            </w:r>
          </w:p>
        </w:tc>
      </w:tr>
      <w:tr w:rsidR="00BB43EC" w:rsidRPr="00BB43EC" w14:paraId="71840EA7" w14:textId="77777777" w:rsidTr="00813E59">
        <w:trPr>
          <w:jc w:val="center"/>
        </w:trPr>
        <w:tc>
          <w:tcPr>
            <w:tcW w:w="2251" w:type="dxa"/>
          </w:tcPr>
          <w:p w14:paraId="40613205" w14:textId="77777777" w:rsidR="00BB43EC" w:rsidRPr="00BB43EC" w:rsidRDefault="00BB43EC" w:rsidP="00813E59">
            <w:pPr>
              <w:pStyle w:val="C-BodyText"/>
              <w:keepNext/>
              <w:keepLines/>
              <w:spacing w:before="0" w:after="0" w:line="240" w:lineRule="auto"/>
              <w:jc w:val="center"/>
              <w:rPr>
                <w:sz w:val="22"/>
                <w:szCs w:val="22"/>
              </w:rPr>
            </w:pPr>
            <w:r w:rsidRPr="00BB43EC">
              <w:rPr>
                <w:sz w:val="22"/>
                <w:szCs w:val="22"/>
              </w:rPr>
              <w:t>G446V</w:t>
            </w:r>
          </w:p>
        </w:tc>
        <w:tc>
          <w:tcPr>
            <w:tcW w:w="2097" w:type="dxa"/>
          </w:tcPr>
          <w:p w14:paraId="6BC8B81D" w14:textId="77777777" w:rsidR="00BB43EC" w:rsidRPr="00BB43EC" w:rsidRDefault="00BB43EC" w:rsidP="00813E59">
            <w:pPr>
              <w:pStyle w:val="C-BodyText"/>
              <w:keepNext/>
              <w:keepLines/>
              <w:spacing w:before="0" w:after="0" w:line="240" w:lineRule="auto"/>
              <w:jc w:val="center"/>
              <w:rPr>
                <w:sz w:val="22"/>
                <w:szCs w:val="22"/>
              </w:rPr>
            </w:pPr>
            <w:r w:rsidRPr="00BB43EC">
              <w:rPr>
                <w:sz w:val="22"/>
                <w:szCs w:val="22"/>
              </w:rPr>
              <w:t xml:space="preserve">no </w:t>
            </w:r>
            <w:proofErr w:type="spellStart"/>
            <w:r w:rsidRPr="00BB43EC">
              <w:rPr>
                <w:sz w:val="22"/>
                <w:szCs w:val="22"/>
              </w:rPr>
              <w:t>change</w:t>
            </w:r>
            <w:r w:rsidRPr="00BB43EC">
              <w:rPr>
                <w:sz w:val="22"/>
                <w:szCs w:val="22"/>
                <w:vertAlign w:val="superscript"/>
              </w:rPr>
              <w:t>a</w:t>
            </w:r>
            <w:proofErr w:type="spellEnd"/>
          </w:p>
        </w:tc>
        <w:tc>
          <w:tcPr>
            <w:tcW w:w="2097" w:type="dxa"/>
          </w:tcPr>
          <w:p w14:paraId="0E4C299F" w14:textId="77777777" w:rsidR="00BB43EC" w:rsidRPr="00BB43EC" w:rsidRDefault="00BB43EC" w:rsidP="00813E59">
            <w:pPr>
              <w:pStyle w:val="C-BodyText"/>
              <w:keepNext/>
              <w:keepLines/>
              <w:spacing w:before="0" w:after="0" w:line="240" w:lineRule="auto"/>
              <w:jc w:val="center"/>
              <w:rPr>
                <w:sz w:val="22"/>
                <w:szCs w:val="22"/>
              </w:rPr>
            </w:pPr>
            <w:r w:rsidRPr="00BB43EC">
              <w:rPr>
                <w:sz w:val="22"/>
                <w:szCs w:val="22"/>
              </w:rPr>
              <w:t xml:space="preserve">no </w:t>
            </w:r>
            <w:proofErr w:type="spellStart"/>
            <w:r w:rsidRPr="00BB43EC">
              <w:rPr>
                <w:sz w:val="22"/>
                <w:szCs w:val="22"/>
              </w:rPr>
              <w:t>change</w:t>
            </w:r>
            <w:r w:rsidRPr="00BB43EC">
              <w:rPr>
                <w:sz w:val="22"/>
                <w:szCs w:val="22"/>
                <w:vertAlign w:val="superscript"/>
              </w:rPr>
              <w:t>a</w:t>
            </w:r>
            <w:proofErr w:type="spellEnd"/>
          </w:p>
        </w:tc>
        <w:tc>
          <w:tcPr>
            <w:tcW w:w="2098" w:type="dxa"/>
          </w:tcPr>
          <w:p w14:paraId="1AE5809F" w14:textId="77777777" w:rsidR="00BB43EC" w:rsidRPr="00BB43EC" w:rsidRDefault="00BB43EC" w:rsidP="00813E59">
            <w:pPr>
              <w:pStyle w:val="C-BodyText"/>
              <w:keepNext/>
              <w:keepLines/>
              <w:spacing w:before="0" w:after="0" w:line="240" w:lineRule="auto"/>
              <w:jc w:val="center"/>
              <w:rPr>
                <w:sz w:val="22"/>
                <w:szCs w:val="22"/>
              </w:rPr>
            </w:pPr>
            <w:r w:rsidRPr="00BB43EC">
              <w:rPr>
                <w:sz w:val="22"/>
                <w:szCs w:val="22"/>
              </w:rPr>
              <w:t>135-fold</w:t>
            </w:r>
          </w:p>
        </w:tc>
      </w:tr>
      <w:tr w:rsidR="00BB43EC" w:rsidRPr="00BB43EC" w14:paraId="437C0E4F" w14:textId="77777777" w:rsidTr="00813E59">
        <w:trPr>
          <w:jc w:val="center"/>
        </w:trPr>
        <w:tc>
          <w:tcPr>
            <w:tcW w:w="2251" w:type="dxa"/>
          </w:tcPr>
          <w:p w14:paraId="72331407" w14:textId="77777777" w:rsidR="00BB43EC" w:rsidRPr="00BB43EC" w:rsidRDefault="00BB43EC" w:rsidP="00813E59">
            <w:pPr>
              <w:pStyle w:val="C-BodyText"/>
              <w:keepNext/>
              <w:keepLines/>
              <w:spacing w:before="0" w:after="0" w:line="240" w:lineRule="auto"/>
              <w:jc w:val="center"/>
              <w:rPr>
                <w:sz w:val="22"/>
                <w:szCs w:val="22"/>
              </w:rPr>
            </w:pPr>
            <w:r w:rsidRPr="00BB43EC">
              <w:rPr>
                <w:sz w:val="22"/>
                <w:szCs w:val="22"/>
              </w:rPr>
              <w:t>N450D</w:t>
            </w:r>
          </w:p>
        </w:tc>
        <w:tc>
          <w:tcPr>
            <w:tcW w:w="2097" w:type="dxa"/>
          </w:tcPr>
          <w:p w14:paraId="2C943805" w14:textId="77777777" w:rsidR="00BB43EC" w:rsidRPr="00BB43EC" w:rsidRDefault="00BB43EC" w:rsidP="00813E59">
            <w:pPr>
              <w:pStyle w:val="C-BodyText"/>
              <w:keepNext/>
              <w:keepLines/>
              <w:spacing w:before="0" w:after="0" w:line="240" w:lineRule="auto"/>
              <w:jc w:val="center"/>
              <w:rPr>
                <w:sz w:val="22"/>
                <w:szCs w:val="22"/>
              </w:rPr>
            </w:pPr>
            <w:r w:rsidRPr="00BB43EC">
              <w:rPr>
                <w:sz w:val="22"/>
                <w:szCs w:val="22"/>
              </w:rPr>
              <w:t xml:space="preserve">no </w:t>
            </w:r>
            <w:proofErr w:type="spellStart"/>
            <w:r w:rsidRPr="00BB43EC">
              <w:rPr>
                <w:sz w:val="22"/>
                <w:szCs w:val="22"/>
              </w:rPr>
              <w:t>change</w:t>
            </w:r>
            <w:r w:rsidRPr="00BB43EC">
              <w:rPr>
                <w:sz w:val="22"/>
                <w:szCs w:val="22"/>
                <w:vertAlign w:val="superscript"/>
              </w:rPr>
              <w:t>a</w:t>
            </w:r>
            <w:proofErr w:type="spellEnd"/>
          </w:p>
        </w:tc>
        <w:tc>
          <w:tcPr>
            <w:tcW w:w="2097" w:type="dxa"/>
          </w:tcPr>
          <w:p w14:paraId="4D35EBCF" w14:textId="77777777" w:rsidR="00BB43EC" w:rsidRPr="00BB43EC" w:rsidRDefault="00BB43EC" w:rsidP="00813E59">
            <w:pPr>
              <w:pStyle w:val="C-BodyText"/>
              <w:keepNext/>
              <w:keepLines/>
              <w:spacing w:before="0" w:after="0" w:line="240" w:lineRule="auto"/>
              <w:jc w:val="center"/>
              <w:rPr>
                <w:sz w:val="22"/>
                <w:szCs w:val="22"/>
              </w:rPr>
            </w:pPr>
            <w:r w:rsidRPr="00BB43EC">
              <w:rPr>
                <w:sz w:val="22"/>
                <w:szCs w:val="22"/>
              </w:rPr>
              <w:t xml:space="preserve">no </w:t>
            </w:r>
            <w:proofErr w:type="spellStart"/>
            <w:r w:rsidRPr="00BB43EC">
              <w:rPr>
                <w:sz w:val="22"/>
                <w:szCs w:val="22"/>
              </w:rPr>
              <w:t>change</w:t>
            </w:r>
            <w:r w:rsidRPr="00BB43EC">
              <w:rPr>
                <w:sz w:val="22"/>
                <w:szCs w:val="22"/>
                <w:vertAlign w:val="superscript"/>
              </w:rPr>
              <w:t>a</w:t>
            </w:r>
            <w:proofErr w:type="spellEnd"/>
          </w:p>
        </w:tc>
        <w:tc>
          <w:tcPr>
            <w:tcW w:w="2098" w:type="dxa"/>
          </w:tcPr>
          <w:p w14:paraId="28A455CB" w14:textId="77777777" w:rsidR="00BB43EC" w:rsidRPr="00BB43EC" w:rsidRDefault="00BB43EC" w:rsidP="00813E59">
            <w:pPr>
              <w:pStyle w:val="C-BodyText"/>
              <w:keepNext/>
              <w:keepLines/>
              <w:spacing w:before="0" w:after="0" w:line="240" w:lineRule="auto"/>
              <w:jc w:val="center"/>
              <w:rPr>
                <w:sz w:val="22"/>
                <w:szCs w:val="22"/>
              </w:rPr>
            </w:pPr>
            <w:r w:rsidRPr="00BB43EC">
              <w:rPr>
                <w:sz w:val="22"/>
                <w:szCs w:val="22"/>
              </w:rPr>
              <w:t>9-fold</w:t>
            </w:r>
          </w:p>
        </w:tc>
      </w:tr>
      <w:tr w:rsidR="00BB43EC" w:rsidRPr="00BB43EC" w14:paraId="32292830" w14:textId="77777777" w:rsidTr="00813E59">
        <w:trPr>
          <w:jc w:val="center"/>
        </w:trPr>
        <w:tc>
          <w:tcPr>
            <w:tcW w:w="2251" w:type="dxa"/>
          </w:tcPr>
          <w:p w14:paraId="093DC412" w14:textId="77777777" w:rsidR="00BB43EC" w:rsidRPr="00BB43EC" w:rsidRDefault="00BB43EC" w:rsidP="00813E59">
            <w:pPr>
              <w:pStyle w:val="C-BodyText"/>
              <w:keepNext/>
              <w:keepLines/>
              <w:spacing w:before="0" w:after="0" w:line="240" w:lineRule="auto"/>
              <w:jc w:val="center"/>
              <w:rPr>
                <w:sz w:val="22"/>
                <w:szCs w:val="22"/>
              </w:rPr>
            </w:pPr>
            <w:r w:rsidRPr="00BB43EC">
              <w:rPr>
                <w:sz w:val="22"/>
                <w:szCs w:val="22"/>
              </w:rPr>
              <w:t>Q498H</w:t>
            </w:r>
          </w:p>
        </w:tc>
        <w:tc>
          <w:tcPr>
            <w:tcW w:w="2097" w:type="dxa"/>
          </w:tcPr>
          <w:p w14:paraId="21979213" w14:textId="77777777" w:rsidR="00BB43EC" w:rsidRPr="00BB43EC" w:rsidRDefault="00BB43EC" w:rsidP="00813E59">
            <w:pPr>
              <w:pStyle w:val="C-BodyText"/>
              <w:keepNext/>
              <w:keepLines/>
              <w:spacing w:before="0" w:after="0" w:line="240" w:lineRule="auto"/>
              <w:jc w:val="center"/>
              <w:rPr>
                <w:sz w:val="22"/>
                <w:szCs w:val="22"/>
              </w:rPr>
            </w:pPr>
            <w:r w:rsidRPr="00BB43EC">
              <w:rPr>
                <w:sz w:val="22"/>
                <w:szCs w:val="22"/>
              </w:rPr>
              <w:t xml:space="preserve">no </w:t>
            </w:r>
            <w:proofErr w:type="spellStart"/>
            <w:r w:rsidRPr="00BB43EC">
              <w:rPr>
                <w:sz w:val="22"/>
                <w:szCs w:val="22"/>
              </w:rPr>
              <w:t>change</w:t>
            </w:r>
            <w:r w:rsidRPr="00BB43EC">
              <w:rPr>
                <w:sz w:val="22"/>
                <w:szCs w:val="22"/>
                <w:vertAlign w:val="superscript"/>
              </w:rPr>
              <w:t>a</w:t>
            </w:r>
            <w:proofErr w:type="spellEnd"/>
          </w:p>
        </w:tc>
        <w:tc>
          <w:tcPr>
            <w:tcW w:w="2097" w:type="dxa"/>
          </w:tcPr>
          <w:p w14:paraId="4ECBAAD5" w14:textId="77777777" w:rsidR="00BB43EC" w:rsidRPr="00BB43EC" w:rsidRDefault="00BB43EC" w:rsidP="00813E59">
            <w:pPr>
              <w:pStyle w:val="C-BodyText"/>
              <w:keepNext/>
              <w:keepLines/>
              <w:spacing w:before="0" w:after="0" w:line="240" w:lineRule="auto"/>
              <w:jc w:val="center"/>
              <w:rPr>
                <w:sz w:val="22"/>
                <w:szCs w:val="22"/>
              </w:rPr>
            </w:pPr>
            <w:r w:rsidRPr="00BB43EC">
              <w:rPr>
                <w:sz w:val="22"/>
                <w:szCs w:val="22"/>
              </w:rPr>
              <w:t xml:space="preserve">no </w:t>
            </w:r>
            <w:proofErr w:type="spellStart"/>
            <w:r w:rsidRPr="00BB43EC">
              <w:rPr>
                <w:sz w:val="22"/>
                <w:szCs w:val="22"/>
              </w:rPr>
              <w:t>change</w:t>
            </w:r>
            <w:r w:rsidRPr="00BB43EC">
              <w:rPr>
                <w:sz w:val="22"/>
                <w:szCs w:val="22"/>
                <w:vertAlign w:val="superscript"/>
              </w:rPr>
              <w:t>a</w:t>
            </w:r>
            <w:proofErr w:type="spellEnd"/>
          </w:p>
        </w:tc>
        <w:tc>
          <w:tcPr>
            <w:tcW w:w="2098" w:type="dxa"/>
          </w:tcPr>
          <w:p w14:paraId="7665959A" w14:textId="77777777" w:rsidR="00BB43EC" w:rsidRPr="00BB43EC" w:rsidRDefault="00BB43EC" w:rsidP="00813E59">
            <w:pPr>
              <w:pStyle w:val="C-BodyText"/>
              <w:keepNext/>
              <w:keepLines/>
              <w:spacing w:before="0" w:after="0" w:line="240" w:lineRule="auto"/>
              <w:jc w:val="center"/>
              <w:rPr>
                <w:sz w:val="22"/>
                <w:szCs w:val="22"/>
              </w:rPr>
            </w:pPr>
            <w:r w:rsidRPr="00BB43EC">
              <w:rPr>
                <w:sz w:val="22"/>
                <w:szCs w:val="22"/>
              </w:rPr>
              <w:t>17-fold</w:t>
            </w:r>
          </w:p>
        </w:tc>
      </w:tr>
      <w:tr w:rsidR="00BB43EC" w:rsidRPr="00BB43EC" w14:paraId="53115CE3" w14:textId="77777777" w:rsidTr="00813E59">
        <w:trPr>
          <w:jc w:val="center"/>
        </w:trPr>
        <w:tc>
          <w:tcPr>
            <w:tcW w:w="2251" w:type="dxa"/>
          </w:tcPr>
          <w:p w14:paraId="6FF77AFF" w14:textId="77777777" w:rsidR="00BB43EC" w:rsidRPr="00BB43EC" w:rsidRDefault="00BB43EC" w:rsidP="00813E59">
            <w:pPr>
              <w:pStyle w:val="C-BodyText"/>
              <w:keepNext/>
              <w:keepLines/>
              <w:spacing w:before="0" w:after="0" w:line="240" w:lineRule="auto"/>
              <w:jc w:val="center"/>
              <w:rPr>
                <w:sz w:val="22"/>
                <w:szCs w:val="22"/>
              </w:rPr>
            </w:pPr>
            <w:r w:rsidRPr="00BB43EC">
              <w:rPr>
                <w:sz w:val="22"/>
                <w:szCs w:val="22"/>
              </w:rPr>
              <w:t>P499S</w:t>
            </w:r>
          </w:p>
        </w:tc>
        <w:tc>
          <w:tcPr>
            <w:tcW w:w="2097" w:type="dxa"/>
          </w:tcPr>
          <w:p w14:paraId="0436865F" w14:textId="77777777" w:rsidR="00BB43EC" w:rsidRPr="00BB43EC" w:rsidRDefault="00BB43EC" w:rsidP="00813E59">
            <w:pPr>
              <w:pStyle w:val="C-BodyText"/>
              <w:keepNext/>
              <w:keepLines/>
              <w:spacing w:before="0" w:after="0" w:line="240" w:lineRule="auto"/>
              <w:jc w:val="center"/>
              <w:rPr>
                <w:sz w:val="22"/>
                <w:szCs w:val="22"/>
              </w:rPr>
            </w:pPr>
            <w:r w:rsidRPr="00BB43EC">
              <w:rPr>
                <w:sz w:val="22"/>
                <w:szCs w:val="22"/>
              </w:rPr>
              <w:t xml:space="preserve">no </w:t>
            </w:r>
            <w:proofErr w:type="spellStart"/>
            <w:r w:rsidRPr="00BB43EC">
              <w:rPr>
                <w:sz w:val="22"/>
                <w:szCs w:val="22"/>
              </w:rPr>
              <w:t>change</w:t>
            </w:r>
            <w:r w:rsidRPr="00BB43EC">
              <w:rPr>
                <w:sz w:val="22"/>
                <w:szCs w:val="22"/>
                <w:vertAlign w:val="superscript"/>
              </w:rPr>
              <w:t>a</w:t>
            </w:r>
            <w:proofErr w:type="spellEnd"/>
          </w:p>
        </w:tc>
        <w:tc>
          <w:tcPr>
            <w:tcW w:w="2097" w:type="dxa"/>
          </w:tcPr>
          <w:p w14:paraId="3ACD9632" w14:textId="77777777" w:rsidR="00BB43EC" w:rsidRPr="00BB43EC" w:rsidRDefault="00BB43EC" w:rsidP="00813E59">
            <w:pPr>
              <w:pStyle w:val="C-BodyText"/>
              <w:keepNext/>
              <w:keepLines/>
              <w:spacing w:before="0" w:after="0" w:line="240" w:lineRule="auto"/>
              <w:jc w:val="center"/>
              <w:rPr>
                <w:sz w:val="22"/>
                <w:szCs w:val="22"/>
              </w:rPr>
            </w:pPr>
            <w:r w:rsidRPr="00BB43EC">
              <w:rPr>
                <w:sz w:val="22"/>
                <w:szCs w:val="22"/>
              </w:rPr>
              <w:t xml:space="preserve">no </w:t>
            </w:r>
            <w:proofErr w:type="spellStart"/>
            <w:r w:rsidRPr="00BB43EC">
              <w:rPr>
                <w:sz w:val="22"/>
                <w:szCs w:val="22"/>
              </w:rPr>
              <w:t>change</w:t>
            </w:r>
            <w:r w:rsidRPr="00BB43EC">
              <w:rPr>
                <w:sz w:val="22"/>
                <w:szCs w:val="22"/>
                <w:vertAlign w:val="superscript"/>
              </w:rPr>
              <w:t>a</w:t>
            </w:r>
            <w:proofErr w:type="spellEnd"/>
          </w:p>
        </w:tc>
        <w:tc>
          <w:tcPr>
            <w:tcW w:w="2098" w:type="dxa"/>
          </w:tcPr>
          <w:p w14:paraId="7C07D207" w14:textId="77777777" w:rsidR="00BB43EC" w:rsidRPr="00BB43EC" w:rsidRDefault="00BB43EC" w:rsidP="00813E59">
            <w:pPr>
              <w:pStyle w:val="C-BodyText"/>
              <w:keepNext/>
              <w:keepLines/>
              <w:spacing w:before="0" w:after="0" w:line="240" w:lineRule="auto"/>
              <w:jc w:val="center"/>
              <w:rPr>
                <w:sz w:val="22"/>
                <w:szCs w:val="22"/>
              </w:rPr>
            </w:pPr>
            <w:r w:rsidRPr="00BB43EC">
              <w:rPr>
                <w:sz w:val="22"/>
                <w:szCs w:val="22"/>
              </w:rPr>
              <w:t>206-fold</w:t>
            </w:r>
          </w:p>
        </w:tc>
      </w:tr>
      <w:tr w:rsidR="00BB43EC" w:rsidRPr="00BB43EC" w14:paraId="2C51CDAD" w14:textId="77777777" w:rsidTr="00813E59">
        <w:trPr>
          <w:jc w:val="center"/>
        </w:trPr>
        <w:tc>
          <w:tcPr>
            <w:tcW w:w="2251" w:type="dxa"/>
          </w:tcPr>
          <w:p w14:paraId="5C256487" w14:textId="77777777" w:rsidR="00BB43EC" w:rsidRPr="00BB43EC" w:rsidRDefault="00BB43EC" w:rsidP="00813E59">
            <w:pPr>
              <w:pStyle w:val="C-BodyText"/>
              <w:keepNext/>
              <w:keepLines/>
              <w:spacing w:before="0" w:after="0" w:line="240" w:lineRule="auto"/>
              <w:jc w:val="center"/>
              <w:rPr>
                <w:sz w:val="22"/>
                <w:szCs w:val="22"/>
              </w:rPr>
            </w:pPr>
            <w:r w:rsidRPr="00BB43EC">
              <w:rPr>
                <w:sz w:val="22"/>
                <w:szCs w:val="22"/>
              </w:rPr>
              <w:t>E484Q</w:t>
            </w:r>
          </w:p>
        </w:tc>
        <w:tc>
          <w:tcPr>
            <w:tcW w:w="2097" w:type="dxa"/>
          </w:tcPr>
          <w:p w14:paraId="218E76BF" w14:textId="77777777" w:rsidR="00BB43EC" w:rsidRPr="00BB43EC" w:rsidRDefault="00BB43EC" w:rsidP="00813E59">
            <w:pPr>
              <w:pStyle w:val="C-BodyText"/>
              <w:keepNext/>
              <w:keepLines/>
              <w:spacing w:before="0" w:after="0" w:line="240" w:lineRule="auto"/>
              <w:jc w:val="center"/>
              <w:rPr>
                <w:sz w:val="22"/>
                <w:szCs w:val="22"/>
              </w:rPr>
            </w:pPr>
            <w:r w:rsidRPr="00BB43EC">
              <w:rPr>
                <w:sz w:val="22"/>
                <w:szCs w:val="22"/>
              </w:rPr>
              <w:t xml:space="preserve">no </w:t>
            </w:r>
            <w:proofErr w:type="spellStart"/>
            <w:r w:rsidRPr="00BB43EC">
              <w:rPr>
                <w:sz w:val="22"/>
                <w:szCs w:val="22"/>
              </w:rPr>
              <w:t>change</w:t>
            </w:r>
            <w:r w:rsidRPr="00BB43EC">
              <w:rPr>
                <w:sz w:val="22"/>
                <w:szCs w:val="22"/>
                <w:vertAlign w:val="superscript"/>
              </w:rPr>
              <w:t>a</w:t>
            </w:r>
            <w:proofErr w:type="spellEnd"/>
          </w:p>
        </w:tc>
        <w:tc>
          <w:tcPr>
            <w:tcW w:w="2097" w:type="dxa"/>
          </w:tcPr>
          <w:p w14:paraId="716E3FD8" w14:textId="77777777" w:rsidR="00BB43EC" w:rsidRPr="00BB43EC" w:rsidRDefault="00BB43EC" w:rsidP="00813E59">
            <w:pPr>
              <w:pStyle w:val="C-BodyText"/>
              <w:keepNext/>
              <w:keepLines/>
              <w:spacing w:before="0" w:after="0" w:line="240" w:lineRule="auto"/>
              <w:jc w:val="center"/>
              <w:rPr>
                <w:sz w:val="22"/>
                <w:szCs w:val="22"/>
              </w:rPr>
            </w:pPr>
            <w:r w:rsidRPr="00BB43EC">
              <w:rPr>
                <w:sz w:val="22"/>
                <w:szCs w:val="22"/>
              </w:rPr>
              <w:t>19-fold</w:t>
            </w:r>
          </w:p>
        </w:tc>
        <w:tc>
          <w:tcPr>
            <w:tcW w:w="2098" w:type="dxa"/>
          </w:tcPr>
          <w:p w14:paraId="2D944618" w14:textId="77777777" w:rsidR="00BB43EC" w:rsidRPr="00BB43EC" w:rsidRDefault="00BB43EC" w:rsidP="00813E59">
            <w:pPr>
              <w:pStyle w:val="C-BodyText"/>
              <w:keepNext/>
              <w:keepLines/>
              <w:spacing w:before="0" w:after="0" w:line="240" w:lineRule="auto"/>
              <w:jc w:val="center"/>
              <w:rPr>
                <w:sz w:val="22"/>
                <w:szCs w:val="22"/>
              </w:rPr>
            </w:pPr>
            <w:r w:rsidRPr="00BB43EC">
              <w:rPr>
                <w:sz w:val="22"/>
                <w:szCs w:val="22"/>
              </w:rPr>
              <w:t xml:space="preserve">no </w:t>
            </w:r>
            <w:proofErr w:type="spellStart"/>
            <w:r w:rsidRPr="00BB43EC">
              <w:rPr>
                <w:sz w:val="22"/>
                <w:szCs w:val="22"/>
              </w:rPr>
              <w:t>change</w:t>
            </w:r>
            <w:r w:rsidRPr="00BB43EC">
              <w:rPr>
                <w:sz w:val="22"/>
                <w:szCs w:val="22"/>
                <w:vertAlign w:val="superscript"/>
              </w:rPr>
              <w:t>a</w:t>
            </w:r>
            <w:proofErr w:type="spellEnd"/>
          </w:p>
        </w:tc>
      </w:tr>
      <w:tr w:rsidR="00BB43EC" w:rsidRPr="00BB43EC" w14:paraId="319A00F8" w14:textId="77777777" w:rsidTr="00813E59">
        <w:trPr>
          <w:jc w:val="center"/>
        </w:trPr>
        <w:tc>
          <w:tcPr>
            <w:tcW w:w="2251" w:type="dxa"/>
          </w:tcPr>
          <w:p w14:paraId="594C4036" w14:textId="77777777" w:rsidR="00BB43EC" w:rsidRPr="00BB43EC" w:rsidRDefault="00BB43EC" w:rsidP="00813E59">
            <w:pPr>
              <w:pStyle w:val="C-BodyText"/>
              <w:keepNext/>
              <w:keepLines/>
              <w:spacing w:before="0" w:after="0" w:line="240" w:lineRule="auto"/>
              <w:jc w:val="center"/>
              <w:rPr>
                <w:sz w:val="22"/>
                <w:szCs w:val="22"/>
              </w:rPr>
            </w:pPr>
            <w:r w:rsidRPr="00BB43EC">
              <w:rPr>
                <w:sz w:val="22"/>
                <w:szCs w:val="22"/>
              </w:rPr>
              <w:t>Q493E</w:t>
            </w:r>
          </w:p>
        </w:tc>
        <w:tc>
          <w:tcPr>
            <w:tcW w:w="2097" w:type="dxa"/>
          </w:tcPr>
          <w:p w14:paraId="5D4833B4" w14:textId="77777777" w:rsidR="00BB43EC" w:rsidRPr="00BB43EC" w:rsidRDefault="00BB43EC" w:rsidP="00813E59">
            <w:pPr>
              <w:pStyle w:val="C-BodyText"/>
              <w:keepNext/>
              <w:keepLines/>
              <w:spacing w:before="0" w:after="0" w:line="240" w:lineRule="auto"/>
              <w:jc w:val="center"/>
              <w:rPr>
                <w:sz w:val="22"/>
                <w:szCs w:val="22"/>
              </w:rPr>
            </w:pPr>
            <w:r w:rsidRPr="00BB43EC">
              <w:rPr>
                <w:sz w:val="22"/>
                <w:szCs w:val="22"/>
              </w:rPr>
              <w:t xml:space="preserve">no </w:t>
            </w:r>
            <w:proofErr w:type="spellStart"/>
            <w:r w:rsidRPr="00BB43EC">
              <w:rPr>
                <w:sz w:val="22"/>
                <w:szCs w:val="22"/>
              </w:rPr>
              <w:t>change</w:t>
            </w:r>
            <w:r w:rsidRPr="00BB43EC">
              <w:rPr>
                <w:sz w:val="22"/>
                <w:szCs w:val="22"/>
                <w:vertAlign w:val="superscript"/>
              </w:rPr>
              <w:t>a</w:t>
            </w:r>
            <w:proofErr w:type="spellEnd"/>
          </w:p>
        </w:tc>
        <w:tc>
          <w:tcPr>
            <w:tcW w:w="2097" w:type="dxa"/>
          </w:tcPr>
          <w:p w14:paraId="35F4634C" w14:textId="77777777" w:rsidR="00BB43EC" w:rsidRPr="00BB43EC" w:rsidRDefault="00BB43EC" w:rsidP="00813E59">
            <w:pPr>
              <w:pStyle w:val="C-BodyText"/>
              <w:keepNext/>
              <w:keepLines/>
              <w:spacing w:before="0" w:after="0" w:line="240" w:lineRule="auto"/>
              <w:jc w:val="center"/>
              <w:rPr>
                <w:sz w:val="22"/>
                <w:szCs w:val="22"/>
              </w:rPr>
            </w:pPr>
            <w:r w:rsidRPr="00BB43EC">
              <w:rPr>
                <w:sz w:val="22"/>
                <w:szCs w:val="22"/>
              </w:rPr>
              <w:t>446-fold</w:t>
            </w:r>
          </w:p>
        </w:tc>
        <w:tc>
          <w:tcPr>
            <w:tcW w:w="2098" w:type="dxa"/>
          </w:tcPr>
          <w:p w14:paraId="7B922B74" w14:textId="77777777" w:rsidR="00BB43EC" w:rsidRPr="00BB43EC" w:rsidRDefault="00BB43EC" w:rsidP="00813E59">
            <w:pPr>
              <w:pStyle w:val="C-BodyText"/>
              <w:keepNext/>
              <w:keepLines/>
              <w:spacing w:before="0" w:after="0" w:line="240" w:lineRule="auto"/>
              <w:jc w:val="center"/>
              <w:rPr>
                <w:sz w:val="22"/>
                <w:szCs w:val="22"/>
              </w:rPr>
            </w:pPr>
            <w:r w:rsidRPr="00BB43EC">
              <w:rPr>
                <w:sz w:val="22"/>
                <w:szCs w:val="22"/>
              </w:rPr>
              <w:t xml:space="preserve">no </w:t>
            </w:r>
            <w:proofErr w:type="spellStart"/>
            <w:r w:rsidRPr="00BB43EC">
              <w:rPr>
                <w:sz w:val="22"/>
                <w:szCs w:val="22"/>
              </w:rPr>
              <w:t>change</w:t>
            </w:r>
            <w:r w:rsidRPr="00BB43EC">
              <w:rPr>
                <w:sz w:val="22"/>
                <w:szCs w:val="22"/>
                <w:vertAlign w:val="superscript"/>
              </w:rPr>
              <w:t>a</w:t>
            </w:r>
            <w:proofErr w:type="spellEnd"/>
          </w:p>
        </w:tc>
      </w:tr>
      <w:tr w:rsidR="00BB43EC" w:rsidRPr="00BB43EC" w14:paraId="238B0776" w14:textId="77777777" w:rsidTr="00813E59">
        <w:trPr>
          <w:jc w:val="center"/>
        </w:trPr>
        <w:tc>
          <w:tcPr>
            <w:tcW w:w="2251" w:type="dxa"/>
          </w:tcPr>
          <w:p w14:paraId="7C23FF6F" w14:textId="77777777" w:rsidR="00BB43EC" w:rsidRPr="00BB43EC" w:rsidRDefault="00BB43EC" w:rsidP="00813E59">
            <w:pPr>
              <w:pStyle w:val="C-BodyText"/>
              <w:keepNext/>
              <w:keepLines/>
              <w:spacing w:before="0" w:after="0" w:line="240" w:lineRule="auto"/>
              <w:jc w:val="center"/>
              <w:rPr>
                <w:sz w:val="22"/>
                <w:szCs w:val="22"/>
              </w:rPr>
            </w:pPr>
            <w:r w:rsidRPr="00BB43EC">
              <w:rPr>
                <w:sz w:val="22"/>
                <w:szCs w:val="22"/>
              </w:rPr>
              <w:t xml:space="preserve">G476D </w:t>
            </w:r>
          </w:p>
        </w:tc>
        <w:tc>
          <w:tcPr>
            <w:tcW w:w="2097" w:type="dxa"/>
          </w:tcPr>
          <w:p w14:paraId="0C0B4142" w14:textId="77777777" w:rsidR="00BB43EC" w:rsidRPr="00BB43EC" w:rsidRDefault="00BB43EC" w:rsidP="00813E59">
            <w:pPr>
              <w:pStyle w:val="C-BodyText"/>
              <w:keepNext/>
              <w:keepLines/>
              <w:spacing w:before="0" w:after="0" w:line="240" w:lineRule="auto"/>
              <w:jc w:val="center"/>
              <w:rPr>
                <w:sz w:val="22"/>
                <w:szCs w:val="22"/>
              </w:rPr>
            </w:pPr>
            <w:r w:rsidRPr="00BB43EC">
              <w:rPr>
                <w:sz w:val="22"/>
                <w:szCs w:val="22"/>
              </w:rPr>
              <w:t xml:space="preserve">no </w:t>
            </w:r>
            <w:proofErr w:type="spellStart"/>
            <w:r w:rsidRPr="00BB43EC">
              <w:rPr>
                <w:sz w:val="22"/>
                <w:szCs w:val="22"/>
              </w:rPr>
              <w:t>change</w:t>
            </w:r>
            <w:r w:rsidRPr="00BB43EC">
              <w:rPr>
                <w:sz w:val="22"/>
                <w:szCs w:val="22"/>
                <w:vertAlign w:val="superscript"/>
              </w:rPr>
              <w:t>a</w:t>
            </w:r>
            <w:proofErr w:type="spellEnd"/>
          </w:p>
        </w:tc>
        <w:tc>
          <w:tcPr>
            <w:tcW w:w="2097" w:type="dxa"/>
          </w:tcPr>
          <w:p w14:paraId="26D3453D" w14:textId="77777777" w:rsidR="00BB43EC" w:rsidRPr="00BB43EC" w:rsidRDefault="00BB43EC" w:rsidP="00813E59">
            <w:pPr>
              <w:pStyle w:val="C-BodyText"/>
              <w:keepNext/>
              <w:keepLines/>
              <w:spacing w:before="0" w:after="0" w:line="240" w:lineRule="auto"/>
              <w:jc w:val="center"/>
              <w:rPr>
                <w:sz w:val="22"/>
                <w:szCs w:val="22"/>
              </w:rPr>
            </w:pPr>
            <w:proofErr w:type="gramStart"/>
            <w:r w:rsidRPr="00BB43EC">
              <w:rPr>
                <w:sz w:val="22"/>
                <w:szCs w:val="22"/>
              </w:rPr>
              <w:t>1021 fold</w:t>
            </w:r>
            <w:proofErr w:type="gramEnd"/>
          </w:p>
        </w:tc>
        <w:tc>
          <w:tcPr>
            <w:tcW w:w="2098" w:type="dxa"/>
          </w:tcPr>
          <w:p w14:paraId="1213FAD9" w14:textId="77777777" w:rsidR="00BB43EC" w:rsidRPr="00BB43EC" w:rsidRDefault="00BB43EC" w:rsidP="00813E59">
            <w:pPr>
              <w:pStyle w:val="C-BodyText"/>
              <w:keepNext/>
              <w:keepLines/>
              <w:spacing w:before="0" w:after="0" w:line="240" w:lineRule="auto"/>
              <w:jc w:val="center"/>
              <w:rPr>
                <w:sz w:val="22"/>
                <w:szCs w:val="22"/>
              </w:rPr>
            </w:pPr>
            <w:r w:rsidRPr="00BB43EC">
              <w:rPr>
                <w:sz w:val="22"/>
                <w:szCs w:val="22"/>
              </w:rPr>
              <w:t xml:space="preserve">no </w:t>
            </w:r>
            <w:proofErr w:type="spellStart"/>
            <w:r w:rsidRPr="00BB43EC">
              <w:rPr>
                <w:sz w:val="22"/>
                <w:szCs w:val="22"/>
              </w:rPr>
              <w:t>change</w:t>
            </w:r>
            <w:r w:rsidRPr="00BB43EC">
              <w:rPr>
                <w:sz w:val="22"/>
                <w:szCs w:val="22"/>
                <w:vertAlign w:val="superscript"/>
              </w:rPr>
              <w:t>a</w:t>
            </w:r>
            <w:proofErr w:type="spellEnd"/>
          </w:p>
        </w:tc>
      </w:tr>
    </w:tbl>
    <w:p w14:paraId="27AA0F4A" w14:textId="77777777" w:rsidR="00BB43EC" w:rsidRPr="0061333F" w:rsidRDefault="00BB43EC" w:rsidP="00BB43EC">
      <w:pPr>
        <w:keepNext/>
        <w:keepLines/>
        <w:rPr>
          <w:sz w:val="20"/>
        </w:rPr>
      </w:pPr>
      <w:r w:rsidRPr="0061333F">
        <w:rPr>
          <w:sz w:val="20"/>
          <w:vertAlign w:val="superscript"/>
        </w:rPr>
        <w:t xml:space="preserve">a </w:t>
      </w:r>
      <w:r w:rsidRPr="0061333F">
        <w:rPr>
          <w:sz w:val="20"/>
        </w:rPr>
        <w:t>No change: &lt; 5-fold reduction in susceptibility.</w:t>
      </w:r>
    </w:p>
    <w:p w14:paraId="4219400E" w14:textId="77777777" w:rsidR="00BB43EC" w:rsidRPr="004663D3" w:rsidRDefault="00BB43EC" w:rsidP="00B8096C">
      <w:pPr>
        <w:pStyle w:val="C-BodyText"/>
        <w:spacing w:before="0" w:after="0"/>
        <w:rPr>
          <w:szCs w:val="24"/>
        </w:rPr>
      </w:pPr>
    </w:p>
    <w:p w14:paraId="5DBB3F70" w14:textId="40518B31" w:rsidR="00BB43EC" w:rsidRPr="004663D3" w:rsidRDefault="00BB43EC" w:rsidP="00BB43EC">
      <w:pPr>
        <w:pStyle w:val="C-BodyText"/>
        <w:keepNext/>
        <w:keepLines/>
        <w:spacing w:before="0" w:after="0"/>
        <w:rPr>
          <w:szCs w:val="24"/>
        </w:rPr>
      </w:pPr>
      <w:r w:rsidRPr="004663D3">
        <w:rPr>
          <w:szCs w:val="24"/>
        </w:rPr>
        <w:t xml:space="preserve">See Table 8 for a comprehensive list of variants with a &lt; 5-fold reduced susceptibility to </w:t>
      </w:r>
      <w:proofErr w:type="spellStart"/>
      <w:r w:rsidRPr="004663D3">
        <w:rPr>
          <w:szCs w:val="24"/>
        </w:rPr>
        <w:t>casirivimab</w:t>
      </w:r>
      <w:proofErr w:type="spellEnd"/>
      <w:r w:rsidRPr="004663D3">
        <w:rPr>
          <w:szCs w:val="24"/>
        </w:rPr>
        <w:t xml:space="preserve"> alone, </w:t>
      </w:r>
      <w:proofErr w:type="spellStart"/>
      <w:r w:rsidRPr="004663D3">
        <w:rPr>
          <w:szCs w:val="24"/>
        </w:rPr>
        <w:t>imdevimab</w:t>
      </w:r>
      <w:proofErr w:type="spellEnd"/>
      <w:r w:rsidRPr="004663D3">
        <w:rPr>
          <w:szCs w:val="24"/>
        </w:rPr>
        <w:t xml:space="preserve"> alone, and </w:t>
      </w:r>
      <w:proofErr w:type="spellStart"/>
      <w:r w:rsidRPr="004663D3">
        <w:rPr>
          <w:szCs w:val="24"/>
        </w:rPr>
        <w:t>casirivimab</w:t>
      </w:r>
      <w:proofErr w:type="spellEnd"/>
      <w:r w:rsidRPr="004663D3">
        <w:rPr>
          <w:szCs w:val="24"/>
        </w:rPr>
        <w:t xml:space="preserve"> and </w:t>
      </w:r>
      <w:proofErr w:type="spellStart"/>
      <w:r w:rsidRPr="004663D3">
        <w:rPr>
          <w:szCs w:val="24"/>
        </w:rPr>
        <w:t>imdevimab</w:t>
      </w:r>
      <w:proofErr w:type="spellEnd"/>
      <w:r w:rsidRPr="004663D3">
        <w:rPr>
          <w:szCs w:val="24"/>
        </w:rPr>
        <w:t xml:space="preserve"> together.</w:t>
      </w:r>
      <w:r w:rsidR="00C70AB9" w:rsidRPr="00C70AB9">
        <w:t xml:space="preserve"> </w:t>
      </w:r>
      <w:r w:rsidR="00C70AB9" w:rsidRPr="00C70AB9">
        <w:rPr>
          <w:szCs w:val="24"/>
        </w:rPr>
        <w:t>Data collection and analysis is ongoing.</w:t>
      </w:r>
    </w:p>
    <w:p w14:paraId="737D8A2B" w14:textId="77777777" w:rsidR="00BB43EC" w:rsidRPr="004663D3" w:rsidRDefault="00BB43EC" w:rsidP="00BB43EC">
      <w:pPr>
        <w:pStyle w:val="C-BodyText"/>
        <w:keepNext/>
        <w:keepLines/>
        <w:spacing w:before="0" w:after="0"/>
        <w:rPr>
          <w:szCs w:val="24"/>
        </w:rPr>
      </w:pPr>
    </w:p>
    <w:p w14:paraId="322A95B3" w14:textId="2C2E6CE8" w:rsidR="00BB43EC" w:rsidRPr="004663D3" w:rsidRDefault="00BB43EC" w:rsidP="00BB43EC">
      <w:pPr>
        <w:pStyle w:val="C-TableHeader"/>
        <w:keepLines/>
        <w:spacing w:before="0" w:after="120"/>
        <w:ind w:left="907" w:hanging="907"/>
        <w:rPr>
          <w:sz w:val="24"/>
          <w:szCs w:val="24"/>
        </w:rPr>
      </w:pPr>
      <w:r w:rsidRPr="004663D3">
        <w:rPr>
          <w:sz w:val="24"/>
          <w:szCs w:val="24"/>
        </w:rPr>
        <w:t>Table 8:</w:t>
      </w:r>
      <w:r w:rsidRPr="004663D3">
        <w:rPr>
          <w:sz w:val="24"/>
          <w:szCs w:val="24"/>
        </w:rPr>
        <w:tab/>
      </w:r>
      <w:proofErr w:type="spellStart"/>
      <w:r w:rsidRPr="004663D3">
        <w:rPr>
          <w:sz w:val="24"/>
          <w:szCs w:val="24"/>
        </w:rPr>
        <w:t>Pseudotyped</w:t>
      </w:r>
      <w:proofErr w:type="spellEnd"/>
      <w:r w:rsidRPr="004663D3">
        <w:rPr>
          <w:sz w:val="24"/>
          <w:szCs w:val="24"/>
        </w:rPr>
        <w:t xml:space="preserve"> virus-like particle </w:t>
      </w:r>
      <w:proofErr w:type="spellStart"/>
      <w:r w:rsidRPr="004663D3">
        <w:rPr>
          <w:sz w:val="24"/>
          <w:szCs w:val="24"/>
        </w:rPr>
        <w:t>neutralisation</w:t>
      </w:r>
      <w:proofErr w:type="spellEnd"/>
      <w:r w:rsidRPr="004663D3">
        <w:rPr>
          <w:sz w:val="24"/>
          <w:szCs w:val="24"/>
        </w:rPr>
        <w:t xml:space="preserve"> data for SARS-CoV-2 </w:t>
      </w:r>
      <w:r>
        <w:rPr>
          <w:sz w:val="24"/>
          <w:szCs w:val="24"/>
        </w:rPr>
        <w:t xml:space="preserve">variant </w:t>
      </w:r>
      <w:r w:rsidRPr="004663D3">
        <w:rPr>
          <w:sz w:val="24"/>
          <w:szCs w:val="24"/>
        </w:rPr>
        <w:t xml:space="preserve">substitutions with </w:t>
      </w:r>
      <w:proofErr w:type="spellStart"/>
      <w:r w:rsidRPr="004663D3">
        <w:rPr>
          <w:sz w:val="24"/>
          <w:szCs w:val="24"/>
        </w:rPr>
        <w:t>casirivimab</w:t>
      </w:r>
      <w:proofErr w:type="spellEnd"/>
      <w:r w:rsidRPr="004663D3">
        <w:rPr>
          <w:sz w:val="24"/>
          <w:szCs w:val="24"/>
        </w:rPr>
        <w:t xml:space="preserve"> and </w:t>
      </w:r>
      <w:proofErr w:type="spellStart"/>
      <w:r w:rsidRPr="004663D3">
        <w:rPr>
          <w:sz w:val="24"/>
          <w:szCs w:val="24"/>
        </w:rPr>
        <w:t>imdevimab</w:t>
      </w:r>
      <w:proofErr w:type="spellEnd"/>
      <w:r w:rsidRPr="004663D3">
        <w:rPr>
          <w:sz w:val="24"/>
          <w:szCs w:val="24"/>
        </w:rPr>
        <w:t xml:space="preserve"> together. SARS-CoV-2 </w:t>
      </w:r>
      <w:r>
        <w:rPr>
          <w:sz w:val="24"/>
          <w:szCs w:val="24"/>
        </w:rPr>
        <w:t>v</w:t>
      </w:r>
      <w:r w:rsidRPr="004663D3">
        <w:rPr>
          <w:sz w:val="24"/>
          <w:szCs w:val="24"/>
        </w:rPr>
        <w:t xml:space="preserve">ariants that do not impact </w:t>
      </w:r>
      <w:proofErr w:type="spellStart"/>
      <w:r w:rsidRPr="004663D3">
        <w:rPr>
          <w:sz w:val="24"/>
          <w:szCs w:val="24"/>
        </w:rPr>
        <w:t>neutralisation</w:t>
      </w:r>
      <w:proofErr w:type="spellEnd"/>
      <w:r w:rsidRPr="004663D3">
        <w:rPr>
          <w:sz w:val="24"/>
          <w:szCs w:val="24"/>
        </w:rPr>
        <w:t xml:space="preserve"> potency of either </w:t>
      </w:r>
      <w:proofErr w:type="spellStart"/>
      <w:r w:rsidRPr="004663D3">
        <w:rPr>
          <w:sz w:val="24"/>
          <w:szCs w:val="24"/>
        </w:rPr>
        <w:t>casirivimab</w:t>
      </w:r>
      <w:proofErr w:type="spellEnd"/>
      <w:r w:rsidRPr="004663D3">
        <w:rPr>
          <w:sz w:val="24"/>
          <w:szCs w:val="24"/>
        </w:rPr>
        <w:t xml:space="preserve"> </w:t>
      </w:r>
      <w:r>
        <w:rPr>
          <w:sz w:val="24"/>
          <w:szCs w:val="24"/>
        </w:rPr>
        <w:t xml:space="preserve">or </w:t>
      </w:r>
      <w:proofErr w:type="spellStart"/>
      <w:r>
        <w:rPr>
          <w:sz w:val="24"/>
          <w:szCs w:val="24"/>
        </w:rPr>
        <w:t>imdevimab</w:t>
      </w:r>
      <w:proofErr w:type="spellEnd"/>
      <w:r>
        <w:rPr>
          <w:sz w:val="24"/>
          <w:szCs w:val="24"/>
        </w:rPr>
        <w:t xml:space="preserve"> alone or together</w:t>
      </w:r>
    </w:p>
    <w:tbl>
      <w:tblPr>
        <w:tblStyle w:val="TableGrid"/>
        <w:tblW w:w="0" w:type="auto"/>
        <w:tblInd w:w="0" w:type="dxa"/>
        <w:tblLook w:val="04A0" w:firstRow="1" w:lastRow="0" w:firstColumn="1" w:lastColumn="0" w:noHBand="0" w:noVBand="1"/>
      </w:tblPr>
      <w:tblGrid>
        <w:gridCol w:w="1438"/>
        <w:gridCol w:w="1438"/>
        <w:gridCol w:w="1439"/>
        <w:gridCol w:w="1438"/>
        <w:gridCol w:w="1438"/>
        <w:gridCol w:w="1439"/>
      </w:tblGrid>
      <w:tr w:rsidR="00BB43EC" w:rsidRPr="00BB43EC" w14:paraId="56B2BBCF" w14:textId="77777777" w:rsidTr="00813E59">
        <w:trPr>
          <w:trHeight w:val="359"/>
        </w:trPr>
        <w:tc>
          <w:tcPr>
            <w:tcW w:w="8630" w:type="dxa"/>
            <w:gridSpan w:val="6"/>
          </w:tcPr>
          <w:p w14:paraId="26BDB418" w14:textId="77777777" w:rsidR="00BB43EC" w:rsidRPr="00BB43EC" w:rsidRDefault="00BB43EC" w:rsidP="00813E59">
            <w:pPr>
              <w:pStyle w:val="C-BodyText"/>
              <w:keepNext/>
              <w:keepLines/>
              <w:spacing w:before="0" w:after="0" w:line="240" w:lineRule="auto"/>
              <w:jc w:val="center"/>
              <w:rPr>
                <w:b/>
                <w:sz w:val="22"/>
                <w:szCs w:val="22"/>
              </w:rPr>
            </w:pPr>
            <w:r w:rsidRPr="00BB43EC">
              <w:rPr>
                <w:b/>
                <w:sz w:val="22"/>
                <w:szCs w:val="22"/>
              </w:rPr>
              <w:t>SARS-CoV-2 S Protein Variant</w:t>
            </w:r>
          </w:p>
        </w:tc>
      </w:tr>
      <w:tr w:rsidR="00BB43EC" w:rsidRPr="00BB43EC" w14:paraId="2875C297" w14:textId="77777777" w:rsidTr="00813E59">
        <w:tc>
          <w:tcPr>
            <w:tcW w:w="1438" w:type="dxa"/>
            <w:vAlign w:val="center"/>
          </w:tcPr>
          <w:p w14:paraId="21DBCBCB" w14:textId="77777777" w:rsidR="00BB43EC" w:rsidRPr="00BB43EC" w:rsidRDefault="00BB43EC" w:rsidP="00813E59">
            <w:pPr>
              <w:pStyle w:val="C-BodyText"/>
              <w:keepNext/>
              <w:keepLines/>
              <w:spacing w:before="0" w:after="0" w:line="240" w:lineRule="auto"/>
              <w:jc w:val="center"/>
              <w:rPr>
                <w:sz w:val="22"/>
                <w:szCs w:val="22"/>
              </w:rPr>
            </w:pPr>
            <w:r w:rsidRPr="00BB43EC">
              <w:rPr>
                <w:rFonts w:eastAsia="Calibri"/>
                <w:color w:val="000000"/>
                <w:sz w:val="22"/>
                <w:szCs w:val="22"/>
              </w:rPr>
              <w:t>L18F</w:t>
            </w:r>
          </w:p>
        </w:tc>
        <w:tc>
          <w:tcPr>
            <w:tcW w:w="1438" w:type="dxa"/>
            <w:vAlign w:val="center"/>
          </w:tcPr>
          <w:p w14:paraId="0825EB30" w14:textId="77777777" w:rsidR="00BB43EC" w:rsidRPr="00BB43EC" w:rsidRDefault="00BB43EC" w:rsidP="00813E59">
            <w:pPr>
              <w:pStyle w:val="C-BodyText"/>
              <w:keepNext/>
              <w:keepLines/>
              <w:spacing w:before="0" w:after="0" w:line="240" w:lineRule="auto"/>
              <w:jc w:val="center"/>
              <w:rPr>
                <w:sz w:val="22"/>
                <w:szCs w:val="22"/>
              </w:rPr>
            </w:pPr>
            <w:r w:rsidRPr="00BB43EC">
              <w:rPr>
                <w:rFonts w:eastAsia="Calibri"/>
                <w:color w:val="000000"/>
                <w:sz w:val="22"/>
                <w:szCs w:val="22"/>
              </w:rPr>
              <w:t>R346E</w:t>
            </w:r>
          </w:p>
        </w:tc>
        <w:tc>
          <w:tcPr>
            <w:tcW w:w="1439" w:type="dxa"/>
            <w:vAlign w:val="center"/>
          </w:tcPr>
          <w:p w14:paraId="31BC4C02" w14:textId="77777777" w:rsidR="00BB43EC" w:rsidRPr="00BB43EC" w:rsidRDefault="00BB43EC" w:rsidP="00813E59">
            <w:pPr>
              <w:pStyle w:val="C-BodyText"/>
              <w:keepNext/>
              <w:keepLines/>
              <w:spacing w:before="0" w:after="0" w:line="240" w:lineRule="auto"/>
              <w:jc w:val="center"/>
              <w:rPr>
                <w:sz w:val="22"/>
                <w:szCs w:val="22"/>
              </w:rPr>
            </w:pPr>
            <w:r w:rsidRPr="00BB43EC">
              <w:rPr>
                <w:rFonts w:eastAsia="Calibri"/>
                <w:color w:val="000000"/>
                <w:sz w:val="22"/>
                <w:szCs w:val="22"/>
              </w:rPr>
              <w:t>V382L</w:t>
            </w:r>
          </w:p>
        </w:tc>
        <w:tc>
          <w:tcPr>
            <w:tcW w:w="1438" w:type="dxa"/>
            <w:vAlign w:val="center"/>
          </w:tcPr>
          <w:p w14:paraId="1FBCABB7" w14:textId="77777777" w:rsidR="00BB43EC" w:rsidRPr="00BB43EC" w:rsidRDefault="00BB43EC" w:rsidP="00813E59">
            <w:pPr>
              <w:pStyle w:val="C-BodyText"/>
              <w:keepNext/>
              <w:keepLines/>
              <w:spacing w:before="0" w:after="0" w:line="240" w:lineRule="auto"/>
              <w:jc w:val="center"/>
              <w:rPr>
                <w:sz w:val="22"/>
                <w:szCs w:val="22"/>
              </w:rPr>
            </w:pPr>
            <w:r w:rsidRPr="00BB43EC">
              <w:rPr>
                <w:rFonts w:eastAsia="Calibri"/>
                <w:color w:val="000000"/>
                <w:sz w:val="22"/>
                <w:szCs w:val="22"/>
              </w:rPr>
              <w:t>K458N</w:t>
            </w:r>
          </w:p>
        </w:tc>
        <w:tc>
          <w:tcPr>
            <w:tcW w:w="1438" w:type="dxa"/>
            <w:vAlign w:val="center"/>
          </w:tcPr>
          <w:p w14:paraId="24144DCB" w14:textId="77777777" w:rsidR="00BB43EC" w:rsidRPr="00BB43EC" w:rsidRDefault="00BB43EC" w:rsidP="00813E59">
            <w:pPr>
              <w:pStyle w:val="C-BodyText"/>
              <w:keepNext/>
              <w:keepLines/>
              <w:spacing w:before="0" w:after="0" w:line="240" w:lineRule="auto"/>
              <w:jc w:val="center"/>
              <w:rPr>
                <w:sz w:val="22"/>
                <w:szCs w:val="22"/>
              </w:rPr>
            </w:pPr>
            <w:r w:rsidRPr="00BB43EC">
              <w:rPr>
                <w:rFonts w:eastAsia="Calibri"/>
                <w:color w:val="000000"/>
                <w:sz w:val="22"/>
                <w:szCs w:val="22"/>
              </w:rPr>
              <w:t>G485D</w:t>
            </w:r>
          </w:p>
        </w:tc>
        <w:tc>
          <w:tcPr>
            <w:tcW w:w="1439" w:type="dxa"/>
            <w:vAlign w:val="center"/>
          </w:tcPr>
          <w:p w14:paraId="39F93512" w14:textId="77777777" w:rsidR="00BB43EC" w:rsidRPr="00BB43EC" w:rsidRDefault="00BB43EC" w:rsidP="00813E59">
            <w:pPr>
              <w:pStyle w:val="C-BodyText"/>
              <w:keepNext/>
              <w:keepLines/>
              <w:spacing w:before="0" w:after="0" w:line="240" w:lineRule="auto"/>
              <w:jc w:val="center"/>
              <w:rPr>
                <w:sz w:val="22"/>
                <w:szCs w:val="22"/>
              </w:rPr>
            </w:pPr>
            <w:r w:rsidRPr="00BB43EC">
              <w:rPr>
                <w:rFonts w:eastAsia="Calibri"/>
                <w:color w:val="000000"/>
                <w:sz w:val="22"/>
                <w:szCs w:val="22"/>
              </w:rPr>
              <w:t>H519Q</w:t>
            </w:r>
          </w:p>
        </w:tc>
      </w:tr>
      <w:tr w:rsidR="00BB43EC" w:rsidRPr="00BB43EC" w14:paraId="06A9B071" w14:textId="77777777" w:rsidTr="00813E59">
        <w:tc>
          <w:tcPr>
            <w:tcW w:w="1438" w:type="dxa"/>
            <w:vAlign w:val="center"/>
          </w:tcPr>
          <w:p w14:paraId="48B6E688" w14:textId="77777777" w:rsidR="00BB43EC" w:rsidRPr="00BB43EC" w:rsidRDefault="00BB43EC" w:rsidP="00813E59">
            <w:pPr>
              <w:pStyle w:val="C-BodyText"/>
              <w:keepNext/>
              <w:keepLines/>
              <w:spacing w:before="0" w:after="0" w:line="240" w:lineRule="auto"/>
              <w:jc w:val="center"/>
              <w:rPr>
                <w:sz w:val="22"/>
                <w:szCs w:val="22"/>
              </w:rPr>
            </w:pPr>
            <w:r w:rsidRPr="00BB43EC">
              <w:rPr>
                <w:rFonts w:eastAsia="Calibri"/>
                <w:color w:val="000000"/>
                <w:sz w:val="22"/>
                <w:szCs w:val="22"/>
              </w:rPr>
              <w:t>W152C</w:t>
            </w:r>
          </w:p>
        </w:tc>
        <w:tc>
          <w:tcPr>
            <w:tcW w:w="1438" w:type="dxa"/>
            <w:vAlign w:val="center"/>
          </w:tcPr>
          <w:p w14:paraId="2BB6DAC8" w14:textId="77777777" w:rsidR="00BB43EC" w:rsidRPr="00BB43EC" w:rsidRDefault="00BB43EC" w:rsidP="00813E59">
            <w:pPr>
              <w:pStyle w:val="C-BodyText"/>
              <w:keepNext/>
              <w:keepLines/>
              <w:spacing w:before="0" w:after="0" w:line="240" w:lineRule="auto"/>
              <w:jc w:val="center"/>
              <w:rPr>
                <w:sz w:val="22"/>
                <w:szCs w:val="22"/>
              </w:rPr>
            </w:pPr>
            <w:r w:rsidRPr="00BB43EC">
              <w:rPr>
                <w:rFonts w:eastAsia="Calibri"/>
                <w:color w:val="000000"/>
                <w:sz w:val="22"/>
                <w:szCs w:val="22"/>
              </w:rPr>
              <w:t>R346G</w:t>
            </w:r>
          </w:p>
        </w:tc>
        <w:tc>
          <w:tcPr>
            <w:tcW w:w="1439" w:type="dxa"/>
            <w:vAlign w:val="center"/>
          </w:tcPr>
          <w:p w14:paraId="20F3E94C" w14:textId="77777777" w:rsidR="00BB43EC" w:rsidRPr="00BB43EC" w:rsidRDefault="00BB43EC" w:rsidP="00813E59">
            <w:pPr>
              <w:pStyle w:val="C-BodyText"/>
              <w:keepNext/>
              <w:keepLines/>
              <w:spacing w:before="0" w:after="0" w:line="240" w:lineRule="auto"/>
              <w:jc w:val="center"/>
              <w:rPr>
                <w:sz w:val="22"/>
                <w:szCs w:val="22"/>
              </w:rPr>
            </w:pPr>
            <w:r w:rsidRPr="00BB43EC">
              <w:rPr>
                <w:rFonts w:eastAsia="Calibri"/>
                <w:color w:val="000000"/>
                <w:sz w:val="22"/>
                <w:szCs w:val="22"/>
              </w:rPr>
              <w:t>P384L</w:t>
            </w:r>
          </w:p>
        </w:tc>
        <w:tc>
          <w:tcPr>
            <w:tcW w:w="1438" w:type="dxa"/>
            <w:vAlign w:val="center"/>
          </w:tcPr>
          <w:p w14:paraId="4849DCC1" w14:textId="77777777" w:rsidR="00BB43EC" w:rsidRPr="00BB43EC" w:rsidRDefault="00BB43EC" w:rsidP="00813E59">
            <w:pPr>
              <w:pStyle w:val="C-BodyText"/>
              <w:keepNext/>
              <w:keepLines/>
              <w:spacing w:before="0" w:after="0" w:line="240" w:lineRule="auto"/>
              <w:jc w:val="center"/>
              <w:rPr>
                <w:sz w:val="22"/>
                <w:szCs w:val="22"/>
                <w:vertAlign w:val="superscript"/>
              </w:rPr>
            </w:pPr>
            <w:r w:rsidRPr="00BB43EC">
              <w:rPr>
                <w:rFonts w:eastAsia="Calibri"/>
                <w:color w:val="000000"/>
                <w:sz w:val="22"/>
                <w:szCs w:val="22"/>
              </w:rPr>
              <w:t>K458R</w:t>
            </w:r>
            <w:r w:rsidRPr="00BB43EC">
              <w:rPr>
                <w:rFonts w:eastAsia="Calibri"/>
                <w:color w:val="000000"/>
                <w:sz w:val="22"/>
                <w:szCs w:val="22"/>
                <w:vertAlign w:val="superscript"/>
              </w:rPr>
              <w:t>a</w:t>
            </w:r>
          </w:p>
        </w:tc>
        <w:tc>
          <w:tcPr>
            <w:tcW w:w="1438" w:type="dxa"/>
            <w:vAlign w:val="center"/>
          </w:tcPr>
          <w:p w14:paraId="54A6B147" w14:textId="77777777" w:rsidR="00BB43EC" w:rsidRPr="00BB43EC" w:rsidRDefault="00BB43EC" w:rsidP="00813E59">
            <w:pPr>
              <w:pStyle w:val="C-BodyText"/>
              <w:keepNext/>
              <w:keepLines/>
              <w:spacing w:before="0" w:after="0" w:line="240" w:lineRule="auto"/>
              <w:jc w:val="center"/>
              <w:rPr>
                <w:sz w:val="22"/>
                <w:szCs w:val="22"/>
              </w:rPr>
            </w:pPr>
            <w:r w:rsidRPr="00BB43EC">
              <w:rPr>
                <w:rFonts w:eastAsia="Calibri"/>
                <w:color w:val="000000"/>
                <w:sz w:val="22"/>
                <w:szCs w:val="22"/>
              </w:rPr>
              <w:t>G485S</w:t>
            </w:r>
          </w:p>
        </w:tc>
        <w:tc>
          <w:tcPr>
            <w:tcW w:w="1439" w:type="dxa"/>
            <w:vAlign w:val="center"/>
          </w:tcPr>
          <w:p w14:paraId="19EBD07B" w14:textId="77777777" w:rsidR="00BB43EC" w:rsidRPr="00BB43EC" w:rsidRDefault="00BB43EC" w:rsidP="00813E59">
            <w:pPr>
              <w:pStyle w:val="C-BodyText"/>
              <w:keepNext/>
              <w:keepLines/>
              <w:spacing w:before="0" w:after="0" w:line="240" w:lineRule="auto"/>
              <w:jc w:val="center"/>
              <w:rPr>
                <w:sz w:val="22"/>
                <w:szCs w:val="22"/>
              </w:rPr>
            </w:pPr>
            <w:r w:rsidRPr="00BB43EC">
              <w:rPr>
                <w:rFonts w:eastAsia="Calibri"/>
                <w:color w:val="000000"/>
                <w:sz w:val="22"/>
                <w:szCs w:val="22"/>
              </w:rPr>
              <w:t>A520S</w:t>
            </w:r>
          </w:p>
        </w:tc>
      </w:tr>
      <w:tr w:rsidR="00BB43EC" w:rsidRPr="00BB43EC" w14:paraId="2E6060D6" w14:textId="77777777" w:rsidTr="00813E59">
        <w:tc>
          <w:tcPr>
            <w:tcW w:w="1438" w:type="dxa"/>
            <w:vAlign w:val="center"/>
          </w:tcPr>
          <w:p w14:paraId="36E2838B" w14:textId="77777777" w:rsidR="00BB43EC" w:rsidRPr="00BB43EC" w:rsidRDefault="00BB43EC" w:rsidP="00813E59">
            <w:pPr>
              <w:pStyle w:val="C-BodyText"/>
              <w:keepNext/>
              <w:keepLines/>
              <w:spacing w:before="0" w:after="0" w:line="240" w:lineRule="auto"/>
              <w:jc w:val="center"/>
              <w:rPr>
                <w:sz w:val="22"/>
                <w:szCs w:val="22"/>
              </w:rPr>
            </w:pPr>
            <w:r w:rsidRPr="00BB43EC">
              <w:rPr>
                <w:rFonts w:eastAsia="Calibri"/>
                <w:color w:val="000000"/>
                <w:sz w:val="22"/>
                <w:szCs w:val="22"/>
              </w:rPr>
              <w:t>A222V</w:t>
            </w:r>
          </w:p>
        </w:tc>
        <w:tc>
          <w:tcPr>
            <w:tcW w:w="1438" w:type="dxa"/>
            <w:vAlign w:val="center"/>
          </w:tcPr>
          <w:p w14:paraId="2ADD3095" w14:textId="77777777" w:rsidR="00BB43EC" w:rsidRPr="00BB43EC" w:rsidRDefault="00BB43EC" w:rsidP="00813E59">
            <w:pPr>
              <w:pStyle w:val="C-BodyText"/>
              <w:keepNext/>
              <w:keepLines/>
              <w:spacing w:before="0" w:after="0" w:line="240" w:lineRule="auto"/>
              <w:jc w:val="center"/>
              <w:rPr>
                <w:sz w:val="22"/>
                <w:szCs w:val="22"/>
              </w:rPr>
            </w:pPr>
            <w:r w:rsidRPr="00BB43EC">
              <w:rPr>
                <w:rFonts w:eastAsia="Calibri"/>
                <w:color w:val="000000"/>
                <w:sz w:val="22"/>
                <w:szCs w:val="22"/>
              </w:rPr>
              <w:t>R346K</w:t>
            </w:r>
          </w:p>
        </w:tc>
        <w:tc>
          <w:tcPr>
            <w:tcW w:w="1439" w:type="dxa"/>
            <w:vAlign w:val="center"/>
          </w:tcPr>
          <w:p w14:paraId="029D89BE" w14:textId="77777777" w:rsidR="00BB43EC" w:rsidRPr="00BB43EC" w:rsidRDefault="00BB43EC" w:rsidP="00813E59">
            <w:pPr>
              <w:pStyle w:val="C-BodyText"/>
              <w:keepNext/>
              <w:keepLines/>
              <w:spacing w:before="0" w:after="0" w:line="240" w:lineRule="auto"/>
              <w:jc w:val="center"/>
              <w:rPr>
                <w:sz w:val="22"/>
                <w:szCs w:val="22"/>
              </w:rPr>
            </w:pPr>
            <w:r w:rsidRPr="00BB43EC">
              <w:rPr>
                <w:rFonts w:eastAsia="Calibri"/>
                <w:color w:val="000000"/>
                <w:sz w:val="22"/>
                <w:szCs w:val="22"/>
              </w:rPr>
              <w:t>P384S</w:t>
            </w:r>
          </w:p>
        </w:tc>
        <w:tc>
          <w:tcPr>
            <w:tcW w:w="1438" w:type="dxa"/>
            <w:vAlign w:val="center"/>
          </w:tcPr>
          <w:p w14:paraId="70B9E7AE" w14:textId="77777777" w:rsidR="00BB43EC" w:rsidRPr="00BB43EC" w:rsidRDefault="00BB43EC" w:rsidP="00813E59">
            <w:pPr>
              <w:pStyle w:val="C-BodyText"/>
              <w:keepNext/>
              <w:keepLines/>
              <w:spacing w:before="0" w:after="0" w:line="240" w:lineRule="auto"/>
              <w:jc w:val="center"/>
              <w:rPr>
                <w:sz w:val="22"/>
                <w:szCs w:val="22"/>
              </w:rPr>
            </w:pPr>
            <w:r w:rsidRPr="00BB43EC">
              <w:rPr>
                <w:rFonts w:eastAsia="Calibri"/>
                <w:color w:val="000000"/>
                <w:sz w:val="22"/>
                <w:szCs w:val="22"/>
              </w:rPr>
              <w:t>I468V</w:t>
            </w:r>
          </w:p>
        </w:tc>
        <w:tc>
          <w:tcPr>
            <w:tcW w:w="1438" w:type="dxa"/>
            <w:vAlign w:val="center"/>
          </w:tcPr>
          <w:p w14:paraId="26F9FE1E" w14:textId="77777777" w:rsidR="00BB43EC" w:rsidRPr="00BB43EC" w:rsidRDefault="00BB43EC" w:rsidP="00813E59">
            <w:pPr>
              <w:pStyle w:val="C-BodyText"/>
              <w:keepNext/>
              <w:keepLines/>
              <w:spacing w:before="0" w:after="0" w:line="240" w:lineRule="auto"/>
              <w:jc w:val="center"/>
              <w:rPr>
                <w:sz w:val="22"/>
                <w:szCs w:val="22"/>
              </w:rPr>
            </w:pPr>
            <w:r w:rsidRPr="00BB43EC">
              <w:rPr>
                <w:rFonts w:eastAsia="Calibri"/>
                <w:color w:val="000000"/>
                <w:sz w:val="22"/>
                <w:szCs w:val="22"/>
              </w:rPr>
              <w:t>F490L</w:t>
            </w:r>
          </w:p>
        </w:tc>
        <w:tc>
          <w:tcPr>
            <w:tcW w:w="1439" w:type="dxa"/>
            <w:vAlign w:val="center"/>
          </w:tcPr>
          <w:p w14:paraId="5F9691B3" w14:textId="77777777" w:rsidR="00BB43EC" w:rsidRPr="00BB43EC" w:rsidRDefault="00BB43EC" w:rsidP="00813E59">
            <w:pPr>
              <w:pStyle w:val="C-BodyText"/>
              <w:keepNext/>
              <w:keepLines/>
              <w:spacing w:before="0" w:after="0" w:line="240" w:lineRule="auto"/>
              <w:jc w:val="center"/>
              <w:rPr>
                <w:sz w:val="22"/>
                <w:szCs w:val="22"/>
              </w:rPr>
            </w:pPr>
            <w:r w:rsidRPr="00BB43EC">
              <w:rPr>
                <w:rFonts w:eastAsia="Calibri"/>
                <w:color w:val="000000"/>
                <w:sz w:val="22"/>
                <w:szCs w:val="22"/>
              </w:rPr>
              <w:t>A522S</w:t>
            </w:r>
          </w:p>
        </w:tc>
      </w:tr>
      <w:tr w:rsidR="00BB43EC" w:rsidRPr="00BB43EC" w14:paraId="2544E078" w14:textId="77777777" w:rsidTr="00813E59">
        <w:tc>
          <w:tcPr>
            <w:tcW w:w="1438" w:type="dxa"/>
            <w:vAlign w:val="center"/>
          </w:tcPr>
          <w:p w14:paraId="426FBF4B" w14:textId="77777777" w:rsidR="00BB43EC" w:rsidRPr="00BB43EC" w:rsidRDefault="00BB43EC" w:rsidP="00813E59">
            <w:pPr>
              <w:pStyle w:val="C-BodyText"/>
              <w:keepNext/>
              <w:keepLines/>
              <w:spacing w:before="0" w:after="0" w:line="240" w:lineRule="auto"/>
              <w:jc w:val="center"/>
              <w:rPr>
                <w:sz w:val="22"/>
                <w:szCs w:val="22"/>
                <w:vertAlign w:val="superscript"/>
              </w:rPr>
            </w:pPr>
            <w:r w:rsidRPr="00BB43EC">
              <w:rPr>
                <w:rFonts w:eastAsia="Calibri"/>
                <w:color w:val="000000"/>
                <w:sz w:val="22"/>
                <w:szCs w:val="22"/>
              </w:rPr>
              <w:t>Q321L</w:t>
            </w:r>
            <w:r w:rsidRPr="00BB43EC">
              <w:rPr>
                <w:rFonts w:eastAsia="Calibri"/>
                <w:color w:val="000000"/>
                <w:sz w:val="22"/>
                <w:szCs w:val="22"/>
                <w:vertAlign w:val="superscript"/>
              </w:rPr>
              <w:t>a</w:t>
            </w:r>
          </w:p>
        </w:tc>
        <w:tc>
          <w:tcPr>
            <w:tcW w:w="1438" w:type="dxa"/>
            <w:vAlign w:val="center"/>
          </w:tcPr>
          <w:p w14:paraId="540A7A02" w14:textId="77777777" w:rsidR="00BB43EC" w:rsidRPr="00BB43EC" w:rsidRDefault="00BB43EC" w:rsidP="00813E59">
            <w:pPr>
              <w:pStyle w:val="C-BodyText"/>
              <w:keepNext/>
              <w:keepLines/>
              <w:spacing w:before="0" w:after="0" w:line="240" w:lineRule="auto"/>
              <w:jc w:val="center"/>
              <w:rPr>
                <w:sz w:val="22"/>
                <w:szCs w:val="22"/>
                <w:vertAlign w:val="superscript"/>
              </w:rPr>
            </w:pPr>
            <w:r w:rsidRPr="00BB43EC">
              <w:rPr>
                <w:rFonts w:eastAsia="Calibri"/>
                <w:color w:val="000000"/>
                <w:sz w:val="22"/>
                <w:szCs w:val="22"/>
              </w:rPr>
              <w:t>A348T</w:t>
            </w:r>
            <w:r w:rsidRPr="00BB43EC">
              <w:rPr>
                <w:rFonts w:eastAsia="Calibri"/>
                <w:color w:val="000000"/>
                <w:sz w:val="22"/>
                <w:szCs w:val="22"/>
                <w:vertAlign w:val="superscript"/>
              </w:rPr>
              <w:t>a</w:t>
            </w:r>
          </w:p>
        </w:tc>
        <w:tc>
          <w:tcPr>
            <w:tcW w:w="1439" w:type="dxa"/>
            <w:vAlign w:val="center"/>
          </w:tcPr>
          <w:p w14:paraId="30F78FCB" w14:textId="77777777" w:rsidR="00BB43EC" w:rsidRPr="00BB43EC" w:rsidRDefault="00BB43EC" w:rsidP="00813E59">
            <w:pPr>
              <w:pStyle w:val="C-BodyText"/>
              <w:keepNext/>
              <w:keepLines/>
              <w:spacing w:before="0" w:after="0" w:line="240" w:lineRule="auto"/>
              <w:jc w:val="center"/>
              <w:rPr>
                <w:sz w:val="22"/>
                <w:szCs w:val="22"/>
              </w:rPr>
            </w:pPr>
            <w:r w:rsidRPr="00BB43EC">
              <w:rPr>
                <w:rFonts w:eastAsia="Calibri"/>
                <w:color w:val="000000"/>
                <w:sz w:val="22"/>
                <w:szCs w:val="22"/>
              </w:rPr>
              <w:t>R403K</w:t>
            </w:r>
          </w:p>
        </w:tc>
        <w:tc>
          <w:tcPr>
            <w:tcW w:w="1438" w:type="dxa"/>
            <w:vAlign w:val="center"/>
          </w:tcPr>
          <w:p w14:paraId="24543C42" w14:textId="77777777" w:rsidR="00BB43EC" w:rsidRPr="00BB43EC" w:rsidRDefault="00BB43EC" w:rsidP="00813E59">
            <w:pPr>
              <w:pStyle w:val="C-BodyText"/>
              <w:keepNext/>
              <w:keepLines/>
              <w:spacing w:before="0" w:after="0" w:line="240" w:lineRule="auto"/>
              <w:jc w:val="center"/>
              <w:rPr>
                <w:sz w:val="22"/>
                <w:szCs w:val="22"/>
              </w:rPr>
            </w:pPr>
            <w:r w:rsidRPr="00BB43EC">
              <w:rPr>
                <w:rFonts w:eastAsia="Calibri"/>
                <w:color w:val="000000"/>
                <w:sz w:val="22"/>
                <w:szCs w:val="22"/>
              </w:rPr>
              <w:t>T470I</w:t>
            </w:r>
          </w:p>
        </w:tc>
        <w:tc>
          <w:tcPr>
            <w:tcW w:w="1438" w:type="dxa"/>
            <w:vAlign w:val="center"/>
          </w:tcPr>
          <w:p w14:paraId="4E987DD4" w14:textId="77777777" w:rsidR="00BB43EC" w:rsidRPr="00BB43EC" w:rsidRDefault="00BB43EC" w:rsidP="00813E59">
            <w:pPr>
              <w:pStyle w:val="C-BodyText"/>
              <w:keepNext/>
              <w:keepLines/>
              <w:spacing w:before="0" w:after="0" w:line="240" w:lineRule="auto"/>
              <w:jc w:val="center"/>
              <w:rPr>
                <w:sz w:val="22"/>
                <w:szCs w:val="22"/>
              </w:rPr>
            </w:pPr>
            <w:r w:rsidRPr="00BB43EC">
              <w:rPr>
                <w:rFonts w:eastAsia="Calibri"/>
                <w:color w:val="000000"/>
                <w:sz w:val="22"/>
                <w:szCs w:val="22"/>
              </w:rPr>
              <w:t>F490P</w:t>
            </w:r>
          </w:p>
        </w:tc>
        <w:tc>
          <w:tcPr>
            <w:tcW w:w="1439" w:type="dxa"/>
            <w:vAlign w:val="center"/>
          </w:tcPr>
          <w:p w14:paraId="4B1FFD4A" w14:textId="77777777" w:rsidR="00BB43EC" w:rsidRPr="00BB43EC" w:rsidRDefault="00BB43EC" w:rsidP="00813E59">
            <w:pPr>
              <w:pStyle w:val="C-BodyText"/>
              <w:keepNext/>
              <w:keepLines/>
              <w:spacing w:before="0" w:after="0" w:line="240" w:lineRule="auto"/>
              <w:jc w:val="center"/>
              <w:rPr>
                <w:sz w:val="22"/>
                <w:szCs w:val="22"/>
              </w:rPr>
            </w:pPr>
            <w:r w:rsidRPr="00BB43EC">
              <w:rPr>
                <w:rFonts w:eastAsia="Calibri"/>
                <w:color w:val="000000"/>
                <w:sz w:val="22"/>
                <w:szCs w:val="22"/>
              </w:rPr>
              <w:t>A522V</w:t>
            </w:r>
          </w:p>
        </w:tc>
      </w:tr>
      <w:tr w:rsidR="00BB43EC" w:rsidRPr="00BB43EC" w14:paraId="08C8F721" w14:textId="77777777" w:rsidTr="00813E59">
        <w:tc>
          <w:tcPr>
            <w:tcW w:w="1438" w:type="dxa"/>
            <w:vAlign w:val="center"/>
          </w:tcPr>
          <w:p w14:paraId="5E64143D" w14:textId="77777777" w:rsidR="00BB43EC" w:rsidRPr="00BB43EC" w:rsidRDefault="00BB43EC" w:rsidP="00813E59">
            <w:pPr>
              <w:pStyle w:val="C-BodyText"/>
              <w:keepNext/>
              <w:keepLines/>
              <w:spacing w:before="0" w:after="0" w:line="240" w:lineRule="auto"/>
              <w:jc w:val="center"/>
              <w:rPr>
                <w:sz w:val="22"/>
                <w:szCs w:val="22"/>
              </w:rPr>
            </w:pPr>
            <w:r w:rsidRPr="00BB43EC">
              <w:rPr>
                <w:rFonts w:eastAsia="Calibri"/>
                <w:color w:val="000000"/>
                <w:sz w:val="22"/>
                <w:szCs w:val="22"/>
              </w:rPr>
              <w:t>P322A</w:t>
            </w:r>
          </w:p>
        </w:tc>
        <w:tc>
          <w:tcPr>
            <w:tcW w:w="1438" w:type="dxa"/>
            <w:vAlign w:val="center"/>
          </w:tcPr>
          <w:p w14:paraId="40694E4A" w14:textId="77777777" w:rsidR="00BB43EC" w:rsidRPr="00BB43EC" w:rsidRDefault="00BB43EC" w:rsidP="00813E59">
            <w:pPr>
              <w:pStyle w:val="C-BodyText"/>
              <w:keepNext/>
              <w:keepLines/>
              <w:spacing w:before="0" w:after="0" w:line="240" w:lineRule="auto"/>
              <w:jc w:val="center"/>
              <w:rPr>
                <w:sz w:val="22"/>
                <w:szCs w:val="22"/>
              </w:rPr>
            </w:pPr>
            <w:r w:rsidRPr="00BB43EC">
              <w:rPr>
                <w:rFonts w:eastAsia="Calibri"/>
                <w:color w:val="000000"/>
                <w:sz w:val="22"/>
                <w:szCs w:val="22"/>
              </w:rPr>
              <w:t>A352S</w:t>
            </w:r>
          </w:p>
        </w:tc>
        <w:tc>
          <w:tcPr>
            <w:tcW w:w="1439" w:type="dxa"/>
            <w:vAlign w:val="center"/>
          </w:tcPr>
          <w:p w14:paraId="22ED3677" w14:textId="77777777" w:rsidR="00BB43EC" w:rsidRPr="00BB43EC" w:rsidRDefault="00BB43EC" w:rsidP="00813E59">
            <w:pPr>
              <w:pStyle w:val="C-BodyText"/>
              <w:keepNext/>
              <w:keepLines/>
              <w:spacing w:before="0" w:after="0" w:line="240" w:lineRule="auto"/>
              <w:jc w:val="center"/>
              <w:rPr>
                <w:sz w:val="22"/>
                <w:szCs w:val="22"/>
                <w:vertAlign w:val="superscript"/>
              </w:rPr>
            </w:pPr>
            <w:r w:rsidRPr="00BB43EC">
              <w:rPr>
                <w:rFonts w:eastAsia="Calibri"/>
                <w:color w:val="000000"/>
                <w:sz w:val="22"/>
                <w:szCs w:val="22"/>
              </w:rPr>
              <w:t>R408I</w:t>
            </w:r>
            <w:r w:rsidRPr="00BB43EC">
              <w:rPr>
                <w:rFonts w:eastAsia="Calibri"/>
                <w:color w:val="000000"/>
                <w:sz w:val="22"/>
                <w:szCs w:val="22"/>
                <w:vertAlign w:val="superscript"/>
              </w:rPr>
              <w:t>a</w:t>
            </w:r>
          </w:p>
        </w:tc>
        <w:tc>
          <w:tcPr>
            <w:tcW w:w="1438" w:type="dxa"/>
            <w:vAlign w:val="center"/>
          </w:tcPr>
          <w:p w14:paraId="014F34F2" w14:textId="77777777" w:rsidR="00BB43EC" w:rsidRPr="00BB43EC" w:rsidRDefault="00BB43EC" w:rsidP="00813E59">
            <w:pPr>
              <w:pStyle w:val="C-BodyText"/>
              <w:keepNext/>
              <w:keepLines/>
              <w:spacing w:before="0" w:after="0" w:line="240" w:lineRule="auto"/>
              <w:jc w:val="center"/>
              <w:rPr>
                <w:sz w:val="22"/>
                <w:szCs w:val="22"/>
              </w:rPr>
            </w:pPr>
            <w:r w:rsidRPr="00BB43EC">
              <w:rPr>
                <w:rFonts w:eastAsia="Calibri"/>
                <w:color w:val="000000"/>
                <w:sz w:val="22"/>
                <w:szCs w:val="22"/>
              </w:rPr>
              <w:t>E471Q</w:t>
            </w:r>
          </w:p>
        </w:tc>
        <w:tc>
          <w:tcPr>
            <w:tcW w:w="1438" w:type="dxa"/>
            <w:vAlign w:val="center"/>
          </w:tcPr>
          <w:p w14:paraId="56AEE6DA" w14:textId="77777777" w:rsidR="00BB43EC" w:rsidRPr="00BB43EC" w:rsidRDefault="00BB43EC" w:rsidP="00813E59">
            <w:pPr>
              <w:pStyle w:val="C-BodyText"/>
              <w:keepNext/>
              <w:keepLines/>
              <w:spacing w:before="0" w:after="0" w:line="240" w:lineRule="auto"/>
              <w:jc w:val="center"/>
              <w:rPr>
                <w:sz w:val="22"/>
                <w:szCs w:val="22"/>
              </w:rPr>
            </w:pPr>
            <w:r w:rsidRPr="00BB43EC">
              <w:rPr>
                <w:rFonts w:eastAsia="Calibri"/>
                <w:color w:val="000000"/>
                <w:sz w:val="22"/>
                <w:szCs w:val="22"/>
              </w:rPr>
              <w:t>F490S</w:t>
            </w:r>
          </w:p>
        </w:tc>
        <w:tc>
          <w:tcPr>
            <w:tcW w:w="1439" w:type="dxa"/>
            <w:vAlign w:val="center"/>
          </w:tcPr>
          <w:p w14:paraId="0EDB2938" w14:textId="77777777" w:rsidR="00BB43EC" w:rsidRPr="00BB43EC" w:rsidRDefault="00BB43EC" w:rsidP="00813E59">
            <w:pPr>
              <w:pStyle w:val="C-BodyText"/>
              <w:keepNext/>
              <w:keepLines/>
              <w:spacing w:before="0" w:after="0" w:line="240" w:lineRule="auto"/>
              <w:jc w:val="center"/>
              <w:rPr>
                <w:sz w:val="22"/>
                <w:szCs w:val="22"/>
              </w:rPr>
            </w:pPr>
            <w:r w:rsidRPr="00BB43EC">
              <w:rPr>
                <w:rFonts w:eastAsia="Calibri"/>
                <w:color w:val="000000"/>
                <w:sz w:val="22"/>
                <w:szCs w:val="22"/>
              </w:rPr>
              <w:t>K537R</w:t>
            </w:r>
          </w:p>
        </w:tc>
      </w:tr>
      <w:tr w:rsidR="00BB43EC" w:rsidRPr="00BB43EC" w14:paraId="5ACA627A" w14:textId="77777777" w:rsidTr="00813E59">
        <w:tc>
          <w:tcPr>
            <w:tcW w:w="1438" w:type="dxa"/>
            <w:vAlign w:val="center"/>
          </w:tcPr>
          <w:p w14:paraId="20BD5FCB" w14:textId="77777777" w:rsidR="00BB43EC" w:rsidRPr="00BB43EC" w:rsidRDefault="00BB43EC" w:rsidP="00813E59">
            <w:pPr>
              <w:pStyle w:val="C-BodyText"/>
              <w:keepNext/>
              <w:keepLines/>
              <w:spacing w:before="0" w:after="0" w:line="240" w:lineRule="auto"/>
              <w:jc w:val="center"/>
              <w:rPr>
                <w:sz w:val="22"/>
                <w:szCs w:val="22"/>
              </w:rPr>
            </w:pPr>
            <w:r w:rsidRPr="00BB43EC">
              <w:rPr>
                <w:rFonts w:eastAsia="Calibri"/>
                <w:color w:val="000000"/>
                <w:sz w:val="22"/>
                <w:szCs w:val="22"/>
              </w:rPr>
              <w:t>T323I</w:t>
            </w:r>
          </w:p>
        </w:tc>
        <w:tc>
          <w:tcPr>
            <w:tcW w:w="1438" w:type="dxa"/>
            <w:vAlign w:val="center"/>
          </w:tcPr>
          <w:p w14:paraId="1C10A812" w14:textId="77777777" w:rsidR="00BB43EC" w:rsidRPr="00BB43EC" w:rsidRDefault="00BB43EC" w:rsidP="00813E59">
            <w:pPr>
              <w:pStyle w:val="C-BodyText"/>
              <w:keepNext/>
              <w:keepLines/>
              <w:spacing w:before="0" w:after="0" w:line="240" w:lineRule="auto"/>
              <w:jc w:val="center"/>
              <w:rPr>
                <w:sz w:val="22"/>
                <w:szCs w:val="22"/>
                <w:vertAlign w:val="superscript"/>
              </w:rPr>
            </w:pPr>
            <w:r w:rsidRPr="00BB43EC">
              <w:rPr>
                <w:rFonts w:eastAsia="Calibri"/>
                <w:color w:val="000000"/>
                <w:sz w:val="22"/>
                <w:szCs w:val="22"/>
              </w:rPr>
              <w:t>N354D</w:t>
            </w:r>
            <w:r w:rsidRPr="00BB43EC">
              <w:rPr>
                <w:rFonts w:eastAsia="Calibri"/>
                <w:color w:val="000000"/>
                <w:sz w:val="22"/>
                <w:szCs w:val="22"/>
                <w:vertAlign w:val="superscript"/>
              </w:rPr>
              <w:t>a</w:t>
            </w:r>
          </w:p>
        </w:tc>
        <w:tc>
          <w:tcPr>
            <w:tcW w:w="1439" w:type="dxa"/>
            <w:vAlign w:val="center"/>
          </w:tcPr>
          <w:p w14:paraId="460C6C4B" w14:textId="77777777" w:rsidR="00BB43EC" w:rsidRPr="00BB43EC" w:rsidRDefault="00BB43EC" w:rsidP="00813E59">
            <w:pPr>
              <w:pStyle w:val="C-BodyText"/>
              <w:keepNext/>
              <w:keepLines/>
              <w:spacing w:before="0" w:after="0" w:line="240" w:lineRule="auto"/>
              <w:jc w:val="center"/>
              <w:rPr>
                <w:sz w:val="22"/>
                <w:szCs w:val="22"/>
                <w:vertAlign w:val="superscript"/>
              </w:rPr>
            </w:pPr>
            <w:r w:rsidRPr="00BB43EC">
              <w:rPr>
                <w:rFonts w:eastAsia="Calibri"/>
                <w:color w:val="000000"/>
                <w:sz w:val="22"/>
                <w:szCs w:val="22"/>
              </w:rPr>
              <w:t>Q409E</w:t>
            </w:r>
            <w:r w:rsidRPr="00BB43EC">
              <w:rPr>
                <w:rFonts w:eastAsia="Calibri"/>
                <w:color w:val="000000"/>
                <w:sz w:val="22"/>
                <w:szCs w:val="22"/>
                <w:vertAlign w:val="superscript"/>
              </w:rPr>
              <w:t>a</w:t>
            </w:r>
          </w:p>
        </w:tc>
        <w:tc>
          <w:tcPr>
            <w:tcW w:w="1438" w:type="dxa"/>
            <w:vAlign w:val="center"/>
          </w:tcPr>
          <w:p w14:paraId="65A34419" w14:textId="77777777" w:rsidR="00BB43EC" w:rsidRPr="00BB43EC" w:rsidRDefault="00BB43EC" w:rsidP="00813E59">
            <w:pPr>
              <w:pStyle w:val="C-BodyText"/>
              <w:keepNext/>
              <w:keepLines/>
              <w:spacing w:before="0" w:after="0" w:line="240" w:lineRule="auto"/>
              <w:jc w:val="center"/>
              <w:rPr>
                <w:sz w:val="22"/>
                <w:szCs w:val="22"/>
                <w:vertAlign w:val="superscript"/>
              </w:rPr>
            </w:pPr>
            <w:r w:rsidRPr="00BB43EC">
              <w:rPr>
                <w:rFonts w:eastAsia="Calibri"/>
                <w:color w:val="000000"/>
                <w:sz w:val="22"/>
                <w:szCs w:val="22"/>
              </w:rPr>
              <w:t>I472V</w:t>
            </w:r>
            <w:r w:rsidRPr="00BB43EC">
              <w:rPr>
                <w:rFonts w:eastAsia="Calibri"/>
                <w:color w:val="000000"/>
                <w:sz w:val="22"/>
                <w:szCs w:val="22"/>
                <w:vertAlign w:val="superscript"/>
              </w:rPr>
              <w:t>a</w:t>
            </w:r>
          </w:p>
        </w:tc>
        <w:tc>
          <w:tcPr>
            <w:tcW w:w="1438" w:type="dxa"/>
            <w:vAlign w:val="center"/>
          </w:tcPr>
          <w:p w14:paraId="43785E88" w14:textId="77777777" w:rsidR="00BB43EC" w:rsidRPr="00BB43EC" w:rsidRDefault="00BB43EC" w:rsidP="00813E59">
            <w:pPr>
              <w:pStyle w:val="C-BodyText"/>
              <w:keepNext/>
              <w:keepLines/>
              <w:spacing w:before="0" w:after="0" w:line="240" w:lineRule="auto"/>
              <w:jc w:val="center"/>
              <w:rPr>
                <w:sz w:val="22"/>
                <w:szCs w:val="22"/>
              </w:rPr>
            </w:pPr>
            <w:r w:rsidRPr="00BB43EC">
              <w:rPr>
                <w:rFonts w:eastAsia="Calibri"/>
                <w:color w:val="000000"/>
                <w:sz w:val="22"/>
                <w:szCs w:val="22"/>
              </w:rPr>
              <w:t>F490Y</w:t>
            </w:r>
          </w:p>
        </w:tc>
        <w:tc>
          <w:tcPr>
            <w:tcW w:w="1439" w:type="dxa"/>
            <w:vAlign w:val="center"/>
          </w:tcPr>
          <w:p w14:paraId="7BCF4D03" w14:textId="77777777" w:rsidR="00BB43EC" w:rsidRPr="00BB43EC" w:rsidRDefault="00BB43EC" w:rsidP="00813E59">
            <w:pPr>
              <w:pStyle w:val="C-BodyText"/>
              <w:keepNext/>
              <w:keepLines/>
              <w:spacing w:before="0" w:after="0" w:line="240" w:lineRule="auto"/>
              <w:jc w:val="center"/>
              <w:rPr>
                <w:sz w:val="22"/>
                <w:szCs w:val="22"/>
              </w:rPr>
            </w:pPr>
            <w:r w:rsidRPr="00BB43EC">
              <w:rPr>
                <w:rFonts w:eastAsia="Calibri"/>
                <w:color w:val="000000"/>
                <w:sz w:val="22"/>
                <w:szCs w:val="22"/>
              </w:rPr>
              <w:t>D614G</w:t>
            </w:r>
          </w:p>
        </w:tc>
      </w:tr>
      <w:tr w:rsidR="00BB43EC" w:rsidRPr="00BB43EC" w14:paraId="0370B7A3" w14:textId="77777777" w:rsidTr="00813E59">
        <w:tc>
          <w:tcPr>
            <w:tcW w:w="1438" w:type="dxa"/>
            <w:vAlign w:val="center"/>
          </w:tcPr>
          <w:p w14:paraId="2130BBDD" w14:textId="77777777" w:rsidR="00BB43EC" w:rsidRPr="00BB43EC" w:rsidRDefault="00BB43EC" w:rsidP="00813E59">
            <w:pPr>
              <w:pStyle w:val="C-BodyText"/>
              <w:keepNext/>
              <w:keepLines/>
              <w:spacing w:before="0" w:after="0" w:line="240" w:lineRule="auto"/>
              <w:jc w:val="center"/>
              <w:rPr>
                <w:sz w:val="22"/>
                <w:szCs w:val="22"/>
              </w:rPr>
            </w:pPr>
            <w:r w:rsidRPr="00BB43EC">
              <w:rPr>
                <w:rFonts w:eastAsia="Calibri"/>
                <w:color w:val="000000"/>
                <w:sz w:val="22"/>
                <w:szCs w:val="22"/>
              </w:rPr>
              <w:t>P330S</w:t>
            </w:r>
          </w:p>
        </w:tc>
        <w:tc>
          <w:tcPr>
            <w:tcW w:w="1438" w:type="dxa"/>
            <w:vAlign w:val="center"/>
          </w:tcPr>
          <w:p w14:paraId="65A3C315" w14:textId="77777777" w:rsidR="00BB43EC" w:rsidRPr="00BB43EC" w:rsidRDefault="00BB43EC" w:rsidP="00813E59">
            <w:pPr>
              <w:pStyle w:val="C-BodyText"/>
              <w:keepNext/>
              <w:keepLines/>
              <w:spacing w:before="0" w:after="0" w:line="240" w:lineRule="auto"/>
              <w:jc w:val="center"/>
              <w:rPr>
                <w:sz w:val="22"/>
                <w:szCs w:val="22"/>
              </w:rPr>
            </w:pPr>
            <w:r w:rsidRPr="00BB43EC">
              <w:rPr>
                <w:rFonts w:eastAsia="Calibri"/>
                <w:color w:val="000000"/>
                <w:sz w:val="22"/>
                <w:szCs w:val="22"/>
              </w:rPr>
              <w:t>N354S</w:t>
            </w:r>
          </w:p>
        </w:tc>
        <w:tc>
          <w:tcPr>
            <w:tcW w:w="1439" w:type="dxa"/>
            <w:vAlign w:val="center"/>
          </w:tcPr>
          <w:p w14:paraId="567FE680" w14:textId="77777777" w:rsidR="00BB43EC" w:rsidRPr="00BB43EC" w:rsidRDefault="00BB43EC" w:rsidP="00813E59">
            <w:pPr>
              <w:pStyle w:val="C-BodyText"/>
              <w:keepNext/>
              <w:keepLines/>
              <w:spacing w:before="0" w:after="0" w:line="240" w:lineRule="auto"/>
              <w:jc w:val="center"/>
              <w:rPr>
                <w:sz w:val="22"/>
                <w:szCs w:val="22"/>
              </w:rPr>
            </w:pPr>
            <w:r w:rsidRPr="00BB43EC">
              <w:rPr>
                <w:rFonts w:eastAsia="Calibri"/>
                <w:color w:val="000000"/>
                <w:sz w:val="22"/>
                <w:szCs w:val="22"/>
              </w:rPr>
              <w:t>Q414E</w:t>
            </w:r>
          </w:p>
        </w:tc>
        <w:tc>
          <w:tcPr>
            <w:tcW w:w="1438" w:type="dxa"/>
            <w:vAlign w:val="center"/>
          </w:tcPr>
          <w:p w14:paraId="03BAAF98" w14:textId="77777777" w:rsidR="00BB43EC" w:rsidRPr="00BB43EC" w:rsidRDefault="00BB43EC" w:rsidP="00813E59">
            <w:pPr>
              <w:pStyle w:val="C-BodyText"/>
              <w:keepNext/>
              <w:keepLines/>
              <w:spacing w:before="0" w:after="0" w:line="240" w:lineRule="auto"/>
              <w:jc w:val="center"/>
              <w:rPr>
                <w:sz w:val="22"/>
                <w:szCs w:val="22"/>
              </w:rPr>
            </w:pPr>
            <w:r w:rsidRPr="00BB43EC">
              <w:rPr>
                <w:rFonts w:eastAsia="Calibri"/>
                <w:color w:val="000000"/>
                <w:sz w:val="22"/>
                <w:szCs w:val="22"/>
              </w:rPr>
              <w:t>A475V</w:t>
            </w:r>
          </w:p>
        </w:tc>
        <w:tc>
          <w:tcPr>
            <w:tcW w:w="1438" w:type="dxa"/>
            <w:vAlign w:val="center"/>
          </w:tcPr>
          <w:p w14:paraId="2BEF0DB2" w14:textId="77777777" w:rsidR="00BB43EC" w:rsidRPr="00BB43EC" w:rsidRDefault="00BB43EC" w:rsidP="00813E59">
            <w:pPr>
              <w:pStyle w:val="C-BodyText"/>
              <w:keepNext/>
              <w:keepLines/>
              <w:spacing w:before="0" w:after="0" w:line="240" w:lineRule="auto"/>
              <w:jc w:val="center"/>
              <w:rPr>
                <w:sz w:val="22"/>
                <w:szCs w:val="22"/>
              </w:rPr>
            </w:pPr>
            <w:r w:rsidRPr="00BB43EC">
              <w:rPr>
                <w:rFonts w:eastAsia="Calibri"/>
                <w:color w:val="000000"/>
                <w:sz w:val="22"/>
                <w:szCs w:val="22"/>
              </w:rPr>
              <w:t>S494P</w:t>
            </w:r>
          </w:p>
        </w:tc>
        <w:tc>
          <w:tcPr>
            <w:tcW w:w="1439" w:type="dxa"/>
            <w:vAlign w:val="center"/>
          </w:tcPr>
          <w:p w14:paraId="0CED3757" w14:textId="77777777" w:rsidR="00BB43EC" w:rsidRPr="00BB43EC" w:rsidRDefault="00BB43EC" w:rsidP="00813E59">
            <w:pPr>
              <w:pStyle w:val="C-BodyText"/>
              <w:keepNext/>
              <w:keepLines/>
              <w:spacing w:before="0" w:after="0" w:line="240" w:lineRule="auto"/>
              <w:jc w:val="center"/>
              <w:rPr>
                <w:sz w:val="22"/>
                <w:szCs w:val="22"/>
              </w:rPr>
            </w:pPr>
            <w:r w:rsidRPr="00BB43EC">
              <w:rPr>
                <w:rFonts w:eastAsia="Calibri"/>
                <w:color w:val="000000"/>
                <w:sz w:val="22"/>
                <w:szCs w:val="22"/>
              </w:rPr>
              <w:t>D614N</w:t>
            </w:r>
          </w:p>
        </w:tc>
      </w:tr>
      <w:tr w:rsidR="00BB43EC" w:rsidRPr="00BB43EC" w14:paraId="16B85500" w14:textId="77777777" w:rsidTr="00813E59">
        <w:tc>
          <w:tcPr>
            <w:tcW w:w="1438" w:type="dxa"/>
            <w:vAlign w:val="center"/>
          </w:tcPr>
          <w:p w14:paraId="16419014" w14:textId="77777777" w:rsidR="00BB43EC" w:rsidRPr="00BB43EC" w:rsidRDefault="00BB43EC" w:rsidP="00813E59">
            <w:pPr>
              <w:pStyle w:val="C-BodyText"/>
              <w:keepNext/>
              <w:keepLines/>
              <w:spacing w:before="0" w:after="0" w:line="240" w:lineRule="auto"/>
              <w:jc w:val="center"/>
              <w:rPr>
                <w:sz w:val="22"/>
                <w:szCs w:val="22"/>
              </w:rPr>
            </w:pPr>
            <w:r w:rsidRPr="00BB43EC">
              <w:rPr>
                <w:rFonts w:eastAsia="Calibri"/>
                <w:color w:val="000000"/>
                <w:sz w:val="22"/>
                <w:szCs w:val="22"/>
              </w:rPr>
              <w:t>E340A</w:t>
            </w:r>
          </w:p>
        </w:tc>
        <w:tc>
          <w:tcPr>
            <w:tcW w:w="1438" w:type="dxa"/>
            <w:vAlign w:val="center"/>
          </w:tcPr>
          <w:p w14:paraId="6C411B04" w14:textId="77777777" w:rsidR="00BB43EC" w:rsidRPr="00BB43EC" w:rsidRDefault="00BB43EC" w:rsidP="00813E59">
            <w:pPr>
              <w:pStyle w:val="C-BodyText"/>
              <w:keepNext/>
              <w:keepLines/>
              <w:spacing w:before="0" w:after="0" w:line="240" w:lineRule="auto"/>
              <w:jc w:val="center"/>
              <w:rPr>
                <w:sz w:val="22"/>
                <w:szCs w:val="22"/>
                <w:vertAlign w:val="superscript"/>
              </w:rPr>
            </w:pPr>
            <w:r w:rsidRPr="00BB43EC">
              <w:rPr>
                <w:rFonts w:eastAsia="Calibri"/>
                <w:color w:val="000000"/>
                <w:sz w:val="22"/>
                <w:szCs w:val="22"/>
              </w:rPr>
              <w:t>S359N</w:t>
            </w:r>
            <w:r w:rsidRPr="00BB43EC">
              <w:rPr>
                <w:rFonts w:eastAsia="Calibri"/>
                <w:color w:val="000000"/>
                <w:sz w:val="22"/>
                <w:szCs w:val="22"/>
                <w:vertAlign w:val="superscript"/>
              </w:rPr>
              <w:t>a</w:t>
            </w:r>
          </w:p>
        </w:tc>
        <w:tc>
          <w:tcPr>
            <w:tcW w:w="1439" w:type="dxa"/>
            <w:vAlign w:val="center"/>
          </w:tcPr>
          <w:p w14:paraId="18B65ACC" w14:textId="77777777" w:rsidR="00BB43EC" w:rsidRPr="00BB43EC" w:rsidRDefault="00BB43EC" w:rsidP="00813E59">
            <w:pPr>
              <w:pStyle w:val="C-BodyText"/>
              <w:keepNext/>
              <w:keepLines/>
              <w:spacing w:before="0" w:after="0" w:line="240" w:lineRule="auto"/>
              <w:jc w:val="center"/>
              <w:rPr>
                <w:sz w:val="22"/>
                <w:szCs w:val="22"/>
              </w:rPr>
            </w:pPr>
            <w:r w:rsidRPr="00BB43EC">
              <w:rPr>
                <w:rFonts w:eastAsia="Calibri"/>
                <w:color w:val="000000"/>
                <w:sz w:val="22"/>
                <w:szCs w:val="22"/>
              </w:rPr>
              <w:t>Q414R</w:t>
            </w:r>
          </w:p>
        </w:tc>
        <w:tc>
          <w:tcPr>
            <w:tcW w:w="1438" w:type="dxa"/>
            <w:vAlign w:val="center"/>
          </w:tcPr>
          <w:p w14:paraId="26C5FEC8" w14:textId="77777777" w:rsidR="00BB43EC" w:rsidRPr="00BB43EC" w:rsidRDefault="00BB43EC" w:rsidP="00813E59">
            <w:pPr>
              <w:pStyle w:val="C-BodyText"/>
              <w:keepNext/>
              <w:keepLines/>
              <w:spacing w:before="0" w:after="0" w:line="240" w:lineRule="auto"/>
              <w:jc w:val="center"/>
              <w:rPr>
                <w:sz w:val="22"/>
                <w:szCs w:val="22"/>
              </w:rPr>
            </w:pPr>
            <w:r w:rsidRPr="00BB43EC">
              <w:rPr>
                <w:rFonts w:eastAsia="Calibri"/>
                <w:color w:val="000000"/>
                <w:sz w:val="22"/>
                <w:szCs w:val="22"/>
              </w:rPr>
              <w:t>S477N</w:t>
            </w:r>
          </w:p>
        </w:tc>
        <w:tc>
          <w:tcPr>
            <w:tcW w:w="1438" w:type="dxa"/>
            <w:vAlign w:val="center"/>
          </w:tcPr>
          <w:p w14:paraId="14CBFAC0" w14:textId="77777777" w:rsidR="00BB43EC" w:rsidRPr="00BB43EC" w:rsidRDefault="00BB43EC" w:rsidP="00813E59">
            <w:pPr>
              <w:pStyle w:val="C-BodyText"/>
              <w:keepNext/>
              <w:keepLines/>
              <w:spacing w:before="0" w:after="0" w:line="240" w:lineRule="auto"/>
              <w:jc w:val="center"/>
              <w:rPr>
                <w:sz w:val="22"/>
                <w:szCs w:val="22"/>
              </w:rPr>
            </w:pPr>
            <w:r w:rsidRPr="00BB43EC">
              <w:rPr>
                <w:rFonts w:eastAsia="Calibri"/>
                <w:color w:val="000000"/>
                <w:sz w:val="22"/>
                <w:szCs w:val="22"/>
              </w:rPr>
              <w:t>N501Y</w:t>
            </w:r>
          </w:p>
        </w:tc>
        <w:tc>
          <w:tcPr>
            <w:tcW w:w="1439" w:type="dxa"/>
            <w:vAlign w:val="center"/>
          </w:tcPr>
          <w:p w14:paraId="705F6526" w14:textId="77777777" w:rsidR="00BB43EC" w:rsidRPr="00BB43EC" w:rsidRDefault="00BB43EC" w:rsidP="00813E59">
            <w:pPr>
              <w:pStyle w:val="C-BodyText"/>
              <w:keepNext/>
              <w:keepLines/>
              <w:spacing w:before="0" w:after="0" w:line="240" w:lineRule="auto"/>
              <w:jc w:val="center"/>
              <w:rPr>
                <w:sz w:val="22"/>
                <w:szCs w:val="22"/>
              </w:rPr>
            </w:pPr>
            <w:r w:rsidRPr="00BB43EC">
              <w:rPr>
                <w:rFonts w:eastAsia="Calibri"/>
                <w:color w:val="000000"/>
                <w:sz w:val="22"/>
                <w:szCs w:val="22"/>
              </w:rPr>
              <w:t>V687G</w:t>
            </w:r>
          </w:p>
        </w:tc>
      </w:tr>
      <w:tr w:rsidR="00BB43EC" w:rsidRPr="00BB43EC" w14:paraId="1C2A99F4" w14:textId="77777777" w:rsidTr="00813E59">
        <w:tc>
          <w:tcPr>
            <w:tcW w:w="1438" w:type="dxa"/>
            <w:vAlign w:val="center"/>
          </w:tcPr>
          <w:p w14:paraId="38A18D95" w14:textId="77777777" w:rsidR="00BB43EC" w:rsidRPr="00BB43EC" w:rsidRDefault="00BB43EC" w:rsidP="00813E59">
            <w:pPr>
              <w:pStyle w:val="C-BodyText"/>
              <w:keepNext/>
              <w:keepLines/>
              <w:spacing w:before="0" w:after="0" w:line="240" w:lineRule="auto"/>
              <w:jc w:val="center"/>
              <w:rPr>
                <w:sz w:val="22"/>
                <w:szCs w:val="22"/>
              </w:rPr>
            </w:pPr>
            <w:r w:rsidRPr="00BB43EC">
              <w:rPr>
                <w:rFonts w:eastAsia="Calibri"/>
                <w:color w:val="000000"/>
                <w:sz w:val="22"/>
                <w:szCs w:val="22"/>
              </w:rPr>
              <w:t>E340D</w:t>
            </w:r>
          </w:p>
        </w:tc>
        <w:tc>
          <w:tcPr>
            <w:tcW w:w="1438" w:type="dxa"/>
            <w:vAlign w:val="center"/>
          </w:tcPr>
          <w:p w14:paraId="28C169E4" w14:textId="77777777" w:rsidR="00BB43EC" w:rsidRPr="00BB43EC" w:rsidRDefault="00BB43EC" w:rsidP="00813E59">
            <w:pPr>
              <w:pStyle w:val="C-BodyText"/>
              <w:keepNext/>
              <w:keepLines/>
              <w:spacing w:before="0" w:after="0" w:line="240" w:lineRule="auto"/>
              <w:jc w:val="center"/>
              <w:rPr>
                <w:sz w:val="22"/>
                <w:szCs w:val="22"/>
                <w:vertAlign w:val="superscript"/>
              </w:rPr>
            </w:pPr>
            <w:r w:rsidRPr="00BB43EC">
              <w:rPr>
                <w:rFonts w:eastAsia="Calibri"/>
                <w:color w:val="000000"/>
                <w:sz w:val="22"/>
                <w:szCs w:val="22"/>
              </w:rPr>
              <w:t>V367F</w:t>
            </w:r>
            <w:r w:rsidRPr="00BB43EC">
              <w:rPr>
                <w:rFonts w:eastAsia="Calibri"/>
                <w:color w:val="000000"/>
                <w:sz w:val="22"/>
                <w:szCs w:val="22"/>
                <w:vertAlign w:val="superscript"/>
              </w:rPr>
              <w:t>a</w:t>
            </w:r>
          </w:p>
        </w:tc>
        <w:tc>
          <w:tcPr>
            <w:tcW w:w="1439" w:type="dxa"/>
            <w:vAlign w:val="center"/>
          </w:tcPr>
          <w:p w14:paraId="1F0824B9" w14:textId="77777777" w:rsidR="00BB43EC" w:rsidRPr="00BB43EC" w:rsidRDefault="00BB43EC" w:rsidP="00813E59">
            <w:pPr>
              <w:pStyle w:val="C-BodyText"/>
              <w:keepNext/>
              <w:keepLines/>
              <w:spacing w:before="0" w:after="0" w:line="240" w:lineRule="auto"/>
              <w:jc w:val="center"/>
              <w:rPr>
                <w:sz w:val="22"/>
                <w:szCs w:val="22"/>
                <w:vertAlign w:val="superscript"/>
              </w:rPr>
            </w:pPr>
            <w:r w:rsidRPr="00BB43EC">
              <w:rPr>
                <w:rFonts w:eastAsia="Calibri"/>
                <w:color w:val="000000"/>
                <w:sz w:val="22"/>
                <w:szCs w:val="22"/>
              </w:rPr>
              <w:t>A435S</w:t>
            </w:r>
            <w:r w:rsidRPr="00BB43EC">
              <w:rPr>
                <w:rFonts w:eastAsia="Calibri"/>
                <w:color w:val="000000"/>
                <w:sz w:val="22"/>
                <w:szCs w:val="22"/>
                <w:vertAlign w:val="superscript"/>
              </w:rPr>
              <w:t>a</w:t>
            </w:r>
          </w:p>
        </w:tc>
        <w:tc>
          <w:tcPr>
            <w:tcW w:w="1438" w:type="dxa"/>
            <w:vAlign w:val="center"/>
          </w:tcPr>
          <w:p w14:paraId="16759F55" w14:textId="77777777" w:rsidR="00BB43EC" w:rsidRPr="00BB43EC" w:rsidRDefault="00BB43EC" w:rsidP="00813E59">
            <w:pPr>
              <w:pStyle w:val="C-BodyText"/>
              <w:keepNext/>
              <w:keepLines/>
              <w:spacing w:before="0" w:after="0" w:line="240" w:lineRule="auto"/>
              <w:jc w:val="center"/>
              <w:rPr>
                <w:sz w:val="22"/>
                <w:szCs w:val="22"/>
              </w:rPr>
            </w:pPr>
            <w:r w:rsidRPr="00BB43EC">
              <w:rPr>
                <w:rFonts w:eastAsia="Calibri"/>
                <w:color w:val="000000"/>
                <w:sz w:val="22"/>
                <w:szCs w:val="22"/>
              </w:rPr>
              <w:t>T478I</w:t>
            </w:r>
          </w:p>
        </w:tc>
        <w:tc>
          <w:tcPr>
            <w:tcW w:w="1438" w:type="dxa"/>
            <w:vAlign w:val="center"/>
          </w:tcPr>
          <w:p w14:paraId="396E365A" w14:textId="77777777" w:rsidR="00BB43EC" w:rsidRPr="00BB43EC" w:rsidRDefault="00BB43EC" w:rsidP="00813E59">
            <w:pPr>
              <w:pStyle w:val="C-BodyText"/>
              <w:keepNext/>
              <w:keepLines/>
              <w:spacing w:before="0" w:after="0" w:line="240" w:lineRule="auto"/>
              <w:jc w:val="center"/>
              <w:rPr>
                <w:sz w:val="22"/>
                <w:szCs w:val="22"/>
              </w:rPr>
            </w:pPr>
            <w:r w:rsidRPr="00BB43EC">
              <w:rPr>
                <w:rFonts w:eastAsia="Calibri"/>
                <w:color w:val="000000"/>
                <w:sz w:val="22"/>
                <w:szCs w:val="22"/>
              </w:rPr>
              <w:t>G504D</w:t>
            </w:r>
          </w:p>
        </w:tc>
        <w:tc>
          <w:tcPr>
            <w:tcW w:w="1439" w:type="dxa"/>
            <w:vAlign w:val="center"/>
          </w:tcPr>
          <w:p w14:paraId="5427F68E" w14:textId="77777777" w:rsidR="00BB43EC" w:rsidRPr="00BB43EC" w:rsidRDefault="00BB43EC" w:rsidP="00813E59">
            <w:pPr>
              <w:pStyle w:val="C-BodyText"/>
              <w:keepNext/>
              <w:keepLines/>
              <w:spacing w:before="0" w:after="0" w:line="240" w:lineRule="auto"/>
              <w:jc w:val="center"/>
              <w:rPr>
                <w:sz w:val="22"/>
                <w:szCs w:val="22"/>
              </w:rPr>
            </w:pPr>
            <w:r w:rsidRPr="00BB43EC">
              <w:rPr>
                <w:rFonts w:eastAsia="Calibri"/>
                <w:color w:val="000000"/>
                <w:sz w:val="22"/>
                <w:szCs w:val="22"/>
              </w:rPr>
              <w:t>V1128A</w:t>
            </w:r>
          </w:p>
        </w:tc>
      </w:tr>
      <w:tr w:rsidR="00BB43EC" w:rsidRPr="00BB43EC" w14:paraId="3DEC6320" w14:textId="77777777" w:rsidTr="00813E59">
        <w:tc>
          <w:tcPr>
            <w:tcW w:w="1438" w:type="dxa"/>
            <w:vAlign w:val="center"/>
          </w:tcPr>
          <w:p w14:paraId="2960DC7D" w14:textId="77777777" w:rsidR="00BB43EC" w:rsidRPr="00BB43EC" w:rsidRDefault="00BB43EC" w:rsidP="00813E59">
            <w:pPr>
              <w:pStyle w:val="C-BodyText"/>
              <w:keepNext/>
              <w:keepLines/>
              <w:spacing w:before="0" w:after="0" w:line="240" w:lineRule="auto"/>
              <w:jc w:val="center"/>
              <w:rPr>
                <w:sz w:val="22"/>
                <w:szCs w:val="22"/>
              </w:rPr>
            </w:pPr>
            <w:r w:rsidRPr="00BB43EC">
              <w:rPr>
                <w:rFonts w:eastAsia="Calibri"/>
                <w:color w:val="000000"/>
                <w:sz w:val="22"/>
                <w:szCs w:val="22"/>
              </w:rPr>
              <w:t>E340K</w:t>
            </w:r>
          </w:p>
        </w:tc>
        <w:tc>
          <w:tcPr>
            <w:tcW w:w="1438" w:type="dxa"/>
            <w:vAlign w:val="center"/>
          </w:tcPr>
          <w:p w14:paraId="03F77FC1" w14:textId="77777777" w:rsidR="00BB43EC" w:rsidRPr="00BB43EC" w:rsidRDefault="00BB43EC" w:rsidP="00813E59">
            <w:pPr>
              <w:pStyle w:val="C-BodyText"/>
              <w:keepNext/>
              <w:keepLines/>
              <w:spacing w:before="0" w:after="0" w:line="240" w:lineRule="auto"/>
              <w:jc w:val="center"/>
              <w:rPr>
                <w:sz w:val="22"/>
                <w:szCs w:val="22"/>
              </w:rPr>
            </w:pPr>
            <w:r w:rsidRPr="00BB43EC">
              <w:rPr>
                <w:rFonts w:eastAsia="Calibri"/>
                <w:color w:val="000000"/>
                <w:sz w:val="22"/>
                <w:szCs w:val="22"/>
              </w:rPr>
              <w:t>N370S</w:t>
            </w:r>
          </w:p>
        </w:tc>
        <w:tc>
          <w:tcPr>
            <w:tcW w:w="1439" w:type="dxa"/>
            <w:vAlign w:val="center"/>
          </w:tcPr>
          <w:p w14:paraId="48ECC882" w14:textId="77777777" w:rsidR="00BB43EC" w:rsidRPr="00BB43EC" w:rsidRDefault="00BB43EC" w:rsidP="00813E59">
            <w:pPr>
              <w:pStyle w:val="C-BodyText"/>
              <w:keepNext/>
              <w:keepLines/>
              <w:spacing w:before="0" w:after="0" w:line="240" w:lineRule="auto"/>
              <w:jc w:val="center"/>
              <w:rPr>
                <w:sz w:val="22"/>
                <w:szCs w:val="22"/>
              </w:rPr>
            </w:pPr>
            <w:r w:rsidRPr="00BB43EC">
              <w:rPr>
                <w:rFonts w:eastAsia="Calibri"/>
                <w:color w:val="000000"/>
                <w:sz w:val="22"/>
                <w:szCs w:val="22"/>
              </w:rPr>
              <w:t>N439V</w:t>
            </w:r>
          </w:p>
        </w:tc>
        <w:tc>
          <w:tcPr>
            <w:tcW w:w="1438" w:type="dxa"/>
            <w:vAlign w:val="center"/>
          </w:tcPr>
          <w:p w14:paraId="3ED50250" w14:textId="77777777" w:rsidR="00BB43EC" w:rsidRPr="00BB43EC" w:rsidRDefault="00BB43EC" w:rsidP="00813E59">
            <w:pPr>
              <w:pStyle w:val="C-BodyText"/>
              <w:keepNext/>
              <w:keepLines/>
              <w:spacing w:before="0" w:after="0" w:line="240" w:lineRule="auto"/>
              <w:jc w:val="center"/>
              <w:rPr>
                <w:sz w:val="22"/>
                <w:szCs w:val="22"/>
              </w:rPr>
            </w:pPr>
            <w:r w:rsidRPr="00BB43EC">
              <w:rPr>
                <w:rFonts w:eastAsia="Calibri"/>
                <w:color w:val="000000"/>
                <w:sz w:val="22"/>
                <w:szCs w:val="22"/>
              </w:rPr>
              <w:t>T478K</w:t>
            </w:r>
          </w:p>
        </w:tc>
        <w:tc>
          <w:tcPr>
            <w:tcW w:w="1438" w:type="dxa"/>
            <w:vAlign w:val="center"/>
          </w:tcPr>
          <w:p w14:paraId="0CC67DCC" w14:textId="77777777" w:rsidR="00BB43EC" w:rsidRPr="00BB43EC" w:rsidRDefault="00BB43EC" w:rsidP="00813E59">
            <w:pPr>
              <w:pStyle w:val="C-BodyText"/>
              <w:keepNext/>
              <w:keepLines/>
              <w:spacing w:before="0" w:after="0" w:line="240" w:lineRule="auto"/>
              <w:jc w:val="center"/>
              <w:rPr>
                <w:sz w:val="22"/>
                <w:szCs w:val="22"/>
                <w:vertAlign w:val="superscript"/>
              </w:rPr>
            </w:pPr>
            <w:r w:rsidRPr="00BB43EC">
              <w:rPr>
                <w:rFonts w:eastAsia="Calibri"/>
                <w:color w:val="000000"/>
                <w:sz w:val="22"/>
                <w:szCs w:val="22"/>
              </w:rPr>
              <w:t>G504S</w:t>
            </w:r>
          </w:p>
        </w:tc>
        <w:tc>
          <w:tcPr>
            <w:tcW w:w="1439" w:type="dxa"/>
            <w:vAlign w:val="center"/>
          </w:tcPr>
          <w:p w14:paraId="35D4C092" w14:textId="77777777" w:rsidR="00BB43EC" w:rsidRPr="00BB43EC" w:rsidRDefault="00BB43EC" w:rsidP="00813E59">
            <w:pPr>
              <w:pStyle w:val="C-BodyText"/>
              <w:keepNext/>
              <w:keepLines/>
              <w:spacing w:before="0" w:after="0" w:line="240" w:lineRule="auto"/>
              <w:jc w:val="center"/>
              <w:rPr>
                <w:sz w:val="22"/>
                <w:szCs w:val="22"/>
              </w:rPr>
            </w:pPr>
          </w:p>
        </w:tc>
      </w:tr>
      <w:tr w:rsidR="00BB43EC" w:rsidRPr="00BB43EC" w14:paraId="6F58A73D" w14:textId="77777777" w:rsidTr="00813E59">
        <w:tc>
          <w:tcPr>
            <w:tcW w:w="1438" w:type="dxa"/>
            <w:vAlign w:val="center"/>
          </w:tcPr>
          <w:p w14:paraId="30A3A468" w14:textId="77777777" w:rsidR="00BB43EC" w:rsidRPr="00BB43EC" w:rsidRDefault="00BB43EC" w:rsidP="00813E59">
            <w:pPr>
              <w:pStyle w:val="C-BodyText"/>
              <w:keepNext/>
              <w:keepLines/>
              <w:spacing w:before="0" w:after="0" w:line="240" w:lineRule="auto"/>
              <w:jc w:val="center"/>
              <w:rPr>
                <w:sz w:val="22"/>
                <w:szCs w:val="22"/>
                <w:vertAlign w:val="superscript"/>
              </w:rPr>
            </w:pPr>
            <w:r w:rsidRPr="00BB43EC">
              <w:rPr>
                <w:rFonts w:eastAsia="Calibri"/>
                <w:color w:val="000000"/>
                <w:sz w:val="22"/>
                <w:szCs w:val="22"/>
              </w:rPr>
              <w:t>V341I</w:t>
            </w:r>
            <w:r w:rsidRPr="00BB43EC">
              <w:rPr>
                <w:rFonts w:eastAsia="Calibri"/>
                <w:color w:val="000000"/>
                <w:sz w:val="22"/>
                <w:szCs w:val="22"/>
                <w:vertAlign w:val="superscript"/>
              </w:rPr>
              <w:t>a</w:t>
            </w:r>
          </w:p>
        </w:tc>
        <w:tc>
          <w:tcPr>
            <w:tcW w:w="1438" w:type="dxa"/>
            <w:vAlign w:val="center"/>
          </w:tcPr>
          <w:p w14:paraId="10E70532" w14:textId="77777777" w:rsidR="00BB43EC" w:rsidRPr="00BB43EC" w:rsidRDefault="00BB43EC" w:rsidP="00813E59">
            <w:pPr>
              <w:pStyle w:val="C-BodyText"/>
              <w:keepNext/>
              <w:keepLines/>
              <w:spacing w:before="0" w:after="0" w:line="240" w:lineRule="auto"/>
              <w:jc w:val="center"/>
              <w:rPr>
                <w:sz w:val="22"/>
                <w:szCs w:val="22"/>
              </w:rPr>
            </w:pPr>
            <w:r w:rsidRPr="00BB43EC">
              <w:rPr>
                <w:rFonts w:eastAsia="Calibri"/>
                <w:color w:val="000000"/>
                <w:sz w:val="22"/>
                <w:szCs w:val="22"/>
              </w:rPr>
              <w:t>A372T</w:t>
            </w:r>
          </w:p>
        </w:tc>
        <w:tc>
          <w:tcPr>
            <w:tcW w:w="1439" w:type="dxa"/>
            <w:vAlign w:val="center"/>
          </w:tcPr>
          <w:p w14:paraId="09BF19B9" w14:textId="77777777" w:rsidR="00BB43EC" w:rsidRPr="00BB43EC" w:rsidRDefault="00BB43EC" w:rsidP="00813E59">
            <w:pPr>
              <w:pStyle w:val="C-BodyText"/>
              <w:keepNext/>
              <w:keepLines/>
              <w:spacing w:before="0" w:after="0" w:line="240" w:lineRule="auto"/>
              <w:jc w:val="center"/>
              <w:rPr>
                <w:sz w:val="22"/>
                <w:szCs w:val="22"/>
              </w:rPr>
            </w:pPr>
            <w:r w:rsidRPr="00BB43EC">
              <w:rPr>
                <w:rFonts w:eastAsia="Calibri"/>
                <w:color w:val="000000"/>
                <w:sz w:val="22"/>
                <w:szCs w:val="22"/>
              </w:rPr>
              <w:t>L441Q</w:t>
            </w:r>
          </w:p>
        </w:tc>
        <w:tc>
          <w:tcPr>
            <w:tcW w:w="1438" w:type="dxa"/>
            <w:vAlign w:val="center"/>
          </w:tcPr>
          <w:p w14:paraId="034A776C" w14:textId="77777777" w:rsidR="00BB43EC" w:rsidRPr="00BB43EC" w:rsidRDefault="00BB43EC" w:rsidP="00813E59">
            <w:pPr>
              <w:pStyle w:val="C-BodyText"/>
              <w:keepNext/>
              <w:keepLines/>
              <w:spacing w:before="0" w:after="0" w:line="240" w:lineRule="auto"/>
              <w:jc w:val="center"/>
              <w:rPr>
                <w:sz w:val="22"/>
                <w:szCs w:val="22"/>
              </w:rPr>
            </w:pPr>
            <w:r w:rsidRPr="00BB43EC">
              <w:rPr>
                <w:rFonts w:eastAsia="Calibri"/>
                <w:color w:val="000000"/>
                <w:sz w:val="22"/>
                <w:szCs w:val="22"/>
              </w:rPr>
              <w:t>P479S</w:t>
            </w:r>
          </w:p>
        </w:tc>
        <w:tc>
          <w:tcPr>
            <w:tcW w:w="1438" w:type="dxa"/>
            <w:vAlign w:val="center"/>
          </w:tcPr>
          <w:p w14:paraId="5AD419F6" w14:textId="77777777" w:rsidR="00BB43EC" w:rsidRPr="00BB43EC" w:rsidRDefault="00BB43EC" w:rsidP="00813E59">
            <w:pPr>
              <w:pStyle w:val="C-BodyText"/>
              <w:keepNext/>
              <w:keepLines/>
              <w:spacing w:before="0" w:after="0" w:line="240" w:lineRule="auto"/>
              <w:jc w:val="center"/>
              <w:rPr>
                <w:sz w:val="22"/>
                <w:szCs w:val="22"/>
              </w:rPr>
            </w:pPr>
            <w:r w:rsidRPr="00BB43EC">
              <w:rPr>
                <w:rFonts w:eastAsia="Calibri"/>
                <w:color w:val="000000"/>
                <w:sz w:val="22"/>
                <w:szCs w:val="22"/>
              </w:rPr>
              <w:t>Y508H</w:t>
            </w:r>
            <w:r w:rsidRPr="00BB43EC">
              <w:rPr>
                <w:rFonts w:eastAsia="Calibri"/>
                <w:color w:val="000000"/>
                <w:sz w:val="22"/>
                <w:szCs w:val="22"/>
                <w:vertAlign w:val="superscript"/>
              </w:rPr>
              <w:t>a</w:t>
            </w:r>
          </w:p>
        </w:tc>
        <w:tc>
          <w:tcPr>
            <w:tcW w:w="1439" w:type="dxa"/>
          </w:tcPr>
          <w:p w14:paraId="15F4E743" w14:textId="77777777" w:rsidR="00BB43EC" w:rsidRPr="00BB43EC" w:rsidRDefault="00BB43EC" w:rsidP="00813E59">
            <w:pPr>
              <w:pStyle w:val="C-BodyText"/>
              <w:keepNext/>
              <w:keepLines/>
              <w:spacing w:before="0" w:after="0" w:line="240" w:lineRule="auto"/>
              <w:jc w:val="center"/>
              <w:rPr>
                <w:sz w:val="22"/>
                <w:szCs w:val="22"/>
              </w:rPr>
            </w:pPr>
          </w:p>
        </w:tc>
      </w:tr>
      <w:tr w:rsidR="00BB43EC" w:rsidRPr="00BB43EC" w14:paraId="4832031D" w14:textId="77777777" w:rsidTr="00813E59">
        <w:tc>
          <w:tcPr>
            <w:tcW w:w="1438" w:type="dxa"/>
            <w:vAlign w:val="center"/>
          </w:tcPr>
          <w:p w14:paraId="3714CE50" w14:textId="77777777" w:rsidR="00BB43EC" w:rsidRPr="00BB43EC" w:rsidRDefault="00BB43EC" w:rsidP="00813E59">
            <w:pPr>
              <w:pStyle w:val="C-BodyText"/>
              <w:keepNext/>
              <w:keepLines/>
              <w:spacing w:before="0" w:after="0" w:line="240" w:lineRule="auto"/>
              <w:jc w:val="center"/>
              <w:rPr>
                <w:sz w:val="22"/>
                <w:szCs w:val="22"/>
                <w:vertAlign w:val="superscript"/>
              </w:rPr>
            </w:pPr>
            <w:r w:rsidRPr="00BB43EC">
              <w:rPr>
                <w:rFonts w:eastAsia="Calibri"/>
                <w:color w:val="000000"/>
                <w:sz w:val="22"/>
                <w:szCs w:val="22"/>
              </w:rPr>
              <w:t>A344S</w:t>
            </w:r>
            <w:r w:rsidRPr="00BB43EC">
              <w:rPr>
                <w:rFonts w:eastAsia="Calibri"/>
                <w:color w:val="000000"/>
                <w:sz w:val="22"/>
                <w:szCs w:val="22"/>
                <w:vertAlign w:val="superscript"/>
              </w:rPr>
              <w:t>a</w:t>
            </w:r>
          </w:p>
        </w:tc>
        <w:tc>
          <w:tcPr>
            <w:tcW w:w="1438" w:type="dxa"/>
            <w:vAlign w:val="center"/>
          </w:tcPr>
          <w:p w14:paraId="343BB658" w14:textId="77777777" w:rsidR="00BB43EC" w:rsidRPr="00BB43EC" w:rsidRDefault="00BB43EC" w:rsidP="00813E59">
            <w:pPr>
              <w:pStyle w:val="C-BodyText"/>
              <w:keepNext/>
              <w:keepLines/>
              <w:spacing w:before="0" w:after="0" w:line="240" w:lineRule="auto"/>
              <w:jc w:val="center"/>
              <w:rPr>
                <w:sz w:val="22"/>
                <w:szCs w:val="22"/>
              </w:rPr>
            </w:pPr>
            <w:r w:rsidRPr="00BB43EC">
              <w:rPr>
                <w:rFonts w:eastAsia="Calibri"/>
                <w:color w:val="000000"/>
                <w:sz w:val="22"/>
                <w:szCs w:val="22"/>
              </w:rPr>
              <w:t>F377L</w:t>
            </w:r>
          </w:p>
        </w:tc>
        <w:tc>
          <w:tcPr>
            <w:tcW w:w="1439" w:type="dxa"/>
            <w:vAlign w:val="center"/>
          </w:tcPr>
          <w:p w14:paraId="71CF1B4B" w14:textId="77777777" w:rsidR="00BB43EC" w:rsidRPr="00BB43EC" w:rsidRDefault="00BB43EC" w:rsidP="00813E59">
            <w:pPr>
              <w:pStyle w:val="C-BodyText"/>
              <w:keepNext/>
              <w:keepLines/>
              <w:spacing w:before="0" w:after="0" w:line="240" w:lineRule="auto"/>
              <w:jc w:val="center"/>
              <w:rPr>
                <w:sz w:val="22"/>
                <w:szCs w:val="22"/>
              </w:rPr>
            </w:pPr>
            <w:r w:rsidRPr="00BB43EC">
              <w:rPr>
                <w:rFonts w:eastAsia="Calibri"/>
                <w:color w:val="000000"/>
                <w:sz w:val="22"/>
                <w:szCs w:val="22"/>
              </w:rPr>
              <w:t>Y449N</w:t>
            </w:r>
          </w:p>
        </w:tc>
        <w:tc>
          <w:tcPr>
            <w:tcW w:w="1438" w:type="dxa"/>
            <w:vAlign w:val="center"/>
          </w:tcPr>
          <w:p w14:paraId="3156F778" w14:textId="77777777" w:rsidR="00BB43EC" w:rsidRPr="00BB43EC" w:rsidRDefault="00BB43EC" w:rsidP="00813E59">
            <w:pPr>
              <w:pStyle w:val="C-BodyText"/>
              <w:keepNext/>
              <w:keepLines/>
              <w:spacing w:before="0" w:after="0" w:line="240" w:lineRule="auto"/>
              <w:jc w:val="center"/>
              <w:rPr>
                <w:sz w:val="22"/>
                <w:szCs w:val="22"/>
              </w:rPr>
            </w:pPr>
            <w:r w:rsidRPr="00BB43EC">
              <w:rPr>
                <w:rFonts w:eastAsia="Calibri"/>
                <w:color w:val="000000"/>
                <w:sz w:val="22"/>
                <w:szCs w:val="22"/>
              </w:rPr>
              <w:t>V483A</w:t>
            </w:r>
            <w:r w:rsidRPr="00BB43EC">
              <w:rPr>
                <w:rFonts w:eastAsia="Calibri"/>
                <w:color w:val="000000"/>
                <w:sz w:val="22"/>
                <w:szCs w:val="22"/>
                <w:vertAlign w:val="superscript"/>
              </w:rPr>
              <w:t>a</w:t>
            </w:r>
          </w:p>
        </w:tc>
        <w:tc>
          <w:tcPr>
            <w:tcW w:w="1438" w:type="dxa"/>
            <w:vAlign w:val="center"/>
          </w:tcPr>
          <w:p w14:paraId="70608DBC" w14:textId="77777777" w:rsidR="00BB43EC" w:rsidRPr="00BB43EC" w:rsidRDefault="00BB43EC" w:rsidP="00813E59">
            <w:pPr>
              <w:pStyle w:val="C-BodyText"/>
              <w:keepNext/>
              <w:keepLines/>
              <w:spacing w:before="0" w:after="0" w:line="240" w:lineRule="auto"/>
              <w:jc w:val="center"/>
              <w:rPr>
                <w:sz w:val="22"/>
                <w:szCs w:val="22"/>
                <w:vertAlign w:val="superscript"/>
              </w:rPr>
            </w:pPr>
            <w:r w:rsidRPr="00BB43EC">
              <w:rPr>
                <w:rFonts w:eastAsia="Calibri"/>
                <w:color w:val="000000"/>
                <w:sz w:val="22"/>
                <w:szCs w:val="22"/>
              </w:rPr>
              <w:t>E516Q</w:t>
            </w:r>
          </w:p>
        </w:tc>
        <w:tc>
          <w:tcPr>
            <w:tcW w:w="1439" w:type="dxa"/>
          </w:tcPr>
          <w:p w14:paraId="432A48A7" w14:textId="77777777" w:rsidR="00BB43EC" w:rsidRPr="00BB43EC" w:rsidRDefault="00BB43EC" w:rsidP="00813E59">
            <w:pPr>
              <w:pStyle w:val="C-BodyText"/>
              <w:keepNext/>
              <w:keepLines/>
              <w:spacing w:before="0" w:after="0" w:line="240" w:lineRule="auto"/>
              <w:jc w:val="center"/>
              <w:rPr>
                <w:sz w:val="22"/>
                <w:szCs w:val="22"/>
              </w:rPr>
            </w:pPr>
          </w:p>
        </w:tc>
      </w:tr>
      <w:tr w:rsidR="00BB43EC" w:rsidRPr="00BB43EC" w14:paraId="2D425B9C" w14:textId="77777777" w:rsidTr="00813E59">
        <w:trPr>
          <w:trHeight w:val="146"/>
        </w:trPr>
        <w:tc>
          <w:tcPr>
            <w:tcW w:w="1438" w:type="dxa"/>
            <w:vAlign w:val="center"/>
          </w:tcPr>
          <w:p w14:paraId="41AE3E36" w14:textId="77777777" w:rsidR="00BB43EC" w:rsidRPr="00BB43EC" w:rsidRDefault="00BB43EC" w:rsidP="00813E59">
            <w:pPr>
              <w:pStyle w:val="C-BodyText"/>
              <w:keepNext/>
              <w:keepLines/>
              <w:spacing w:before="0" w:after="0" w:line="240" w:lineRule="auto"/>
              <w:jc w:val="center"/>
              <w:rPr>
                <w:sz w:val="22"/>
                <w:szCs w:val="22"/>
              </w:rPr>
            </w:pPr>
            <w:r w:rsidRPr="00BB43EC">
              <w:rPr>
                <w:rFonts w:eastAsia="Calibri"/>
                <w:color w:val="000000"/>
                <w:sz w:val="22"/>
                <w:szCs w:val="22"/>
              </w:rPr>
              <w:t>T345P</w:t>
            </w:r>
          </w:p>
        </w:tc>
        <w:tc>
          <w:tcPr>
            <w:tcW w:w="1438" w:type="dxa"/>
            <w:vAlign w:val="center"/>
          </w:tcPr>
          <w:p w14:paraId="54956CD1" w14:textId="77777777" w:rsidR="00BB43EC" w:rsidRPr="00BB43EC" w:rsidRDefault="00BB43EC" w:rsidP="00813E59">
            <w:pPr>
              <w:pStyle w:val="C-BodyText"/>
              <w:keepNext/>
              <w:keepLines/>
              <w:spacing w:before="0" w:after="0" w:line="240" w:lineRule="auto"/>
              <w:jc w:val="center"/>
              <w:rPr>
                <w:sz w:val="22"/>
                <w:szCs w:val="22"/>
                <w:vertAlign w:val="superscript"/>
              </w:rPr>
            </w:pPr>
            <w:r w:rsidRPr="00BB43EC">
              <w:rPr>
                <w:rFonts w:eastAsia="Calibri"/>
                <w:color w:val="000000"/>
                <w:sz w:val="22"/>
                <w:szCs w:val="22"/>
              </w:rPr>
              <w:t>K378R</w:t>
            </w:r>
            <w:r w:rsidRPr="00BB43EC">
              <w:rPr>
                <w:rFonts w:eastAsia="Calibri"/>
                <w:color w:val="000000"/>
                <w:sz w:val="22"/>
                <w:szCs w:val="22"/>
                <w:vertAlign w:val="superscript"/>
              </w:rPr>
              <w:t>a</w:t>
            </w:r>
          </w:p>
        </w:tc>
        <w:tc>
          <w:tcPr>
            <w:tcW w:w="1439" w:type="dxa"/>
            <w:vAlign w:val="center"/>
          </w:tcPr>
          <w:p w14:paraId="037C678B" w14:textId="77777777" w:rsidR="00BB43EC" w:rsidRPr="00BB43EC" w:rsidRDefault="00BB43EC" w:rsidP="00813E59">
            <w:pPr>
              <w:pStyle w:val="C-BodyText"/>
              <w:keepNext/>
              <w:keepLines/>
              <w:spacing w:before="0" w:after="0" w:line="240" w:lineRule="auto"/>
              <w:jc w:val="center"/>
              <w:rPr>
                <w:sz w:val="22"/>
                <w:szCs w:val="22"/>
              </w:rPr>
            </w:pPr>
            <w:r w:rsidRPr="00BB43EC">
              <w:rPr>
                <w:rFonts w:eastAsia="Calibri"/>
                <w:color w:val="000000"/>
                <w:sz w:val="22"/>
                <w:szCs w:val="22"/>
              </w:rPr>
              <w:t>L452R</w:t>
            </w:r>
          </w:p>
        </w:tc>
        <w:tc>
          <w:tcPr>
            <w:tcW w:w="1438" w:type="dxa"/>
            <w:vAlign w:val="center"/>
          </w:tcPr>
          <w:p w14:paraId="569CFC43" w14:textId="77777777" w:rsidR="00BB43EC" w:rsidRPr="00BB43EC" w:rsidRDefault="00BB43EC" w:rsidP="00813E59">
            <w:pPr>
              <w:pStyle w:val="C-BodyText"/>
              <w:keepNext/>
              <w:keepLines/>
              <w:spacing w:before="0" w:after="0" w:line="240" w:lineRule="auto"/>
              <w:jc w:val="center"/>
              <w:rPr>
                <w:sz w:val="22"/>
                <w:szCs w:val="22"/>
                <w:vertAlign w:val="superscript"/>
              </w:rPr>
            </w:pPr>
            <w:r w:rsidRPr="00BB43EC">
              <w:rPr>
                <w:rFonts w:eastAsia="Calibri"/>
                <w:color w:val="000000"/>
                <w:sz w:val="22"/>
                <w:szCs w:val="22"/>
              </w:rPr>
              <w:t>V483F</w:t>
            </w:r>
          </w:p>
        </w:tc>
        <w:tc>
          <w:tcPr>
            <w:tcW w:w="1438" w:type="dxa"/>
            <w:vAlign w:val="center"/>
          </w:tcPr>
          <w:p w14:paraId="5F867C17" w14:textId="77777777" w:rsidR="00BB43EC" w:rsidRPr="00BB43EC" w:rsidRDefault="00BB43EC" w:rsidP="00813E59">
            <w:pPr>
              <w:pStyle w:val="C-BodyText"/>
              <w:keepNext/>
              <w:keepLines/>
              <w:spacing w:before="0" w:after="0" w:line="240" w:lineRule="auto"/>
              <w:jc w:val="center"/>
              <w:rPr>
                <w:sz w:val="22"/>
                <w:szCs w:val="22"/>
              </w:rPr>
            </w:pPr>
            <w:r w:rsidRPr="00BB43EC">
              <w:rPr>
                <w:rFonts w:eastAsia="Calibri"/>
                <w:color w:val="000000"/>
                <w:sz w:val="22"/>
                <w:szCs w:val="22"/>
              </w:rPr>
              <w:t>H519P</w:t>
            </w:r>
            <w:r w:rsidRPr="00BB43EC">
              <w:rPr>
                <w:rFonts w:eastAsia="Calibri"/>
                <w:color w:val="000000"/>
                <w:sz w:val="22"/>
                <w:szCs w:val="22"/>
                <w:vertAlign w:val="superscript"/>
              </w:rPr>
              <w:t>a</w:t>
            </w:r>
          </w:p>
        </w:tc>
        <w:tc>
          <w:tcPr>
            <w:tcW w:w="1439" w:type="dxa"/>
          </w:tcPr>
          <w:p w14:paraId="455371D2" w14:textId="77777777" w:rsidR="00BB43EC" w:rsidRPr="00BB43EC" w:rsidRDefault="00BB43EC" w:rsidP="00813E59">
            <w:pPr>
              <w:pStyle w:val="C-BodyText"/>
              <w:keepNext/>
              <w:keepLines/>
              <w:spacing w:before="0" w:after="0" w:line="240" w:lineRule="auto"/>
              <w:jc w:val="center"/>
              <w:rPr>
                <w:sz w:val="22"/>
                <w:szCs w:val="22"/>
              </w:rPr>
            </w:pPr>
          </w:p>
        </w:tc>
      </w:tr>
    </w:tbl>
    <w:p w14:paraId="65C12CBD" w14:textId="77777777" w:rsidR="00BB43EC" w:rsidRPr="0061333F" w:rsidRDefault="00BB43EC" w:rsidP="00BB43EC">
      <w:pPr>
        <w:keepNext/>
        <w:keepLines/>
        <w:rPr>
          <w:sz w:val="20"/>
        </w:rPr>
      </w:pPr>
      <w:r w:rsidRPr="0061333F">
        <w:rPr>
          <w:sz w:val="20"/>
          <w:vertAlign w:val="superscript"/>
        </w:rPr>
        <w:t xml:space="preserve">a </w:t>
      </w:r>
      <w:r w:rsidRPr="0061333F">
        <w:rPr>
          <w:sz w:val="20"/>
        </w:rPr>
        <w:t xml:space="preserve">Not assessed for </w:t>
      </w:r>
      <w:proofErr w:type="spellStart"/>
      <w:r w:rsidRPr="0061333F">
        <w:rPr>
          <w:sz w:val="20"/>
        </w:rPr>
        <w:t>casirivimab</w:t>
      </w:r>
      <w:proofErr w:type="spellEnd"/>
      <w:r w:rsidRPr="0061333F">
        <w:rPr>
          <w:sz w:val="20"/>
        </w:rPr>
        <w:t xml:space="preserve"> and </w:t>
      </w:r>
      <w:proofErr w:type="spellStart"/>
      <w:r w:rsidRPr="0061333F">
        <w:rPr>
          <w:sz w:val="20"/>
        </w:rPr>
        <w:t>imdevimab</w:t>
      </w:r>
      <w:proofErr w:type="spellEnd"/>
      <w:r w:rsidRPr="0061333F">
        <w:rPr>
          <w:sz w:val="20"/>
        </w:rPr>
        <w:t xml:space="preserve"> together</w:t>
      </w:r>
    </w:p>
    <w:p w14:paraId="3EDE29EC" w14:textId="77777777" w:rsidR="00BB43EC" w:rsidRPr="004663D3" w:rsidRDefault="00BB43EC" w:rsidP="00BB43EC">
      <w:pPr>
        <w:pStyle w:val="C-BodyText"/>
        <w:spacing w:before="0" w:after="0"/>
        <w:rPr>
          <w:szCs w:val="24"/>
        </w:rPr>
      </w:pPr>
    </w:p>
    <w:p w14:paraId="6BFB25B6" w14:textId="049C73E3" w:rsidR="00BB43EC" w:rsidRPr="004663D3" w:rsidRDefault="00BB43EC" w:rsidP="00BB43EC">
      <w:pPr>
        <w:pStyle w:val="C-BodyText"/>
        <w:spacing w:before="0" w:after="0"/>
        <w:rPr>
          <w:szCs w:val="24"/>
        </w:rPr>
      </w:pPr>
      <w:r w:rsidRPr="004663D3">
        <w:rPr>
          <w:szCs w:val="24"/>
        </w:rPr>
        <w:t xml:space="preserve">It is not known how </w:t>
      </w:r>
      <w:r w:rsidRPr="004663D3">
        <w:rPr>
          <w:i/>
          <w:szCs w:val="24"/>
        </w:rPr>
        <w:t>in vitro</w:t>
      </w:r>
      <w:r w:rsidRPr="004663D3">
        <w:rPr>
          <w:szCs w:val="24"/>
        </w:rPr>
        <w:t xml:space="preserve"> </w:t>
      </w:r>
      <w:proofErr w:type="spellStart"/>
      <w:r w:rsidRPr="004663D3">
        <w:rPr>
          <w:szCs w:val="24"/>
        </w:rPr>
        <w:t>neutralisation</w:t>
      </w:r>
      <w:proofErr w:type="spellEnd"/>
      <w:r w:rsidRPr="004663D3">
        <w:rPr>
          <w:szCs w:val="24"/>
        </w:rPr>
        <w:t xml:space="preserve"> data correlate with clinical outcomes.</w:t>
      </w:r>
    </w:p>
    <w:p w14:paraId="4051F9F4" w14:textId="77777777" w:rsidR="00BB43EC" w:rsidRPr="004663D3" w:rsidRDefault="00BB43EC" w:rsidP="00BB43EC">
      <w:pPr>
        <w:pStyle w:val="Heading4"/>
      </w:pPr>
      <w:r w:rsidRPr="004663D3">
        <w:lastRenderedPageBreak/>
        <w:t>Immune Response Attenuation</w:t>
      </w:r>
    </w:p>
    <w:p w14:paraId="1D5C6ABB" w14:textId="1846CFA4" w:rsidR="00BB43EC" w:rsidRDefault="00BB43EC" w:rsidP="00BB43EC">
      <w:pPr>
        <w:pStyle w:val="C-BodyText"/>
        <w:spacing w:before="0" w:after="0"/>
        <w:rPr>
          <w:szCs w:val="24"/>
        </w:rPr>
      </w:pPr>
      <w:r w:rsidRPr="004663D3">
        <w:rPr>
          <w:szCs w:val="24"/>
        </w:rPr>
        <w:t>There is a theoretical risk that antibody administration may attenuate the endogenous immune response to SARS</w:t>
      </w:r>
      <w:r w:rsidRPr="004663D3">
        <w:rPr>
          <w:szCs w:val="24"/>
        </w:rPr>
        <w:noBreakHyphen/>
        <w:t>CoV</w:t>
      </w:r>
      <w:r w:rsidRPr="004663D3">
        <w:rPr>
          <w:szCs w:val="24"/>
        </w:rPr>
        <w:noBreakHyphen/>
        <w:t>2 and make individuals more susceptible to re</w:t>
      </w:r>
      <w:r w:rsidRPr="004663D3">
        <w:rPr>
          <w:szCs w:val="24"/>
        </w:rPr>
        <w:noBreakHyphen/>
        <w:t>infection.</w:t>
      </w:r>
    </w:p>
    <w:p w14:paraId="536CEF4C" w14:textId="77777777" w:rsidR="00BB43EC" w:rsidRPr="000F5476" w:rsidRDefault="00BB43EC" w:rsidP="001A239A">
      <w:pPr>
        <w:pStyle w:val="Paragraph"/>
        <w:spacing w:after="0"/>
        <w:rPr>
          <w:sz w:val="24"/>
        </w:rPr>
      </w:pPr>
    </w:p>
    <w:p w14:paraId="3ECC7EF1" w14:textId="60C81E5A" w:rsidR="00D52399" w:rsidRPr="00A807D3" w:rsidRDefault="00615052" w:rsidP="001A239A">
      <w:pPr>
        <w:pStyle w:val="Heading3"/>
        <w:spacing w:before="0"/>
        <w:rPr>
          <w:color w:val="auto"/>
        </w:rPr>
      </w:pPr>
      <w:r w:rsidRPr="00A807D3">
        <w:rPr>
          <w:color w:val="auto"/>
        </w:rPr>
        <w:t>Pharmacodynamic effect</w:t>
      </w:r>
    </w:p>
    <w:p w14:paraId="6061AC92" w14:textId="7C8672A3" w:rsidR="00FF2BBE" w:rsidRDefault="00BB43EC" w:rsidP="00FF2BBE">
      <w:pPr>
        <w:pStyle w:val="Paragraph"/>
        <w:spacing w:after="120"/>
        <w:rPr>
          <w:sz w:val="24"/>
        </w:rPr>
      </w:pPr>
      <w:r>
        <w:rPr>
          <w:sz w:val="24"/>
        </w:rPr>
        <w:t>Study</w:t>
      </w:r>
      <w:r w:rsidRPr="004663D3">
        <w:rPr>
          <w:sz w:val="24"/>
        </w:rPr>
        <w:t xml:space="preserve"> COV</w:t>
      </w:r>
      <w:r w:rsidRPr="004663D3">
        <w:rPr>
          <w:sz w:val="24"/>
        </w:rPr>
        <w:noBreakHyphen/>
        <w:t xml:space="preserve">2067 evaluated </w:t>
      </w:r>
      <w:proofErr w:type="spellStart"/>
      <w:r w:rsidRPr="004663D3">
        <w:rPr>
          <w:sz w:val="24"/>
        </w:rPr>
        <w:t>Ronapreve</w:t>
      </w:r>
      <w:proofErr w:type="spellEnd"/>
      <w:r w:rsidRPr="004663D3">
        <w:rPr>
          <w:sz w:val="24"/>
        </w:rPr>
        <w:t xml:space="preserve"> with doses up to 7 times the recommended dose (</w:t>
      </w:r>
      <w:bookmarkStart w:id="7" w:name="_Hlk72393915"/>
      <w:r w:rsidRPr="004663D3">
        <w:rPr>
          <w:sz w:val="24"/>
        </w:rPr>
        <w:t xml:space="preserve">600 mg </w:t>
      </w:r>
      <w:proofErr w:type="spellStart"/>
      <w:r w:rsidRPr="004663D3">
        <w:rPr>
          <w:sz w:val="24"/>
        </w:rPr>
        <w:t>casirivimab</w:t>
      </w:r>
      <w:proofErr w:type="spellEnd"/>
      <w:r w:rsidRPr="004663D3">
        <w:rPr>
          <w:sz w:val="24"/>
        </w:rPr>
        <w:t xml:space="preserve"> and 600 mg </w:t>
      </w:r>
      <w:proofErr w:type="spellStart"/>
      <w:r w:rsidRPr="004663D3">
        <w:rPr>
          <w:sz w:val="24"/>
        </w:rPr>
        <w:t>imdevimab</w:t>
      </w:r>
      <w:bookmarkEnd w:id="7"/>
      <w:proofErr w:type="spellEnd"/>
      <w:r w:rsidRPr="004663D3">
        <w:rPr>
          <w:sz w:val="24"/>
        </w:rPr>
        <w:t xml:space="preserve">; 1 200 mg </w:t>
      </w:r>
      <w:proofErr w:type="spellStart"/>
      <w:r w:rsidRPr="004663D3">
        <w:rPr>
          <w:sz w:val="24"/>
        </w:rPr>
        <w:t>casirivimab</w:t>
      </w:r>
      <w:proofErr w:type="spellEnd"/>
      <w:r w:rsidRPr="004663D3">
        <w:rPr>
          <w:sz w:val="24"/>
        </w:rPr>
        <w:t xml:space="preserve"> and 1 200</w:t>
      </w:r>
      <w:r w:rsidRPr="004663D3">
        <w:rPr>
          <w:rStyle w:val="CommentReference"/>
          <w:sz w:val="24"/>
          <w:szCs w:val="24"/>
        </w:rPr>
        <w:t> </w:t>
      </w:r>
      <w:r w:rsidR="0067390C">
        <w:rPr>
          <w:rStyle w:val="CommentReference"/>
          <w:sz w:val="24"/>
          <w:szCs w:val="24"/>
        </w:rPr>
        <w:t>m</w:t>
      </w:r>
      <w:r w:rsidRPr="004663D3">
        <w:rPr>
          <w:sz w:val="24"/>
        </w:rPr>
        <w:t xml:space="preserve">g </w:t>
      </w:r>
      <w:proofErr w:type="spellStart"/>
      <w:r w:rsidRPr="004663D3">
        <w:rPr>
          <w:sz w:val="24"/>
        </w:rPr>
        <w:t>imdevimab</w:t>
      </w:r>
      <w:proofErr w:type="spellEnd"/>
      <w:r w:rsidRPr="004663D3">
        <w:rPr>
          <w:sz w:val="24"/>
        </w:rPr>
        <w:t xml:space="preserve">; 4 000 mg </w:t>
      </w:r>
      <w:proofErr w:type="spellStart"/>
      <w:r w:rsidRPr="004663D3">
        <w:rPr>
          <w:sz w:val="24"/>
        </w:rPr>
        <w:t>casirivimab</w:t>
      </w:r>
      <w:proofErr w:type="spellEnd"/>
      <w:r w:rsidRPr="004663D3">
        <w:rPr>
          <w:sz w:val="24"/>
        </w:rPr>
        <w:t xml:space="preserve"> and 4 000 mg </w:t>
      </w:r>
      <w:proofErr w:type="spellStart"/>
      <w:r w:rsidRPr="004663D3">
        <w:rPr>
          <w:sz w:val="24"/>
        </w:rPr>
        <w:t>imdevimab</w:t>
      </w:r>
      <w:proofErr w:type="spellEnd"/>
      <w:r w:rsidRPr="004663D3">
        <w:rPr>
          <w:sz w:val="24"/>
        </w:rPr>
        <w:t>) in ambulatory patients with COVID</w:t>
      </w:r>
      <w:r w:rsidRPr="004663D3">
        <w:rPr>
          <w:sz w:val="24"/>
        </w:rPr>
        <w:noBreakHyphen/>
        <w:t>19. A flat dose</w:t>
      </w:r>
      <w:r w:rsidRPr="004663D3">
        <w:rPr>
          <w:sz w:val="24"/>
        </w:rPr>
        <w:noBreakHyphen/>
        <w:t xml:space="preserve">response relationship for efficacy was identified for </w:t>
      </w:r>
      <w:proofErr w:type="spellStart"/>
      <w:r w:rsidRPr="004663D3">
        <w:rPr>
          <w:sz w:val="24"/>
        </w:rPr>
        <w:t>Ronapreve</w:t>
      </w:r>
      <w:proofErr w:type="spellEnd"/>
      <w:r w:rsidRPr="004663D3">
        <w:rPr>
          <w:sz w:val="24"/>
        </w:rPr>
        <w:t xml:space="preserve"> at all doses, based on viral load and clinical outcomes. Similar reductions in viral load (log</w:t>
      </w:r>
      <w:r w:rsidRPr="004663D3">
        <w:rPr>
          <w:sz w:val="24"/>
          <w:vertAlign w:val="subscript"/>
        </w:rPr>
        <w:t>10</w:t>
      </w:r>
      <w:r w:rsidRPr="004663D3">
        <w:rPr>
          <w:sz w:val="24"/>
        </w:rPr>
        <w:t xml:space="preserve"> copies/mL) were observed in subjects for the (600 mg </w:t>
      </w:r>
      <w:proofErr w:type="spellStart"/>
      <w:r w:rsidRPr="004663D3">
        <w:rPr>
          <w:sz w:val="24"/>
        </w:rPr>
        <w:t>casirivimab</w:t>
      </w:r>
      <w:proofErr w:type="spellEnd"/>
      <w:r w:rsidRPr="004663D3">
        <w:rPr>
          <w:sz w:val="24"/>
        </w:rPr>
        <w:t xml:space="preserve"> and 600 mg </w:t>
      </w:r>
      <w:proofErr w:type="spellStart"/>
      <w:r w:rsidRPr="004663D3">
        <w:rPr>
          <w:sz w:val="24"/>
        </w:rPr>
        <w:t>imdevimab</w:t>
      </w:r>
      <w:proofErr w:type="spellEnd"/>
      <w:r w:rsidRPr="004663D3">
        <w:rPr>
          <w:sz w:val="24"/>
        </w:rPr>
        <w:t xml:space="preserve">) IV and (600 mg </w:t>
      </w:r>
      <w:proofErr w:type="spellStart"/>
      <w:r w:rsidRPr="004663D3">
        <w:rPr>
          <w:sz w:val="24"/>
        </w:rPr>
        <w:t>casirivimab</w:t>
      </w:r>
      <w:proofErr w:type="spellEnd"/>
      <w:r w:rsidRPr="004663D3">
        <w:rPr>
          <w:sz w:val="24"/>
        </w:rPr>
        <w:t xml:space="preserve"> and 600 mg </w:t>
      </w:r>
      <w:proofErr w:type="spellStart"/>
      <w:r w:rsidRPr="004663D3">
        <w:rPr>
          <w:sz w:val="24"/>
        </w:rPr>
        <w:t>imdevimab</w:t>
      </w:r>
      <w:proofErr w:type="spellEnd"/>
      <w:r w:rsidRPr="004663D3">
        <w:rPr>
          <w:sz w:val="24"/>
        </w:rPr>
        <w:t>) subcutaneous doses</w:t>
      </w:r>
      <w:r w:rsidR="00FF2BBE" w:rsidRPr="00FF2BBE">
        <w:rPr>
          <w:sz w:val="24"/>
        </w:rPr>
        <w:t>.</w:t>
      </w:r>
    </w:p>
    <w:p w14:paraId="305D5429" w14:textId="34D3E9AF" w:rsidR="00204BDD" w:rsidRPr="00FF2BBE" w:rsidRDefault="00BB43EC" w:rsidP="00204BDD">
      <w:pPr>
        <w:pStyle w:val="Heading4"/>
      </w:pPr>
      <w:r w:rsidRPr="00BB43EC">
        <w:t>COV-20145</w:t>
      </w:r>
    </w:p>
    <w:p w14:paraId="218F0E0E" w14:textId="77777777" w:rsidR="00BB43EC" w:rsidRPr="00BB43EC" w:rsidRDefault="00BB43EC" w:rsidP="00B8096C">
      <w:pPr>
        <w:pStyle w:val="Paragraph"/>
        <w:spacing w:after="0"/>
        <w:rPr>
          <w:sz w:val="24"/>
        </w:rPr>
      </w:pPr>
      <w:r w:rsidRPr="00BB43EC">
        <w:rPr>
          <w:sz w:val="24"/>
        </w:rPr>
        <w:t xml:space="preserve">COV-20145 is a Phase 2 </w:t>
      </w:r>
      <w:proofErr w:type="spellStart"/>
      <w:r w:rsidRPr="00BB43EC">
        <w:rPr>
          <w:sz w:val="24"/>
        </w:rPr>
        <w:t>randomised</w:t>
      </w:r>
      <w:proofErr w:type="spellEnd"/>
      <w:r w:rsidRPr="00BB43EC">
        <w:rPr>
          <w:sz w:val="24"/>
        </w:rPr>
        <w:t xml:space="preserve">, double-blind, placebo-controlled, parallel group study to assess the dose response profile of single IV or single subcutaneous doses of </w:t>
      </w:r>
      <w:proofErr w:type="spellStart"/>
      <w:r w:rsidRPr="00BB43EC">
        <w:rPr>
          <w:sz w:val="24"/>
        </w:rPr>
        <w:t>Ronapreve</w:t>
      </w:r>
      <w:proofErr w:type="spellEnd"/>
      <w:r w:rsidRPr="00BB43EC">
        <w:rPr>
          <w:sz w:val="24"/>
        </w:rPr>
        <w:t xml:space="preserve"> in outpatients with SARS-CoV-2 infection. Treatment was initiated within 3 days of obtaining a positive SARS-CoV-2 infection test result in 803 patients not at high risk of severe disease (symptomatic with no risk factors / asymptomatic). Subjects were </w:t>
      </w:r>
      <w:proofErr w:type="spellStart"/>
      <w:r w:rsidRPr="00BB43EC">
        <w:rPr>
          <w:sz w:val="24"/>
        </w:rPr>
        <w:t>randomised</w:t>
      </w:r>
      <w:proofErr w:type="spellEnd"/>
      <w:r w:rsidRPr="00BB43EC">
        <w:rPr>
          <w:sz w:val="24"/>
        </w:rPr>
        <w:t xml:space="preserve"> into treatment arms and placebo arms including 116 subjects who were </w:t>
      </w:r>
      <w:proofErr w:type="spellStart"/>
      <w:r w:rsidRPr="00BB43EC">
        <w:rPr>
          <w:sz w:val="24"/>
        </w:rPr>
        <w:t>randomised</w:t>
      </w:r>
      <w:proofErr w:type="spellEnd"/>
      <w:r w:rsidRPr="00BB43EC">
        <w:rPr>
          <w:sz w:val="24"/>
        </w:rPr>
        <w:t xml:space="preserve"> to receive an IV dose of 1 200 mg of </w:t>
      </w:r>
      <w:proofErr w:type="spellStart"/>
      <w:r w:rsidRPr="00BB43EC">
        <w:rPr>
          <w:sz w:val="24"/>
        </w:rPr>
        <w:t>Ronapreve</w:t>
      </w:r>
      <w:proofErr w:type="spellEnd"/>
      <w:r w:rsidRPr="00BB43EC">
        <w:rPr>
          <w:sz w:val="24"/>
        </w:rPr>
        <w:t xml:space="preserve"> (600 mg of </w:t>
      </w:r>
      <w:proofErr w:type="spellStart"/>
      <w:r w:rsidRPr="00BB43EC">
        <w:rPr>
          <w:sz w:val="24"/>
        </w:rPr>
        <w:t>casirivimab</w:t>
      </w:r>
      <w:proofErr w:type="spellEnd"/>
      <w:r w:rsidRPr="00BB43EC">
        <w:rPr>
          <w:sz w:val="24"/>
        </w:rPr>
        <w:t xml:space="preserve"> and 600 mg of </w:t>
      </w:r>
      <w:proofErr w:type="spellStart"/>
      <w:r w:rsidRPr="00BB43EC">
        <w:rPr>
          <w:sz w:val="24"/>
        </w:rPr>
        <w:t>imdevimab</w:t>
      </w:r>
      <w:proofErr w:type="spellEnd"/>
      <w:r w:rsidRPr="00BB43EC">
        <w:rPr>
          <w:sz w:val="24"/>
        </w:rPr>
        <w:t>).</w:t>
      </w:r>
    </w:p>
    <w:p w14:paraId="081AEB7B" w14:textId="77777777" w:rsidR="00BB43EC" w:rsidRPr="00BB43EC" w:rsidRDefault="00BB43EC" w:rsidP="00B8096C">
      <w:pPr>
        <w:pStyle w:val="Paragraph"/>
        <w:spacing w:after="0"/>
        <w:rPr>
          <w:sz w:val="24"/>
        </w:rPr>
      </w:pPr>
    </w:p>
    <w:p w14:paraId="407870D8" w14:textId="11A4D457" w:rsidR="00B65D51" w:rsidRDefault="00BB43EC" w:rsidP="00B8096C">
      <w:pPr>
        <w:pStyle w:val="Paragraph"/>
        <w:spacing w:after="0"/>
        <w:rPr>
          <w:sz w:val="24"/>
        </w:rPr>
      </w:pPr>
      <w:r w:rsidRPr="00BB43EC">
        <w:rPr>
          <w:sz w:val="24"/>
        </w:rPr>
        <w:t>The pre-specified primary endpoint was the time weighted average (TWA) daily change from baseline in viral load (log10 copies/mL), as measured by RT-qPCR in nasopharyngeal swab samples, from Day 1 to Day 7 in subjects with a positive SARS</w:t>
      </w:r>
      <w:r w:rsidR="00EE2A34">
        <w:rPr>
          <w:sz w:val="24"/>
        </w:rPr>
        <w:t>-</w:t>
      </w:r>
      <w:r w:rsidRPr="00BB43EC">
        <w:rPr>
          <w:sz w:val="24"/>
        </w:rPr>
        <w:t>CoV</w:t>
      </w:r>
      <w:r w:rsidR="00EE2A34">
        <w:rPr>
          <w:sz w:val="24"/>
        </w:rPr>
        <w:t>-</w:t>
      </w:r>
      <w:r w:rsidRPr="00BB43EC">
        <w:rPr>
          <w:sz w:val="24"/>
        </w:rPr>
        <w:t xml:space="preserve">2 RT-qPCR result and seronegative at baseline i.e., the seronegative modified full analysis set (seronegative </w:t>
      </w:r>
      <w:proofErr w:type="spellStart"/>
      <w:r w:rsidRPr="00BB43EC">
        <w:rPr>
          <w:sz w:val="24"/>
        </w:rPr>
        <w:t>mFAS</w:t>
      </w:r>
      <w:proofErr w:type="spellEnd"/>
      <w:r w:rsidRPr="00BB43EC">
        <w:rPr>
          <w:sz w:val="24"/>
        </w:rPr>
        <w:t xml:space="preserve">). Treatment with 1 200 mg IV </w:t>
      </w:r>
      <w:proofErr w:type="spellStart"/>
      <w:r w:rsidRPr="00BB43EC">
        <w:rPr>
          <w:sz w:val="24"/>
        </w:rPr>
        <w:t>Ronapreve</w:t>
      </w:r>
      <w:proofErr w:type="spellEnd"/>
      <w:r w:rsidRPr="00BB43EC">
        <w:rPr>
          <w:sz w:val="24"/>
        </w:rPr>
        <w:t xml:space="preserve"> resulted in a statistical</w:t>
      </w:r>
      <w:r w:rsidR="00EE2A34">
        <w:rPr>
          <w:sz w:val="24"/>
        </w:rPr>
        <w:t>ly</w:t>
      </w:r>
      <w:r w:rsidRPr="00BB43EC">
        <w:rPr>
          <w:sz w:val="24"/>
        </w:rPr>
        <w:t xml:space="preserve"> significant reduction in the TWA from baseline to Day 7 in viral load compared to placebo (-0.56 log10 copies/mL, p &lt; 0.0007). The largest reductions in viral load relative to placebo occurred in patients with high viral load (&gt; 107 copies/mL) with a difference in TWA from Day 1 through Day 7 of -0.85 log10 copies/mL (p &lt; 0.0001). Figure 1 shows the mean change from baseline in SARS-CoV-2 viral load over time</w:t>
      </w:r>
      <w:r w:rsidR="00FF2BBE" w:rsidRPr="00FF2BBE">
        <w:rPr>
          <w:sz w:val="24"/>
        </w:rPr>
        <w:t>.</w:t>
      </w:r>
    </w:p>
    <w:p w14:paraId="077924F4" w14:textId="77777777" w:rsidR="00B8096C" w:rsidRDefault="00B8096C" w:rsidP="00BB43EC">
      <w:pPr>
        <w:pStyle w:val="Caption"/>
        <w:spacing w:after="120"/>
        <w:ind w:left="994" w:hanging="994"/>
        <w:rPr>
          <w:b/>
          <w:sz w:val="24"/>
          <w:szCs w:val="24"/>
        </w:rPr>
      </w:pPr>
      <w:bookmarkStart w:id="8" w:name="_Hlk74905117"/>
    </w:p>
    <w:p w14:paraId="65CB3F0F" w14:textId="09EA171F" w:rsidR="00BB43EC" w:rsidRPr="00BB43EC" w:rsidRDefault="00BB43EC" w:rsidP="0060563E">
      <w:pPr>
        <w:pStyle w:val="Caption"/>
        <w:pageBreakBefore/>
        <w:spacing w:after="120"/>
        <w:ind w:left="992" w:hanging="992"/>
        <w:rPr>
          <w:b/>
          <w:sz w:val="24"/>
          <w:szCs w:val="24"/>
        </w:rPr>
      </w:pPr>
      <w:r w:rsidRPr="00BB43EC">
        <w:rPr>
          <w:b/>
          <w:sz w:val="24"/>
          <w:szCs w:val="24"/>
        </w:rPr>
        <w:lastRenderedPageBreak/>
        <w:t xml:space="preserve">Figure </w:t>
      </w:r>
      <w:r w:rsidRPr="00BB43EC">
        <w:rPr>
          <w:b/>
          <w:sz w:val="24"/>
          <w:szCs w:val="24"/>
        </w:rPr>
        <w:fldChar w:fldCharType="begin"/>
      </w:r>
      <w:r w:rsidRPr="00BB43EC">
        <w:rPr>
          <w:b/>
          <w:sz w:val="24"/>
          <w:szCs w:val="24"/>
        </w:rPr>
        <w:instrText xml:space="preserve"> SEQ Figure \* ARABIC </w:instrText>
      </w:r>
      <w:r w:rsidRPr="00BB43EC">
        <w:rPr>
          <w:b/>
          <w:sz w:val="24"/>
          <w:szCs w:val="24"/>
        </w:rPr>
        <w:fldChar w:fldCharType="separate"/>
      </w:r>
      <w:r w:rsidR="00074220">
        <w:rPr>
          <w:b/>
          <w:noProof/>
          <w:sz w:val="24"/>
          <w:szCs w:val="24"/>
        </w:rPr>
        <w:t>1</w:t>
      </w:r>
      <w:r w:rsidRPr="00BB43EC">
        <w:rPr>
          <w:b/>
          <w:noProof/>
          <w:sz w:val="24"/>
          <w:szCs w:val="24"/>
        </w:rPr>
        <w:fldChar w:fldCharType="end"/>
      </w:r>
      <w:r w:rsidRPr="00BB43EC">
        <w:rPr>
          <w:b/>
          <w:sz w:val="24"/>
          <w:szCs w:val="24"/>
        </w:rPr>
        <w:t>: Mean Change in viral load (log</w:t>
      </w:r>
      <w:r w:rsidRPr="00BB43EC">
        <w:rPr>
          <w:b/>
          <w:sz w:val="24"/>
          <w:szCs w:val="24"/>
          <w:vertAlign w:val="subscript"/>
        </w:rPr>
        <w:t>10</w:t>
      </w:r>
      <w:r w:rsidRPr="00BB43EC">
        <w:rPr>
          <w:b/>
          <w:sz w:val="24"/>
          <w:szCs w:val="24"/>
        </w:rPr>
        <w:t xml:space="preserve"> copies /mL) at each visit from baseline to Day 7 in subjects receiving 1 200 mg IV and 1 200 mg SC (Seronegative </w:t>
      </w:r>
      <w:proofErr w:type="spellStart"/>
      <w:r w:rsidRPr="00BB43EC">
        <w:rPr>
          <w:b/>
          <w:sz w:val="24"/>
          <w:szCs w:val="24"/>
        </w:rPr>
        <w:t>mFAS</w:t>
      </w:r>
      <w:proofErr w:type="spellEnd"/>
      <w:r w:rsidRPr="00BB43EC">
        <w:rPr>
          <w:b/>
          <w:sz w:val="24"/>
          <w:szCs w:val="24"/>
        </w:rPr>
        <w:t>) Study COV</w:t>
      </w:r>
      <w:r w:rsidRPr="00BB43EC">
        <w:rPr>
          <w:b/>
          <w:sz w:val="24"/>
          <w:szCs w:val="24"/>
        </w:rPr>
        <w:noBreakHyphen/>
        <w:t>20145</w:t>
      </w:r>
    </w:p>
    <w:bookmarkEnd w:id="8"/>
    <w:p w14:paraId="413EFD30" w14:textId="77777777" w:rsidR="00BB43EC" w:rsidRPr="004663D3" w:rsidRDefault="00BB43EC" w:rsidP="00BB43EC">
      <w:pPr>
        <w:pStyle w:val="C-BodyText"/>
        <w:spacing w:before="0" w:after="0"/>
        <w:rPr>
          <w:szCs w:val="24"/>
          <w:u w:val="single"/>
        </w:rPr>
      </w:pPr>
      <w:r w:rsidRPr="004663D3">
        <w:rPr>
          <w:noProof/>
          <w:szCs w:val="24"/>
          <w:lang w:val="en-AU" w:eastAsia="zh-CN"/>
        </w:rPr>
        <w:drawing>
          <wp:inline distT="0" distB="0" distL="0" distR="0" wp14:anchorId="2883F301" wp14:editId="690E3BA9">
            <wp:extent cx="5768975" cy="3272155"/>
            <wp:effectExtent l="0" t="0" r="3175" b="444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
                    <pic:cNvPicPr/>
                  </pic:nvPicPr>
                  <pic:blipFill>
                    <a:blip r:embed="rId10"/>
                    <a:stretch>
                      <a:fillRect/>
                    </a:stretch>
                  </pic:blipFill>
                  <pic:spPr>
                    <a:xfrm>
                      <a:off x="0" y="0"/>
                      <a:ext cx="5768975" cy="3272155"/>
                    </a:xfrm>
                    <a:prstGeom prst="rect">
                      <a:avLst/>
                    </a:prstGeom>
                  </pic:spPr>
                </pic:pic>
              </a:graphicData>
            </a:graphic>
          </wp:inline>
        </w:drawing>
      </w:r>
    </w:p>
    <w:p w14:paraId="084D0C37" w14:textId="77777777" w:rsidR="00D52399" w:rsidRPr="00A807D3" w:rsidRDefault="00615052" w:rsidP="00BB43EC">
      <w:pPr>
        <w:pStyle w:val="Heading3"/>
        <w:rPr>
          <w:color w:val="auto"/>
        </w:rPr>
      </w:pPr>
      <w:r w:rsidRPr="00A807D3">
        <w:rPr>
          <w:color w:val="auto"/>
        </w:rPr>
        <w:t xml:space="preserve">Clinical </w:t>
      </w:r>
      <w:r w:rsidR="00594C19" w:rsidRPr="00A807D3">
        <w:rPr>
          <w:color w:val="auto"/>
        </w:rPr>
        <w:t>trials</w:t>
      </w:r>
    </w:p>
    <w:p w14:paraId="0BAA584F" w14:textId="5C1ADBC6" w:rsidR="00FF2BBE" w:rsidRDefault="00FF2BBE" w:rsidP="00FF2BBE">
      <w:pPr>
        <w:pStyle w:val="Heading4"/>
      </w:pPr>
      <w:r>
        <w:t xml:space="preserve">Treatment of </w:t>
      </w:r>
      <w:r w:rsidR="00BB43EC">
        <w:t>COVI</w:t>
      </w:r>
      <w:r>
        <w:t>D</w:t>
      </w:r>
      <w:r w:rsidR="00BB43EC">
        <w:t>-19</w:t>
      </w:r>
    </w:p>
    <w:p w14:paraId="1F6C11F2" w14:textId="77777777" w:rsidR="00BB43EC" w:rsidRPr="00BB43EC" w:rsidRDefault="00BB43EC" w:rsidP="00BB43EC">
      <w:pPr>
        <w:pStyle w:val="Heading5"/>
        <w:rPr>
          <w:u w:val="single"/>
        </w:rPr>
      </w:pPr>
      <w:r w:rsidRPr="00BB43EC">
        <w:rPr>
          <w:u w:val="single"/>
        </w:rPr>
        <w:t>Study COV-2067</w:t>
      </w:r>
    </w:p>
    <w:p w14:paraId="0FF933AE" w14:textId="013FCE91" w:rsidR="00BB43EC" w:rsidRPr="004663D3" w:rsidRDefault="00BB43EC" w:rsidP="00BB43EC">
      <w:pPr>
        <w:autoSpaceDE w:val="0"/>
        <w:autoSpaceDN w:val="0"/>
        <w:adjustRightInd w:val="0"/>
      </w:pPr>
      <w:r w:rsidRPr="004663D3">
        <w:t>COV</w:t>
      </w:r>
      <w:r w:rsidRPr="004663D3">
        <w:noBreakHyphen/>
        <w:t>2067 is a randomised, double</w:t>
      </w:r>
      <w:r w:rsidRPr="004663D3">
        <w:noBreakHyphen/>
        <w:t>blinded, placebo</w:t>
      </w:r>
      <w:r w:rsidRPr="004663D3">
        <w:noBreakHyphen/>
        <w:t xml:space="preserve">controlled clinical trial evaluating </w:t>
      </w:r>
      <w:proofErr w:type="spellStart"/>
      <w:r w:rsidRPr="004663D3">
        <w:t>Ronapreve</w:t>
      </w:r>
      <w:proofErr w:type="spellEnd"/>
      <w:r w:rsidRPr="004663D3">
        <w:t xml:space="preserve"> (</w:t>
      </w:r>
      <w:proofErr w:type="spellStart"/>
      <w:r w:rsidRPr="004663D3">
        <w:t>casirivimab</w:t>
      </w:r>
      <w:proofErr w:type="spellEnd"/>
      <w:r w:rsidRPr="004663D3">
        <w:t xml:space="preserve"> and </w:t>
      </w:r>
      <w:proofErr w:type="spellStart"/>
      <w:r w:rsidRPr="004663D3">
        <w:t>imdevimab</w:t>
      </w:r>
      <w:proofErr w:type="spellEnd"/>
      <w:r w:rsidRPr="004663D3">
        <w:t xml:space="preserve">) for the treatment of subjects with </w:t>
      </w:r>
      <w:r w:rsidR="006608B6">
        <w:t xml:space="preserve">symptomatic </w:t>
      </w:r>
      <w:r w:rsidRPr="004663D3">
        <w:t>COVID</w:t>
      </w:r>
      <w:r w:rsidRPr="004663D3">
        <w:noBreakHyphen/>
        <w:t>19 who are not hospitalised</w:t>
      </w:r>
      <w:r w:rsidR="006608B6">
        <w:t xml:space="preserve"> and who do not require supplemental oxygen. Eligible subjects were adults who were within 7 days of symptom onset and who had at least one risk factor for severe COVID-19 (</w:t>
      </w:r>
      <w:r w:rsidR="006608B6" w:rsidRPr="006608B6">
        <w:t>these included age &gt; 50 years, obesity defined as BMI ≥ 30 kg/m</w:t>
      </w:r>
      <w:r w:rsidR="006608B6" w:rsidRPr="006608B6">
        <w:rPr>
          <w:vertAlign w:val="superscript"/>
        </w:rPr>
        <w:t>2</w:t>
      </w:r>
      <w:r w:rsidR="006608B6" w:rsidRPr="006608B6">
        <w:t>, cardiovascular disease including hypertension, chronic lung disease including asthma, type 1 and 2 diabetes mellitus, chronic kidney disease including those on dialysis, chronic liver disease, pregnancy and immunosuppressed)</w:t>
      </w:r>
      <w:r w:rsidRPr="004663D3">
        <w:t xml:space="preserve">. </w:t>
      </w:r>
    </w:p>
    <w:p w14:paraId="6640479E" w14:textId="77777777" w:rsidR="00BB43EC" w:rsidRPr="004663D3" w:rsidRDefault="00BB43EC" w:rsidP="00BB43EC">
      <w:pPr>
        <w:autoSpaceDE w:val="0"/>
        <w:autoSpaceDN w:val="0"/>
        <w:adjustRightInd w:val="0"/>
      </w:pPr>
    </w:p>
    <w:p w14:paraId="4B085516" w14:textId="1DD92284" w:rsidR="00BB43EC" w:rsidRPr="004663D3" w:rsidRDefault="00BB43EC" w:rsidP="00BB43EC">
      <w:pPr>
        <w:autoSpaceDE w:val="0"/>
        <w:autoSpaceDN w:val="0"/>
        <w:adjustRightInd w:val="0"/>
      </w:pPr>
      <w:r w:rsidRPr="004663D3">
        <w:t xml:space="preserve">In Phase 3 </w:t>
      </w:r>
      <w:r w:rsidR="006608B6">
        <w:t>(Cohort 1)</w:t>
      </w:r>
      <w:r w:rsidRPr="004663D3">
        <w:t xml:space="preserve"> subjects with at least one risk factor for severe COVID-19 were randomised to a single intravenous infusion of </w:t>
      </w:r>
      <w:bookmarkStart w:id="9" w:name="_Hlk72166938"/>
      <w:proofErr w:type="spellStart"/>
      <w:r w:rsidRPr="004663D3">
        <w:t>Ronapreve</w:t>
      </w:r>
      <w:proofErr w:type="spellEnd"/>
      <w:r w:rsidRPr="004663D3">
        <w:t xml:space="preserve"> 1 200 mg (600 mg of </w:t>
      </w:r>
      <w:proofErr w:type="spellStart"/>
      <w:r w:rsidRPr="004663D3">
        <w:t>casirivimab</w:t>
      </w:r>
      <w:proofErr w:type="spellEnd"/>
      <w:r w:rsidRPr="004663D3">
        <w:t xml:space="preserve"> and 600 mg of </w:t>
      </w:r>
      <w:proofErr w:type="spellStart"/>
      <w:r w:rsidRPr="004663D3">
        <w:t>imdevimab</w:t>
      </w:r>
      <w:proofErr w:type="spellEnd"/>
      <w:r w:rsidRPr="004663D3">
        <w:t xml:space="preserve">) </w:t>
      </w:r>
      <w:bookmarkEnd w:id="9"/>
      <w:r w:rsidRPr="004663D3">
        <w:t xml:space="preserve">(n = 838), </w:t>
      </w:r>
      <w:proofErr w:type="spellStart"/>
      <w:r w:rsidRPr="004663D3">
        <w:t>Ronapreve</w:t>
      </w:r>
      <w:proofErr w:type="spellEnd"/>
      <w:r w:rsidRPr="004663D3">
        <w:t xml:space="preserve"> 2 400 mg (1 200 mg of </w:t>
      </w:r>
      <w:proofErr w:type="spellStart"/>
      <w:r w:rsidRPr="004663D3">
        <w:t>casirivimab</w:t>
      </w:r>
      <w:proofErr w:type="spellEnd"/>
      <w:r w:rsidRPr="004663D3">
        <w:t xml:space="preserve"> and 1 200 mg of </w:t>
      </w:r>
      <w:proofErr w:type="spellStart"/>
      <w:r w:rsidRPr="004663D3">
        <w:t>imdevimab</w:t>
      </w:r>
      <w:proofErr w:type="spellEnd"/>
      <w:r w:rsidRPr="004663D3">
        <w:t xml:space="preserve">) (n = 1 529), </w:t>
      </w:r>
      <w:proofErr w:type="spellStart"/>
      <w:r w:rsidRPr="004663D3">
        <w:t>Ronapreve</w:t>
      </w:r>
      <w:proofErr w:type="spellEnd"/>
      <w:r w:rsidRPr="004663D3">
        <w:t xml:space="preserve"> 8 000  mg (4 000 mg of </w:t>
      </w:r>
      <w:proofErr w:type="spellStart"/>
      <w:r w:rsidRPr="004663D3">
        <w:t>casirivimab</w:t>
      </w:r>
      <w:proofErr w:type="spellEnd"/>
      <w:r w:rsidRPr="004663D3">
        <w:t xml:space="preserve"> and 4 000 mg of </w:t>
      </w:r>
      <w:proofErr w:type="spellStart"/>
      <w:r w:rsidRPr="004663D3">
        <w:t>imdevimab</w:t>
      </w:r>
      <w:proofErr w:type="spellEnd"/>
      <w:r w:rsidRPr="004663D3">
        <w:t xml:space="preserve">) (n = 700), or placebo (n = 1 500) groups. The two </w:t>
      </w:r>
      <w:proofErr w:type="spellStart"/>
      <w:r w:rsidRPr="004663D3">
        <w:t>Ronapreve</w:t>
      </w:r>
      <w:proofErr w:type="spellEnd"/>
      <w:r w:rsidRPr="004663D3">
        <w:t xml:space="preserve"> doses at the start of Phase 3 were 8 000 mg and 2 400 mg; however, based on Phase 1/2 efficacy analyses showing that the 8 000 mg and 2 400 mg doses were similar, the Phase 3 portion of the protocol was amended to compare 2 400 mg dose vs. placebo and 1 200 mg dose vs. placebo. Comparisons were between subjects randomised to the specific </w:t>
      </w:r>
      <w:proofErr w:type="spellStart"/>
      <w:r w:rsidRPr="004663D3">
        <w:t>Ronapreve</w:t>
      </w:r>
      <w:proofErr w:type="spellEnd"/>
      <w:r w:rsidRPr="004663D3">
        <w:t xml:space="preserve"> dose and subjects who were concurrently randomised to placebo.</w:t>
      </w:r>
    </w:p>
    <w:p w14:paraId="19B4FAEC" w14:textId="77777777" w:rsidR="00BB43EC" w:rsidRPr="004663D3" w:rsidRDefault="00BB43EC" w:rsidP="00BB43EC">
      <w:pPr>
        <w:autoSpaceDE w:val="0"/>
        <w:autoSpaceDN w:val="0"/>
      </w:pPr>
    </w:p>
    <w:p w14:paraId="64C5DF12" w14:textId="1B527623" w:rsidR="00FF2BBE" w:rsidRPr="00FF2BBE" w:rsidRDefault="00BB43EC" w:rsidP="00BB43EC">
      <w:pPr>
        <w:pStyle w:val="Default"/>
        <w:spacing w:after="240" w:line="300" w:lineRule="atLeast"/>
        <w:rPr>
          <w:color w:val="auto"/>
        </w:rPr>
      </w:pPr>
      <w:r w:rsidRPr="004663D3">
        <w:lastRenderedPageBreak/>
        <w:t xml:space="preserve">At baseline, in all randomised subjects with at least one risk factor, the median age was 50 years (with 13% of subjects ages 65 years or older), 52% of the subjects were female, 84% were White, 5% were Black or African American; 36% identified as Hispanic or Latino. The baseline demographics and disease characteristics were well balanced across the </w:t>
      </w:r>
      <w:proofErr w:type="spellStart"/>
      <w:r w:rsidRPr="004663D3">
        <w:t>casirivimab</w:t>
      </w:r>
      <w:proofErr w:type="spellEnd"/>
      <w:r>
        <w:t xml:space="preserve"> </w:t>
      </w:r>
      <w:r w:rsidRPr="004663D3">
        <w:t xml:space="preserve">and </w:t>
      </w:r>
      <w:proofErr w:type="spellStart"/>
      <w:r w:rsidRPr="004663D3">
        <w:t>imdevimab</w:t>
      </w:r>
      <w:proofErr w:type="spellEnd"/>
      <w:r w:rsidRPr="004663D3">
        <w:t xml:space="preserve"> and placebo treatment groups</w:t>
      </w:r>
      <w:r w:rsidR="00FF2BBE" w:rsidRPr="00FF2BBE">
        <w:rPr>
          <w:color w:val="auto"/>
        </w:rPr>
        <w:t>.</w:t>
      </w:r>
    </w:p>
    <w:p w14:paraId="605FC8B0" w14:textId="77777777" w:rsidR="00BB43EC" w:rsidRPr="00BB43EC" w:rsidRDefault="00BB43EC" w:rsidP="00BB43EC">
      <w:pPr>
        <w:keepNext/>
        <w:keepLines/>
        <w:autoSpaceDE w:val="0"/>
        <w:autoSpaceDN w:val="0"/>
        <w:adjustRightInd w:val="0"/>
        <w:rPr>
          <w:i/>
          <w:u w:val="single"/>
        </w:rPr>
      </w:pPr>
      <w:r w:rsidRPr="00BB43EC">
        <w:rPr>
          <w:i/>
          <w:u w:val="single"/>
        </w:rPr>
        <w:t>Primary endpoint</w:t>
      </w:r>
    </w:p>
    <w:p w14:paraId="6703E6B6" w14:textId="7BBD3C12" w:rsidR="00BB43EC" w:rsidRDefault="00BB43EC" w:rsidP="00BB43EC">
      <w:pPr>
        <w:keepNext/>
        <w:keepLines/>
        <w:autoSpaceDE w:val="0"/>
        <w:autoSpaceDN w:val="0"/>
        <w:adjustRightInd w:val="0"/>
      </w:pPr>
      <w:r w:rsidRPr="004663D3">
        <w:t xml:space="preserve">The primary endpoint was the proportion of subjects with ≥ 1 COVID-19-related hospitalisation or all-cause death through Day 29. </w:t>
      </w:r>
    </w:p>
    <w:p w14:paraId="0AEB20AD" w14:textId="516F78FB" w:rsidR="006608B6" w:rsidRDefault="006608B6" w:rsidP="00BB43EC">
      <w:pPr>
        <w:keepNext/>
        <w:keepLines/>
        <w:autoSpaceDE w:val="0"/>
        <w:autoSpaceDN w:val="0"/>
        <w:adjustRightInd w:val="0"/>
      </w:pPr>
    </w:p>
    <w:p w14:paraId="0E2517FF" w14:textId="6B11C101" w:rsidR="006608B6" w:rsidRPr="004663D3" w:rsidRDefault="006608B6" w:rsidP="006608B6">
      <w:pPr>
        <w:pStyle w:val="C-TableHeader"/>
        <w:spacing w:after="120"/>
        <w:ind w:left="562" w:hanging="562"/>
        <w:rPr>
          <w:sz w:val="24"/>
          <w:szCs w:val="24"/>
        </w:rPr>
      </w:pPr>
      <w:r w:rsidRPr="004663D3">
        <w:rPr>
          <w:sz w:val="24"/>
          <w:szCs w:val="24"/>
        </w:rPr>
        <w:t>Table </w:t>
      </w:r>
      <w:r w:rsidR="00B8096C">
        <w:rPr>
          <w:sz w:val="24"/>
          <w:szCs w:val="24"/>
        </w:rPr>
        <w:t>9:</w:t>
      </w:r>
      <w:r>
        <w:rPr>
          <w:sz w:val="24"/>
          <w:szCs w:val="24"/>
        </w:rPr>
        <w:t xml:space="preserve"> </w:t>
      </w:r>
      <w:r w:rsidRPr="004663D3">
        <w:rPr>
          <w:sz w:val="24"/>
          <w:szCs w:val="24"/>
        </w:rPr>
        <w:t xml:space="preserve">Summary of </w:t>
      </w:r>
      <w:r>
        <w:rPr>
          <w:sz w:val="24"/>
          <w:szCs w:val="24"/>
        </w:rPr>
        <w:t>primary endpoint Phase 3 r</w:t>
      </w:r>
      <w:r w:rsidRPr="004663D3">
        <w:rPr>
          <w:sz w:val="24"/>
          <w:szCs w:val="24"/>
        </w:rPr>
        <w:t>esults from Study COV-2067</w:t>
      </w:r>
    </w:p>
    <w:tbl>
      <w:tblPr>
        <w:tblStyle w:val="TableGrid"/>
        <w:tblW w:w="9535" w:type="dxa"/>
        <w:tblInd w:w="0" w:type="dxa"/>
        <w:tblLook w:val="04A0" w:firstRow="1" w:lastRow="0" w:firstColumn="1" w:lastColumn="0" w:noHBand="0" w:noVBand="1"/>
      </w:tblPr>
      <w:tblGrid>
        <w:gridCol w:w="2515"/>
        <w:gridCol w:w="1800"/>
        <w:gridCol w:w="1800"/>
        <w:gridCol w:w="1710"/>
        <w:gridCol w:w="1710"/>
      </w:tblGrid>
      <w:tr w:rsidR="006608B6" w:rsidRPr="004663D3" w14:paraId="7711E89F" w14:textId="77777777" w:rsidTr="006608B6">
        <w:tc>
          <w:tcPr>
            <w:tcW w:w="2515" w:type="dxa"/>
            <w:vMerge w:val="restart"/>
          </w:tcPr>
          <w:p w14:paraId="4016414B" w14:textId="77777777" w:rsidR="006608B6" w:rsidRPr="004663D3" w:rsidRDefault="006608B6" w:rsidP="006608B6">
            <w:pPr>
              <w:keepNext/>
              <w:keepLines/>
            </w:pPr>
            <w:r w:rsidRPr="004663D3">
              <w:t xml:space="preserve"> </w:t>
            </w:r>
          </w:p>
        </w:tc>
        <w:tc>
          <w:tcPr>
            <w:tcW w:w="1800" w:type="dxa"/>
          </w:tcPr>
          <w:p w14:paraId="30D3A1CE" w14:textId="77777777" w:rsidR="006608B6" w:rsidRPr="004663D3" w:rsidRDefault="006608B6" w:rsidP="006608B6">
            <w:pPr>
              <w:keepNext/>
              <w:keepLines/>
              <w:jc w:val="center"/>
              <w:rPr>
                <w:b/>
                <w:bCs/>
              </w:rPr>
            </w:pPr>
            <w:r w:rsidRPr="004663D3">
              <w:rPr>
                <w:b/>
                <w:bCs/>
              </w:rPr>
              <w:t xml:space="preserve"> 1 200 mg IV</w:t>
            </w:r>
          </w:p>
        </w:tc>
        <w:tc>
          <w:tcPr>
            <w:tcW w:w="1800" w:type="dxa"/>
          </w:tcPr>
          <w:p w14:paraId="41F32138" w14:textId="77777777" w:rsidR="006608B6" w:rsidRPr="004663D3" w:rsidRDefault="006608B6" w:rsidP="006608B6">
            <w:pPr>
              <w:keepNext/>
              <w:keepLines/>
              <w:jc w:val="center"/>
              <w:rPr>
                <w:b/>
                <w:bCs/>
              </w:rPr>
            </w:pPr>
            <w:r w:rsidRPr="004663D3">
              <w:rPr>
                <w:b/>
                <w:bCs/>
              </w:rPr>
              <w:t>Placebo</w:t>
            </w:r>
          </w:p>
        </w:tc>
        <w:tc>
          <w:tcPr>
            <w:tcW w:w="1710" w:type="dxa"/>
          </w:tcPr>
          <w:p w14:paraId="274E42D4" w14:textId="77777777" w:rsidR="006608B6" w:rsidRPr="004663D3" w:rsidRDefault="006608B6" w:rsidP="006608B6">
            <w:pPr>
              <w:keepNext/>
              <w:keepLines/>
              <w:jc w:val="center"/>
              <w:rPr>
                <w:b/>
                <w:bCs/>
              </w:rPr>
            </w:pPr>
            <w:r w:rsidRPr="004663D3">
              <w:rPr>
                <w:b/>
                <w:bCs/>
              </w:rPr>
              <w:t>2 400 mg IV</w:t>
            </w:r>
          </w:p>
        </w:tc>
        <w:tc>
          <w:tcPr>
            <w:tcW w:w="1710" w:type="dxa"/>
          </w:tcPr>
          <w:p w14:paraId="00667E8F" w14:textId="77777777" w:rsidR="006608B6" w:rsidRPr="004663D3" w:rsidRDefault="006608B6" w:rsidP="006608B6">
            <w:pPr>
              <w:keepNext/>
              <w:keepLines/>
              <w:jc w:val="center"/>
              <w:rPr>
                <w:b/>
                <w:bCs/>
              </w:rPr>
            </w:pPr>
            <w:r w:rsidRPr="004663D3">
              <w:rPr>
                <w:b/>
                <w:bCs/>
              </w:rPr>
              <w:t>Placebo</w:t>
            </w:r>
          </w:p>
        </w:tc>
      </w:tr>
      <w:tr w:rsidR="006608B6" w:rsidRPr="004663D3" w14:paraId="1A29BB36" w14:textId="77777777" w:rsidTr="006608B6">
        <w:tc>
          <w:tcPr>
            <w:tcW w:w="2515" w:type="dxa"/>
            <w:vMerge/>
          </w:tcPr>
          <w:p w14:paraId="05161035" w14:textId="77777777" w:rsidR="006608B6" w:rsidRPr="004663D3" w:rsidRDefault="006608B6" w:rsidP="006608B6">
            <w:pPr>
              <w:keepNext/>
              <w:keepLines/>
            </w:pPr>
          </w:p>
        </w:tc>
        <w:tc>
          <w:tcPr>
            <w:tcW w:w="1800" w:type="dxa"/>
          </w:tcPr>
          <w:p w14:paraId="3A786718" w14:textId="77777777" w:rsidR="006608B6" w:rsidRPr="004663D3" w:rsidRDefault="006608B6" w:rsidP="006608B6">
            <w:pPr>
              <w:keepNext/>
              <w:keepLines/>
              <w:jc w:val="center"/>
              <w:rPr>
                <w:b/>
                <w:bCs/>
              </w:rPr>
            </w:pPr>
            <w:r w:rsidRPr="004663D3">
              <w:t>n = 736</w:t>
            </w:r>
          </w:p>
        </w:tc>
        <w:tc>
          <w:tcPr>
            <w:tcW w:w="1800" w:type="dxa"/>
          </w:tcPr>
          <w:p w14:paraId="3817D325" w14:textId="77777777" w:rsidR="006608B6" w:rsidRPr="004663D3" w:rsidRDefault="006608B6" w:rsidP="006608B6">
            <w:pPr>
              <w:keepNext/>
              <w:keepLines/>
              <w:jc w:val="center"/>
              <w:rPr>
                <w:b/>
                <w:bCs/>
              </w:rPr>
            </w:pPr>
            <w:r w:rsidRPr="004663D3">
              <w:t>n = 748</w:t>
            </w:r>
          </w:p>
        </w:tc>
        <w:tc>
          <w:tcPr>
            <w:tcW w:w="1710" w:type="dxa"/>
          </w:tcPr>
          <w:p w14:paraId="050BFA9A" w14:textId="77777777" w:rsidR="006608B6" w:rsidRPr="004663D3" w:rsidRDefault="006608B6" w:rsidP="006608B6">
            <w:pPr>
              <w:keepNext/>
              <w:keepLines/>
              <w:jc w:val="center"/>
              <w:rPr>
                <w:b/>
                <w:bCs/>
              </w:rPr>
            </w:pPr>
            <w:r w:rsidRPr="004663D3">
              <w:t>n = 1 355</w:t>
            </w:r>
          </w:p>
        </w:tc>
        <w:tc>
          <w:tcPr>
            <w:tcW w:w="1710" w:type="dxa"/>
          </w:tcPr>
          <w:p w14:paraId="3799965A" w14:textId="77777777" w:rsidR="006608B6" w:rsidRPr="004663D3" w:rsidRDefault="006608B6" w:rsidP="006608B6">
            <w:pPr>
              <w:keepNext/>
              <w:keepLines/>
              <w:jc w:val="center"/>
              <w:rPr>
                <w:b/>
                <w:bCs/>
              </w:rPr>
            </w:pPr>
            <w:r w:rsidRPr="004663D3">
              <w:t>n = 1 341</w:t>
            </w:r>
          </w:p>
        </w:tc>
      </w:tr>
      <w:tr w:rsidR="006608B6" w:rsidRPr="004663D3" w14:paraId="68D4C265" w14:textId="77777777" w:rsidTr="006608B6">
        <w:tc>
          <w:tcPr>
            <w:tcW w:w="9535" w:type="dxa"/>
            <w:gridSpan w:val="5"/>
            <w:shd w:val="clear" w:color="auto" w:fill="FFFFFF" w:themeFill="background1"/>
          </w:tcPr>
          <w:p w14:paraId="4DFFC927" w14:textId="77777777" w:rsidR="006608B6" w:rsidRPr="004663D3" w:rsidRDefault="006608B6" w:rsidP="006608B6">
            <w:pPr>
              <w:keepNext/>
              <w:keepLines/>
            </w:pPr>
            <w:r w:rsidRPr="004663D3">
              <w:rPr>
                <w:b/>
                <w:bCs/>
              </w:rPr>
              <w:t>Patients with ≥1 COVID-19-related hospitalisation or death through day 29</w:t>
            </w:r>
          </w:p>
        </w:tc>
      </w:tr>
      <w:tr w:rsidR="006608B6" w:rsidRPr="004663D3" w14:paraId="7DA97EC9" w14:textId="77777777" w:rsidTr="006608B6">
        <w:tc>
          <w:tcPr>
            <w:tcW w:w="2515" w:type="dxa"/>
          </w:tcPr>
          <w:p w14:paraId="453285BE" w14:textId="77777777" w:rsidR="006608B6" w:rsidRPr="004663D3" w:rsidRDefault="006608B6" w:rsidP="006608B6">
            <w:pPr>
              <w:keepNext/>
              <w:keepLines/>
            </w:pPr>
            <w:r w:rsidRPr="004663D3">
              <w:t xml:space="preserve">Risk reduction </w:t>
            </w:r>
          </w:p>
        </w:tc>
        <w:tc>
          <w:tcPr>
            <w:tcW w:w="3600" w:type="dxa"/>
            <w:gridSpan w:val="2"/>
          </w:tcPr>
          <w:p w14:paraId="3E4196D3" w14:textId="77777777" w:rsidR="006608B6" w:rsidRPr="004663D3" w:rsidRDefault="006608B6" w:rsidP="006608B6">
            <w:pPr>
              <w:keepNext/>
              <w:keepLines/>
              <w:jc w:val="center"/>
            </w:pPr>
            <w:r w:rsidRPr="004663D3">
              <w:t>70%</w:t>
            </w:r>
          </w:p>
          <w:p w14:paraId="7543FD75" w14:textId="77777777" w:rsidR="006608B6" w:rsidRPr="004663D3" w:rsidRDefault="006608B6" w:rsidP="006608B6">
            <w:pPr>
              <w:keepNext/>
              <w:keepLines/>
              <w:jc w:val="center"/>
            </w:pPr>
            <w:r w:rsidRPr="004663D3">
              <w:t>(p = 0.0024)</w:t>
            </w:r>
          </w:p>
        </w:tc>
        <w:tc>
          <w:tcPr>
            <w:tcW w:w="3420" w:type="dxa"/>
            <w:gridSpan w:val="2"/>
          </w:tcPr>
          <w:p w14:paraId="4C5F656B" w14:textId="77777777" w:rsidR="006608B6" w:rsidRPr="004663D3" w:rsidRDefault="006608B6" w:rsidP="006608B6">
            <w:pPr>
              <w:keepNext/>
              <w:keepLines/>
              <w:jc w:val="center"/>
            </w:pPr>
            <w:r w:rsidRPr="004663D3">
              <w:t>71%</w:t>
            </w:r>
          </w:p>
          <w:p w14:paraId="02C293B7" w14:textId="77777777" w:rsidR="006608B6" w:rsidRPr="004663D3" w:rsidRDefault="006608B6" w:rsidP="006608B6">
            <w:pPr>
              <w:keepNext/>
              <w:keepLines/>
              <w:jc w:val="center"/>
            </w:pPr>
            <w:r w:rsidRPr="004663D3">
              <w:t>(p &lt; 0.0001)</w:t>
            </w:r>
          </w:p>
        </w:tc>
      </w:tr>
      <w:tr w:rsidR="006608B6" w:rsidRPr="004663D3" w14:paraId="135DBB9F" w14:textId="77777777" w:rsidTr="006608B6">
        <w:tc>
          <w:tcPr>
            <w:tcW w:w="2515" w:type="dxa"/>
          </w:tcPr>
          <w:p w14:paraId="6A71E4C6" w14:textId="151E148D" w:rsidR="006608B6" w:rsidRPr="004663D3" w:rsidRDefault="006608B6" w:rsidP="006608B6">
            <w:pPr>
              <w:keepNext/>
              <w:keepLines/>
            </w:pPr>
            <w:r>
              <w:t>Number</w:t>
            </w:r>
            <w:r w:rsidRPr="004663D3">
              <w:t xml:space="preserve"> of patients with events</w:t>
            </w:r>
          </w:p>
        </w:tc>
        <w:tc>
          <w:tcPr>
            <w:tcW w:w="1800" w:type="dxa"/>
          </w:tcPr>
          <w:p w14:paraId="2E626529" w14:textId="77777777" w:rsidR="006608B6" w:rsidRPr="004663D3" w:rsidRDefault="006608B6" w:rsidP="006608B6">
            <w:pPr>
              <w:keepNext/>
              <w:keepLines/>
              <w:jc w:val="center"/>
            </w:pPr>
            <w:r w:rsidRPr="004663D3">
              <w:t>7 (1.0%)</w:t>
            </w:r>
          </w:p>
        </w:tc>
        <w:tc>
          <w:tcPr>
            <w:tcW w:w="1800" w:type="dxa"/>
          </w:tcPr>
          <w:p w14:paraId="0FCF9895" w14:textId="77777777" w:rsidR="006608B6" w:rsidRPr="004663D3" w:rsidRDefault="006608B6" w:rsidP="006608B6">
            <w:pPr>
              <w:keepNext/>
              <w:keepLines/>
              <w:jc w:val="center"/>
            </w:pPr>
            <w:r w:rsidRPr="004663D3">
              <w:t>24 (3.2%)</w:t>
            </w:r>
          </w:p>
        </w:tc>
        <w:tc>
          <w:tcPr>
            <w:tcW w:w="1710" w:type="dxa"/>
          </w:tcPr>
          <w:p w14:paraId="2A1D58EF" w14:textId="77777777" w:rsidR="006608B6" w:rsidRPr="004663D3" w:rsidRDefault="006608B6" w:rsidP="006608B6">
            <w:pPr>
              <w:keepNext/>
              <w:keepLines/>
              <w:jc w:val="center"/>
            </w:pPr>
            <w:r w:rsidRPr="004663D3">
              <w:t>18 (1.3%)</w:t>
            </w:r>
          </w:p>
        </w:tc>
        <w:tc>
          <w:tcPr>
            <w:tcW w:w="1710" w:type="dxa"/>
          </w:tcPr>
          <w:p w14:paraId="42E98345" w14:textId="77777777" w:rsidR="006608B6" w:rsidRPr="004663D3" w:rsidRDefault="006608B6" w:rsidP="006608B6">
            <w:pPr>
              <w:keepNext/>
              <w:keepLines/>
              <w:jc w:val="center"/>
            </w:pPr>
            <w:r w:rsidRPr="004663D3">
              <w:t>62 (4.6%)</w:t>
            </w:r>
          </w:p>
        </w:tc>
      </w:tr>
    </w:tbl>
    <w:p w14:paraId="3C81244E" w14:textId="23AA8A7C" w:rsidR="006608B6" w:rsidRPr="006608B6" w:rsidRDefault="006608B6" w:rsidP="00BB43EC">
      <w:pPr>
        <w:keepNext/>
        <w:keepLines/>
        <w:autoSpaceDE w:val="0"/>
        <w:autoSpaceDN w:val="0"/>
        <w:adjustRightInd w:val="0"/>
        <w:rPr>
          <w:sz w:val="22"/>
          <w:szCs w:val="22"/>
        </w:rPr>
      </w:pPr>
      <w:proofErr w:type="spellStart"/>
      <w:r w:rsidRPr="006608B6">
        <w:rPr>
          <w:sz w:val="22"/>
          <w:szCs w:val="22"/>
        </w:rPr>
        <w:t>mFAS</w:t>
      </w:r>
      <w:proofErr w:type="spellEnd"/>
      <w:r w:rsidRPr="006608B6">
        <w:rPr>
          <w:sz w:val="22"/>
          <w:szCs w:val="22"/>
        </w:rPr>
        <w:t xml:space="preserve">: modified full analysis set included those subjects with a positive SARS-CoV-2 RT-qPCR result from nasopharyngeal (NP) swab at randomisation, and with at least one risk factor for severe COVID-19. </w:t>
      </w:r>
    </w:p>
    <w:p w14:paraId="1BB6B4ED" w14:textId="77777777" w:rsidR="00BB43EC" w:rsidRPr="004663D3" w:rsidRDefault="00BB43EC" w:rsidP="00BB43EC">
      <w:pPr>
        <w:autoSpaceDE w:val="0"/>
        <w:autoSpaceDN w:val="0"/>
        <w:adjustRightInd w:val="0"/>
      </w:pPr>
    </w:p>
    <w:p w14:paraId="7D41C06C" w14:textId="138CC586" w:rsidR="00F222DB" w:rsidRDefault="00BB43EC" w:rsidP="00BB43EC">
      <w:pPr>
        <w:keepNext/>
        <w:spacing w:line="300" w:lineRule="atLeast"/>
      </w:pPr>
      <w:r w:rsidRPr="004663D3">
        <w:t>O</w:t>
      </w:r>
      <w:r w:rsidRPr="007535E3">
        <w:t xml:space="preserve">verall, similar effects were observed for </w:t>
      </w:r>
      <w:proofErr w:type="spellStart"/>
      <w:r w:rsidRPr="007535E3">
        <w:t>Ronapreve</w:t>
      </w:r>
      <w:proofErr w:type="spellEnd"/>
      <w:r w:rsidRPr="007535E3">
        <w:t xml:space="preserve"> 1 200 mg (600 mg of </w:t>
      </w:r>
      <w:proofErr w:type="spellStart"/>
      <w:r w:rsidRPr="007535E3">
        <w:t>casirivimab</w:t>
      </w:r>
      <w:proofErr w:type="spellEnd"/>
      <w:r w:rsidRPr="007535E3">
        <w:t xml:space="preserve"> and 600 mg of </w:t>
      </w:r>
      <w:proofErr w:type="spellStart"/>
      <w:r w:rsidRPr="007535E3">
        <w:t>imdevimab</w:t>
      </w:r>
      <w:proofErr w:type="spellEnd"/>
      <w:r w:rsidRPr="007535E3">
        <w:t xml:space="preserve">) and </w:t>
      </w:r>
      <w:proofErr w:type="spellStart"/>
      <w:r w:rsidRPr="007535E3">
        <w:t>Ronapreve</w:t>
      </w:r>
      <w:proofErr w:type="spellEnd"/>
      <w:r w:rsidRPr="007535E3">
        <w:t xml:space="preserve"> 2 400 mg (1 200 mg of </w:t>
      </w:r>
      <w:proofErr w:type="spellStart"/>
      <w:r w:rsidRPr="007535E3">
        <w:t>casirivimab</w:t>
      </w:r>
      <w:proofErr w:type="spellEnd"/>
      <w:r w:rsidRPr="007535E3">
        <w:t xml:space="preserve"> and 1 200 mg of </w:t>
      </w:r>
      <w:proofErr w:type="spellStart"/>
      <w:r w:rsidRPr="007535E3">
        <w:t>imdevimab</w:t>
      </w:r>
      <w:proofErr w:type="spellEnd"/>
      <w:r w:rsidRPr="007535E3">
        <w:t>) doses, indicating the absence of a dose effect. Results were consistent across subgroups of patients defined by nasopharyngeal viral load &gt; 10</w:t>
      </w:r>
      <w:r w:rsidRPr="007535E3">
        <w:rPr>
          <w:vertAlign w:val="superscript"/>
        </w:rPr>
        <w:t>6</w:t>
      </w:r>
      <w:r w:rsidRPr="007535E3">
        <w:t xml:space="preserve"> copies/mL at baseline or serologic status.</w:t>
      </w:r>
    </w:p>
    <w:p w14:paraId="32EF8B0C" w14:textId="42D386CF" w:rsidR="00BB43EC" w:rsidRDefault="00BB43EC" w:rsidP="00BB43EC">
      <w:pPr>
        <w:keepNext/>
        <w:spacing w:line="300" w:lineRule="atLeast"/>
      </w:pPr>
    </w:p>
    <w:p w14:paraId="4075E227" w14:textId="77777777" w:rsidR="00BB43EC" w:rsidRPr="00BB43EC" w:rsidRDefault="00BB43EC" w:rsidP="00BB43EC">
      <w:pPr>
        <w:autoSpaceDE w:val="0"/>
        <w:autoSpaceDN w:val="0"/>
        <w:adjustRightInd w:val="0"/>
        <w:rPr>
          <w:bCs/>
          <w:i/>
          <w:u w:val="single"/>
        </w:rPr>
      </w:pPr>
      <w:r w:rsidRPr="00BB43EC">
        <w:rPr>
          <w:bCs/>
          <w:i/>
          <w:u w:val="single"/>
        </w:rPr>
        <w:t>Key Secondary Endpoints</w:t>
      </w:r>
    </w:p>
    <w:p w14:paraId="79A67AA7" w14:textId="77777777" w:rsidR="00BB43EC" w:rsidRPr="004663D3" w:rsidRDefault="00BB43EC" w:rsidP="00BB43EC">
      <w:pPr>
        <w:autoSpaceDE w:val="0"/>
        <w:autoSpaceDN w:val="0"/>
        <w:adjustRightInd w:val="0"/>
        <w:rPr>
          <w:i/>
        </w:rPr>
      </w:pPr>
      <w:r w:rsidRPr="004663D3">
        <w:rPr>
          <w:i/>
        </w:rPr>
        <w:t>Time to COVID-19 symptom resolution</w:t>
      </w:r>
    </w:p>
    <w:p w14:paraId="5B932D41" w14:textId="10A0413F" w:rsidR="006608B6" w:rsidRDefault="006608B6" w:rsidP="006608B6">
      <w:pPr>
        <w:spacing w:before="76"/>
        <w:ind w:right="1174"/>
      </w:pPr>
      <w:r w:rsidRPr="007535E3">
        <w:t xml:space="preserve">The median time to symptom resolution, as recorded in a trial specific daily symptom diary, was reduced from 14 days with placebo to 10 days with both doses of </w:t>
      </w:r>
      <w:proofErr w:type="spellStart"/>
      <w:r w:rsidRPr="007535E3">
        <w:t>casirivimab</w:t>
      </w:r>
      <w:proofErr w:type="spellEnd"/>
      <w:r w:rsidRPr="007535E3">
        <w:t xml:space="preserve"> and </w:t>
      </w:r>
      <w:proofErr w:type="spellStart"/>
      <w:r w:rsidRPr="007535E3">
        <w:t>imdevimab</w:t>
      </w:r>
      <w:proofErr w:type="spellEnd"/>
      <w:r w:rsidRPr="007535E3">
        <w:t xml:space="preserve"> (p&lt;0.0001).</w:t>
      </w:r>
    </w:p>
    <w:p w14:paraId="674E1780" w14:textId="77777777" w:rsidR="00BB43EC" w:rsidRPr="004663D3" w:rsidRDefault="00BB43EC" w:rsidP="00BB43EC">
      <w:pPr>
        <w:pStyle w:val="C-MW-BodyText"/>
        <w:keepNext/>
        <w:keepLines/>
        <w:spacing w:before="0" w:after="0"/>
        <w:rPr>
          <w:szCs w:val="24"/>
        </w:rPr>
      </w:pPr>
    </w:p>
    <w:p w14:paraId="39E878B2" w14:textId="77777777" w:rsidR="00BB43EC" w:rsidRPr="004663D3" w:rsidRDefault="00BB43EC" w:rsidP="00BB43EC">
      <w:r w:rsidRPr="004663D3">
        <w:t>For the primary and key secondary endpoints, results were consistent across subgroups of patients defined by nasopharyngeal viral load &gt; 10</w:t>
      </w:r>
      <w:r w:rsidRPr="004663D3">
        <w:rPr>
          <w:vertAlign w:val="superscript"/>
        </w:rPr>
        <w:t>6</w:t>
      </w:r>
      <w:r w:rsidRPr="004663D3">
        <w:t xml:space="preserve"> copies/mL at baseline or serologic status.</w:t>
      </w:r>
    </w:p>
    <w:p w14:paraId="79802F9E" w14:textId="77777777" w:rsidR="00BB43EC" w:rsidRPr="004663D3" w:rsidRDefault="00BB43EC" w:rsidP="00BB43EC">
      <w:pPr>
        <w:pStyle w:val="Heading4"/>
      </w:pPr>
      <w:r w:rsidRPr="004663D3">
        <w:t>Prevention of COVID-19</w:t>
      </w:r>
    </w:p>
    <w:p w14:paraId="01DE8CBC" w14:textId="7DBAA224" w:rsidR="00BB43EC" w:rsidRPr="004663D3" w:rsidRDefault="00BB43EC" w:rsidP="00BB43EC">
      <w:pPr>
        <w:rPr>
          <w:rFonts w:eastAsia="SimSun"/>
          <w:lang w:eastAsia="zh-CN"/>
        </w:rPr>
      </w:pPr>
      <w:r w:rsidRPr="004663D3">
        <w:rPr>
          <w:rFonts w:eastAsia="SimSun"/>
          <w:lang w:eastAsia="zh-CN"/>
        </w:rPr>
        <w:t xml:space="preserve">The data supporting prevention of COVID-19 are based on the efficacy analysis of data from the Phase 3 COV-2069 trial. This is a randomised, double-blind, placebo-controlled clinical trial </w:t>
      </w:r>
      <w:r w:rsidR="00B95264">
        <w:rPr>
          <w:rFonts w:eastAsia="SimSun"/>
          <w:lang w:eastAsia="zh-CN"/>
        </w:rPr>
        <w:t>of</w:t>
      </w:r>
      <w:r w:rsidR="00B95264" w:rsidRPr="004663D3">
        <w:rPr>
          <w:rFonts w:eastAsia="SimSun"/>
          <w:lang w:eastAsia="zh-CN"/>
        </w:rPr>
        <w:t xml:space="preserve"> </w:t>
      </w:r>
      <w:proofErr w:type="spellStart"/>
      <w:r w:rsidRPr="004663D3">
        <w:rPr>
          <w:rFonts w:eastAsia="SimSun"/>
          <w:lang w:eastAsia="zh-CN"/>
        </w:rPr>
        <w:t>Ronapreve</w:t>
      </w:r>
      <w:proofErr w:type="spellEnd"/>
      <w:r w:rsidRPr="004663D3">
        <w:rPr>
          <w:rFonts w:eastAsia="SimSun"/>
          <w:lang w:eastAsia="zh-CN"/>
        </w:rPr>
        <w:t xml:space="preserve"> (</w:t>
      </w:r>
      <w:proofErr w:type="spellStart"/>
      <w:r w:rsidRPr="004663D3">
        <w:rPr>
          <w:rFonts w:eastAsia="SimSun"/>
          <w:lang w:eastAsia="zh-CN"/>
        </w:rPr>
        <w:t>casirivimab</w:t>
      </w:r>
      <w:proofErr w:type="spellEnd"/>
      <w:r w:rsidRPr="004663D3">
        <w:rPr>
          <w:rFonts w:eastAsia="SimSun"/>
          <w:lang w:eastAsia="zh-CN"/>
        </w:rPr>
        <w:t xml:space="preserve"> and </w:t>
      </w:r>
      <w:proofErr w:type="spellStart"/>
      <w:r w:rsidRPr="004663D3">
        <w:rPr>
          <w:rFonts w:eastAsia="SimSun"/>
          <w:lang w:eastAsia="zh-CN"/>
        </w:rPr>
        <w:t>imdevimab</w:t>
      </w:r>
      <w:proofErr w:type="spellEnd"/>
      <w:r w:rsidRPr="004663D3">
        <w:rPr>
          <w:rFonts w:eastAsia="SimSun"/>
          <w:lang w:eastAsia="zh-CN"/>
        </w:rPr>
        <w:t>) for prevention of COVID-19 in household contacts of individuals infected with SARS-CoV-2 (index case).</w:t>
      </w:r>
    </w:p>
    <w:p w14:paraId="51C9B7CD" w14:textId="77777777" w:rsidR="00BB43EC" w:rsidRPr="004663D3" w:rsidRDefault="00BB43EC" w:rsidP="00BB43EC">
      <w:pPr>
        <w:rPr>
          <w:rFonts w:eastAsia="SimSun"/>
        </w:rPr>
      </w:pPr>
    </w:p>
    <w:p w14:paraId="429D1375" w14:textId="6AC9E39C" w:rsidR="00BB43EC" w:rsidRDefault="00BB43EC" w:rsidP="00BB43EC">
      <w:pPr>
        <w:rPr>
          <w:rFonts w:eastAsia="SimSun"/>
          <w:lang w:eastAsia="zh-CN"/>
        </w:rPr>
      </w:pPr>
      <w:r w:rsidRPr="004663D3">
        <w:rPr>
          <w:rFonts w:eastAsia="SimSun"/>
          <w:lang w:eastAsia="zh-CN"/>
        </w:rPr>
        <w:t xml:space="preserve">The trial enrolled subjects who were asymptomatic and who lived in the same household with a SARS-CoV-2 infected patient. Subjects were randomised 1:1 to a single dose of </w:t>
      </w:r>
      <w:proofErr w:type="spellStart"/>
      <w:r w:rsidRPr="004663D3">
        <w:rPr>
          <w:rFonts w:eastAsia="SimSun"/>
          <w:lang w:eastAsia="zh-CN"/>
        </w:rPr>
        <w:t>Ronapreve</w:t>
      </w:r>
      <w:proofErr w:type="spellEnd"/>
      <w:r w:rsidRPr="004663D3">
        <w:rPr>
          <w:rFonts w:eastAsia="SimSun"/>
          <w:lang w:eastAsia="zh-CN"/>
        </w:rPr>
        <w:t xml:space="preserve"> 1 200 mg (600 mg of </w:t>
      </w:r>
      <w:proofErr w:type="spellStart"/>
      <w:r w:rsidRPr="004663D3">
        <w:rPr>
          <w:rFonts w:eastAsia="SimSun"/>
          <w:lang w:eastAsia="zh-CN"/>
        </w:rPr>
        <w:t>casirivimab</w:t>
      </w:r>
      <w:proofErr w:type="spellEnd"/>
      <w:r w:rsidRPr="004663D3">
        <w:rPr>
          <w:rFonts w:eastAsia="SimSun"/>
          <w:lang w:eastAsia="zh-CN"/>
        </w:rPr>
        <w:t xml:space="preserve"> and 600 mg of </w:t>
      </w:r>
      <w:proofErr w:type="spellStart"/>
      <w:r w:rsidRPr="004663D3">
        <w:rPr>
          <w:rFonts w:eastAsia="SimSun"/>
          <w:lang w:eastAsia="zh-CN"/>
        </w:rPr>
        <w:t>imdevimab</w:t>
      </w:r>
      <w:proofErr w:type="spellEnd"/>
      <w:r w:rsidRPr="004663D3">
        <w:rPr>
          <w:rFonts w:eastAsia="SimSun"/>
          <w:lang w:eastAsia="zh-CN"/>
        </w:rPr>
        <w:t>) or placebo administered subcutaneously within 96 hours of collection of the</w:t>
      </w:r>
      <w:r w:rsidR="00B95264">
        <w:rPr>
          <w:rFonts w:eastAsia="SimSun"/>
          <w:lang w:eastAsia="zh-CN"/>
        </w:rPr>
        <w:t xml:space="preserve"> first</w:t>
      </w:r>
      <w:r w:rsidRPr="004663D3">
        <w:rPr>
          <w:rFonts w:eastAsia="SimSun"/>
          <w:lang w:eastAsia="zh-CN"/>
        </w:rPr>
        <w:t xml:space="preserve"> index case</w:t>
      </w:r>
      <w:r w:rsidR="00B95264">
        <w:rPr>
          <w:rFonts w:eastAsia="SimSun"/>
          <w:lang w:eastAsia="zh-CN"/>
        </w:rPr>
        <w:t xml:space="preserve"> sample that gave a</w:t>
      </w:r>
      <w:r w:rsidRPr="004663D3">
        <w:rPr>
          <w:rFonts w:eastAsia="SimSun"/>
          <w:lang w:eastAsia="zh-CN"/>
        </w:rPr>
        <w:t xml:space="preserve"> positive</w:t>
      </w:r>
      <w:r w:rsidR="00B95264">
        <w:rPr>
          <w:rFonts w:eastAsia="SimSun"/>
          <w:lang w:eastAsia="zh-CN"/>
        </w:rPr>
        <w:t xml:space="preserve"> result (RT-qPCR) for</w:t>
      </w:r>
      <w:r w:rsidRPr="004663D3">
        <w:rPr>
          <w:rFonts w:eastAsia="SimSun"/>
          <w:lang w:eastAsia="zh-CN"/>
        </w:rPr>
        <w:t xml:space="preserve"> SARS-CoV-2. Subjects with a negative SARS-CoV-2 RT-qPCR test result, representing a mix </w:t>
      </w:r>
      <w:r w:rsidRPr="004663D3">
        <w:rPr>
          <w:rFonts w:eastAsia="SimSun"/>
          <w:lang w:eastAsia="zh-CN"/>
        </w:rPr>
        <w:lastRenderedPageBreak/>
        <w:t>of pre- and post-exposure prevention patients, joined Cohort A (2069-A). Subjects with a positive SARS-CoV-2 RT-qPCR test result, representing a cohort solely of post-exposure prevention patients, joined Cohort B (2069-B). Baseline serology test results were used to further define analysis populations (seronegative subjects were considered not to have a prior infection whereas seropositive subjects were considered to have a prior infection).</w:t>
      </w:r>
    </w:p>
    <w:p w14:paraId="3EFA1D16" w14:textId="77777777" w:rsidR="00BB43EC" w:rsidRPr="00BB43EC" w:rsidRDefault="00BB43EC" w:rsidP="00BB43EC">
      <w:pPr>
        <w:pStyle w:val="Heading5"/>
        <w:rPr>
          <w:u w:val="single"/>
        </w:rPr>
      </w:pPr>
      <w:r w:rsidRPr="00BB43EC">
        <w:rPr>
          <w:u w:val="single"/>
        </w:rPr>
        <w:t>Study COV-2069, Cohort A</w:t>
      </w:r>
    </w:p>
    <w:p w14:paraId="1C3AB2BB" w14:textId="77777777" w:rsidR="00BB43EC" w:rsidRPr="004663D3" w:rsidRDefault="00BB43EC" w:rsidP="00BB43EC">
      <w:pPr>
        <w:keepNext/>
        <w:keepLines/>
      </w:pPr>
      <w:r w:rsidRPr="004663D3">
        <w:t xml:space="preserve">Subjects with a negative SARS-CoV-2 RT-qPCR test result at baseline (n = 2 067) were enrolled and randomised. The primary analysis population included subjects who were SARS-CoV-2 RT-qPCR negative and seronegative at baseline. Subjects who were seropositive or who had undetermined/missing baseline serology were excluded from the primary efficacy analysis; a sensitivity analysis of the results regardless of baseline serostatus were also conducted. Of the 1 505 subjects in the primary analysis population, 753 subjects were randomised to receive </w:t>
      </w:r>
      <w:proofErr w:type="spellStart"/>
      <w:r w:rsidRPr="004663D3">
        <w:t>Ronapreve</w:t>
      </w:r>
      <w:proofErr w:type="spellEnd"/>
      <w:r w:rsidRPr="004663D3">
        <w:t xml:space="preserve"> and 752 subjects were randomised to placebo. Following randomisation and dosing, subjects had SARS</w:t>
      </w:r>
      <w:r w:rsidRPr="004663D3">
        <w:noBreakHyphen/>
        <w:t xml:space="preserve">CoV-2 RT-qPCR testing via a nasopharyngeal swab every 7 days as well as weekly interviews with the investigator for assessment of COVID-19 symptoms during the </w:t>
      </w:r>
      <w:proofErr w:type="gramStart"/>
      <w:r w:rsidRPr="004663D3">
        <w:t>28 day</w:t>
      </w:r>
      <w:proofErr w:type="gramEnd"/>
      <w:r w:rsidRPr="004663D3">
        <w:t xml:space="preserve"> efficacy assessment period. No data were collected on the type or extent of exposure to the index case.</w:t>
      </w:r>
    </w:p>
    <w:p w14:paraId="12E76C54" w14:textId="77777777" w:rsidR="00BB43EC" w:rsidRPr="004663D3" w:rsidRDefault="00BB43EC" w:rsidP="00BB43EC">
      <w:pPr>
        <w:autoSpaceDE w:val="0"/>
        <w:autoSpaceDN w:val="0"/>
        <w:adjustRightInd w:val="0"/>
      </w:pPr>
    </w:p>
    <w:p w14:paraId="5333956D" w14:textId="26467242" w:rsidR="00BB43EC" w:rsidRPr="004663D3" w:rsidRDefault="00BB43EC" w:rsidP="00BB43EC">
      <w:pPr>
        <w:autoSpaceDE w:val="0"/>
        <w:autoSpaceDN w:val="0"/>
        <w:adjustRightInd w:val="0"/>
      </w:pPr>
      <w:r w:rsidRPr="004663D3">
        <w:t xml:space="preserve">For the primary analysis population at baseline, the median age was 44 years (with 9% of subjects ages 65 years or older), 54% of the subjects were female, 86% were White, 9% were Black; 41% identified as Hispanic or Latino. The baseline demographics and disease characteristics were well balanced across the </w:t>
      </w:r>
      <w:proofErr w:type="spellStart"/>
      <w:r>
        <w:t>Ronapreve</w:t>
      </w:r>
      <w:proofErr w:type="spellEnd"/>
      <w:r w:rsidRPr="004663D3">
        <w:t xml:space="preserve"> and placebo treatment groups.</w:t>
      </w:r>
    </w:p>
    <w:p w14:paraId="7CF8584D" w14:textId="77777777" w:rsidR="00BB43EC" w:rsidRPr="004663D3" w:rsidRDefault="00BB43EC" w:rsidP="00BB43EC">
      <w:pPr>
        <w:autoSpaceDE w:val="0"/>
        <w:autoSpaceDN w:val="0"/>
        <w:adjustRightInd w:val="0"/>
      </w:pPr>
    </w:p>
    <w:p w14:paraId="5E607CC7" w14:textId="7EF60610" w:rsidR="00BB43EC" w:rsidRPr="004663D3" w:rsidRDefault="00BB43EC" w:rsidP="00BB43EC">
      <w:pPr>
        <w:textAlignment w:val="baseline"/>
      </w:pPr>
      <w:r w:rsidRPr="004663D3">
        <w:t xml:space="preserve">The primary efficacy endpoint was the proportion of subjects who developed symptomatic RT qPCR-confirmed COVID-19 through Day 29. </w:t>
      </w:r>
      <w:r w:rsidRPr="004663D3">
        <w:rPr>
          <w:rFonts w:eastAsia="TimesNewRomanPSMT"/>
        </w:rPr>
        <w:t xml:space="preserve">In this population, there was a statistically significant 81% risk reduction in the development of COVID-19 with </w:t>
      </w:r>
      <w:proofErr w:type="spellStart"/>
      <w:r w:rsidRPr="004663D3">
        <w:rPr>
          <w:rFonts w:eastAsia="TimesNewRomanPSMT"/>
        </w:rPr>
        <w:t>Ronapreve</w:t>
      </w:r>
      <w:proofErr w:type="spellEnd"/>
      <w:r w:rsidRPr="004663D3">
        <w:rPr>
          <w:rFonts w:eastAsia="TimesNewRomanPSMT"/>
        </w:rPr>
        <w:t xml:space="preserve"> treatment versus placebo (see </w:t>
      </w:r>
      <w:r w:rsidRPr="004663D3">
        <w:rPr>
          <w:rStyle w:val="C-Hyperlink"/>
          <w:color w:val="auto"/>
        </w:rPr>
        <w:t xml:space="preserve">Table 10 and Figure </w:t>
      </w:r>
      <w:r w:rsidR="007535E3">
        <w:rPr>
          <w:rStyle w:val="C-Hyperlink"/>
          <w:color w:val="auto"/>
        </w:rPr>
        <w:t>2</w:t>
      </w:r>
      <w:r w:rsidRPr="004663D3">
        <w:rPr>
          <w:rStyle w:val="C-Hyperlink"/>
          <w:rFonts w:eastAsia="TimesNewRomanPSMT"/>
          <w:color w:val="auto"/>
        </w:rPr>
        <w:t>)</w:t>
      </w:r>
      <w:r w:rsidRPr="004663D3">
        <w:rPr>
          <w:rFonts w:eastAsia="TimesNewRomanPSMT"/>
        </w:rPr>
        <w:t>.</w:t>
      </w:r>
    </w:p>
    <w:p w14:paraId="45F5F611" w14:textId="77777777" w:rsidR="00BB43EC" w:rsidRPr="004663D3" w:rsidRDefault="00BB43EC" w:rsidP="00BB43EC">
      <w:pPr>
        <w:rPr>
          <w:rFonts w:eastAsia="SimSun"/>
          <w:lang w:eastAsia="zh-CN"/>
        </w:rPr>
      </w:pPr>
    </w:p>
    <w:p w14:paraId="429656FE" w14:textId="77777777" w:rsidR="00BB43EC" w:rsidRPr="004663D3" w:rsidRDefault="00BB43EC" w:rsidP="00BB43EC">
      <w:pPr>
        <w:pStyle w:val="C-TableHeader"/>
        <w:pageBreakBefore/>
        <w:spacing w:after="120"/>
        <w:ind w:left="1022" w:hanging="1022"/>
        <w:rPr>
          <w:sz w:val="24"/>
          <w:szCs w:val="24"/>
        </w:rPr>
      </w:pPr>
      <w:r w:rsidRPr="004663D3">
        <w:rPr>
          <w:sz w:val="24"/>
          <w:szCs w:val="24"/>
        </w:rPr>
        <w:lastRenderedPageBreak/>
        <w:t>Table 10</w:t>
      </w:r>
      <w:r>
        <w:rPr>
          <w:sz w:val="24"/>
          <w:szCs w:val="24"/>
        </w:rPr>
        <w:t xml:space="preserve">: </w:t>
      </w:r>
      <w:r w:rsidRPr="004663D3">
        <w:rPr>
          <w:sz w:val="24"/>
          <w:szCs w:val="24"/>
        </w:rPr>
        <w:t xml:space="preserve">Key </w:t>
      </w:r>
      <w:r>
        <w:rPr>
          <w:sz w:val="24"/>
          <w:szCs w:val="24"/>
        </w:rPr>
        <w:t>results from Phase 3 trial for the p</w:t>
      </w:r>
      <w:r w:rsidRPr="004663D3">
        <w:rPr>
          <w:sz w:val="24"/>
          <w:szCs w:val="24"/>
        </w:rPr>
        <w:t xml:space="preserve">revention of COVID-19 in </w:t>
      </w:r>
      <w:r>
        <w:rPr>
          <w:sz w:val="24"/>
          <w:szCs w:val="24"/>
        </w:rPr>
        <w:t>uninfected i</w:t>
      </w:r>
      <w:r w:rsidRPr="004663D3">
        <w:rPr>
          <w:sz w:val="24"/>
          <w:szCs w:val="24"/>
        </w:rPr>
        <w:t>ndividuals Study COV-2069, Cohort A</w:t>
      </w:r>
    </w:p>
    <w:tbl>
      <w:tblPr>
        <w:tblStyle w:val="TableGrid4"/>
        <w:tblW w:w="9625" w:type="dxa"/>
        <w:tblLook w:val="04A0" w:firstRow="1" w:lastRow="0" w:firstColumn="1" w:lastColumn="0" w:noHBand="0" w:noVBand="1"/>
      </w:tblPr>
      <w:tblGrid>
        <w:gridCol w:w="5485"/>
        <w:gridCol w:w="2250"/>
        <w:gridCol w:w="1890"/>
      </w:tblGrid>
      <w:tr w:rsidR="00BB43EC" w:rsidRPr="00BB43EC" w14:paraId="68607C94" w14:textId="77777777" w:rsidTr="00813E59">
        <w:trPr>
          <w:trHeight w:val="690"/>
          <w:tblHeader/>
        </w:trPr>
        <w:tc>
          <w:tcPr>
            <w:tcW w:w="5485" w:type="dxa"/>
          </w:tcPr>
          <w:p w14:paraId="1C9423EB" w14:textId="77777777" w:rsidR="00BB43EC" w:rsidRPr="00BB43EC" w:rsidRDefault="00BB43EC" w:rsidP="00813E59">
            <w:pPr>
              <w:keepNext/>
              <w:rPr>
                <w:sz w:val="22"/>
                <w:szCs w:val="22"/>
                <w:lang w:eastAsia="zh-CN"/>
              </w:rPr>
            </w:pPr>
          </w:p>
        </w:tc>
        <w:tc>
          <w:tcPr>
            <w:tcW w:w="2250" w:type="dxa"/>
          </w:tcPr>
          <w:p w14:paraId="7A32B972" w14:textId="77777777" w:rsidR="00BB43EC" w:rsidRPr="00BB43EC" w:rsidRDefault="00BB43EC" w:rsidP="00813E59">
            <w:pPr>
              <w:keepNext/>
              <w:jc w:val="center"/>
              <w:rPr>
                <w:b/>
                <w:bCs/>
                <w:sz w:val="22"/>
                <w:szCs w:val="22"/>
                <w:lang w:eastAsia="zh-CN"/>
              </w:rPr>
            </w:pPr>
            <w:proofErr w:type="spellStart"/>
            <w:r w:rsidRPr="00BB43EC">
              <w:rPr>
                <w:b/>
                <w:bCs/>
                <w:sz w:val="22"/>
                <w:szCs w:val="22"/>
                <w:lang w:eastAsia="zh-CN"/>
              </w:rPr>
              <w:t>Ronapreve</w:t>
            </w:r>
            <w:proofErr w:type="spellEnd"/>
          </w:p>
          <w:p w14:paraId="07014AC5" w14:textId="77777777" w:rsidR="00BB43EC" w:rsidRPr="00BB43EC" w:rsidRDefault="00BB43EC" w:rsidP="00813E59">
            <w:pPr>
              <w:keepNext/>
              <w:jc w:val="center"/>
              <w:rPr>
                <w:sz w:val="22"/>
                <w:szCs w:val="22"/>
                <w:lang w:eastAsia="zh-CN"/>
              </w:rPr>
            </w:pPr>
            <w:r w:rsidRPr="00BB43EC">
              <w:rPr>
                <w:sz w:val="22"/>
                <w:szCs w:val="22"/>
                <w:lang w:eastAsia="zh-CN"/>
              </w:rPr>
              <w:t xml:space="preserve"> (single 1 200 mg dose)</w:t>
            </w:r>
          </w:p>
        </w:tc>
        <w:tc>
          <w:tcPr>
            <w:tcW w:w="1890" w:type="dxa"/>
          </w:tcPr>
          <w:p w14:paraId="579E20E3" w14:textId="77777777" w:rsidR="00BB43EC" w:rsidRPr="00BB43EC" w:rsidRDefault="00BB43EC" w:rsidP="00813E59">
            <w:pPr>
              <w:keepNext/>
              <w:jc w:val="center"/>
              <w:rPr>
                <w:b/>
                <w:bCs/>
                <w:sz w:val="22"/>
                <w:szCs w:val="22"/>
                <w:lang w:eastAsia="zh-CN"/>
              </w:rPr>
            </w:pPr>
            <w:r w:rsidRPr="00BB43EC">
              <w:rPr>
                <w:b/>
                <w:bCs/>
                <w:sz w:val="22"/>
                <w:szCs w:val="22"/>
                <w:lang w:eastAsia="zh-CN"/>
              </w:rPr>
              <w:t>Placebo</w:t>
            </w:r>
          </w:p>
        </w:tc>
      </w:tr>
      <w:tr w:rsidR="00BB43EC" w:rsidRPr="00BB43EC" w14:paraId="523974E4" w14:textId="77777777" w:rsidTr="00813E59">
        <w:tc>
          <w:tcPr>
            <w:tcW w:w="5485" w:type="dxa"/>
            <w:shd w:val="clear" w:color="auto" w:fill="auto"/>
          </w:tcPr>
          <w:p w14:paraId="58982AFB" w14:textId="77777777" w:rsidR="00BB43EC" w:rsidRPr="00BB43EC" w:rsidRDefault="00BB43EC" w:rsidP="00813E59">
            <w:pPr>
              <w:keepNext/>
              <w:jc w:val="center"/>
              <w:rPr>
                <w:b/>
                <w:bCs/>
                <w:sz w:val="22"/>
                <w:szCs w:val="22"/>
                <w:lang w:eastAsia="zh-CN"/>
              </w:rPr>
            </w:pPr>
            <w:r w:rsidRPr="00BB43EC">
              <w:rPr>
                <w:b/>
                <w:bCs/>
                <w:sz w:val="22"/>
                <w:szCs w:val="22"/>
                <w:lang w:eastAsia="zh-CN"/>
              </w:rPr>
              <w:t>Primary Analysis Population: Seronegative at Baseline</w:t>
            </w:r>
          </w:p>
        </w:tc>
        <w:tc>
          <w:tcPr>
            <w:tcW w:w="2250" w:type="dxa"/>
            <w:shd w:val="clear" w:color="auto" w:fill="auto"/>
          </w:tcPr>
          <w:p w14:paraId="60B5CAA1" w14:textId="77777777" w:rsidR="00BB43EC" w:rsidRPr="00BB43EC" w:rsidRDefault="00BB43EC" w:rsidP="00813E59">
            <w:pPr>
              <w:keepNext/>
              <w:jc w:val="center"/>
              <w:rPr>
                <w:b/>
                <w:bCs/>
                <w:sz w:val="22"/>
                <w:szCs w:val="22"/>
                <w:lang w:eastAsia="zh-CN"/>
              </w:rPr>
            </w:pPr>
            <w:r w:rsidRPr="00BB43EC">
              <w:rPr>
                <w:sz w:val="22"/>
                <w:szCs w:val="22"/>
                <w:lang w:eastAsia="zh-CN"/>
              </w:rPr>
              <w:t>n = 753</w:t>
            </w:r>
          </w:p>
        </w:tc>
        <w:tc>
          <w:tcPr>
            <w:tcW w:w="1890" w:type="dxa"/>
            <w:shd w:val="clear" w:color="auto" w:fill="auto"/>
          </w:tcPr>
          <w:p w14:paraId="392B6E76" w14:textId="77777777" w:rsidR="00BB43EC" w:rsidRPr="00BB43EC" w:rsidRDefault="00BB43EC" w:rsidP="00813E59">
            <w:pPr>
              <w:keepNext/>
              <w:jc w:val="center"/>
              <w:rPr>
                <w:b/>
                <w:bCs/>
                <w:sz w:val="22"/>
                <w:szCs w:val="22"/>
                <w:lang w:eastAsia="zh-CN"/>
              </w:rPr>
            </w:pPr>
            <w:r w:rsidRPr="00BB43EC">
              <w:rPr>
                <w:sz w:val="22"/>
                <w:szCs w:val="22"/>
                <w:lang w:eastAsia="zh-CN"/>
              </w:rPr>
              <w:t>n = 752</w:t>
            </w:r>
          </w:p>
        </w:tc>
      </w:tr>
      <w:tr w:rsidR="00BB43EC" w:rsidRPr="00BB43EC" w14:paraId="7B877A4F" w14:textId="77777777" w:rsidTr="00813E59">
        <w:tc>
          <w:tcPr>
            <w:tcW w:w="9625" w:type="dxa"/>
            <w:gridSpan w:val="3"/>
            <w:shd w:val="clear" w:color="auto" w:fill="BFBFBF" w:themeFill="background1" w:themeFillShade="BF"/>
          </w:tcPr>
          <w:p w14:paraId="0146285F" w14:textId="77777777" w:rsidR="00BB43EC" w:rsidRPr="00BB43EC" w:rsidRDefault="00BB43EC" w:rsidP="00813E59">
            <w:pPr>
              <w:keepNext/>
              <w:rPr>
                <w:b/>
                <w:bCs/>
                <w:color w:val="FFFFFF" w:themeColor="background1"/>
                <w:sz w:val="22"/>
                <w:szCs w:val="22"/>
                <w:lang w:eastAsia="zh-CN"/>
              </w:rPr>
            </w:pPr>
            <w:r w:rsidRPr="00BB43EC">
              <w:rPr>
                <w:b/>
                <w:bCs/>
                <w:sz w:val="22"/>
                <w:szCs w:val="22"/>
                <w:lang w:eastAsia="zh-CN"/>
              </w:rPr>
              <w:t xml:space="preserve">Risk of COVID-19 </w:t>
            </w:r>
          </w:p>
        </w:tc>
      </w:tr>
      <w:tr w:rsidR="00BB43EC" w:rsidRPr="00BB43EC" w14:paraId="281169BF" w14:textId="77777777" w:rsidTr="00813E59">
        <w:tc>
          <w:tcPr>
            <w:tcW w:w="9625" w:type="dxa"/>
            <w:gridSpan w:val="3"/>
            <w:shd w:val="clear" w:color="auto" w:fill="F2F2F2" w:themeFill="background1" w:themeFillShade="F2"/>
          </w:tcPr>
          <w:p w14:paraId="176C1294" w14:textId="77777777" w:rsidR="00BB43EC" w:rsidRPr="00BB43EC" w:rsidRDefault="00BB43EC" w:rsidP="00813E59">
            <w:pPr>
              <w:keepNext/>
              <w:ind w:left="162"/>
              <w:rPr>
                <w:sz w:val="22"/>
                <w:szCs w:val="22"/>
                <w:lang w:eastAsia="zh-CN"/>
              </w:rPr>
            </w:pPr>
            <w:r w:rsidRPr="00BB43EC">
              <w:rPr>
                <w:b/>
                <w:bCs/>
                <w:color w:val="000000"/>
                <w:sz w:val="22"/>
                <w:szCs w:val="22"/>
                <w:lang w:eastAsia="zh-CN"/>
              </w:rPr>
              <w:t>Through Day 29 (primary endpoint)</w:t>
            </w:r>
          </w:p>
        </w:tc>
      </w:tr>
      <w:tr w:rsidR="00BB43EC" w:rsidRPr="00BB43EC" w14:paraId="3A648B46" w14:textId="77777777" w:rsidTr="00813E59">
        <w:tc>
          <w:tcPr>
            <w:tcW w:w="5485" w:type="dxa"/>
          </w:tcPr>
          <w:p w14:paraId="3F127DC8" w14:textId="77777777" w:rsidR="00BB43EC" w:rsidRPr="00BB43EC" w:rsidRDefault="00BB43EC" w:rsidP="00813E59">
            <w:pPr>
              <w:ind w:left="342"/>
              <w:rPr>
                <w:sz w:val="22"/>
                <w:szCs w:val="22"/>
                <w:lang w:eastAsia="zh-CN"/>
              </w:rPr>
            </w:pPr>
            <w:r w:rsidRPr="00BB43EC">
              <w:rPr>
                <w:sz w:val="22"/>
                <w:szCs w:val="22"/>
                <w:lang w:eastAsia="zh-CN"/>
              </w:rPr>
              <w:t xml:space="preserve">Risk reduction </w:t>
            </w:r>
          </w:p>
          <w:p w14:paraId="437040BE" w14:textId="77777777" w:rsidR="00BB43EC" w:rsidRPr="00BB43EC" w:rsidRDefault="00BB43EC" w:rsidP="00813E59">
            <w:pPr>
              <w:ind w:left="342"/>
              <w:rPr>
                <w:sz w:val="22"/>
                <w:szCs w:val="22"/>
                <w:vertAlign w:val="superscript"/>
                <w:lang w:eastAsia="zh-CN"/>
              </w:rPr>
            </w:pPr>
            <w:r w:rsidRPr="00BB43EC">
              <w:rPr>
                <w:sz w:val="22"/>
                <w:szCs w:val="22"/>
                <w:lang w:eastAsia="zh-CN"/>
              </w:rPr>
              <w:t>(Odds ratio, p-Value)</w:t>
            </w:r>
          </w:p>
        </w:tc>
        <w:tc>
          <w:tcPr>
            <w:tcW w:w="4140" w:type="dxa"/>
            <w:gridSpan w:val="2"/>
          </w:tcPr>
          <w:p w14:paraId="44707FC1" w14:textId="77777777" w:rsidR="00BB43EC" w:rsidRPr="00BB43EC" w:rsidRDefault="00BB43EC" w:rsidP="00813E59">
            <w:pPr>
              <w:ind w:left="162"/>
              <w:jc w:val="center"/>
              <w:rPr>
                <w:sz w:val="22"/>
                <w:szCs w:val="22"/>
                <w:lang w:eastAsia="zh-CN"/>
              </w:rPr>
            </w:pPr>
            <w:r w:rsidRPr="00BB43EC">
              <w:rPr>
                <w:sz w:val="22"/>
                <w:szCs w:val="22"/>
                <w:lang w:eastAsia="zh-CN"/>
              </w:rPr>
              <w:t>81%</w:t>
            </w:r>
          </w:p>
          <w:p w14:paraId="2AE1FAF0" w14:textId="77777777" w:rsidR="00BB43EC" w:rsidRPr="00BB43EC" w:rsidRDefault="00BB43EC" w:rsidP="00813E59">
            <w:pPr>
              <w:ind w:left="162"/>
              <w:jc w:val="center"/>
              <w:rPr>
                <w:sz w:val="22"/>
                <w:szCs w:val="22"/>
                <w:lang w:eastAsia="zh-CN"/>
              </w:rPr>
            </w:pPr>
            <w:r w:rsidRPr="00BB43EC">
              <w:rPr>
                <w:sz w:val="22"/>
                <w:szCs w:val="22"/>
                <w:lang w:eastAsia="zh-CN"/>
              </w:rPr>
              <w:t>(0.17; p &lt; 0.0001)</w:t>
            </w:r>
          </w:p>
        </w:tc>
      </w:tr>
      <w:tr w:rsidR="00BB43EC" w:rsidRPr="00BB43EC" w14:paraId="214A8871" w14:textId="77777777" w:rsidTr="00813E59">
        <w:tc>
          <w:tcPr>
            <w:tcW w:w="5485" w:type="dxa"/>
          </w:tcPr>
          <w:p w14:paraId="3E3FDE36" w14:textId="77777777" w:rsidR="00BB43EC" w:rsidRPr="00BB43EC" w:rsidRDefault="00BB43EC" w:rsidP="00813E59">
            <w:pPr>
              <w:ind w:left="342"/>
              <w:rPr>
                <w:sz w:val="22"/>
                <w:szCs w:val="22"/>
                <w:lang w:eastAsia="zh-CN"/>
              </w:rPr>
            </w:pPr>
            <w:proofErr w:type="gramStart"/>
            <w:r w:rsidRPr="00BB43EC">
              <w:rPr>
                <w:sz w:val="22"/>
                <w:szCs w:val="22"/>
                <w:lang w:eastAsia="zh-CN"/>
              </w:rPr>
              <w:t>Number  of</w:t>
            </w:r>
            <w:proofErr w:type="gramEnd"/>
            <w:r w:rsidRPr="00BB43EC">
              <w:rPr>
                <w:sz w:val="22"/>
                <w:szCs w:val="22"/>
                <w:lang w:eastAsia="zh-CN"/>
              </w:rPr>
              <w:t xml:space="preserve"> individuals with events</w:t>
            </w:r>
          </w:p>
        </w:tc>
        <w:tc>
          <w:tcPr>
            <w:tcW w:w="2250" w:type="dxa"/>
          </w:tcPr>
          <w:p w14:paraId="333C9908" w14:textId="77777777" w:rsidR="00BB43EC" w:rsidRPr="00BB43EC" w:rsidRDefault="00BB43EC" w:rsidP="00813E59">
            <w:pPr>
              <w:ind w:left="162"/>
              <w:jc w:val="center"/>
              <w:rPr>
                <w:sz w:val="22"/>
                <w:szCs w:val="22"/>
                <w:lang w:eastAsia="zh-CN"/>
              </w:rPr>
            </w:pPr>
            <w:r w:rsidRPr="00BB43EC">
              <w:rPr>
                <w:sz w:val="22"/>
                <w:szCs w:val="22"/>
                <w:lang w:eastAsia="zh-CN"/>
              </w:rPr>
              <w:t>11 (1.5%)</w:t>
            </w:r>
          </w:p>
        </w:tc>
        <w:tc>
          <w:tcPr>
            <w:tcW w:w="1890" w:type="dxa"/>
          </w:tcPr>
          <w:p w14:paraId="36C79276" w14:textId="77777777" w:rsidR="00BB43EC" w:rsidRPr="00BB43EC" w:rsidRDefault="00BB43EC" w:rsidP="00813E59">
            <w:pPr>
              <w:ind w:left="162"/>
              <w:jc w:val="center"/>
              <w:rPr>
                <w:sz w:val="22"/>
                <w:szCs w:val="22"/>
                <w:lang w:eastAsia="zh-CN"/>
              </w:rPr>
            </w:pPr>
            <w:r w:rsidRPr="00BB43EC">
              <w:rPr>
                <w:sz w:val="22"/>
                <w:szCs w:val="22"/>
                <w:lang w:eastAsia="zh-CN"/>
              </w:rPr>
              <w:t>59 (7.8%)</w:t>
            </w:r>
          </w:p>
        </w:tc>
      </w:tr>
      <w:tr w:rsidR="00BB43EC" w:rsidRPr="00BB43EC" w14:paraId="52695CDB" w14:textId="77777777" w:rsidTr="00813E59">
        <w:tc>
          <w:tcPr>
            <w:tcW w:w="9625" w:type="dxa"/>
            <w:gridSpan w:val="3"/>
            <w:shd w:val="clear" w:color="auto" w:fill="BFBFBF" w:themeFill="background1" w:themeFillShade="BF"/>
          </w:tcPr>
          <w:p w14:paraId="045F2DB6" w14:textId="77777777" w:rsidR="00BB43EC" w:rsidRPr="00BB43EC" w:rsidRDefault="00BB43EC" w:rsidP="00813E59">
            <w:pPr>
              <w:rPr>
                <w:b/>
                <w:bCs/>
                <w:sz w:val="22"/>
                <w:szCs w:val="22"/>
                <w:lang w:eastAsia="zh-CN"/>
              </w:rPr>
            </w:pPr>
            <w:r w:rsidRPr="00BB43EC">
              <w:rPr>
                <w:b/>
                <w:bCs/>
                <w:sz w:val="22"/>
                <w:szCs w:val="22"/>
                <w:lang w:eastAsia="zh-CN"/>
              </w:rPr>
              <w:t xml:space="preserve">Symptoms and viral load </w:t>
            </w:r>
          </w:p>
        </w:tc>
      </w:tr>
      <w:tr w:rsidR="00BB43EC" w:rsidRPr="00BB43EC" w14:paraId="6797493D" w14:textId="77777777" w:rsidTr="00813E59">
        <w:tc>
          <w:tcPr>
            <w:tcW w:w="9625" w:type="dxa"/>
            <w:gridSpan w:val="3"/>
            <w:shd w:val="clear" w:color="auto" w:fill="F2F2F2" w:themeFill="background1" w:themeFillShade="F2"/>
          </w:tcPr>
          <w:p w14:paraId="2F1C312D" w14:textId="77777777" w:rsidR="00BB43EC" w:rsidRPr="00BB43EC" w:rsidRDefault="00BB43EC" w:rsidP="00813E59">
            <w:pPr>
              <w:ind w:left="158"/>
              <w:rPr>
                <w:sz w:val="22"/>
                <w:szCs w:val="22"/>
                <w:lang w:eastAsia="zh-CN"/>
              </w:rPr>
            </w:pPr>
            <w:r w:rsidRPr="00BB43EC">
              <w:rPr>
                <w:b/>
                <w:bCs/>
                <w:sz w:val="22"/>
                <w:szCs w:val="22"/>
                <w:lang w:eastAsia="zh-CN"/>
              </w:rPr>
              <w:t>Total weeks with symptoms (Key secondary)</w:t>
            </w:r>
          </w:p>
        </w:tc>
      </w:tr>
      <w:tr w:rsidR="00BB43EC" w:rsidRPr="00BB43EC" w14:paraId="324A6E40" w14:textId="77777777" w:rsidTr="00813E59">
        <w:tc>
          <w:tcPr>
            <w:tcW w:w="5485" w:type="dxa"/>
          </w:tcPr>
          <w:p w14:paraId="31E18459" w14:textId="77777777" w:rsidR="00BB43EC" w:rsidRPr="00BB43EC" w:rsidRDefault="00BB43EC" w:rsidP="00813E59">
            <w:pPr>
              <w:ind w:left="346"/>
              <w:rPr>
                <w:sz w:val="22"/>
                <w:szCs w:val="22"/>
                <w:vertAlign w:val="superscript"/>
                <w:lang w:eastAsia="zh-CN"/>
              </w:rPr>
            </w:pPr>
            <w:r w:rsidRPr="00BB43EC">
              <w:rPr>
                <w:sz w:val="22"/>
                <w:szCs w:val="22"/>
                <w:lang w:eastAsia="zh-CN"/>
              </w:rPr>
              <w:t>Reduction</w:t>
            </w:r>
            <w:r w:rsidRPr="00BB43EC">
              <w:rPr>
                <w:sz w:val="22"/>
                <w:szCs w:val="22"/>
                <w:vertAlign w:val="superscript"/>
                <w:lang w:eastAsia="zh-CN"/>
              </w:rPr>
              <w:t>2</w:t>
            </w:r>
          </w:p>
        </w:tc>
        <w:tc>
          <w:tcPr>
            <w:tcW w:w="4140" w:type="dxa"/>
            <w:gridSpan w:val="2"/>
          </w:tcPr>
          <w:p w14:paraId="339F2658" w14:textId="77777777" w:rsidR="00BB43EC" w:rsidRPr="00BB43EC" w:rsidRDefault="00BB43EC" w:rsidP="00813E59">
            <w:pPr>
              <w:jc w:val="center"/>
              <w:rPr>
                <w:sz w:val="22"/>
                <w:szCs w:val="22"/>
                <w:lang w:eastAsia="zh-CN"/>
              </w:rPr>
            </w:pPr>
            <w:r w:rsidRPr="00BB43EC">
              <w:rPr>
                <w:sz w:val="22"/>
                <w:szCs w:val="22"/>
                <w:lang w:eastAsia="zh-CN"/>
              </w:rPr>
              <w:t>93%</w:t>
            </w:r>
          </w:p>
          <w:p w14:paraId="7B8ED9E7" w14:textId="77777777" w:rsidR="00BB43EC" w:rsidRPr="00BB43EC" w:rsidRDefault="00BB43EC" w:rsidP="00813E59">
            <w:pPr>
              <w:jc w:val="center"/>
              <w:rPr>
                <w:sz w:val="22"/>
                <w:szCs w:val="22"/>
                <w:lang w:eastAsia="zh-CN"/>
              </w:rPr>
            </w:pPr>
            <w:r w:rsidRPr="00BB43EC">
              <w:rPr>
                <w:sz w:val="22"/>
                <w:szCs w:val="22"/>
                <w:lang w:eastAsia="zh-CN"/>
              </w:rPr>
              <w:t>(p &lt; 0.0001)</w:t>
            </w:r>
          </w:p>
        </w:tc>
      </w:tr>
      <w:tr w:rsidR="00BB43EC" w:rsidRPr="00BB43EC" w14:paraId="5695752B" w14:textId="77777777" w:rsidTr="00813E59">
        <w:tc>
          <w:tcPr>
            <w:tcW w:w="5485" w:type="dxa"/>
          </w:tcPr>
          <w:p w14:paraId="6C74667D" w14:textId="77777777" w:rsidR="00BB43EC" w:rsidRPr="00BB43EC" w:rsidRDefault="00BB43EC" w:rsidP="00813E59">
            <w:pPr>
              <w:ind w:left="346"/>
              <w:rPr>
                <w:sz w:val="22"/>
                <w:szCs w:val="22"/>
                <w:lang w:eastAsia="zh-CN"/>
              </w:rPr>
            </w:pPr>
            <w:r w:rsidRPr="00BB43EC">
              <w:rPr>
                <w:sz w:val="22"/>
                <w:szCs w:val="22"/>
                <w:lang w:eastAsia="zh-CN"/>
              </w:rPr>
              <w:t>Total Number of weeks (cumulative for all individuals in each arm)</w:t>
            </w:r>
          </w:p>
        </w:tc>
        <w:tc>
          <w:tcPr>
            <w:tcW w:w="2250" w:type="dxa"/>
          </w:tcPr>
          <w:p w14:paraId="488CB010" w14:textId="77777777" w:rsidR="00BB43EC" w:rsidRPr="00BB43EC" w:rsidRDefault="00BB43EC" w:rsidP="00813E59">
            <w:pPr>
              <w:jc w:val="center"/>
              <w:rPr>
                <w:sz w:val="22"/>
                <w:szCs w:val="22"/>
                <w:lang w:eastAsia="zh-CN"/>
              </w:rPr>
            </w:pPr>
            <w:r w:rsidRPr="00BB43EC">
              <w:rPr>
                <w:sz w:val="22"/>
                <w:szCs w:val="22"/>
                <w:lang w:eastAsia="zh-CN"/>
              </w:rPr>
              <w:t>12.9</w:t>
            </w:r>
          </w:p>
        </w:tc>
        <w:tc>
          <w:tcPr>
            <w:tcW w:w="1890" w:type="dxa"/>
          </w:tcPr>
          <w:p w14:paraId="584B29F5" w14:textId="77777777" w:rsidR="00BB43EC" w:rsidRPr="00BB43EC" w:rsidRDefault="00BB43EC" w:rsidP="00813E59">
            <w:pPr>
              <w:jc w:val="center"/>
              <w:rPr>
                <w:sz w:val="22"/>
                <w:szCs w:val="22"/>
                <w:lang w:eastAsia="zh-CN"/>
              </w:rPr>
            </w:pPr>
            <w:r w:rsidRPr="00BB43EC">
              <w:rPr>
                <w:sz w:val="22"/>
                <w:szCs w:val="22"/>
                <w:lang w:eastAsia="zh-CN"/>
              </w:rPr>
              <w:t>187.7</w:t>
            </w:r>
          </w:p>
        </w:tc>
      </w:tr>
      <w:tr w:rsidR="00BB43EC" w:rsidRPr="00BB43EC" w14:paraId="1E1BD9CC" w14:textId="77777777" w:rsidTr="00813E59">
        <w:tc>
          <w:tcPr>
            <w:tcW w:w="5485" w:type="dxa"/>
          </w:tcPr>
          <w:p w14:paraId="3EBCD24E" w14:textId="77777777" w:rsidR="00BB43EC" w:rsidRPr="00BB43EC" w:rsidRDefault="00BB43EC" w:rsidP="00813E59">
            <w:pPr>
              <w:ind w:left="346"/>
              <w:rPr>
                <w:sz w:val="22"/>
                <w:szCs w:val="22"/>
                <w:lang w:eastAsia="zh-CN"/>
              </w:rPr>
            </w:pPr>
            <w:r w:rsidRPr="00BB43EC">
              <w:rPr>
                <w:sz w:val="22"/>
                <w:szCs w:val="22"/>
                <w:lang w:eastAsia="zh-CN"/>
              </w:rPr>
              <w:t xml:space="preserve">Mean Number of weeks with </w:t>
            </w:r>
            <w:proofErr w:type="gramStart"/>
            <w:r w:rsidRPr="00BB43EC">
              <w:rPr>
                <w:sz w:val="22"/>
                <w:szCs w:val="22"/>
                <w:lang w:eastAsia="zh-CN"/>
              </w:rPr>
              <w:t>symptoms  in</w:t>
            </w:r>
            <w:proofErr w:type="gramEnd"/>
            <w:r w:rsidRPr="00BB43EC">
              <w:rPr>
                <w:sz w:val="22"/>
                <w:szCs w:val="22"/>
                <w:lang w:eastAsia="zh-CN"/>
              </w:rPr>
              <w:t xml:space="preserve"> symptomatic individuals</w:t>
            </w:r>
            <w:r w:rsidRPr="00BB43EC">
              <w:rPr>
                <w:sz w:val="22"/>
                <w:szCs w:val="22"/>
                <w:vertAlign w:val="superscript"/>
                <w:lang w:eastAsia="zh-CN"/>
              </w:rPr>
              <w:t>3</w:t>
            </w:r>
          </w:p>
        </w:tc>
        <w:tc>
          <w:tcPr>
            <w:tcW w:w="2250" w:type="dxa"/>
          </w:tcPr>
          <w:p w14:paraId="6CDCD273" w14:textId="77777777" w:rsidR="00BB43EC" w:rsidRPr="00BB43EC" w:rsidRDefault="00BB43EC" w:rsidP="00813E59">
            <w:pPr>
              <w:jc w:val="center"/>
              <w:rPr>
                <w:sz w:val="22"/>
                <w:szCs w:val="22"/>
                <w:lang w:eastAsia="zh-CN"/>
              </w:rPr>
            </w:pPr>
            <w:r w:rsidRPr="00BB43EC">
              <w:rPr>
                <w:sz w:val="22"/>
                <w:szCs w:val="22"/>
                <w:lang w:eastAsia="zh-CN"/>
              </w:rPr>
              <w:t>1.2</w:t>
            </w:r>
          </w:p>
        </w:tc>
        <w:tc>
          <w:tcPr>
            <w:tcW w:w="1890" w:type="dxa"/>
          </w:tcPr>
          <w:p w14:paraId="6E8276FE" w14:textId="77777777" w:rsidR="00BB43EC" w:rsidRPr="00BB43EC" w:rsidRDefault="00BB43EC" w:rsidP="00813E59">
            <w:pPr>
              <w:jc w:val="center"/>
              <w:rPr>
                <w:sz w:val="22"/>
                <w:szCs w:val="22"/>
                <w:lang w:eastAsia="zh-CN"/>
              </w:rPr>
            </w:pPr>
            <w:r w:rsidRPr="00BB43EC">
              <w:rPr>
                <w:sz w:val="22"/>
                <w:szCs w:val="22"/>
                <w:lang w:eastAsia="zh-CN"/>
              </w:rPr>
              <w:t>3.2</w:t>
            </w:r>
          </w:p>
        </w:tc>
      </w:tr>
      <w:tr w:rsidR="00BB43EC" w:rsidRPr="00BB43EC" w14:paraId="03F192B7" w14:textId="77777777" w:rsidTr="00813E59">
        <w:tc>
          <w:tcPr>
            <w:tcW w:w="9625" w:type="dxa"/>
            <w:gridSpan w:val="3"/>
            <w:shd w:val="clear" w:color="auto" w:fill="F2F2F2" w:themeFill="background1" w:themeFillShade="F2"/>
          </w:tcPr>
          <w:p w14:paraId="2D7F33C3" w14:textId="77777777" w:rsidR="00BB43EC" w:rsidRPr="00BB43EC" w:rsidRDefault="00BB43EC" w:rsidP="00813E59">
            <w:pPr>
              <w:ind w:left="162"/>
              <w:rPr>
                <w:sz w:val="22"/>
                <w:szCs w:val="22"/>
                <w:lang w:eastAsia="zh-CN"/>
              </w:rPr>
            </w:pPr>
            <w:r w:rsidRPr="00BB43EC">
              <w:rPr>
                <w:b/>
                <w:bCs/>
                <w:sz w:val="22"/>
                <w:szCs w:val="22"/>
                <w:lang w:eastAsia="zh-CN"/>
              </w:rPr>
              <w:t>Incidence of any RT-qPCR positive infection (Key secondary)</w:t>
            </w:r>
          </w:p>
        </w:tc>
      </w:tr>
      <w:tr w:rsidR="00BB43EC" w:rsidRPr="00BB43EC" w14:paraId="4600B4CB" w14:textId="77777777" w:rsidTr="00813E59">
        <w:tc>
          <w:tcPr>
            <w:tcW w:w="5485" w:type="dxa"/>
          </w:tcPr>
          <w:p w14:paraId="659625E8" w14:textId="77777777" w:rsidR="00BB43EC" w:rsidRPr="00BB43EC" w:rsidRDefault="00BB43EC" w:rsidP="00813E59">
            <w:pPr>
              <w:ind w:left="342"/>
              <w:rPr>
                <w:sz w:val="22"/>
                <w:szCs w:val="22"/>
                <w:lang w:eastAsia="zh-CN"/>
              </w:rPr>
            </w:pPr>
            <w:r w:rsidRPr="00BB43EC">
              <w:rPr>
                <w:sz w:val="22"/>
                <w:szCs w:val="22"/>
                <w:lang w:eastAsia="zh-CN"/>
              </w:rPr>
              <w:t>Risk reduction</w:t>
            </w:r>
          </w:p>
          <w:p w14:paraId="4C3934A9" w14:textId="77777777" w:rsidR="00BB43EC" w:rsidRPr="00BB43EC" w:rsidRDefault="00BB43EC" w:rsidP="00813E59">
            <w:pPr>
              <w:ind w:left="342"/>
              <w:rPr>
                <w:sz w:val="22"/>
                <w:szCs w:val="22"/>
                <w:lang w:eastAsia="zh-CN"/>
              </w:rPr>
            </w:pPr>
            <w:r w:rsidRPr="00BB43EC">
              <w:rPr>
                <w:sz w:val="22"/>
                <w:szCs w:val="22"/>
                <w:lang w:eastAsia="zh-CN"/>
              </w:rPr>
              <w:t>(Odds ratio, p-Value)</w:t>
            </w:r>
          </w:p>
        </w:tc>
        <w:tc>
          <w:tcPr>
            <w:tcW w:w="4140" w:type="dxa"/>
            <w:gridSpan w:val="2"/>
          </w:tcPr>
          <w:p w14:paraId="49A60924" w14:textId="77777777" w:rsidR="00BB43EC" w:rsidRPr="00BB43EC" w:rsidRDefault="00BB43EC" w:rsidP="00813E59">
            <w:pPr>
              <w:ind w:left="162"/>
              <w:jc w:val="center"/>
              <w:rPr>
                <w:sz w:val="22"/>
                <w:szCs w:val="22"/>
                <w:lang w:eastAsia="zh-CN"/>
              </w:rPr>
            </w:pPr>
            <w:r w:rsidRPr="00BB43EC">
              <w:rPr>
                <w:sz w:val="22"/>
                <w:szCs w:val="22"/>
                <w:lang w:eastAsia="zh-CN"/>
              </w:rPr>
              <w:t>66%</w:t>
            </w:r>
          </w:p>
          <w:p w14:paraId="01B98A71" w14:textId="77777777" w:rsidR="00BB43EC" w:rsidRPr="00BB43EC" w:rsidRDefault="00BB43EC" w:rsidP="00813E59">
            <w:pPr>
              <w:ind w:left="162"/>
              <w:jc w:val="center"/>
              <w:rPr>
                <w:sz w:val="22"/>
                <w:szCs w:val="22"/>
                <w:lang w:eastAsia="zh-CN"/>
              </w:rPr>
            </w:pPr>
            <w:r w:rsidRPr="00BB43EC">
              <w:rPr>
                <w:sz w:val="22"/>
                <w:szCs w:val="22"/>
                <w:lang w:eastAsia="zh-CN"/>
              </w:rPr>
              <w:t>(0.31; p &lt; 0.0001)</w:t>
            </w:r>
          </w:p>
        </w:tc>
      </w:tr>
      <w:tr w:rsidR="00BB43EC" w:rsidRPr="00BB43EC" w14:paraId="60E762DB" w14:textId="77777777" w:rsidTr="00813E59">
        <w:tc>
          <w:tcPr>
            <w:tcW w:w="5485" w:type="dxa"/>
          </w:tcPr>
          <w:p w14:paraId="24249BE1" w14:textId="77777777" w:rsidR="00BB43EC" w:rsidRPr="00BB43EC" w:rsidRDefault="00BB43EC" w:rsidP="00813E59">
            <w:pPr>
              <w:ind w:left="342"/>
              <w:rPr>
                <w:sz w:val="22"/>
                <w:szCs w:val="22"/>
                <w:lang w:eastAsia="zh-CN"/>
              </w:rPr>
            </w:pPr>
            <w:proofErr w:type="gramStart"/>
            <w:r w:rsidRPr="00BB43EC">
              <w:rPr>
                <w:sz w:val="22"/>
                <w:szCs w:val="22"/>
                <w:lang w:eastAsia="zh-CN"/>
              </w:rPr>
              <w:t>Number  of</w:t>
            </w:r>
            <w:proofErr w:type="gramEnd"/>
            <w:r w:rsidRPr="00BB43EC">
              <w:rPr>
                <w:sz w:val="22"/>
                <w:szCs w:val="22"/>
                <w:lang w:eastAsia="zh-CN"/>
              </w:rPr>
              <w:t xml:space="preserve"> individuals with events</w:t>
            </w:r>
          </w:p>
        </w:tc>
        <w:tc>
          <w:tcPr>
            <w:tcW w:w="2250" w:type="dxa"/>
          </w:tcPr>
          <w:p w14:paraId="2B7CBFD6" w14:textId="77777777" w:rsidR="00BB43EC" w:rsidRPr="00BB43EC" w:rsidRDefault="00BB43EC" w:rsidP="00813E59">
            <w:pPr>
              <w:ind w:left="162"/>
              <w:jc w:val="center"/>
              <w:rPr>
                <w:sz w:val="22"/>
                <w:szCs w:val="22"/>
                <w:lang w:eastAsia="zh-CN"/>
              </w:rPr>
            </w:pPr>
            <w:r w:rsidRPr="00BB43EC">
              <w:rPr>
                <w:sz w:val="22"/>
                <w:szCs w:val="22"/>
                <w:lang w:eastAsia="zh-CN"/>
              </w:rPr>
              <w:t>36 (4.8%)</w:t>
            </w:r>
          </w:p>
        </w:tc>
        <w:tc>
          <w:tcPr>
            <w:tcW w:w="1890" w:type="dxa"/>
          </w:tcPr>
          <w:p w14:paraId="6BD837F3" w14:textId="77777777" w:rsidR="00BB43EC" w:rsidRPr="00BB43EC" w:rsidRDefault="00BB43EC" w:rsidP="00813E59">
            <w:pPr>
              <w:ind w:left="162"/>
              <w:jc w:val="center"/>
              <w:rPr>
                <w:sz w:val="22"/>
                <w:szCs w:val="22"/>
                <w:lang w:eastAsia="zh-CN"/>
              </w:rPr>
            </w:pPr>
            <w:r w:rsidRPr="00BB43EC">
              <w:rPr>
                <w:sz w:val="22"/>
                <w:szCs w:val="22"/>
                <w:lang w:eastAsia="zh-CN"/>
              </w:rPr>
              <w:t>107 (14.2%)</w:t>
            </w:r>
          </w:p>
        </w:tc>
      </w:tr>
      <w:tr w:rsidR="00BB43EC" w:rsidRPr="00BB43EC" w14:paraId="4B938F46" w14:textId="77777777" w:rsidTr="00813E59">
        <w:tc>
          <w:tcPr>
            <w:tcW w:w="9625" w:type="dxa"/>
            <w:gridSpan w:val="3"/>
            <w:shd w:val="clear" w:color="auto" w:fill="F2F2F2" w:themeFill="background1" w:themeFillShade="F2"/>
          </w:tcPr>
          <w:p w14:paraId="27C855E2" w14:textId="77777777" w:rsidR="00BB43EC" w:rsidRPr="00BB43EC" w:rsidRDefault="00BB43EC" w:rsidP="00813E59">
            <w:pPr>
              <w:ind w:left="158"/>
              <w:rPr>
                <w:sz w:val="22"/>
                <w:szCs w:val="22"/>
                <w:lang w:eastAsia="zh-CN"/>
              </w:rPr>
            </w:pPr>
            <w:r w:rsidRPr="00BB43EC">
              <w:rPr>
                <w:b/>
                <w:bCs/>
                <w:sz w:val="22"/>
                <w:szCs w:val="22"/>
                <w:lang w:eastAsia="zh-CN"/>
              </w:rPr>
              <w:t>Total weeks of RT-qPCR positive infection regardless of symptoms (Key secondary)</w:t>
            </w:r>
          </w:p>
        </w:tc>
      </w:tr>
      <w:tr w:rsidR="00BB43EC" w:rsidRPr="00BB43EC" w14:paraId="0DF09BDB" w14:textId="77777777" w:rsidTr="00813E59">
        <w:tc>
          <w:tcPr>
            <w:tcW w:w="5485" w:type="dxa"/>
          </w:tcPr>
          <w:p w14:paraId="76EC57E7" w14:textId="77777777" w:rsidR="00BB43EC" w:rsidRPr="00BB43EC" w:rsidRDefault="00BB43EC" w:rsidP="00813E59">
            <w:pPr>
              <w:ind w:left="346"/>
              <w:rPr>
                <w:sz w:val="22"/>
                <w:szCs w:val="22"/>
                <w:lang w:eastAsia="zh-CN"/>
              </w:rPr>
            </w:pPr>
            <w:r w:rsidRPr="00BB43EC">
              <w:rPr>
                <w:sz w:val="22"/>
                <w:szCs w:val="22"/>
                <w:lang w:eastAsia="zh-CN"/>
              </w:rPr>
              <w:t>Reduction</w:t>
            </w:r>
            <w:r w:rsidRPr="00BB43EC">
              <w:rPr>
                <w:sz w:val="22"/>
                <w:szCs w:val="22"/>
                <w:vertAlign w:val="superscript"/>
                <w:lang w:eastAsia="zh-CN"/>
              </w:rPr>
              <w:t>2</w:t>
            </w:r>
          </w:p>
        </w:tc>
        <w:tc>
          <w:tcPr>
            <w:tcW w:w="4140" w:type="dxa"/>
            <w:gridSpan w:val="2"/>
          </w:tcPr>
          <w:p w14:paraId="63F53333" w14:textId="77777777" w:rsidR="00BB43EC" w:rsidRPr="00BB43EC" w:rsidRDefault="00BB43EC" w:rsidP="00813E59">
            <w:pPr>
              <w:jc w:val="center"/>
              <w:rPr>
                <w:sz w:val="22"/>
                <w:szCs w:val="22"/>
                <w:lang w:eastAsia="zh-CN"/>
              </w:rPr>
            </w:pPr>
            <w:r w:rsidRPr="00BB43EC">
              <w:rPr>
                <w:sz w:val="22"/>
                <w:szCs w:val="22"/>
                <w:lang w:eastAsia="zh-CN"/>
              </w:rPr>
              <w:t>82%</w:t>
            </w:r>
          </w:p>
          <w:p w14:paraId="50BA1626" w14:textId="77777777" w:rsidR="00BB43EC" w:rsidRPr="00BB43EC" w:rsidRDefault="00BB43EC" w:rsidP="00813E59">
            <w:pPr>
              <w:jc w:val="center"/>
              <w:rPr>
                <w:sz w:val="22"/>
                <w:szCs w:val="22"/>
                <w:lang w:eastAsia="zh-CN"/>
              </w:rPr>
            </w:pPr>
            <w:r w:rsidRPr="00BB43EC">
              <w:rPr>
                <w:sz w:val="22"/>
                <w:szCs w:val="22"/>
                <w:lang w:eastAsia="zh-CN"/>
              </w:rPr>
              <w:t>(p &lt; 0.0001)</w:t>
            </w:r>
          </w:p>
        </w:tc>
      </w:tr>
      <w:tr w:rsidR="00BB43EC" w:rsidRPr="00BB43EC" w14:paraId="12E28026" w14:textId="77777777" w:rsidTr="00813E59">
        <w:tc>
          <w:tcPr>
            <w:tcW w:w="5485" w:type="dxa"/>
          </w:tcPr>
          <w:p w14:paraId="6297D12F" w14:textId="77777777" w:rsidR="00BB43EC" w:rsidRPr="00BB43EC" w:rsidRDefault="00BB43EC" w:rsidP="00813E59">
            <w:pPr>
              <w:ind w:left="346"/>
              <w:rPr>
                <w:sz w:val="22"/>
                <w:szCs w:val="22"/>
                <w:lang w:eastAsia="zh-CN"/>
              </w:rPr>
            </w:pPr>
            <w:r w:rsidRPr="00BB43EC">
              <w:rPr>
                <w:sz w:val="22"/>
                <w:szCs w:val="22"/>
                <w:lang w:eastAsia="zh-CN"/>
              </w:rPr>
              <w:t>Total Number of weeks (cumulative for all individuals in each arm)</w:t>
            </w:r>
          </w:p>
        </w:tc>
        <w:tc>
          <w:tcPr>
            <w:tcW w:w="2250" w:type="dxa"/>
          </w:tcPr>
          <w:p w14:paraId="7540F3DA" w14:textId="77777777" w:rsidR="00BB43EC" w:rsidRPr="00BB43EC" w:rsidRDefault="00BB43EC" w:rsidP="00813E59">
            <w:pPr>
              <w:jc w:val="center"/>
              <w:rPr>
                <w:sz w:val="22"/>
                <w:szCs w:val="22"/>
                <w:lang w:eastAsia="zh-CN"/>
              </w:rPr>
            </w:pPr>
            <w:r w:rsidRPr="00BB43EC">
              <w:rPr>
                <w:sz w:val="22"/>
                <w:szCs w:val="22"/>
                <w:lang w:eastAsia="zh-CN"/>
              </w:rPr>
              <w:t>41</w:t>
            </w:r>
          </w:p>
        </w:tc>
        <w:tc>
          <w:tcPr>
            <w:tcW w:w="1890" w:type="dxa"/>
          </w:tcPr>
          <w:p w14:paraId="57D7F518" w14:textId="77777777" w:rsidR="00BB43EC" w:rsidRPr="00BB43EC" w:rsidRDefault="00BB43EC" w:rsidP="00813E59">
            <w:pPr>
              <w:jc w:val="center"/>
              <w:rPr>
                <w:sz w:val="22"/>
                <w:szCs w:val="22"/>
                <w:lang w:eastAsia="zh-CN"/>
              </w:rPr>
            </w:pPr>
            <w:r w:rsidRPr="00BB43EC">
              <w:rPr>
                <w:sz w:val="22"/>
                <w:szCs w:val="22"/>
                <w:lang w:eastAsia="zh-CN"/>
              </w:rPr>
              <w:t>231</w:t>
            </w:r>
          </w:p>
        </w:tc>
      </w:tr>
      <w:tr w:rsidR="00BB43EC" w:rsidRPr="00BB43EC" w14:paraId="22A08570" w14:textId="77777777" w:rsidTr="00813E59">
        <w:tc>
          <w:tcPr>
            <w:tcW w:w="5485" w:type="dxa"/>
          </w:tcPr>
          <w:p w14:paraId="165AF0E6" w14:textId="77777777" w:rsidR="00BB43EC" w:rsidRPr="00BB43EC" w:rsidRDefault="00BB43EC" w:rsidP="00813E59">
            <w:pPr>
              <w:ind w:left="346"/>
              <w:rPr>
                <w:sz w:val="22"/>
                <w:szCs w:val="22"/>
                <w:lang w:eastAsia="zh-CN"/>
              </w:rPr>
            </w:pPr>
            <w:r w:rsidRPr="00BB43EC">
              <w:rPr>
                <w:sz w:val="22"/>
                <w:szCs w:val="22"/>
                <w:lang w:eastAsia="zh-CN"/>
              </w:rPr>
              <w:t>Mean Number of weeks with individuals infected</w:t>
            </w:r>
            <w:r w:rsidRPr="00BB43EC">
              <w:rPr>
                <w:sz w:val="22"/>
                <w:szCs w:val="22"/>
                <w:vertAlign w:val="superscript"/>
                <w:lang w:eastAsia="zh-CN"/>
              </w:rPr>
              <w:t>3</w:t>
            </w:r>
          </w:p>
        </w:tc>
        <w:tc>
          <w:tcPr>
            <w:tcW w:w="2250" w:type="dxa"/>
          </w:tcPr>
          <w:p w14:paraId="39D858C9" w14:textId="77777777" w:rsidR="00BB43EC" w:rsidRPr="00BB43EC" w:rsidRDefault="00BB43EC" w:rsidP="00813E59">
            <w:pPr>
              <w:jc w:val="center"/>
              <w:rPr>
                <w:sz w:val="22"/>
                <w:szCs w:val="22"/>
                <w:lang w:eastAsia="zh-CN"/>
              </w:rPr>
            </w:pPr>
            <w:r w:rsidRPr="00BB43EC">
              <w:rPr>
                <w:sz w:val="22"/>
                <w:szCs w:val="22"/>
                <w:lang w:eastAsia="zh-CN"/>
              </w:rPr>
              <w:t>1.1</w:t>
            </w:r>
          </w:p>
        </w:tc>
        <w:tc>
          <w:tcPr>
            <w:tcW w:w="1890" w:type="dxa"/>
          </w:tcPr>
          <w:p w14:paraId="3BD2D775" w14:textId="77777777" w:rsidR="00BB43EC" w:rsidRPr="00BB43EC" w:rsidRDefault="00BB43EC" w:rsidP="00813E59">
            <w:pPr>
              <w:jc w:val="center"/>
              <w:rPr>
                <w:sz w:val="22"/>
                <w:szCs w:val="22"/>
                <w:lang w:eastAsia="zh-CN"/>
              </w:rPr>
            </w:pPr>
            <w:r w:rsidRPr="00BB43EC">
              <w:rPr>
                <w:sz w:val="22"/>
                <w:szCs w:val="22"/>
                <w:lang w:eastAsia="zh-CN"/>
              </w:rPr>
              <w:t>2.2</w:t>
            </w:r>
          </w:p>
        </w:tc>
      </w:tr>
      <w:tr w:rsidR="00BB43EC" w:rsidRPr="00BB43EC" w14:paraId="44BD9B29" w14:textId="77777777" w:rsidTr="00813E59">
        <w:tc>
          <w:tcPr>
            <w:tcW w:w="9625" w:type="dxa"/>
            <w:gridSpan w:val="3"/>
            <w:shd w:val="clear" w:color="auto" w:fill="F2F2F2" w:themeFill="background1" w:themeFillShade="F2"/>
          </w:tcPr>
          <w:p w14:paraId="032BDCAD" w14:textId="77777777" w:rsidR="00BB43EC" w:rsidRPr="00BB43EC" w:rsidRDefault="00BB43EC" w:rsidP="00813E59">
            <w:pPr>
              <w:ind w:left="158"/>
              <w:rPr>
                <w:sz w:val="22"/>
                <w:szCs w:val="22"/>
                <w:lang w:eastAsia="zh-CN"/>
              </w:rPr>
            </w:pPr>
            <w:r w:rsidRPr="00BB43EC">
              <w:rPr>
                <w:b/>
                <w:bCs/>
                <w:sz w:val="22"/>
                <w:szCs w:val="22"/>
                <w:lang w:eastAsia="zh-CN"/>
              </w:rPr>
              <w:t xml:space="preserve">Total weeks with high viral load </w:t>
            </w:r>
            <w:r w:rsidRPr="00BB43EC">
              <w:rPr>
                <w:b/>
                <w:bCs/>
                <w:color w:val="000000"/>
                <w:sz w:val="22"/>
                <w:szCs w:val="22"/>
                <w:lang w:eastAsia="zh-CN"/>
              </w:rPr>
              <w:t>(&gt;10</w:t>
            </w:r>
            <w:r w:rsidRPr="00BB43EC">
              <w:rPr>
                <w:b/>
                <w:bCs/>
                <w:color w:val="000000"/>
                <w:sz w:val="22"/>
                <w:szCs w:val="22"/>
                <w:vertAlign w:val="superscript"/>
                <w:lang w:eastAsia="zh-CN"/>
              </w:rPr>
              <w:t>4</w:t>
            </w:r>
            <w:r w:rsidRPr="00BB43EC">
              <w:rPr>
                <w:b/>
                <w:bCs/>
                <w:color w:val="000000"/>
                <w:sz w:val="22"/>
                <w:szCs w:val="22"/>
                <w:lang w:eastAsia="zh-CN"/>
              </w:rPr>
              <w:t> copies/mL) (Key secondary)</w:t>
            </w:r>
          </w:p>
        </w:tc>
      </w:tr>
      <w:tr w:rsidR="00BB43EC" w:rsidRPr="00BB43EC" w14:paraId="5D40D2F4" w14:textId="77777777" w:rsidTr="00813E59">
        <w:tc>
          <w:tcPr>
            <w:tcW w:w="5485" w:type="dxa"/>
          </w:tcPr>
          <w:p w14:paraId="38F64439" w14:textId="77777777" w:rsidR="00BB43EC" w:rsidRPr="00BB43EC" w:rsidRDefault="00BB43EC" w:rsidP="00813E59">
            <w:pPr>
              <w:ind w:left="346"/>
              <w:rPr>
                <w:sz w:val="22"/>
                <w:szCs w:val="22"/>
                <w:lang w:eastAsia="zh-CN"/>
              </w:rPr>
            </w:pPr>
            <w:r w:rsidRPr="00BB43EC">
              <w:rPr>
                <w:sz w:val="22"/>
                <w:szCs w:val="22"/>
                <w:lang w:eastAsia="zh-CN"/>
              </w:rPr>
              <w:t>Reduction</w:t>
            </w:r>
            <w:r w:rsidRPr="00BB43EC">
              <w:rPr>
                <w:sz w:val="22"/>
                <w:szCs w:val="22"/>
                <w:vertAlign w:val="superscript"/>
                <w:lang w:eastAsia="zh-CN"/>
              </w:rPr>
              <w:t>2</w:t>
            </w:r>
            <w:r w:rsidRPr="00BB43EC">
              <w:rPr>
                <w:sz w:val="22"/>
                <w:szCs w:val="22"/>
                <w:lang w:eastAsia="zh-CN"/>
              </w:rPr>
              <w:t xml:space="preserve"> </w:t>
            </w:r>
          </w:p>
        </w:tc>
        <w:tc>
          <w:tcPr>
            <w:tcW w:w="4140" w:type="dxa"/>
            <w:gridSpan w:val="2"/>
          </w:tcPr>
          <w:p w14:paraId="5AA3FE65" w14:textId="77777777" w:rsidR="00BB43EC" w:rsidRPr="00BB43EC" w:rsidRDefault="00BB43EC" w:rsidP="00813E59">
            <w:pPr>
              <w:jc w:val="center"/>
              <w:rPr>
                <w:sz w:val="22"/>
                <w:szCs w:val="22"/>
                <w:lang w:eastAsia="zh-CN"/>
              </w:rPr>
            </w:pPr>
            <w:r w:rsidRPr="00BB43EC">
              <w:rPr>
                <w:sz w:val="22"/>
                <w:szCs w:val="22"/>
                <w:lang w:eastAsia="zh-CN"/>
              </w:rPr>
              <w:t>90%</w:t>
            </w:r>
          </w:p>
          <w:p w14:paraId="606351AA" w14:textId="77777777" w:rsidR="00BB43EC" w:rsidRPr="00BB43EC" w:rsidRDefault="00BB43EC" w:rsidP="00813E59">
            <w:pPr>
              <w:jc w:val="center"/>
              <w:rPr>
                <w:sz w:val="22"/>
                <w:szCs w:val="22"/>
                <w:lang w:eastAsia="zh-CN"/>
              </w:rPr>
            </w:pPr>
            <w:r w:rsidRPr="00BB43EC">
              <w:rPr>
                <w:sz w:val="22"/>
                <w:szCs w:val="22"/>
                <w:lang w:eastAsia="zh-CN"/>
              </w:rPr>
              <w:t>(p &lt; 0.0001)</w:t>
            </w:r>
          </w:p>
        </w:tc>
      </w:tr>
      <w:tr w:rsidR="00BB43EC" w:rsidRPr="00BB43EC" w14:paraId="5F3D3803" w14:textId="77777777" w:rsidTr="00813E59">
        <w:tc>
          <w:tcPr>
            <w:tcW w:w="5485" w:type="dxa"/>
          </w:tcPr>
          <w:p w14:paraId="1AE9BF92" w14:textId="77777777" w:rsidR="00BB43EC" w:rsidRPr="00BB43EC" w:rsidRDefault="00BB43EC" w:rsidP="00813E59">
            <w:pPr>
              <w:ind w:left="346"/>
              <w:rPr>
                <w:sz w:val="22"/>
                <w:szCs w:val="22"/>
                <w:lang w:eastAsia="zh-CN"/>
              </w:rPr>
            </w:pPr>
            <w:r w:rsidRPr="00BB43EC">
              <w:rPr>
                <w:sz w:val="22"/>
                <w:szCs w:val="22"/>
                <w:lang w:eastAsia="zh-CN"/>
              </w:rPr>
              <w:t>Total Number of weeks (cumulative for all individuals in each arm)</w:t>
            </w:r>
          </w:p>
        </w:tc>
        <w:tc>
          <w:tcPr>
            <w:tcW w:w="2250" w:type="dxa"/>
          </w:tcPr>
          <w:p w14:paraId="14671138" w14:textId="77777777" w:rsidR="00BB43EC" w:rsidRPr="00BB43EC" w:rsidRDefault="00BB43EC" w:rsidP="00813E59">
            <w:pPr>
              <w:jc w:val="center"/>
              <w:rPr>
                <w:sz w:val="22"/>
                <w:szCs w:val="22"/>
                <w:lang w:eastAsia="zh-CN"/>
              </w:rPr>
            </w:pPr>
            <w:r w:rsidRPr="00BB43EC">
              <w:rPr>
                <w:sz w:val="22"/>
                <w:szCs w:val="22"/>
                <w:lang w:eastAsia="zh-CN"/>
              </w:rPr>
              <w:t>14</w:t>
            </w:r>
          </w:p>
        </w:tc>
        <w:tc>
          <w:tcPr>
            <w:tcW w:w="1890" w:type="dxa"/>
          </w:tcPr>
          <w:p w14:paraId="510C4844" w14:textId="77777777" w:rsidR="00BB43EC" w:rsidRPr="00BB43EC" w:rsidRDefault="00BB43EC" w:rsidP="00813E59">
            <w:pPr>
              <w:jc w:val="center"/>
              <w:rPr>
                <w:sz w:val="22"/>
                <w:szCs w:val="22"/>
                <w:lang w:eastAsia="zh-CN"/>
              </w:rPr>
            </w:pPr>
            <w:r w:rsidRPr="00BB43EC">
              <w:rPr>
                <w:sz w:val="22"/>
                <w:szCs w:val="22"/>
                <w:lang w:eastAsia="zh-CN"/>
              </w:rPr>
              <w:t>136</w:t>
            </w:r>
          </w:p>
        </w:tc>
      </w:tr>
      <w:tr w:rsidR="00BB43EC" w:rsidRPr="00BB43EC" w14:paraId="035DE91E" w14:textId="77777777" w:rsidTr="00813E59">
        <w:tc>
          <w:tcPr>
            <w:tcW w:w="5485" w:type="dxa"/>
          </w:tcPr>
          <w:p w14:paraId="4A9AA6BA" w14:textId="77777777" w:rsidR="00BB43EC" w:rsidRPr="00BB43EC" w:rsidRDefault="00BB43EC" w:rsidP="00813E59">
            <w:pPr>
              <w:ind w:left="346"/>
              <w:rPr>
                <w:sz w:val="22"/>
                <w:szCs w:val="22"/>
                <w:lang w:eastAsia="zh-CN"/>
              </w:rPr>
            </w:pPr>
            <w:r w:rsidRPr="00BB43EC">
              <w:rPr>
                <w:sz w:val="22"/>
                <w:szCs w:val="22"/>
                <w:lang w:eastAsia="zh-CN"/>
              </w:rPr>
              <w:t>Mean Number of weeks with high viral load in RT-qPCR positive subjects</w:t>
            </w:r>
            <w:r w:rsidRPr="00BB43EC">
              <w:rPr>
                <w:sz w:val="22"/>
                <w:szCs w:val="22"/>
                <w:vertAlign w:val="superscript"/>
                <w:lang w:eastAsia="zh-CN"/>
              </w:rPr>
              <w:t>3</w:t>
            </w:r>
          </w:p>
        </w:tc>
        <w:tc>
          <w:tcPr>
            <w:tcW w:w="2250" w:type="dxa"/>
          </w:tcPr>
          <w:p w14:paraId="29FB0D08" w14:textId="77777777" w:rsidR="00BB43EC" w:rsidRPr="00BB43EC" w:rsidRDefault="00BB43EC" w:rsidP="00813E59">
            <w:pPr>
              <w:jc w:val="center"/>
              <w:rPr>
                <w:sz w:val="22"/>
                <w:szCs w:val="22"/>
                <w:lang w:eastAsia="zh-CN"/>
              </w:rPr>
            </w:pPr>
            <w:r w:rsidRPr="00BB43EC">
              <w:rPr>
                <w:sz w:val="22"/>
                <w:szCs w:val="22"/>
                <w:lang w:eastAsia="zh-CN"/>
              </w:rPr>
              <w:t>0.4</w:t>
            </w:r>
          </w:p>
        </w:tc>
        <w:tc>
          <w:tcPr>
            <w:tcW w:w="1890" w:type="dxa"/>
          </w:tcPr>
          <w:p w14:paraId="1F2FAF1F" w14:textId="77777777" w:rsidR="00BB43EC" w:rsidRPr="00BB43EC" w:rsidRDefault="00BB43EC" w:rsidP="00813E59">
            <w:pPr>
              <w:jc w:val="center"/>
              <w:rPr>
                <w:sz w:val="22"/>
                <w:szCs w:val="22"/>
                <w:lang w:eastAsia="zh-CN"/>
              </w:rPr>
            </w:pPr>
            <w:r w:rsidRPr="00BB43EC">
              <w:rPr>
                <w:sz w:val="22"/>
                <w:szCs w:val="22"/>
                <w:lang w:eastAsia="zh-CN"/>
              </w:rPr>
              <w:t>1.3</w:t>
            </w:r>
          </w:p>
        </w:tc>
      </w:tr>
      <w:tr w:rsidR="00BB43EC" w:rsidRPr="00BB43EC" w14:paraId="50FFB318" w14:textId="77777777" w:rsidTr="00813E59">
        <w:tc>
          <w:tcPr>
            <w:tcW w:w="9625" w:type="dxa"/>
            <w:gridSpan w:val="3"/>
            <w:shd w:val="clear" w:color="auto" w:fill="F2F2F2" w:themeFill="background1" w:themeFillShade="F2"/>
          </w:tcPr>
          <w:p w14:paraId="44C4E7DC" w14:textId="77777777" w:rsidR="00BB43EC" w:rsidRPr="00BB43EC" w:rsidRDefault="00BB43EC" w:rsidP="00813E59">
            <w:pPr>
              <w:ind w:left="158"/>
              <w:rPr>
                <w:sz w:val="22"/>
                <w:szCs w:val="22"/>
                <w:lang w:eastAsia="zh-CN"/>
              </w:rPr>
            </w:pPr>
            <w:r w:rsidRPr="00BB43EC">
              <w:rPr>
                <w:b/>
                <w:bCs/>
                <w:sz w:val="22"/>
                <w:szCs w:val="22"/>
                <w:lang w:eastAsia="zh-CN"/>
              </w:rPr>
              <w:t xml:space="preserve">Incidence of high viral load </w:t>
            </w:r>
            <w:r w:rsidRPr="00BB43EC">
              <w:rPr>
                <w:b/>
                <w:bCs/>
                <w:color w:val="000000"/>
                <w:sz w:val="22"/>
                <w:szCs w:val="22"/>
                <w:lang w:eastAsia="zh-CN"/>
              </w:rPr>
              <w:t>(&gt;10</w:t>
            </w:r>
            <w:r w:rsidRPr="00BB43EC">
              <w:rPr>
                <w:b/>
                <w:bCs/>
                <w:color w:val="000000"/>
                <w:sz w:val="22"/>
                <w:szCs w:val="22"/>
                <w:vertAlign w:val="superscript"/>
                <w:lang w:eastAsia="zh-CN"/>
              </w:rPr>
              <w:t>4</w:t>
            </w:r>
            <w:r w:rsidRPr="00BB43EC">
              <w:rPr>
                <w:b/>
                <w:bCs/>
                <w:color w:val="000000"/>
                <w:sz w:val="22"/>
                <w:szCs w:val="22"/>
                <w:lang w:eastAsia="zh-CN"/>
              </w:rPr>
              <w:t> copies/mL) (Key secondary)</w:t>
            </w:r>
          </w:p>
        </w:tc>
      </w:tr>
      <w:tr w:rsidR="00BB43EC" w:rsidRPr="00BB43EC" w14:paraId="7CBF3299" w14:textId="77777777" w:rsidTr="00813E59">
        <w:tc>
          <w:tcPr>
            <w:tcW w:w="5485" w:type="dxa"/>
          </w:tcPr>
          <w:p w14:paraId="7C868731" w14:textId="77777777" w:rsidR="00BB43EC" w:rsidRPr="00BB43EC" w:rsidRDefault="00BB43EC" w:rsidP="00813E59">
            <w:pPr>
              <w:ind w:left="346"/>
              <w:rPr>
                <w:sz w:val="22"/>
                <w:szCs w:val="22"/>
                <w:lang w:eastAsia="zh-CN"/>
              </w:rPr>
            </w:pPr>
            <w:r w:rsidRPr="00BB43EC">
              <w:rPr>
                <w:sz w:val="22"/>
                <w:szCs w:val="22"/>
                <w:lang w:eastAsia="zh-CN"/>
              </w:rPr>
              <w:t>Risk Reduction</w:t>
            </w:r>
          </w:p>
          <w:p w14:paraId="4FFD5D15" w14:textId="77777777" w:rsidR="00BB43EC" w:rsidRPr="00BB43EC" w:rsidRDefault="00BB43EC" w:rsidP="00813E59">
            <w:pPr>
              <w:ind w:left="346"/>
              <w:rPr>
                <w:sz w:val="22"/>
                <w:szCs w:val="22"/>
                <w:lang w:eastAsia="zh-CN"/>
              </w:rPr>
            </w:pPr>
            <w:r w:rsidRPr="00BB43EC">
              <w:rPr>
                <w:sz w:val="22"/>
                <w:szCs w:val="22"/>
                <w:lang w:eastAsia="zh-CN"/>
              </w:rPr>
              <w:t>(Odds ratio, p-value)</w:t>
            </w:r>
          </w:p>
        </w:tc>
        <w:tc>
          <w:tcPr>
            <w:tcW w:w="4140" w:type="dxa"/>
            <w:gridSpan w:val="2"/>
          </w:tcPr>
          <w:p w14:paraId="45E8D940" w14:textId="77777777" w:rsidR="00BB43EC" w:rsidRPr="00BB43EC" w:rsidRDefault="00BB43EC" w:rsidP="00813E59">
            <w:pPr>
              <w:jc w:val="center"/>
              <w:rPr>
                <w:sz w:val="22"/>
                <w:szCs w:val="22"/>
                <w:lang w:eastAsia="zh-CN"/>
              </w:rPr>
            </w:pPr>
            <w:r w:rsidRPr="00BB43EC">
              <w:rPr>
                <w:sz w:val="22"/>
                <w:szCs w:val="22"/>
                <w:lang w:eastAsia="zh-CN"/>
              </w:rPr>
              <w:t>86%</w:t>
            </w:r>
          </w:p>
          <w:p w14:paraId="10E3584D" w14:textId="77777777" w:rsidR="00BB43EC" w:rsidRPr="00BB43EC" w:rsidRDefault="00BB43EC" w:rsidP="00813E59">
            <w:pPr>
              <w:jc w:val="center"/>
              <w:rPr>
                <w:sz w:val="22"/>
                <w:szCs w:val="22"/>
                <w:lang w:eastAsia="zh-CN"/>
              </w:rPr>
            </w:pPr>
            <w:r w:rsidRPr="00BB43EC">
              <w:rPr>
                <w:sz w:val="22"/>
                <w:szCs w:val="22"/>
                <w:lang w:eastAsia="zh-CN"/>
              </w:rPr>
              <w:t>(0.13; p &lt; 0.0001)</w:t>
            </w:r>
          </w:p>
        </w:tc>
      </w:tr>
      <w:tr w:rsidR="00BB43EC" w:rsidRPr="00BB43EC" w14:paraId="1AF03E91" w14:textId="77777777" w:rsidTr="00813E59">
        <w:tc>
          <w:tcPr>
            <w:tcW w:w="5485" w:type="dxa"/>
          </w:tcPr>
          <w:p w14:paraId="4E05135D" w14:textId="77777777" w:rsidR="00BB43EC" w:rsidRPr="00BB43EC" w:rsidRDefault="00BB43EC" w:rsidP="00813E59">
            <w:pPr>
              <w:ind w:left="346"/>
              <w:rPr>
                <w:sz w:val="22"/>
                <w:szCs w:val="22"/>
                <w:lang w:eastAsia="zh-CN"/>
              </w:rPr>
            </w:pPr>
            <w:r w:rsidRPr="00BB43EC">
              <w:rPr>
                <w:sz w:val="22"/>
                <w:szCs w:val="22"/>
                <w:lang w:eastAsia="zh-CN"/>
              </w:rPr>
              <w:t>Number of individuals with events</w:t>
            </w:r>
            <w:r w:rsidRPr="00BB43EC">
              <w:rPr>
                <w:sz w:val="22"/>
                <w:szCs w:val="22"/>
                <w:vertAlign w:val="superscript"/>
                <w:lang w:eastAsia="zh-CN"/>
              </w:rPr>
              <w:t>4</w:t>
            </w:r>
          </w:p>
        </w:tc>
        <w:tc>
          <w:tcPr>
            <w:tcW w:w="2250" w:type="dxa"/>
          </w:tcPr>
          <w:p w14:paraId="33C4B353" w14:textId="77777777" w:rsidR="00BB43EC" w:rsidRPr="00BB43EC" w:rsidRDefault="00BB43EC" w:rsidP="00813E59">
            <w:pPr>
              <w:jc w:val="center"/>
              <w:rPr>
                <w:sz w:val="22"/>
                <w:szCs w:val="22"/>
                <w:lang w:eastAsia="zh-CN"/>
              </w:rPr>
            </w:pPr>
            <w:r w:rsidRPr="00BB43EC">
              <w:rPr>
                <w:sz w:val="22"/>
                <w:szCs w:val="22"/>
                <w:lang w:eastAsia="zh-CN"/>
              </w:rPr>
              <w:t>12/745 (1.6%)</w:t>
            </w:r>
          </w:p>
        </w:tc>
        <w:tc>
          <w:tcPr>
            <w:tcW w:w="1890" w:type="dxa"/>
          </w:tcPr>
          <w:p w14:paraId="1C203725" w14:textId="77777777" w:rsidR="00BB43EC" w:rsidRPr="00BB43EC" w:rsidRDefault="00BB43EC" w:rsidP="00813E59">
            <w:pPr>
              <w:jc w:val="center"/>
              <w:rPr>
                <w:sz w:val="22"/>
                <w:szCs w:val="22"/>
                <w:lang w:eastAsia="zh-CN"/>
              </w:rPr>
            </w:pPr>
            <w:r w:rsidRPr="00BB43EC">
              <w:rPr>
                <w:sz w:val="22"/>
                <w:szCs w:val="22"/>
                <w:lang w:eastAsia="zh-CN"/>
              </w:rPr>
              <w:t>85/749 (11.3%)</w:t>
            </w:r>
          </w:p>
        </w:tc>
      </w:tr>
      <w:tr w:rsidR="00BB43EC" w:rsidRPr="00BB43EC" w14:paraId="0D2E6DBF" w14:textId="77777777" w:rsidTr="00813E59">
        <w:trPr>
          <w:trHeight w:val="58"/>
        </w:trPr>
        <w:tc>
          <w:tcPr>
            <w:tcW w:w="9625" w:type="dxa"/>
            <w:gridSpan w:val="3"/>
          </w:tcPr>
          <w:p w14:paraId="30141320" w14:textId="77777777" w:rsidR="00BB43EC" w:rsidRPr="00BB43EC" w:rsidRDefault="00BB43EC" w:rsidP="00813E59">
            <w:pPr>
              <w:jc w:val="center"/>
              <w:rPr>
                <w:bCs/>
                <w:sz w:val="22"/>
                <w:szCs w:val="22"/>
                <w:lang w:eastAsia="zh-CN"/>
              </w:rPr>
            </w:pPr>
          </w:p>
        </w:tc>
      </w:tr>
      <w:tr w:rsidR="00BB43EC" w:rsidRPr="00BB43EC" w14:paraId="729FEF8F" w14:textId="77777777" w:rsidTr="00813E59">
        <w:tc>
          <w:tcPr>
            <w:tcW w:w="5485" w:type="dxa"/>
          </w:tcPr>
          <w:p w14:paraId="4934F7ED" w14:textId="77777777" w:rsidR="00BB43EC" w:rsidRPr="00BB43EC" w:rsidRDefault="00BB43EC" w:rsidP="00813E59">
            <w:pPr>
              <w:keepNext/>
              <w:jc w:val="center"/>
              <w:rPr>
                <w:b/>
                <w:bCs/>
                <w:sz w:val="22"/>
                <w:szCs w:val="22"/>
                <w:lang w:eastAsia="zh-CN"/>
              </w:rPr>
            </w:pPr>
            <w:r w:rsidRPr="00BB43EC">
              <w:rPr>
                <w:b/>
                <w:bCs/>
                <w:sz w:val="22"/>
                <w:szCs w:val="22"/>
                <w:lang w:eastAsia="zh-CN"/>
              </w:rPr>
              <w:t>All Subjects Regardless of Serology Status at Baseline</w:t>
            </w:r>
          </w:p>
        </w:tc>
        <w:tc>
          <w:tcPr>
            <w:tcW w:w="2250" w:type="dxa"/>
          </w:tcPr>
          <w:p w14:paraId="10181A24" w14:textId="77777777" w:rsidR="00BB43EC" w:rsidRPr="00BB43EC" w:rsidRDefault="00BB43EC" w:rsidP="00813E59">
            <w:pPr>
              <w:keepNext/>
              <w:jc w:val="center"/>
              <w:rPr>
                <w:sz w:val="22"/>
                <w:szCs w:val="22"/>
                <w:lang w:eastAsia="zh-CN"/>
              </w:rPr>
            </w:pPr>
            <w:r w:rsidRPr="00BB43EC">
              <w:rPr>
                <w:sz w:val="22"/>
                <w:szCs w:val="22"/>
                <w:lang w:eastAsia="zh-CN"/>
              </w:rPr>
              <w:t>1046</w:t>
            </w:r>
          </w:p>
        </w:tc>
        <w:tc>
          <w:tcPr>
            <w:tcW w:w="1890" w:type="dxa"/>
          </w:tcPr>
          <w:p w14:paraId="07AF7ECB" w14:textId="77777777" w:rsidR="00BB43EC" w:rsidRPr="00BB43EC" w:rsidRDefault="00BB43EC" w:rsidP="00813E59">
            <w:pPr>
              <w:keepNext/>
              <w:jc w:val="center"/>
              <w:rPr>
                <w:sz w:val="22"/>
                <w:szCs w:val="22"/>
                <w:lang w:eastAsia="zh-CN"/>
              </w:rPr>
            </w:pPr>
            <w:r w:rsidRPr="00BB43EC">
              <w:rPr>
                <w:sz w:val="22"/>
                <w:szCs w:val="22"/>
                <w:lang w:eastAsia="zh-CN"/>
              </w:rPr>
              <w:t>1021</w:t>
            </w:r>
          </w:p>
        </w:tc>
      </w:tr>
      <w:tr w:rsidR="00BB43EC" w:rsidRPr="00BB43EC" w14:paraId="7616B089" w14:textId="77777777" w:rsidTr="00813E59">
        <w:tc>
          <w:tcPr>
            <w:tcW w:w="9625" w:type="dxa"/>
            <w:gridSpan w:val="3"/>
            <w:shd w:val="clear" w:color="auto" w:fill="BFBFBF" w:themeFill="background1" w:themeFillShade="BF"/>
          </w:tcPr>
          <w:p w14:paraId="7CB63B87" w14:textId="77777777" w:rsidR="00BB43EC" w:rsidRPr="00BB43EC" w:rsidRDefault="00BB43EC" w:rsidP="00813E59">
            <w:pPr>
              <w:rPr>
                <w:sz w:val="22"/>
                <w:szCs w:val="22"/>
                <w:lang w:eastAsia="zh-CN"/>
              </w:rPr>
            </w:pPr>
            <w:r w:rsidRPr="00BB43EC">
              <w:rPr>
                <w:b/>
                <w:bCs/>
                <w:sz w:val="22"/>
                <w:szCs w:val="22"/>
                <w:lang w:eastAsia="zh-CN"/>
              </w:rPr>
              <w:t>Risk of COVID-19 through day 29 (Sensitivity analysis)</w:t>
            </w:r>
            <w:r w:rsidRPr="00BB43EC">
              <w:rPr>
                <w:b/>
                <w:bCs/>
                <w:sz w:val="22"/>
                <w:szCs w:val="22"/>
                <w:vertAlign w:val="superscript"/>
                <w:lang w:eastAsia="zh-CN"/>
              </w:rPr>
              <w:t>3</w:t>
            </w:r>
          </w:p>
        </w:tc>
      </w:tr>
      <w:tr w:rsidR="00BB43EC" w:rsidRPr="00BB43EC" w14:paraId="56AAF10A" w14:textId="77777777" w:rsidTr="00813E59">
        <w:tc>
          <w:tcPr>
            <w:tcW w:w="5485" w:type="dxa"/>
          </w:tcPr>
          <w:p w14:paraId="5F7F79C5" w14:textId="77777777" w:rsidR="00BB43EC" w:rsidRPr="00BB43EC" w:rsidRDefault="00BB43EC" w:rsidP="00813E59">
            <w:pPr>
              <w:ind w:left="346"/>
              <w:rPr>
                <w:sz w:val="22"/>
                <w:szCs w:val="22"/>
                <w:lang w:eastAsia="zh-CN"/>
              </w:rPr>
            </w:pPr>
            <w:r w:rsidRPr="00BB43EC">
              <w:rPr>
                <w:sz w:val="22"/>
                <w:szCs w:val="22"/>
                <w:lang w:eastAsia="zh-CN"/>
              </w:rPr>
              <w:t>Risk Reduction</w:t>
            </w:r>
          </w:p>
          <w:p w14:paraId="386F5A1A" w14:textId="77777777" w:rsidR="00BB43EC" w:rsidRPr="00BB43EC" w:rsidRDefault="00BB43EC" w:rsidP="00813E59">
            <w:pPr>
              <w:ind w:left="346"/>
              <w:rPr>
                <w:sz w:val="22"/>
                <w:szCs w:val="22"/>
                <w:lang w:eastAsia="zh-CN"/>
              </w:rPr>
            </w:pPr>
            <w:r w:rsidRPr="00BB43EC">
              <w:rPr>
                <w:sz w:val="22"/>
                <w:szCs w:val="22"/>
                <w:lang w:eastAsia="zh-CN"/>
              </w:rPr>
              <w:t>(Odds ratio, nominal p-value)</w:t>
            </w:r>
          </w:p>
        </w:tc>
        <w:tc>
          <w:tcPr>
            <w:tcW w:w="4140" w:type="dxa"/>
            <w:gridSpan w:val="2"/>
          </w:tcPr>
          <w:p w14:paraId="22E061A0" w14:textId="77777777" w:rsidR="00BB43EC" w:rsidRPr="00BB43EC" w:rsidRDefault="00BB43EC" w:rsidP="00813E59">
            <w:pPr>
              <w:jc w:val="center"/>
              <w:rPr>
                <w:sz w:val="22"/>
                <w:szCs w:val="22"/>
                <w:lang w:eastAsia="zh-CN"/>
              </w:rPr>
            </w:pPr>
            <w:r w:rsidRPr="00BB43EC">
              <w:rPr>
                <w:sz w:val="22"/>
                <w:szCs w:val="22"/>
                <w:lang w:eastAsia="zh-CN"/>
              </w:rPr>
              <w:t>82%</w:t>
            </w:r>
          </w:p>
          <w:p w14:paraId="150E0A39" w14:textId="77777777" w:rsidR="00BB43EC" w:rsidRPr="00BB43EC" w:rsidRDefault="00BB43EC" w:rsidP="00813E59">
            <w:pPr>
              <w:jc w:val="center"/>
              <w:rPr>
                <w:sz w:val="22"/>
                <w:szCs w:val="22"/>
                <w:lang w:eastAsia="zh-CN"/>
              </w:rPr>
            </w:pPr>
            <w:r w:rsidRPr="00BB43EC">
              <w:rPr>
                <w:sz w:val="22"/>
                <w:szCs w:val="22"/>
                <w:lang w:eastAsia="zh-CN"/>
              </w:rPr>
              <w:t>(0.17; p &lt; 0.0001)</w:t>
            </w:r>
          </w:p>
        </w:tc>
      </w:tr>
      <w:tr w:rsidR="00BB43EC" w:rsidRPr="00BB43EC" w14:paraId="7ACB47D5" w14:textId="77777777" w:rsidTr="00813E59">
        <w:tc>
          <w:tcPr>
            <w:tcW w:w="5485" w:type="dxa"/>
          </w:tcPr>
          <w:p w14:paraId="76EDFFA5" w14:textId="77777777" w:rsidR="00BB43EC" w:rsidRPr="00BB43EC" w:rsidRDefault="00BB43EC" w:rsidP="00813E59">
            <w:pPr>
              <w:ind w:left="346"/>
              <w:rPr>
                <w:sz w:val="22"/>
                <w:szCs w:val="22"/>
                <w:lang w:eastAsia="zh-CN"/>
              </w:rPr>
            </w:pPr>
            <w:r w:rsidRPr="00BB43EC">
              <w:rPr>
                <w:sz w:val="22"/>
                <w:szCs w:val="22"/>
                <w:lang w:eastAsia="zh-CN"/>
              </w:rPr>
              <w:t>Number of individuals with events</w:t>
            </w:r>
          </w:p>
        </w:tc>
        <w:tc>
          <w:tcPr>
            <w:tcW w:w="2250" w:type="dxa"/>
          </w:tcPr>
          <w:p w14:paraId="2375562D" w14:textId="77777777" w:rsidR="00BB43EC" w:rsidRPr="00BB43EC" w:rsidRDefault="00BB43EC" w:rsidP="00813E59">
            <w:pPr>
              <w:jc w:val="center"/>
              <w:rPr>
                <w:sz w:val="22"/>
                <w:szCs w:val="22"/>
                <w:highlight w:val="yellow"/>
                <w:lang w:eastAsia="zh-CN"/>
              </w:rPr>
            </w:pPr>
            <w:r w:rsidRPr="00BB43EC">
              <w:rPr>
                <w:sz w:val="22"/>
                <w:szCs w:val="22"/>
                <w:lang w:eastAsia="zh-CN"/>
              </w:rPr>
              <w:t>12 (1.1%)</w:t>
            </w:r>
          </w:p>
        </w:tc>
        <w:tc>
          <w:tcPr>
            <w:tcW w:w="1890" w:type="dxa"/>
          </w:tcPr>
          <w:p w14:paraId="6777D24A" w14:textId="77777777" w:rsidR="00BB43EC" w:rsidRPr="00BB43EC" w:rsidRDefault="00BB43EC" w:rsidP="00813E59">
            <w:pPr>
              <w:jc w:val="center"/>
              <w:rPr>
                <w:sz w:val="22"/>
                <w:szCs w:val="22"/>
                <w:highlight w:val="yellow"/>
                <w:lang w:eastAsia="zh-CN"/>
              </w:rPr>
            </w:pPr>
            <w:r w:rsidRPr="00BB43EC">
              <w:rPr>
                <w:sz w:val="22"/>
                <w:szCs w:val="22"/>
                <w:lang w:eastAsia="zh-CN"/>
              </w:rPr>
              <w:t>66 (6.5%)</w:t>
            </w:r>
          </w:p>
        </w:tc>
      </w:tr>
      <w:tr w:rsidR="00BB43EC" w:rsidRPr="00BB43EC" w14:paraId="18E9A012" w14:textId="77777777" w:rsidTr="00813E59">
        <w:tc>
          <w:tcPr>
            <w:tcW w:w="9625" w:type="dxa"/>
            <w:gridSpan w:val="3"/>
          </w:tcPr>
          <w:p w14:paraId="638FA63F" w14:textId="77777777" w:rsidR="00BB43EC" w:rsidRPr="00BB43EC" w:rsidRDefault="00BB43EC" w:rsidP="00813E59">
            <w:pPr>
              <w:ind w:left="346"/>
              <w:jc w:val="center"/>
              <w:rPr>
                <w:b/>
                <w:bCs/>
                <w:sz w:val="22"/>
                <w:szCs w:val="22"/>
                <w:lang w:eastAsia="zh-CN"/>
              </w:rPr>
            </w:pPr>
          </w:p>
        </w:tc>
      </w:tr>
      <w:tr w:rsidR="00BB43EC" w:rsidRPr="00BB43EC" w14:paraId="614F46B6" w14:textId="77777777" w:rsidTr="00813E59">
        <w:tc>
          <w:tcPr>
            <w:tcW w:w="5485" w:type="dxa"/>
          </w:tcPr>
          <w:p w14:paraId="55AE9C91" w14:textId="77777777" w:rsidR="00BB43EC" w:rsidRPr="00BB43EC" w:rsidRDefault="00BB43EC" w:rsidP="00813E59">
            <w:pPr>
              <w:ind w:left="346"/>
              <w:jc w:val="center"/>
              <w:rPr>
                <w:sz w:val="22"/>
                <w:szCs w:val="22"/>
                <w:lang w:eastAsia="zh-CN"/>
              </w:rPr>
            </w:pPr>
            <w:r w:rsidRPr="00BB43EC">
              <w:rPr>
                <w:b/>
                <w:bCs/>
                <w:sz w:val="22"/>
                <w:szCs w:val="22"/>
                <w:lang w:eastAsia="zh-CN"/>
              </w:rPr>
              <w:t>Seropositive at Baseline</w:t>
            </w:r>
          </w:p>
        </w:tc>
        <w:tc>
          <w:tcPr>
            <w:tcW w:w="2250" w:type="dxa"/>
          </w:tcPr>
          <w:p w14:paraId="26B95233" w14:textId="77777777" w:rsidR="00BB43EC" w:rsidRPr="00BB43EC" w:rsidRDefault="00BB43EC" w:rsidP="00813E59">
            <w:pPr>
              <w:jc w:val="center"/>
              <w:rPr>
                <w:sz w:val="22"/>
                <w:szCs w:val="22"/>
                <w:lang w:eastAsia="zh-CN"/>
              </w:rPr>
            </w:pPr>
            <w:r w:rsidRPr="00BB43EC">
              <w:rPr>
                <w:sz w:val="22"/>
                <w:szCs w:val="22"/>
                <w:lang w:eastAsia="zh-CN"/>
              </w:rPr>
              <w:t>235</w:t>
            </w:r>
          </w:p>
        </w:tc>
        <w:tc>
          <w:tcPr>
            <w:tcW w:w="1890" w:type="dxa"/>
          </w:tcPr>
          <w:p w14:paraId="2E933B1B" w14:textId="77777777" w:rsidR="00BB43EC" w:rsidRPr="00BB43EC" w:rsidRDefault="00BB43EC" w:rsidP="00813E59">
            <w:pPr>
              <w:jc w:val="center"/>
              <w:rPr>
                <w:sz w:val="22"/>
                <w:szCs w:val="22"/>
                <w:lang w:eastAsia="zh-CN"/>
              </w:rPr>
            </w:pPr>
            <w:r w:rsidRPr="00BB43EC">
              <w:rPr>
                <w:sz w:val="22"/>
                <w:szCs w:val="22"/>
                <w:lang w:eastAsia="zh-CN"/>
              </w:rPr>
              <w:t>222</w:t>
            </w:r>
          </w:p>
        </w:tc>
      </w:tr>
      <w:tr w:rsidR="00BB43EC" w:rsidRPr="00BB43EC" w14:paraId="154DA18D" w14:textId="77777777" w:rsidTr="00813E59">
        <w:tc>
          <w:tcPr>
            <w:tcW w:w="9625" w:type="dxa"/>
            <w:gridSpan w:val="3"/>
            <w:shd w:val="clear" w:color="auto" w:fill="BFBFBF" w:themeFill="background1" w:themeFillShade="BF"/>
          </w:tcPr>
          <w:p w14:paraId="39588E08" w14:textId="77777777" w:rsidR="00BB43EC" w:rsidRPr="00BB43EC" w:rsidRDefault="00BB43EC" w:rsidP="00813E59">
            <w:pPr>
              <w:ind w:left="-18"/>
              <w:rPr>
                <w:b/>
                <w:bCs/>
                <w:sz w:val="22"/>
                <w:szCs w:val="22"/>
                <w:lang w:eastAsia="zh-CN"/>
              </w:rPr>
            </w:pPr>
            <w:r w:rsidRPr="00BB43EC">
              <w:rPr>
                <w:b/>
                <w:bCs/>
                <w:sz w:val="22"/>
                <w:szCs w:val="22"/>
                <w:lang w:eastAsia="zh-CN"/>
              </w:rPr>
              <w:t>Risk of COVID-19 through Day 29</w:t>
            </w:r>
            <w:r w:rsidRPr="00BB43EC">
              <w:rPr>
                <w:b/>
                <w:bCs/>
                <w:sz w:val="22"/>
                <w:szCs w:val="22"/>
                <w:vertAlign w:val="superscript"/>
                <w:lang w:eastAsia="zh-CN"/>
              </w:rPr>
              <w:t>3</w:t>
            </w:r>
          </w:p>
        </w:tc>
      </w:tr>
      <w:tr w:rsidR="00BB43EC" w:rsidRPr="00BB43EC" w14:paraId="302DB554" w14:textId="77777777" w:rsidTr="00813E59">
        <w:tc>
          <w:tcPr>
            <w:tcW w:w="5485" w:type="dxa"/>
          </w:tcPr>
          <w:p w14:paraId="5E3B4D20" w14:textId="77777777" w:rsidR="00BB43EC" w:rsidRPr="00BB43EC" w:rsidRDefault="00BB43EC" w:rsidP="00813E59">
            <w:pPr>
              <w:ind w:left="346"/>
              <w:rPr>
                <w:sz w:val="22"/>
                <w:szCs w:val="22"/>
                <w:lang w:eastAsia="zh-CN"/>
              </w:rPr>
            </w:pPr>
            <w:r w:rsidRPr="00BB43EC">
              <w:rPr>
                <w:sz w:val="22"/>
                <w:szCs w:val="22"/>
                <w:lang w:eastAsia="zh-CN"/>
              </w:rPr>
              <w:t>Risk Reduction</w:t>
            </w:r>
          </w:p>
          <w:p w14:paraId="240AB997" w14:textId="77777777" w:rsidR="00BB43EC" w:rsidRPr="00BB43EC" w:rsidRDefault="00BB43EC" w:rsidP="00813E59">
            <w:pPr>
              <w:ind w:left="346"/>
              <w:rPr>
                <w:sz w:val="22"/>
                <w:szCs w:val="22"/>
                <w:lang w:eastAsia="zh-CN"/>
              </w:rPr>
            </w:pPr>
            <w:r w:rsidRPr="00BB43EC">
              <w:rPr>
                <w:sz w:val="22"/>
                <w:szCs w:val="22"/>
                <w:lang w:eastAsia="zh-CN"/>
              </w:rPr>
              <w:t>(Odds ratio, nominal p-value)</w:t>
            </w:r>
          </w:p>
        </w:tc>
        <w:tc>
          <w:tcPr>
            <w:tcW w:w="4140" w:type="dxa"/>
            <w:gridSpan w:val="2"/>
          </w:tcPr>
          <w:p w14:paraId="4A7E9E16" w14:textId="77777777" w:rsidR="00BB43EC" w:rsidRPr="00BB43EC" w:rsidRDefault="00BB43EC" w:rsidP="00813E59">
            <w:pPr>
              <w:jc w:val="center"/>
              <w:rPr>
                <w:sz w:val="22"/>
                <w:szCs w:val="22"/>
                <w:lang w:eastAsia="zh-CN"/>
              </w:rPr>
            </w:pPr>
            <w:r w:rsidRPr="00BB43EC">
              <w:rPr>
                <w:sz w:val="22"/>
                <w:szCs w:val="22"/>
                <w:lang w:eastAsia="zh-CN"/>
              </w:rPr>
              <w:t>81%</w:t>
            </w:r>
          </w:p>
          <w:p w14:paraId="76838FB9" w14:textId="77777777" w:rsidR="00BB43EC" w:rsidRPr="00BB43EC" w:rsidRDefault="00BB43EC" w:rsidP="00813E59">
            <w:pPr>
              <w:jc w:val="center"/>
              <w:rPr>
                <w:sz w:val="22"/>
                <w:szCs w:val="22"/>
                <w:lang w:eastAsia="zh-CN"/>
              </w:rPr>
            </w:pPr>
            <w:r w:rsidRPr="00BB43EC">
              <w:rPr>
                <w:sz w:val="22"/>
                <w:szCs w:val="22"/>
                <w:lang w:eastAsia="zh-CN"/>
              </w:rPr>
              <w:t>(0.19; p = 0.1369)</w:t>
            </w:r>
          </w:p>
        </w:tc>
      </w:tr>
      <w:tr w:rsidR="00BB43EC" w:rsidRPr="00BB43EC" w14:paraId="0AF90CBD" w14:textId="77777777" w:rsidTr="00813E59">
        <w:tc>
          <w:tcPr>
            <w:tcW w:w="5485" w:type="dxa"/>
          </w:tcPr>
          <w:p w14:paraId="64921A93" w14:textId="77777777" w:rsidR="00BB43EC" w:rsidRPr="00BB43EC" w:rsidRDefault="00BB43EC" w:rsidP="00813E59">
            <w:pPr>
              <w:ind w:left="346"/>
              <w:rPr>
                <w:sz w:val="22"/>
                <w:szCs w:val="22"/>
                <w:lang w:eastAsia="zh-CN"/>
              </w:rPr>
            </w:pPr>
            <w:r w:rsidRPr="00BB43EC">
              <w:rPr>
                <w:sz w:val="22"/>
                <w:szCs w:val="22"/>
                <w:lang w:eastAsia="zh-CN"/>
              </w:rPr>
              <w:lastRenderedPageBreak/>
              <w:t>Number of individuals with events</w:t>
            </w:r>
          </w:p>
        </w:tc>
        <w:tc>
          <w:tcPr>
            <w:tcW w:w="2250" w:type="dxa"/>
          </w:tcPr>
          <w:p w14:paraId="5412690B" w14:textId="77777777" w:rsidR="00BB43EC" w:rsidRPr="00BB43EC" w:rsidRDefault="00BB43EC" w:rsidP="00813E59">
            <w:pPr>
              <w:jc w:val="center"/>
              <w:rPr>
                <w:sz w:val="22"/>
                <w:szCs w:val="22"/>
                <w:lang w:eastAsia="zh-CN"/>
              </w:rPr>
            </w:pPr>
            <w:r w:rsidRPr="00BB43EC">
              <w:rPr>
                <w:sz w:val="22"/>
                <w:szCs w:val="22"/>
                <w:lang w:eastAsia="zh-CN"/>
              </w:rPr>
              <w:t>1 (0.4%)</w:t>
            </w:r>
          </w:p>
        </w:tc>
        <w:tc>
          <w:tcPr>
            <w:tcW w:w="1890" w:type="dxa"/>
          </w:tcPr>
          <w:p w14:paraId="6154BD8F" w14:textId="77777777" w:rsidR="00BB43EC" w:rsidRPr="00BB43EC" w:rsidRDefault="00BB43EC" w:rsidP="00813E59">
            <w:pPr>
              <w:jc w:val="center"/>
              <w:rPr>
                <w:sz w:val="22"/>
                <w:szCs w:val="22"/>
                <w:lang w:eastAsia="zh-CN"/>
              </w:rPr>
            </w:pPr>
            <w:r w:rsidRPr="00BB43EC">
              <w:rPr>
                <w:sz w:val="22"/>
                <w:szCs w:val="22"/>
                <w:lang w:eastAsia="zh-CN"/>
              </w:rPr>
              <w:t>5 (2.3%)</w:t>
            </w:r>
          </w:p>
        </w:tc>
      </w:tr>
    </w:tbl>
    <w:p w14:paraId="0F6A76D2" w14:textId="403DDC91" w:rsidR="00BB43EC" w:rsidRPr="00BB43EC" w:rsidRDefault="00BB43EC" w:rsidP="00BB43EC">
      <w:pPr>
        <w:pStyle w:val="ListParagraph"/>
        <w:ind w:left="567" w:hanging="567"/>
        <w:rPr>
          <w:sz w:val="20"/>
          <w:szCs w:val="20"/>
        </w:rPr>
      </w:pPr>
      <w:r w:rsidRPr="00BB43EC">
        <w:rPr>
          <w:sz w:val="20"/>
          <w:szCs w:val="20"/>
        </w:rPr>
        <w:t>1.</w:t>
      </w:r>
      <w:r w:rsidRPr="00BB43EC">
        <w:rPr>
          <w:sz w:val="20"/>
          <w:szCs w:val="20"/>
        </w:rPr>
        <w:tab/>
      </w:r>
      <w:r w:rsidR="00C50CAB" w:rsidRPr="00C50CAB">
        <w:rPr>
          <w:sz w:val="20"/>
          <w:szCs w:val="20"/>
        </w:rPr>
        <w:t>The confidence interval (CI) with p-value is based on the odds ratio (</w:t>
      </w:r>
      <w:proofErr w:type="spellStart"/>
      <w:r w:rsidR="00C50CAB" w:rsidRPr="00C50CAB">
        <w:rPr>
          <w:sz w:val="20"/>
          <w:szCs w:val="20"/>
        </w:rPr>
        <w:t>casirivimab+imdevimab</w:t>
      </w:r>
      <w:proofErr w:type="spellEnd"/>
      <w:r w:rsidR="00C50CAB" w:rsidRPr="00C50CAB">
        <w:rPr>
          <w:sz w:val="20"/>
          <w:szCs w:val="20"/>
        </w:rPr>
        <w:t xml:space="preserve"> group vs placebo group) using logistic regression model with the fixed categorical effects of treatment group, age group (age in years: ≥12 to&lt;50 and ≥50), and region (US vs ex-US)</w:t>
      </w:r>
    </w:p>
    <w:p w14:paraId="025D06B2" w14:textId="77777777" w:rsidR="00BB43EC" w:rsidRPr="00BB43EC" w:rsidRDefault="00BB43EC" w:rsidP="00BB43EC">
      <w:pPr>
        <w:pStyle w:val="ListParagraph"/>
        <w:ind w:left="567" w:hanging="567"/>
        <w:rPr>
          <w:sz w:val="20"/>
          <w:szCs w:val="20"/>
        </w:rPr>
      </w:pPr>
      <w:r w:rsidRPr="00BB43EC">
        <w:rPr>
          <w:sz w:val="20"/>
          <w:szCs w:val="20"/>
        </w:rPr>
        <w:t>2.</w:t>
      </w:r>
      <w:r w:rsidRPr="00BB43EC">
        <w:rPr>
          <w:sz w:val="20"/>
          <w:szCs w:val="20"/>
        </w:rPr>
        <w:tab/>
        <w:t>Based on the normalised duration per 1000 subjects</w:t>
      </w:r>
    </w:p>
    <w:p w14:paraId="45D69B2D" w14:textId="77777777" w:rsidR="00BB43EC" w:rsidRPr="00BB43EC" w:rsidRDefault="00BB43EC" w:rsidP="00BB43EC">
      <w:pPr>
        <w:pStyle w:val="ListParagraph"/>
        <w:ind w:left="567" w:hanging="567"/>
        <w:rPr>
          <w:sz w:val="20"/>
          <w:szCs w:val="20"/>
        </w:rPr>
      </w:pPr>
      <w:r w:rsidRPr="00BB43EC">
        <w:rPr>
          <w:sz w:val="20"/>
          <w:szCs w:val="20"/>
        </w:rPr>
        <w:t>3.</w:t>
      </w:r>
      <w:r w:rsidRPr="00BB43EC">
        <w:rPr>
          <w:sz w:val="20"/>
          <w:szCs w:val="20"/>
        </w:rPr>
        <w:tab/>
        <w:t>Pre-specified but not included in the hypothesis testing hierarchy</w:t>
      </w:r>
    </w:p>
    <w:p w14:paraId="550BF640" w14:textId="77777777" w:rsidR="00BB43EC" w:rsidRPr="00BB43EC" w:rsidRDefault="00BB43EC" w:rsidP="00BB43EC">
      <w:pPr>
        <w:pStyle w:val="ListParagraph"/>
        <w:ind w:left="567" w:hanging="567"/>
        <w:rPr>
          <w:sz w:val="20"/>
          <w:szCs w:val="20"/>
        </w:rPr>
      </w:pPr>
      <w:r w:rsidRPr="00BB43EC">
        <w:rPr>
          <w:sz w:val="20"/>
          <w:szCs w:val="20"/>
        </w:rPr>
        <w:t>4.</w:t>
      </w:r>
      <w:r w:rsidRPr="00BB43EC">
        <w:rPr>
          <w:sz w:val="20"/>
          <w:szCs w:val="20"/>
        </w:rPr>
        <w:tab/>
        <w:t>Only individuals with post baseline viral load were included</w:t>
      </w:r>
    </w:p>
    <w:p w14:paraId="46F2CB1E" w14:textId="77777777" w:rsidR="00BB43EC" w:rsidRPr="004663D3" w:rsidRDefault="00BB43EC" w:rsidP="00BB43EC">
      <w:pPr>
        <w:keepNext/>
        <w:keepLines/>
        <w:autoSpaceDE w:val="0"/>
        <w:autoSpaceDN w:val="0"/>
        <w:adjustRightInd w:val="0"/>
      </w:pPr>
    </w:p>
    <w:p w14:paraId="6B671DE1" w14:textId="2DD65FE9" w:rsidR="00BB43EC" w:rsidRPr="004663D3" w:rsidRDefault="00BB43EC" w:rsidP="00BB43EC">
      <w:pPr>
        <w:pStyle w:val="C-TableHeader"/>
        <w:spacing w:after="120"/>
        <w:ind w:left="562" w:hanging="562"/>
        <w:rPr>
          <w:sz w:val="24"/>
          <w:szCs w:val="24"/>
        </w:rPr>
      </w:pPr>
      <w:r w:rsidRPr="004663D3">
        <w:rPr>
          <w:sz w:val="24"/>
          <w:szCs w:val="24"/>
        </w:rPr>
        <w:t>Figure </w:t>
      </w:r>
      <w:r w:rsidR="007535E3">
        <w:rPr>
          <w:sz w:val="24"/>
          <w:szCs w:val="24"/>
        </w:rPr>
        <w:t>2</w:t>
      </w:r>
      <w:r>
        <w:rPr>
          <w:sz w:val="24"/>
          <w:szCs w:val="24"/>
        </w:rPr>
        <w:t xml:space="preserve">: </w:t>
      </w:r>
      <w:r w:rsidRPr="004663D3">
        <w:rPr>
          <w:sz w:val="24"/>
          <w:szCs w:val="24"/>
        </w:rPr>
        <w:t>COV-2069-A cumulative incidence of symptomatic COVID-19 by Study Day</w:t>
      </w:r>
    </w:p>
    <w:p w14:paraId="6DF234BA" w14:textId="77777777" w:rsidR="00BB43EC" w:rsidRPr="004663D3" w:rsidRDefault="00BB43EC" w:rsidP="00BB43EC">
      <w:pPr>
        <w:keepNext/>
        <w:keepLines/>
        <w:autoSpaceDE w:val="0"/>
        <w:autoSpaceDN w:val="0"/>
        <w:adjustRightInd w:val="0"/>
      </w:pPr>
      <w:r w:rsidRPr="004663D3">
        <w:rPr>
          <w:noProof/>
          <w:lang w:val="en-AU" w:eastAsia="zh-CN"/>
        </w:rPr>
        <w:drawing>
          <wp:inline distT="0" distB="0" distL="0" distR="0" wp14:anchorId="7FDDA44D" wp14:editId="74F50AFE">
            <wp:extent cx="5486400" cy="3856355"/>
            <wp:effectExtent l="0" t="0" r="0" b="0"/>
            <wp:docPr id="4" name="Picture 4"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e 6_300dpi.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86400" cy="3856355"/>
                    </a:xfrm>
                    <a:prstGeom prst="rect">
                      <a:avLst/>
                    </a:prstGeom>
                  </pic:spPr>
                </pic:pic>
              </a:graphicData>
            </a:graphic>
          </wp:inline>
        </w:drawing>
      </w:r>
    </w:p>
    <w:p w14:paraId="2A9E4950" w14:textId="7291CC29" w:rsidR="00BB43EC" w:rsidRDefault="00BB43EC" w:rsidP="00BB43EC">
      <w:pPr>
        <w:autoSpaceDE w:val="0"/>
        <w:autoSpaceDN w:val="0"/>
        <w:adjustRightInd w:val="0"/>
      </w:pPr>
    </w:p>
    <w:p w14:paraId="23F7D997" w14:textId="77777777" w:rsidR="00BB43EC" w:rsidRPr="00BB43EC" w:rsidRDefault="00BB43EC" w:rsidP="00BB43EC">
      <w:pPr>
        <w:pStyle w:val="Heading5"/>
        <w:rPr>
          <w:u w:val="single"/>
        </w:rPr>
      </w:pPr>
      <w:r w:rsidRPr="00BB43EC">
        <w:rPr>
          <w:u w:val="single"/>
        </w:rPr>
        <w:t>Study COV</w:t>
      </w:r>
      <w:r w:rsidRPr="00BB43EC">
        <w:rPr>
          <w:u w:val="single"/>
        </w:rPr>
        <w:noBreakHyphen/>
        <w:t>2069, Cohort B</w:t>
      </w:r>
    </w:p>
    <w:p w14:paraId="766335D7" w14:textId="073CE982" w:rsidR="00BB43EC" w:rsidRPr="004663D3" w:rsidRDefault="00BB43EC" w:rsidP="00BB43EC">
      <w:r w:rsidRPr="004663D3">
        <w:t xml:space="preserve">Asymptomatic subjects with a positive SARS-CoV-2 RT-qPCR test result at baseline (n = 314) represent a post-exposure population. The primary analysis population included asymptomatic subjects who were SARS-CoV-2 RT-qPCR positive and seronegative at baseline. Of the 204 subjects in the primary analysis population, 100 subjects were randomised to receive </w:t>
      </w:r>
      <w:proofErr w:type="spellStart"/>
      <w:r w:rsidRPr="004663D3">
        <w:t>Ronapreve</w:t>
      </w:r>
      <w:proofErr w:type="spellEnd"/>
      <w:r w:rsidRPr="004663D3">
        <w:t xml:space="preserve"> and 104 subjects were randomised to placebo. Following randomisation and dosing, subjects had SARS-CoV-2 RT-qPCR testing via a nasopharyngeal swab every 7 days as well as weekly interviews with the investigator for assessment of COVID-19 symptoms during the </w:t>
      </w:r>
      <w:proofErr w:type="gramStart"/>
      <w:r w:rsidRPr="004663D3">
        <w:t>28 day</w:t>
      </w:r>
      <w:proofErr w:type="gramEnd"/>
      <w:r w:rsidRPr="004663D3">
        <w:t xml:space="preserve"> efficacy assessment period.  No data were collected on the type or extent of exposure to the index case.</w:t>
      </w:r>
    </w:p>
    <w:p w14:paraId="57157DF4" w14:textId="77777777" w:rsidR="00BB43EC" w:rsidRPr="004663D3" w:rsidRDefault="00BB43EC" w:rsidP="00BB43EC"/>
    <w:p w14:paraId="6E8DD56D" w14:textId="77777777" w:rsidR="00BB43EC" w:rsidRPr="004663D3" w:rsidRDefault="00BB43EC" w:rsidP="00BB43EC">
      <w:pPr>
        <w:autoSpaceDE w:val="0"/>
        <w:autoSpaceDN w:val="0"/>
        <w:adjustRightInd w:val="0"/>
      </w:pPr>
      <w:r w:rsidRPr="004663D3">
        <w:t xml:space="preserve">For the primary analysis population at baseline, the median age was 40 years (with 11% of subjects ages 65 years or older), 55% of the subjects were female, 85% were White, 5% were Black; 35% identified as Hispanic or Latino. The baseline demographics and disease characteristics were well balanced across the </w:t>
      </w:r>
      <w:proofErr w:type="spellStart"/>
      <w:r w:rsidRPr="004663D3">
        <w:t>casirivimab</w:t>
      </w:r>
      <w:proofErr w:type="spellEnd"/>
      <w:r w:rsidRPr="004663D3">
        <w:t xml:space="preserve"> and </w:t>
      </w:r>
      <w:proofErr w:type="spellStart"/>
      <w:r w:rsidRPr="004663D3">
        <w:t>imdevimab</w:t>
      </w:r>
      <w:proofErr w:type="spellEnd"/>
      <w:r w:rsidRPr="004663D3">
        <w:t xml:space="preserve"> and placebo treatment groups.</w:t>
      </w:r>
    </w:p>
    <w:p w14:paraId="5241A3FE" w14:textId="77777777" w:rsidR="00BB43EC" w:rsidRPr="004663D3" w:rsidRDefault="00BB43EC" w:rsidP="00BB43EC"/>
    <w:p w14:paraId="3B3D289B" w14:textId="0B3BF0C4" w:rsidR="00BB43EC" w:rsidRPr="004663D3" w:rsidRDefault="00BB43EC" w:rsidP="00BB43EC">
      <w:r w:rsidRPr="004663D3">
        <w:t xml:space="preserve">The primary efficacy endpoint was the proportion of subjects who developed </w:t>
      </w:r>
      <w:r w:rsidR="007535E3">
        <w:t>symptomatic</w:t>
      </w:r>
      <w:r w:rsidRPr="007535E3">
        <w:t xml:space="preserve"> COVID-19</w:t>
      </w:r>
      <w:r w:rsidR="007535E3" w:rsidRPr="007535E3">
        <w:rPr>
          <w:lang w:val="en-AU" w:eastAsia="zh-CN"/>
        </w:rPr>
        <w:t xml:space="preserve"> within 14 days of a positive RT-qPCR</w:t>
      </w:r>
      <w:r w:rsidRPr="007535E3">
        <w:t xml:space="preserve"> through Day 29. There was a 31% risk reduction in the development of </w:t>
      </w:r>
      <w:r w:rsidR="007535E3">
        <w:t xml:space="preserve">symptomatic </w:t>
      </w:r>
      <w:r w:rsidRPr="007535E3">
        <w:t xml:space="preserve">COVID-19 </w:t>
      </w:r>
      <w:r w:rsidR="007535E3">
        <w:t xml:space="preserve">with </w:t>
      </w:r>
      <w:proofErr w:type="spellStart"/>
      <w:r w:rsidR="007535E3">
        <w:t>Ronapreve</w:t>
      </w:r>
      <w:proofErr w:type="spellEnd"/>
      <w:r w:rsidR="007535E3">
        <w:t xml:space="preserve"> vs. placebo </w:t>
      </w:r>
      <w:r w:rsidRPr="007535E3">
        <w:t xml:space="preserve">(see </w:t>
      </w:r>
      <w:r w:rsidRPr="007535E3">
        <w:rPr>
          <w:rStyle w:val="C-Hyperlink"/>
          <w:color w:val="auto"/>
        </w:rPr>
        <w:t>Table 11</w:t>
      </w:r>
      <w:r w:rsidRPr="007535E3">
        <w:t>)</w:t>
      </w:r>
      <w:r w:rsidRPr="004663D3">
        <w:t>.</w:t>
      </w:r>
      <w:r w:rsidRPr="004663D3">
        <w:rPr>
          <w:rFonts w:eastAsia="TimesNewRomanPSMT"/>
        </w:rPr>
        <w:t xml:space="preserve"> Figure </w:t>
      </w:r>
      <w:r w:rsidR="007535E3">
        <w:rPr>
          <w:rFonts w:eastAsia="TimesNewRomanPSMT"/>
        </w:rPr>
        <w:t>3</w:t>
      </w:r>
      <w:r w:rsidR="007535E3" w:rsidRPr="004663D3">
        <w:rPr>
          <w:rFonts w:eastAsia="TimesNewRomanPSMT"/>
        </w:rPr>
        <w:t xml:space="preserve"> </w:t>
      </w:r>
      <w:r w:rsidRPr="004663D3">
        <w:t>shows the cumulative incidence of COVID-19 through Day 29.</w:t>
      </w:r>
      <w:r w:rsidRPr="004663D3">
        <w:rPr>
          <w:rFonts w:eastAsia="TimesNewRomanPSMT"/>
        </w:rPr>
        <w:t xml:space="preserve"> </w:t>
      </w:r>
    </w:p>
    <w:p w14:paraId="6445F8FB" w14:textId="77777777" w:rsidR="00BB43EC" w:rsidRPr="004663D3" w:rsidRDefault="00BB43EC" w:rsidP="00BB43EC">
      <w:pPr>
        <w:pStyle w:val="C-TableHeader"/>
        <w:keepLines/>
        <w:spacing w:after="120"/>
        <w:ind w:left="562" w:hanging="562"/>
        <w:rPr>
          <w:sz w:val="24"/>
          <w:szCs w:val="24"/>
        </w:rPr>
      </w:pPr>
      <w:r w:rsidRPr="004663D3">
        <w:rPr>
          <w:sz w:val="24"/>
          <w:szCs w:val="24"/>
        </w:rPr>
        <w:t>Table 11:</w:t>
      </w:r>
      <w:r>
        <w:rPr>
          <w:sz w:val="24"/>
          <w:szCs w:val="24"/>
        </w:rPr>
        <w:t xml:space="preserve"> </w:t>
      </w:r>
      <w:r w:rsidRPr="004663D3">
        <w:rPr>
          <w:sz w:val="24"/>
          <w:szCs w:val="24"/>
        </w:rPr>
        <w:t>Key Results in asymptomatic infected individuals Study COV-2069, Cohort B</w:t>
      </w:r>
    </w:p>
    <w:tbl>
      <w:tblPr>
        <w:tblStyle w:val="TableGrid"/>
        <w:tblW w:w="9861" w:type="dxa"/>
        <w:tblInd w:w="0" w:type="dxa"/>
        <w:tblLook w:val="04A0" w:firstRow="1" w:lastRow="0" w:firstColumn="1" w:lastColumn="0" w:noHBand="0" w:noVBand="1"/>
      </w:tblPr>
      <w:tblGrid>
        <w:gridCol w:w="6346"/>
        <w:gridCol w:w="1839"/>
        <w:gridCol w:w="1676"/>
      </w:tblGrid>
      <w:tr w:rsidR="00BB43EC" w:rsidRPr="00BB43EC" w14:paraId="0851DB04" w14:textId="77777777" w:rsidTr="00813E59">
        <w:trPr>
          <w:tblHeader/>
        </w:trPr>
        <w:tc>
          <w:tcPr>
            <w:tcW w:w="6346" w:type="dxa"/>
          </w:tcPr>
          <w:p w14:paraId="6B6D9CBB" w14:textId="77777777" w:rsidR="00BB43EC" w:rsidRPr="00BB43EC" w:rsidRDefault="00BB43EC" w:rsidP="00813E59">
            <w:pPr>
              <w:keepNext/>
              <w:keepLines/>
              <w:rPr>
                <w:sz w:val="22"/>
                <w:szCs w:val="22"/>
              </w:rPr>
            </w:pPr>
          </w:p>
        </w:tc>
        <w:tc>
          <w:tcPr>
            <w:tcW w:w="1839" w:type="dxa"/>
          </w:tcPr>
          <w:p w14:paraId="6722B32F" w14:textId="77777777" w:rsidR="00BB43EC" w:rsidRPr="00BB43EC" w:rsidRDefault="00BB43EC" w:rsidP="00813E59">
            <w:pPr>
              <w:keepNext/>
              <w:keepLines/>
              <w:jc w:val="center"/>
              <w:rPr>
                <w:b/>
                <w:bCs/>
                <w:sz w:val="22"/>
                <w:szCs w:val="22"/>
              </w:rPr>
            </w:pPr>
            <w:proofErr w:type="spellStart"/>
            <w:r w:rsidRPr="00BB43EC">
              <w:rPr>
                <w:b/>
                <w:bCs/>
                <w:sz w:val="22"/>
                <w:szCs w:val="22"/>
              </w:rPr>
              <w:t>Ronapreve</w:t>
            </w:r>
            <w:proofErr w:type="spellEnd"/>
          </w:p>
          <w:p w14:paraId="3940F8A7" w14:textId="77777777" w:rsidR="00BB43EC" w:rsidRPr="00BB43EC" w:rsidRDefault="00BB43EC" w:rsidP="00813E59">
            <w:pPr>
              <w:keepNext/>
              <w:keepLines/>
              <w:jc w:val="center"/>
              <w:rPr>
                <w:sz w:val="22"/>
                <w:szCs w:val="22"/>
              </w:rPr>
            </w:pPr>
            <w:r w:rsidRPr="00BB43EC">
              <w:rPr>
                <w:sz w:val="22"/>
                <w:szCs w:val="22"/>
              </w:rPr>
              <w:t>(single 1 200 mg dose)</w:t>
            </w:r>
          </w:p>
        </w:tc>
        <w:tc>
          <w:tcPr>
            <w:tcW w:w="1676" w:type="dxa"/>
          </w:tcPr>
          <w:p w14:paraId="0C8FEBB3" w14:textId="77777777" w:rsidR="00BB43EC" w:rsidRPr="00BB43EC" w:rsidRDefault="00BB43EC" w:rsidP="00813E59">
            <w:pPr>
              <w:keepNext/>
              <w:keepLines/>
              <w:jc w:val="center"/>
              <w:rPr>
                <w:b/>
                <w:bCs/>
                <w:sz w:val="22"/>
                <w:szCs w:val="22"/>
              </w:rPr>
            </w:pPr>
            <w:r w:rsidRPr="00BB43EC">
              <w:rPr>
                <w:b/>
                <w:bCs/>
                <w:sz w:val="22"/>
                <w:szCs w:val="22"/>
              </w:rPr>
              <w:t>Placebo</w:t>
            </w:r>
          </w:p>
        </w:tc>
      </w:tr>
      <w:tr w:rsidR="00BB43EC" w:rsidRPr="00BB43EC" w14:paraId="4731CC5B" w14:textId="77777777" w:rsidTr="00813E59">
        <w:tc>
          <w:tcPr>
            <w:tcW w:w="6346" w:type="dxa"/>
            <w:shd w:val="clear" w:color="auto" w:fill="auto"/>
          </w:tcPr>
          <w:p w14:paraId="474BE9A4" w14:textId="77777777" w:rsidR="00BB43EC" w:rsidRPr="00BB43EC" w:rsidRDefault="00BB43EC" w:rsidP="00813E59">
            <w:pPr>
              <w:keepNext/>
              <w:keepLines/>
              <w:jc w:val="center"/>
              <w:rPr>
                <w:b/>
                <w:bCs/>
                <w:sz w:val="22"/>
                <w:szCs w:val="22"/>
              </w:rPr>
            </w:pPr>
            <w:r w:rsidRPr="00BB43EC">
              <w:rPr>
                <w:b/>
                <w:bCs/>
                <w:sz w:val="22"/>
                <w:szCs w:val="22"/>
              </w:rPr>
              <w:t>Primary Analysis Population: Seronegative at Baseline</w:t>
            </w:r>
          </w:p>
        </w:tc>
        <w:tc>
          <w:tcPr>
            <w:tcW w:w="1839" w:type="dxa"/>
            <w:shd w:val="clear" w:color="auto" w:fill="auto"/>
          </w:tcPr>
          <w:p w14:paraId="464F1377" w14:textId="77777777" w:rsidR="00BB43EC" w:rsidRPr="00BB43EC" w:rsidRDefault="00BB43EC" w:rsidP="00813E59">
            <w:pPr>
              <w:keepNext/>
              <w:keepLines/>
              <w:jc w:val="center"/>
              <w:rPr>
                <w:b/>
                <w:bCs/>
                <w:sz w:val="22"/>
                <w:szCs w:val="22"/>
              </w:rPr>
            </w:pPr>
            <w:r w:rsidRPr="00BB43EC">
              <w:rPr>
                <w:sz w:val="22"/>
                <w:szCs w:val="22"/>
              </w:rPr>
              <w:t>n = 100</w:t>
            </w:r>
          </w:p>
        </w:tc>
        <w:tc>
          <w:tcPr>
            <w:tcW w:w="1676" w:type="dxa"/>
            <w:shd w:val="clear" w:color="auto" w:fill="auto"/>
          </w:tcPr>
          <w:p w14:paraId="62AAA2BB" w14:textId="77777777" w:rsidR="00BB43EC" w:rsidRPr="00BB43EC" w:rsidRDefault="00BB43EC" w:rsidP="00813E59">
            <w:pPr>
              <w:keepNext/>
              <w:keepLines/>
              <w:jc w:val="center"/>
              <w:rPr>
                <w:b/>
                <w:bCs/>
                <w:sz w:val="22"/>
                <w:szCs w:val="22"/>
              </w:rPr>
            </w:pPr>
            <w:r w:rsidRPr="00BB43EC">
              <w:rPr>
                <w:sz w:val="22"/>
                <w:szCs w:val="22"/>
              </w:rPr>
              <w:t>n = 104</w:t>
            </w:r>
          </w:p>
        </w:tc>
      </w:tr>
      <w:tr w:rsidR="00BB43EC" w:rsidRPr="00BB43EC" w14:paraId="3EF72C38" w14:textId="77777777" w:rsidTr="00813E59">
        <w:tc>
          <w:tcPr>
            <w:tcW w:w="9861" w:type="dxa"/>
            <w:gridSpan w:val="3"/>
            <w:shd w:val="clear" w:color="auto" w:fill="BFBFBF" w:themeFill="background1" w:themeFillShade="BF"/>
          </w:tcPr>
          <w:p w14:paraId="5C799287" w14:textId="77777777" w:rsidR="00BB43EC" w:rsidRPr="00BB43EC" w:rsidRDefault="00BB43EC" w:rsidP="00813E59">
            <w:pPr>
              <w:keepNext/>
              <w:keepLines/>
              <w:rPr>
                <w:sz w:val="22"/>
                <w:szCs w:val="22"/>
              </w:rPr>
            </w:pPr>
            <w:r w:rsidRPr="00BB43EC">
              <w:rPr>
                <w:b/>
                <w:bCs/>
                <w:sz w:val="22"/>
                <w:szCs w:val="22"/>
              </w:rPr>
              <w:t xml:space="preserve">Risk of COVID-19 </w:t>
            </w:r>
          </w:p>
        </w:tc>
      </w:tr>
      <w:tr w:rsidR="00BB43EC" w:rsidRPr="00BB43EC" w14:paraId="593C46DB" w14:textId="77777777" w:rsidTr="00813E59">
        <w:tc>
          <w:tcPr>
            <w:tcW w:w="9861" w:type="dxa"/>
            <w:gridSpan w:val="3"/>
            <w:shd w:val="clear" w:color="auto" w:fill="F2F2F2" w:themeFill="background1" w:themeFillShade="F2"/>
          </w:tcPr>
          <w:p w14:paraId="2B683EC1" w14:textId="77777777" w:rsidR="00BB43EC" w:rsidRPr="00BB43EC" w:rsidRDefault="00BB43EC" w:rsidP="00813E59">
            <w:pPr>
              <w:keepNext/>
              <w:keepLines/>
              <w:ind w:left="158"/>
              <w:rPr>
                <w:b/>
                <w:bCs/>
                <w:sz w:val="22"/>
                <w:szCs w:val="22"/>
              </w:rPr>
            </w:pPr>
            <w:r w:rsidRPr="00BB43EC">
              <w:rPr>
                <w:b/>
                <w:bCs/>
                <w:sz w:val="22"/>
                <w:szCs w:val="22"/>
              </w:rPr>
              <w:t>Overall risk reduction through Day 29 (primary endpoint)</w:t>
            </w:r>
          </w:p>
        </w:tc>
      </w:tr>
      <w:tr w:rsidR="00BB43EC" w:rsidRPr="00BB43EC" w14:paraId="08EA1A27" w14:textId="77777777" w:rsidTr="00813E59">
        <w:tc>
          <w:tcPr>
            <w:tcW w:w="6346" w:type="dxa"/>
          </w:tcPr>
          <w:p w14:paraId="78772A1A" w14:textId="77777777" w:rsidR="00BB43EC" w:rsidRPr="00BB43EC" w:rsidRDefault="00BB43EC" w:rsidP="00813E59">
            <w:pPr>
              <w:keepNext/>
              <w:keepLines/>
              <w:ind w:left="346"/>
              <w:rPr>
                <w:sz w:val="22"/>
                <w:szCs w:val="22"/>
              </w:rPr>
            </w:pPr>
            <w:r w:rsidRPr="00BB43EC">
              <w:rPr>
                <w:sz w:val="22"/>
                <w:szCs w:val="22"/>
              </w:rPr>
              <w:t xml:space="preserve">Risk reduction </w:t>
            </w:r>
          </w:p>
          <w:p w14:paraId="0E9732E4" w14:textId="77777777" w:rsidR="00BB43EC" w:rsidRPr="00BB43EC" w:rsidRDefault="00BB43EC" w:rsidP="00813E59">
            <w:pPr>
              <w:keepNext/>
              <w:keepLines/>
              <w:ind w:left="346"/>
              <w:rPr>
                <w:sz w:val="22"/>
                <w:szCs w:val="22"/>
              </w:rPr>
            </w:pPr>
            <w:r w:rsidRPr="00BB43EC">
              <w:rPr>
                <w:sz w:val="22"/>
                <w:szCs w:val="22"/>
              </w:rPr>
              <w:t>(Odds ratio, p-Value)</w:t>
            </w:r>
            <w:r w:rsidRPr="00BB43EC">
              <w:rPr>
                <w:b/>
                <w:bCs/>
                <w:sz w:val="22"/>
                <w:szCs w:val="22"/>
                <w:vertAlign w:val="superscript"/>
              </w:rPr>
              <w:t xml:space="preserve"> </w:t>
            </w:r>
          </w:p>
        </w:tc>
        <w:tc>
          <w:tcPr>
            <w:tcW w:w="3515" w:type="dxa"/>
            <w:gridSpan w:val="2"/>
          </w:tcPr>
          <w:p w14:paraId="598809A7" w14:textId="77777777" w:rsidR="00BB43EC" w:rsidRPr="00BB43EC" w:rsidRDefault="00BB43EC" w:rsidP="00813E59">
            <w:pPr>
              <w:keepNext/>
              <w:keepLines/>
              <w:jc w:val="center"/>
              <w:rPr>
                <w:sz w:val="22"/>
                <w:szCs w:val="22"/>
              </w:rPr>
            </w:pPr>
            <w:r w:rsidRPr="00BB43EC">
              <w:rPr>
                <w:sz w:val="22"/>
                <w:szCs w:val="22"/>
              </w:rPr>
              <w:t>31%</w:t>
            </w:r>
          </w:p>
          <w:p w14:paraId="52E727AE" w14:textId="77777777" w:rsidR="00BB43EC" w:rsidRPr="00BB43EC" w:rsidRDefault="00BB43EC" w:rsidP="00813E59">
            <w:pPr>
              <w:keepNext/>
              <w:keepLines/>
              <w:jc w:val="center"/>
              <w:rPr>
                <w:sz w:val="22"/>
                <w:szCs w:val="22"/>
              </w:rPr>
            </w:pPr>
            <w:r w:rsidRPr="00BB43EC">
              <w:rPr>
                <w:sz w:val="22"/>
                <w:szCs w:val="22"/>
              </w:rPr>
              <w:t>(0.54; p = 0.0380)</w:t>
            </w:r>
          </w:p>
        </w:tc>
      </w:tr>
      <w:tr w:rsidR="00BB43EC" w:rsidRPr="00BB43EC" w14:paraId="10D6BAA5" w14:textId="77777777" w:rsidTr="00813E59">
        <w:tc>
          <w:tcPr>
            <w:tcW w:w="6346" w:type="dxa"/>
          </w:tcPr>
          <w:p w14:paraId="17F9F8C7" w14:textId="77777777" w:rsidR="00BB43EC" w:rsidRPr="00BB43EC" w:rsidRDefault="00BB43EC" w:rsidP="00813E59">
            <w:pPr>
              <w:keepNext/>
              <w:keepLines/>
              <w:ind w:left="346"/>
              <w:rPr>
                <w:sz w:val="22"/>
                <w:szCs w:val="22"/>
              </w:rPr>
            </w:pPr>
            <w:r w:rsidRPr="00BB43EC">
              <w:rPr>
                <w:sz w:val="22"/>
                <w:szCs w:val="22"/>
              </w:rPr>
              <w:t>Number of individuals with events</w:t>
            </w:r>
          </w:p>
        </w:tc>
        <w:tc>
          <w:tcPr>
            <w:tcW w:w="1839" w:type="dxa"/>
          </w:tcPr>
          <w:p w14:paraId="6BC99D04" w14:textId="77777777" w:rsidR="00BB43EC" w:rsidRPr="00BB43EC" w:rsidRDefault="00BB43EC" w:rsidP="00813E59">
            <w:pPr>
              <w:keepNext/>
              <w:keepLines/>
              <w:jc w:val="center"/>
              <w:rPr>
                <w:sz w:val="22"/>
                <w:szCs w:val="22"/>
              </w:rPr>
            </w:pPr>
            <w:r w:rsidRPr="00BB43EC">
              <w:rPr>
                <w:sz w:val="22"/>
                <w:szCs w:val="22"/>
              </w:rPr>
              <w:t>29 (29%)</w:t>
            </w:r>
          </w:p>
        </w:tc>
        <w:tc>
          <w:tcPr>
            <w:tcW w:w="1676" w:type="dxa"/>
          </w:tcPr>
          <w:p w14:paraId="3099A188" w14:textId="77777777" w:rsidR="00BB43EC" w:rsidRPr="00BB43EC" w:rsidRDefault="00BB43EC" w:rsidP="00813E59">
            <w:pPr>
              <w:keepNext/>
              <w:keepLines/>
              <w:jc w:val="center"/>
              <w:rPr>
                <w:sz w:val="22"/>
                <w:szCs w:val="22"/>
              </w:rPr>
            </w:pPr>
            <w:r w:rsidRPr="00BB43EC">
              <w:rPr>
                <w:sz w:val="22"/>
                <w:szCs w:val="22"/>
              </w:rPr>
              <w:t>44 (42.3%)</w:t>
            </w:r>
          </w:p>
        </w:tc>
      </w:tr>
      <w:tr w:rsidR="00BB43EC" w:rsidRPr="00BB43EC" w14:paraId="0A46EFBF" w14:textId="77777777" w:rsidTr="00813E59">
        <w:tc>
          <w:tcPr>
            <w:tcW w:w="9861" w:type="dxa"/>
            <w:gridSpan w:val="3"/>
            <w:shd w:val="clear" w:color="auto" w:fill="BFBFBF" w:themeFill="background1" w:themeFillShade="BF"/>
          </w:tcPr>
          <w:p w14:paraId="51502276" w14:textId="77777777" w:rsidR="00BB43EC" w:rsidRPr="00BB43EC" w:rsidRDefault="00BB43EC" w:rsidP="00813E59">
            <w:pPr>
              <w:keepNext/>
              <w:keepLines/>
              <w:rPr>
                <w:b/>
                <w:bCs/>
                <w:color w:val="FFFFFF" w:themeColor="background1"/>
                <w:sz w:val="22"/>
                <w:szCs w:val="22"/>
              </w:rPr>
            </w:pPr>
            <w:r w:rsidRPr="00BB43EC">
              <w:rPr>
                <w:b/>
                <w:bCs/>
                <w:sz w:val="22"/>
                <w:szCs w:val="22"/>
              </w:rPr>
              <w:t xml:space="preserve">Symptoms, viral </w:t>
            </w:r>
            <w:proofErr w:type="gramStart"/>
            <w:r w:rsidRPr="00BB43EC">
              <w:rPr>
                <w:b/>
                <w:bCs/>
                <w:sz w:val="22"/>
                <w:szCs w:val="22"/>
              </w:rPr>
              <w:t>load</w:t>
            </w:r>
            <w:proofErr w:type="gramEnd"/>
            <w:r w:rsidRPr="00BB43EC">
              <w:rPr>
                <w:b/>
                <w:bCs/>
                <w:sz w:val="22"/>
                <w:szCs w:val="22"/>
              </w:rPr>
              <w:t xml:space="preserve"> and COVID-19 related events</w:t>
            </w:r>
          </w:p>
        </w:tc>
      </w:tr>
      <w:tr w:rsidR="00BB43EC" w:rsidRPr="00BB43EC" w14:paraId="5EC326F6" w14:textId="77777777" w:rsidTr="00813E59">
        <w:tc>
          <w:tcPr>
            <w:tcW w:w="9861" w:type="dxa"/>
            <w:gridSpan w:val="3"/>
            <w:shd w:val="clear" w:color="auto" w:fill="F2F2F2" w:themeFill="background1" w:themeFillShade="F2"/>
          </w:tcPr>
          <w:p w14:paraId="5E6834EC" w14:textId="77777777" w:rsidR="00BB43EC" w:rsidRPr="00BB43EC" w:rsidRDefault="00BB43EC" w:rsidP="00813E59">
            <w:pPr>
              <w:keepNext/>
              <w:keepLines/>
              <w:ind w:left="158"/>
              <w:rPr>
                <w:sz w:val="22"/>
                <w:szCs w:val="22"/>
              </w:rPr>
            </w:pPr>
            <w:r w:rsidRPr="00BB43EC">
              <w:rPr>
                <w:b/>
                <w:bCs/>
                <w:sz w:val="22"/>
                <w:szCs w:val="22"/>
              </w:rPr>
              <w:t>Total weeks with symptoms (key secondary endpoint)</w:t>
            </w:r>
          </w:p>
        </w:tc>
      </w:tr>
      <w:tr w:rsidR="00BB43EC" w:rsidRPr="00BB43EC" w14:paraId="5C2493C3" w14:textId="77777777" w:rsidTr="00813E59">
        <w:tc>
          <w:tcPr>
            <w:tcW w:w="6346" w:type="dxa"/>
          </w:tcPr>
          <w:p w14:paraId="7FBA946A" w14:textId="77777777" w:rsidR="00BB43EC" w:rsidRPr="00BB43EC" w:rsidRDefault="00BB43EC" w:rsidP="00813E59">
            <w:pPr>
              <w:keepNext/>
              <w:keepLines/>
              <w:ind w:left="346"/>
              <w:rPr>
                <w:sz w:val="22"/>
                <w:szCs w:val="22"/>
              </w:rPr>
            </w:pPr>
            <w:r w:rsidRPr="00BB43EC">
              <w:rPr>
                <w:sz w:val="22"/>
                <w:szCs w:val="22"/>
              </w:rPr>
              <w:t>Reduction</w:t>
            </w:r>
          </w:p>
          <w:p w14:paraId="33DC99AC" w14:textId="77777777" w:rsidR="00BB43EC" w:rsidRPr="00BB43EC" w:rsidRDefault="00BB43EC" w:rsidP="00813E59">
            <w:pPr>
              <w:keepNext/>
              <w:keepLines/>
              <w:ind w:left="346"/>
              <w:rPr>
                <w:sz w:val="22"/>
                <w:szCs w:val="22"/>
              </w:rPr>
            </w:pPr>
            <w:r w:rsidRPr="00BB43EC">
              <w:rPr>
                <w:sz w:val="22"/>
                <w:szCs w:val="22"/>
              </w:rPr>
              <w:t>(p-Value)</w:t>
            </w:r>
          </w:p>
        </w:tc>
        <w:tc>
          <w:tcPr>
            <w:tcW w:w="3515" w:type="dxa"/>
            <w:gridSpan w:val="2"/>
          </w:tcPr>
          <w:p w14:paraId="31003C5E" w14:textId="77777777" w:rsidR="00BB43EC" w:rsidRPr="00BB43EC" w:rsidRDefault="00BB43EC" w:rsidP="00813E59">
            <w:pPr>
              <w:keepNext/>
              <w:keepLines/>
              <w:jc w:val="center"/>
              <w:rPr>
                <w:sz w:val="22"/>
                <w:szCs w:val="22"/>
              </w:rPr>
            </w:pPr>
            <w:r w:rsidRPr="00BB43EC">
              <w:rPr>
                <w:sz w:val="22"/>
                <w:szCs w:val="22"/>
              </w:rPr>
              <w:t>45%</w:t>
            </w:r>
          </w:p>
          <w:p w14:paraId="7118B6AA" w14:textId="77777777" w:rsidR="00BB43EC" w:rsidRPr="00BB43EC" w:rsidRDefault="00BB43EC" w:rsidP="00813E59">
            <w:pPr>
              <w:keepNext/>
              <w:keepLines/>
              <w:jc w:val="center"/>
              <w:rPr>
                <w:sz w:val="22"/>
                <w:szCs w:val="22"/>
              </w:rPr>
            </w:pPr>
            <w:r w:rsidRPr="00BB43EC">
              <w:rPr>
                <w:sz w:val="22"/>
                <w:szCs w:val="22"/>
              </w:rPr>
              <w:t>(p = 0.0273)</w:t>
            </w:r>
          </w:p>
        </w:tc>
      </w:tr>
      <w:tr w:rsidR="00BB43EC" w:rsidRPr="00BB43EC" w14:paraId="2D35A314" w14:textId="77777777" w:rsidTr="00813E59">
        <w:tc>
          <w:tcPr>
            <w:tcW w:w="6346" w:type="dxa"/>
          </w:tcPr>
          <w:p w14:paraId="0245915C" w14:textId="77777777" w:rsidR="00BB43EC" w:rsidRPr="00BB43EC" w:rsidRDefault="00BB43EC" w:rsidP="00813E59">
            <w:pPr>
              <w:keepNext/>
              <w:keepLines/>
              <w:ind w:left="346"/>
              <w:rPr>
                <w:sz w:val="22"/>
                <w:szCs w:val="22"/>
              </w:rPr>
            </w:pPr>
            <w:r w:rsidRPr="00BB43EC">
              <w:rPr>
                <w:sz w:val="22"/>
                <w:szCs w:val="22"/>
              </w:rPr>
              <w:t>Total Number of weeks (cumulative for all patients in each arm)</w:t>
            </w:r>
          </w:p>
        </w:tc>
        <w:tc>
          <w:tcPr>
            <w:tcW w:w="1839" w:type="dxa"/>
          </w:tcPr>
          <w:p w14:paraId="41E63104" w14:textId="77777777" w:rsidR="00BB43EC" w:rsidRPr="00BB43EC" w:rsidRDefault="00BB43EC" w:rsidP="00813E59">
            <w:pPr>
              <w:keepNext/>
              <w:keepLines/>
              <w:jc w:val="center"/>
              <w:rPr>
                <w:sz w:val="22"/>
                <w:szCs w:val="22"/>
              </w:rPr>
            </w:pPr>
            <w:r w:rsidRPr="00BB43EC">
              <w:rPr>
                <w:sz w:val="22"/>
                <w:szCs w:val="22"/>
              </w:rPr>
              <w:t>90</w:t>
            </w:r>
          </w:p>
        </w:tc>
        <w:tc>
          <w:tcPr>
            <w:tcW w:w="1676" w:type="dxa"/>
          </w:tcPr>
          <w:p w14:paraId="36F341F2" w14:textId="77777777" w:rsidR="00BB43EC" w:rsidRPr="00BB43EC" w:rsidRDefault="00BB43EC" w:rsidP="00813E59">
            <w:pPr>
              <w:keepNext/>
              <w:keepLines/>
              <w:jc w:val="center"/>
              <w:rPr>
                <w:sz w:val="22"/>
                <w:szCs w:val="22"/>
              </w:rPr>
            </w:pPr>
            <w:r w:rsidRPr="00BB43EC">
              <w:rPr>
                <w:sz w:val="22"/>
                <w:szCs w:val="22"/>
              </w:rPr>
              <w:t>170</w:t>
            </w:r>
          </w:p>
        </w:tc>
      </w:tr>
      <w:tr w:rsidR="00BB43EC" w:rsidRPr="00BB43EC" w14:paraId="7BF8F5F5" w14:textId="77777777" w:rsidTr="00813E59">
        <w:tc>
          <w:tcPr>
            <w:tcW w:w="9861" w:type="dxa"/>
            <w:gridSpan w:val="3"/>
            <w:shd w:val="clear" w:color="auto" w:fill="F2F2F2" w:themeFill="background1" w:themeFillShade="F2"/>
          </w:tcPr>
          <w:p w14:paraId="7DBDF8A6" w14:textId="77777777" w:rsidR="00BB43EC" w:rsidRPr="00BB43EC" w:rsidRDefault="00BB43EC" w:rsidP="00813E59">
            <w:pPr>
              <w:keepNext/>
              <w:keepLines/>
              <w:ind w:left="158"/>
              <w:rPr>
                <w:sz w:val="22"/>
                <w:szCs w:val="22"/>
              </w:rPr>
            </w:pPr>
            <w:r w:rsidRPr="00BB43EC">
              <w:rPr>
                <w:b/>
                <w:bCs/>
                <w:sz w:val="22"/>
                <w:szCs w:val="22"/>
              </w:rPr>
              <w:t>Total weeks with high viral load (&gt;10</w:t>
            </w:r>
            <w:r w:rsidRPr="00BB43EC">
              <w:rPr>
                <w:b/>
                <w:bCs/>
                <w:sz w:val="22"/>
                <w:szCs w:val="22"/>
                <w:vertAlign w:val="superscript"/>
              </w:rPr>
              <w:t>4</w:t>
            </w:r>
            <w:r w:rsidRPr="00BB43EC">
              <w:rPr>
                <w:b/>
                <w:bCs/>
                <w:sz w:val="22"/>
                <w:szCs w:val="22"/>
              </w:rPr>
              <w:t> copies/mL) (key secondary endpoint)</w:t>
            </w:r>
          </w:p>
        </w:tc>
      </w:tr>
      <w:tr w:rsidR="00BB43EC" w:rsidRPr="00BB43EC" w14:paraId="500DC21C" w14:textId="77777777" w:rsidTr="00813E59">
        <w:tc>
          <w:tcPr>
            <w:tcW w:w="6346" w:type="dxa"/>
          </w:tcPr>
          <w:p w14:paraId="1900A960" w14:textId="77777777" w:rsidR="00BB43EC" w:rsidRPr="00BB43EC" w:rsidRDefault="00BB43EC" w:rsidP="00813E59">
            <w:pPr>
              <w:keepNext/>
              <w:keepLines/>
              <w:ind w:left="346"/>
              <w:rPr>
                <w:sz w:val="22"/>
                <w:szCs w:val="22"/>
              </w:rPr>
            </w:pPr>
            <w:r w:rsidRPr="00BB43EC">
              <w:rPr>
                <w:sz w:val="22"/>
                <w:szCs w:val="22"/>
              </w:rPr>
              <w:t>Reduction</w:t>
            </w:r>
          </w:p>
          <w:p w14:paraId="496E749B" w14:textId="77777777" w:rsidR="00BB43EC" w:rsidRPr="00BB43EC" w:rsidRDefault="00BB43EC" w:rsidP="00813E59">
            <w:pPr>
              <w:keepNext/>
              <w:keepLines/>
              <w:ind w:left="346"/>
              <w:rPr>
                <w:sz w:val="22"/>
                <w:szCs w:val="22"/>
              </w:rPr>
            </w:pPr>
            <w:r w:rsidRPr="00BB43EC">
              <w:rPr>
                <w:sz w:val="22"/>
                <w:szCs w:val="22"/>
              </w:rPr>
              <w:t>(p-Value)</w:t>
            </w:r>
          </w:p>
        </w:tc>
        <w:tc>
          <w:tcPr>
            <w:tcW w:w="3515" w:type="dxa"/>
            <w:gridSpan w:val="2"/>
          </w:tcPr>
          <w:p w14:paraId="2D7C4902" w14:textId="77777777" w:rsidR="00BB43EC" w:rsidRPr="00BB43EC" w:rsidRDefault="00BB43EC" w:rsidP="00813E59">
            <w:pPr>
              <w:keepNext/>
              <w:keepLines/>
              <w:jc w:val="center"/>
              <w:rPr>
                <w:sz w:val="22"/>
                <w:szCs w:val="22"/>
              </w:rPr>
            </w:pPr>
            <w:r w:rsidRPr="00BB43EC">
              <w:rPr>
                <w:sz w:val="22"/>
                <w:szCs w:val="22"/>
              </w:rPr>
              <w:t>40%</w:t>
            </w:r>
          </w:p>
          <w:p w14:paraId="14099E62" w14:textId="77777777" w:rsidR="00BB43EC" w:rsidRPr="00BB43EC" w:rsidRDefault="00BB43EC" w:rsidP="00813E59">
            <w:pPr>
              <w:keepNext/>
              <w:keepLines/>
              <w:jc w:val="center"/>
              <w:rPr>
                <w:sz w:val="22"/>
                <w:szCs w:val="22"/>
              </w:rPr>
            </w:pPr>
            <w:r w:rsidRPr="00BB43EC">
              <w:rPr>
                <w:sz w:val="22"/>
                <w:szCs w:val="22"/>
              </w:rPr>
              <w:t>(p = 0.0010)</w:t>
            </w:r>
          </w:p>
        </w:tc>
      </w:tr>
      <w:tr w:rsidR="00BB43EC" w:rsidRPr="00BB43EC" w14:paraId="2B8E46B6" w14:textId="77777777" w:rsidTr="00813E59">
        <w:tc>
          <w:tcPr>
            <w:tcW w:w="6346" w:type="dxa"/>
          </w:tcPr>
          <w:p w14:paraId="3ADC81F7" w14:textId="77777777" w:rsidR="00BB43EC" w:rsidRPr="00BB43EC" w:rsidRDefault="00BB43EC" w:rsidP="00813E59">
            <w:pPr>
              <w:keepNext/>
              <w:keepLines/>
              <w:ind w:left="346"/>
              <w:rPr>
                <w:sz w:val="22"/>
                <w:szCs w:val="22"/>
              </w:rPr>
            </w:pPr>
            <w:r w:rsidRPr="00BB43EC">
              <w:rPr>
                <w:sz w:val="22"/>
                <w:szCs w:val="22"/>
              </w:rPr>
              <w:t>Total Number of weeks (cumulative for all patients in each arm)</w:t>
            </w:r>
          </w:p>
        </w:tc>
        <w:tc>
          <w:tcPr>
            <w:tcW w:w="1839" w:type="dxa"/>
          </w:tcPr>
          <w:p w14:paraId="3872B9BF" w14:textId="77777777" w:rsidR="00BB43EC" w:rsidRPr="00BB43EC" w:rsidRDefault="00BB43EC" w:rsidP="00813E59">
            <w:pPr>
              <w:keepNext/>
              <w:keepLines/>
              <w:jc w:val="center"/>
              <w:rPr>
                <w:sz w:val="22"/>
                <w:szCs w:val="22"/>
              </w:rPr>
            </w:pPr>
            <w:r w:rsidRPr="00BB43EC">
              <w:rPr>
                <w:sz w:val="22"/>
                <w:szCs w:val="22"/>
              </w:rPr>
              <w:t>48</w:t>
            </w:r>
          </w:p>
        </w:tc>
        <w:tc>
          <w:tcPr>
            <w:tcW w:w="1676" w:type="dxa"/>
          </w:tcPr>
          <w:p w14:paraId="244CA623" w14:textId="77777777" w:rsidR="00BB43EC" w:rsidRPr="00BB43EC" w:rsidRDefault="00BB43EC" w:rsidP="00813E59">
            <w:pPr>
              <w:keepNext/>
              <w:keepLines/>
              <w:jc w:val="center"/>
              <w:rPr>
                <w:sz w:val="22"/>
                <w:szCs w:val="22"/>
              </w:rPr>
            </w:pPr>
            <w:r w:rsidRPr="00BB43EC">
              <w:rPr>
                <w:sz w:val="22"/>
                <w:szCs w:val="22"/>
              </w:rPr>
              <w:t>82</w:t>
            </w:r>
          </w:p>
        </w:tc>
      </w:tr>
    </w:tbl>
    <w:p w14:paraId="4F3A2658" w14:textId="59B99398" w:rsidR="00BB43EC" w:rsidRPr="00BB43EC" w:rsidRDefault="00BB43EC" w:rsidP="00BB43EC">
      <w:pPr>
        <w:keepNext/>
        <w:keepLines/>
        <w:rPr>
          <w:sz w:val="20"/>
          <w:szCs w:val="22"/>
        </w:rPr>
      </w:pPr>
      <w:r w:rsidRPr="00BB43EC">
        <w:rPr>
          <w:sz w:val="20"/>
          <w:szCs w:val="22"/>
        </w:rPr>
        <w:t>1.</w:t>
      </w:r>
      <w:r w:rsidRPr="00BB43EC">
        <w:rPr>
          <w:sz w:val="20"/>
          <w:szCs w:val="22"/>
        </w:rPr>
        <w:tab/>
      </w:r>
      <w:r w:rsidR="00C50CAB" w:rsidRPr="00C50CAB">
        <w:rPr>
          <w:sz w:val="20"/>
          <w:szCs w:val="22"/>
        </w:rPr>
        <w:t>The confidence interval (CI) with p-value is based on the odds ratio (</w:t>
      </w:r>
      <w:proofErr w:type="spellStart"/>
      <w:r w:rsidR="00C50CAB" w:rsidRPr="00C50CAB">
        <w:rPr>
          <w:sz w:val="20"/>
          <w:szCs w:val="22"/>
        </w:rPr>
        <w:t>casirivimab+imdevimab</w:t>
      </w:r>
      <w:proofErr w:type="spellEnd"/>
      <w:r w:rsidR="00C50CAB" w:rsidRPr="00C50CAB">
        <w:rPr>
          <w:sz w:val="20"/>
          <w:szCs w:val="22"/>
        </w:rPr>
        <w:t xml:space="preserve"> group vs placebo group) using logistic regression model with the fixed categorical effects of treatment group, age group (age in years: ≥12 to&lt;50 and ≥50), and region (US vs ex-US).</w:t>
      </w:r>
    </w:p>
    <w:p w14:paraId="04DDEDC4" w14:textId="77777777" w:rsidR="00BB43EC" w:rsidRPr="00BB43EC" w:rsidRDefault="00BB43EC" w:rsidP="00BB43EC">
      <w:pPr>
        <w:keepNext/>
        <w:keepLines/>
        <w:rPr>
          <w:sz w:val="20"/>
          <w:szCs w:val="22"/>
        </w:rPr>
      </w:pPr>
      <w:r w:rsidRPr="00BB43EC">
        <w:rPr>
          <w:sz w:val="20"/>
          <w:szCs w:val="22"/>
        </w:rPr>
        <w:t>2.</w:t>
      </w:r>
      <w:r w:rsidRPr="00BB43EC">
        <w:rPr>
          <w:sz w:val="20"/>
          <w:szCs w:val="22"/>
        </w:rPr>
        <w:tab/>
        <w:t>These analyses were not part of the pre-planned statistical analysis plan, so p-values are nominal</w:t>
      </w:r>
    </w:p>
    <w:p w14:paraId="0FD52750" w14:textId="77777777" w:rsidR="00BB43EC" w:rsidRPr="004663D3" w:rsidRDefault="00BB43EC" w:rsidP="00BB43EC">
      <w:pPr>
        <w:autoSpaceDE w:val="0"/>
        <w:autoSpaceDN w:val="0"/>
        <w:adjustRightInd w:val="0"/>
      </w:pPr>
    </w:p>
    <w:p w14:paraId="2BA178DC" w14:textId="00C65185" w:rsidR="00BB43EC" w:rsidRPr="004663D3" w:rsidRDefault="00BB43EC" w:rsidP="00BB43EC">
      <w:pPr>
        <w:pStyle w:val="C-TableHeader"/>
        <w:keepLines/>
        <w:ind w:left="990" w:hanging="990"/>
        <w:rPr>
          <w:sz w:val="24"/>
          <w:szCs w:val="24"/>
        </w:rPr>
      </w:pPr>
      <w:bookmarkStart w:id="10" w:name="_Hlk74904937"/>
      <w:r w:rsidRPr="004663D3">
        <w:rPr>
          <w:sz w:val="24"/>
          <w:szCs w:val="24"/>
        </w:rPr>
        <w:lastRenderedPageBreak/>
        <w:t>Figure </w:t>
      </w:r>
      <w:r w:rsidR="007535E3">
        <w:rPr>
          <w:sz w:val="24"/>
          <w:szCs w:val="24"/>
        </w:rPr>
        <w:t>3</w:t>
      </w:r>
      <w:r w:rsidRPr="004663D3">
        <w:rPr>
          <w:sz w:val="24"/>
          <w:szCs w:val="24"/>
        </w:rPr>
        <w:t>:</w:t>
      </w:r>
      <w:r>
        <w:rPr>
          <w:sz w:val="24"/>
          <w:szCs w:val="24"/>
        </w:rPr>
        <w:t xml:space="preserve"> Cumulative i</w:t>
      </w:r>
      <w:r w:rsidRPr="004663D3">
        <w:rPr>
          <w:sz w:val="24"/>
          <w:szCs w:val="24"/>
        </w:rPr>
        <w:t>ncidence of COVID-19 by study day in Study COV-2069, Cohort B</w:t>
      </w:r>
    </w:p>
    <w:bookmarkEnd w:id="10"/>
    <w:p w14:paraId="6CA65B39" w14:textId="77777777" w:rsidR="00BB43EC" w:rsidRPr="004663D3" w:rsidRDefault="00BB43EC" w:rsidP="00BB43EC">
      <w:pPr>
        <w:pStyle w:val="Caption"/>
        <w:keepLines/>
      </w:pPr>
      <w:r w:rsidRPr="004663D3">
        <w:rPr>
          <w:noProof/>
          <w:lang w:val="en-AU" w:eastAsia="zh-CN"/>
        </w:rPr>
        <w:drawing>
          <wp:inline distT="0" distB="0" distL="0" distR="0" wp14:anchorId="47F1DD12" wp14:editId="24BAE650">
            <wp:extent cx="5486400" cy="3691890"/>
            <wp:effectExtent l="0" t="0" r="0" b="3810"/>
            <wp:docPr id="6" name="Picture 6" descr="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e 5-300dpi.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86400" cy="3691890"/>
                    </a:xfrm>
                    <a:prstGeom prst="rect">
                      <a:avLst/>
                    </a:prstGeom>
                  </pic:spPr>
                </pic:pic>
              </a:graphicData>
            </a:graphic>
          </wp:inline>
        </w:drawing>
      </w:r>
    </w:p>
    <w:p w14:paraId="7956EFE0" w14:textId="77777777" w:rsidR="00B8096C" w:rsidRPr="004663D3" w:rsidRDefault="00B8096C" w:rsidP="00BB43EC"/>
    <w:p w14:paraId="18048506" w14:textId="77777777" w:rsidR="00BB43EC" w:rsidRPr="00EF7B97" w:rsidRDefault="00BB43EC" w:rsidP="00BB43EC">
      <w:pPr>
        <w:pStyle w:val="Heading5"/>
        <w:rPr>
          <w:u w:val="single"/>
        </w:rPr>
      </w:pPr>
      <w:r w:rsidRPr="00EF7B97">
        <w:rPr>
          <w:u w:val="single"/>
        </w:rPr>
        <w:t>Study HV-2093</w:t>
      </w:r>
    </w:p>
    <w:p w14:paraId="006FE9E9" w14:textId="49B73E9E" w:rsidR="00BB43EC" w:rsidRPr="00EF7B97" w:rsidRDefault="00BB43EC" w:rsidP="00BB43EC">
      <w:pPr>
        <w:textAlignment w:val="baseline"/>
      </w:pPr>
      <w:r w:rsidRPr="00EF7B97">
        <w:t xml:space="preserve">The data supporting the use for the repeat dose prevention of COVID-19 are based on the exploratory efficacy analysis of data from 969 subjects from the Phase 1 HV-2093. HV-2093 is a randomised, double-blind, placebo-controlled Phase 1 clinical trial assessing the safety, tolerability, pharmacokinetics, and immunogenicity of repeat subcutaneous doses (up to 6 monthly doses) of </w:t>
      </w:r>
      <w:proofErr w:type="spellStart"/>
      <w:r w:rsidRPr="00EF7B97">
        <w:t>Ronapreve</w:t>
      </w:r>
      <w:proofErr w:type="spellEnd"/>
      <w:r w:rsidRPr="00EF7B97">
        <w:t xml:space="preserve"> (</w:t>
      </w:r>
      <w:proofErr w:type="spellStart"/>
      <w:r w:rsidRPr="00EF7B97">
        <w:t>casirivimab</w:t>
      </w:r>
      <w:proofErr w:type="spellEnd"/>
      <w:r w:rsidRPr="00EF7B97">
        <w:t xml:space="preserve"> with </w:t>
      </w:r>
      <w:proofErr w:type="spellStart"/>
      <w:r w:rsidRPr="00EF7B97">
        <w:t>imdevimab</w:t>
      </w:r>
      <w:proofErr w:type="spellEnd"/>
      <w:r w:rsidRPr="00EF7B97">
        <w:t xml:space="preserve">) in adult subjects who </w:t>
      </w:r>
      <w:r w:rsidR="00927594">
        <w:t xml:space="preserve">were healthy or had </w:t>
      </w:r>
      <w:r w:rsidR="00927594" w:rsidRPr="00927594">
        <w:t xml:space="preserve">chronic but stable, well-controlled medical condition(s) and were </w:t>
      </w:r>
      <w:r w:rsidR="00927594">
        <w:t>negative for</w:t>
      </w:r>
      <w:r w:rsidRPr="00EF7B97">
        <w:t xml:space="preserve"> SARS-CoV-2 </w:t>
      </w:r>
      <w:r w:rsidR="00927594">
        <w:t>infection</w:t>
      </w:r>
      <w:r w:rsidR="00927594" w:rsidRPr="00EF7B97">
        <w:t xml:space="preserve"> </w:t>
      </w:r>
      <w:r w:rsidRPr="00EF7B97">
        <w:t xml:space="preserve">at baseline. Subjects were randomised in a 3:1 manner to receive subcutaneous injections every 4 weeks for 24 weeks of 1 200 mg of </w:t>
      </w:r>
      <w:proofErr w:type="spellStart"/>
      <w:r w:rsidRPr="00EF7B97">
        <w:t>Ronapreve</w:t>
      </w:r>
      <w:proofErr w:type="spellEnd"/>
      <w:r w:rsidRPr="00EF7B97">
        <w:t xml:space="preserve"> (600 mg </w:t>
      </w:r>
      <w:proofErr w:type="spellStart"/>
      <w:r w:rsidRPr="00EF7B97">
        <w:t>casirivimab</w:t>
      </w:r>
      <w:proofErr w:type="spellEnd"/>
      <w:r w:rsidRPr="00EF7B97">
        <w:t xml:space="preserve"> and 600 mg </w:t>
      </w:r>
      <w:proofErr w:type="spellStart"/>
      <w:r w:rsidRPr="00EF7B97">
        <w:t>imdevimab</w:t>
      </w:r>
      <w:proofErr w:type="spellEnd"/>
      <w:r w:rsidRPr="00EF7B97">
        <w:t xml:space="preserve">) (n = 729) or placebo (n = 240). </w:t>
      </w:r>
      <w:r w:rsidR="00B95264" w:rsidRPr="00EF7B97">
        <w:t xml:space="preserve">Note that 1 200 mg is double the recommended </w:t>
      </w:r>
      <w:r w:rsidR="007A72AC" w:rsidRPr="00EF7B97">
        <w:t>pre-exposure</w:t>
      </w:r>
      <w:r w:rsidR="00B95264" w:rsidRPr="00EF7B97">
        <w:t xml:space="preserve"> prophylaxis dose (see section 4.2).</w:t>
      </w:r>
    </w:p>
    <w:p w14:paraId="606D41FF" w14:textId="77777777" w:rsidR="00BB43EC" w:rsidRPr="00EF7B97" w:rsidRDefault="00BB43EC" w:rsidP="00BB43EC"/>
    <w:p w14:paraId="5A89AFE0" w14:textId="77777777" w:rsidR="00BB43EC" w:rsidRPr="00EF7B97" w:rsidRDefault="00BB43EC" w:rsidP="00BB43EC">
      <w:pPr>
        <w:autoSpaceDE w:val="0"/>
        <w:autoSpaceDN w:val="0"/>
      </w:pPr>
      <w:r w:rsidRPr="00EF7B97">
        <w:t xml:space="preserve">At baseline, the median age was 47 years (with 13% of subjects ages 65 years or older), 55% of the subjects were male, 87% were White, 10% were Black; 23% identified as Hispanic or Latino. The baseline demographics and disease characteristics were well balanced across the </w:t>
      </w:r>
      <w:proofErr w:type="spellStart"/>
      <w:r w:rsidRPr="00EF7B97">
        <w:t>Ronapreve</w:t>
      </w:r>
      <w:proofErr w:type="spellEnd"/>
      <w:r w:rsidRPr="00EF7B97">
        <w:t xml:space="preserve"> and placebo treatment groups.</w:t>
      </w:r>
    </w:p>
    <w:p w14:paraId="6F2CFA51" w14:textId="77777777" w:rsidR="00BB43EC" w:rsidRPr="00EF7B97" w:rsidRDefault="00BB43EC" w:rsidP="00BB43EC">
      <w:pPr>
        <w:autoSpaceDE w:val="0"/>
        <w:autoSpaceDN w:val="0"/>
      </w:pPr>
    </w:p>
    <w:p w14:paraId="2B8BDC61" w14:textId="7C09E479" w:rsidR="00BB43EC" w:rsidRDefault="00BB43EC" w:rsidP="00BB43EC">
      <w:pPr>
        <w:pStyle w:val="NormalWeb"/>
        <w:spacing w:before="0" w:beforeAutospacing="0" w:after="0" w:afterAutospacing="0"/>
      </w:pPr>
      <w:r w:rsidRPr="00EF7B97">
        <w:t xml:space="preserve">The primary purpose of the study was PK (see section 5.2). An </w:t>
      </w:r>
      <w:r w:rsidR="00B95264" w:rsidRPr="00EF7B97">
        <w:t xml:space="preserve">explanatory </w:t>
      </w:r>
      <w:r w:rsidR="001611CD" w:rsidRPr="00EF7B97">
        <w:t xml:space="preserve">exploratory </w:t>
      </w:r>
      <w:r w:rsidRPr="00EF7B97">
        <w:t>efficacy endpoint was the incidence of clinically diagnosed COVID-19</w:t>
      </w:r>
      <w:r w:rsidR="00B95264" w:rsidRPr="00EF7B97">
        <w:t xml:space="preserve"> (RT-PCR testing was not a requirement)</w:t>
      </w:r>
      <w:r w:rsidRPr="00EF7B97">
        <w:t xml:space="preserve">. During the six-month treatment period, there was a 92% risk reduction in COVID-19, with </w:t>
      </w:r>
      <w:proofErr w:type="spellStart"/>
      <w:r w:rsidRPr="00EF7B97">
        <w:t>Ronapreve</w:t>
      </w:r>
      <w:proofErr w:type="spellEnd"/>
      <w:r w:rsidRPr="00EF7B97">
        <w:t xml:space="preserve"> treatment versus placebo: 3/729 (0.4%) versus 12/240 (5.0%), respectively; odds ratio (OR) 0.08 (95% CI: 0.01, 0.30); nominal p &lt; 0.0001 (see </w:t>
      </w:r>
      <w:r w:rsidRPr="00EF7B97">
        <w:rPr>
          <w:rStyle w:val="C-Hyperlink"/>
          <w:color w:val="auto"/>
        </w:rPr>
        <w:t xml:space="preserve">Figure </w:t>
      </w:r>
      <w:r w:rsidR="007535E3" w:rsidRPr="00EF7B97">
        <w:rPr>
          <w:rStyle w:val="C-Hyperlink"/>
          <w:color w:val="auto"/>
        </w:rPr>
        <w:t>4</w:t>
      </w:r>
      <w:r w:rsidRPr="00EF7B97">
        <w:t xml:space="preserve">). Of the subjects who developed COVID-19, 9/12 placebo recipients had a positive SARS-CoV-2 RT-PCR result or </w:t>
      </w:r>
      <w:r w:rsidRPr="00EF7B97">
        <w:lastRenderedPageBreak/>
        <w:t xml:space="preserve">seroconverted whereas 0/3 subjects in the </w:t>
      </w:r>
      <w:proofErr w:type="spellStart"/>
      <w:r w:rsidRPr="00EF7B97">
        <w:t>Ronapreve</w:t>
      </w:r>
      <w:proofErr w:type="spellEnd"/>
      <w:r w:rsidRPr="00EF7B97">
        <w:t xml:space="preserve"> group were RT-PCR positive or seroconverted by the end of the treatment period.</w:t>
      </w:r>
    </w:p>
    <w:p w14:paraId="62C2179D" w14:textId="77777777" w:rsidR="00D638E9" w:rsidRPr="004663D3" w:rsidRDefault="00D638E9" w:rsidP="00BB43EC">
      <w:pPr>
        <w:pStyle w:val="NormalWeb"/>
        <w:spacing w:before="0" w:beforeAutospacing="0" w:after="0" w:afterAutospacing="0"/>
      </w:pPr>
    </w:p>
    <w:p w14:paraId="64B86E4E" w14:textId="6FC2BFB2" w:rsidR="00BB43EC" w:rsidRPr="004663D3" w:rsidRDefault="00BB43EC" w:rsidP="00BB43EC">
      <w:pPr>
        <w:pStyle w:val="C-TableHeader"/>
        <w:ind w:left="990" w:hanging="990"/>
        <w:rPr>
          <w:sz w:val="24"/>
          <w:szCs w:val="24"/>
        </w:rPr>
      </w:pPr>
      <w:bookmarkStart w:id="11" w:name="_Hlk74905229"/>
      <w:r w:rsidRPr="004663D3">
        <w:rPr>
          <w:sz w:val="24"/>
          <w:szCs w:val="24"/>
        </w:rPr>
        <w:t>Figure </w:t>
      </w:r>
      <w:r w:rsidR="007535E3">
        <w:rPr>
          <w:sz w:val="24"/>
          <w:szCs w:val="24"/>
        </w:rPr>
        <w:t>4</w:t>
      </w:r>
      <w:r>
        <w:rPr>
          <w:sz w:val="24"/>
          <w:szCs w:val="24"/>
        </w:rPr>
        <w:t xml:space="preserve">: </w:t>
      </w:r>
      <w:r w:rsidR="0067390C" w:rsidRPr="004663D3">
        <w:rPr>
          <w:sz w:val="24"/>
          <w:szCs w:val="24"/>
        </w:rPr>
        <w:t>Kaplan</w:t>
      </w:r>
      <w:r w:rsidRPr="004663D3">
        <w:rPr>
          <w:sz w:val="24"/>
          <w:szCs w:val="24"/>
        </w:rPr>
        <w:t xml:space="preserve">-Meier curve of </w:t>
      </w:r>
      <w:r w:rsidR="0067390C">
        <w:rPr>
          <w:sz w:val="24"/>
          <w:szCs w:val="24"/>
        </w:rPr>
        <w:t xml:space="preserve">time to </w:t>
      </w:r>
      <w:r w:rsidRPr="004663D3">
        <w:rPr>
          <w:sz w:val="24"/>
          <w:szCs w:val="24"/>
        </w:rPr>
        <w:t>symptomatic infection</w:t>
      </w:r>
      <w:r>
        <w:rPr>
          <w:sz w:val="24"/>
          <w:szCs w:val="24"/>
        </w:rPr>
        <w:t xml:space="preserve"> during the treatment period in </w:t>
      </w:r>
      <w:r w:rsidRPr="004663D3">
        <w:rPr>
          <w:sz w:val="24"/>
          <w:szCs w:val="24"/>
        </w:rPr>
        <w:t>Study HV-2093</w:t>
      </w:r>
    </w:p>
    <w:bookmarkEnd w:id="11"/>
    <w:p w14:paraId="126CA4AB" w14:textId="128CFF93" w:rsidR="00BB43EC" w:rsidRDefault="00BB43EC" w:rsidP="00BB43EC">
      <w:pPr>
        <w:rPr>
          <w:b/>
          <w:bCs/>
        </w:rPr>
      </w:pPr>
      <w:r w:rsidRPr="004663D3">
        <w:rPr>
          <w:noProof/>
          <w:lang w:val="en-AU" w:eastAsia="zh-CN"/>
        </w:rPr>
        <w:drawing>
          <wp:inline distT="0" distB="0" distL="0" distR="0" wp14:anchorId="6CF5F109" wp14:editId="322CD9F6">
            <wp:extent cx="5768975" cy="3146425"/>
            <wp:effectExtent l="0" t="0" r="317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8975" cy="3146425"/>
                    </a:xfrm>
                    <a:prstGeom prst="rect">
                      <a:avLst/>
                    </a:prstGeom>
                  </pic:spPr>
                </pic:pic>
              </a:graphicData>
            </a:graphic>
          </wp:inline>
        </w:drawing>
      </w:r>
    </w:p>
    <w:p w14:paraId="29041FD9" w14:textId="2D90015F" w:rsidR="00B65D51" w:rsidRPr="00192E5A" w:rsidRDefault="00B65D51" w:rsidP="00B65D51">
      <w:pPr>
        <w:pStyle w:val="Heading3"/>
        <w:spacing w:line="300" w:lineRule="atLeast"/>
        <w:rPr>
          <w:color w:val="auto"/>
        </w:rPr>
      </w:pPr>
      <w:r w:rsidRPr="00192E5A">
        <w:rPr>
          <w:color w:val="auto"/>
        </w:rPr>
        <w:t>Immunogenicity</w:t>
      </w:r>
    </w:p>
    <w:p w14:paraId="56F2D753" w14:textId="77777777" w:rsidR="00BB43EC" w:rsidRPr="004663D3" w:rsidRDefault="00BB43EC" w:rsidP="00BB43EC">
      <w:r w:rsidRPr="004663D3">
        <w:t xml:space="preserve">As with all therapeutic proteins, there is potential for immunogenicity. The detection of antibody formation is highly dependent on the sensitivity and specificity of the assay. Additionally, the observed incidence of antibody (including neutralising antibody) positivity in an assay may be influenced by several factors including assay methodology, sample handling, timing of sample collection, concomitant medications, and underlying disease. For these reasons, comparison of the incidence of antibodies to </w:t>
      </w:r>
      <w:proofErr w:type="spellStart"/>
      <w:r w:rsidRPr="004663D3">
        <w:t>casirivimab</w:t>
      </w:r>
      <w:proofErr w:type="spellEnd"/>
      <w:r w:rsidRPr="004663D3">
        <w:t xml:space="preserve"> and </w:t>
      </w:r>
      <w:proofErr w:type="spellStart"/>
      <w:r w:rsidRPr="004663D3">
        <w:t>imdevimab</w:t>
      </w:r>
      <w:proofErr w:type="spellEnd"/>
      <w:r w:rsidRPr="004663D3">
        <w:t xml:space="preserve"> in the studies described below with the incidence of antibodies in other studies or to other products may be misleading.</w:t>
      </w:r>
    </w:p>
    <w:p w14:paraId="3D3B70AE" w14:textId="77777777" w:rsidR="00BB43EC" w:rsidRPr="004663D3" w:rsidRDefault="00BB43EC" w:rsidP="00BB43EC"/>
    <w:p w14:paraId="2C5EA1C6" w14:textId="77777777" w:rsidR="00BB43EC" w:rsidRPr="004663D3" w:rsidRDefault="00BB43EC" w:rsidP="00BB43EC">
      <w:r w:rsidRPr="004663D3">
        <w:t xml:space="preserve">In all subjects who received </w:t>
      </w:r>
      <w:proofErr w:type="spellStart"/>
      <w:r w:rsidRPr="004663D3">
        <w:t>Ronapreve</w:t>
      </w:r>
      <w:proofErr w:type="spellEnd"/>
      <w:r w:rsidRPr="004663D3">
        <w:t xml:space="preserve"> by intravenous infusion or subcutaneous injection, the incidence of anti-</w:t>
      </w:r>
      <w:bookmarkStart w:id="12" w:name="_Hlk73991448"/>
      <w:proofErr w:type="spellStart"/>
      <w:r w:rsidRPr="004663D3">
        <w:t>casirivimab</w:t>
      </w:r>
      <w:proofErr w:type="spellEnd"/>
      <w:r w:rsidRPr="004663D3">
        <w:t xml:space="preserve"> and anti-</w:t>
      </w:r>
      <w:proofErr w:type="spellStart"/>
      <w:r w:rsidRPr="004663D3">
        <w:t>imdevimab</w:t>
      </w:r>
      <w:proofErr w:type="spellEnd"/>
      <w:r w:rsidRPr="004663D3">
        <w:t xml:space="preserve"> </w:t>
      </w:r>
      <w:bookmarkEnd w:id="12"/>
      <w:r w:rsidRPr="004663D3">
        <w:t>antibodies were 0.8% and 1.7%, respectively. For subjects who received placebo, the incidence of anti-</w:t>
      </w:r>
      <w:proofErr w:type="spellStart"/>
      <w:r w:rsidRPr="004663D3">
        <w:t>casirivimab</w:t>
      </w:r>
      <w:proofErr w:type="spellEnd"/>
      <w:r w:rsidRPr="004663D3">
        <w:t xml:space="preserve"> and anti-</w:t>
      </w:r>
      <w:proofErr w:type="spellStart"/>
      <w:r w:rsidRPr="004663D3">
        <w:t>imdevimab</w:t>
      </w:r>
      <w:proofErr w:type="spellEnd"/>
      <w:r w:rsidRPr="004663D3">
        <w:t xml:space="preserve"> antibodies were 1.9% and 4.5%, respectively.</w:t>
      </w:r>
    </w:p>
    <w:p w14:paraId="4570E53F" w14:textId="77777777" w:rsidR="00BB43EC" w:rsidRPr="004663D3" w:rsidRDefault="00BB43EC" w:rsidP="00BB43EC"/>
    <w:p w14:paraId="04D6D68D" w14:textId="27314916" w:rsidR="00BE7DC2" w:rsidRPr="00BE7DC2" w:rsidRDefault="00BB43EC" w:rsidP="00BB43EC">
      <w:pPr>
        <w:pStyle w:val="Paragraph"/>
        <w:spacing w:after="120"/>
        <w:rPr>
          <w:rFonts w:eastAsia="Calibri"/>
          <w:sz w:val="24"/>
          <w:lang w:val="en-GB" w:eastAsia="en-AU"/>
        </w:rPr>
      </w:pPr>
      <w:r w:rsidRPr="004663D3">
        <w:rPr>
          <w:sz w:val="24"/>
        </w:rPr>
        <w:t xml:space="preserve">In 707 subjects treated with </w:t>
      </w:r>
      <w:proofErr w:type="spellStart"/>
      <w:r w:rsidRPr="004663D3">
        <w:rPr>
          <w:sz w:val="24"/>
        </w:rPr>
        <w:t>Ronapreve</w:t>
      </w:r>
      <w:proofErr w:type="spellEnd"/>
      <w:r w:rsidRPr="004663D3">
        <w:rPr>
          <w:sz w:val="24"/>
        </w:rPr>
        <w:t xml:space="preserve"> 1 200 mg (600 mg of </w:t>
      </w:r>
      <w:proofErr w:type="spellStart"/>
      <w:r w:rsidRPr="004663D3">
        <w:rPr>
          <w:sz w:val="24"/>
        </w:rPr>
        <w:t>casirivimab</w:t>
      </w:r>
      <w:proofErr w:type="spellEnd"/>
      <w:r w:rsidRPr="004663D3">
        <w:rPr>
          <w:sz w:val="24"/>
        </w:rPr>
        <w:t xml:space="preserve"> and 600 mg of </w:t>
      </w:r>
      <w:proofErr w:type="spellStart"/>
      <w:r w:rsidRPr="004663D3">
        <w:rPr>
          <w:sz w:val="24"/>
        </w:rPr>
        <w:t>imdevimab</w:t>
      </w:r>
      <w:proofErr w:type="spellEnd"/>
      <w:r w:rsidRPr="004663D3">
        <w:rPr>
          <w:sz w:val="24"/>
        </w:rPr>
        <w:t>) subcutaneously every 4 weeks, the incidence of treatment-emergent anti-</w:t>
      </w:r>
      <w:proofErr w:type="spellStart"/>
      <w:r w:rsidRPr="004663D3">
        <w:rPr>
          <w:sz w:val="24"/>
        </w:rPr>
        <w:t>casirivimab</w:t>
      </w:r>
      <w:proofErr w:type="spellEnd"/>
      <w:r w:rsidRPr="004663D3">
        <w:rPr>
          <w:sz w:val="24"/>
        </w:rPr>
        <w:t xml:space="preserve"> and anti-</w:t>
      </w:r>
      <w:proofErr w:type="spellStart"/>
      <w:r w:rsidRPr="004663D3">
        <w:rPr>
          <w:sz w:val="24"/>
        </w:rPr>
        <w:t>imdevimab</w:t>
      </w:r>
      <w:proofErr w:type="spellEnd"/>
      <w:r w:rsidRPr="004663D3">
        <w:rPr>
          <w:sz w:val="24"/>
        </w:rPr>
        <w:t xml:space="preserve"> antibodies was 0.1% and 2.0%, respectively. Among 232 repeat dose placebo subjects, the incidence of treatment emergent anti-</w:t>
      </w:r>
      <w:proofErr w:type="spellStart"/>
      <w:r w:rsidRPr="004663D3">
        <w:rPr>
          <w:sz w:val="24"/>
        </w:rPr>
        <w:t>casirivimab</w:t>
      </w:r>
      <w:proofErr w:type="spellEnd"/>
      <w:r w:rsidRPr="004663D3">
        <w:rPr>
          <w:sz w:val="24"/>
        </w:rPr>
        <w:t xml:space="preserve"> and anti-</w:t>
      </w:r>
      <w:proofErr w:type="spellStart"/>
      <w:r w:rsidRPr="004663D3">
        <w:rPr>
          <w:sz w:val="24"/>
        </w:rPr>
        <w:t>imdevimab</w:t>
      </w:r>
      <w:proofErr w:type="spellEnd"/>
      <w:r w:rsidRPr="004663D3">
        <w:rPr>
          <w:sz w:val="24"/>
        </w:rPr>
        <w:t xml:space="preserve"> antibodies were 0% and 2.6%, respectively. The antibody titers in both </w:t>
      </w:r>
      <w:proofErr w:type="spellStart"/>
      <w:r w:rsidR="0067390C">
        <w:rPr>
          <w:sz w:val="24"/>
        </w:rPr>
        <w:t>Ronapreve</w:t>
      </w:r>
      <w:proofErr w:type="spellEnd"/>
      <w:r w:rsidRPr="004663D3">
        <w:rPr>
          <w:sz w:val="24"/>
        </w:rPr>
        <w:t xml:space="preserve"> and placebo repeat dose subjects were low, with no evidence of altered pharmacokinetic profiles of </w:t>
      </w:r>
      <w:proofErr w:type="spellStart"/>
      <w:r w:rsidRPr="004663D3">
        <w:rPr>
          <w:sz w:val="24"/>
        </w:rPr>
        <w:t>casirivimab</w:t>
      </w:r>
      <w:proofErr w:type="spellEnd"/>
      <w:r w:rsidRPr="004663D3">
        <w:rPr>
          <w:sz w:val="24"/>
        </w:rPr>
        <w:t xml:space="preserve"> or </w:t>
      </w:r>
      <w:proofErr w:type="spellStart"/>
      <w:r w:rsidRPr="004663D3">
        <w:rPr>
          <w:sz w:val="24"/>
        </w:rPr>
        <w:t>imdevimab</w:t>
      </w:r>
      <w:proofErr w:type="spellEnd"/>
      <w:r w:rsidR="00BE7DC2" w:rsidRPr="00BE7DC2">
        <w:rPr>
          <w:rFonts w:eastAsia="Calibri"/>
          <w:sz w:val="24"/>
          <w:lang w:val="en-GB" w:eastAsia="en-AU"/>
        </w:rPr>
        <w:t>.</w:t>
      </w:r>
    </w:p>
    <w:p w14:paraId="282CCB39" w14:textId="77777777" w:rsidR="00D52399" w:rsidRPr="00A807D3" w:rsidRDefault="00902EBE" w:rsidP="00902EBE">
      <w:pPr>
        <w:pStyle w:val="Heading2"/>
        <w:rPr>
          <w:color w:val="auto"/>
        </w:rPr>
      </w:pPr>
      <w:r w:rsidRPr="00A807D3">
        <w:rPr>
          <w:color w:val="auto"/>
        </w:rPr>
        <w:t>5.2</w:t>
      </w:r>
      <w:r w:rsidRPr="00A807D3">
        <w:rPr>
          <w:color w:val="auto"/>
        </w:rPr>
        <w:tab/>
        <w:t xml:space="preserve">PHARMACOKINETIC PROPERTIES </w:t>
      </w:r>
    </w:p>
    <w:p w14:paraId="6836E843" w14:textId="01DCC486" w:rsidR="00BB43EC" w:rsidRDefault="00BB43EC" w:rsidP="00BB43EC">
      <w:pPr>
        <w:pStyle w:val="Paragraph"/>
        <w:spacing w:after="240"/>
        <w:rPr>
          <w:sz w:val="24"/>
          <w:szCs w:val="20"/>
        </w:rPr>
      </w:pPr>
      <w:r w:rsidRPr="004663D3">
        <w:rPr>
          <w:sz w:val="24"/>
        </w:rPr>
        <w:t xml:space="preserve">Both </w:t>
      </w:r>
      <w:proofErr w:type="spellStart"/>
      <w:r w:rsidRPr="004663D3">
        <w:rPr>
          <w:sz w:val="24"/>
        </w:rPr>
        <w:t>casirivimab</w:t>
      </w:r>
      <w:proofErr w:type="spellEnd"/>
      <w:r w:rsidRPr="004663D3">
        <w:rPr>
          <w:sz w:val="24"/>
        </w:rPr>
        <w:t xml:space="preserve"> and </w:t>
      </w:r>
      <w:proofErr w:type="spellStart"/>
      <w:r w:rsidRPr="004663D3">
        <w:rPr>
          <w:sz w:val="24"/>
        </w:rPr>
        <w:t>imdevimab</w:t>
      </w:r>
      <w:proofErr w:type="spellEnd"/>
      <w:r w:rsidRPr="004663D3">
        <w:rPr>
          <w:sz w:val="24"/>
        </w:rPr>
        <w:t xml:space="preserve"> exhibited linear and dose-proportional pharmacokinetics (PK) between 300 mg </w:t>
      </w:r>
      <w:proofErr w:type="spellStart"/>
      <w:r w:rsidRPr="004663D3">
        <w:rPr>
          <w:sz w:val="24"/>
        </w:rPr>
        <w:t>Ronapreve</w:t>
      </w:r>
      <w:proofErr w:type="spellEnd"/>
      <w:r w:rsidRPr="004663D3">
        <w:rPr>
          <w:sz w:val="24"/>
        </w:rPr>
        <w:t xml:space="preserve"> (150 mg </w:t>
      </w:r>
      <w:proofErr w:type="spellStart"/>
      <w:r w:rsidRPr="004663D3">
        <w:rPr>
          <w:sz w:val="24"/>
        </w:rPr>
        <w:t>casirivimab</w:t>
      </w:r>
      <w:proofErr w:type="spellEnd"/>
      <w:r w:rsidRPr="004663D3">
        <w:rPr>
          <w:sz w:val="24"/>
        </w:rPr>
        <w:t xml:space="preserve"> and 150 mg </w:t>
      </w:r>
      <w:proofErr w:type="spellStart"/>
      <w:r w:rsidRPr="004663D3">
        <w:rPr>
          <w:sz w:val="24"/>
        </w:rPr>
        <w:t>imdevimab</w:t>
      </w:r>
      <w:proofErr w:type="spellEnd"/>
      <w:r w:rsidRPr="004663D3">
        <w:rPr>
          <w:sz w:val="24"/>
        </w:rPr>
        <w:t>) to 8 </w:t>
      </w:r>
      <w:proofErr w:type="gramStart"/>
      <w:r w:rsidRPr="004663D3">
        <w:rPr>
          <w:sz w:val="24"/>
        </w:rPr>
        <w:t>000  mg</w:t>
      </w:r>
      <w:proofErr w:type="gramEnd"/>
      <w:r w:rsidRPr="004663D3">
        <w:rPr>
          <w:sz w:val="24"/>
        </w:rPr>
        <w:t xml:space="preserve"> </w:t>
      </w:r>
      <w:proofErr w:type="spellStart"/>
      <w:r w:rsidRPr="004663D3">
        <w:rPr>
          <w:sz w:val="24"/>
        </w:rPr>
        <w:t>Ronapreve</w:t>
      </w:r>
      <w:proofErr w:type="spellEnd"/>
      <w:r w:rsidRPr="004663D3">
        <w:rPr>
          <w:sz w:val="24"/>
        </w:rPr>
        <w:t xml:space="preserve"> </w:t>
      </w:r>
      <w:r w:rsidRPr="004663D3">
        <w:rPr>
          <w:sz w:val="24"/>
        </w:rPr>
        <w:lastRenderedPageBreak/>
        <w:t xml:space="preserve">(4 000 mg </w:t>
      </w:r>
      <w:proofErr w:type="spellStart"/>
      <w:r w:rsidRPr="004663D3">
        <w:rPr>
          <w:sz w:val="24"/>
        </w:rPr>
        <w:t>casirivimab</w:t>
      </w:r>
      <w:proofErr w:type="spellEnd"/>
      <w:r w:rsidRPr="004663D3">
        <w:rPr>
          <w:sz w:val="24"/>
        </w:rPr>
        <w:t xml:space="preserve"> and 4 000 mg </w:t>
      </w:r>
      <w:proofErr w:type="spellStart"/>
      <w:r w:rsidRPr="004663D3">
        <w:rPr>
          <w:sz w:val="24"/>
        </w:rPr>
        <w:t>imdevimab</w:t>
      </w:r>
      <w:proofErr w:type="spellEnd"/>
      <w:r w:rsidRPr="004663D3">
        <w:rPr>
          <w:sz w:val="24"/>
        </w:rPr>
        <w:t xml:space="preserve">) following IV administration of single dose. A summary of PK parameters after a single (600 mg </w:t>
      </w:r>
      <w:proofErr w:type="spellStart"/>
      <w:r w:rsidRPr="004663D3">
        <w:rPr>
          <w:sz w:val="24"/>
        </w:rPr>
        <w:t>casirivimab</w:t>
      </w:r>
      <w:proofErr w:type="spellEnd"/>
      <w:r w:rsidRPr="004663D3">
        <w:rPr>
          <w:sz w:val="24"/>
        </w:rPr>
        <w:t xml:space="preserve"> and 600 mg </w:t>
      </w:r>
      <w:proofErr w:type="spellStart"/>
      <w:r w:rsidRPr="004663D3">
        <w:rPr>
          <w:sz w:val="24"/>
        </w:rPr>
        <w:t>imdevimab</w:t>
      </w:r>
      <w:proofErr w:type="spellEnd"/>
      <w:r w:rsidRPr="004663D3">
        <w:rPr>
          <w:sz w:val="24"/>
        </w:rPr>
        <w:t>) IV dose, calculated using a population PK model for each antibody based on data from 3 687 subjects (</w:t>
      </w:r>
      <w:proofErr w:type="spellStart"/>
      <w:r w:rsidRPr="004663D3">
        <w:rPr>
          <w:sz w:val="24"/>
        </w:rPr>
        <w:t>casirivimab</w:t>
      </w:r>
      <w:proofErr w:type="spellEnd"/>
      <w:r w:rsidRPr="004663D3">
        <w:rPr>
          <w:sz w:val="24"/>
        </w:rPr>
        <w:t>) or 3 716 subjects (</w:t>
      </w:r>
      <w:proofErr w:type="spellStart"/>
      <w:r w:rsidRPr="004663D3">
        <w:rPr>
          <w:sz w:val="24"/>
        </w:rPr>
        <w:t>imdevimab</w:t>
      </w:r>
      <w:proofErr w:type="spellEnd"/>
      <w:r w:rsidRPr="004663D3">
        <w:rPr>
          <w:sz w:val="24"/>
        </w:rPr>
        <w:t>), is provided in Table 1</w:t>
      </w:r>
      <w:r w:rsidRPr="004663D3">
        <w:rPr>
          <w:rStyle w:val="C-Hyperlink"/>
          <w:color w:val="auto"/>
          <w:sz w:val="24"/>
        </w:rPr>
        <w:t>2</w:t>
      </w:r>
      <w:r w:rsidRPr="00BE7DC2">
        <w:rPr>
          <w:sz w:val="24"/>
          <w:szCs w:val="20"/>
        </w:rPr>
        <w:t>.</w:t>
      </w:r>
    </w:p>
    <w:p w14:paraId="0EB33CED" w14:textId="77777777" w:rsidR="00BB43EC" w:rsidRPr="004663D3" w:rsidRDefault="00BB43EC" w:rsidP="00BB43EC">
      <w:pPr>
        <w:pStyle w:val="C-TableHeader"/>
        <w:keepLines/>
        <w:spacing w:before="0" w:after="120"/>
        <w:ind w:left="1035" w:hanging="1035"/>
        <w:rPr>
          <w:sz w:val="24"/>
          <w:szCs w:val="24"/>
        </w:rPr>
      </w:pPr>
      <w:r w:rsidRPr="004663D3">
        <w:rPr>
          <w:sz w:val="24"/>
          <w:szCs w:val="24"/>
        </w:rPr>
        <w:t>Table 1</w:t>
      </w:r>
      <w:r w:rsidRPr="004663D3">
        <w:rPr>
          <w:noProof/>
          <w:sz w:val="24"/>
          <w:szCs w:val="24"/>
        </w:rPr>
        <w:t>2</w:t>
      </w:r>
      <w:r w:rsidRPr="004663D3">
        <w:rPr>
          <w:sz w:val="24"/>
          <w:szCs w:val="24"/>
        </w:rPr>
        <w:t>:</w:t>
      </w:r>
      <w:r>
        <w:rPr>
          <w:sz w:val="24"/>
          <w:szCs w:val="24"/>
        </w:rPr>
        <w:t xml:space="preserve"> Summary of PK p</w:t>
      </w:r>
      <w:r w:rsidRPr="004663D3">
        <w:rPr>
          <w:sz w:val="24"/>
          <w:szCs w:val="24"/>
        </w:rPr>
        <w:t xml:space="preserve">arameters (for </w:t>
      </w:r>
      <w:proofErr w:type="spellStart"/>
      <w:r w:rsidRPr="004663D3">
        <w:rPr>
          <w:sz w:val="24"/>
          <w:szCs w:val="24"/>
        </w:rPr>
        <w:t>casirivimab</w:t>
      </w:r>
      <w:proofErr w:type="spellEnd"/>
      <w:r w:rsidRPr="004663D3">
        <w:rPr>
          <w:sz w:val="24"/>
          <w:szCs w:val="24"/>
        </w:rPr>
        <w:t xml:space="preserve"> and </w:t>
      </w:r>
      <w:proofErr w:type="spellStart"/>
      <w:r w:rsidRPr="004663D3">
        <w:rPr>
          <w:sz w:val="24"/>
          <w:szCs w:val="24"/>
        </w:rPr>
        <w:t>imdevimab</w:t>
      </w:r>
      <w:proofErr w:type="spellEnd"/>
      <w:r w:rsidRPr="004663D3">
        <w:rPr>
          <w:sz w:val="24"/>
          <w:szCs w:val="24"/>
        </w:rPr>
        <w:t>) after a single</w:t>
      </w:r>
      <w:r>
        <w:rPr>
          <w:sz w:val="24"/>
          <w:szCs w:val="24"/>
        </w:rPr>
        <w:t xml:space="preserve"> </w:t>
      </w:r>
      <w:r w:rsidRPr="004663D3">
        <w:rPr>
          <w:sz w:val="24"/>
          <w:szCs w:val="24"/>
        </w:rPr>
        <w:t xml:space="preserve">1 200 mg IV dose of </w:t>
      </w:r>
      <w:proofErr w:type="spellStart"/>
      <w:r w:rsidRPr="004663D3">
        <w:rPr>
          <w:sz w:val="24"/>
          <w:szCs w:val="24"/>
        </w:rPr>
        <w:t>Ronapreve</w:t>
      </w:r>
      <w:proofErr w:type="spellEnd"/>
      <w:r w:rsidRPr="004663D3">
        <w:rPr>
          <w:sz w:val="24"/>
          <w:szCs w:val="24"/>
        </w:rPr>
        <w:t xml:space="preserve"> </w:t>
      </w:r>
    </w:p>
    <w:tbl>
      <w:tblPr>
        <w:tblW w:w="0" w:type="auto"/>
        <w:tblInd w:w="7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069"/>
        <w:gridCol w:w="3240"/>
        <w:gridCol w:w="3240"/>
      </w:tblGrid>
      <w:tr w:rsidR="00BB43EC" w:rsidRPr="00BB43EC" w14:paraId="7E86CEDA" w14:textId="77777777" w:rsidTr="00813E59">
        <w:trPr>
          <w:trHeight w:val="321"/>
        </w:trPr>
        <w:tc>
          <w:tcPr>
            <w:tcW w:w="2069" w:type="dxa"/>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15" w:type="dxa"/>
              <w:bottom w:w="15" w:type="dxa"/>
              <w:right w:w="15" w:type="dxa"/>
            </w:tcMar>
            <w:vAlign w:val="center"/>
          </w:tcPr>
          <w:p w14:paraId="0D3518C8" w14:textId="77777777" w:rsidR="00BB43EC" w:rsidRPr="00BB43EC" w:rsidRDefault="00BB43EC" w:rsidP="00813E59">
            <w:pPr>
              <w:keepNext/>
              <w:keepLines/>
              <w:ind w:left="72"/>
              <w:textAlignment w:val="baseline"/>
              <w:rPr>
                <w:rFonts w:eastAsia="SimSun"/>
                <w:sz w:val="22"/>
                <w:szCs w:val="22"/>
                <w:lang w:eastAsia="zh-CN"/>
              </w:rPr>
            </w:pPr>
            <w:r w:rsidRPr="00BB43EC">
              <w:rPr>
                <w:rFonts w:eastAsia="SimSun"/>
                <w:b/>
                <w:bCs/>
                <w:sz w:val="22"/>
                <w:szCs w:val="22"/>
                <w:lang w:eastAsia="zh-CN"/>
              </w:rPr>
              <w:t>PK Parameter</w:t>
            </w:r>
            <w:r w:rsidRPr="00BB43EC">
              <w:rPr>
                <w:rFonts w:eastAsia="SimSun"/>
                <w:b/>
                <w:bCs/>
                <w:sz w:val="22"/>
                <w:szCs w:val="22"/>
                <w:vertAlign w:val="superscript"/>
                <w:lang w:eastAsia="zh-CN"/>
              </w:rPr>
              <w:t>1</w:t>
            </w:r>
          </w:p>
        </w:tc>
        <w:tc>
          <w:tcPr>
            <w:tcW w:w="3240" w:type="dxa"/>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15" w:type="dxa"/>
              <w:bottom w:w="15" w:type="dxa"/>
              <w:right w:w="15" w:type="dxa"/>
            </w:tcMar>
            <w:vAlign w:val="center"/>
          </w:tcPr>
          <w:p w14:paraId="49046B7A" w14:textId="77777777" w:rsidR="00BB43EC" w:rsidRPr="00BB43EC" w:rsidRDefault="00BB43EC" w:rsidP="00813E59">
            <w:pPr>
              <w:keepNext/>
              <w:keepLines/>
              <w:jc w:val="center"/>
              <w:textAlignment w:val="baseline"/>
              <w:rPr>
                <w:rFonts w:eastAsia="SimSun"/>
                <w:sz w:val="22"/>
                <w:szCs w:val="22"/>
                <w:lang w:eastAsia="zh-CN"/>
              </w:rPr>
            </w:pPr>
            <w:proofErr w:type="spellStart"/>
            <w:r w:rsidRPr="00BB43EC">
              <w:rPr>
                <w:rFonts w:eastAsia="SimSun"/>
                <w:b/>
                <w:bCs/>
                <w:sz w:val="22"/>
                <w:szCs w:val="22"/>
                <w:lang w:eastAsia="zh-CN"/>
              </w:rPr>
              <w:t>casirivimab</w:t>
            </w:r>
            <w:proofErr w:type="spellEnd"/>
          </w:p>
        </w:tc>
        <w:tc>
          <w:tcPr>
            <w:tcW w:w="3240" w:type="dxa"/>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15" w:type="dxa"/>
              <w:bottom w:w="15" w:type="dxa"/>
              <w:right w:w="15" w:type="dxa"/>
            </w:tcMar>
            <w:vAlign w:val="center"/>
          </w:tcPr>
          <w:p w14:paraId="499BF159" w14:textId="77777777" w:rsidR="00BB43EC" w:rsidRPr="00BB43EC" w:rsidRDefault="00BB43EC" w:rsidP="00813E59">
            <w:pPr>
              <w:keepNext/>
              <w:keepLines/>
              <w:jc w:val="center"/>
              <w:textAlignment w:val="baseline"/>
              <w:rPr>
                <w:rFonts w:eastAsia="SimSun"/>
                <w:sz w:val="22"/>
                <w:szCs w:val="22"/>
                <w:lang w:eastAsia="zh-CN"/>
              </w:rPr>
            </w:pPr>
            <w:proofErr w:type="spellStart"/>
            <w:r w:rsidRPr="00BB43EC">
              <w:rPr>
                <w:rFonts w:eastAsia="SimSun"/>
                <w:b/>
                <w:bCs/>
                <w:sz w:val="22"/>
                <w:szCs w:val="22"/>
                <w:lang w:eastAsia="zh-CN"/>
              </w:rPr>
              <w:t>imdevimab</w:t>
            </w:r>
            <w:proofErr w:type="spellEnd"/>
          </w:p>
        </w:tc>
      </w:tr>
      <w:tr w:rsidR="00BB43EC" w:rsidRPr="00BB43EC" w14:paraId="76C4D27B" w14:textId="77777777" w:rsidTr="00813E59">
        <w:trPr>
          <w:trHeight w:val="105"/>
        </w:trPr>
        <w:tc>
          <w:tcPr>
            <w:tcW w:w="206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4BA7423" w14:textId="77777777" w:rsidR="00BB43EC" w:rsidRPr="00BB43EC" w:rsidRDefault="00BB43EC" w:rsidP="00813E59">
            <w:pPr>
              <w:keepNext/>
              <w:keepLines/>
              <w:ind w:left="72"/>
              <w:textAlignment w:val="baseline"/>
              <w:rPr>
                <w:rFonts w:eastAsia="SimSun"/>
                <w:sz w:val="22"/>
                <w:szCs w:val="22"/>
                <w:lang w:eastAsia="zh-CN"/>
              </w:rPr>
            </w:pPr>
            <w:r w:rsidRPr="00BB43EC">
              <w:rPr>
                <w:rFonts w:eastAsia="SimSun"/>
                <w:sz w:val="22"/>
                <w:szCs w:val="22"/>
                <w:lang w:eastAsia="zh-CN"/>
              </w:rPr>
              <w:t>AUC</w:t>
            </w:r>
            <w:r w:rsidRPr="00BB43EC">
              <w:rPr>
                <w:rFonts w:eastAsia="SimSun"/>
                <w:sz w:val="22"/>
                <w:szCs w:val="22"/>
                <w:vertAlign w:val="subscript"/>
                <w:lang w:eastAsia="zh-CN"/>
              </w:rPr>
              <w:t>0-28</w:t>
            </w:r>
            <w:r w:rsidRPr="00BB43EC">
              <w:rPr>
                <w:rFonts w:eastAsia="SimSun"/>
                <w:sz w:val="22"/>
                <w:szCs w:val="22"/>
                <w:lang w:eastAsia="zh-CN"/>
              </w:rPr>
              <w:t xml:space="preserve"> (</w:t>
            </w:r>
            <w:proofErr w:type="spellStart"/>
            <w:r w:rsidRPr="00BB43EC">
              <w:rPr>
                <w:rFonts w:eastAsia="SimSun"/>
                <w:sz w:val="22"/>
                <w:szCs w:val="22"/>
                <w:lang w:eastAsia="zh-CN"/>
              </w:rPr>
              <w:t>mg·day</w:t>
            </w:r>
            <w:proofErr w:type="spellEnd"/>
            <w:r w:rsidRPr="00BB43EC">
              <w:rPr>
                <w:rFonts w:eastAsia="SimSun"/>
                <w:sz w:val="22"/>
                <w:szCs w:val="22"/>
                <w:lang w:eastAsia="zh-CN"/>
              </w:rPr>
              <w:t>/L)</w:t>
            </w:r>
            <w:r w:rsidRPr="00BB43EC">
              <w:rPr>
                <w:rFonts w:eastAsia="SimSun"/>
                <w:sz w:val="22"/>
                <w:szCs w:val="22"/>
                <w:vertAlign w:val="superscript"/>
                <w:lang w:eastAsia="zh-CN"/>
              </w:rPr>
              <w:t>2</w:t>
            </w:r>
          </w:p>
        </w:tc>
        <w:tc>
          <w:tcPr>
            <w:tcW w:w="32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0062EC4" w14:textId="77777777" w:rsidR="00BB43EC" w:rsidRPr="00BB43EC" w:rsidRDefault="00BB43EC" w:rsidP="00813E59">
            <w:pPr>
              <w:keepNext/>
              <w:keepLines/>
              <w:jc w:val="center"/>
              <w:textAlignment w:val="baseline"/>
              <w:rPr>
                <w:rFonts w:eastAsia="SimSun"/>
                <w:sz w:val="22"/>
                <w:szCs w:val="22"/>
                <w:lang w:eastAsia="zh-CN"/>
              </w:rPr>
            </w:pPr>
            <w:r w:rsidRPr="00BB43EC">
              <w:rPr>
                <w:rFonts w:eastAsia="Times"/>
                <w:color w:val="111111"/>
                <w:sz w:val="22"/>
                <w:szCs w:val="22"/>
                <w:lang w:eastAsia="zh-CN"/>
              </w:rPr>
              <w:t>1754.9 (380.50)</w:t>
            </w:r>
          </w:p>
        </w:tc>
        <w:tc>
          <w:tcPr>
            <w:tcW w:w="32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83CFD0E" w14:textId="77777777" w:rsidR="00BB43EC" w:rsidRPr="00BB43EC" w:rsidRDefault="00BB43EC" w:rsidP="00813E59">
            <w:pPr>
              <w:keepNext/>
              <w:keepLines/>
              <w:jc w:val="center"/>
              <w:textAlignment w:val="baseline"/>
              <w:rPr>
                <w:rFonts w:eastAsia="SimSun"/>
                <w:sz w:val="22"/>
                <w:szCs w:val="22"/>
                <w:lang w:eastAsia="zh-CN"/>
              </w:rPr>
            </w:pPr>
            <w:r w:rsidRPr="00BB43EC">
              <w:rPr>
                <w:rFonts w:eastAsia="Times"/>
                <w:color w:val="111111"/>
                <w:sz w:val="22"/>
                <w:szCs w:val="22"/>
                <w:lang w:eastAsia="zh-CN"/>
              </w:rPr>
              <w:t>1600.8 (320.88)</w:t>
            </w:r>
          </w:p>
        </w:tc>
      </w:tr>
      <w:tr w:rsidR="00BB43EC" w:rsidRPr="00BB43EC" w14:paraId="34811590" w14:textId="77777777" w:rsidTr="00813E59">
        <w:trPr>
          <w:trHeight w:val="168"/>
        </w:trPr>
        <w:tc>
          <w:tcPr>
            <w:tcW w:w="206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7CBB510" w14:textId="77777777" w:rsidR="00BB43EC" w:rsidRPr="00BB43EC" w:rsidRDefault="00BB43EC" w:rsidP="00813E59">
            <w:pPr>
              <w:keepNext/>
              <w:keepLines/>
              <w:ind w:left="72"/>
              <w:textAlignment w:val="baseline"/>
              <w:rPr>
                <w:rFonts w:eastAsia="SimSun"/>
                <w:sz w:val="22"/>
                <w:szCs w:val="22"/>
                <w:lang w:eastAsia="zh-CN"/>
              </w:rPr>
            </w:pPr>
            <w:r w:rsidRPr="00BB43EC">
              <w:rPr>
                <w:rFonts w:eastAsia="SimSun"/>
                <w:sz w:val="22"/>
                <w:szCs w:val="22"/>
                <w:lang w:eastAsia="zh-CN"/>
              </w:rPr>
              <w:t>AUC</w:t>
            </w:r>
            <w:r w:rsidRPr="00BB43EC">
              <w:rPr>
                <w:rFonts w:eastAsia="SimSun"/>
                <w:sz w:val="22"/>
                <w:szCs w:val="22"/>
                <w:vertAlign w:val="subscript"/>
                <w:lang w:eastAsia="zh-CN"/>
              </w:rPr>
              <w:t>inf</w:t>
            </w:r>
            <w:r w:rsidRPr="00BB43EC">
              <w:rPr>
                <w:rFonts w:eastAsia="SimSun"/>
                <w:sz w:val="22"/>
                <w:szCs w:val="22"/>
                <w:lang w:eastAsia="zh-CN"/>
              </w:rPr>
              <w:t xml:space="preserve"> (</w:t>
            </w:r>
            <w:proofErr w:type="spellStart"/>
            <w:r w:rsidRPr="00BB43EC">
              <w:rPr>
                <w:rFonts w:eastAsia="SimSun"/>
                <w:sz w:val="22"/>
                <w:szCs w:val="22"/>
                <w:lang w:eastAsia="zh-CN"/>
              </w:rPr>
              <w:t>mg·day</w:t>
            </w:r>
            <w:proofErr w:type="spellEnd"/>
            <w:r w:rsidRPr="00BB43EC">
              <w:rPr>
                <w:rFonts w:eastAsia="SimSun"/>
                <w:sz w:val="22"/>
                <w:szCs w:val="22"/>
                <w:lang w:eastAsia="zh-CN"/>
              </w:rPr>
              <w:t>/L)</w:t>
            </w:r>
            <w:r w:rsidRPr="00BB43EC">
              <w:rPr>
                <w:rFonts w:eastAsia="SimSun"/>
                <w:sz w:val="22"/>
                <w:szCs w:val="22"/>
                <w:vertAlign w:val="superscript"/>
                <w:lang w:eastAsia="zh-CN"/>
              </w:rPr>
              <w:t>3</w:t>
            </w:r>
          </w:p>
        </w:tc>
        <w:tc>
          <w:tcPr>
            <w:tcW w:w="32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CEE14BB" w14:textId="77777777" w:rsidR="00BB43EC" w:rsidRPr="00BB43EC" w:rsidRDefault="00BB43EC" w:rsidP="00813E59">
            <w:pPr>
              <w:keepNext/>
              <w:keepLines/>
              <w:jc w:val="center"/>
              <w:textAlignment w:val="baseline"/>
              <w:rPr>
                <w:rFonts w:eastAsia="SimSun"/>
                <w:sz w:val="22"/>
                <w:szCs w:val="22"/>
                <w:lang w:eastAsia="zh-CN"/>
              </w:rPr>
            </w:pPr>
            <w:r w:rsidRPr="00BB43EC">
              <w:rPr>
                <w:rFonts w:eastAsia="Times"/>
                <w:color w:val="111111"/>
                <w:sz w:val="22"/>
                <w:szCs w:val="22"/>
                <w:lang w:eastAsia="zh-CN"/>
              </w:rPr>
              <w:t>3563.6 (1239.61)</w:t>
            </w:r>
          </w:p>
        </w:tc>
        <w:tc>
          <w:tcPr>
            <w:tcW w:w="32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49E35C2" w14:textId="77777777" w:rsidR="00BB43EC" w:rsidRPr="00BB43EC" w:rsidRDefault="00BB43EC" w:rsidP="00813E59">
            <w:pPr>
              <w:keepNext/>
              <w:keepLines/>
              <w:jc w:val="center"/>
              <w:textAlignment w:val="baseline"/>
              <w:rPr>
                <w:rFonts w:eastAsia="SimSun"/>
                <w:sz w:val="22"/>
                <w:szCs w:val="22"/>
                <w:lang w:eastAsia="zh-CN"/>
              </w:rPr>
            </w:pPr>
            <w:r w:rsidRPr="00BB43EC">
              <w:rPr>
                <w:rFonts w:eastAsia="Times"/>
                <w:color w:val="111111"/>
                <w:sz w:val="22"/>
                <w:szCs w:val="22"/>
                <w:lang w:eastAsia="zh-CN"/>
              </w:rPr>
              <w:t>2890.5 (876.31)</w:t>
            </w:r>
          </w:p>
        </w:tc>
      </w:tr>
      <w:tr w:rsidR="00BB43EC" w:rsidRPr="00BB43EC" w14:paraId="2C7B34DB" w14:textId="77777777" w:rsidTr="00813E59">
        <w:trPr>
          <w:trHeight w:val="132"/>
        </w:trPr>
        <w:tc>
          <w:tcPr>
            <w:tcW w:w="206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7251718" w14:textId="77777777" w:rsidR="00BB43EC" w:rsidRPr="00BB43EC" w:rsidRDefault="00BB43EC" w:rsidP="00813E59">
            <w:pPr>
              <w:keepNext/>
              <w:keepLines/>
              <w:ind w:left="72"/>
              <w:textAlignment w:val="baseline"/>
              <w:rPr>
                <w:rFonts w:eastAsia="SimSun"/>
                <w:sz w:val="22"/>
                <w:szCs w:val="22"/>
                <w:lang w:eastAsia="zh-CN"/>
              </w:rPr>
            </w:pPr>
            <w:proofErr w:type="spellStart"/>
            <w:r w:rsidRPr="00BB43EC">
              <w:rPr>
                <w:rFonts w:eastAsia="SimSun"/>
                <w:sz w:val="22"/>
                <w:szCs w:val="22"/>
                <w:lang w:eastAsia="zh-CN"/>
              </w:rPr>
              <w:t>C</w:t>
            </w:r>
            <w:r w:rsidRPr="00BB43EC">
              <w:rPr>
                <w:rFonts w:eastAsia="SimSun"/>
                <w:sz w:val="22"/>
                <w:szCs w:val="22"/>
                <w:vertAlign w:val="subscript"/>
                <w:lang w:eastAsia="zh-CN"/>
              </w:rPr>
              <w:t>max</w:t>
            </w:r>
            <w:proofErr w:type="spellEnd"/>
            <w:r w:rsidRPr="00BB43EC">
              <w:rPr>
                <w:rFonts w:eastAsia="SimSun"/>
                <w:sz w:val="22"/>
                <w:szCs w:val="22"/>
                <w:lang w:eastAsia="zh-CN"/>
              </w:rPr>
              <w:t xml:space="preserve"> (mg/L)</w:t>
            </w:r>
            <w:r w:rsidRPr="00BB43EC">
              <w:rPr>
                <w:rFonts w:eastAsia="SimSun"/>
                <w:sz w:val="22"/>
                <w:szCs w:val="22"/>
                <w:vertAlign w:val="superscript"/>
                <w:lang w:eastAsia="zh-CN"/>
              </w:rPr>
              <w:t>4</w:t>
            </w:r>
          </w:p>
        </w:tc>
        <w:tc>
          <w:tcPr>
            <w:tcW w:w="32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4F3CF22" w14:textId="77777777" w:rsidR="00BB43EC" w:rsidRPr="00BB43EC" w:rsidRDefault="00BB43EC" w:rsidP="00813E59">
            <w:pPr>
              <w:keepNext/>
              <w:keepLines/>
              <w:jc w:val="center"/>
              <w:textAlignment w:val="baseline"/>
              <w:rPr>
                <w:rFonts w:eastAsia="SimSun"/>
                <w:sz w:val="22"/>
                <w:szCs w:val="22"/>
                <w:lang w:eastAsia="zh-CN"/>
              </w:rPr>
            </w:pPr>
            <w:r w:rsidRPr="00BB43EC">
              <w:rPr>
                <w:rFonts w:eastAsia="Times"/>
                <w:color w:val="111111"/>
                <w:sz w:val="22"/>
                <w:szCs w:val="22"/>
                <w:lang w:eastAsia="zh-CN"/>
              </w:rPr>
              <w:t>182.7 (81.45)</w:t>
            </w:r>
          </w:p>
        </w:tc>
        <w:tc>
          <w:tcPr>
            <w:tcW w:w="32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85E15E7" w14:textId="77777777" w:rsidR="00BB43EC" w:rsidRPr="00BB43EC" w:rsidRDefault="00BB43EC" w:rsidP="00813E59">
            <w:pPr>
              <w:keepNext/>
              <w:keepLines/>
              <w:jc w:val="center"/>
              <w:textAlignment w:val="baseline"/>
              <w:rPr>
                <w:rFonts w:eastAsia="SimSun"/>
                <w:sz w:val="22"/>
                <w:szCs w:val="22"/>
                <w:lang w:eastAsia="zh-CN"/>
              </w:rPr>
            </w:pPr>
            <w:r w:rsidRPr="00BB43EC">
              <w:rPr>
                <w:rFonts w:eastAsia="Times"/>
                <w:color w:val="111111"/>
                <w:sz w:val="22"/>
                <w:szCs w:val="22"/>
                <w:lang w:eastAsia="zh-CN"/>
              </w:rPr>
              <w:t>181.7 (77.78)</w:t>
            </w:r>
          </w:p>
        </w:tc>
      </w:tr>
      <w:tr w:rsidR="00BB43EC" w:rsidRPr="00BB43EC" w14:paraId="56A50E87" w14:textId="77777777" w:rsidTr="00813E59">
        <w:trPr>
          <w:trHeight w:val="33"/>
        </w:trPr>
        <w:tc>
          <w:tcPr>
            <w:tcW w:w="206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DA78BA8" w14:textId="77777777" w:rsidR="00BB43EC" w:rsidRPr="00BB43EC" w:rsidRDefault="00BB43EC" w:rsidP="00813E59">
            <w:pPr>
              <w:keepNext/>
              <w:keepLines/>
              <w:ind w:left="72"/>
              <w:textAlignment w:val="baseline"/>
              <w:rPr>
                <w:rFonts w:eastAsia="SimSun"/>
                <w:sz w:val="22"/>
                <w:szCs w:val="22"/>
                <w:lang w:eastAsia="zh-CN"/>
              </w:rPr>
            </w:pPr>
            <w:r w:rsidRPr="00BB43EC">
              <w:rPr>
                <w:rFonts w:eastAsia="SimSun"/>
                <w:sz w:val="22"/>
                <w:szCs w:val="22"/>
                <w:lang w:eastAsia="zh-CN"/>
              </w:rPr>
              <w:t>C</w:t>
            </w:r>
            <w:r w:rsidRPr="00BB43EC">
              <w:rPr>
                <w:rFonts w:eastAsia="SimSun"/>
                <w:sz w:val="22"/>
                <w:szCs w:val="22"/>
                <w:vertAlign w:val="subscript"/>
                <w:lang w:eastAsia="zh-CN"/>
              </w:rPr>
              <w:t>28</w:t>
            </w:r>
            <w:r w:rsidRPr="00BB43EC">
              <w:rPr>
                <w:rFonts w:eastAsia="SimSun"/>
                <w:sz w:val="22"/>
                <w:szCs w:val="22"/>
                <w:lang w:eastAsia="zh-CN"/>
              </w:rPr>
              <w:t xml:space="preserve"> (mg/L)</w:t>
            </w:r>
            <w:r w:rsidRPr="00BB43EC">
              <w:rPr>
                <w:rFonts w:eastAsia="SimSun"/>
                <w:sz w:val="22"/>
                <w:szCs w:val="22"/>
                <w:vertAlign w:val="superscript"/>
                <w:lang w:eastAsia="zh-CN"/>
              </w:rPr>
              <w:t>5</w:t>
            </w:r>
          </w:p>
        </w:tc>
        <w:tc>
          <w:tcPr>
            <w:tcW w:w="32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FA55431" w14:textId="77777777" w:rsidR="00BB43EC" w:rsidRPr="00BB43EC" w:rsidRDefault="00BB43EC" w:rsidP="00813E59">
            <w:pPr>
              <w:keepNext/>
              <w:keepLines/>
              <w:jc w:val="center"/>
              <w:textAlignment w:val="baseline"/>
              <w:rPr>
                <w:rFonts w:eastAsia="SimSun"/>
                <w:sz w:val="22"/>
                <w:szCs w:val="22"/>
                <w:lang w:eastAsia="zh-CN"/>
              </w:rPr>
            </w:pPr>
            <w:r w:rsidRPr="00BB43EC">
              <w:rPr>
                <w:rFonts w:eastAsia="Times"/>
                <w:color w:val="111111"/>
                <w:sz w:val="22"/>
                <w:szCs w:val="22"/>
                <w:lang w:eastAsia="zh-CN"/>
              </w:rPr>
              <w:t>37.9 (</w:t>
            </w:r>
            <w:r w:rsidRPr="00BB43EC">
              <w:rPr>
                <w:rFonts w:eastAsia="SimSun"/>
                <w:sz w:val="22"/>
                <w:szCs w:val="22"/>
                <w:lang w:eastAsia="zh-CN"/>
              </w:rPr>
              <w:t>10.33)</w:t>
            </w:r>
          </w:p>
        </w:tc>
        <w:tc>
          <w:tcPr>
            <w:tcW w:w="32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49BC36D" w14:textId="77777777" w:rsidR="00BB43EC" w:rsidRPr="00BB43EC" w:rsidRDefault="00BB43EC" w:rsidP="00813E59">
            <w:pPr>
              <w:keepNext/>
              <w:keepLines/>
              <w:jc w:val="center"/>
              <w:textAlignment w:val="baseline"/>
              <w:rPr>
                <w:rFonts w:eastAsia="SimSun"/>
                <w:sz w:val="22"/>
                <w:szCs w:val="22"/>
                <w:lang w:eastAsia="zh-CN"/>
              </w:rPr>
            </w:pPr>
            <w:r w:rsidRPr="00BB43EC">
              <w:rPr>
                <w:rFonts w:eastAsia="Times"/>
                <w:color w:val="111111"/>
                <w:sz w:val="22"/>
                <w:szCs w:val="22"/>
                <w:lang w:eastAsia="zh-CN"/>
              </w:rPr>
              <w:t>31.0 (</w:t>
            </w:r>
            <w:r w:rsidRPr="00BB43EC">
              <w:rPr>
                <w:rFonts w:eastAsia="SimSun"/>
                <w:sz w:val="22"/>
                <w:szCs w:val="22"/>
                <w:lang w:eastAsia="zh-CN"/>
              </w:rPr>
              <w:t>8.24)</w:t>
            </w:r>
          </w:p>
        </w:tc>
      </w:tr>
    </w:tbl>
    <w:p w14:paraId="152B3A65" w14:textId="77777777" w:rsidR="00BB43EC" w:rsidRPr="0061333F" w:rsidRDefault="00BB43EC" w:rsidP="00BB43EC">
      <w:pPr>
        <w:keepNext/>
        <w:keepLines/>
        <w:rPr>
          <w:rFonts w:eastAsia="SimSun"/>
          <w:sz w:val="20"/>
          <w:lang w:eastAsia="zh-CN"/>
        </w:rPr>
      </w:pPr>
      <w:r w:rsidRPr="0061333F">
        <w:rPr>
          <w:rFonts w:eastAsia="SimSun"/>
          <w:sz w:val="20"/>
          <w:vertAlign w:val="superscript"/>
          <w:lang w:eastAsia="zh-CN"/>
        </w:rPr>
        <w:t>1</w:t>
      </w:r>
      <w:r w:rsidRPr="0061333F">
        <w:rPr>
          <w:rFonts w:eastAsia="SimSun"/>
          <w:sz w:val="20"/>
          <w:lang w:eastAsia="zh-CN"/>
        </w:rPr>
        <w:t xml:space="preserve"> Mean (SD), where SD is standard deviation of the arithmetic mean; </w:t>
      </w:r>
      <w:r w:rsidRPr="0061333F">
        <w:rPr>
          <w:rFonts w:eastAsia="SimSun"/>
          <w:sz w:val="20"/>
          <w:vertAlign w:val="superscript"/>
          <w:lang w:eastAsia="zh-CN"/>
        </w:rPr>
        <w:t>2</w:t>
      </w:r>
      <w:r w:rsidRPr="0061333F">
        <w:rPr>
          <w:rFonts w:eastAsia="SimSun"/>
          <w:sz w:val="20"/>
          <w:lang w:eastAsia="zh-CN"/>
        </w:rPr>
        <w:t xml:space="preserve"> AUC</w:t>
      </w:r>
      <w:r w:rsidRPr="0061333F">
        <w:rPr>
          <w:rFonts w:eastAsia="SimSun"/>
          <w:sz w:val="20"/>
          <w:vertAlign w:val="subscript"/>
          <w:lang w:eastAsia="zh-CN"/>
        </w:rPr>
        <w:t xml:space="preserve">0-28 </w:t>
      </w:r>
      <w:r w:rsidRPr="0061333F">
        <w:rPr>
          <w:rFonts w:eastAsia="SimSun"/>
          <w:sz w:val="20"/>
          <w:lang w:eastAsia="zh-CN"/>
        </w:rPr>
        <w:t xml:space="preserve">= Area under the concentration time curve from time 0 to 28 days after dosing; </w:t>
      </w:r>
      <w:r w:rsidRPr="0061333F">
        <w:rPr>
          <w:rFonts w:eastAsia="SimSun"/>
          <w:sz w:val="20"/>
          <w:vertAlign w:val="superscript"/>
          <w:lang w:eastAsia="zh-CN"/>
        </w:rPr>
        <w:t>3</w:t>
      </w:r>
      <w:r w:rsidRPr="0061333F">
        <w:rPr>
          <w:rFonts w:eastAsia="SimSun"/>
          <w:sz w:val="20"/>
          <w:lang w:eastAsia="zh-CN"/>
        </w:rPr>
        <w:t> AUC</w:t>
      </w:r>
      <w:r w:rsidRPr="0061333F">
        <w:rPr>
          <w:rFonts w:eastAsia="SimSun"/>
          <w:sz w:val="20"/>
          <w:vertAlign w:val="subscript"/>
          <w:lang w:eastAsia="zh-CN"/>
        </w:rPr>
        <w:t>inf</w:t>
      </w:r>
      <w:r w:rsidRPr="0061333F">
        <w:rPr>
          <w:rFonts w:eastAsia="SimSun"/>
          <w:sz w:val="20"/>
          <w:lang w:eastAsia="zh-CN"/>
        </w:rPr>
        <w:t xml:space="preserve"> = Area under the concentration time curve from time 0 to infinite time; </w:t>
      </w:r>
      <w:r w:rsidRPr="0061333F">
        <w:rPr>
          <w:rFonts w:eastAsia="SimSun"/>
          <w:sz w:val="20"/>
          <w:vertAlign w:val="superscript"/>
          <w:lang w:eastAsia="zh-CN"/>
        </w:rPr>
        <w:t>4</w:t>
      </w:r>
      <w:r w:rsidRPr="0061333F">
        <w:rPr>
          <w:rFonts w:eastAsia="SimSun"/>
          <w:sz w:val="20"/>
          <w:lang w:eastAsia="zh-CN"/>
        </w:rPr>
        <w:t xml:space="preserve"> </w:t>
      </w:r>
      <w:proofErr w:type="spellStart"/>
      <w:r w:rsidRPr="0061333F">
        <w:rPr>
          <w:rFonts w:eastAsia="SimSun"/>
          <w:sz w:val="20"/>
          <w:lang w:eastAsia="zh-CN"/>
        </w:rPr>
        <w:t>C</w:t>
      </w:r>
      <w:r w:rsidRPr="0061333F">
        <w:rPr>
          <w:rFonts w:eastAsia="SimSun"/>
          <w:sz w:val="20"/>
          <w:vertAlign w:val="subscript"/>
          <w:lang w:eastAsia="zh-CN"/>
        </w:rPr>
        <w:t>max</w:t>
      </w:r>
      <w:proofErr w:type="spellEnd"/>
      <w:r w:rsidRPr="0061333F">
        <w:rPr>
          <w:rFonts w:eastAsia="SimSun"/>
          <w:sz w:val="20"/>
          <w:lang w:eastAsia="zh-CN"/>
        </w:rPr>
        <w:t xml:space="preserve"> = Maximum concentration in serum and represents concentration at the end of infusion; </w:t>
      </w:r>
      <w:r w:rsidRPr="0061333F">
        <w:rPr>
          <w:rFonts w:eastAsia="SimSun"/>
          <w:sz w:val="20"/>
          <w:vertAlign w:val="superscript"/>
          <w:lang w:eastAsia="zh-CN"/>
        </w:rPr>
        <w:t>5</w:t>
      </w:r>
      <w:r w:rsidRPr="0061333F">
        <w:rPr>
          <w:rFonts w:eastAsia="SimSun"/>
          <w:sz w:val="20"/>
          <w:lang w:eastAsia="zh-CN"/>
        </w:rPr>
        <w:t xml:space="preserve"> C</w:t>
      </w:r>
      <w:r w:rsidRPr="0061333F">
        <w:rPr>
          <w:rFonts w:eastAsia="SimSun"/>
          <w:sz w:val="20"/>
          <w:vertAlign w:val="subscript"/>
          <w:lang w:eastAsia="zh-CN"/>
        </w:rPr>
        <w:t>28</w:t>
      </w:r>
      <w:r w:rsidRPr="0061333F">
        <w:rPr>
          <w:rFonts w:eastAsia="SimSun"/>
          <w:sz w:val="20"/>
          <w:lang w:eastAsia="zh-CN"/>
        </w:rPr>
        <w:t xml:space="preserve"> = Concentration 28 days after dosing, i.e., on day 29</w:t>
      </w:r>
    </w:p>
    <w:p w14:paraId="366BF701" w14:textId="77777777" w:rsidR="00BB43EC" w:rsidRPr="004663D3" w:rsidRDefault="00BB43EC" w:rsidP="00BB43EC">
      <w:pPr>
        <w:textAlignment w:val="baseline"/>
      </w:pPr>
    </w:p>
    <w:p w14:paraId="66EFB1AF" w14:textId="77777777" w:rsidR="00BB43EC" w:rsidRPr="004663D3" w:rsidRDefault="00BB43EC" w:rsidP="00BB43EC">
      <w:pPr>
        <w:textAlignment w:val="baseline"/>
      </w:pPr>
      <w:r w:rsidRPr="00D638E9">
        <w:t xml:space="preserve">A summary of PK parameters after a single </w:t>
      </w:r>
      <w:proofErr w:type="spellStart"/>
      <w:r w:rsidRPr="00D638E9">
        <w:t>Ronapreve</w:t>
      </w:r>
      <w:proofErr w:type="spellEnd"/>
      <w:r w:rsidRPr="00D638E9">
        <w:t xml:space="preserve"> 1 200 mg (600 mg </w:t>
      </w:r>
      <w:proofErr w:type="spellStart"/>
      <w:r w:rsidRPr="00D638E9">
        <w:t>casirivimab</w:t>
      </w:r>
      <w:proofErr w:type="spellEnd"/>
      <w:r w:rsidRPr="00D638E9">
        <w:t xml:space="preserve"> and 600 mg </w:t>
      </w:r>
      <w:proofErr w:type="spellStart"/>
      <w:r w:rsidRPr="00D638E9">
        <w:t>imdevimab</w:t>
      </w:r>
      <w:proofErr w:type="spellEnd"/>
      <w:r w:rsidRPr="00D638E9">
        <w:t xml:space="preserve">) subcutaneous dose based on the population PK model for each antibody is shown in </w:t>
      </w:r>
      <w:r w:rsidRPr="00D638E9">
        <w:rPr>
          <w:rStyle w:val="C-Hyperlink"/>
          <w:color w:val="auto"/>
        </w:rPr>
        <w:t>Table 13</w:t>
      </w:r>
      <w:r w:rsidRPr="00D638E9">
        <w:t>.</w:t>
      </w:r>
      <w:r w:rsidRPr="004663D3">
        <w:t xml:space="preserve"> </w:t>
      </w:r>
    </w:p>
    <w:p w14:paraId="0D6C07EC" w14:textId="5ACF5C79" w:rsidR="00BB43EC" w:rsidRDefault="00BB43EC" w:rsidP="00BB43EC">
      <w:pPr>
        <w:pStyle w:val="Paragraph"/>
        <w:spacing w:after="0"/>
        <w:rPr>
          <w:sz w:val="24"/>
          <w:szCs w:val="20"/>
          <w:lang w:val="en-NZ"/>
        </w:rPr>
      </w:pPr>
    </w:p>
    <w:p w14:paraId="5CFBADB4" w14:textId="77777777" w:rsidR="00BB43EC" w:rsidRPr="004663D3" w:rsidRDefault="00BB43EC" w:rsidP="00BB43EC">
      <w:pPr>
        <w:pStyle w:val="C-TableHeader"/>
        <w:keepLines/>
        <w:spacing w:before="0" w:after="120"/>
        <w:ind w:left="1017" w:hanging="1017"/>
        <w:rPr>
          <w:sz w:val="24"/>
          <w:szCs w:val="24"/>
        </w:rPr>
      </w:pPr>
      <w:r w:rsidRPr="004663D3">
        <w:rPr>
          <w:sz w:val="24"/>
          <w:szCs w:val="24"/>
        </w:rPr>
        <w:t>Table 1</w:t>
      </w:r>
      <w:r w:rsidRPr="004663D3">
        <w:rPr>
          <w:noProof/>
          <w:sz w:val="24"/>
          <w:szCs w:val="24"/>
        </w:rPr>
        <w:t>3</w:t>
      </w:r>
      <w:r w:rsidRPr="004663D3">
        <w:rPr>
          <w:sz w:val="24"/>
          <w:szCs w:val="24"/>
        </w:rPr>
        <w:t xml:space="preserve">: Summary of PK Parameters for </w:t>
      </w:r>
      <w:proofErr w:type="spellStart"/>
      <w:r w:rsidRPr="004663D3">
        <w:rPr>
          <w:sz w:val="24"/>
          <w:szCs w:val="24"/>
        </w:rPr>
        <w:t>casirivimab</w:t>
      </w:r>
      <w:proofErr w:type="spellEnd"/>
      <w:r w:rsidRPr="004663D3">
        <w:rPr>
          <w:sz w:val="24"/>
          <w:szCs w:val="24"/>
        </w:rPr>
        <w:t xml:space="preserve"> and </w:t>
      </w:r>
      <w:proofErr w:type="spellStart"/>
      <w:r w:rsidRPr="004663D3">
        <w:rPr>
          <w:sz w:val="24"/>
          <w:szCs w:val="24"/>
        </w:rPr>
        <w:t>imdevimab</w:t>
      </w:r>
      <w:proofErr w:type="spellEnd"/>
      <w:r w:rsidRPr="004663D3">
        <w:rPr>
          <w:sz w:val="24"/>
          <w:szCs w:val="24"/>
        </w:rPr>
        <w:t xml:space="preserve"> after a Single</w:t>
      </w:r>
      <w:r>
        <w:rPr>
          <w:sz w:val="24"/>
          <w:szCs w:val="24"/>
        </w:rPr>
        <w:t xml:space="preserve"> </w:t>
      </w:r>
      <w:r w:rsidRPr="004663D3">
        <w:rPr>
          <w:sz w:val="24"/>
          <w:szCs w:val="24"/>
        </w:rPr>
        <w:t xml:space="preserve">1 200 mg Subcutaneous Dose of </w:t>
      </w:r>
      <w:proofErr w:type="spellStart"/>
      <w:r w:rsidRPr="004663D3">
        <w:rPr>
          <w:sz w:val="24"/>
          <w:szCs w:val="24"/>
        </w:rPr>
        <w:t>Ronapreve</w:t>
      </w:r>
      <w:proofErr w:type="spellEnd"/>
      <w:r w:rsidRPr="004663D3">
        <w:rPr>
          <w:sz w:val="24"/>
          <w:szCs w:val="24"/>
        </w:rPr>
        <w:t xml:space="preserve"> </w:t>
      </w:r>
    </w:p>
    <w:tbl>
      <w:tblPr>
        <w:tblW w:w="0" w:type="auto"/>
        <w:tblInd w:w="72"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080"/>
        <w:gridCol w:w="3240"/>
        <w:gridCol w:w="3240"/>
      </w:tblGrid>
      <w:tr w:rsidR="00BB43EC" w:rsidRPr="00BB43EC" w14:paraId="00DC3DC5" w14:textId="77777777" w:rsidTr="00813E59">
        <w:trPr>
          <w:trHeight w:val="375"/>
        </w:trPr>
        <w:tc>
          <w:tcPr>
            <w:tcW w:w="2080" w:type="dxa"/>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15" w:type="dxa"/>
              <w:bottom w:w="15" w:type="dxa"/>
              <w:right w:w="15" w:type="dxa"/>
            </w:tcMar>
            <w:vAlign w:val="center"/>
          </w:tcPr>
          <w:p w14:paraId="3E43BCDD" w14:textId="77777777" w:rsidR="00BB43EC" w:rsidRPr="00BB43EC" w:rsidRDefault="00BB43EC" w:rsidP="00813E59">
            <w:pPr>
              <w:keepNext/>
              <w:keepLines/>
              <w:ind w:left="72"/>
              <w:textAlignment w:val="baseline"/>
              <w:rPr>
                <w:rFonts w:eastAsia="SimSun"/>
                <w:sz w:val="22"/>
                <w:szCs w:val="22"/>
                <w:lang w:eastAsia="zh-CN"/>
              </w:rPr>
            </w:pPr>
            <w:r w:rsidRPr="00BB43EC">
              <w:rPr>
                <w:rFonts w:eastAsia="SimSun"/>
                <w:b/>
                <w:bCs/>
                <w:sz w:val="22"/>
                <w:szCs w:val="22"/>
                <w:lang w:eastAsia="zh-CN"/>
              </w:rPr>
              <w:t>PK Parameter</w:t>
            </w:r>
            <w:r w:rsidRPr="00BB43EC">
              <w:rPr>
                <w:rFonts w:eastAsia="SimSun"/>
                <w:b/>
                <w:bCs/>
                <w:sz w:val="22"/>
                <w:szCs w:val="22"/>
                <w:vertAlign w:val="superscript"/>
                <w:lang w:eastAsia="zh-CN"/>
              </w:rPr>
              <w:t>1</w:t>
            </w:r>
          </w:p>
        </w:tc>
        <w:tc>
          <w:tcPr>
            <w:tcW w:w="3240" w:type="dxa"/>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15" w:type="dxa"/>
              <w:bottom w:w="15" w:type="dxa"/>
              <w:right w:w="15" w:type="dxa"/>
            </w:tcMar>
            <w:vAlign w:val="center"/>
          </w:tcPr>
          <w:p w14:paraId="47B14865" w14:textId="77777777" w:rsidR="00BB43EC" w:rsidRPr="00BB43EC" w:rsidRDefault="00BB43EC" w:rsidP="00813E59">
            <w:pPr>
              <w:keepNext/>
              <w:keepLines/>
              <w:jc w:val="center"/>
              <w:textAlignment w:val="baseline"/>
              <w:rPr>
                <w:rFonts w:eastAsia="SimSun"/>
                <w:sz w:val="22"/>
                <w:szCs w:val="22"/>
                <w:lang w:eastAsia="zh-CN"/>
              </w:rPr>
            </w:pPr>
            <w:proofErr w:type="spellStart"/>
            <w:r w:rsidRPr="00BB43EC">
              <w:rPr>
                <w:rFonts w:eastAsia="SimSun"/>
                <w:b/>
                <w:bCs/>
                <w:sz w:val="22"/>
                <w:szCs w:val="22"/>
                <w:lang w:eastAsia="zh-CN"/>
              </w:rPr>
              <w:t>casirivimab</w:t>
            </w:r>
            <w:proofErr w:type="spellEnd"/>
          </w:p>
        </w:tc>
        <w:tc>
          <w:tcPr>
            <w:tcW w:w="3240" w:type="dxa"/>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15" w:type="dxa"/>
              <w:bottom w:w="15" w:type="dxa"/>
              <w:right w:w="15" w:type="dxa"/>
            </w:tcMar>
            <w:vAlign w:val="center"/>
          </w:tcPr>
          <w:p w14:paraId="773329EC" w14:textId="77777777" w:rsidR="00BB43EC" w:rsidRPr="00BB43EC" w:rsidRDefault="00BB43EC" w:rsidP="00813E59">
            <w:pPr>
              <w:keepNext/>
              <w:keepLines/>
              <w:jc w:val="center"/>
              <w:textAlignment w:val="baseline"/>
              <w:rPr>
                <w:rFonts w:eastAsia="SimSun"/>
                <w:sz w:val="22"/>
                <w:szCs w:val="22"/>
                <w:lang w:eastAsia="zh-CN"/>
              </w:rPr>
            </w:pPr>
            <w:proofErr w:type="spellStart"/>
            <w:r w:rsidRPr="00BB43EC">
              <w:rPr>
                <w:rFonts w:eastAsia="SimSun"/>
                <w:b/>
                <w:bCs/>
                <w:sz w:val="22"/>
                <w:szCs w:val="22"/>
                <w:lang w:eastAsia="zh-CN"/>
              </w:rPr>
              <w:t>imdevimab</w:t>
            </w:r>
            <w:proofErr w:type="spellEnd"/>
          </w:p>
        </w:tc>
      </w:tr>
      <w:tr w:rsidR="00BB43EC" w:rsidRPr="00BB43EC" w14:paraId="080D54BB" w14:textId="77777777" w:rsidTr="00813E59">
        <w:trPr>
          <w:trHeight w:val="209"/>
        </w:trPr>
        <w:tc>
          <w:tcPr>
            <w:tcW w:w="20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C3A6BEF" w14:textId="77777777" w:rsidR="00BB43EC" w:rsidRPr="00BB43EC" w:rsidRDefault="00BB43EC" w:rsidP="00813E59">
            <w:pPr>
              <w:keepNext/>
              <w:keepLines/>
              <w:ind w:left="72"/>
              <w:textAlignment w:val="baseline"/>
              <w:rPr>
                <w:rFonts w:eastAsia="SimSun"/>
                <w:sz w:val="22"/>
                <w:szCs w:val="22"/>
                <w:lang w:eastAsia="zh-CN"/>
              </w:rPr>
            </w:pPr>
            <w:r w:rsidRPr="00BB43EC">
              <w:rPr>
                <w:rFonts w:eastAsia="SimSun"/>
                <w:sz w:val="22"/>
                <w:szCs w:val="22"/>
                <w:lang w:eastAsia="zh-CN"/>
              </w:rPr>
              <w:t>AUC</w:t>
            </w:r>
            <w:r w:rsidRPr="00BB43EC">
              <w:rPr>
                <w:rFonts w:eastAsia="SimSun"/>
                <w:sz w:val="22"/>
                <w:szCs w:val="22"/>
                <w:vertAlign w:val="subscript"/>
                <w:lang w:eastAsia="zh-CN"/>
              </w:rPr>
              <w:t>0-28</w:t>
            </w:r>
            <w:r w:rsidRPr="00BB43EC">
              <w:rPr>
                <w:rFonts w:eastAsia="SimSun"/>
                <w:sz w:val="22"/>
                <w:szCs w:val="22"/>
                <w:lang w:eastAsia="zh-CN"/>
              </w:rPr>
              <w:t xml:space="preserve"> (</w:t>
            </w:r>
            <w:proofErr w:type="spellStart"/>
            <w:r w:rsidRPr="00BB43EC">
              <w:rPr>
                <w:rFonts w:eastAsia="SimSun"/>
                <w:sz w:val="22"/>
                <w:szCs w:val="22"/>
                <w:lang w:eastAsia="zh-CN"/>
              </w:rPr>
              <w:t>mg·day</w:t>
            </w:r>
            <w:proofErr w:type="spellEnd"/>
            <w:r w:rsidRPr="00BB43EC">
              <w:rPr>
                <w:rFonts w:eastAsia="SimSun"/>
                <w:sz w:val="22"/>
                <w:szCs w:val="22"/>
                <w:lang w:eastAsia="zh-CN"/>
              </w:rPr>
              <w:t>/L)</w:t>
            </w:r>
            <w:r w:rsidRPr="00BB43EC">
              <w:rPr>
                <w:rFonts w:eastAsia="SimSun"/>
                <w:sz w:val="22"/>
                <w:szCs w:val="22"/>
                <w:vertAlign w:val="superscript"/>
                <w:lang w:eastAsia="zh-CN"/>
              </w:rPr>
              <w:t>2</w:t>
            </w:r>
          </w:p>
        </w:tc>
        <w:tc>
          <w:tcPr>
            <w:tcW w:w="32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84B809A" w14:textId="77777777" w:rsidR="00BB43EC" w:rsidRPr="00BB43EC" w:rsidRDefault="00BB43EC" w:rsidP="00813E59">
            <w:pPr>
              <w:keepNext/>
              <w:keepLines/>
              <w:jc w:val="center"/>
              <w:textAlignment w:val="baseline"/>
              <w:rPr>
                <w:rFonts w:eastAsia="SimSun"/>
                <w:sz w:val="22"/>
                <w:szCs w:val="22"/>
                <w:lang w:eastAsia="zh-CN"/>
              </w:rPr>
            </w:pPr>
            <w:r w:rsidRPr="00BB43EC">
              <w:rPr>
                <w:rFonts w:eastAsia="Times"/>
                <w:color w:val="111111"/>
                <w:sz w:val="22"/>
                <w:szCs w:val="22"/>
                <w:lang w:eastAsia="zh-CN"/>
              </w:rPr>
              <w:t>1121.7 (243.12)</w:t>
            </w:r>
          </w:p>
        </w:tc>
        <w:tc>
          <w:tcPr>
            <w:tcW w:w="32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3914B94" w14:textId="77777777" w:rsidR="00BB43EC" w:rsidRPr="00BB43EC" w:rsidRDefault="00BB43EC" w:rsidP="00813E59">
            <w:pPr>
              <w:keepNext/>
              <w:keepLines/>
              <w:jc w:val="center"/>
              <w:textAlignment w:val="baseline"/>
              <w:rPr>
                <w:rFonts w:eastAsia="SimSun"/>
                <w:sz w:val="22"/>
                <w:szCs w:val="22"/>
                <w:lang w:eastAsia="zh-CN"/>
              </w:rPr>
            </w:pPr>
            <w:r w:rsidRPr="00BB43EC">
              <w:rPr>
                <w:rFonts w:eastAsia="Times"/>
                <w:color w:val="111111"/>
                <w:sz w:val="22"/>
                <w:szCs w:val="22"/>
                <w:lang w:eastAsia="zh-CN"/>
              </w:rPr>
              <w:t>1016.9 (203.92)</w:t>
            </w:r>
          </w:p>
        </w:tc>
      </w:tr>
      <w:tr w:rsidR="00BB43EC" w:rsidRPr="00BB43EC" w14:paraId="533BD432" w14:textId="77777777" w:rsidTr="00813E59">
        <w:trPr>
          <w:trHeight w:val="191"/>
        </w:trPr>
        <w:tc>
          <w:tcPr>
            <w:tcW w:w="20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2785192" w14:textId="77777777" w:rsidR="00BB43EC" w:rsidRPr="00BB43EC" w:rsidRDefault="00BB43EC" w:rsidP="00813E59">
            <w:pPr>
              <w:keepNext/>
              <w:keepLines/>
              <w:ind w:left="72"/>
              <w:textAlignment w:val="baseline"/>
              <w:rPr>
                <w:rFonts w:eastAsia="SimSun"/>
                <w:sz w:val="22"/>
                <w:szCs w:val="22"/>
                <w:lang w:eastAsia="zh-CN"/>
              </w:rPr>
            </w:pPr>
            <w:r w:rsidRPr="00BB43EC">
              <w:rPr>
                <w:rFonts w:eastAsia="SimSun"/>
                <w:sz w:val="22"/>
                <w:szCs w:val="22"/>
                <w:lang w:eastAsia="zh-CN"/>
              </w:rPr>
              <w:t>AUC</w:t>
            </w:r>
            <w:r w:rsidRPr="00BB43EC">
              <w:rPr>
                <w:rFonts w:eastAsia="SimSun"/>
                <w:sz w:val="22"/>
                <w:szCs w:val="22"/>
                <w:vertAlign w:val="subscript"/>
                <w:lang w:eastAsia="zh-CN"/>
              </w:rPr>
              <w:t>inf</w:t>
            </w:r>
            <w:r w:rsidRPr="00BB43EC">
              <w:rPr>
                <w:rFonts w:eastAsia="SimSun"/>
                <w:sz w:val="22"/>
                <w:szCs w:val="22"/>
                <w:lang w:eastAsia="zh-CN"/>
              </w:rPr>
              <w:t xml:space="preserve"> (</w:t>
            </w:r>
            <w:proofErr w:type="spellStart"/>
            <w:r w:rsidRPr="00BB43EC">
              <w:rPr>
                <w:rFonts w:eastAsia="SimSun"/>
                <w:sz w:val="22"/>
                <w:szCs w:val="22"/>
                <w:lang w:eastAsia="zh-CN"/>
              </w:rPr>
              <w:t>mg·day</w:t>
            </w:r>
            <w:proofErr w:type="spellEnd"/>
            <w:r w:rsidRPr="00BB43EC">
              <w:rPr>
                <w:rFonts w:eastAsia="SimSun"/>
                <w:sz w:val="22"/>
                <w:szCs w:val="22"/>
                <w:lang w:eastAsia="zh-CN"/>
              </w:rPr>
              <w:t>/L)</w:t>
            </w:r>
            <w:r w:rsidRPr="00BB43EC">
              <w:rPr>
                <w:rFonts w:eastAsia="SimSun"/>
                <w:sz w:val="22"/>
                <w:szCs w:val="22"/>
                <w:vertAlign w:val="superscript"/>
                <w:lang w:eastAsia="zh-CN"/>
              </w:rPr>
              <w:t>3</w:t>
            </w:r>
          </w:p>
        </w:tc>
        <w:tc>
          <w:tcPr>
            <w:tcW w:w="32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CDDF407" w14:textId="77777777" w:rsidR="00BB43EC" w:rsidRPr="00BB43EC" w:rsidRDefault="00BB43EC" w:rsidP="00813E59">
            <w:pPr>
              <w:keepNext/>
              <w:keepLines/>
              <w:jc w:val="center"/>
              <w:textAlignment w:val="baseline"/>
              <w:rPr>
                <w:rFonts w:eastAsia="SimSun"/>
                <w:sz w:val="22"/>
                <w:szCs w:val="22"/>
                <w:lang w:eastAsia="zh-CN"/>
              </w:rPr>
            </w:pPr>
            <w:r w:rsidRPr="00BB43EC">
              <w:rPr>
                <w:rFonts w:eastAsia="Times"/>
                <w:color w:val="111111"/>
                <w:sz w:val="22"/>
                <w:szCs w:val="22"/>
                <w:lang w:eastAsia="zh-CN"/>
              </w:rPr>
              <w:t>2559.5 (890.35)</w:t>
            </w:r>
          </w:p>
        </w:tc>
        <w:tc>
          <w:tcPr>
            <w:tcW w:w="32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9E78DE8" w14:textId="77777777" w:rsidR="00BB43EC" w:rsidRPr="00BB43EC" w:rsidRDefault="00BB43EC" w:rsidP="00813E59">
            <w:pPr>
              <w:keepNext/>
              <w:keepLines/>
              <w:jc w:val="center"/>
              <w:textAlignment w:val="baseline"/>
              <w:rPr>
                <w:rFonts w:eastAsia="SimSun"/>
                <w:sz w:val="22"/>
                <w:szCs w:val="22"/>
                <w:lang w:eastAsia="zh-CN"/>
              </w:rPr>
            </w:pPr>
            <w:r w:rsidRPr="00BB43EC">
              <w:rPr>
                <w:rFonts w:eastAsia="Times"/>
                <w:color w:val="111111"/>
                <w:sz w:val="22"/>
                <w:szCs w:val="22"/>
                <w:lang w:eastAsia="zh-CN"/>
              </w:rPr>
              <w:t>2073.3 (628.60)</w:t>
            </w:r>
          </w:p>
        </w:tc>
      </w:tr>
      <w:tr w:rsidR="00BB43EC" w:rsidRPr="00BB43EC" w14:paraId="009B989F" w14:textId="77777777" w:rsidTr="00813E59">
        <w:trPr>
          <w:trHeight w:val="128"/>
        </w:trPr>
        <w:tc>
          <w:tcPr>
            <w:tcW w:w="20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94876FA" w14:textId="77777777" w:rsidR="00BB43EC" w:rsidRPr="00BB43EC" w:rsidRDefault="00BB43EC" w:rsidP="00813E59">
            <w:pPr>
              <w:keepNext/>
              <w:keepLines/>
              <w:ind w:left="72"/>
              <w:textAlignment w:val="baseline"/>
              <w:rPr>
                <w:rFonts w:eastAsia="SimSun"/>
                <w:sz w:val="22"/>
                <w:szCs w:val="22"/>
                <w:lang w:eastAsia="zh-CN"/>
              </w:rPr>
            </w:pPr>
            <w:proofErr w:type="spellStart"/>
            <w:r w:rsidRPr="00BB43EC">
              <w:rPr>
                <w:rFonts w:eastAsia="SimSun"/>
                <w:sz w:val="22"/>
                <w:szCs w:val="22"/>
                <w:lang w:eastAsia="zh-CN"/>
              </w:rPr>
              <w:t>C</w:t>
            </w:r>
            <w:r w:rsidRPr="00BB43EC">
              <w:rPr>
                <w:rFonts w:eastAsia="SimSun"/>
                <w:sz w:val="22"/>
                <w:szCs w:val="22"/>
                <w:vertAlign w:val="subscript"/>
                <w:lang w:eastAsia="zh-CN"/>
              </w:rPr>
              <w:t>max</w:t>
            </w:r>
            <w:proofErr w:type="spellEnd"/>
            <w:r w:rsidRPr="00BB43EC">
              <w:rPr>
                <w:rFonts w:eastAsia="SimSun"/>
                <w:sz w:val="22"/>
                <w:szCs w:val="22"/>
                <w:lang w:eastAsia="zh-CN"/>
              </w:rPr>
              <w:t xml:space="preserve"> (mg/L)</w:t>
            </w:r>
            <w:r w:rsidRPr="00BB43EC">
              <w:rPr>
                <w:rFonts w:eastAsia="SimSun"/>
                <w:sz w:val="22"/>
                <w:szCs w:val="22"/>
                <w:vertAlign w:val="superscript"/>
                <w:lang w:eastAsia="zh-CN"/>
              </w:rPr>
              <w:t>4</w:t>
            </w:r>
          </w:p>
        </w:tc>
        <w:tc>
          <w:tcPr>
            <w:tcW w:w="32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C09357B" w14:textId="77777777" w:rsidR="00BB43EC" w:rsidRPr="00BB43EC" w:rsidRDefault="00BB43EC" w:rsidP="00813E59">
            <w:pPr>
              <w:keepNext/>
              <w:keepLines/>
              <w:jc w:val="center"/>
              <w:textAlignment w:val="baseline"/>
              <w:rPr>
                <w:rFonts w:eastAsia="SimSun"/>
                <w:sz w:val="22"/>
                <w:szCs w:val="22"/>
                <w:lang w:eastAsia="zh-CN"/>
              </w:rPr>
            </w:pPr>
            <w:r w:rsidRPr="00BB43EC">
              <w:rPr>
                <w:rFonts w:eastAsia="Times"/>
                <w:color w:val="111111"/>
                <w:sz w:val="22"/>
                <w:szCs w:val="22"/>
                <w:lang w:eastAsia="zh-CN"/>
              </w:rPr>
              <w:t>52.2 (12.15)</w:t>
            </w:r>
          </w:p>
        </w:tc>
        <w:tc>
          <w:tcPr>
            <w:tcW w:w="32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8556F4B" w14:textId="77777777" w:rsidR="00BB43EC" w:rsidRPr="00BB43EC" w:rsidRDefault="00BB43EC" w:rsidP="00813E59">
            <w:pPr>
              <w:keepNext/>
              <w:keepLines/>
              <w:jc w:val="center"/>
              <w:textAlignment w:val="baseline"/>
              <w:rPr>
                <w:rFonts w:eastAsia="SimSun"/>
                <w:sz w:val="22"/>
                <w:szCs w:val="22"/>
                <w:lang w:eastAsia="zh-CN"/>
              </w:rPr>
            </w:pPr>
            <w:r w:rsidRPr="00BB43EC">
              <w:rPr>
                <w:rFonts w:eastAsia="Times"/>
                <w:color w:val="111111"/>
                <w:sz w:val="22"/>
                <w:szCs w:val="22"/>
                <w:lang w:eastAsia="zh-CN"/>
              </w:rPr>
              <w:t>49.2 (11.01)</w:t>
            </w:r>
          </w:p>
        </w:tc>
      </w:tr>
      <w:tr w:rsidR="00BB43EC" w:rsidRPr="00BB43EC" w14:paraId="1A89E0E4" w14:textId="77777777" w:rsidTr="00813E59">
        <w:trPr>
          <w:trHeight w:val="191"/>
        </w:trPr>
        <w:tc>
          <w:tcPr>
            <w:tcW w:w="20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C3AAF5A" w14:textId="77777777" w:rsidR="00BB43EC" w:rsidRPr="00BB43EC" w:rsidRDefault="00BB43EC" w:rsidP="00813E59">
            <w:pPr>
              <w:keepNext/>
              <w:keepLines/>
              <w:ind w:left="72"/>
              <w:textAlignment w:val="baseline"/>
              <w:rPr>
                <w:rFonts w:eastAsia="SimSun"/>
                <w:sz w:val="22"/>
                <w:szCs w:val="22"/>
                <w:lang w:eastAsia="zh-CN"/>
              </w:rPr>
            </w:pPr>
            <w:proofErr w:type="spellStart"/>
            <w:r w:rsidRPr="00BB43EC">
              <w:rPr>
                <w:rFonts w:eastAsia="SimSun"/>
                <w:sz w:val="22"/>
                <w:szCs w:val="22"/>
                <w:lang w:eastAsia="zh-CN"/>
              </w:rPr>
              <w:t>t</w:t>
            </w:r>
            <w:r w:rsidRPr="00BB43EC">
              <w:rPr>
                <w:rFonts w:eastAsia="SimSun"/>
                <w:sz w:val="22"/>
                <w:szCs w:val="22"/>
                <w:vertAlign w:val="subscript"/>
                <w:lang w:eastAsia="zh-CN"/>
              </w:rPr>
              <w:t>max</w:t>
            </w:r>
            <w:proofErr w:type="spellEnd"/>
            <w:r w:rsidRPr="00BB43EC">
              <w:rPr>
                <w:rFonts w:eastAsia="SimSun"/>
                <w:sz w:val="22"/>
                <w:szCs w:val="22"/>
                <w:lang w:eastAsia="zh-CN"/>
              </w:rPr>
              <w:t xml:space="preserve"> (day)</w:t>
            </w:r>
            <w:r w:rsidRPr="00BB43EC">
              <w:rPr>
                <w:rFonts w:eastAsia="SimSun"/>
                <w:sz w:val="22"/>
                <w:szCs w:val="22"/>
                <w:vertAlign w:val="superscript"/>
                <w:lang w:eastAsia="zh-CN"/>
              </w:rPr>
              <w:t>5, 6</w:t>
            </w:r>
          </w:p>
        </w:tc>
        <w:tc>
          <w:tcPr>
            <w:tcW w:w="32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265F441" w14:textId="77777777" w:rsidR="00BB43EC" w:rsidRPr="00BB43EC" w:rsidRDefault="00BB43EC" w:rsidP="00813E59">
            <w:pPr>
              <w:keepNext/>
              <w:keepLines/>
              <w:jc w:val="center"/>
              <w:textAlignment w:val="baseline"/>
              <w:rPr>
                <w:rFonts w:eastAsia="SimSun"/>
                <w:sz w:val="22"/>
                <w:szCs w:val="22"/>
                <w:lang w:eastAsia="zh-CN"/>
              </w:rPr>
            </w:pPr>
            <w:r w:rsidRPr="00BB43EC">
              <w:rPr>
                <w:rFonts w:eastAsia="Times"/>
                <w:color w:val="111111"/>
                <w:sz w:val="22"/>
                <w:szCs w:val="22"/>
                <w:lang w:eastAsia="zh-CN"/>
              </w:rPr>
              <w:t>6.7 [3.4, 13.6]</w:t>
            </w:r>
          </w:p>
        </w:tc>
        <w:tc>
          <w:tcPr>
            <w:tcW w:w="32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C58177D" w14:textId="77777777" w:rsidR="00BB43EC" w:rsidRPr="00BB43EC" w:rsidRDefault="00BB43EC" w:rsidP="00813E59">
            <w:pPr>
              <w:keepNext/>
              <w:keepLines/>
              <w:jc w:val="center"/>
              <w:textAlignment w:val="baseline"/>
              <w:rPr>
                <w:rFonts w:eastAsia="SimSun"/>
                <w:sz w:val="22"/>
                <w:szCs w:val="22"/>
                <w:lang w:eastAsia="zh-CN"/>
              </w:rPr>
            </w:pPr>
            <w:r w:rsidRPr="00BB43EC">
              <w:rPr>
                <w:rFonts w:eastAsia="Times"/>
                <w:color w:val="111111"/>
                <w:sz w:val="22"/>
                <w:szCs w:val="22"/>
                <w:lang w:eastAsia="zh-CN"/>
              </w:rPr>
              <w:t>6.6 [3.4, 13.6]</w:t>
            </w:r>
          </w:p>
        </w:tc>
      </w:tr>
      <w:tr w:rsidR="00BB43EC" w:rsidRPr="00BB43EC" w14:paraId="23CEBC4E" w14:textId="77777777" w:rsidTr="00813E59">
        <w:trPr>
          <w:trHeight w:val="173"/>
        </w:trPr>
        <w:tc>
          <w:tcPr>
            <w:tcW w:w="20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685536F" w14:textId="77777777" w:rsidR="00BB43EC" w:rsidRPr="00BB43EC" w:rsidRDefault="00BB43EC" w:rsidP="00813E59">
            <w:pPr>
              <w:keepNext/>
              <w:keepLines/>
              <w:ind w:left="72"/>
              <w:textAlignment w:val="baseline"/>
              <w:rPr>
                <w:rFonts w:eastAsia="SimSun"/>
                <w:sz w:val="22"/>
                <w:szCs w:val="22"/>
                <w:lang w:eastAsia="zh-CN"/>
              </w:rPr>
            </w:pPr>
            <w:r w:rsidRPr="00BB43EC">
              <w:rPr>
                <w:rFonts w:eastAsia="SimSun"/>
                <w:sz w:val="22"/>
                <w:szCs w:val="22"/>
                <w:lang w:eastAsia="zh-CN"/>
              </w:rPr>
              <w:t>C</w:t>
            </w:r>
            <w:r w:rsidRPr="00BB43EC">
              <w:rPr>
                <w:rFonts w:eastAsia="SimSun"/>
                <w:sz w:val="22"/>
                <w:szCs w:val="22"/>
                <w:vertAlign w:val="subscript"/>
                <w:lang w:eastAsia="zh-CN"/>
              </w:rPr>
              <w:t>28</w:t>
            </w:r>
            <w:r w:rsidRPr="00BB43EC">
              <w:rPr>
                <w:rFonts w:eastAsia="SimSun"/>
                <w:sz w:val="22"/>
                <w:szCs w:val="22"/>
                <w:lang w:eastAsia="zh-CN"/>
              </w:rPr>
              <w:t xml:space="preserve"> (mg/L)</w:t>
            </w:r>
            <w:r w:rsidRPr="00BB43EC">
              <w:rPr>
                <w:rFonts w:eastAsia="SimSun"/>
                <w:sz w:val="22"/>
                <w:szCs w:val="22"/>
                <w:vertAlign w:val="superscript"/>
                <w:lang w:eastAsia="zh-CN"/>
              </w:rPr>
              <w:t>7</w:t>
            </w:r>
          </w:p>
        </w:tc>
        <w:tc>
          <w:tcPr>
            <w:tcW w:w="32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3DEA38A" w14:textId="77777777" w:rsidR="00BB43EC" w:rsidRPr="00BB43EC" w:rsidRDefault="00BB43EC" w:rsidP="00813E59">
            <w:pPr>
              <w:keepNext/>
              <w:keepLines/>
              <w:jc w:val="center"/>
              <w:textAlignment w:val="baseline"/>
              <w:rPr>
                <w:rFonts w:eastAsia="Times"/>
                <w:color w:val="111111"/>
                <w:sz w:val="22"/>
                <w:szCs w:val="22"/>
                <w:lang w:eastAsia="zh-CN"/>
              </w:rPr>
            </w:pPr>
            <w:r w:rsidRPr="00BB43EC">
              <w:rPr>
                <w:rFonts w:eastAsia="Times"/>
                <w:color w:val="111111"/>
                <w:sz w:val="22"/>
                <w:szCs w:val="22"/>
                <w:lang w:eastAsia="zh-CN"/>
              </w:rPr>
              <w:t>30.5 (7.55)</w:t>
            </w:r>
          </w:p>
        </w:tc>
        <w:tc>
          <w:tcPr>
            <w:tcW w:w="32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F34B348" w14:textId="77777777" w:rsidR="00BB43EC" w:rsidRPr="00BB43EC" w:rsidRDefault="00BB43EC" w:rsidP="00813E59">
            <w:pPr>
              <w:keepNext/>
              <w:keepLines/>
              <w:jc w:val="center"/>
              <w:textAlignment w:val="baseline"/>
              <w:rPr>
                <w:rFonts w:eastAsia="Times"/>
                <w:color w:val="111111"/>
                <w:sz w:val="22"/>
                <w:szCs w:val="22"/>
                <w:lang w:eastAsia="zh-CN"/>
              </w:rPr>
            </w:pPr>
            <w:r w:rsidRPr="00BB43EC">
              <w:rPr>
                <w:rFonts w:eastAsia="Times"/>
                <w:color w:val="111111"/>
                <w:sz w:val="22"/>
                <w:szCs w:val="22"/>
                <w:lang w:eastAsia="zh-CN"/>
              </w:rPr>
              <w:t>25.9 (6.07)</w:t>
            </w:r>
          </w:p>
        </w:tc>
      </w:tr>
    </w:tbl>
    <w:p w14:paraId="4D1ACC95" w14:textId="77777777" w:rsidR="00BB43EC" w:rsidRPr="0061333F" w:rsidRDefault="00BB43EC" w:rsidP="00BB43EC">
      <w:pPr>
        <w:keepNext/>
        <w:keepLines/>
        <w:rPr>
          <w:rFonts w:eastAsia="SimSun"/>
          <w:sz w:val="20"/>
          <w:lang w:eastAsia="zh-CN"/>
        </w:rPr>
      </w:pPr>
      <w:r w:rsidRPr="0061333F">
        <w:rPr>
          <w:rFonts w:eastAsia="SimSun"/>
          <w:sz w:val="20"/>
          <w:vertAlign w:val="superscript"/>
          <w:lang w:eastAsia="zh-CN"/>
        </w:rPr>
        <w:t>1</w:t>
      </w:r>
      <w:r w:rsidRPr="0061333F">
        <w:rPr>
          <w:rFonts w:eastAsia="SimSun"/>
          <w:sz w:val="20"/>
          <w:lang w:eastAsia="zh-CN"/>
        </w:rPr>
        <w:t xml:space="preserve"> Mean (SD), where SD is standard deviation of the arithmetic mean; </w:t>
      </w:r>
      <w:r w:rsidRPr="0061333F">
        <w:rPr>
          <w:rFonts w:eastAsia="SimSun"/>
          <w:sz w:val="20"/>
          <w:vertAlign w:val="superscript"/>
          <w:lang w:eastAsia="zh-CN"/>
        </w:rPr>
        <w:t>2</w:t>
      </w:r>
      <w:r w:rsidRPr="0061333F">
        <w:rPr>
          <w:rFonts w:eastAsia="SimSun"/>
          <w:sz w:val="20"/>
          <w:lang w:eastAsia="zh-CN"/>
        </w:rPr>
        <w:t xml:space="preserve"> AUC</w:t>
      </w:r>
      <w:r w:rsidRPr="0061333F">
        <w:rPr>
          <w:rFonts w:eastAsia="SimSun"/>
          <w:sz w:val="20"/>
          <w:vertAlign w:val="subscript"/>
          <w:lang w:eastAsia="zh-CN"/>
        </w:rPr>
        <w:t xml:space="preserve">0-28 </w:t>
      </w:r>
      <w:r w:rsidRPr="0061333F">
        <w:rPr>
          <w:rFonts w:eastAsia="SimSun"/>
          <w:sz w:val="20"/>
          <w:lang w:eastAsia="zh-CN"/>
        </w:rPr>
        <w:t xml:space="preserve">= Area under the concentration time curve from time 0 to 28 days after dosing; </w:t>
      </w:r>
      <w:r w:rsidRPr="0061333F">
        <w:rPr>
          <w:rFonts w:eastAsia="SimSun"/>
          <w:sz w:val="20"/>
          <w:vertAlign w:val="superscript"/>
          <w:lang w:eastAsia="zh-CN"/>
        </w:rPr>
        <w:t>3</w:t>
      </w:r>
      <w:r w:rsidRPr="0061333F">
        <w:rPr>
          <w:rFonts w:eastAsia="SimSun"/>
          <w:sz w:val="20"/>
          <w:lang w:eastAsia="zh-CN"/>
        </w:rPr>
        <w:t xml:space="preserve"> AUC</w:t>
      </w:r>
      <w:r w:rsidRPr="0061333F">
        <w:rPr>
          <w:rFonts w:eastAsia="SimSun"/>
          <w:sz w:val="20"/>
          <w:vertAlign w:val="subscript"/>
          <w:lang w:eastAsia="zh-CN"/>
        </w:rPr>
        <w:t>inf</w:t>
      </w:r>
      <w:r w:rsidRPr="0061333F">
        <w:rPr>
          <w:rFonts w:eastAsia="SimSun"/>
          <w:sz w:val="20"/>
          <w:lang w:eastAsia="zh-CN"/>
        </w:rPr>
        <w:t xml:space="preserve"> = Area under the concentration time curve from time 0 to infinite time; </w:t>
      </w:r>
      <w:r w:rsidRPr="0061333F">
        <w:rPr>
          <w:rFonts w:eastAsia="SimSun"/>
          <w:sz w:val="20"/>
          <w:vertAlign w:val="superscript"/>
          <w:lang w:eastAsia="zh-CN"/>
        </w:rPr>
        <w:t>4</w:t>
      </w:r>
      <w:r w:rsidRPr="0061333F">
        <w:rPr>
          <w:rFonts w:eastAsia="SimSun"/>
          <w:sz w:val="20"/>
          <w:lang w:eastAsia="zh-CN"/>
        </w:rPr>
        <w:t xml:space="preserve"> </w:t>
      </w:r>
      <w:proofErr w:type="spellStart"/>
      <w:r w:rsidRPr="0061333F">
        <w:rPr>
          <w:rFonts w:eastAsia="SimSun"/>
          <w:sz w:val="20"/>
          <w:lang w:eastAsia="zh-CN"/>
        </w:rPr>
        <w:t>C</w:t>
      </w:r>
      <w:r w:rsidRPr="0061333F">
        <w:rPr>
          <w:rFonts w:eastAsia="SimSun"/>
          <w:sz w:val="20"/>
          <w:vertAlign w:val="subscript"/>
          <w:lang w:eastAsia="zh-CN"/>
        </w:rPr>
        <w:t>max</w:t>
      </w:r>
      <w:proofErr w:type="spellEnd"/>
      <w:r w:rsidRPr="0061333F">
        <w:rPr>
          <w:rFonts w:eastAsia="SimSun"/>
          <w:sz w:val="20"/>
          <w:lang w:eastAsia="zh-CN"/>
        </w:rPr>
        <w:t xml:space="preserve"> = Maximum concentration in serum; </w:t>
      </w:r>
      <w:r w:rsidRPr="0061333F">
        <w:rPr>
          <w:rFonts w:eastAsia="SimSun"/>
          <w:sz w:val="20"/>
          <w:vertAlign w:val="superscript"/>
          <w:lang w:eastAsia="zh-CN"/>
        </w:rPr>
        <w:t>5</w:t>
      </w:r>
      <w:r w:rsidRPr="0061333F">
        <w:rPr>
          <w:rFonts w:eastAsia="SimSun"/>
          <w:sz w:val="20"/>
          <w:lang w:eastAsia="zh-CN"/>
        </w:rPr>
        <w:t xml:space="preserve"> </w:t>
      </w:r>
      <w:proofErr w:type="spellStart"/>
      <w:r w:rsidRPr="0061333F">
        <w:rPr>
          <w:rFonts w:eastAsia="SimSun"/>
          <w:sz w:val="20"/>
          <w:lang w:eastAsia="zh-CN"/>
        </w:rPr>
        <w:t>t</w:t>
      </w:r>
      <w:r w:rsidRPr="0061333F">
        <w:rPr>
          <w:rFonts w:eastAsia="SimSun"/>
          <w:sz w:val="20"/>
          <w:vertAlign w:val="subscript"/>
          <w:lang w:eastAsia="zh-CN"/>
        </w:rPr>
        <w:t>max</w:t>
      </w:r>
      <w:proofErr w:type="spellEnd"/>
      <w:r w:rsidRPr="0061333F">
        <w:rPr>
          <w:rFonts w:eastAsia="SimSun"/>
          <w:sz w:val="20"/>
          <w:lang w:eastAsia="zh-CN"/>
        </w:rPr>
        <w:t xml:space="preserve"> = Time to reach </w:t>
      </w:r>
      <w:proofErr w:type="spellStart"/>
      <w:r w:rsidRPr="0061333F">
        <w:rPr>
          <w:rFonts w:eastAsia="SimSun"/>
          <w:sz w:val="20"/>
          <w:lang w:eastAsia="zh-CN"/>
        </w:rPr>
        <w:t>C</w:t>
      </w:r>
      <w:r w:rsidRPr="0061333F">
        <w:rPr>
          <w:rFonts w:eastAsia="SimSun"/>
          <w:sz w:val="20"/>
          <w:vertAlign w:val="subscript"/>
          <w:lang w:eastAsia="zh-CN"/>
        </w:rPr>
        <w:t>max</w:t>
      </w:r>
      <w:proofErr w:type="spellEnd"/>
      <w:r w:rsidRPr="0061333F">
        <w:rPr>
          <w:rFonts w:eastAsia="SimSun"/>
          <w:sz w:val="20"/>
          <w:lang w:eastAsia="zh-CN"/>
        </w:rPr>
        <w:t xml:space="preserve">; </w:t>
      </w:r>
      <w:r w:rsidRPr="0061333F">
        <w:rPr>
          <w:rFonts w:eastAsia="SimSun"/>
          <w:sz w:val="20"/>
          <w:vertAlign w:val="superscript"/>
          <w:lang w:eastAsia="zh-CN"/>
        </w:rPr>
        <w:t>6</w:t>
      </w:r>
      <w:r w:rsidRPr="0061333F">
        <w:rPr>
          <w:rFonts w:eastAsia="SimSun"/>
          <w:sz w:val="20"/>
          <w:lang w:eastAsia="zh-CN"/>
        </w:rPr>
        <w:t xml:space="preserve"> Median [minimum, maximum]; </w:t>
      </w:r>
      <w:r w:rsidRPr="0061333F">
        <w:rPr>
          <w:rFonts w:eastAsia="SimSun"/>
          <w:sz w:val="20"/>
          <w:vertAlign w:val="superscript"/>
          <w:lang w:eastAsia="zh-CN"/>
        </w:rPr>
        <w:t>7</w:t>
      </w:r>
      <w:r w:rsidRPr="0061333F">
        <w:rPr>
          <w:rFonts w:eastAsia="SimSun"/>
          <w:sz w:val="20"/>
          <w:lang w:eastAsia="zh-CN"/>
        </w:rPr>
        <w:t xml:space="preserve"> C</w:t>
      </w:r>
      <w:r w:rsidRPr="0061333F">
        <w:rPr>
          <w:rFonts w:eastAsia="SimSun"/>
          <w:sz w:val="20"/>
          <w:vertAlign w:val="subscript"/>
          <w:lang w:eastAsia="zh-CN"/>
        </w:rPr>
        <w:t>28</w:t>
      </w:r>
      <w:r w:rsidRPr="0061333F">
        <w:rPr>
          <w:rFonts w:eastAsia="SimSun"/>
          <w:sz w:val="20"/>
          <w:lang w:eastAsia="zh-CN"/>
        </w:rPr>
        <w:t xml:space="preserve"> = Concentration 28 days after dosing, i.e., on day 29</w:t>
      </w:r>
    </w:p>
    <w:p w14:paraId="18275E93" w14:textId="77777777" w:rsidR="00BB43EC" w:rsidRPr="004663D3" w:rsidRDefault="00BB43EC" w:rsidP="00BB43EC">
      <w:pPr>
        <w:pStyle w:val="C-BodyText"/>
        <w:spacing w:before="0" w:after="0" w:line="240" w:lineRule="auto"/>
        <w:contextualSpacing/>
        <w:rPr>
          <w:szCs w:val="24"/>
        </w:rPr>
      </w:pPr>
    </w:p>
    <w:p w14:paraId="3963FD34" w14:textId="77777777" w:rsidR="00BB43EC" w:rsidRPr="00EF7B97" w:rsidRDefault="00BB43EC" w:rsidP="00BB43EC">
      <w:pPr>
        <w:textAlignment w:val="baseline"/>
      </w:pPr>
      <w:r w:rsidRPr="00EF7B97">
        <w:t xml:space="preserve">A summary of PK parameters after a single 1 200 mg intravenous loading dose of </w:t>
      </w:r>
      <w:proofErr w:type="spellStart"/>
      <w:r w:rsidRPr="00EF7B97">
        <w:t>Ronapreve</w:t>
      </w:r>
      <w:proofErr w:type="spellEnd"/>
      <w:r w:rsidRPr="00EF7B97">
        <w:t xml:space="preserve"> (600 mg </w:t>
      </w:r>
      <w:proofErr w:type="spellStart"/>
      <w:r w:rsidRPr="00EF7B97">
        <w:t>casirivimab</w:t>
      </w:r>
      <w:proofErr w:type="spellEnd"/>
      <w:r w:rsidRPr="00EF7B97">
        <w:t xml:space="preserve"> and 600 mg </w:t>
      </w:r>
      <w:proofErr w:type="spellStart"/>
      <w:r w:rsidRPr="00EF7B97">
        <w:t>imdevimab</w:t>
      </w:r>
      <w:proofErr w:type="spellEnd"/>
      <w:r w:rsidRPr="00EF7B97">
        <w:t xml:space="preserve">) followed by multiple 600 mg </w:t>
      </w:r>
      <w:proofErr w:type="spellStart"/>
      <w:r w:rsidRPr="00EF7B97">
        <w:t>Ronapreve</w:t>
      </w:r>
      <w:proofErr w:type="spellEnd"/>
      <w:r w:rsidRPr="00EF7B97">
        <w:t xml:space="preserve"> intravenous Q4W doses (300 mg </w:t>
      </w:r>
      <w:proofErr w:type="spellStart"/>
      <w:r w:rsidRPr="00EF7B97">
        <w:t>casirivimab</w:t>
      </w:r>
      <w:proofErr w:type="spellEnd"/>
      <w:r w:rsidRPr="00EF7B97">
        <w:t xml:space="preserve"> and 300 mg </w:t>
      </w:r>
      <w:proofErr w:type="spellStart"/>
      <w:r w:rsidRPr="00EF7B97">
        <w:t>imdevimab</w:t>
      </w:r>
      <w:proofErr w:type="spellEnd"/>
      <w:r w:rsidRPr="00EF7B97">
        <w:t>) based on the population PK model for each antibody is shown in Table 1</w:t>
      </w:r>
      <w:r w:rsidRPr="00EF7B97">
        <w:rPr>
          <w:rStyle w:val="C-Hyperlink"/>
          <w:color w:val="auto"/>
        </w:rPr>
        <w:t>4</w:t>
      </w:r>
      <w:r w:rsidRPr="00EF7B97">
        <w:t xml:space="preserve">. </w:t>
      </w:r>
    </w:p>
    <w:p w14:paraId="601B7189" w14:textId="058F7C6B" w:rsidR="00BB43EC" w:rsidRPr="00EF7B97" w:rsidRDefault="00BB43EC" w:rsidP="00BB43EC">
      <w:pPr>
        <w:pStyle w:val="Paragraph"/>
        <w:spacing w:after="120"/>
        <w:rPr>
          <w:sz w:val="24"/>
          <w:szCs w:val="20"/>
          <w:lang w:val="en-NZ"/>
        </w:rPr>
      </w:pPr>
    </w:p>
    <w:p w14:paraId="589C7600" w14:textId="77777777" w:rsidR="00BB43EC" w:rsidRPr="00EF7B97" w:rsidRDefault="00BB43EC" w:rsidP="00BB43EC">
      <w:pPr>
        <w:pStyle w:val="C-TableHeader"/>
        <w:keepLines/>
        <w:spacing w:before="0" w:after="120"/>
        <w:ind w:left="1022" w:hanging="1022"/>
        <w:rPr>
          <w:sz w:val="24"/>
          <w:szCs w:val="24"/>
        </w:rPr>
      </w:pPr>
      <w:r w:rsidRPr="00EF7B97">
        <w:rPr>
          <w:sz w:val="24"/>
          <w:szCs w:val="24"/>
        </w:rPr>
        <w:lastRenderedPageBreak/>
        <w:t>Table 1</w:t>
      </w:r>
      <w:r w:rsidRPr="00EF7B97">
        <w:rPr>
          <w:noProof/>
          <w:sz w:val="24"/>
          <w:szCs w:val="24"/>
        </w:rPr>
        <w:t>4</w:t>
      </w:r>
      <w:r w:rsidRPr="00EF7B97">
        <w:rPr>
          <w:sz w:val="24"/>
          <w:szCs w:val="24"/>
        </w:rPr>
        <w:t xml:space="preserve">: Summary of PK parameters for </w:t>
      </w:r>
      <w:proofErr w:type="spellStart"/>
      <w:r w:rsidRPr="00EF7B97">
        <w:rPr>
          <w:sz w:val="24"/>
          <w:szCs w:val="24"/>
        </w:rPr>
        <w:t>casirivimab</w:t>
      </w:r>
      <w:proofErr w:type="spellEnd"/>
      <w:r w:rsidRPr="00EF7B97">
        <w:rPr>
          <w:sz w:val="24"/>
          <w:szCs w:val="24"/>
        </w:rPr>
        <w:t xml:space="preserve"> and </w:t>
      </w:r>
      <w:proofErr w:type="spellStart"/>
      <w:r w:rsidRPr="00EF7B97">
        <w:rPr>
          <w:sz w:val="24"/>
          <w:szCs w:val="24"/>
        </w:rPr>
        <w:t>imdevimab</w:t>
      </w:r>
      <w:proofErr w:type="spellEnd"/>
      <w:r w:rsidRPr="00EF7B97">
        <w:rPr>
          <w:sz w:val="24"/>
          <w:szCs w:val="24"/>
        </w:rPr>
        <w:t xml:space="preserve"> after a single 1 200 mg IV loading dose and 600 mg IV Q4W maintenance doses of </w:t>
      </w:r>
      <w:proofErr w:type="spellStart"/>
      <w:r w:rsidRPr="00EF7B97">
        <w:rPr>
          <w:sz w:val="24"/>
          <w:szCs w:val="24"/>
        </w:rPr>
        <w:t>Ronapreve</w:t>
      </w:r>
      <w:proofErr w:type="spellEnd"/>
      <w:r w:rsidRPr="00EF7B97">
        <w:rPr>
          <w:sz w:val="24"/>
          <w:szCs w:val="24"/>
        </w:rPr>
        <w:t xml:space="preserve"> </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2790"/>
        <w:gridCol w:w="3859"/>
      </w:tblGrid>
      <w:tr w:rsidR="00BB43EC" w:rsidRPr="00D638E9" w14:paraId="2D14DB2C" w14:textId="77777777" w:rsidTr="00813E59">
        <w:trPr>
          <w:trHeight w:val="250"/>
        </w:trPr>
        <w:tc>
          <w:tcPr>
            <w:tcW w:w="1900" w:type="dxa"/>
            <w:shd w:val="clear" w:color="auto" w:fill="FFFFFF" w:themeFill="background1"/>
            <w:tcMar>
              <w:top w:w="15" w:type="dxa"/>
              <w:left w:w="15" w:type="dxa"/>
              <w:bottom w:w="15" w:type="dxa"/>
              <w:right w:w="15" w:type="dxa"/>
            </w:tcMar>
            <w:vAlign w:val="center"/>
            <w:hideMark/>
          </w:tcPr>
          <w:p w14:paraId="0567D584" w14:textId="77777777" w:rsidR="00BB43EC" w:rsidRPr="00EF7B97" w:rsidRDefault="00BB43EC" w:rsidP="00813E59">
            <w:pPr>
              <w:keepNext/>
              <w:keepLines/>
              <w:ind w:left="72"/>
              <w:textAlignment w:val="baseline"/>
              <w:rPr>
                <w:rFonts w:eastAsia="SimSun"/>
                <w:sz w:val="22"/>
                <w:lang w:eastAsia="zh-CN"/>
              </w:rPr>
            </w:pPr>
            <w:r w:rsidRPr="00EF7B97">
              <w:rPr>
                <w:rFonts w:eastAsia="SimSun"/>
                <w:b/>
                <w:bCs/>
                <w:sz w:val="22"/>
                <w:lang w:eastAsia="zh-CN"/>
              </w:rPr>
              <w:t>PK Parameter</w:t>
            </w:r>
            <w:r w:rsidRPr="00EF7B97">
              <w:rPr>
                <w:rFonts w:eastAsia="SimSun"/>
                <w:b/>
                <w:bCs/>
                <w:sz w:val="22"/>
                <w:vertAlign w:val="superscript"/>
                <w:lang w:eastAsia="zh-CN"/>
              </w:rPr>
              <w:t>1</w:t>
            </w:r>
          </w:p>
        </w:tc>
        <w:tc>
          <w:tcPr>
            <w:tcW w:w="2790" w:type="dxa"/>
            <w:shd w:val="clear" w:color="auto" w:fill="FFFFFF" w:themeFill="background1"/>
            <w:vAlign w:val="center"/>
          </w:tcPr>
          <w:p w14:paraId="7B76D190" w14:textId="77777777" w:rsidR="00BB43EC" w:rsidRPr="00EF7B97" w:rsidRDefault="00BB43EC" w:rsidP="00813E59">
            <w:pPr>
              <w:keepNext/>
              <w:keepLines/>
              <w:jc w:val="center"/>
              <w:textAlignment w:val="baseline"/>
              <w:rPr>
                <w:rFonts w:eastAsia="SimSun"/>
                <w:b/>
                <w:bCs/>
                <w:sz w:val="22"/>
                <w:lang w:eastAsia="zh-CN"/>
              </w:rPr>
            </w:pPr>
            <w:proofErr w:type="spellStart"/>
            <w:r w:rsidRPr="00EF7B97">
              <w:rPr>
                <w:rFonts w:eastAsia="SimSun"/>
                <w:b/>
                <w:bCs/>
                <w:sz w:val="22"/>
                <w:lang w:eastAsia="zh-CN"/>
              </w:rPr>
              <w:t>casirivimab</w:t>
            </w:r>
            <w:proofErr w:type="spellEnd"/>
          </w:p>
        </w:tc>
        <w:tc>
          <w:tcPr>
            <w:tcW w:w="3859" w:type="dxa"/>
            <w:shd w:val="clear" w:color="auto" w:fill="FFFFFF" w:themeFill="background1"/>
            <w:tcMar>
              <w:top w:w="15" w:type="dxa"/>
              <w:left w:w="15" w:type="dxa"/>
              <w:bottom w:w="15" w:type="dxa"/>
              <w:right w:w="15" w:type="dxa"/>
            </w:tcMar>
            <w:vAlign w:val="center"/>
            <w:hideMark/>
          </w:tcPr>
          <w:p w14:paraId="18526C63" w14:textId="77777777" w:rsidR="00BB43EC" w:rsidRPr="00EF7B97" w:rsidRDefault="00BB43EC" w:rsidP="00813E59">
            <w:pPr>
              <w:keepNext/>
              <w:keepLines/>
              <w:jc w:val="center"/>
              <w:textAlignment w:val="baseline"/>
              <w:rPr>
                <w:rFonts w:eastAsia="SimSun"/>
                <w:sz w:val="22"/>
                <w:lang w:eastAsia="zh-CN"/>
              </w:rPr>
            </w:pPr>
            <w:proofErr w:type="spellStart"/>
            <w:r w:rsidRPr="00EF7B97">
              <w:rPr>
                <w:rFonts w:eastAsia="SimSun"/>
                <w:b/>
                <w:bCs/>
                <w:sz w:val="22"/>
                <w:lang w:eastAsia="zh-CN"/>
              </w:rPr>
              <w:t>imdevimab</w:t>
            </w:r>
            <w:proofErr w:type="spellEnd"/>
          </w:p>
        </w:tc>
      </w:tr>
      <w:tr w:rsidR="00BB43EC" w:rsidRPr="00D638E9" w14:paraId="4A8DEFF6" w14:textId="77777777" w:rsidTr="00813E59">
        <w:trPr>
          <w:trHeight w:val="412"/>
        </w:trPr>
        <w:tc>
          <w:tcPr>
            <w:tcW w:w="1900" w:type="dxa"/>
            <w:tcMar>
              <w:top w:w="15" w:type="dxa"/>
              <w:left w:w="15" w:type="dxa"/>
              <w:bottom w:w="15" w:type="dxa"/>
              <w:right w:w="15" w:type="dxa"/>
            </w:tcMar>
            <w:vAlign w:val="center"/>
          </w:tcPr>
          <w:p w14:paraId="1428EC39" w14:textId="77777777" w:rsidR="00BB43EC" w:rsidRPr="00EF7B97" w:rsidRDefault="00BB43EC" w:rsidP="00813E59">
            <w:pPr>
              <w:keepNext/>
              <w:keepLines/>
              <w:ind w:left="72"/>
              <w:textAlignment w:val="baseline"/>
              <w:rPr>
                <w:rFonts w:eastAsia="SimSun"/>
                <w:sz w:val="22"/>
                <w:lang w:eastAsia="zh-CN"/>
              </w:rPr>
            </w:pPr>
            <w:proofErr w:type="spellStart"/>
            <w:proofErr w:type="gramStart"/>
            <w:r w:rsidRPr="00EF7B97">
              <w:rPr>
                <w:rFonts w:eastAsia="Times"/>
                <w:color w:val="111111"/>
                <w:sz w:val="22"/>
                <w:lang w:eastAsia="zh-CN"/>
              </w:rPr>
              <w:t>AUC</w:t>
            </w:r>
            <w:r w:rsidRPr="00EF7B97">
              <w:rPr>
                <w:rFonts w:eastAsia="Times"/>
                <w:color w:val="111111"/>
                <w:sz w:val="22"/>
                <w:vertAlign w:val="subscript"/>
                <w:lang w:eastAsia="zh-CN"/>
              </w:rPr>
              <w:t>tau,ss</w:t>
            </w:r>
            <w:proofErr w:type="spellEnd"/>
            <w:proofErr w:type="gramEnd"/>
            <w:r w:rsidRPr="00EF7B97">
              <w:rPr>
                <w:rFonts w:eastAsia="Times"/>
                <w:color w:val="111111"/>
                <w:sz w:val="22"/>
                <w:vertAlign w:val="subscript"/>
                <w:lang w:eastAsia="zh-CN"/>
              </w:rPr>
              <w:t xml:space="preserve"> </w:t>
            </w:r>
            <w:r w:rsidRPr="00EF7B97">
              <w:rPr>
                <w:rFonts w:eastAsia="Times"/>
                <w:color w:val="111111"/>
                <w:sz w:val="22"/>
                <w:lang w:eastAsia="zh-CN"/>
              </w:rPr>
              <w:t>(</w:t>
            </w:r>
            <w:proofErr w:type="spellStart"/>
            <w:r w:rsidRPr="00EF7B97">
              <w:rPr>
                <w:rFonts w:eastAsia="Times"/>
                <w:color w:val="111111"/>
                <w:sz w:val="22"/>
                <w:lang w:eastAsia="zh-CN"/>
              </w:rPr>
              <w:t>mg∙day</w:t>
            </w:r>
            <w:proofErr w:type="spellEnd"/>
            <w:r w:rsidRPr="00EF7B97">
              <w:rPr>
                <w:rFonts w:eastAsia="Times"/>
                <w:color w:val="111111"/>
                <w:sz w:val="22"/>
                <w:lang w:eastAsia="zh-CN"/>
              </w:rPr>
              <w:t>/L)</w:t>
            </w:r>
            <w:r w:rsidRPr="00EF7B97">
              <w:rPr>
                <w:rFonts w:eastAsia="Times"/>
                <w:color w:val="111111"/>
                <w:sz w:val="22"/>
                <w:vertAlign w:val="superscript"/>
                <w:lang w:eastAsia="zh-CN"/>
              </w:rPr>
              <w:t>2</w:t>
            </w:r>
          </w:p>
        </w:tc>
        <w:tc>
          <w:tcPr>
            <w:tcW w:w="2790" w:type="dxa"/>
            <w:shd w:val="clear" w:color="auto" w:fill="FFFFFF"/>
            <w:vAlign w:val="center"/>
          </w:tcPr>
          <w:p w14:paraId="00FAF3E5" w14:textId="77777777" w:rsidR="00BB43EC" w:rsidRPr="00EF7B97" w:rsidRDefault="00BB43EC" w:rsidP="00813E59">
            <w:pPr>
              <w:keepNext/>
              <w:keepLines/>
              <w:jc w:val="center"/>
              <w:textAlignment w:val="baseline"/>
              <w:rPr>
                <w:rFonts w:eastAsia="SimSun"/>
                <w:sz w:val="22"/>
                <w:lang w:eastAsia="zh-CN"/>
              </w:rPr>
            </w:pPr>
            <w:r w:rsidRPr="00EF7B97">
              <w:rPr>
                <w:rFonts w:eastAsia="SimSun"/>
                <w:sz w:val="22"/>
                <w:lang w:eastAsia="zh-CN"/>
              </w:rPr>
              <w:t>1767.5 (605.79)</w:t>
            </w:r>
          </w:p>
        </w:tc>
        <w:tc>
          <w:tcPr>
            <w:tcW w:w="3859" w:type="dxa"/>
            <w:shd w:val="clear" w:color="auto" w:fill="FFFFFF"/>
            <w:tcMar>
              <w:top w:w="15" w:type="dxa"/>
              <w:left w:w="15" w:type="dxa"/>
              <w:bottom w:w="15" w:type="dxa"/>
              <w:right w:w="15" w:type="dxa"/>
            </w:tcMar>
            <w:vAlign w:val="center"/>
          </w:tcPr>
          <w:p w14:paraId="366B399C" w14:textId="77777777" w:rsidR="00BB43EC" w:rsidRPr="00EF7B97" w:rsidRDefault="00BB43EC" w:rsidP="00813E59">
            <w:pPr>
              <w:keepNext/>
              <w:keepLines/>
              <w:jc w:val="center"/>
              <w:textAlignment w:val="baseline"/>
              <w:rPr>
                <w:rFonts w:eastAsia="SimSun"/>
                <w:sz w:val="22"/>
                <w:lang w:eastAsia="zh-CN"/>
              </w:rPr>
            </w:pPr>
            <w:r w:rsidRPr="00EF7B97">
              <w:rPr>
                <w:rFonts w:eastAsia="SimSun"/>
                <w:sz w:val="22"/>
                <w:lang w:eastAsia="zh-CN"/>
              </w:rPr>
              <w:t>1436.8 (432.87)</w:t>
            </w:r>
          </w:p>
        </w:tc>
      </w:tr>
      <w:tr w:rsidR="00BB43EC" w:rsidRPr="00D638E9" w14:paraId="33D388E3" w14:textId="77777777" w:rsidTr="00813E59">
        <w:trPr>
          <w:trHeight w:val="223"/>
        </w:trPr>
        <w:tc>
          <w:tcPr>
            <w:tcW w:w="1900" w:type="dxa"/>
            <w:tcMar>
              <w:top w:w="15" w:type="dxa"/>
              <w:left w:w="15" w:type="dxa"/>
              <w:bottom w:w="15" w:type="dxa"/>
              <w:right w:w="15" w:type="dxa"/>
            </w:tcMar>
            <w:vAlign w:val="center"/>
          </w:tcPr>
          <w:p w14:paraId="423B90F3" w14:textId="77777777" w:rsidR="00BB43EC" w:rsidRPr="00EF7B97" w:rsidRDefault="00BB43EC" w:rsidP="00813E59">
            <w:pPr>
              <w:keepNext/>
              <w:keepLines/>
              <w:ind w:left="72"/>
              <w:textAlignment w:val="baseline"/>
              <w:rPr>
                <w:rFonts w:eastAsia="SimSun"/>
                <w:sz w:val="22"/>
                <w:lang w:eastAsia="zh-CN"/>
              </w:rPr>
            </w:pPr>
            <w:proofErr w:type="spellStart"/>
            <w:proofErr w:type="gramStart"/>
            <w:r w:rsidRPr="00EF7B97">
              <w:rPr>
                <w:rFonts w:eastAsia="Times"/>
                <w:color w:val="111111"/>
                <w:sz w:val="22"/>
                <w:lang w:eastAsia="zh-CN"/>
              </w:rPr>
              <w:t>C</w:t>
            </w:r>
            <w:r w:rsidRPr="00EF7B97">
              <w:rPr>
                <w:rFonts w:eastAsia="Times"/>
                <w:color w:val="111111"/>
                <w:sz w:val="22"/>
                <w:vertAlign w:val="subscript"/>
                <w:lang w:eastAsia="zh-CN"/>
              </w:rPr>
              <w:t>max,ss</w:t>
            </w:r>
            <w:proofErr w:type="spellEnd"/>
            <w:proofErr w:type="gramEnd"/>
            <w:r w:rsidRPr="00EF7B97">
              <w:rPr>
                <w:rFonts w:eastAsia="Times"/>
                <w:color w:val="111111"/>
                <w:sz w:val="22"/>
                <w:vertAlign w:val="subscript"/>
                <w:lang w:eastAsia="zh-CN"/>
              </w:rPr>
              <w:t xml:space="preserve"> </w:t>
            </w:r>
            <w:r w:rsidRPr="00EF7B97">
              <w:rPr>
                <w:rFonts w:eastAsia="Times"/>
                <w:color w:val="111111"/>
                <w:sz w:val="22"/>
                <w:lang w:eastAsia="zh-CN"/>
              </w:rPr>
              <w:t>(mg/L)</w:t>
            </w:r>
            <w:r w:rsidRPr="00EF7B97">
              <w:rPr>
                <w:rFonts w:eastAsia="Times"/>
                <w:color w:val="111111"/>
                <w:sz w:val="22"/>
                <w:vertAlign w:val="superscript"/>
                <w:lang w:eastAsia="zh-CN"/>
              </w:rPr>
              <w:t>3</w:t>
            </w:r>
          </w:p>
        </w:tc>
        <w:tc>
          <w:tcPr>
            <w:tcW w:w="2790" w:type="dxa"/>
            <w:shd w:val="clear" w:color="auto" w:fill="FFFFFF"/>
            <w:vAlign w:val="center"/>
          </w:tcPr>
          <w:p w14:paraId="0234994A" w14:textId="77777777" w:rsidR="00BB43EC" w:rsidRPr="00EF7B97" w:rsidRDefault="00BB43EC" w:rsidP="00813E59">
            <w:pPr>
              <w:keepNext/>
              <w:keepLines/>
              <w:jc w:val="center"/>
              <w:textAlignment w:val="baseline"/>
              <w:rPr>
                <w:rFonts w:eastAsia="SimSun"/>
                <w:sz w:val="22"/>
                <w:lang w:eastAsia="zh-CN"/>
              </w:rPr>
            </w:pPr>
            <w:r w:rsidRPr="00EF7B97">
              <w:rPr>
                <w:rFonts w:eastAsia="SimSun"/>
                <w:sz w:val="22"/>
                <w:lang w:eastAsia="zh-CN"/>
              </w:rPr>
              <w:t>133.8 (46.51)</w:t>
            </w:r>
          </w:p>
        </w:tc>
        <w:tc>
          <w:tcPr>
            <w:tcW w:w="3859" w:type="dxa"/>
            <w:shd w:val="clear" w:color="auto" w:fill="FFFFFF"/>
            <w:tcMar>
              <w:top w:w="15" w:type="dxa"/>
              <w:left w:w="15" w:type="dxa"/>
              <w:bottom w:w="15" w:type="dxa"/>
              <w:right w:w="15" w:type="dxa"/>
            </w:tcMar>
            <w:vAlign w:val="center"/>
          </w:tcPr>
          <w:p w14:paraId="36E96BA6" w14:textId="77777777" w:rsidR="00BB43EC" w:rsidRPr="00EF7B97" w:rsidRDefault="00BB43EC" w:rsidP="00813E59">
            <w:pPr>
              <w:keepNext/>
              <w:keepLines/>
              <w:jc w:val="center"/>
              <w:textAlignment w:val="baseline"/>
              <w:rPr>
                <w:rFonts w:eastAsia="SimSun"/>
                <w:sz w:val="22"/>
                <w:lang w:eastAsia="zh-CN"/>
              </w:rPr>
            </w:pPr>
            <w:r w:rsidRPr="00EF7B97">
              <w:rPr>
                <w:rFonts w:eastAsia="SimSun"/>
                <w:sz w:val="22"/>
                <w:lang w:eastAsia="zh-CN"/>
              </w:rPr>
              <w:t>122.4 (41.67)</w:t>
            </w:r>
          </w:p>
        </w:tc>
      </w:tr>
      <w:tr w:rsidR="00BB43EC" w:rsidRPr="00D638E9" w14:paraId="17FFD816" w14:textId="77777777" w:rsidTr="00813E59">
        <w:trPr>
          <w:trHeight w:val="106"/>
        </w:trPr>
        <w:tc>
          <w:tcPr>
            <w:tcW w:w="1900" w:type="dxa"/>
            <w:tcMar>
              <w:top w:w="15" w:type="dxa"/>
              <w:left w:w="15" w:type="dxa"/>
              <w:bottom w:w="15" w:type="dxa"/>
              <w:right w:w="15" w:type="dxa"/>
            </w:tcMar>
            <w:vAlign w:val="center"/>
          </w:tcPr>
          <w:p w14:paraId="5537452E" w14:textId="77777777" w:rsidR="00BB43EC" w:rsidRPr="00EF7B97" w:rsidRDefault="00BB43EC" w:rsidP="00813E59">
            <w:pPr>
              <w:keepNext/>
              <w:keepLines/>
              <w:ind w:left="72"/>
              <w:textAlignment w:val="baseline"/>
              <w:rPr>
                <w:rFonts w:eastAsia="SimSun"/>
                <w:sz w:val="22"/>
                <w:lang w:eastAsia="zh-CN"/>
              </w:rPr>
            </w:pPr>
            <w:proofErr w:type="spellStart"/>
            <w:proofErr w:type="gramStart"/>
            <w:r w:rsidRPr="00EF7B97">
              <w:rPr>
                <w:rFonts w:eastAsia="Times"/>
                <w:color w:val="111111"/>
                <w:sz w:val="22"/>
                <w:lang w:eastAsia="zh-CN"/>
              </w:rPr>
              <w:t>C</w:t>
            </w:r>
            <w:r w:rsidRPr="00EF7B97">
              <w:rPr>
                <w:rFonts w:eastAsia="Times"/>
                <w:color w:val="111111"/>
                <w:sz w:val="22"/>
                <w:vertAlign w:val="subscript"/>
                <w:lang w:eastAsia="zh-CN"/>
              </w:rPr>
              <w:t>trough,ss</w:t>
            </w:r>
            <w:proofErr w:type="spellEnd"/>
            <w:proofErr w:type="gramEnd"/>
            <w:r w:rsidRPr="00EF7B97">
              <w:rPr>
                <w:rFonts w:eastAsia="Times"/>
                <w:color w:val="111111"/>
                <w:sz w:val="22"/>
                <w:vertAlign w:val="subscript"/>
                <w:lang w:eastAsia="zh-CN"/>
              </w:rPr>
              <w:t xml:space="preserve"> </w:t>
            </w:r>
            <w:r w:rsidRPr="00EF7B97">
              <w:rPr>
                <w:rFonts w:eastAsia="Times"/>
                <w:color w:val="111111"/>
                <w:sz w:val="22"/>
                <w:lang w:eastAsia="zh-CN"/>
              </w:rPr>
              <w:t>(mg/L)</w:t>
            </w:r>
            <w:r w:rsidRPr="00EF7B97">
              <w:rPr>
                <w:rFonts w:eastAsia="Times"/>
                <w:color w:val="111111"/>
                <w:sz w:val="22"/>
                <w:vertAlign w:val="superscript"/>
                <w:lang w:eastAsia="zh-CN"/>
              </w:rPr>
              <w:t>4</w:t>
            </w:r>
          </w:p>
        </w:tc>
        <w:tc>
          <w:tcPr>
            <w:tcW w:w="2790" w:type="dxa"/>
            <w:shd w:val="clear" w:color="auto" w:fill="FFFFFF"/>
            <w:vAlign w:val="center"/>
          </w:tcPr>
          <w:p w14:paraId="4465D1F3" w14:textId="77777777" w:rsidR="00BB43EC" w:rsidRPr="00EF7B97" w:rsidRDefault="00BB43EC" w:rsidP="00813E59">
            <w:pPr>
              <w:keepNext/>
              <w:keepLines/>
              <w:jc w:val="center"/>
              <w:textAlignment w:val="baseline"/>
              <w:rPr>
                <w:rFonts w:eastAsia="SimSun"/>
                <w:sz w:val="22"/>
                <w:lang w:eastAsia="zh-CN"/>
              </w:rPr>
            </w:pPr>
            <w:r w:rsidRPr="00EF7B97">
              <w:rPr>
                <w:rFonts w:eastAsia="SimSun"/>
                <w:sz w:val="22"/>
                <w:lang w:eastAsia="zh-CN"/>
              </w:rPr>
              <w:t>42.6 (19.72)</w:t>
            </w:r>
          </w:p>
        </w:tc>
        <w:tc>
          <w:tcPr>
            <w:tcW w:w="3859" w:type="dxa"/>
            <w:shd w:val="clear" w:color="auto" w:fill="FFFFFF"/>
            <w:tcMar>
              <w:top w:w="15" w:type="dxa"/>
              <w:left w:w="15" w:type="dxa"/>
              <w:bottom w:w="15" w:type="dxa"/>
              <w:right w:w="15" w:type="dxa"/>
            </w:tcMar>
            <w:vAlign w:val="center"/>
          </w:tcPr>
          <w:p w14:paraId="113421C2" w14:textId="77777777" w:rsidR="00BB43EC" w:rsidRPr="00EF7B97" w:rsidRDefault="00BB43EC" w:rsidP="00813E59">
            <w:pPr>
              <w:keepNext/>
              <w:keepLines/>
              <w:jc w:val="center"/>
              <w:textAlignment w:val="baseline"/>
              <w:rPr>
                <w:rFonts w:eastAsia="SimSun"/>
                <w:sz w:val="22"/>
                <w:lang w:eastAsia="zh-CN"/>
              </w:rPr>
            </w:pPr>
            <w:r w:rsidRPr="00EF7B97">
              <w:rPr>
                <w:rFonts w:eastAsia="SimSun"/>
                <w:sz w:val="22"/>
                <w:lang w:eastAsia="zh-CN"/>
              </w:rPr>
              <w:t>31.7 (13.56)</w:t>
            </w:r>
          </w:p>
        </w:tc>
      </w:tr>
      <w:tr w:rsidR="00BB43EC" w:rsidRPr="00D638E9" w14:paraId="253FE1F6" w14:textId="77777777" w:rsidTr="00813E59">
        <w:trPr>
          <w:trHeight w:val="169"/>
        </w:trPr>
        <w:tc>
          <w:tcPr>
            <w:tcW w:w="1900" w:type="dxa"/>
            <w:tcMar>
              <w:top w:w="15" w:type="dxa"/>
              <w:left w:w="15" w:type="dxa"/>
              <w:bottom w:w="15" w:type="dxa"/>
              <w:right w:w="15" w:type="dxa"/>
            </w:tcMar>
            <w:vAlign w:val="center"/>
          </w:tcPr>
          <w:p w14:paraId="4D1177D8" w14:textId="77777777" w:rsidR="00BB43EC" w:rsidRPr="00EF7B97" w:rsidRDefault="00BB43EC" w:rsidP="00813E59">
            <w:pPr>
              <w:keepNext/>
              <w:keepLines/>
              <w:ind w:left="72"/>
              <w:textAlignment w:val="baseline"/>
              <w:rPr>
                <w:rFonts w:eastAsia="SimSun"/>
                <w:sz w:val="22"/>
                <w:lang w:eastAsia="zh-CN"/>
              </w:rPr>
            </w:pPr>
            <w:r w:rsidRPr="00EF7B97">
              <w:rPr>
                <w:rFonts w:eastAsia="Times"/>
                <w:color w:val="111111"/>
                <w:sz w:val="22"/>
                <w:lang w:eastAsia="zh-CN"/>
              </w:rPr>
              <w:t>C</w:t>
            </w:r>
            <w:r w:rsidRPr="00EF7B97">
              <w:rPr>
                <w:rFonts w:eastAsia="Times"/>
                <w:color w:val="111111"/>
                <w:sz w:val="22"/>
                <w:vertAlign w:val="subscript"/>
                <w:lang w:eastAsia="zh-CN"/>
              </w:rPr>
              <w:t>28</w:t>
            </w:r>
            <w:r w:rsidRPr="00EF7B97">
              <w:rPr>
                <w:rFonts w:eastAsia="Times"/>
                <w:color w:val="111111"/>
                <w:sz w:val="22"/>
                <w:lang w:eastAsia="zh-CN"/>
              </w:rPr>
              <w:t xml:space="preserve"> (mg/L)</w:t>
            </w:r>
            <w:r w:rsidRPr="00EF7B97">
              <w:rPr>
                <w:rFonts w:eastAsia="Times"/>
                <w:color w:val="111111"/>
                <w:sz w:val="22"/>
                <w:vertAlign w:val="superscript"/>
                <w:lang w:eastAsia="zh-CN"/>
              </w:rPr>
              <w:t>5</w:t>
            </w:r>
          </w:p>
        </w:tc>
        <w:tc>
          <w:tcPr>
            <w:tcW w:w="2790" w:type="dxa"/>
            <w:shd w:val="clear" w:color="auto" w:fill="FFFFFF"/>
            <w:vAlign w:val="center"/>
          </w:tcPr>
          <w:p w14:paraId="322F679F" w14:textId="77777777" w:rsidR="00BB43EC" w:rsidRPr="00EF7B97" w:rsidRDefault="00BB43EC" w:rsidP="00813E59">
            <w:pPr>
              <w:keepNext/>
              <w:keepLines/>
              <w:jc w:val="center"/>
              <w:textAlignment w:val="baseline"/>
              <w:rPr>
                <w:rFonts w:eastAsia="SimSun"/>
                <w:sz w:val="22"/>
                <w:lang w:eastAsia="zh-CN"/>
              </w:rPr>
            </w:pPr>
            <w:r w:rsidRPr="00EF7B97">
              <w:rPr>
                <w:rFonts w:eastAsia="SimSun"/>
                <w:sz w:val="22"/>
                <w:lang w:eastAsia="zh-CN"/>
              </w:rPr>
              <w:t>37.9 (10.32)</w:t>
            </w:r>
          </w:p>
        </w:tc>
        <w:tc>
          <w:tcPr>
            <w:tcW w:w="3859" w:type="dxa"/>
            <w:shd w:val="clear" w:color="auto" w:fill="FFFFFF"/>
            <w:tcMar>
              <w:top w:w="15" w:type="dxa"/>
              <w:left w:w="15" w:type="dxa"/>
              <w:bottom w:w="15" w:type="dxa"/>
              <w:right w:w="15" w:type="dxa"/>
            </w:tcMar>
            <w:vAlign w:val="center"/>
          </w:tcPr>
          <w:p w14:paraId="5FA7038B" w14:textId="77777777" w:rsidR="00BB43EC" w:rsidRPr="00EF7B97" w:rsidRDefault="00BB43EC" w:rsidP="00813E59">
            <w:pPr>
              <w:keepNext/>
              <w:keepLines/>
              <w:jc w:val="center"/>
              <w:textAlignment w:val="baseline"/>
              <w:rPr>
                <w:rFonts w:eastAsia="SimSun"/>
                <w:sz w:val="22"/>
                <w:lang w:eastAsia="zh-CN"/>
              </w:rPr>
            </w:pPr>
            <w:r w:rsidRPr="00EF7B97">
              <w:rPr>
                <w:rFonts w:eastAsia="SimSun"/>
                <w:sz w:val="22"/>
                <w:lang w:eastAsia="zh-CN"/>
              </w:rPr>
              <w:t>31.0 (8.24)</w:t>
            </w:r>
          </w:p>
        </w:tc>
      </w:tr>
      <w:tr w:rsidR="00BB43EC" w:rsidRPr="00D638E9" w14:paraId="7B8B62DD" w14:textId="77777777" w:rsidTr="00813E59">
        <w:trPr>
          <w:trHeight w:val="151"/>
        </w:trPr>
        <w:tc>
          <w:tcPr>
            <w:tcW w:w="1900" w:type="dxa"/>
            <w:tcMar>
              <w:top w:w="15" w:type="dxa"/>
              <w:left w:w="15" w:type="dxa"/>
              <w:bottom w:w="15" w:type="dxa"/>
              <w:right w:w="15" w:type="dxa"/>
            </w:tcMar>
            <w:vAlign w:val="center"/>
          </w:tcPr>
          <w:p w14:paraId="1ECC5484" w14:textId="77777777" w:rsidR="00BB43EC" w:rsidRPr="00EF7B97" w:rsidRDefault="00BB43EC" w:rsidP="00813E59">
            <w:pPr>
              <w:keepNext/>
              <w:keepLines/>
              <w:ind w:left="72"/>
              <w:textAlignment w:val="baseline"/>
              <w:rPr>
                <w:rFonts w:eastAsia="Times"/>
                <w:color w:val="111111"/>
                <w:sz w:val="22"/>
                <w:lang w:eastAsia="zh-CN"/>
              </w:rPr>
            </w:pPr>
            <w:r w:rsidRPr="00EF7B97">
              <w:rPr>
                <w:rFonts w:eastAsia="Times"/>
                <w:color w:val="111111"/>
                <w:sz w:val="22"/>
                <w:lang w:eastAsia="zh-CN"/>
              </w:rPr>
              <w:t>AR</w:t>
            </w:r>
            <w:r w:rsidRPr="00EF7B97">
              <w:rPr>
                <w:rFonts w:eastAsia="Times"/>
                <w:color w:val="111111"/>
                <w:sz w:val="22"/>
                <w:vertAlign w:val="superscript"/>
                <w:lang w:eastAsia="zh-CN"/>
              </w:rPr>
              <w:t>6</w:t>
            </w:r>
          </w:p>
        </w:tc>
        <w:tc>
          <w:tcPr>
            <w:tcW w:w="2790" w:type="dxa"/>
            <w:shd w:val="clear" w:color="auto" w:fill="FFFFFF"/>
            <w:vAlign w:val="center"/>
          </w:tcPr>
          <w:p w14:paraId="1FD2FDA2" w14:textId="77777777" w:rsidR="00BB43EC" w:rsidRPr="00EF7B97" w:rsidRDefault="00BB43EC" w:rsidP="00813E59">
            <w:pPr>
              <w:keepNext/>
              <w:keepLines/>
              <w:jc w:val="center"/>
              <w:textAlignment w:val="baseline"/>
              <w:rPr>
                <w:rFonts w:eastAsia="SimSun"/>
                <w:sz w:val="22"/>
                <w:lang w:eastAsia="zh-CN"/>
              </w:rPr>
            </w:pPr>
            <w:r w:rsidRPr="00EF7B97">
              <w:rPr>
                <w:rFonts w:eastAsia="SimSun"/>
                <w:sz w:val="22"/>
                <w:lang w:eastAsia="zh-CN"/>
              </w:rPr>
              <w:t>1.0 (0.241)</w:t>
            </w:r>
          </w:p>
        </w:tc>
        <w:tc>
          <w:tcPr>
            <w:tcW w:w="3859" w:type="dxa"/>
            <w:shd w:val="clear" w:color="auto" w:fill="FFFFFF"/>
            <w:tcMar>
              <w:top w:w="15" w:type="dxa"/>
              <w:left w:w="15" w:type="dxa"/>
              <w:bottom w:w="15" w:type="dxa"/>
              <w:right w:w="15" w:type="dxa"/>
            </w:tcMar>
            <w:vAlign w:val="center"/>
          </w:tcPr>
          <w:p w14:paraId="7C58F3BC" w14:textId="77777777" w:rsidR="00BB43EC" w:rsidRPr="00EF7B97" w:rsidRDefault="00BB43EC" w:rsidP="00813E59">
            <w:pPr>
              <w:keepNext/>
              <w:keepLines/>
              <w:jc w:val="center"/>
              <w:textAlignment w:val="baseline"/>
              <w:rPr>
                <w:rFonts w:eastAsia="SimSun"/>
                <w:sz w:val="22"/>
                <w:lang w:eastAsia="zh-CN"/>
              </w:rPr>
            </w:pPr>
            <w:r w:rsidRPr="00EF7B97">
              <w:rPr>
                <w:rFonts w:eastAsia="SimSun"/>
                <w:sz w:val="22"/>
                <w:lang w:eastAsia="zh-CN"/>
              </w:rPr>
              <w:t>0.893 (0.174)</w:t>
            </w:r>
          </w:p>
        </w:tc>
      </w:tr>
    </w:tbl>
    <w:p w14:paraId="2D5CA3F5" w14:textId="77777777" w:rsidR="00BB43EC" w:rsidRPr="00EF7B97" w:rsidRDefault="00BB43EC" w:rsidP="00BB43EC">
      <w:pPr>
        <w:keepNext/>
        <w:keepLines/>
        <w:tabs>
          <w:tab w:val="left" w:pos="144"/>
        </w:tabs>
        <w:rPr>
          <w:sz w:val="20"/>
          <w:lang w:eastAsia="zh-CN"/>
        </w:rPr>
      </w:pPr>
      <w:r w:rsidRPr="00EF7B97">
        <w:rPr>
          <w:sz w:val="20"/>
          <w:vertAlign w:val="superscript"/>
          <w:lang w:eastAsia="zh-CN"/>
        </w:rPr>
        <w:t>1</w:t>
      </w:r>
      <w:r w:rsidRPr="00EF7B97">
        <w:rPr>
          <w:sz w:val="20"/>
          <w:lang w:eastAsia="zh-CN"/>
        </w:rPr>
        <w:t xml:space="preserve"> Mean (SD), where SD is standard deviation of the arithmetic mean; </w:t>
      </w:r>
      <w:r w:rsidRPr="00EF7B97">
        <w:rPr>
          <w:sz w:val="20"/>
          <w:vertAlign w:val="superscript"/>
          <w:lang w:eastAsia="zh-CN"/>
        </w:rPr>
        <w:t>2</w:t>
      </w:r>
      <w:r w:rsidRPr="00EF7B97">
        <w:rPr>
          <w:sz w:val="20"/>
          <w:lang w:eastAsia="zh-CN"/>
        </w:rPr>
        <w:t xml:space="preserve"> </w:t>
      </w:r>
      <w:proofErr w:type="spellStart"/>
      <w:r w:rsidRPr="00EF7B97">
        <w:rPr>
          <w:sz w:val="20"/>
          <w:lang w:eastAsia="zh-CN"/>
        </w:rPr>
        <w:t>AUC</w:t>
      </w:r>
      <w:r w:rsidRPr="00EF7B97">
        <w:rPr>
          <w:sz w:val="20"/>
          <w:vertAlign w:val="subscript"/>
          <w:lang w:eastAsia="zh-CN"/>
        </w:rPr>
        <w:t>tau,ss</w:t>
      </w:r>
      <w:proofErr w:type="spellEnd"/>
      <w:r w:rsidRPr="00EF7B97">
        <w:rPr>
          <w:sz w:val="20"/>
          <w:vertAlign w:val="subscript"/>
          <w:lang w:eastAsia="zh-CN"/>
        </w:rPr>
        <w:t xml:space="preserve"> </w:t>
      </w:r>
      <w:r w:rsidRPr="00EF7B97">
        <w:rPr>
          <w:sz w:val="20"/>
          <w:lang w:eastAsia="zh-CN"/>
        </w:rPr>
        <w:t xml:space="preserve">= Area under the concentration time curve during a dosing interval at steady-state; </w:t>
      </w:r>
      <w:r w:rsidRPr="00EF7B97">
        <w:rPr>
          <w:sz w:val="20"/>
          <w:vertAlign w:val="superscript"/>
          <w:lang w:eastAsia="zh-CN"/>
        </w:rPr>
        <w:t>3</w:t>
      </w:r>
      <w:r w:rsidRPr="00EF7B97">
        <w:rPr>
          <w:sz w:val="20"/>
          <w:lang w:eastAsia="zh-CN"/>
        </w:rPr>
        <w:t xml:space="preserve"> </w:t>
      </w:r>
      <w:proofErr w:type="spellStart"/>
      <w:r w:rsidRPr="00EF7B97">
        <w:rPr>
          <w:sz w:val="20"/>
          <w:lang w:eastAsia="zh-CN"/>
        </w:rPr>
        <w:t>C</w:t>
      </w:r>
      <w:r w:rsidRPr="00EF7B97">
        <w:rPr>
          <w:sz w:val="20"/>
          <w:vertAlign w:val="subscript"/>
          <w:lang w:eastAsia="zh-CN"/>
        </w:rPr>
        <w:t>max,ss</w:t>
      </w:r>
      <w:proofErr w:type="spellEnd"/>
      <w:r w:rsidRPr="00EF7B97">
        <w:rPr>
          <w:sz w:val="20"/>
          <w:lang w:eastAsia="zh-CN"/>
        </w:rPr>
        <w:t xml:space="preserve"> = Maximum concentration at steady-state; </w:t>
      </w:r>
      <w:r w:rsidRPr="00EF7B97">
        <w:rPr>
          <w:sz w:val="20"/>
          <w:vertAlign w:val="superscript"/>
          <w:lang w:eastAsia="zh-CN"/>
        </w:rPr>
        <w:t>4</w:t>
      </w:r>
      <w:r w:rsidRPr="00EF7B97">
        <w:rPr>
          <w:sz w:val="20"/>
          <w:lang w:eastAsia="zh-CN"/>
        </w:rPr>
        <w:t xml:space="preserve"> </w:t>
      </w:r>
      <w:proofErr w:type="spellStart"/>
      <w:r w:rsidRPr="00EF7B97">
        <w:rPr>
          <w:sz w:val="20"/>
          <w:lang w:eastAsia="zh-CN"/>
        </w:rPr>
        <w:t>C</w:t>
      </w:r>
      <w:r w:rsidRPr="00EF7B97">
        <w:rPr>
          <w:sz w:val="20"/>
          <w:vertAlign w:val="subscript"/>
          <w:lang w:eastAsia="zh-CN"/>
        </w:rPr>
        <w:t>trough,ss</w:t>
      </w:r>
      <w:proofErr w:type="spellEnd"/>
      <w:r w:rsidRPr="00EF7B97">
        <w:rPr>
          <w:sz w:val="20"/>
          <w:lang w:eastAsia="zh-CN"/>
        </w:rPr>
        <w:t xml:space="preserve"> = Trough concentration at steady-state; </w:t>
      </w:r>
      <w:r w:rsidRPr="00EF7B97">
        <w:rPr>
          <w:sz w:val="20"/>
          <w:vertAlign w:val="superscript"/>
          <w:lang w:eastAsia="zh-CN"/>
        </w:rPr>
        <w:t>5</w:t>
      </w:r>
      <w:r w:rsidRPr="00EF7B97">
        <w:rPr>
          <w:sz w:val="20"/>
          <w:lang w:eastAsia="zh-CN"/>
        </w:rPr>
        <w:t xml:space="preserve"> C</w:t>
      </w:r>
      <w:r w:rsidRPr="00EF7B97">
        <w:rPr>
          <w:sz w:val="20"/>
          <w:vertAlign w:val="subscript"/>
          <w:lang w:eastAsia="zh-CN"/>
        </w:rPr>
        <w:t>28</w:t>
      </w:r>
      <w:r w:rsidRPr="00EF7B97">
        <w:rPr>
          <w:sz w:val="20"/>
          <w:lang w:eastAsia="zh-CN"/>
        </w:rPr>
        <w:t xml:space="preserve"> = Concentration 28 days after the first dose; </w:t>
      </w:r>
      <w:r w:rsidRPr="00EF7B97">
        <w:rPr>
          <w:sz w:val="20"/>
          <w:vertAlign w:val="superscript"/>
          <w:lang w:eastAsia="zh-CN"/>
        </w:rPr>
        <w:t>6</w:t>
      </w:r>
      <w:r w:rsidRPr="00EF7B97">
        <w:rPr>
          <w:sz w:val="20"/>
          <w:lang w:eastAsia="zh-CN"/>
        </w:rPr>
        <w:t xml:space="preserve"> The accumulation ratio (AR)</w:t>
      </w:r>
      <w:r w:rsidRPr="00EF7B97">
        <w:rPr>
          <w:rFonts w:eastAsia="Times"/>
          <w:color w:val="111111"/>
          <w:sz w:val="20"/>
          <w:lang w:eastAsia="zh-CN"/>
        </w:rPr>
        <w:t xml:space="preserve"> is calculated as </w:t>
      </w:r>
      <w:r w:rsidRPr="00EF7B97">
        <w:rPr>
          <w:sz w:val="20"/>
          <w:lang w:eastAsia="zh-CN"/>
        </w:rPr>
        <w:t xml:space="preserve"> </w:t>
      </w:r>
      <m:oMath>
        <m:f>
          <m:fPr>
            <m:ctrlPr>
              <w:rPr>
                <w:rFonts w:ascii="Cambria Math" w:hAnsi="Cambria Math"/>
                <w:i/>
                <w:sz w:val="20"/>
                <w:lang w:eastAsia="zh-CN"/>
              </w:rPr>
            </m:ctrlPr>
          </m:fPr>
          <m:num>
            <m:sSub>
              <m:sSubPr>
                <m:ctrlPr>
                  <w:rPr>
                    <w:rFonts w:ascii="Cambria Math" w:hAnsi="Cambria Math"/>
                    <w:i/>
                    <w:sz w:val="20"/>
                    <w:lang w:eastAsia="zh-CN"/>
                  </w:rPr>
                </m:ctrlPr>
              </m:sSubPr>
              <m:e>
                <m:r>
                  <w:rPr>
                    <w:rFonts w:ascii="Cambria Math" w:hAnsi="Cambria Math"/>
                    <w:sz w:val="20"/>
                    <w:lang w:eastAsia="zh-CN"/>
                  </w:rPr>
                  <m:t>AUC</m:t>
                </m:r>
                <m:ctrlPr>
                  <w:rPr>
                    <w:rFonts w:ascii="Cambria Math" w:eastAsia="SimSun" w:hAnsi="Cambria Math"/>
                    <w:sz w:val="20"/>
                    <w:lang w:eastAsia="zh-CN"/>
                  </w:rPr>
                </m:ctrlPr>
              </m:e>
              <m:sub>
                <m:r>
                  <w:rPr>
                    <w:rFonts w:ascii="Cambria Math" w:hAnsi="Cambria Math"/>
                    <w:sz w:val="20"/>
                    <w:lang w:eastAsia="zh-CN"/>
                  </w:rPr>
                  <m:t>τ, ss</m:t>
                </m:r>
                <m:ctrlPr>
                  <w:rPr>
                    <w:rFonts w:ascii="Cambria Math" w:eastAsia="SimSun" w:hAnsi="Cambria Math"/>
                    <w:sz w:val="20"/>
                    <w:lang w:eastAsia="zh-CN"/>
                  </w:rPr>
                </m:ctrlPr>
              </m:sub>
            </m:sSub>
            <m:ctrlPr>
              <w:rPr>
                <w:rFonts w:ascii="Cambria Math" w:eastAsia="SimSun" w:hAnsi="Cambria Math"/>
                <w:sz w:val="20"/>
                <w:lang w:eastAsia="zh-CN"/>
              </w:rPr>
            </m:ctrlPr>
          </m:num>
          <m:den>
            <m:sSub>
              <m:sSubPr>
                <m:ctrlPr>
                  <w:rPr>
                    <w:rFonts w:ascii="Cambria Math" w:hAnsi="Cambria Math"/>
                    <w:i/>
                    <w:sz w:val="20"/>
                    <w:lang w:eastAsia="zh-CN"/>
                  </w:rPr>
                </m:ctrlPr>
              </m:sSubPr>
              <m:e>
                <m:r>
                  <w:rPr>
                    <w:rFonts w:ascii="Cambria Math" w:hAnsi="Cambria Math"/>
                    <w:sz w:val="20"/>
                    <w:lang w:eastAsia="zh-CN"/>
                  </w:rPr>
                  <m:t>AUC</m:t>
                </m:r>
                <m:ctrlPr>
                  <w:rPr>
                    <w:rFonts w:ascii="Cambria Math" w:eastAsia="SimSun" w:hAnsi="Cambria Math"/>
                    <w:sz w:val="20"/>
                    <w:lang w:eastAsia="zh-CN"/>
                  </w:rPr>
                </m:ctrlPr>
              </m:e>
              <m:sub>
                <m:r>
                  <w:rPr>
                    <w:rFonts w:ascii="Cambria Math" w:hAnsi="Cambria Math"/>
                    <w:sz w:val="20"/>
                    <w:lang w:eastAsia="zh-CN"/>
                  </w:rPr>
                  <m:t>τ, FD</m:t>
                </m:r>
                <m:ctrlPr>
                  <w:rPr>
                    <w:rFonts w:ascii="Cambria Math" w:eastAsia="SimSun" w:hAnsi="Cambria Math"/>
                    <w:sz w:val="20"/>
                    <w:lang w:eastAsia="zh-CN"/>
                  </w:rPr>
                </m:ctrlPr>
              </m:sub>
            </m:sSub>
            <m:ctrlPr>
              <w:rPr>
                <w:rFonts w:ascii="Cambria Math" w:eastAsia="SimSun" w:hAnsi="Cambria Math"/>
                <w:sz w:val="20"/>
                <w:lang w:eastAsia="zh-CN"/>
              </w:rPr>
            </m:ctrlPr>
          </m:den>
        </m:f>
      </m:oMath>
      <w:r w:rsidRPr="00EF7B97">
        <w:rPr>
          <w:sz w:val="20"/>
          <w:lang w:eastAsia="zh-CN"/>
        </w:rPr>
        <w:t xml:space="preserve"> (FD = first dose); Q4W = Every 4 weeks</w:t>
      </w:r>
    </w:p>
    <w:p w14:paraId="560AC897" w14:textId="77777777" w:rsidR="00BB43EC" w:rsidRPr="00EF7B97" w:rsidRDefault="00BB43EC" w:rsidP="00BB43EC">
      <w:pPr>
        <w:pStyle w:val="C-BodyText"/>
        <w:spacing w:before="0" w:after="0" w:line="240" w:lineRule="auto"/>
        <w:contextualSpacing/>
        <w:rPr>
          <w:szCs w:val="24"/>
        </w:rPr>
      </w:pPr>
    </w:p>
    <w:p w14:paraId="76BE39D8" w14:textId="77777777" w:rsidR="00BB43EC" w:rsidRPr="00EF7B97" w:rsidRDefault="00BB43EC" w:rsidP="00BB43EC">
      <w:pPr>
        <w:textAlignment w:val="baseline"/>
      </w:pPr>
      <w:r w:rsidRPr="00EF7B97">
        <w:t xml:space="preserve">A summary of PK parameters after a single subcutaneous 1 200 mg loading dose of </w:t>
      </w:r>
      <w:proofErr w:type="spellStart"/>
      <w:r w:rsidRPr="00EF7B97">
        <w:t>Ronapreve</w:t>
      </w:r>
      <w:proofErr w:type="spellEnd"/>
      <w:r w:rsidRPr="00EF7B97">
        <w:t xml:space="preserve"> (600 mg </w:t>
      </w:r>
      <w:proofErr w:type="spellStart"/>
      <w:r w:rsidRPr="00EF7B97">
        <w:t>casirivimab</w:t>
      </w:r>
      <w:proofErr w:type="spellEnd"/>
      <w:r w:rsidRPr="00EF7B97">
        <w:t xml:space="preserve"> and 600 mg </w:t>
      </w:r>
      <w:proofErr w:type="spellStart"/>
      <w:r w:rsidRPr="00EF7B97">
        <w:t>imdevimab</w:t>
      </w:r>
      <w:proofErr w:type="spellEnd"/>
      <w:r w:rsidRPr="00EF7B97">
        <w:t xml:space="preserve">) followed by multiple subcutaneous Q4W doses of 600 mg </w:t>
      </w:r>
      <w:proofErr w:type="spellStart"/>
      <w:r w:rsidRPr="00EF7B97">
        <w:t>Ronapreve</w:t>
      </w:r>
      <w:proofErr w:type="spellEnd"/>
      <w:r w:rsidRPr="00EF7B97">
        <w:t xml:space="preserve"> (300 mg </w:t>
      </w:r>
      <w:proofErr w:type="spellStart"/>
      <w:r w:rsidRPr="00EF7B97">
        <w:t>casirivimab</w:t>
      </w:r>
      <w:proofErr w:type="spellEnd"/>
      <w:r w:rsidRPr="00EF7B97">
        <w:t xml:space="preserve"> and 300 mg </w:t>
      </w:r>
      <w:proofErr w:type="spellStart"/>
      <w:r w:rsidRPr="00EF7B97">
        <w:t>imdevimab</w:t>
      </w:r>
      <w:proofErr w:type="spellEnd"/>
      <w:r w:rsidRPr="00EF7B97">
        <w:t xml:space="preserve">) based on the population PK model for each antibody is shown in </w:t>
      </w:r>
      <w:r w:rsidRPr="00EF7B97">
        <w:rPr>
          <w:rStyle w:val="C-Hyperlink"/>
          <w:color w:val="auto"/>
        </w:rPr>
        <w:t>Table 15</w:t>
      </w:r>
      <w:r w:rsidRPr="00EF7B97">
        <w:t xml:space="preserve">. </w:t>
      </w:r>
    </w:p>
    <w:p w14:paraId="6CA4D78E" w14:textId="4AF97400" w:rsidR="00BB43EC" w:rsidRPr="00EF7B97" w:rsidRDefault="00BB43EC" w:rsidP="00BB43EC">
      <w:pPr>
        <w:pStyle w:val="Paragraph"/>
        <w:spacing w:after="0"/>
        <w:rPr>
          <w:sz w:val="24"/>
          <w:szCs w:val="20"/>
          <w:lang w:val="en-NZ"/>
        </w:rPr>
      </w:pPr>
    </w:p>
    <w:p w14:paraId="1649B558" w14:textId="77777777" w:rsidR="00BB43EC" w:rsidRPr="00EF7B97" w:rsidRDefault="00BB43EC" w:rsidP="00BB43EC">
      <w:pPr>
        <w:pStyle w:val="C-TableHeader"/>
        <w:keepLines/>
        <w:spacing w:before="0" w:after="120"/>
        <w:ind w:left="1026" w:hanging="1026"/>
        <w:rPr>
          <w:sz w:val="24"/>
          <w:szCs w:val="24"/>
        </w:rPr>
      </w:pPr>
      <w:r w:rsidRPr="00EF7B97">
        <w:rPr>
          <w:sz w:val="24"/>
          <w:szCs w:val="24"/>
        </w:rPr>
        <w:t>Table 1</w:t>
      </w:r>
      <w:r w:rsidRPr="00EF7B97">
        <w:rPr>
          <w:noProof/>
          <w:sz w:val="24"/>
          <w:szCs w:val="24"/>
        </w:rPr>
        <w:t>5</w:t>
      </w:r>
      <w:r w:rsidRPr="00EF7B97">
        <w:rPr>
          <w:sz w:val="24"/>
          <w:szCs w:val="24"/>
        </w:rPr>
        <w:t xml:space="preserve">: Summary of PK parameters for </w:t>
      </w:r>
      <w:proofErr w:type="spellStart"/>
      <w:r w:rsidRPr="00EF7B97">
        <w:rPr>
          <w:sz w:val="24"/>
          <w:szCs w:val="24"/>
        </w:rPr>
        <w:t>casirivimab</w:t>
      </w:r>
      <w:proofErr w:type="spellEnd"/>
      <w:r w:rsidRPr="00EF7B97">
        <w:rPr>
          <w:sz w:val="24"/>
          <w:szCs w:val="24"/>
        </w:rPr>
        <w:t xml:space="preserve"> and </w:t>
      </w:r>
      <w:proofErr w:type="spellStart"/>
      <w:r w:rsidRPr="00EF7B97">
        <w:rPr>
          <w:sz w:val="24"/>
          <w:szCs w:val="24"/>
        </w:rPr>
        <w:t>imdevimab</w:t>
      </w:r>
      <w:proofErr w:type="spellEnd"/>
      <w:r w:rsidRPr="00EF7B97">
        <w:rPr>
          <w:sz w:val="24"/>
          <w:szCs w:val="24"/>
        </w:rPr>
        <w:t xml:space="preserve"> after a single 1 200 mg subcutaneous loading dose and 600 mg subcutaneous Q4W maintenance doses of </w:t>
      </w:r>
      <w:proofErr w:type="spellStart"/>
      <w:r w:rsidRPr="00EF7B97">
        <w:rPr>
          <w:sz w:val="24"/>
          <w:szCs w:val="24"/>
        </w:rPr>
        <w:t>Ronapreve</w:t>
      </w:r>
      <w:proofErr w:type="spellEnd"/>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3324"/>
        <w:gridCol w:w="3325"/>
      </w:tblGrid>
      <w:tr w:rsidR="00BB43EC" w:rsidRPr="00D638E9" w14:paraId="1AE7B4E8" w14:textId="77777777" w:rsidTr="00813E59">
        <w:trPr>
          <w:trHeight w:val="250"/>
        </w:trPr>
        <w:tc>
          <w:tcPr>
            <w:tcW w:w="1900" w:type="dxa"/>
            <w:shd w:val="clear" w:color="auto" w:fill="FFFFFF" w:themeFill="background1"/>
            <w:tcMar>
              <w:top w:w="15" w:type="dxa"/>
              <w:left w:w="15" w:type="dxa"/>
              <w:bottom w:w="15" w:type="dxa"/>
              <w:right w:w="15" w:type="dxa"/>
            </w:tcMar>
            <w:vAlign w:val="center"/>
            <w:hideMark/>
          </w:tcPr>
          <w:p w14:paraId="24BEB169" w14:textId="77777777" w:rsidR="00BB43EC" w:rsidRPr="00EF7B97" w:rsidRDefault="00BB43EC" w:rsidP="00813E59">
            <w:pPr>
              <w:keepNext/>
              <w:keepLines/>
              <w:ind w:left="72"/>
              <w:textAlignment w:val="baseline"/>
              <w:rPr>
                <w:rFonts w:eastAsia="SimSun"/>
                <w:sz w:val="22"/>
                <w:szCs w:val="22"/>
                <w:lang w:eastAsia="zh-CN"/>
              </w:rPr>
            </w:pPr>
            <w:r w:rsidRPr="00EF7B97">
              <w:rPr>
                <w:rFonts w:eastAsia="SimSun"/>
                <w:b/>
                <w:bCs/>
                <w:sz w:val="22"/>
                <w:szCs w:val="22"/>
                <w:lang w:eastAsia="zh-CN"/>
              </w:rPr>
              <w:t>PK Parameter</w:t>
            </w:r>
            <w:r w:rsidRPr="00EF7B97">
              <w:rPr>
                <w:rFonts w:eastAsia="SimSun"/>
                <w:b/>
                <w:bCs/>
                <w:sz w:val="22"/>
                <w:szCs w:val="22"/>
                <w:vertAlign w:val="superscript"/>
                <w:lang w:eastAsia="zh-CN"/>
              </w:rPr>
              <w:t>1</w:t>
            </w:r>
          </w:p>
        </w:tc>
        <w:tc>
          <w:tcPr>
            <w:tcW w:w="3324" w:type="dxa"/>
            <w:shd w:val="clear" w:color="auto" w:fill="FFFFFF" w:themeFill="background1"/>
            <w:vAlign w:val="center"/>
          </w:tcPr>
          <w:p w14:paraId="42A8C4B6" w14:textId="77777777" w:rsidR="00BB43EC" w:rsidRPr="00EF7B97" w:rsidRDefault="00BB43EC" w:rsidP="00813E59">
            <w:pPr>
              <w:keepNext/>
              <w:keepLines/>
              <w:jc w:val="center"/>
              <w:textAlignment w:val="baseline"/>
              <w:rPr>
                <w:rFonts w:eastAsia="SimSun"/>
                <w:b/>
                <w:bCs/>
                <w:sz w:val="22"/>
                <w:szCs w:val="22"/>
                <w:lang w:eastAsia="zh-CN"/>
              </w:rPr>
            </w:pPr>
            <w:proofErr w:type="spellStart"/>
            <w:r w:rsidRPr="00EF7B97">
              <w:rPr>
                <w:rFonts w:eastAsia="SimSun"/>
                <w:b/>
                <w:bCs/>
                <w:sz w:val="22"/>
                <w:szCs w:val="22"/>
                <w:lang w:eastAsia="zh-CN"/>
              </w:rPr>
              <w:t>casirivimab</w:t>
            </w:r>
            <w:proofErr w:type="spellEnd"/>
          </w:p>
        </w:tc>
        <w:tc>
          <w:tcPr>
            <w:tcW w:w="3325" w:type="dxa"/>
            <w:shd w:val="clear" w:color="auto" w:fill="FFFFFF" w:themeFill="background1"/>
            <w:tcMar>
              <w:top w:w="15" w:type="dxa"/>
              <w:left w:w="15" w:type="dxa"/>
              <w:bottom w:w="15" w:type="dxa"/>
              <w:right w:w="15" w:type="dxa"/>
            </w:tcMar>
            <w:vAlign w:val="center"/>
            <w:hideMark/>
          </w:tcPr>
          <w:p w14:paraId="5F8F6377" w14:textId="77777777" w:rsidR="00BB43EC" w:rsidRPr="00EF7B97" w:rsidRDefault="00BB43EC" w:rsidP="00813E59">
            <w:pPr>
              <w:keepNext/>
              <w:keepLines/>
              <w:jc w:val="center"/>
              <w:textAlignment w:val="baseline"/>
              <w:rPr>
                <w:rFonts w:eastAsia="SimSun"/>
                <w:sz w:val="22"/>
                <w:szCs w:val="22"/>
                <w:lang w:eastAsia="zh-CN"/>
              </w:rPr>
            </w:pPr>
            <w:proofErr w:type="spellStart"/>
            <w:r w:rsidRPr="00EF7B97">
              <w:rPr>
                <w:rFonts w:eastAsia="SimSun"/>
                <w:b/>
                <w:bCs/>
                <w:sz w:val="22"/>
                <w:szCs w:val="22"/>
                <w:lang w:eastAsia="zh-CN"/>
              </w:rPr>
              <w:t>imdevimab</w:t>
            </w:r>
            <w:proofErr w:type="spellEnd"/>
          </w:p>
        </w:tc>
      </w:tr>
      <w:tr w:rsidR="00BB43EC" w:rsidRPr="00D638E9" w14:paraId="66EAB474" w14:textId="77777777" w:rsidTr="00813E59">
        <w:trPr>
          <w:trHeight w:val="432"/>
        </w:trPr>
        <w:tc>
          <w:tcPr>
            <w:tcW w:w="1900" w:type="dxa"/>
            <w:tcMar>
              <w:top w:w="15" w:type="dxa"/>
              <w:left w:w="15" w:type="dxa"/>
              <w:bottom w:w="15" w:type="dxa"/>
              <w:right w:w="15" w:type="dxa"/>
            </w:tcMar>
            <w:vAlign w:val="center"/>
          </w:tcPr>
          <w:p w14:paraId="4613F89B" w14:textId="77777777" w:rsidR="00BB43EC" w:rsidRPr="00EF7B97" w:rsidRDefault="00BB43EC" w:rsidP="00813E59">
            <w:pPr>
              <w:keepNext/>
              <w:keepLines/>
              <w:ind w:left="72"/>
              <w:textAlignment w:val="baseline"/>
              <w:rPr>
                <w:rFonts w:eastAsia="SimSun"/>
                <w:sz w:val="22"/>
                <w:szCs w:val="22"/>
                <w:lang w:eastAsia="zh-CN"/>
              </w:rPr>
            </w:pPr>
            <w:proofErr w:type="spellStart"/>
            <w:proofErr w:type="gramStart"/>
            <w:r w:rsidRPr="00EF7B97">
              <w:rPr>
                <w:rFonts w:eastAsia="Times"/>
                <w:color w:val="111111"/>
                <w:sz w:val="22"/>
                <w:szCs w:val="22"/>
                <w:lang w:eastAsia="zh-CN"/>
              </w:rPr>
              <w:t>AUC</w:t>
            </w:r>
            <w:r w:rsidRPr="00EF7B97">
              <w:rPr>
                <w:rFonts w:eastAsia="Times"/>
                <w:color w:val="111111"/>
                <w:sz w:val="22"/>
                <w:szCs w:val="22"/>
                <w:vertAlign w:val="subscript"/>
                <w:lang w:eastAsia="zh-CN"/>
              </w:rPr>
              <w:t>tau,ss</w:t>
            </w:r>
            <w:proofErr w:type="spellEnd"/>
            <w:proofErr w:type="gramEnd"/>
            <w:r w:rsidRPr="00EF7B97">
              <w:rPr>
                <w:rFonts w:eastAsia="Times"/>
                <w:color w:val="111111"/>
                <w:sz w:val="22"/>
                <w:szCs w:val="22"/>
                <w:vertAlign w:val="subscript"/>
                <w:lang w:eastAsia="zh-CN"/>
              </w:rPr>
              <w:t xml:space="preserve"> </w:t>
            </w:r>
            <w:r w:rsidRPr="00EF7B97">
              <w:rPr>
                <w:rFonts w:eastAsia="Times"/>
                <w:color w:val="111111"/>
                <w:sz w:val="22"/>
                <w:szCs w:val="22"/>
                <w:lang w:eastAsia="zh-CN"/>
              </w:rPr>
              <w:t>(</w:t>
            </w:r>
            <w:proofErr w:type="spellStart"/>
            <w:r w:rsidRPr="00EF7B97">
              <w:rPr>
                <w:rFonts w:eastAsia="Times"/>
                <w:color w:val="111111"/>
                <w:sz w:val="22"/>
                <w:szCs w:val="22"/>
                <w:lang w:eastAsia="zh-CN"/>
              </w:rPr>
              <w:t>mg∙day</w:t>
            </w:r>
            <w:proofErr w:type="spellEnd"/>
            <w:r w:rsidRPr="00EF7B97">
              <w:rPr>
                <w:rFonts w:eastAsia="Times"/>
                <w:color w:val="111111"/>
                <w:sz w:val="22"/>
                <w:szCs w:val="22"/>
                <w:lang w:eastAsia="zh-CN"/>
              </w:rPr>
              <w:t>/L)</w:t>
            </w:r>
            <w:r w:rsidRPr="00EF7B97">
              <w:rPr>
                <w:rFonts w:eastAsia="Times"/>
                <w:color w:val="111111"/>
                <w:sz w:val="22"/>
                <w:szCs w:val="22"/>
                <w:vertAlign w:val="superscript"/>
                <w:lang w:eastAsia="zh-CN"/>
              </w:rPr>
              <w:t>2</w:t>
            </w:r>
          </w:p>
        </w:tc>
        <w:tc>
          <w:tcPr>
            <w:tcW w:w="3324" w:type="dxa"/>
            <w:shd w:val="clear" w:color="auto" w:fill="FFFFFF"/>
            <w:vAlign w:val="center"/>
          </w:tcPr>
          <w:p w14:paraId="0735215D" w14:textId="77777777" w:rsidR="00BB43EC" w:rsidRPr="00EF7B97" w:rsidRDefault="00BB43EC" w:rsidP="00813E59">
            <w:pPr>
              <w:keepNext/>
              <w:keepLines/>
              <w:jc w:val="center"/>
              <w:textAlignment w:val="baseline"/>
              <w:rPr>
                <w:rFonts w:eastAsia="SimSun"/>
                <w:sz w:val="22"/>
                <w:szCs w:val="22"/>
                <w:lang w:eastAsia="zh-CN"/>
              </w:rPr>
            </w:pPr>
            <w:r w:rsidRPr="00EF7B97">
              <w:rPr>
                <w:rFonts w:eastAsia="SimSun"/>
                <w:sz w:val="22"/>
                <w:szCs w:val="22"/>
                <w:lang w:eastAsia="zh-CN"/>
              </w:rPr>
              <w:t>1268.9 (434.68)</w:t>
            </w:r>
          </w:p>
        </w:tc>
        <w:tc>
          <w:tcPr>
            <w:tcW w:w="3325" w:type="dxa"/>
            <w:shd w:val="clear" w:color="auto" w:fill="FFFFFF"/>
            <w:tcMar>
              <w:top w:w="15" w:type="dxa"/>
              <w:left w:w="15" w:type="dxa"/>
              <w:bottom w:w="15" w:type="dxa"/>
              <w:right w:w="15" w:type="dxa"/>
            </w:tcMar>
            <w:vAlign w:val="center"/>
          </w:tcPr>
          <w:p w14:paraId="1C4D921A" w14:textId="77777777" w:rsidR="00BB43EC" w:rsidRPr="00EF7B97" w:rsidRDefault="00BB43EC" w:rsidP="00813E59">
            <w:pPr>
              <w:keepNext/>
              <w:keepLines/>
              <w:jc w:val="center"/>
              <w:textAlignment w:val="baseline"/>
              <w:rPr>
                <w:rFonts w:eastAsia="SimSun"/>
                <w:sz w:val="22"/>
                <w:szCs w:val="22"/>
                <w:lang w:eastAsia="zh-CN"/>
              </w:rPr>
            </w:pPr>
            <w:r w:rsidRPr="00EF7B97">
              <w:rPr>
                <w:rFonts w:eastAsia="SimSun"/>
                <w:sz w:val="22"/>
                <w:szCs w:val="22"/>
                <w:lang w:eastAsia="zh-CN"/>
              </w:rPr>
              <w:t>1030.1 (310.30)</w:t>
            </w:r>
          </w:p>
        </w:tc>
      </w:tr>
      <w:tr w:rsidR="00BB43EC" w:rsidRPr="00D638E9" w14:paraId="0FF521B8" w14:textId="77777777" w:rsidTr="00813E59">
        <w:trPr>
          <w:trHeight w:val="241"/>
        </w:trPr>
        <w:tc>
          <w:tcPr>
            <w:tcW w:w="1900" w:type="dxa"/>
            <w:tcMar>
              <w:top w:w="15" w:type="dxa"/>
              <w:left w:w="15" w:type="dxa"/>
              <w:bottom w:w="15" w:type="dxa"/>
              <w:right w:w="15" w:type="dxa"/>
            </w:tcMar>
            <w:vAlign w:val="center"/>
          </w:tcPr>
          <w:p w14:paraId="5519AB25" w14:textId="77777777" w:rsidR="00BB43EC" w:rsidRPr="00EF7B97" w:rsidRDefault="00BB43EC" w:rsidP="00813E59">
            <w:pPr>
              <w:keepNext/>
              <w:keepLines/>
              <w:ind w:left="72"/>
              <w:textAlignment w:val="baseline"/>
              <w:rPr>
                <w:rFonts w:eastAsia="SimSun"/>
                <w:sz w:val="22"/>
                <w:szCs w:val="22"/>
                <w:lang w:eastAsia="zh-CN"/>
              </w:rPr>
            </w:pPr>
            <w:proofErr w:type="spellStart"/>
            <w:proofErr w:type="gramStart"/>
            <w:r w:rsidRPr="00EF7B97">
              <w:rPr>
                <w:rFonts w:eastAsia="Times"/>
                <w:color w:val="111111"/>
                <w:sz w:val="22"/>
                <w:szCs w:val="22"/>
                <w:lang w:eastAsia="zh-CN"/>
              </w:rPr>
              <w:t>C</w:t>
            </w:r>
            <w:r w:rsidRPr="00EF7B97">
              <w:rPr>
                <w:rFonts w:eastAsia="Times"/>
                <w:color w:val="111111"/>
                <w:sz w:val="22"/>
                <w:szCs w:val="22"/>
                <w:vertAlign w:val="subscript"/>
                <w:lang w:eastAsia="zh-CN"/>
              </w:rPr>
              <w:t>max,ss</w:t>
            </w:r>
            <w:proofErr w:type="spellEnd"/>
            <w:proofErr w:type="gramEnd"/>
            <w:r w:rsidRPr="00EF7B97">
              <w:rPr>
                <w:rFonts w:eastAsia="Times"/>
                <w:color w:val="111111"/>
                <w:sz w:val="22"/>
                <w:szCs w:val="22"/>
                <w:vertAlign w:val="subscript"/>
                <w:lang w:eastAsia="zh-CN"/>
              </w:rPr>
              <w:t xml:space="preserve"> </w:t>
            </w:r>
            <w:r w:rsidRPr="00EF7B97">
              <w:rPr>
                <w:rFonts w:eastAsia="Times"/>
                <w:color w:val="111111"/>
                <w:sz w:val="22"/>
                <w:szCs w:val="22"/>
                <w:lang w:eastAsia="zh-CN"/>
              </w:rPr>
              <w:t>(mg/L)</w:t>
            </w:r>
            <w:r w:rsidRPr="00EF7B97">
              <w:rPr>
                <w:rFonts w:eastAsia="Times"/>
                <w:color w:val="111111"/>
                <w:sz w:val="22"/>
                <w:szCs w:val="22"/>
                <w:vertAlign w:val="superscript"/>
                <w:lang w:eastAsia="zh-CN"/>
              </w:rPr>
              <w:t>3</w:t>
            </w:r>
          </w:p>
        </w:tc>
        <w:tc>
          <w:tcPr>
            <w:tcW w:w="3324" w:type="dxa"/>
            <w:shd w:val="clear" w:color="auto" w:fill="FFFFFF"/>
            <w:vAlign w:val="center"/>
          </w:tcPr>
          <w:p w14:paraId="54C77E96" w14:textId="77777777" w:rsidR="00BB43EC" w:rsidRPr="00EF7B97" w:rsidRDefault="00BB43EC" w:rsidP="00813E59">
            <w:pPr>
              <w:keepNext/>
              <w:keepLines/>
              <w:jc w:val="center"/>
              <w:textAlignment w:val="baseline"/>
              <w:rPr>
                <w:rFonts w:eastAsia="SimSun"/>
                <w:sz w:val="22"/>
                <w:szCs w:val="22"/>
                <w:lang w:eastAsia="zh-CN"/>
              </w:rPr>
            </w:pPr>
            <w:r w:rsidRPr="00EF7B97">
              <w:rPr>
                <w:rFonts w:eastAsia="SimSun"/>
                <w:sz w:val="22"/>
                <w:szCs w:val="22"/>
                <w:lang w:eastAsia="zh-CN"/>
              </w:rPr>
              <w:t>56.0 (16.81)</w:t>
            </w:r>
          </w:p>
        </w:tc>
        <w:tc>
          <w:tcPr>
            <w:tcW w:w="3325" w:type="dxa"/>
            <w:shd w:val="clear" w:color="auto" w:fill="FFFFFF"/>
            <w:tcMar>
              <w:top w:w="15" w:type="dxa"/>
              <w:left w:w="15" w:type="dxa"/>
              <w:bottom w:w="15" w:type="dxa"/>
              <w:right w:w="15" w:type="dxa"/>
            </w:tcMar>
            <w:vAlign w:val="center"/>
          </w:tcPr>
          <w:p w14:paraId="045019A9" w14:textId="77777777" w:rsidR="00BB43EC" w:rsidRPr="00EF7B97" w:rsidRDefault="00BB43EC" w:rsidP="00813E59">
            <w:pPr>
              <w:keepNext/>
              <w:keepLines/>
              <w:jc w:val="center"/>
              <w:textAlignment w:val="baseline"/>
              <w:rPr>
                <w:rFonts w:eastAsia="SimSun"/>
                <w:sz w:val="22"/>
                <w:szCs w:val="22"/>
                <w:lang w:eastAsia="zh-CN"/>
              </w:rPr>
            </w:pPr>
            <w:r w:rsidRPr="00EF7B97">
              <w:rPr>
                <w:rFonts w:eastAsia="SimSun"/>
                <w:sz w:val="22"/>
                <w:szCs w:val="22"/>
                <w:lang w:eastAsia="zh-CN"/>
              </w:rPr>
              <w:t>47.0 (12.43)</w:t>
            </w:r>
          </w:p>
        </w:tc>
      </w:tr>
      <w:tr w:rsidR="00BB43EC" w:rsidRPr="00D638E9" w14:paraId="1E08678A" w14:textId="77777777" w:rsidTr="00813E59">
        <w:trPr>
          <w:trHeight w:val="214"/>
        </w:trPr>
        <w:tc>
          <w:tcPr>
            <w:tcW w:w="1900" w:type="dxa"/>
            <w:tcMar>
              <w:top w:w="15" w:type="dxa"/>
              <w:left w:w="15" w:type="dxa"/>
              <w:bottom w:w="15" w:type="dxa"/>
              <w:right w:w="15" w:type="dxa"/>
            </w:tcMar>
            <w:vAlign w:val="center"/>
          </w:tcPr>
          <w:p w14:paraId="4A1B4199" w14:textId="77777777" w:rsidR="00BB43EC" w:rsidRPr="00EF7B97" w:rsidRDefault="00BB43EC" w:rsidP="00813E59">
            <w:pPr>
              <w:keepNext/>
              <w:keepLines/>
              <w:ind w:left="72"/>
              <w:textAlignment w:val="baseline"/>
              <w:rPr>
                <w:rFonts w:eastAsia="SimSun"/>
                <w:sz w:val="22"/>
                <w:szCs w:val="22"/>
                <w:lang w:eastAsia="zh-CN"/>
              </w:rPr>
            </w:pPr>
            <w:proofErr w:type="spellStart"/>
            <w:proofErr w:type="gramStart"/>
            <w:r w:rsidRPr="00EF7B97">
              <w:rPr>
                <w:rFonts w:eastAsia="Times"/>
                <w:color w:val="111111"/>
                <w:sz w:val="22"/>
                <w:szCs w:val="22"/>
                <w:lang w:eastAsia="zh-CN"/>
              </w:rPr>
              <w:t>C</w:t>
            </w:r>
            <w:r w:rsidRPr="00EF7B97">
              <w:rPr>
                <w:rFonts w:eastAsia="Times"/>
                <w:color w:val="111111"/>
                <w:sz w:val="22"/>
                <w:szCs w:val="22"/>
                <w:vertAlign w:val="subscript"/>
                <w:lang w:eastAsia="zh-CN"/>
              </w:rPr>
              <w:t>trough,ss</w:t>
            </w:r>
            <w:proofErr w:type="spellEnd"/>
            <w:proofErr w:type="gramEnd"/>
            <w:r w:rsidRPr="00EF7B97">
              <w:rPr>
                <w:rFonts w:eastAsia="Times"/>
                <w:color w:val="111111"/>
                <w:sz w:val="22"/>
                <w:szCs w:val="22"/>
                <w:vertAlign w:val="subscript"/>
                <w:lang w:eastAsia="zh-CN"/>
              </w:rPr>
              <w:t xml:space="preserve"> </w:t>
            </w:r>
            <w:r w:rsidRPr="00EF7B97">
              <w:rPr>
                <w:rFonts w:eastAsia="Times"/>
                <w:color w:val="111111"/>
                <w:sz w:val="22"/>
                <w:szCs w:val="22"/>
                <w:lang w:eastAsia="zh-CN"/>
              </w:rPr>
              <w:t>(mg/L)</w:t>
            </w:r>
            <w:r w:rsidRPr="00EF7B97">
              <w:rPr>
                <w:rFonts w:eastAsia="Times"/>
                <w:color w:val="111111"/>
                <w:sz w:val="22"/>
                <w:szCs w:val="22"/>
                <w:vertAlign w:val="superscript"/>
                <w:lang w:eastAsia="zh-CN"/>
              </w:rPr>
              <w:t>4</w:t>
            </w:r>
          </w:p>
        </w:tc>
        <w:tc>
          <w:tcPr>
            <w:tcW w:w="3324" w:type="dxa"/>
            <w:shd w:val="clear" w:color="auto" w:fill="FFFFFF"/>
            <w:vAlign w:val="center"/>
          </w:tcPr>
          <w:p w14:paraId="12B05570" w14:textId="77777777" w:rsidR="00BB43EC" w:rsidRPr="00EF7B97" w:rsidRDefault="00BB43EC" w:rsidP="00813E59">
            <w:pPr>
              <w:keepNext/>
              <w:keepLines/>
              <w:jc w:val="center"/>
              <w:textAlignment w:val="baseline"/>
              <w:rPr>
                <w:rFonts w:eastAsia="SimSun"/>
                <w:sz w:val="22"/>
                <w:szCs w:val="22"/>
                <w:lang w:eastAsia="zh-CN"/>
              </w:rPr>
            </w:pPr>
            <w:r w:rsidRPr="00EF7B97">
              <w:rPr>
                <w:rFonts w:eastAsia="SimSun"/>
                <w:sz w:val="22"/>
                <w:szCs w:val="22"/>
                <w:lang w:eastAsia="zh-CN"/>
              </w:rPr>
              <w:t>34.0 (14.56)</w:t>
            </w:r>
          </w:p>
        </w:tc>
        <w:tc>
          <w:tcPr>
            <w:tcW w:w="3325" w:type="dxa"/>
            <w:shd w:val="clear" w:color="auto" w:fill="FFFFFF"/>
            <w:tcMar>
              <w:top w:w="15" w:type="dxa"/>
              <w:left w:w="15" w:type="dxa"/>
              <w:bottom w:w="15" w:type="dxa"/>
              <w:right w:w="15" w:type="dxa"/>
            </w:tcMar>
            <w:vAlign w:val="center"/>
          </w:tcPr>
          <w:p w14:paraId="11CA6EC6" w14:textId="77777777" w:rsidR="00BB43EC" w:rsidRPr="00EF7B97" w:rsidRDefault="00BB43EC" w:rsidP="00813E59">
            <w:pPr>
              <w:keepNext/>
              <w:keepLines/>
              <w:jc w:val="center"/>
              <w:textAlignment w:val="baseline"/>
              <w:rPr>
                <w:rFonts w:eastAsia="SimSun"/>
                <w:sz w:val="22"/>
                <w:szCs w:val="22"/>
                <w:lang w:eastAsia="zh-CN"/>
              </w:rPr>
            </w:pPr>
            <w:r w:rsidRPr="00EF7B97">
              <w:rPr>
                <w:rFonts w:eastAsia="SimSun"/>
                <w:sz w:val="22"/>
                <w:szCs w:val="22"/>
                <w:lang w:eastAsia="zh-CN"/>
              </w:rPr>
              <w:t>26.1 (10.17)</w:t>
            </w:r>
          </w:p>
        </w:tc>
      </w:tr>
      <w:tr w:rsidR="00BB43EC" w:rsidRPr="00D638E9" w14:paraId="648A77E6" w14:textId="77777777" w:rsidTr="00813E59">
        <w:trPr>
          <w:trHeight w:val="106"/>
        </w:trPr>
        <w:tc>
          <w:tcPr>
            <w:tcW w:w="1900" w:type="dxa"/>
            <w:tcMar>
              <w:top w:w="15" w:type="dxa"/>
              <w:left w:w="15" w:type="dxa"/>
              <w:bottom w:w="15" w:type="dxa"/>
              <w:right w:w="15" w:type="dxa"/>
            </w:tcMar>
            <w:vAlign w:val="center"/>
          </w:tcPr>
          <w:p w14:paraId="4378E928" w14:textId="77777777" w:rsidR="00BB43EC" w:rsidRPr="00EF7B97" w:rsidRDefault="00BB43EC" w:rsidP="00813E59">
            <w:pPr>
              <w:keepNext/>
              <w:keepLines/>
              <w:ind w:left="72"/>
              <w:textAlignment w:val="baseline"/>
              <w:rPr>
                <w:rFonts w:eastAsia="SimSun"/>
                <w:sz w:val="22"/>
                <w:szCs w:val="22"/>
                <w:lang w:eastAsia="zh-CN"/>
              </w:rPr>
            </w:pPr>
            <w:r w:rsidRPr="00EF7B97">
              <w:rPr>
                <w:rFonts w:eastAsia="Times"/>
                <w:color w:val="111111"/>
                <w:sz w:val="22"/>
                <w:szCs w:val="22"/>
                <w:lang w:eastAsia="zh-CN"/>
              </w:rPr>
              <w:t>C</w:t>
            </w:r>
            <w:r w:rsidRPr="00EF7B97">
              <w:rPr>
                <w:rFonts w:eastAsia="Times"/>
                <w:color w:val="111111"/>
                <w:sz w:val="22"/>
                <w:szCs w:val="22"/>
                <w:vertAlign w:val="subscript"/>
                <w:lang w:eastAsia="zh-CN"/>
              </w:rPr>
              <w:t>28</w:t>
            </w:r>
            <w:r w:rsidRPr="00EF7B97">
              <w:rPr>
                <w:rFonts w:eastAsia="Times"/>
                <w:color w:val="111111"/>
                <w:sz w:val="22"/>
                <w:szCs w:val="22"/>
                <w:lang w:eastAsia="zh-CN"/>
              </w:rPr>
              <w:t xml:space="preserve"> (mg/L)</w:t>
            </w:r>
            <w:r w:rsidRPr="00EF7B97">
              <w:rPr>
                <w:rFonts w:eastAsia="Times"/>
                <w:color w:val="111111"/>
                <w:sz w:val="22"/>
                <w:szCs w:val="22"/>
                <w:vertAlign w:val="superscript"/>
                <w:lang w:eastAsia="zh-CN"/>
              </w:rPr>
              <w:t>5</w:t>
            </w:r>
          </w:p>
        </w:tc>
        <w:tc>
          <w:tcPr>
            <w:tcW w:w="3324" w:type="dxa"/>
            <w:shd w:val="clear" w:color="auto" w:fill="FFFFFF"/>
            <w:vAlign w:val="center"/>
          </w:tcPr>
          <w:p w14:paraId="10957D13" w14:textId="77777777" w:rsidR="00BB43EC" w:rsidRPr="00EF7B97" w:rsidRDefault="00BB43EC" w:rsidP="00813E59">
            <w:pPr>
              <w:keepNext/>
              <w:keepLines/>
              <w:jc w:val="center"/>
              <w:textAlignment w:val="baseline"/>
              <w:rPr>
                <w:rFonts w:eastAsia="SimSun"/>
                <w:sz w:val="22"/>
                <w:szCs w:val="22"/>
                <w:lang w:eastAsia="zh-CN"/>
              </w:rPr>
            </w:pPr>
            <w:r w:rsidRPr="00EF7B97">
              <w:rPr>
                <w:rFonts w:eastAsia="SimSun"/>
                <w:sz w:val="22"/>
                <w:szCs w:val="22"/>
                <w:lang w:eastAsia="zh-CN"/>
              </w:rPr>
              <w:t>30.5 (7.55)</w:t>
            </w:r>
          </w:p>
        </w:tc>
        <w:tc>
          <w:tcPr>
            <w:tcW w:w="3325" w:type="dxa"/>
            <w:shd w:val="clear" w:color="auto" w:fill="FFFFFF"/>
            <w:tcMar>
              <w:top w:w="15" w:type="dxa"/>
              <w:left w:w="15" w:type="dxa"/>
              <w:bottom w:w="15" w:type="dxa"/>
              <w:right w:w="15" w:type="dxa"/>
            </w:tcMar>
            <w:vAlign w:val="center"/>
          </w:tcPr>
          <w:p w14:paraId="51EBF7B3" w14:textId="77777777" w:rsidR="00BB43EC" w:rsidRPr="00EF7B97" w:rsidRDefault="00BB43EC" w:rsidP="00813E59">
            <w:pPr>
              <w:keepNext/>
              <w:keepLines/>
              <w:jc w:val="center"/>
              <w:textAlignment w:val="baseline"/>
              <w:rPr>
                <w:rFonts w:eastAsia="SimSun"/>
                <w:sz w:val="22"/>
                <w:szCs w:val="22"/>
                <w:lang w:eastAsia="zh-CN"/>
              </w:rPr>
            </w:pPr>
            <w:r w:rsidRPr="00EF7B97">
              <w:rPr>
                <w:rFonts w:eastAsia="SimSun"/>
                <w:sz w:val="22"/>
                <w:szCs w:val="22"/>
                <w:lang w:eastAsia="zh-CN"/>
              </w:rPr>
              <w:t>25.9 (6.07)</w:t>
            </w:r>
          </w:p>
        </w:tc>
      </w:tr>
      <w:tr w:rsidR="00BB43EC" w:rsidRPr="00D638E9" w14:paraId="2A51760E" w14:textId="77777777" w:rsidTr="00813E59">
        <w:trPr>
          <w:trHeight w:val="88"/>
        </w:trPr>
        <w:tc>
          <w:tcPr>
            <w:tcW w:w="1900" w:type="dxa"/>
            <w:tcMar>
              <w:top w:w="15" w:type="dxa"/>
              <w:left w:w="15" w:type="dxa"/>
              <w:bottom w:w="15" w:type="dxa"/>
              <w:right w:w="15" w:type="dxa"/>
            </w:tcMar>
            <w:vAlign w:val="center"/>
          </w:tcPr>
          <w:p w14:paraId="2F26A5A5" w14:textId="77777777" w:rsidR="00BB43EC" w:rsidRPr="00EF7B97" w:rsidRDefault="00BB43EC" w:rsidP="00813E59">
            <w:pPr>
              <w:keepNext/>
              <w:keepLines/>
              <w:ind w:left="72"/>
              <w:textAlignment w:val="baseline"/>
              <w:rPr>
                <w:rFonts w:eastAsia="Times"/>
                <w:color w:val="111111"/>
                <w:sz w:val="22"/>
                <w:szCs w:val="22"/>
                <w:lang w:eastAsia="zh-CN"/>
              </w:rPr>
            </w:pPr>
            <w:r w:rsidRPr="00EF7B97">
              <w:rPr>
                <w:rFonts w:eastAsia="Times"/>
                <w:color w:val="111111"/>
                <w:sz w:val="22"/>
                <w:szCs w:val="22"/>
                <w:lang w:eastAsia="zh-CN"/>
              </w:rPr>
              <w:t>AR</w:t>
            </w:r>
            <w:r w:rsidRPr="00EF7B97">
              <w:rPr>
                <w:rFonts w:eastAsia="Times"/>
                <w:color w:val="111111"/>
                <w:sz w:val="22"/>
                <w:szCs w:val="22"/>
                <w:vertAlign w:val="superscript"/>
                <w:lang w:eastAsia="zh-CN"/>
              </w:rPr>
              <w:t>6</w:t>
            </w:r>
          </w:p>
        </w:tc>
        <w:tc>
          <w:tcPr>
            <w:tcW w:w="3324" w:type="dxa"/>
            <w:shd w:val="clear" w:color="auto" w:fill="FFFFFF"/>
            <w:vAlign w:val="center"/>
          </w:tcPr>
          <w:p w14:paraId="78AD84C7" w14:textId="77777777" w:rsidR="00BB43EC" w:rsidRPr="00EF7B97" w:rsidRDefault="00BB43EC" w:rsidP="00813E59">
            <w:pPr>
              <w:keepNext/>
              <w:keepLines/>
              <w:jc w:val="center"/>
              <w:textAlignment w:val="baseline"/>
              <w:rPr>
                <w:rFonts w:eastAsia="SimSun"/>
                <w:sz w:val="22"/>
                <w:szCs w:val="22"/>
                <w:lang w:eastAsia="zh-CN"/>
              </w:rPr>
            </w:pPr>
            <w:r w:rsidRPr="00EF7B97">
              <w:rPr>
                <w:rFonts w:eastAsia="SimSun"/>
                <w:sz w:val="22"/>
                <w:szCs w:val="22"/>
                <w:lang w:eastAsia="zh-CN"/>
              </w:rPr>
              <w:t>1.13 (0.288)</w:t>
            </w:r>
          </w:p>
        </w:tc>
        <w:tc>
          <w:tcPr>
            <w:tcW w:w="3325" w:type="dxa"/>
            <w:shd w:val="clear" w:color="auto" w:fill="FFFFFF"/>
            <w:tcMar>
              <w:top w:w="15" w:type="dxa"/>
              <w:left w:w="15" w:type="dxa"/>
              <w:bottom w:w="15" w:type="dxa"/>
              <w:right w:w="15" w:type="dxa"/>
            </w:tcMar>
            <w:vAlign w:val="center"/>
          </w:tcPr>
          <w:p w14:paraId="33CBBE54" w14:textId="77777777" w:rsidR="00BB43EC" w:rsidRPr="00EF7B97" w:rsidRDefault="00BB43EC" w:rsidP="00813E59">
            <w:pPr>
              <w:keepNext/>
              <w:keepLines/>
              <w:jc w:val="center"/>
              <w:textAlignment w:val="baseline"/>
              <w:rPr>
                <w:rFonts w:eastAsia="SimSun"/>
                <w:sz w:val="22"/>
                <w:szCs w:val="22"/>
                <w:lang w:eastAsia="zh-CN"/>
              </w:rPr>
            </w:pPr>
            <w:r w:rsidRPr="00EF7B97">
              <w:rPr>
                <w:rFonts w:eastAsia="SimSun"/>
                <w:sz w:val="22"/>
                <w:szCs w:val="22"/>
                <w:lang w:eastAsia="zh-CN"/>
              </w:rPr>
              <w:t>1.01 (0.213)</w:t>
            </w:r>
          </w:p>
        </w:tc>
      </w:tr>
    </w:tbl>
    <w:p w14:paraId="122AD340" w14:textId="77777777" w:rsidR="00BB43EC" w:rsidRPr="00EF7B97" w:rsidRDefault="00BB43EC" w:rsidP="00BB43EC">
      <w:pPr>
        <w:keepNext/>
        <w:keepLines/>
        <w:tabs>
          <w:tab w:val="left" w:pos="144"/>
        </w:tabs>
        <w:rPr>
          <w:sz w:val="20"/>
          <w:lang w:eastAsia="zh-CN"/>
        </w:rPr>
      </w:pPr>
      <w:r w:rsidRPr="00EF7B97">
        <w:rPr>
          <w:sz w:val="20"/>
          <w:vertAlign w:val="superscript"/>
          <w:lang w:eastAsia="zh-CN"/>
        </w:rPr>
        <w:t>1</w:t>
      </w:r>
      <w:r w:rsidRPr="00EF7B97">
        <w:rPr>
          <w:sz w:val="20"/>
          <w:lang w:eastAsia="zh-CN"/>
        </w:rPr>
        <w:t xml:space="preserve"> Mean (SD), where SD is standard deviation of the arithmetic mean; </w:t>
      </w:r>
      <w:r w:rsidRPr="00EF7B97">
        <w:rPr>
          <w:sz w:val="20"/>
          <w:vertAlign w:val="superscript"/>
          <w:lang w:eastAsia="zh-CN"/>
        </w:rPr>
        <w:t>2</w:t>
      </w:r>
      <w:r w:rsidRPr="00EF7B97">
        <w:rPr>
          <w:sz w:val="20"/>
          <w:lang w:eastAsia="zh-CN"/>
        </w:rPr>
        <w:t xml:space="preserve"> </w:t>
      </w:r>
      <w:proofErr w:type="spellStart"/>
      <w:r w:rsidRPr="00EF7B97">
        <w:rPr>
          <w:sz w:val="20"/>
          <w:lang w:eastAsia="zh-CN"/>
        </w:rPr>
        <w:t>AUC</w:t>
      </w:r>
      <w:r w:rsidRPr="00EF7B97">
        <w:rPr>
          <w:sz w:val="20"/>
          <w:vertAlign w:val="subscript"/>
          <w:lang w:eastAsia="zh-CN"/>
        </w:rPr>
        <w:t>tau,ss</w:t>
      </w:r>
      <w:proofErr w:type="spellEnd"/>
      <w:r w:rsidRPr="00EF7B97">
        <w:rPr>
          <w:sz w:val="20"/>
          <w:vertAlign w:val="subscript"/>
          <w:lang w:eastAsia="zh-CN"/>
        </w:rPr>
        <w:t xml:space="preserve"> </w:t>
      </w:r>
      <w:r w:rsidRPr="00EF7B97">
        <w:rPr>
          <w:sz w:val="20"/>
          <w:lang w:eastAsia="zh-CN"/>
        </w:rPr>
        <w:t xml:space="preserve">= Area under the concentration time curve during a dosing interval at steady-state; </w:t>
      </w:r>
      <w:r w:rsidRPr="00EF7B97">
        <w:rPr>
          <w:sz w:val="20"/>
          <w:vertAlign w:val="superscript"/>
          <w:lang w:eastAsia="zh-CN"/>
        </w:rPr>
        <w:t>3</w:t>
      </w:r>
      <w:r w:rsidRPr="00EF7B97">
        <w:rPr>
          <w:sz w:val="20"/>
          <w:lang w:eastAsia="zh-CN"/>
        </w:rPr>
        <w:t xml:space="preserve"> </w:t>
      </w:r>
      <w:proofErr w:type="spellStart"/>
      <w:r w:rsidRPr="00EF7B97">
        <w:rPr>
          <w:sz w:val="20"/>
          <w:lang w:eastAsia="zh-CN"/>
        </w:rPr>
        <w:t>C</w:t>
      </w:r>
      <w:r w:rsidRPr="00EF7B97">
        <w:rPr>
          <w:sz w:val="20"/>
          <w:vertAlign w:val="subscript"/>
          <w:lang w:eastAsia="zh-CN"/>
        </w:rPr>
        <w:t>max,ss</w:t>
      </w:r>
      <w:proofErr w:type="spellEnd"/>
      <w:r w:rsidRPr="00EF7B97">
        <w:rPr>
          <w:sz w:val="20"/>
          <w:lang w:eastAsia="zh-CN"/>
        </w:rPr>
        <w:t xml:space="preserve"> = Maximum concentration at steady-state; </w:t>
      </w:r>
      <w:r w:rsidRPr="00EF7B97">
        <w:rPr>
          <w:sz w:val="20"/>
          <w:vertAlign w:val="superscript"/>
          <w:lang w:eastAsia="zh-CN"/>
        </w:rPr>
        <w:t>4</w:t>
      </w:r>
      <w:r w:rsidRPr="00EF7B97">
        <w:rPr>
          <w:sz w:val="20"/>
          <w:lang w:eastAsia="zh-CN"/>
        </w:rPr>
        <w:t xml:space="preserve"> </w:t>
      </w:r>
      <w:proofErr w:type="spellStart"/>
      <w:r w:rsidRPr="00EF7B97">
        <w:rPr>
          <w:sz w:val="20"/>
          <w:lang w:eastAsia="zh-CN"/>
        </w:rPr>
        <w:t>C</w:t>
      </w:r>
      <w:r w:rsidRPr="00EF7B97">
        <w:rPr>
          <w:sz w:val="20"/>
          <w:vertAlign w:val="subscript"/>
          <w:lang w:eastAsia="zh-CN"/>
        </w:rPr>
        <w:t>trough,ss</w:t>
      </w:r>
      <w:proofErr w:type="spellEnd"/>
      <w:r w:rsidRPr="00EF7B97">
        <w:rPr>
          <w:sz w:val="20"/>
          <w:lang w:eastAsia="zh-CN"/>
        </w:rPr>
        <w:t xml:space="preserve"> = Trough concentration at steady-state; </w:t>
      </w:r>
      <w:r w:rsidRPr="00EF7B97">
        <w:rPr>
          <w:sz w:val="20"/>
          <w:vertAlign w:val="superscript"/>
          <w:lang w:eastAsia="zh-CN"/>
        </w:rPr>
        <w:t>5</w:t>
      </w:r>
      <w:r w:rsidRPr="00EF7B97">
        <w:rPr>
          <w:sz w:val="20"/>
          <w:lang w:eastAsia="zh-CN"/>
        </w:rPr>
        <w:t xml:space="preserve"> C</w:t>
      </w:r>
      <w:r w:rsidRPr="00EF7B97">
        <w:rPr>
          <w:sz w:val="20"/>
          <w:vertAlign w:val="subscript"/>
          <w:lang w:eastAsia="zh-CN"/>
        </w:rPr>
        <w:t>28</w:t>
      </w:r>
      <w:r w:rsidRPr="00EF7B97">
        <w:rPr>
          <w:sz w:val="20"/>
          <w:lang w:eastAsia="zh-CN"/>
        </w:rPr>
        <w:t xml:space="preserve"> = Concentration 28 days after the first dose; </w:t>
      </w:r>
      <w:r w:rsidRPr="00EF7B97">
        <w:rPr>
          <w:sz w:val="20"/>
          <w:vertAlign w:val="superscript"/>
          <w:lang w:eastAsia="zh-CN"/>
        </w:rPr>
        <w:t>6</w:t>
      </w:r>
      <w:r w:rsidRPr="00EF7B97">
        <w:rPr>
          <w:sz w:val="20"/>
          <w:lang w:eastAsia="zh-CN"/>
        </w:rPr>
        <w:t xml:space="preserve"> The accumulation ratio (AR)</w:t>
      </w:r>
      <w:r w:rsidRPr="00EF7B97">
        <w:rPr>
          <w:rFonts w:eastAsia="Times"/>
          <w:color w:val="111111"/>
          <w:sz w:val="20"/>
          <w:lang w:eastAsia="zh-CN"/>
        </w:rPr>
        <w:t xml:space="preserve"> is calculated as </w:t>
      </w:r>
      <w:r w:rsidRPr="00EF7B97">
        <w:rPr>
          <w:sz w:val="20"/>
          <w:lang w:eastAsia="zh-CN"/>
        </w:rPr>
        <w:t xml:space="preserve"> </w:t>
      </w:r>
      <m:oMath>
        <m:f>
          <m:fPr>
            <m:ctrlPr>
              <w:rPr>
                <w:rFonts w:ascii="Cambria Math" w:hAnsi="Cambria Math"/>
                <w:i/>
                <w:sz w:val="20"/>
                <w:lang w:eastAsia="zh-CN"/>
              </w:rPr>
            </m:ctrlPr>
          </m:fPr>
          <m:num>
            <m:sSub>
              <m:sSubPr>
                <m:ctrlPr>
                  <w:rPr>
                    <w:rFonts w:ascii="Cambria Math" w:hAnsi="Cambria Math"/>
                    <w:i/>
                    <w:sz w:val="20"/>
                    <w:lang w:eastAsia="zh-CN"/>
                  </w:rPr>
                </m:ctrlPr>
              </m:sSubPr>
              <m:e>
                <m:r>
                  <w:rPr>
                    <w:rFonts w:ascii="Cambria Math" w:hAnsi="Cambria Math"/>
                    <w:sz w:val="20"/>
                    <w:lang w:eastAsia="zh-CN"/>
                  </w:rPr>
                  <m:t>AUC</m:t>
                </m:r>
                <m:ctrlPr>
                  <w:rPr>
                    <w:rFonts w:ascii="Cambria Math" w:eastAsia="SimSun" w:hAnsi="Cambria Math"/>
                    <w:sz w:val="20"/>
                    <w:lang w:eastAsia="zh-CN"/>
                  </w:rPr>
                </m:ctrlPr>
              </m:e>
              <m:sub>
                <m:r>
                  <w:rPr>
                    <w:rFonts w:ascii="Cambria Math" w:hAnsi="Cambria Math"/>
                    <w:sz w:val="20"/>
                    <w:lang w:eastAsia="zh-CN"/>
                  </w:rPr>
                  <m:t>τ, ss</m:t>
                </m:r>
                <m:ctrlPr>
                  <w:rPr>
                    <w:rFonts w:ascii="Cambria Math" w:eastAsia="SimSun" w:hAnsi="Cambria Math"/>
                    <w:sz w:val="20"/>
                    <w:lang w:eastAsia="zh-CN"/>
                  </w:rPr>
                </m:ctrlPr>
              </m:sub>
            </m:sSub>
            <m:ctrlPr>
              <w:rPr>
                <w:rFonts w:ascii="Cambria Math" w:eastAsia="SimSun" w:hAnsi="Cambria Math"/>
                <w:sz w:val="20"/>
                <w:lang w:eastAsia="zh-CN"/>
              </w:rPr>
            </m:ctrlPr>
          </m:num>
          <m:den>
            <m:sSub>
              <m:sSubPr>
                <m:ctrlPr>
                  <w:rPr>
                    <w:rFonts w:ascii="Cambria Math" w:hAnsi="Cambria Math"/>
                    <w:i/>
                    <w:sz w:val="20"/>
                    <w:lang w:eastAsia="zh-CN"/>
                  </w:rPr>
                </m:ctrlPr>
              </m:sSubPr>
              <m:e>
                <m:r>
                  <w:rPr>
                    <w:rFonts w:ascii="Cambria Math" w:hAnsi="Cambria Math"/>
                    <w:sz w:val="20"/>
                    <w:lang w:eastAsia="zh-CN"/>
                  </w:rPr>
                  <m:t>AUC</m:t>
                </m:r>
                <m:ctrlPr>
                  <w:rPr>
                    <w:rFonts w:ascii="Cambria Math" w:eastAsia="SimSun" w:hAnsi="Cambria Math"/>
                    <w:sz w:val="20"/>
                    <w:lang w:eastAsia="zh-CN"/>
                  </w:rPr>
                </m:ctrlPr>
              </m:e>
              <m:sub>
                <m:r>
                  <w:rPr>
                    <w:rFonts w:ascii="Cambria Math" w:hAnsi="Cambria Math"/>
                    <w:sz w:val="20"/>
                    <w:lang w:eastAsia="zh-CN"/>
                  </w:rPr>
                  <m:t>τ, FD</m:t>
                </m:r>
                <m:ctrlPr>
                  <w:rPr>
                    <w:rFonts w:ascii="Cambria Math" w:eastAsia="SimSun" w:hAnsi="Cambria Math"/>
                    <w:sz w:val="20"/>
                    <w:lang w:eastAsia="zh-CN"/>
                  </w:rPr>
                </m:ctrlPr>
              </m:sub>
            </m:sSub>
            <m:ctrlPr>
              <w:rPr>
                <w:rFonts w:ascii="Cambria Math" w:eastAsia="SimSun" w:hAnsi="Cambria Math"/>
                <w:sz w:val="20"/>
                <w:lang w:eastAsia="zh-CN"/>
              </w:rPr>
            </m:ctrlPr>
          </m:den>
        </m:f>
      </m:oMath>
      <w:r w:rsidRPr="00EF7B97">
        <w:rPr>
          <w:sz w:val="20"/>
          <w:lang w:eastAsia="zh-CN"/>
        </w:rPr>
        <w:t xml:space="preserve"> (FD = first dose); Q4W = Every 4 weeks</w:t>
      </w:r>
    </w:p>
    <w:p w14:paraId="0FF701C3" w14:textId="77777777" w:rsidR="00BB43EC" w:rsidRPr="00EF7B97" w:rsidRDefault="00BB43EC" w:rsidP="00BB43EC"/>
    <w:p w14:paraId="120B6292" w14:textId="77777777" w:rsidR="00BB43EC" w:rsidRPr="004663D3" w:rsidRDefault="00BB43EC" w:rsidP="00BB43EC">
      <w:pPr>
        <w:pStyle w:val="C-BodyText"/>
        <w:spacing w:before="0" w:after="0" w:line="240" w:lineRule="auto"/>
        <w:rPr>
          <w:szCs w:val="24"/>
        </w:rPr>
      </w:pPr>
      <w:r w:rsidRPr="00EF7B97">
        <w:rPr>
          <w:szCs w:val="24"/>
        </w:rPr>
        <w:t xml:space="preserve">For the repeat dose prevention of IV and subcutaneous regimens, population pharmacokinetic simulations predict that median predicted </w:t>
      </w:r>
      <w:proofErr w:type="spellStart"/>
      <w:r w:rsidRPr="00EF7B97">
        <w:rPr>
          <w:szCs w:val="24"/>
        </w:rPr>
        <w:t>casirivimab</w:t>
      </w:r>
      <w:proofErr w:type="spellEnd"/>
      <w:r w:rsidRPr="00EF7B97">
        <w:rPr>
          <w:szCs w:val="24"/>
        </w:rPr>
        <w:t xml:space="preserve"> and </w:t>
      </w:r>
      <w:proofErr w:type="spellStart"/>
      <w:r w:rsidRPr="00EF7B97">
        <w:rPr>
          <w:szCs w:val="24"/>
        </w:rPr>
        <w:t>imdevimab</w:t>
      </w:r>
      <w:proofErr w:type="spellEnd"/>
      <w:r w:rsidRPr="00EF7B97">
        <w:rPr>
          <w:szCs w:val="24"/>
        </w:rPr>
        <w:t xml:space="preserve"> </w:t>
      </w:r>
      <w:proofErr w:type="spellStart"/>
      <w:r w:rsidRPr="00EF7B97">
        <w:rPr>
          <w:szCs w:val="24"/>
        </w:rPr>
        <w:t>C</w:t>
      </w:r>
      <w:r w:rsidRPr="00EF7B97">
        <w:rPr>
          <w:szCs w:val="24"/>
          <w:vertAlign w:val="subscript"/>
        </w:rPr>
        <w:t>trough,ss</w:t>
      </w:r>
      <w:proofErr w:type="spellEnd"/>
      <w:r w:rsidRPr="00EF7B97">
        <w:rPr>
          <w:szCs w:val="24"/>
        </w:rPr>
        <w:t xml:space="preserve"> in serum are similar to observed mean day 29 concentrations in serum for a single subcutaneous dose of </w:t>
      </w:r>
      <w:proofErr w:type="spellStart"/>
      <w:r w:rsidRPr="00EF7B97">
        <w:rPr>
          <w:szCs w:val="24"/>
        </w:rPr>
        <w:t>Ronapreve</w:t>
      </w:r>
      <w:proofErr w:type="spellEnd"/>
      <w:r w:rsidRPr="00EF7B97">
        <w:rPr>
          <w:szCs w:val="24"/>
        </w:rPr>
        <w:t xml:space="preserve"> 1 200 mg (600 mg of </w:t>
      </w:r>
      <w:proofErr w:type="spellStart"/>
      <w:r w:rsidRPr="00EF7B97">
        <w:rPr>
          <w:szCs w:val="24"/>
        </w:rPr>
        <w:t>casirivimab</w:t>
      </w:r>
      <w:proofErr w:type="spellEnd"/>
      <w:r w:rsidRPr="00EF7B97">
        <w:rPr>
          <w:szCs w:val="24"/>
        </w:rPr>
        <w:t xml:space="preserve"> and 600 mg of </w:t>
      </w:r>
      <w:proofErr w:type="spellStart"/>
      <w:r w:rsidRPr="00EF7B97">
        <w:rPr>
          <w:szCs w:val="24"/>
        </w:rPr>
        <w:t>imdevimab</w:t>
      </w:r>
      <w:proofErr w:type="spellEnd"/>
      <w:r w:rsidRPr="00EF7B97">
        <w:rPr>
          <w:szCs w:val="24"/>
        </w:rPr>
        <w:t>).</w:t>
      </w:r>
    </w:p>
    <w:p w14:paraId="51CF2F0A" w14:textId="77777777" w:rsidR="00BB43EC" w:rsidRPr="00BB43EC" w:rsidRDefault="00BB43EC" w:rsidP="00BB43EC">
      <w:pPr>
        <w:rPr>
          <w:lang w:val="en-US"/>
        </w:rPr>
      </w:pPr>
    </w:p>
    <w:p w14:paraId="2CE1308A" w14:textId="5C696186" w:rsidR="00D52399" w:rsidRPr="00A807D3" w:rsidRDefault="00615052" w:rsidP="009F4C5B">
      <w:pPr>
        <w:pStyle w:val="Heading3"/>
        <w:spacing w:before="0"/>
        <w:rPr>
          <w:color w:val="auto"/>
        </w:rPr>
      </w:pPr>
      <w:r w:rsidRPr="00A807D3">
        <w:rPr>
          <w:color w:val="auto"/>
        </w:rPr>
        <w:t>Absorption</w:t>
      </w:r>
    </w:p>
    <w:p w14:paraId="24EF0A54" w14:textId="77777777" w:rsidR="00BB43EC" w:rsidRPr="004663D3" w:rsidRDefault="00BB43EC" w:rsidP="00BB43EC">
      <w:pPr>
        <w:pStyle w:val="Paragraph"/>
        <w:spacing w:after="0" w:line="240" w:lineRule="auto"/>
        <w:rPr>
          <w:sz w:val="24"/>
        </w:rPr>
      </w:pPr>
      <w:r w:rsidRPr="004663D3">
        <w:rPr>
          <w:sz w:val="24"/>
        </w:rPr>
        <w:t xml:space="preserve">Based on population pharmacokinetic modeling, mean (standard deviation) </w:t>
      </w:r>
      <w:proofErr w:type="spellStart"/>
      <w:r w:rsidRPr="004663D3">
        <w:rPr>
          <w:sz w:val="24"/>
        </w:rPr>
        <w:t>C</w:t>
      </w:r>
      <w:r w:rsidRPr="004663D3">
        <w:rPr>
          <w:sz w:val="24"/>
          <w:vertAlign w:val="subscript"/>
        </w:rPr>
        <w:t>max</w:t>
      </w:r>
      <w:proofErr w:type="spellEnd"/>
      <w:r w:rsidRPr="004663D3">
        <w:rPr>
          <w:sz w:val="24"/>
        </w:rPr>
        <w:t xml:space="preserve"> and C</w:t>
      </w:r>
      <w:r w:rsidRPr="004663D3">
        <w:rPr>
          <w:sz w:val="24"/>
          <w:vertAlign w:val="subscript"/>
        </w:rPr>
        <w:t>28</w:t>
      </w:r>
      <w:r w:rsidRPr="004663D3">
        <w:rPr>
          <w:sz w:val="24"/>
        </w:rPr>
        <w:t xml:space="preserve"> estimates</w:t>
      </w:r>
      <w:r w:rsidRPr="004663D3">
        <w:rPr>
          <w:sz w:val="24"/>
          <w:vertAlign w:val="subscript"/>
        </w:rPr>
        <w:t xml:space="preserve"> </w:t>
      </w:r>
      <w:r w:rsidRPr="004663D3">
        <w:rPr>
          <w:sz w:val="24"/>
        </w:rPr>
        <w:t xml:space="preserve">for </w:t>
      </w:r>
      <w:proofErr w:type="spellStart"/>
      <w:r w:rsidRPr="004663D3">
        <w:rPr>
          <w:sz w:val="24"/>
        </w:rPr>
        <w:t>casirivimab</w:t>
      </w:r>
      <w:proofErr w:type="spellEnd"/>
      <w:r w:rsidRPr="004663D3">
        <w:rPr>
          <w:sz w:val="24"/>
        </w:rPr>
        <w:t xml:space="preserve"> and </w:t>
      </w:r>
      <w:proofErr w:type="spellStart"/>
      <w:r w:rsidRPr="004663D3">
        <w:rPr>
          <w:sz w:val="24"/>
        </w:rPr>
        <w:t>imdevimab</w:t>
      </w:r>
      <w:proofErr w:type="spellEnd"/>
      <w:r w:rsidRPr="004663D3">
        <w:rPr>
          <w:sz w:val="24"/>
        </w:rPr>
        <w:t xml:space="preserve"> following single IV or single subcutaneous dose 1 200 mg (600 mg each monoclonal antibody) are listed in Table 12 and Table 13, respectively. Median (range) time to reach maximum serum concentration of </w:t>
      </w:r>
      <w:proofErr w:type="spellStart"/>
      <w:r w:rsidRPr="004663D3">
        <w:rPr>
          <w:sz w:val="24"/>
        </w:rPr>
        <w:t>casirivimab</w:t>
      </w:r>
      <w:proofErr w:type="spellEnd"/>
      <w:r w:rsidRPr="004663D3">
        <w:rPr>
          <w:sz w:val="24"/>
        </w:rPr>
        <w:t xml:space="preserve"> and </w:t>
      </w:r>
      <w:proofErr w:type="spellStart"/>
      <w:r w:rsidRPr="004663D3">
        <w:rPr>
          <w:sz w:val="24"/>
        </w:rPr>
        <w:t>imdevimab</w:t>
      </w:r>
      <w:proofErr w:type="spellEnd"/>
      <w:r w:rsidRPr="004663D3">
        <w:rPr>
          <w:sz w:val="24"/>
        </w:rPr>
        <w:t xml:space="preserve"> (</w:t>
      </w:r>
      <w:proofErr w:type="spellStart"/>
      <w:r w:rsidRPr="004663D3">
        <w:rPr>
          <w:sz w:val="24"/>
        </w:rPr>
        <w:t>T</w:t>
      </w:r>
      <w:r w:rsidRPr="004663D3">
        <w:rPr>
          <w:sz w:val="24"/>
          <w:vertAlign w:val="subscript"/>
        </w:rPr>
        <w:t>max</w:t>
      </w:r>
      <w:proofErr w:type="spellEnd"/>
      <w:r w:rsidRPr="004663D3">
        <w:rPr>
          <w:sz w:val="24"/>
        </w:rPr>
        <w:t xml:space="preserve">) estimates following a single subcutaneous dose of </w:t>
      </w:r>
      <w:proofErr w:type="spellStart"/>
      <w:r w:rsidRPr="004663D3">
        <w:rPr>
          <w:sz w:val="24"/>
        </w:rPr>
        <w:t>Ronapreve</w:t>
      </w:r>
      <w:proofErr w:type="spellEnd"/>
      <w:r w:rsidRPr="004663D3">
        <w:rPr>
          <w:sz w:val="24"/>
        </w:rPr>
        <w:t xml:space="preserve"> 1 200 mg (600 mg each monoclonal antibody) are 6.6 (3.4 - 13.6) days and 6.5 (3.4 - 13.6) days for </w:t>
      </w:r>
      <w:proofErr w:type="spellStart"/>
      <w:r w:rsidRPr="004663D3">
        <w:rPr>
          <w:sz w:val="24"/>
        </w:rPr>
        <w:t>casirivimab</w:t>
      </w:r>
      <w:proofErr w:type="spellEnd"/>
      <w:r w:rsidRPr="004663D3">
        <w:rPr>
          <w:sz w:val="24"/>
        </w:rPr>
        <w:t xml:space="preserve"> and </w:t>
      </w:r>
      <w:proofErr w:type="spellStart"/>
      <w:r w:rsidRPr="004663D3">
        <w:rPr>
          <w:sz w:val="24"/>
        </w:rPr>
        <w:t>imdevimab</w:t>
      </w:r>
      <w:proofErr w:type="spellEnd"/>
      <w:r w:rsidRPr="004663D3">
        <w:rPr>
          <w:sz w:val="24"/>
        </w:rPr>
        <w:t>, respectively (Table 13).</w:t>
      </w:r>
    </w:p>
    <w:p w14:paraId="29329E54" w14:textId="016BEF24" w:rsidR="00BE7DC2" w:rsidRPr="00BE7DC2" w:rsidRDefault="00BB43EC" w:rsidP="00BB43EC">
      <w:pPr>
        <w:pStyle w:val="Paragraph"/>
        <w:spacing w:after="120"/>
        <w:rPr>
          <w:sz w:val="24"/>
          <w:szCs w:val="20"/>
        </w:rPr>
      </w:pPr>
      <w:r w:rsidRPr="004663D3">
        <w:rPr>
          <w:sz w:val="24"/>
        </w:rPr>
        <w:lastRenderedPageBreak/>
        <w:t xml:space="preserve">Following </w:t>
      </w:r>
      <w:proofErr w:type="spellStart"/>
      <w:r w:rsidRPr="004663D3">
        <w:rPr>
          <w:sz w:val="24"/>
        </w:rPr>
        <w:t>casirivimab</w:t>
      </w:r>
      <w:proofErr w:type="spellEnd"/>
      <w:r w:rsidRPr="004663D3">
        <w:rPr>
          <w:sz w:val="24"/>
        </w:rPr>
        <w:t xml:space="preserve"> and </w:t>
      </w:r>
      <w:proofErr w:type="spellStart"/>
      <w:r w:rsidRPr="004663D3">
        <w:rPr>
          <w:sz w:val="24"/>
        </w:rPr>
        <w:t>imdevimab</w:t>
      </w:r>
      <w:proofErr w:type="spellEnd"/>
      <w:r w:rsidRPr="004663D3">
        <w:rPr>
          <w:sz w:val="24"/>
        </w:rPr>
        <w:t xml:space="preserve"> administered as a single dose of </w:t>
      </w:r>
      <w:proofErr w:type="spellStart"/>
      <w:r w:rsidRPr="004663D3">
        <w:rPr>
          <w:sz w:val="24"/>
        </w:rPr>
        <w:t>Ronapreve</w:t>
      </w:r>
      <w:proofErr w:type="spellEnd"/>
      <w:r w:rsidRPr="004663D3">
        <w:rPr>
          <w:sz w:val="24"/>
        </w:rPr>
        <w:t xml:space="preserve"> 1 200 mg subcutaneous (600 mg each monoclonal antibody), </w:t>
      </w:r>
      <w:proofErr w:type="spellStart"/>
      <w:r w:rsidRPr="004663D3">
        <w:rPr>
          <w:sz w:val="24"/>
        </w:rPr>
        <w:t>casirivimab</w:t>
      </w:r>
      <w:proofErr w:type="spellEnd"/>
      <w:r w:rsidRPr="004663D3">
        <w:rPr>
          <w:sz w:val="24"/>
        </w:rPr>
        <w:t xml:space="preserve"> and </w:t>
      </w:r>
      <w:proofErr w:type="spellStart"/>
      <w:r w:rsidRPr="004663D3">
        <w:rPr>
          <w:sz w:val="24"/>
        </w:rPr>
        <w:t>imdevimab</w:t>
      </w:r>
      <w:proofErr w:type="spellEnd"/>
      <w:r w:rsidRPr="004663D3">
        <w:rPr>
          <w:sz w:val="24"/>
        </w:rPr>
        <w:t xml:space="preserve"> had a population PK estimated bioavailability of 71.8% and 71.7%, respectively</w:t>
      </w:r>
      <w:r w:rsidR="00BE7DC2" w:rsidRPr="00BE7DC2">
        <w:rPr>
          <w:sz w:val="24"/>
          <w:szCs w:val="20"/>
        </w:rPr>
        <w:t>.</w:t>
      </w:r>
    </w:p>
    <w:p w14:paraId="3A0B46C6" w14:textId="7693CB47" w:rsidR="00D52399" w:rsidRPr="00A807D3" w:rsidRDefault="00615052">
      <w:pPr>
        <w:pStyle w:val="Heading3"/>
        <w:rPr>
          <w:color w:val="auto"/>
        </w:rPr>
      </w:pPr>
      <w:r w:rsidRPr="00A807D3">
        <w:rPr>
          <w:color w:val="auto"/>
        </w:rPr>
        <w:t>Distribution</w:t>
      </w:r>
    </w:p>
    <w:p w14:paraId="4703210C" w14:textId="5C957FC7" w:rsidR="00BE7DC2" w:rsidRPr="00BE7DC2" w:rsidRDefault="00BB43EC" w:rsidP="00BE7DC2">
      <w:pPr>
        <w:spacing w:after="120" w:line="300" w:lineRule="atLeast"/>
        <w:rPr>
          <w:color w:val="auto"/>
        </w:rPr>
      </w:pPr>
      <w:r w:rsidRPr="004663D3">
        <w:rPr>
          <w:rFonts w:eastAsia="SimSun"/>
          <w:lang w:eastAsia="zh-CN"/>
        </w:rPr>
        <w:t xml:space="preserve">The total volume of distribution estimated via population pharmacokinetic analysis is 7.161 L and 7.425 L for </w:t>
      </w:r>
      <w:proofErr w:type="spellStart"/>
      <w:r w:rsidRPr="004663D3">
        <w:rPr>
          <w:rFonts w:eastAsia="SimSun"/>
          <w:lang w:eastAsia="zh-CN"/>
        </w:rPr>
        <w:t>casirivimab</w:t>
      </w:r>
      <w:proofErr w:type="spellEnd"/>
      <w:r w:rsidRPr="004663D3">
        <w:rPr>
          <w:rFonts w:eastAsia="SimSun"/>
          <w:lang w:eastAsia="zh-CN"/>
        </w:rPr>
        <w:t xml:space="preserve"> and </w:t>
      </w:r>
      <w:proofErr w:type="spellStart"/>
      <w:r w:rsidRPr="004663D3">
        <w:rPr>
          <w:rFonts w:eastAsia="SimSun"/>
          <w:lang w:eastAsia="zh-CN"/>
        </w:rPr>
        <w:t>imdevimab</w:t>
      </w:r>
      <w:proofErr w:type="spellEnd"/>
      <w:r w:rsidRPr="004663D3">
        <w:rPr>
          <w:rFonts w:eastAsia="SimSun"/>
          <w:lang w:eastAsia="zh-CN"/>
        </w:rPr>
        <w:t xml:space="preserve">, </w:t>
      </w:r>
      <w:r w:rsidRPr="004663D3">
        <w:t>respectively</w:t>
      </w:r>
      <w:r w:rsidR="00BE7DC2" w:rsidRPr="00BE7DC2">
        <w:rPr>
          <w:color w:val="auto"/>
        </w:rPr>
        <w:t>.</w:t>
      </w:r>
    </w:p>
    <w:p w14:paraId="6675BA2C" w14:textId="77777777" w:rsidR="00BA0878" w:rsidRPr="00A807D3" w:rsidRDefault="00BA0878" w:rsidP="00820652">
      <w:pPr>
        <w:pStyle w:val="Heading3"/>
      </w:pPr>
      <w:r w:rsidRPr="00A807D3">
        <w:t>Metabolism</w:t>
      </w:r>
    </w:p>
    <w:p w14:paraId="7DAD839C" w14:textId="64E6BB1D" w:rsidR="00B65D51" w:rsidRPr="00192E5A" w:rsidRDefault="00BB43EC" w:rsidP="00B65D51">
      <w:pPr>
        <w:spacing w:after="120" w:line="300" w:lineRule="atLeast"/>
        <w:rPr>
          <w:color w:val="auto"/>
        </w:rPr>
      </w:pPr>
      <w:r w:rsidRPr="004663D3">
        <w:t xml:space="preserve">Specific metabolism studies were not conducted because </w:t>
      </w:r>
      <w:proofErr w:type="spellStart"/>
      <w:r w:rsidRPr="004663D3">
        <w:t>casirivimab</w:t>
      </w:r>
      <w:proofErr w:type="spellEnd"/>
      <w:r w:rsidRPr="004663D3">
        <w:t xml:space="preserve"> and </w:t>
      </w:r>
      <w:proofErr w:type="spellStart"/>
      <w:r w:rsidRPr="004663D3">
        <w:t>imdevimab</w:t>
      </w:r>
      <w:proofErr w:type="spellEnd"/>
      <w:r w:rsidRPr="004663D3">
        <w:t xml:space="preserve"> are proteins. As human monoclonal IgG1 antibodies, </w:t>
      </w:r>
      <w:proofErr w:type="spellStart"/>
      <w:r w:rsidRPr="004663D3">
        <w:t>casirivimab</w:t>
      </w:r>
      <w:proofErr w:type="spellEnd"/>
      <w:r w:rsidRPr="004663D3">
        <w:t xml:space="preserve"> and </w:t>
      </w:r>
      <w:proofErr w:type="spellStart"/>
      <w:r w:rsidRPr="004663D3">
        <w:t>imdevimab</w:t>
      </w:r>
      <w:proofErr w:type="spellEnd"/>
      <w:r w:rsidRPr="004663D3">
        <w:t xml:space="preserve"> are expected to be degraded into small peptides and amino acids via catabolic pathways in the same manner as endogenous IgG</w:t>
      </w:r>
      <w:r w:rsidR="00B65D51" w:rsidRPr="00192E5A">
        <w:rPr>
          <w:color w:val="auto"/>
        </w:rPr>
        <w:t>.</w:t>
      </w:r>
    </w:p>
    <w:p w14:paraId="7D1FDDD3" w14:textId="0D4CCD36" w:rsidR="00D52399" w:rsidRPr="00A807D3" w:rsidRDefault="00615052" w:rsidP="00820652">
      <w:pPr>
        <w:pStyle w:val="Heading3"/>
      </w:pPr>
      <w:r w:rsidRPr="00A807D3">
        <w:t>Elimination</w:t>
      </w:r>
    </w:p>
    <w:p w14:paraId="0B4ED725" w14:textId="61CF820D" w:rsidR="00B65D51" w:rsidRDefault="00BB43EC" w:rsidP="004031AA">
      <w:pPr>
        <w:pStyle w:val="Paragraph"/>
        <w:spacing w:after="0"/>
        <w:rPr>
          <w:sz w:val="24"/>
        </w:rPr>
      </w:pPr>
      <w:r w:rsidRPr="001A239A">
        <w:rPr>
          <w:sz w:val="24"/>
        </w:rPr>
        <w:t xml:space="preserve">Based on population PK analysis, the terminal elimination half-life and clearance of </w:t>
      </w:r>
      <w:proofErr w:type="spellStart"/>
      <w:r w:rsidRPr="001A239A">
        <w:rPr>
          <w:sz w:val="24"/>
        </w:rPr>
        <w:t>casirivimab</w:t>
      </w:r>
      <w:proofErr w:type="spellEnd"/>
      <w:r w:rsidRPr="001A239A">
        <w:rPr>
          <w:sz w:val="24"/>
        </w:rPr>
        <w:t xml:space="preserve"> and </w:t>
      </w:r>
      <w:proofErr w:type="spellStart"/>
      <w:r w:rsidRPr="001A239A">
        <w:rPr>
          <w:sz w:val="24"/>
        </w:rPr>
        <w:t>imdevimab</w:t>
      </w:r>
      <w:proofErr w:type="spellEnd"/>
      <w:r w:rsidRPr="001A239A">
        <w:rPr>
          <w:sz w:val="24"/>
        </w:rPr>
        <w:t xml:space="preserve"> are listed in Table 16</w:t>
      </w:r>
      <w:r w:rsidR="00BE7DC2" w:rsidRPr="001A239A">
        <w:rPr>
          <w:sz w:val="24"/>
        </w:rPr>
        <w:t>.</w:t>
      </w:r>
    </w:p>
    <w:p w14:paraId="70BD0835" w14:textId="77777777" w:rsidR="004031AA" w:rsidRPr="001A239A" w:rsidRDefault="004031AA" w:rsidP="004031AA">
      <w:pPr>
        <w:pStyle w:val="Paragraph"/>
        <w:spacing w:after="0"/>
        <w:rPr>
          <w:sz w:val="24"/>
        </w:rPr>
      </w:pPr>
    </w:p>
    <w:p w14:paraId="596F5933" w14:textId="77777777" w:rsidR="00BB43EC" w:rsidRPr="004663D3" w:rsidRDefault="00BB43EC" w:rsidP="00BB43EC">
      <w:pPr>
        <w:pStyle w:val="C-TableHeader"/>
        <w:keepLines/>
        <w:spacing w:before="0" w:after="120"/>
        <w:ind w:left="1035" w:hanging="1035"/>
        <w:rPr>
          <w:sz w:val="24"/>
          <w:szCs w:val="24"/>
        </w:rPr>
      </w:pPr>
      <w:r w:rsidRPr="004663D3">
        <w:rPr>
          <w:sz w:val="24"/>
          <w:szCs w:val="24"/>
        </w:rPr>
        <w:t>Table 16</w:t>
      </w:r>
      <w:r>
        <w:rPr>
          <w:sz w:val="24"/>
          <w:szCs w:val="24"/>
        </w:rPr>
        <w:t xml:space="preserve">: </w:t>
      </w:r>
      <w:r w:rsidRPr="004663D3">
        <w:rPr>
          <w:sz w:val="24"/>
          <w:szCs w:val="24"/>
        </w:rPr>
        <w:t xml:space="preserve">Summary of terminal elimination half-life and clearance values of </w:t>
      </w:r>
      <w:proofErr w:type="spellStart"/>
      <w:r w:rsidRPr="004663D3">
        <w:rPr>
          <w:sz w:val="24"/>
          <w:szCs w:val="24"/>
        </w:rPr>
        <w:t>casirivimab</w:t>
      </w:r>
      <w:proofErr w:type="spellEnd"/>
      <w:r w:rsidRPr="004663D3">
        <w:rPr>
          <w:sz w:val="24"/>
          <w:szCs w:val="24"/>
        </w:rPr>
        <w:t xml:space="preserve"> and </w:t>
      </w:r>
      <w:proofErr w:type="spellStart"/>
      <w:r w:rsidRPr="004663D3">
        <w:rPr>
          <w:sz w:val="24"/>
          <w:szCs w:val="24"/>
        </w:rPr>
        <w:t>imdevimab</w:t>
      </w:r>
      <w:proofErr w:type="spellEnd"/>
      <w:r w:rsidRPr="004663D3">
        <w:rPr>
          <w:sz w:val="24"/>
          <w:szCs w:val="24"/>
        </w:rPr>
        <w:t xml:space="preserve"> following single IV doses – Population PK estimates</w:t>
      </w:r>
    </w:p>
    <w:tbl>
      <w:tblPr>
        <w:tblStyle w:val="TableGrid1"/>
        <w:tblW w:w="5000" w:type="pct"/>
        <w:tblLook w:val="04A0" w:firstRow="1" w:lastRow="0" w:firstColumn="1" w:lastColumn="0" w:noHBand="0" w:noVBand="1"/>
      </w:tblPr>
      <w:tblGrid>
        <w:gridCol w:w="2180"/>
        <w:gridCol w:w="1506"/>
        <w:gridCol w:w="1975"/>
        <w:gridCol w:w="1790"/>
        <w:gridCol w:w="2079"/>
      </w:tblGrid>
      <w:tr w:rsidR="00BB43EC" w:rsidRPr="00BB43EC" w14:paraId="322630EF" w14:textId="77777777" w:rsidTr="00813E59">
        <w:tc>
          <w:tcPr>
            <w:tcW w:w="1144" w:type="pct"/>
          </w:tcPr>
          <w:p w14:paraId="1FBDE0DB" w14:textId="77777777" w:rsidR="00BB43EC" w:rsidRPr="00BB43EC" w:rsidRDefault="00BB43EC" w:rsidP="00813E59">
            <w:pPr>
              <w:keepNext/>
              <w:keepLines/>
              <w:ind w:left="101" w:right="101"/>
              <w:jc w:val="center"/>
              <w:rPr>
                <w:rFonts w:eastAsia="Times"/>
                <w:b/>
                <w:color w:val="111111"/>
                <w:sz w:val="22"/>
                <w:szCs w:val="22"/>
              </w:rPr>
            </w:pPr>
          </w:p>
        </w:tc>
        <w:tc>
          <w:tcPr>
            <w:tcW w:w="1826" w:type="pct"/>
            <w:gridSpan w:val="2"/>
          </w:tcPr>
          <w:p w14:paraId="5267F78A" w14:textId="77777777" w:rsidR="00BB43EC" w:rsidRPr="00BB43EC" w:rsidRDefault="00BB43EC" w:rsidP="00813E59">
            <w:pPr>
              <w:keepNext/>
              <w:keepLines/>
              <w:ind w:left="101" w:right="101"/>
              <w:jc w:val="center"/>
              <w:rPr>
                <w:rFonts w:eastAsia="Times"/>
                <w:b/>
                <w:color w:val="111111"/>
                <w:sz w:val="22"/>
                <w:szCs w:val="22"/>
              </w:rPr>
            </w:pPr>
            <w:proofErr w:type="spellStart"/>
            <w:r w:rsidRPr="00BB43EC">
              <w:rPr>
                <w:rFonts w:eastAsia="Times"/>
                <w:b/>
                <w:color w:val="111111"/>
                <w:sz w:val="22"/>
                <w:szCs w:val="22"/>
              </w:rPr>
              <w:t>casirivimab</w:t>
            </w:r>
            <w:proofErr w:type="spellEnd"/>
          </w:p>
        </w:tc>
        <w:tc>
          <w:tcPr>
            <w:tcW w:w="2030" w:type="pct"/>
            <w:gridSpan w:val="2"/>
          </w:tcPr>
          <w:p w14:paraId="79905BFF" w14:textId="77777777" w:rsidR="00BB43EC" w:rsidRPr="00BB43EC" w:rsidRDefault="00BB43EC" w:rsidP="00813E59">
            <w:pPr>
              <w:keepNext/>
              <w:keepLines/>
              <w:ind w:left="101" w:right="101"/>
              <w:jc w:val="center"/>
              <w:rPr>
                <w:rFonts w:eastAsia="Times"/>
                <w:b/>
                <w:color w:val="111111"/>
                <w:sz w:val="22"/>
                <w:szCs w:val="22"/>
              </w:rPr>
            </w:pPr>
            <w:proofErr w:type="spellStart"/>
            <w:r w:rsidRPr="00BB43EC">
              <w:rPr>
                <w:rFonts w:eastAsia="Times"/>
                <w:b/>
                <w:color w:val="111111"/>
                <w:sz w:val="22"/>
                <w:szCs w:val="22"/>
              </w:rPr>
              <w:t>imdevimab</w:t>
            </w:r>
            <w:proofErr w:type="spellEnd"/>
          </w:p>
        </w:tc>
      </w:tr>
      <w:tr w:rsidR="00BB43EC" w:rsidRPr="00BB43EC" w14:paraId="29FCBF8E" w14:textId="77777777" w:rsidTr="00813E59">
        <w:tc>
          <w:tcPr>
            <w:tcW w:w="1144" w:type="pct"/>
          </w:tcPr>
          <w:p w14:paraId="7E301EDB" w14:textId="77777777" w:rsidR="00BB43EC" w:rsidRPr="00BB43EC" w:rsidRDefault="00BB43EC" w:rsidP="00813E59">
            <w:pPr>
              <w:keepNext/>
              <w:keepLines/>
              <w:ind w:left="101" w:right="101"/>
              <w:jc w:val="center"/>
              <w:rPr>
                <w:sz w:val="22"/>
                <w:szCs w:val="22"/>
              </w:rPr>
            </w:pPr>
            <w:r w:rsidRPr="00BB43EC">
              <w:rPr>
                <w:rFonts w:eastAsia="Times"/>
                <w:b/>
                <w:color w:val="111111"/>
                <w:sz w:val="22"/>
                <w:szCs w:val="22"/>
              </w:rPr>
              <w:t>Parameter</w:t>
            </w:r>
          </w:p>
        </w:tc>
        <w:tc>
          <w:tcPr>
            <w:tcW w:w="790" w:type="pct"/>
          </w:tcPr>
          <w:p w14:paraId="171CB631" w14:textId="77777777" w:rsidR="00BB43EC" w:rsidRPr="00BB43EC" w:rsidRDefault="00BB43EC" w:rsidP="00813E59">
            <w:pPr>
              <w:keepNext/>
              <w:keepLines/>
              <w:ind w:left="101" w:right="101"/>
              <w:jc w:val="center"/>
              <w:rPr>
                <w:sz w:val="22"/>
                <w:szCs w:val="22"/>
              </w:rPr>
            </w:pPr>
            <w:r w:rsidRPr="00BB43EC">
              <w:rPr>
                <w:rFonts w:eastAsia="Times"/>
                <w:b/>
                <w:color w:val="111111"/>
                <w:sz w:val="22"/>
                <w:szCs w:val="22"/>
              </w:rPr>
              <w:t>Mean</w:t>
            </w:r>
          </w:p>
        </w:tc>
        <w:tc>
          <w:tcPr>
            <w:tcW w:w="1036" w:type="pct"/>
          </w:tcPr>
          <w:p w14:paraId="43862861" w14:textId="77777777" w:rsidR="00BB43EC" w:rsidRPr="00BB43EC" w:rsidRDefault="00BB43EC" w:rsidP="00813E59">
            <w:pPr>
              <w:keepNext/>
              <w:keepLines/>
              <w:ind w:left="101" w:right="101"/>
              <w:jc w:val="center"/>
              <w:rPr>
                <w:sz w:val="22"/>
                <w:szCs w:val="22"/>
              </w:rPr>
            </w:pPr>
            <w:r w:rsidRPr="00BB43EC">
              <w:rPr>
                <w:rFonts w:eastAsia="Times"/>
                <w:b/>
                <w:color w:val="111111"/>
                <w:sz w:val="22"/>
                <w:szCs w:val="22"/>
              </w:rPr>
              <w:t>5th, 95th percentile</w:t>
            </w:r>
          </w:p>
        </w:tc>
        <w:tc>
          <w:tcPr>
            <w:tcW w:w="939" w:type="pct"/>
          </w:tcPr>
          <w:p w14:paraId="0CC7DC05" w14:textId="77777777" w:rsidR="00BB43EC" w:rsidRPr="00BB43EC" w:rsidRDefault="00BB43EC" w:rsidP="00813E59">
            <w:pPr>
              <w:keepNext/>
              <w:keepLines/>
              <w:ind w:left="101" w:right="101"/>
              <w:jc w:val="center"/>
              <w:rPr>
                <w:sz w:val="22"/>
                <w:szCs w:val="22"/>
              </w:rPr>
            </w:pPr>
            <w:r w:rsidRPr="00BB43EC">
              <w:rPr>
                <w:rFonts w:eastAsia="Times"/>
                <w:b/>
                <w:color w:val="111111"/>
                <w:sz w:val="22"/>
                <w:szCs w:val="22"/>
              </w:rPr>
              <w:t>Mean</w:t>
            </w:r>
          </w:p>
        </w:tc>
        <w:tc>
          <w:tcPr>
            <w:tcW w:w="1091" w:type="pct"/>
          </w:tcPr>
          <w:p w14:paraId="6A5069EE" w14:textId="77777777" w:rsidR="00BB43EC" w:rsidRPr="00BB43EC" w:rsidRDefault="00BB43EC" w:rsidP="00813E59">
            <w:pPr>
              <w:keepNext/>
              <w:keepLines/>
              <w:ind w:left="101" w:right="101"/>
              <w:jc w:val="center"/>
              <w:rPr>
                <w:sz w:val="22"/>
                <w:szCs w:val="22"/>
              </w:rPr>
            </w:pPr>
            <w:r w:rsidRPr="00BB43EC">
              <w:rPr>
                <w:rFonts w:eastAsia="Times"/>
                <w:b/>
                <w:color w:val="111111"/>
                <w:sz w:val="22"/>
                <w:szCs w:val="22"/>
              </w:rPr>
              <w:t>5th, 95th percentile</w:t>
            </w:r>
          </w:p>
        </w:tc>
      </w:tr>
      <w:tr w:rsidR="00BB43EC" w:rsidRPr="00BB43EC" w14:paraId="2B220EA4" w14:textId="77777777" w:rsidTr="00813E59">
        <w:tc>
          <w:tcPr>
            <w:tcW w:w="1144" w:type="pct"/>
          </w:tcPr>
          <w:p w14:paraId="604D7A3C" w14:textId="77777777" w:rsidR="00BB43EC" w:rsidRPr="00BB43EC" w:rsidRDefault="00BB43EC" w:rsidP="00813E59">
            <w:pPr>
              <w:keepNext/>
              <w:keepLines/>
              <w:ind w:left="101" w:right="101"/>
              <w:jc w:val="center"/>
              <w:rPr>
                <w:sz w:val="22"/>
                <w:szCs w:val="22"/>
              </w:rPr>
            </w:pPr>
            <w:r w:rsidRPr="00BB43EC">
              <w:rPr>
                <w:rFonts w:eastAsia="Times"/>
                <w:color w:val="111111"/>
                <w:sz w:val="22"/>
                <w:szCs w:val="22"/>
              </w:rPr>
              <w:t>Half-life (day)</w:t>
            </w:r>
          </w:p>
        </w:tc>
        <w:tc>
          <w:tcPr>
            <w:tcW w:w="790" w:type="pct"/>
          </w:tcPr>
          <w:p w14:paraId="17572CDC" w14:textId="77777777" w:rsidR="00BB43EC" w:rsidRPr="00BB43EC" w:rsidRDefault="00BB43EC" w:rsidP="00813E59">
            <w:pPr>
              <w:keepNext/>
              <w:keepLines/>
              <w:ind w:left="101" w:right="101"/>
              <w:jc w:val="center"/>
              <w:rPr>
                <w:sz w:val="22"/>
                <w:szCs w:val="22"/>
              </w:rPr>
            </w:pPr>
            <w:r w:rsidRPr="00BB43EC">
              <w:rPr>
                <w:rFonts w:eastAsia="Times"/>
                <w:color w:val="111111"/>
                <w:sz w:val="22"/>
                <w:szCs w:val="22"/>
              </w:rPr>
              <w:t>29.8</w:t>
            </w:r>
          </w:p>
        </w:tc>
        <w:tc>
          <w:tcPr>
            <w:tcW w:w="1036" w:type="pct"/>
          </w:tcPr>
          <w:p w14:paraId="0660BE54" w14:textId="77777777" w:rsidR="00BB43EC" w:rsidRPr="00BB43EC" w:rsidRDefault="00BB43EC" w:rsidP="00813E59">
            <w:pPr>
              <w:keepNext/>
              <w:keepLines/>
              <w:ind w:left="101" w:right="101"/>
              <w:jc w:val="center"/>
              <w:rPr>
                <w:sz w:val="22"/>
                <w:szCs w:val="22"/>
              </w:rPr>
            </w:pPr>
            <w:r w:rsidRPr="00BB43EC">
              <w:rPr>
                <w:rFonts w:eastAsia="Times"/>
                <w:color w:val="111111"/>
                <w:sz w:val="22"/>
                <w:szCs w:val="22"/>
              </w:rPr>
              <w:t>(16.4, 43.1)</w:t>
            </w:r>
          </w:p>
        </w:tc>
        <w:tc>
          <w:tcPr>
            <w:tcW w:w="939" w:type="pct"/>
          </w:tcPr>
          <w:p w14:paraId="48725E27" w14:textId="77777777" w:rsidR="00BB43EC" w:rsidRPr="00BB43EC" w:rsidRDefault="00BB43EC" w:rsidP="00813E59">
            <w:pPr>
              <w:keepNext/>
              <w:keepLines/>
              <w:ind w:left="101" w:right="101"/>
              <w:jc w:val="center"/>
              <w:rPr>
                <w:sz w:val="22"/>
                <w:szCs w:val="22"/>
              </w:rPr>
            </w:pPr>
            <w:r w:rsidRPr="00BB43EC">
              <w:rPr>
                <w:rFonts w:eastAsia="Times"/>
                <w:color w:val="111111"/>
                <w:sz w:val="22"/>
                <w:szCs w:val="22"/>
              </w:rPr>
              <w:t>26.2</w:t>
            </w:r>
          </w:p>
        </w:tc>
        <w:tc>
          <w:tcPr>
            <w:tcW w:w="1091" w:type="pct"/>
          </w:tcPr>
          <w:p w14:paraId="6692DC80" w14:textId="77777777" w:rsidR="00BB43EC" w:rsidRPr="00BB43EC" w:rsidRDefault="00BB43EC" w:rsidP="00813E59">
            <w:pPr>
              <w:keepNext/>
              <w:keepLines/>
              <w:ind w:left="101" w:right="101"/>
              <w:jc w:val="center"/>
              <w:rPr>
                <w:sz w:val="22"/>
                <w:szCs w:val="22"/>
              </w:rPr>
            </w:pPr>
            <w:r w:rsidRPr="00BB43EC">
              <w:rPr>
                <w:rFonts w:eastAsia="Times"/>
                <w:color w:val="111111"/>
                <w:sz w:val="22"/>
                <w:szCs w:val="22"/>
              </w:rPr>
              <w:t>(16.9, 35.6)</w:t>
            </w:r>
          </w:p>
        </w:tc>
      </w:tr>
      <w:tr w:rsidR="00BB43EC" w:rsidRPr="00BB43EC" w14:paraId="6D9774FF" w14:textId="77777777" w:rsidTr="00813E59">
        <w:tc>
          <w:tcPr>
            <w:tcW w:w="1144" w:type="pct"/>
          </w:tcPr>
          <w:p w14:paraId="549871E2" w14:textId="77777777" w:rsidR="00BB43EC" w:rsidRPr="00BB43EC" w:rsidRDefault="00BB43EC" w:rsidP="00813E59">
            <w:pPr>
              <w:keepNext/>
              <w:keepLines/>
              <w:ind w:left="101" w:right="101"/>
              <w:jc w:val="center"/>
              <w:rPr>
                <w:sz w:val="22"/>
                <w:szCs w:val="22"/>
              </w:rPr>
            </w:pPr>
            <w:r w:rsidRPr="00BB43EC">
              <w:rPr>
                <w:rFonts w:eastAsia="Times"/>
                <w:color w:val="111111"/>
                <w:sz w:val="22"/>
                <w:szCs w:val="22"/>
              </w:rPr>
              <w:t>CL (L/day)</w:t>
            </w:r>
          </w:p>
        </w:tc>
        <w:tc>
          <w:tcPr>
            <w:tcW w:w="790" w:type="pct"/>
          </w:tcPr>
          <w:p w14:paraId="7755CFCD" w14:textId="77777777" w:rsidR="00BB43EC" w:rsidRPr="00BB43EC" w:rsidRDefault="00BB43EC" w:rsidP="00813E59">
            <w:pPr>
              <w:keepNext/>
              <w:keepLines/>
              <w:ind w:left="101" w:right="101"/>
              <w:jc w:val="center"/>
              <w:rPr>
                <w:sz w:val="22"/>
                <w:szCs w:val="22"/>
              </w:rPr>
            </w:pPr>
            <w:r w:rsidRPr="00BB43EC">
              <w:rPr>
                <w:rFonts w:eastAsia="Times"/>
                <w:color w:val="111111"/>
                <w:sz w:val="22"/>
                <w:szCs w:val="22"/>
              </w:rPr>
              <w:t>0.188</w:t>
            </w:r>
          </w:p>
        </w:tc>
        <w:tc>
          <w:tcPr>
            <w:tcW w:w="1036" w:type="pct"/>
          </w:tcPr>
          <w:p w14:paraId="3211F079" w14:textId="77777777" w:rsidR="00BB43EC" w:rsidRPr="00BB43EC" w:rsidRDefault="00BB43EC" w:rsidP="00813E59">
            <w:pPr>
              <w:keepNext/>
              <w:keepLines/>
              <w:ind w:left="101" w:right="101"/>
              <w:jc w:val="center"/>
              <w:rPr>
                <w:sz w:val="22"/>
                <w:szCs w:val="22"/>
              </w:rPr>
            </w:pPr>
            <w:r w:rsidRPr="00BB43EC">
              <w:rPr>
                <w:rFonts w:eastAsia="Times"/>
                <w:color w:val="111111"/>
                <w:sz w:val="22"/>
                <w:szCs w:val="22"/>
              </w:rPr>
              <w:t>(0.11, 0.3)</w:t>
            </w:r>
          </w:p>
        </w:tc>
        <w:tc>
          <w:tcPr>
            <w:tcW w:w="939" w:type="pct"/>
          </w:tcPr>
          <w:p w14:paraId="75431551" w14:textId="77777777" w:rsidR="00BB43EC" w:rsidRPr="00BB43EC" w:rsidRDefault="00BB43EC" w:rsidP="00813E59">
            <w:pPr>
              <w:keepNext/>
              <w:keepLines/>
              <w:ind w:left="101" w:right="101"/>
              <w:jc w:val="center"/>
              <w:rPr>
                <w:sz w:val="22"/>
                <w:szCs w:val="22"/>
              </w:rPr>
            </w:pPr>
            <w:r w:rsidRPr="00BB43EC">
              <w:rPr>
                <w:rFonts w:eastAsia="Times"/>
                <w:color w:val="111111"/>
                <w:sz w:val="22"/>
                <w:szCs w:val="22"/>
              </w:rPr>
              <w:t>0.227</w:t>
            </w:r>
          </w:p>
        </w:tc>
        <w:tc>
          <w:tcPr>
            <w:tcW w:w="1091" w:type="pct"/>
          </w:tcPr>
          <w:p w14:paraId="2995A995" w14:textId="77777777" w:rsidR="00BB43EC" w:rsidRPr="00BB43EC" w:rsidRDefault="00BB43EC" w:rsidP="00813E59">
            <w:pPr>
              <w:keepNext/>
              <w:keepLines/>
              <w:ind w:left="101" w:right="101"/>
              <w:jc w:val="center"/>
              <w:rPr>
                <w:sz w:val="22"/>
                <w:szCs w:val="22"/>
              </w:rPr>
            </w:pPr>
            <w:r w:rsidRPr="00BB43EC">
              <w:rPr>
                <w:rFonts w:eastAsia="Times"/>
                <w:color w:val="111111"/>
                <w:sz w:val="22"/>
                <w:szCs w:val="22"/>
              </w:rPr>
              <w:t>(0.15, 0.35)</w:t>
            </w:r>
          </w:p>
        </w:tc>
      </w:tr>
    </w:tbl>
    <w:p w14:paraId="7A5A9579" w14:textId="77777777" w:rsidR="00BB43EC" w:rsidRPr="00BB43EC" w:rsidRDefault="00BB43EC" w:rsidP="00BB43EC">
      <w:pPr>
        <w:pStyle w:val="Heading3"/>
      </w:pPr>
      <w:r w:rsidRPr="00BB43EC">
        <w:t>Excretion</w:t>
      </w:r>
    </w:p>
    <w:p w14:paraId="00254915" w14:textId="77777777" w:rsidR="00BB43EC" w:rsidRPr="004663D3" w:rsidRDefault="00BB43EC" w:rsidP="00BB43EC">
      <w:pPr>
        <w:pStyle w:val="C-BodyText"/>
        <w:spacing w:before="0" w:after="0"/>
        <w:rPr>
          <w:szCs w:val="24"/>
        </w:rPr>
      </w:pPr>
      <w:bookmarkStart w:id="13" w:name="_Hlk74572979"/>
      <w:proofErr w:type="spellStart"/>
      <w:r w:rsidRPr="004663D3">
        <w:rPr>
          <w:szCs w:val="24"/>
        </w:rPr>
        <w:t>Casirivimab</w:t>
      </w:r>
      <w:proofErr w:type="spellEnd"/>
      <w:r w:rsidRPr="004663D3">
        <w:rPr>
          <w:szCs w:val="24"/>
        </w:rPr>
        <w:t xml:space="preserve"> and </w:t>
      </w:r>
      <w:proofErr w:type="spellStart"/>
      <w:r w:rsidRPr="004663D3">
        <w:rPr>
          <w:szCs w:val="24"/>
        </w:rPr>
        <w:t>imdevimab</w:t>
      </w:r>
      <w:bookmarkEnd w:id="13"/>
      <w:proofErr w:type="spellEnd"/>
      <w:r w:rsidRPr="004663D3">
        <w:rPr>
          <w:szCs w:val="24"/>
        </w:rPr>
        <w:t xml:space="preserve"> are monoclonal antibodies and are therefore not likely to undergo renal excretion. </w:t>
      </w:r>
    </w:p>
    <w:p w14:paraId="56695A6C" w14:textId="7CCECBF1" w:rsidR="00B65D51" w:rsidRPr="00BA26B4" w:rsidRDefault="00BA26B4" w:rsidP="00820652">
      <w:pPr>
        <w:pStyle w:val="Heading3"/>
      </w:pPr>
      <w:r w:rsidRPr="00BA26B4">
        <w:t>Special populations</w:t>
      </w:r>
    </w:p>
    <w:p w14:paraId="47D4B509" w14:textId="77777777" w:rsidR="00B65D51" w:rsidRPr="00192E5A" w:rsidRDefault="00B65D51" w:rsidP="001A239A">
      <w:pPr>
        <w:pStyle w:val="Heading4"/>
        <w:spacing w:before="0"/>
      </w:pPr>
      <w:r w:rsidRPr="00192E5A">
        <w:t>Renal impairment</w:t>
      </w:r>
    </w:p>
    <w:p w14:paraId="538CDA19" w14:textId="400974DB" w:rsidR="00820652" w:rsidRPr="00BB43EC" w:rsidRDefault="00BB43EC" w:rsidP="00820652">
      <w:pPr>
        <w:pStyle w:val="Paragraph"/>
        <w:spacing w:after="120"/>
        <w:rPr>
          <w:sz w:val="24"/>
        </w:rPr>
      </w:pPr>
      <w:proofErr w:type="spellStart"/>
      <w:r w:rsidRPr="00BB43EC">
        <w:rPr>
          <w:sz w:val="24"/>
        </w:rPr>
        <w:t>Casirivimab</w:t>
      </w:r>
      <w:proofErr w:type="spellEnd"/>
      <w:r w:rsidRPr="00BB43EC">
        <w:rPr>
          <w:sz w:val="24"/>
        </w:rPr>
        <w:t xml:space="preserve"> and </w:t>
      </w:r>
      <w:proofErr w:type="spellStart"/>
      <w:r w:rsidRPr="00BB43EC">
        <w:rPr>
          <w:sz w:val="24"/>
        </w:rPr>
        <w:t>imdevimab</w:t>
      </w:r>
      <w:proofErr w:type="spellEnd"/>
      <w:r w:rsidRPr="00BB43EC">
        <w:rPr>
          <w:sz w:val="24"/>
        </w:rPr>
        <w:t xml:space="preserve"> are monoclonal antibodies that are not expected to undergo significant renal elimination due to their molecular weight (&gt; 69 </w:t>
      </w:r>
      <w:proofErr w:type="spellStart"/>
      <w:r w:rsidRPr="00BB43EC">
        <w:rPr>
          <w:sz w:val="24"/>
        </w:rPr>
        <w:t>kDa</w:t>
      </w:r>
      <w:proofErr w:type="spellEnd"/>
      <w:r w:rsidRPr="00BB43EC">
        <w:rPr>
          <w:sz w:val="24"/>
        </w:rPr>
        <w:t xml:space="preserve">). Based on population PK analysis, trough concentrations of </w:t>
      </w:r>
      <w:proofErr w:type="spellStart"/>
      <w:r w:rsidRPr="00BB43EC">
        <w:rPr>
          <w:sz w:val="24"/>
        </w:rPr>
        <w:t>casirivimab</w:t>
      </w:r>
      <w:proofErr w:type="spellEnd"/>
      <w:r w:rsidRPr="00BB43EC">
        <w:rPr>
          <w:sz w:val="24"/>
        </w:rPr>
        <w:t xml:space="preserve"> and </w:t>
      </w:r>
      <w:proofErr w:type="spellStart"/>
      <w:r w:rsidRPr="00BB43EC">
        <w:rPr>
          <w:sz w:val="24"/>
        </w:rPr>
        <w:t>imdevimab</w:t>
      </w:r>
      <w:proofErr w:type="spellEnd"/>
      <w:r w:rsidRPr="00BB43EC">
        <w:rPr>
          <w:sz w:val="24"/>
        </w:rPr>
        <w:t xml:space="preserve"> in serum at steady state were comparable between patients with mild or moderate renal impairment, or patients with </w:t>
      </w:r>
      <w:proofErr w:type="spellStart"/>
      <w:r w:rsidRPr="00BB43EC">
        <w:rPr>
          <w:sz w:val="24"/>
        </w:rPr>
        <w:t>CrCl</w:t>
      </w:r>
      <w:proofErr w:type="spellEnd"/>
      <w:r w:rsidRPr="00BB43EC">
        <w:rPr>
          <w:sz w:val="24"/>
        </w:rPr>
        <w:t xml:space="preserve"> &lt; 15 mL/min including those on dialysis, and patients with normal renal function. Limited data are available in patients with severe renal impairment (n = 3)</w:t>
      </w:r>
      <w:r w:rsidR="00820652" w:rsidRPr="00BB43EC">
        <w:rPr>
          <w:sz w:val="24"/>
        </w:rPr>
        <w:t>.</w:t>
      </w:r>
    </w:p>
    <w:p w14:paraId="07AD8DFB" w14:textId="77777777" w:rsidR="00B65D51" w:rsidRPr="00192E5A" w:rsidRDefault="00B65D51" w:rsidP="00820652">
      <w:pPr>
        <w:pStyle w:val="Heading4"/>
      </w:pPr>
      <w:r w:rsidRPr="00192E5A">
        <w:t>Hepatic impairment</w:t>
      </w:r>
    </w:p>
    <w:p w14:paraId="282C9CFE" w14:textId="7B7B7D5C" w:rsidR="00B65D51" w:rsidRPr="00BB43EC" w:rsidRDefault="00BB43EC" w:rsidP="00820652">
      <w:pPr>
        <w:pStyle w:val="Paragraph"/>
        <w:spacing w:after="120"/>
        <w:rPr>
          <w:sz w:val="24"/>
        </w:rPr>
      </w:pPr>
      <w:proofErr w:type="spellStart"/>
      <w:r w:rsidRPr="00BB43EC">
        <w:rPr>
          <w:sz w:val="24"/>
        </w:rPr>
        <w:t>Casirivimab</w:t>
      </w:r>
      <w:proofErr w:type="spellEnd"/>
      <w:r w:rsidRPr="00BB43EC">
        <w:rPr>
          <w:sz w:val="24"/>
        </w:rPr>
        <w:t xml:space="preserve"> and </w:t>
      </w:r>
      <w:proofErr w:type="spellStart"/>
      <w:r w:rsidRPr="00BB43EC">
        <w:rPr>
          <w:sz w:val="24"/>
        </w:rPr>
        <w:t>imdevimab</w:t>
      </w:r>
      <w:proofErr w:type="spellEnd"/>
      <w:r w:rsidRPr="00BB43EC">
        <w:rPr>
          <w:sz w:val="24"/>
        </w:rPr>
        <w:t xml:space="preserve"> are not expected to undergo significant hepatic elimination. The effect of hepatic impairment on the exposure of </w:t>
      </w:r>
      <w:proofErr w:type="spellStart"/>
      <w:r w:rsidRPr="00BB43EC">
        <w:rPr>
          <w:sz w:val="24"/>
        </w:rPr>
        <w:t>casirivimab</w:t>
      </w:r>
      <w:proofErr w:type="spellEnd"/>
      <w:r w:rsidRPr="00BB43EC">
        <w:rPr>
          <w:sz w:val="24"/>
        </w:rPr>
        <w:t xml:space="preserve"> and </w:t>
      </w:r>
      <w:proofErr w:type="spellStart"/>
      <w:r w:rsidRPr="00BB43EC">
        <w:rPr>
          <w:sz w:val="24"/>
        </w:rPr>
        <w:t>imdevimab</w:t>
      </w:r>
      <w:proofErr w:type="spellEnd"/>
      <w:r w:rsidRPr="00BB43EC">
        <w:rPr>
          <w:sz w:val="24"/>
        </w:rPr>
        <w:t xml:space="preserve"> was evaluated by population PK analysis in patients with mild hepatic impairment (n = 586 for </w:t>
      </w:r>
      <w:proofErr w:type="spellStart"/>
      <w:r w:rsidRPr="00BB43EC">
        <w:rPr>
          <w:sz w:val="24"/>
        </w:rPr>
        <w:t>casirivimab</w:t>
      </w:r>
      <w:proofErr w:type="spellEnd"/>
      <w:r w:rsidRPr="00BB43EC">
        <w:rPr>
          <w:sz w:val="24"/>
        </w:rPr>
        <w:t xml:space="preserve"> and n = 599 for </w:t>
      </w:r>
      <w:proofErr w:type="spellStart"/>
      <w:r w:rsidRPr="00BB43EC">
        <w:rPr>
          <w:sz w:val="24"/>
        </w:rPr>
        <w:t>imdevimab</w:t>
      </w:r>
      <w:proofErr w:type="spellEnd"/>
      <w:r w:rsidRPr="00BB43EC">
        <w:rPr>
          <w:sz w:val="24"/>
        </w:rPr>
        <w:t xml:space="preserve">) (total bilirubin [TB] greater than 1.0 to 1.5 times the upper limit of normal [ULN] and any aspartate aminotransferase [AST]); no clinically important differences in the exposure of </w:t>
      </w:r>
      <w:proofErr w:type="spellStart"/>
      <w:r w:rsidRPr="00BB43EC">
        <w:rPr>
          <w:sz w:val="24"/>
        </w:rPr>
        <w:t>casirivimab</w:t>
      </w:r>
      <w:proofErr w:type="spellEnd"/>
      <w:r w:rsidRPr="00BB43EC">
        <w:rPr>
          <w:sz w:val="24"/>
        </w:rPr>
        <w:t xml:space="preserve"> and </w:t>
      </w:r>
      <w:proofErr w:type="spellStart"/>
      <w:r w:rsidRPr="00BB43EC">
        <w:rPr>
          <w:sz w:val="24"/>
        </w:rPr>
        <w:t>imdevimab</w:t>
      </w:r>
      <w:proofErr w:type="spellEnd"/>
      <w:r w:rsidRPr="00BB43EC">
        <w:rPr>
          <w:sz w:val="24"/>
        </w:rPr>
        <w:t xml:space="preserve"> were found between patients with mild hepatic impairment and patients with normal hepatic function. Limited data (n = 11) are available in patients with moderate </w:t>
      </w:r>
      <w:r w:rsidRPr="00BB43EC">
        <w:rPr>
          <w:sz w:val="24"/>
        </w:rPr>
        <w:lastRenderedPageBreak/>
        <w:t>hepatic impairment. The pharmacokinetics in patients with severe hepatic impairment has not been studied</w:t>
      </w:r>
      <w:r w:rsidR="00820652" w:rsidRPr="00BB43EC">
        <w:rPr>
          <w:sz w:val="24"/>
        </w:rPr>
        <w:t xml:space="preserve">. </w:t>
      </w:r>
    </w:p>
    <w:p w14:paraId="33F65B9B" w14:textId="77777777" w:rsidR="0031764D" w:rsidRPr="00A807D3" w:rsidRDefault="0031764D" w:rsidP="00820652">
      <w:pPr>
        <w:pStyle w:val="Heading4"/>
      </w:pPr>
      <w:r w:rsidRPr="00A807D3">
        <w:t>Use in the Elderly</w:t>
      </w:r>
    </w:p>
    <w:p w14:paraId="3AB37954" w14:textId="77777777" w:rsidR="00BB43EC" w:rsidRPr="004663D3" w:rsidRDefault="00BB43EC" w:rsidP="00BB43EC">
      <w:pPr>
        <w:rPr>
          <w:rFonts w:eastAsia="SimSun"/>
          <w:lang w:eastAsia="zh-CN"/>
        </w:rPr>
      </w:pPr>
      <w:r w:rsidRPr="004663D3">
        <w:rPr>
          <w:rFonts w:eastAsia="SimSun"/>
          <w:lang w:eastAsia="zh-CN"/>
        </w:rPr>
        <w:t xml:space="preserve">In the population PK analysis, age (18 years to 96 years) was not identified as a significant covariate on PK of either </w:t>
      </w:r>
      <w:proofErr w:type="spellStart"/>
      <w:r w:rsidRPr="004663D3">
        <w:rPr>
          <w:rFonts w:eastAsia="SimSun"/>
          <w:lang w:eastAsia="zh-CN"/>
        </w:rPr>
        <w:t>casirivimab</w:t>
      </w:r>
      <w:proofErr w:type="spellEnd"/>
      <w:r w:rsidRPr="004663D3">
        <w:rPr>
          <w:rFonts w:eastAsia="SimSun"/>
          <w:lang w:eastAsia="zh-CN"/>
        </w:rPr>
        <w:t xml:space="preserve"> </w:t>
      </w:r>
      <w:proofErr w:type="gramStart"/>
      <w:r w:rsidRPr="004663D3">
        <w:rPr>
          <w:rFonts w:eastAsia="SimSun"/>
          <w:lang w:eastAsia="zh-CN"/>
        </w:rPr>
        <w:t>and</w:t>
      </w:r>
      <w:proofErr w:type="gramEnd"/>
      <w:r w:rsidRPr="004663D3">
        <w:rPr>
          <w:rFonts w:eastAsia="SimSun"/>
          <w:lang w:eastAsia="zh-CN"/>
        </w:rPr>
        <w:t xml:space="preserve"> </w:t>
      </w:r>
      <w:proofErr w:type="spellStart"/>
      <w:r w:rsidRPr="004663D3">
        <w:rPr>
          <w:rFonts w:eastAsia="SimSun"/>
          <w:lang w:eastAsia="zh-CN"/>
        </w:rPr>
        <w:t>imdevimab</w:t>
      </w:r>
      <w:proofErr w:type="spellEnd"/>
      <w:r w:rsidRPr="004663D3">
        <w:rPr>
          <w:rFonts w:eastAsia="SimSun"/>
          <w:lang w:eastAsia="zh-CN"/>
        </w:rPr>
        <w:t>.</w:t>
      </w:r>
    </w:p>
    <w:p w14:paraId="1242540D" w14:textId="77777777" w:rsidR="00BB43EC" w:rsidRPr="004663D3" w:rsidRDefault="00BB43EC" w:rsidP="00BB43EC">
      <w:pPr>
        <w:rPr>
          <w:rFonts w:eastAsia="SimSun"/>
          <w:lang w:eastAsia="zh-CN"/>
        </w:rPr>
      </w:pPr>
    </w:p>
    <w:p w14:paraId="0D252267" w14:textId="159F239C" w:rsidR="0031764D" w:rsidRPr="00A807D3" w:rsidRDefault="00BB43EC" w:rsidP="00BB43EC">
      <w:pPr>
        <w:pStyle w:val="Paragraph"/>
        <w:spacing w:after="120"/>
        <w:jc w:val="both"/>
        <w:rPr>
          <w:sz w:val="24"/>
        </w:rPr>
      </w:pPr>
      <w:r w:rsidRPr="004663D3">
        <w:rPr>
          <w:rFonts w:eastAsia="SimSun"/>
          <w:sz w:val="24"/>
          <w:lang w:eastAsia="zh-CN"/>
        </w:rPr>
        <w:t xml:space="preserve">Compared to patients &lt; 65 years of age, exposures of </w:t>
      </w:r>
      <w:proofErr w:type="spellStart"/>
      <w:r w:rsidRPr="004663D3">
        <w:rPr>
          <w:rFonts w:eastAsia="SimSun"/>
          <w:sz w:val="24"/>
          <w:lang w:eastAsia="zh-CN"/>
        </w:rPr>
        <w:t>casirivimab</w:t>
      </w:r>
      <w:proofErr w:type="spellEnd"/>
      <w:r w:rsidRPr="004663D3">
        <w:rPr>
          <w:rFonts w:eastAsia="SimSun"/>
          <w:sz w:val="24"/>
          <w:lang w:eastAsia="zh-CN"/>
        </w:rPr>
        <w:t xml:space="preserve"> and </w:t>
      </w:r>
      <w:proofErr w:type="spellStart"/>
      <w:r w:rsidRPr="004663D3">
        <w:rPr>
          <w:rFonts w:eastAsia="SimSun"/>
          <w:sz w:val="24"/>
          <w:lang w:eastAsia="zh-CN"/>
        </w:rPr>
        <w:t>imdevimab</w:t>
      </w:r>
      <w:proofErr w:type="spellEnd"/>
      <w:r w:rsidRPr="004663D3">
        <w:rPr>
          <w:rFonts w:eastAsia="SimSun"/>
          <w:sz w:val="24"/>
          <w:lang w:eastAsia="zh-CN"/>
        </w:rPr>
        <w:t xml:space="preserve"> were similar in patients who were aged &gt; 65 years or ≥ 75 years after either IV or subcutaneous administration</w:t>
      </w:r>
      <w:r w:rsidR="00BE7DC2" w:rsidRPr="00BE7DC2">
        <w:rPr>
          <w:sz w:val="24"/>
        </w:rPr>
        <w:t>.</w:t>
      </w:r>
    </w:p>
    <w:p w14:paraId="3B8A10CE" w14:textId="77777777" w:rsidR="0031764D" w:rsidRPr="00A807D3" w:rsidRDefault="0031764D" w:rsidP="00820652">
      <w:pPr>
        <w:pStyle w:val="Heading4"/>
      </w:pPr>
      <w:r w:rsidRPr="00A807D3">
        <w:t>Paediatric use</w:t>
      </w:r>
    </w:p>
    <w:p w14:paraId="5715CE8B" w14:textId="16167238" w:rsidR="00B65D51" w:rsidRDefault="00BB43EC" w:rsidP="00BB43EC">
      <w:pPr>
        <w:spacing w:after="120" w:line="300" w:lineRule="atLeast"/>
        <w:rPr>
          <w:color w:val="auto"/>
        </w:rPr>
      </w:pPr>
      <w:r w:rsidRPr="004663D3">
        <w:rPr>
          <w:lang w:eastAsia="en-US"/>
        </w:rPr>
        <w:t xml:space="preserve">Adolescent subjects (≥ 12 years of age and ≥ 40 kg) were enrolled in studies (COV-2067, COV-2069) however no PK data were available in these subjects. Since adolescents’ body weight range is generally within the range of body weight in adult subjects and generally body weight is the main covariate that affects exposure in this age range, exposures of </w:t>
      </w:r>
      <w:proofErr w:type="spellStart"/>
      <w:r w:rsidRPr="004663D3">
        <w:rPr>
          <w:lang w:eastAsia="en-US"/>
        </w:rPr>
        <w:t>casirivimab</w:t>
      </w:r>
      <w:proofErr w:type="spellEnd"/>
      <w:r w:rsidRPr="004663D3">
        <w:rPr>
          <w:lang w:eastAsia="en-US"/>
        </w:rPr>
        <w:t xml:space="preserve"> and </w:t>
      </w:r>
      <w:proofErr w:type="spellStart"/>
      <w:r w:rsidRPr="004663D3">
        <w:rPr>
          <w:lang w:eastAsia="en-US"/>
        </w:rPr>
        <w:t>imdevimab</w:t>
      </w:r>
      <w:proofErr w:type="spellEnd"/>
      <w:r w:rsidRPr="004663D3">
        <w:rPr>
          <w:lang w:eastAsia="en-US"/>
        </w:rPr>
        <w:t xml:space="preserve"> in adolescent subjects (≥ 40kg) are expected to be similar to those in adults. </w:t>
      </w:r>
      <w:r w:rsidR="0067390C" w:rsidRPr="0067390C">
        <w:rPr>
          <w:lang w:eastAsia="en-US"/>
        </w:rPr>
        <w:t xml:space="preserve">The minimum body weight of subjects in clinical studies was 35.5 kg. There is no experience of use in subjects at lower body weight where AUC and </w:t>
      </w:r>
      <w:proofErr w:type="spellStart"/>
      <w:r w:rsidR="0067390C" w:rsidRPr="0067390C">
        <w:rPr>
          <w:lang w:eastAsia="en-US"/>
        </w:rPr>
        <w:t>C</w:t>
      </w:r>
      <w:r w:rsidR="0067390C" w:rsidRPr="0067390C">
        <w:rPr>
          <w:vertAlign w:val="subscript"/>
          <w:lang w:eastAsia="en-US"/>
        </w:rPr>
        <w:t>max</w:t>
      </w:r>
      <w:proofErr w:type="spellEnd"/>
      <w:r w:rsidR="0067390C" w:rsidRPr="0067390C">
        <w:rPr>
          <w:lang w:eastAsia="en-US"/>
        </w:rPr>
        <w:t xml:space="preserve"> are predicted to be at least 30% higher.</w:t>
      </w:r>
      <w:r w:rsidR="0067390C">
        <w:rPr>
          <w:lang w:eastAsia="en-US"/>
        </w:rPr>
        <w:t xml:space="preserve"> </w:t>
      </w:r>
      <w:r w:rsidRPr="004663D3">
        <w:rPr>
          <w:lang w:eastAsia="en-US"/>
        </w:rPr>
        <w:t xml:space="preserve">The pharmacokinetics of </w:t>
      </w:r>
      <w:proofErr w:type="spellStart"/>
      <w:r w:rsidRPr="004663D3">
        <w:rPr>
          <w:lang w:eastAsia="en-US"/>
        </w:rPr>
        <w:t>casirivimab</w:t>
      </w:r>
      <w:proofErr w:type="spellEnd"/>
      <w:r w:rsidRPr="004663D3">
        <w:rPr>
          <w:lang w:eastAsia="en-US"/>
        </w:rPr>
        <w:t xml:space="preserve"> and </w:t>
      </w:r>
      <w:proofErr w:type="spellStart"/>
      <w:r w:rsidRPr="004663D3">
        <w:rPr>
          <w:lang w:eastAsia="en-US"/>
        </w:rPr>
        <w:t>imdevimab</w:t>
      </w:r>
      <w:proofErr w:type="spellEnd"/>
      <w:r w:rsidRPr="004663D3">
        <w:rPr>
          <w:lang w:eastAsia="en-US"/>
        </w:rPr>
        <w:t xml:space="preserve"> in </w:t>
      </w:r>
      <w:r w:rsidR="004031AA" w:rsidRPr="004663D3">
        <w:rPr>
          <w:lang w:eastAsia="en-US"/>
        </w:rPr>
        <w:t>paediatric</w:t>
      </w:r>
      <w:r w:rsidRPr="004663D3">
        <w:rPr>
          <w:lang w:eastAsia="en-US"/>
        </w:rPr>
        <w:t xml:space="preserve"> patients (&lt; 12 years) have not been established</w:t>
      </w:r>
      <w:r w:rsidR="008457DD">
        <w:rPr>
          <w:color w:val="auto"/>
        </w:rPr>
        <w:t>.</w:t>
      </w:r>
    </w:p>
    <w:p w14:paraId="57C3D5B0" w14:textId="77777777" w:rsidR="00BB43EC" w:rsidRPr="00BB43EC" w:rsidRDefault="00BB43EC" w:rsidP="00BB43EC">
      <w:pPr>
        <w:pStyle w:val="Heading4"/>
      </w:pPr>
      <w:r w:rsidRPr="00BB43EC">
        <w:t xml:space="preserve">Specific Populations </w:t>
      </w:r>
    </w:p>
    <w:p w14:paraId="0EE99E3A" w14:textId="241FD022" w:rsidR="00BB43EC" w:rsidRDefault="00BB43EC" w:rsidP="001A239A">
      <w:pPr>
        <w:contextualSpacing/>
        <w:rPr>
          <w:lang w:eastAsia="en-US"/>
        </w:rPr>
      </w:pPr>
      <w:r w:rsidRPr="004663D3">
        <w:rPr>
          <w:lang w:eastAsia="en-US"/>
        </w:rPr>
        <w:t xml:space="preserve">A population PK analysis suggests that the following factors have no clinically significant effect on the exposure of </w:t>
      </w:r>
      <w:proofErr w:type="spellStart"/>
      <w:r w:rsidRPr="004663D3">
        <w:rPr>
          <w:lang w:eastAsia="en-US"/>
        </w:rPr>
        <w:t>casirivimab</w:t>
      </w:r>
      <w:proofErr w:type="spellEnd"/>
      <w:r w:rsidRPr="004663D3">
        <w:rPr>
          <w:lang w:eastAsia="en-US"/>
        </w:rPr>
        <w:t xml:space="preserve"> and </w:t>
      </w:r>
      <w:proofErr w:type="spellStart"/>
      <w:r w:rsidRPr="004663D3">
        <w:rPr>
          <w:lang w:eastAsia="en-US"/>
        </w:rPr>
        <w:t>imdevimab</w:t>
      </w:r>
      <w:proofErr w:type="spellEnd"/>
      <w:r w:rsidRPr="004663D3">
        <w:rPr>
          <w:lang w:eastAsia="en-US"/>
        </w:rPr>
        <w:t>: age, gender, body weight, race, albumin level, renal impairment, and mild hepatic impairment.</w:t>
      </w:r>
      <w:r w:rsidR="0067390C">
        <w:rPr>
          <w:lang w:eastAsia="en-US"/>
        </w:rPr>
        <w:t xml:space="preserve"> </w:t>
      </w:r>
      <w:r w:rsidR="0067390C" w:rsidRPr="0067390C">
        <w:rPr>
          <w:lang w:eastAsia="en-US"/>
        </w:rPr>
        <w:t>Compared to a reference 81 kg subject, exposures (AUC</w:t>
      </w:r>
      <w:r w:rsidR="0067390C" w:rsidRPr="0067390C">
        <w:rPr>
          <w:vertAlign w:val="subscript"/>
          <w:lang w:eastAsia="en-US"/>
        </w:rPr>
        <w:t>day28</w:t>
      </w:r>
      <w:r w:rsidR="0067390C" w:rsidRPr="0067390C">
        <w:rPr>
          <w:lang w:eastAsia="en-US"/>
        </w:rPr>
        <w:t xml:space="preserve">, </w:t>
      </w:r>
      <w:proofErr w:type="spellStart"/>
      <w:r w:rsidR="0067390C" w:rsidRPr="0067390C">
        <w:rPr>
          <w:lang w:eastAsia="en-US"/>
        </w:rPr>
        <w:t>C</w:t>
      </w:r>
      <w:r w:rsidR="0067390C" w:rsidRPr="0067390C">
        <w:rPr>
          <w:vertAlign w:val="subscript"/>
          <w:lang w:eastAsia="en-US"/>
        </w:rPr>
        <w:t>max</w:t>
      </w:r>
      <w:proofErr w:type="spellEnd"/>
      <w:r w:rsidR="0067390C" w:rsidRPr="0067390C">
        <w:rPr>
          <w:lang w:eastAsia="en-US"/>
        </w:rPr>
        <w:t xml:space="preserve"> and C</w:t>
      </w:r>
      <w:r w:rsidR="0067390C" w:rsidRPr="0067390C">
        <w:rPr>
          <w:vertAlign w:val="subscript"/>
          <w:lang w:eastAsia="en-US"/>
        </w:rPr>
        <w:t>day28</w:t>
      </w:r>
      <w:r w:rsidR="0067390C" w:rsidRPr="0067390C">
        <w:rPr>
          <w:lang w:eastAsia="en-US"/>
        </w:rPr>
        <w:t>) are predicted to be 20</w:t>
      </w:r>
      <w:r w:rsidR="0067390C">
        <w:rPr>
          <w:lang w:eastAsia="en-US"/>
        </w:rPr>
        <w:t xml:space="preserve"> </w:t>
      </w:r>
      <w:r w:rsidR="0067390C" w:rsidRPr="0067390C">
        <w:rPr>
          <w:lang w:eastAsia="en-US"/>
        </w:rPr>
        <w:t>-</w:t>
      </w:r>
      <w:r w:rsidR="0067390C">
        <w:rPr>
          <w:lang w:eastAsia="en-US"/>
        </w:rPr>
        <w:t xml:space="preserve"> </w:t>
      </w:r>
      <w:r w:rsidR="0067390C" w:rsidRPr="0067390C">
        <w:rPr>
          <w:lang w:eastAsia="en-US"/>
        </w:rPr>
        <w:t xml:space="preserve">30% higher in subjects at the 5th percentile of body weight (55.4 kg) and 20-25% lower in subjects at the 95th percentile of body weight (123 kg) for both </w:t>
      </w:r>
      <w:proofErr w:type="spellStart"/>
      <w:r w:rsidR="0067390C" w:rsidRPr="0067390C">
        <w:rPr>
          <w:lang w:eastAsia="en-US"/>
        </w:rPr>
        <w:t>casirivimab</w:t>
      </w:r>
      <w:proofErr w:type="spellEnd"/>
      <w:r w:rsidR="0067390C" w:rsidRPr="0067390C">
        <w:rPr>
          <w:lang w:eastAsia="en-US"/>
        </w:rPr>
        <w:t xml:space="preserve"> and </w:t>
      </w:r>
      <w:proofErr w:type="spellStart"/>
      <w:r w:rsidR="0067390C" w:rsidRPr="0067390C">
        <w:rPr>
          <w:lang w:eastAsia="en-US"/>
        </w:rPr>
        <w:t>imdevimab</w:t>
      </w:r>
      <w:proofErr w:type="spellEnd"/>
      <w:r w:rsidR="0067390C" w:rsidRPr="0067390C">
        <w:rPr>
          <w:lang w:eastAsia="en-US"/>
        </w:rPr>
        <w:t>.</w:t>
      </w:r>
    </w:p>
    <w:p w14:paraId="6A14E638" w14:textId="77777777" w:rsidR="001A239A" w:rsidRPr="004663D3" w:rsidRDefault="001A239A" w:rsidP="001A239A">
      <w:pPr>
        <w:contextualSpacing/>
        <w:rPr>
          <w:lang w:eastAsia="en-US"/>
        </w:rPr>
      </w:pPr>
    </w:p>
    <w:p w14:paraId="0B2D4697" w14:textId="77777777" w:rsidR="00D52399" w:rsidRPr="00A807D3" w:rsidRDefault="00902EBE" w:rsidP="009F4C5B">
      <w:pPr>
        <w:pStyle w:val="Heading2"/>
        <w:spacing w:before="0"/>
        <w:rPr>
          <w:color w:val="auto"/>
        </w:rPr>
      </w:pPr>
      <w:r w:rsidRPr="00A807D3">
        <w:rPr>
          <w:color w:val="auto"/>
        </w:rPr>
        <w:t>5.3</w:t>
      </w:r>
      <w:r w:rsidRPr="00A807D3">
        <w:rPr>
          <w:color w:val="auto"/>
        </w:rPr>
        <w:tab/>
        <w:t>PRECLINICAL SAFETY DATA</w:t>
      </w:r>
    </w:p>
    <w:p w14:paraId="22F184EF" w14:textId="3FA6C247" w:rsidR="00B1134D" w:rsidRPr="00A807D3" w:rsidRDefault="00363C7F" w:rsidP="00B1134D">
      <w:pPr>
        <w:pStyle w:val="Heading3"/>
        <w:rPr>
          <w:color w:val="auto"/>
        </w:rPr>
      </w:pPr>
      <w:r w:rsidRPr="00A807D3">
        <w:rPr>
          <w:color w:val="auto"/>
        </w:rPr>
        <w:t>Genotoxi</w:t>
      </w:r>
      <w:r w:rsidR="00BE7DC2">
        <w:rPr>
          <w:color w:val="auto"/>
        </w:rPr>
        <w:t>ci</w:t>
      </w:r>
      <w:r w:rsidRPr="00A807D3">
        <w:rPr>
          <w:color w:val="auto"/>
        </w:rPr>
        <w:t>ty</w:t>
      </w:r>
    </w:p>
    <w:p w14:paraId="5F4EE723" w14:textId="0164ECD0" w:rsidR="00B65D51" w:rsidRPr="00192E5A" w:rsidRDefault="00BE7DC2" w:rsidP="00B65D51">
      <w:pPr>
        <w:spacing w:after="120" w:line="300" w:lineRule="atLeast"/>
        <w:jc w:val="both"/>
        <w:rPr>
          <w:color w:val="auto"/>
          <w:szCs w:val="20"/>
        </w:rPr>
      </w:pPr>
      <w:r w:rsidRPr="00BE7DC2">
        <w:rPr>
          <w:color w:val="auto"/>
          <w:szCs w:val="20"/>
        </w:rPr>
        <w:t xml:space="preserve">No studies have been </w:t>
      </w:r>
      <w:r w:rsidR="00BB43EC" w:rsidRPr="00BB43EC">
        <w:rPr>
          <w:color w:val="auto"/>
          <w:szCs w:val="20"/>
        </w:rPr>
        <w:t xml:space="preserve">studies have not been conducted with </w:t>
      </w:r>
      <w:proofErr w:type="spellStart"/>
      <w:r w:rsidR="00BB43EC">
        <w:rPr>
          <w:color w:val="auto"/>
          <w:szCs w:val="20"/>
        </w:rPr>
        <w:t>Ronapreve</w:t>
      </w:r>
      <w:proofErr w:type="spellEnd"/>
      <w:r w:rsidRPr="00BE7DC2">
        <w:rPr>
          <w:color w:val="auto"/>
          <w:szCs w:val="20"/>
        </w:rPr>
        <w:t>.</w:t>
      </w:r>
    </w:p>
    <w:p w14:paraId="2685778D" w14:textId="439BE4C3" w:rsidR="00B1134D" w:rsidRPr="00A807D3" w:rsidRDefault="00B47F89" w:rsidP="00B1134D">
      <w:pPr>
        <w:pStyle w:val="Heading3"/>
        <w:rPr>
          <w:color w:val="auto"/>
        </w:rPr>
      </w:pPr>
      <w:r>
        <w:rPr>
          <w:color w:val="auto"/>
        </w:rPr>
        <w:t>Carci</w:t>
      </w:r>
      <w:r w:rsidR="00363C7F" w:rsidRPr="00A807D3">
        <w:rPr>
          <w:color w:val="auto"/>
        </w:rPr>
        <w:t>nogenicity</w:t>
      </w:r>
    </w:p>
    <w:p w14:paraId="26582A68" w14:textId="53000956" w:rsidR="00BB43EC" w:rsidRDefault="00BB43EC" w:rsidP="00BB43EC">
      <w:pPr>
        <w:spacing w:after="120" w:line="300" w:lineRule="atLeast"/>
        <w:jc w:val="both"/>
        <w:rPr>
          <w:color w:val="auto"/>
          <w:szCs w:val="20"/>
        </w:rPr>
      </w:pPr>
      <w:r w:rsidRPr="00BE7DC2">
        <w:rPr>
          <w:color w:val="auto"/>
          <w:szCs w:val="20"/>
        </w:rPr>
        <w:t xml:space="preserve">No studies have been </w:t>
      </w:r>
      <w:r w:rsidRPr="00BB43EC">
        <w:rPr>
          <w:color w:val="auto"/>
          <w:szCs w:val="20"/>
        </w:rPr>
        <w:t xml:space="preserve">studies have not been conducted with </w:t>
      </w:r>
      <w:proofErr w:type="spellStart"/>
      <w:r>
        <w:rPr>
          <w:color w:val="auto"/>
          <w:szCs w:val="20"/>
        </w:rPr>
        <w:t>Ronapreve</w:t>
      </w:r>
      <w:proofErr w:type="spellEnd"/>
      <w:r w:rsidRPr="00BE7DC2">
        <w:rPr>
          <w:color w:val="auto"/>
          <w:szCs w:val="20"/>
        </w:rPr>
        <w:t>.</w:t>
      </w:r>
    </w:p>
    <w:p w14:paraId="3472F4D3" w14:textId="77777777" w:rsidR="001A239A" w:rsidRPr="00192E5A" w:rsidRDefault="001A239A" w:rsidP="001A239A">
      <w:pPr>
        <w:spacing w:line="300" w:lineRule="atLeast"/>
        <w:jc w:val="both"/>
        <w:rPr>
          <w:color w:val="auto"/>
          <w:szCs w:val="20"/>
        </w:rPr>
      </w:pPr>
    </w:p>
    <w:p w14:paraId="6A1DF517" w14:textId="77777777" w:rsidR="00D52399" w:rsidRPr="00A807D3" w:rsidRDefault="00615052" w:rsidP="009F4C5B">
      <w:pPr>
        <w:pStyle w:val="Heading1"/>
        <w:numPr>
          <w:ilvl w:val="0"/>
          <w:numId w:val="2"/>
        </w:numPr>
        <w:spacing w:before="0"/>
        <w:rPr>
          <w:color w:val="auto"/>
        </w:rPr>
      </w:pPr>
      <w:r w:rsidRPr="00A807D3">
        <w:rPr>
          <w:color w:val="auto"/>
        </w:rPr>
        <w:t>PHARMACEUTICAL PARTICULARS</w:t>
      </w:r>
    </w:p>
    <w:p w14:paraId="1A5059A3" w14:textId="77777777" w:rsidR="00D52399" w:rsidRPr="00A807D3" w:rsidRDefault="00CC6729" w:rsidP="009F4C5B">
      <w:pPr>
        <w:pStyle w:val="Heading2"/>
        <w:spacing w:before="0"/>
        <w:rPr>
          <w:color w:val="auto"/>
        </w:rPr>
      </w:pPr>
      <w:r w:rsidRPr="00A807D3">
        <w:rPr>
          <w:color w:val="auto"/>
        </w:rPr>
        <w:t>6.1</w:t>
      </w:r>
      <w:r w:rsidRPr="00A807D3">
        <w:rPr>
          <w:color w:val="auto"/>
        </w:rPr>
        <w:tab/>
        <w:t>LIST OF EXCIPIENTS</w:t>
      </w:r>
    </w:p>
    <w:p w14:paraId="64B29689" w14:textId="6B3C0573" w:rsidR="00204BDD" w:rsidRPr="00204BDD" w:rsidRDefault="00BB43EC" w:rsidP="00204BDD">
      <w:pPr>
        <w:spacing w:line="300" w:lineRule="atLeast"/>
        <w:rPr>
          <w:color w:val="auto"/>
          <w:szCs w:val="20"/>
        </w:rPr>
      </w:pPr>
      <w:r>
        <w:rPr>
          <w:color w:val="auto"/>
          <w:szCs w:val="20"/>
        </w:rPr>
        <w:t>H</w:t>
      </w:r>
      <w:r w:rsidR="00204BDD" w:rsidRPr="00204BDD">
        <w:rPr>
          <w:color w:val="auto"/>
          <w:szCs w:val="20"/>
        </w:rPr>
        <w:t>istidine</w:t>
      </w:r>
    </w:p>
    <w:p w14:paraId="38A90FAC" w14:textId="77777777" w:rsidR="00BB43EC" w:rsidRPr="00BB43EC" w:rsidRDefault="00BB43EC" w:rsidP="00BB43EC">
      <w:pPr>
        <w:spacing w:line="300" w:lineRule="atLeast"/>
        <w:rPr>
          <w:color w:val="auto"/>
          <w:szCs w:val="20"/>
        </w:rPr>
      </w:pPr>
      <w:r w:rsidRPr="00BB43EC">
        <w:rPr>
          <w:color w:val="auto"/>
          <w:szCs w:val="20"/>
        </w:rPr>
        <w:t xml:space="preserve">Histidine monohydrochloride monohydrate </w:t>
      </w:r>
    </w:p>
    <w:p w14:paraId="48CB095C" w14:textId="77777777" w:rsidR="00BB43EC" w:rsidRPr="00BB43EC" w:rsidRDefault="00BB43EC" w:rsidP="00BB43EC">
      <w:pPr>
        <w:spacing w:line="300" w:lineRule="atLeast"/>
        <w:rPr>
          <w:color w:val="auto"/>
          <w:szCs w:val="20"/>
        </w:rPr>
      </w:pPr>
      <w:r w:rsidRPr="00BB43EC">
        <w:rPr>
          <w:color w:val="auto"/>
          <w:szCs w:val="20"/>
        </w:rPr>
        <w:t xml:space="preserve">Polysorbate 80 </w:t>
      </w:r>
    </w:p>
    <w:p w14:paraId="2CB243A0" w14:textId="77777777" w:rsidR="004031AA" w:rsidRDefault="00BB43EC" w:rsidP="00BB43EC">
      <w:pPr>
        <w:spacing w:line="300" w:lineRule="atLeast"/>
        <w:rPr>
          <w:color w:val="auto"/>
          <w:szCs w:val="20"/>
        </w:rPr>
      </w:pPr>
      <w:r w:rsidRPr="00BB43EC">
        <w:rPr>
          <w:color w:val="auto"/>
          <w:szCs w:val="20"/>
        </w:rPr>
        <w:t>Sucrose</w:t>
      </w:r>
    </w:p>
    <w:p w14:paraId="7E7FC9CB" w14:textId="3C6C958E" w:rsidR="00A4304C" w:rsidRDefault="00A4304C" w:rsidP="00BB43EC">
      <w:pPr>
        <w:spacing w:line="300" w:lineRule="atLeast"/>
        <w:rPr>
          <w:color w:val="auto"/>
          <w:szCs w:val="20"/>
        </w:rPr>
      </w:pPr>
      <w:r w:rsidRPr="00204BDD">
        <w:rPr>
          <w:color w:val="auto"/>
          <w:szCs w:val="20"/>
        </w:rPr>
        <w:t>Water for injection</w:t>
      </w:r>
      <w:r w:rsidR="00204BDD" w:rsidRPr="00204BDD">
        <w:rPr>
          <w:color w:val="auto"/>
          <w:szCs w:val="20"/>
        </w:rPr>
        <w:t>s</w:t>
      </w:r>
    </w:p>
    <w:p w14:paraId="0338A21D" w14:textId="77777777" w:rsidR="00A4304C" w:rsidRPr="00A4304C" w:rsidRDefault="00A4304C" w:rsidP="00BB43EC">
      <w:pPr>
        <w:spacing w:line="300" w:lineRule="atLeast"/>
        <w:rPr>
          <w:color w:val="auto"/>
          <w:szCs w:val="20"/>
        </w:rPr>
      </w:pPr>
    </w:p>
    <w:p w14:paraId="31BFCF3D" w14:textId="6B358016" w:rsidR="00D52399" w:rsidRPr="00A807D3" w:rsidRDefault="00902EBE" w:rsidP="00A4304C">
      <w:pPr>
        <w:pStyle w:val="Heading2"/>
        <w:spacing w:before="0"/>
        <w:rPr>
          <w:color w:val="auto"/>
        </w:rPr>
      </w:pPr>
      <w:r w:rsidRPr="00A807D3">
        <w:rPr>
          <w:color w:val="auto"/>
        </w:rPr>
        <w:t>6.2</w:t>
      </w:r>
      <w:r w:rsidRPr="00A807D3">
        <w:rPr>
          <w:color w:val="auto"/>
        </w:rPr>
        <w:tab/>
        <w:t>INCOMPATIBILITIES</w:t>
      </w:r>
    </w:p>
    <w:p w14:paraId="03CF535F" w14:textId="03936E89" w:rsidR="00B9039F" w:rsidRPr="00192E5A" w:rsidRDefault="00A4304C" w:rsidP="00B9039F">
      <w:pPr>
        <w:pStyle w:val="Paragraph"/>
        <w:spacing w:after="120"/>
        <w:rPr>
          <w:sz w:val="24"/>
        </w:rPr>
      </w:pPr>
      <w:r w:rsidRPr="00A4304C">
        <w:rPr>
          <w:sz w:val="24"/>
        </w:rPr>
        <w:t>In the absence of compatibility studies, this medicine must not be mixed with other medicines.</w:t>
      </w:r>
    </w:p>
    <w:p w14:paraId="25415019" w14:textId="77777777" w:rsidR="00D52399" w:rsidRPr="00A807D3" w:rsidRDefault="00902EBE" w:rsidP="009F4C5B">
      <w:pPr>
        <w:pStyle w:val="Heading2"/>
        <w:spacing w:before="0"/>
        <w:rPr>
          <w:color w:val="auto"/>
        </w:rPr>
      </w:pPr>
      <w:r w:rsidRPr="00A807D3">
        <w:rPr>
          <w:color w:val="auto"/>
        </w:rPr>
        <w:lastRenderedPageBreak/>
        <w:t>6.3</w:t>
      </w:r>
      <w:r w:rsidRPr="00A807D3">
        <w:rPr>
          <w:color w:val="auto"/>
        </w:rPr>
        <w:tab/>
        <w:t>SHELF LIFE</w:t>
      </w:r>
    </w:p>
    <w:p w14:paraId="55AAA64C" w14:textId="68A1AD75" w:rsidR="00D52399" w:rsidRPr="00A4304C" w:rsidRDefault="00BB43EC">
      <w:pPr>
        <w:rPr>
          <w:color w:val="auto"/>
        </w:rPr>
      </w:pPr>
      <w:r>
        <w:rPr>
          <w:color w:val="auto"/>
        </w:rPr>
        <w:t>24</w:t>
      </w:r>
      <w:r w:rsidR="00A4304C" w:rsidRPr="00A4304C">
        <w:rPr>
          <w:color w:val="auto"/>
        </w:rPr>
        <w:t xml:space="preserve"> months</w:t>
      </w:r>
    </w:p>
    <w:p w14:paraId="0EBA9BF0" w14:textId="77777777" w:rsidR="008903F2" w:rsidRPr="002012E2" w:rsidRDefault="008903F2">
      <w:pPr>
        <w:rPr>
          <w:color w:val="auto"/>
          <w:highlight w:val="yellow"/>
        </w:rPr>
      </w:pPr>
    </w:p>
    <w:p w14:paraId="0621B975" w14:textId="77777777" w:rsidR="00D52399" w:rsidRPr="00A807D3" w:rsidRDefault="00902EBE" w:rsidP="009F4C5B">
      <w:pPr>
        <w:pStyle w:val="Heading2"/>
        <w:spacing w:before="0"/>
        <w:rPr>
          <w:color w:val="auto"/>
        </w:rPr>
      </w:pPr>
      <w:r w:rsidRPr="00A807D3">
        <w:rPr>
          <w:color w:val="auto"/>
        </w:rPr>
        <w:t>6.4</w:t>
      </w:r>
      <w:r w:rsidRPr="00A807D3">
        <w:rPr>
          <w:color w:val="auto"/>
        </w:rPr>
        <w:tab/>
        <w:t>SPECIAL PRECAUTIONS FOR STORAGE</w:t>
      </w:r>
    </w:p>
    <w:p w14:paraId="3998B253" w14:textId="5EAC1FBE" w:rsidR="00B9039F" w:rsidRDefault="00B9039F" w:rsidP="00B9039F">
      <w:pPr>
        <w:spacing w:after="120"/>
        <w:rPr>
          <w:color w:val="auto"/>
        </w:rPr>
      </w:pPr>
      <w:r w:rsidRPr="00204BDD">
        <w:rPr>
          <w:color w:val="auto"/>
        </w:rPr>
        <w:t>Store at 2°C</w:t>
      </w:r>
      <w:r w:rsidR="00852A3B">
        <w:rPr>
          <w:color w:val="auto"/>
        </w:rPr>
        <w:t xml:space="preserve"> to </w:t>
      </w:r>
      <w:r w:rsidRPr="00204BDD">
        <w:rPr>
          <w:color w:val="auto"/>
        </w:rPr>
        <w:t xml:space="preserve">8°C in the outer carton </w:t>
      </w:r>
      <w:proofErr w:type="gramStart"/>
      <w:r w:rsidRPr="00204BDD">
        <w:rPr>
          <w:color w:val="auto"/>
        </w:rPr>
        <w:t>in order to</w:t>
      </w:r>
      <w:proofErr w:type="gramEnd"/>
      <w:r w:rsidRPr="00204BDD">
        <w:rPr>
          <w:color w:val="auto"/>
        </w:rPr>
        <w:t xml:space="preserve"> protect from light.</w:t>
      </w:r>
    </w:p>
    <w:p w14:paraId="272DA54F" w14:textId="0087BF03" w:rsidR="00204BDD" w:rsidRPr="00192E5A" w:rsidRDefault="00BB43EC" w:rsidP="00204BDD">
      <w:pPr>
        <w:spacing w:after="120"/>
        <w:jc w:val="both"/>
        <w:rPr>
          <w:color w:val="auto"/>
        </w:rPr>
      </w:pPr>
      <w:r>
        <w:rPr>
          <w:color w:val="auto"/>
        </w:rPr>
        <w:t>Refrigerate, d</w:t>
      </w:r>
      <w:r w:rsidR="00204BDD" w:rsidRPr="00192E5A">
        <w:rPr>
          <w:color w:val="auto"/>
        </w:rPr>
        <w:t>o</w:t>
      </w:r>
      <w:r w:rsidR="00204BDD">
        <w:rPr>
          <w:color w:val="auto"/>
        </w:rPr>
        <w:t xml:space="preserve"> not freeze. Do not shake.</w:t>
      </w:r>
    </w:p>
    <w:p w14:paraId="3F5C60D9" w14:textId="6CB5B693" w:rsidR="00BB43EC" w:rsidRPr="004663D3" w:rsidRDefault="00BB43EC" w:rsidP="00BB43EC">
      <w:pPr>
        <w:pStyle w:val="C-BodyText"/>
        <w:spacing w:before="0" w:after="0" w:line="240" w:lineRule="auto"/>
        <w:rPr>
          <w:noProof/>
          <w:szCs w:val="24"/>
          <w:u w:val="single"/>
        </w:rPr>
      </w:pPr>
      <w:r w:rsidRPr="004663D3">
        <w:rPr>
          <w:noProof/>
          <w:szCs w:val="24"/>
          <w:u w:val="single"/>
        </w:rPr>
        <w:t>Co-packaged 20 mL multidose vials</w:t>
      </w:r>
    </w:p>
    <w:p w14:paraId="55FC4018" w14:textId="537B3DD9" w:rsidR="00BB43EC" w:rsidRPr="004663D3" w:rsidRDefault="00BB43EC" w:rsidP="00BB43EC">
      <w:pPr>
        <w:pStyle w:val="C-BodyText"/>
        <w:spacing w:before="0" w:after="0" w:line="240" w:lineRule="auto"/>
        <w:rPr>
          <w:noProof/>
          <w:szCs w:val="24"/>
        </w:rPr>
      </w:pPr>
      <w:r w:rsidRPr="004663D3">
        <w:rPr>
          <w:color w:val="000000"/>
          <w:szCs w:val="24"/>
        </w:rPr>
        <w:t>After initial puncture: If not used immediately, the product in the vial can be stored for 16 hours at room temperature up to 25 °C or for no more than 48 hours refrigerated between 2 °C to 8 °C</w:t>
      </w:r>
      <w:r w:rsidRPr="004663D3">
        <w:rPr>
          <w:noProof/>
          <w:szCs w:val="24"/>
        </w:rPr>
        <w:t xml:space="preserve">. </w:t>
      </w:r>
    </w:p>
    <w:p w14:paraId="4933BBB3" w14:textId="77777777" w:rsidR="00BB43EC" w:rsidRPr="004663D3" w:rsidRDefault="00BB43EC" w:rsidP="00BB43EC">
      <w:pPr>
        <w:pStyle w:val="C-BodyText"/>
        <w:spacing w:before="0" w:after="0" w:line="240" w:lineRule="auto"/>
        <w:rPr>
          <w:noProof/>
          <w:szCs w:val="24"/>
        </w:rPr>
      </w:pPr>
    </w:p>
    <w:p w14:paraId="60B499D7" w14:textId="03AFF617" w:rsidR="00BB43EC" w:rsidRPr="004663D3" w:rsidRDefault="00BB43EC" w:rsidP="00BB43EC">
      <w:pPr>
        <w:pStyle w:val="C-BodyText"/>
        <w:spacing w:before="0" w:after="0" w:line="240" w:lineRule="auto"/>
        <w:rPr>
          <w:noProof/>
          <w:szCs w:val="24"/>
          <w:u w:val="single"/>
        </w:rPr>
      </w:pPr>
      <w:r w:rsidRPr="004663D3">
        <w:rPr>
          <w:noProof/>
          <w:szCs w:val="24"/>
          <w:u w:val="single"/>
        </w:rPr>
        <w:t>Co-packaged 6 mL single-use vials</w:t>
      </w:r>
    </w:p>
    <w:p w14:paraId="0B7EC8D1" w14:textId="77777777" w:rsidR="00BB43EC" w:rsidRPr="004663D3" w:rsidRDefault="00BB43EC" w:rsidP="00BB43EC">
      <w:pPr>
        <w:rPr>
          <w:lang w:eastAsia="en-US"/>
        </w:rPr>
      </w:pPr>
      <w:r w:rsidRPr="004663D3">
        <w:t>After initial puncture: the medicinal product should be used immediately, any remaining product should be discarded</w:t>
      </w:r>
      <w:r w:rsidRPr="004663D3">
        <w:rPr>
          <w:lang w:eastAsia="en-US"/>
        </w:rPr>
        <w:t>.</w:t>
      </w:r>
    </w:p>
    <w:p w14:paraId="19EAA922" w14:textId="77777777" w:rsidR="00BB43EC" w:rsidRPr="004663D3" w:rsidRDefault="00BB43EC" w:rsidP="00BB43EC">
      <w:pPr>
        <w:pStyle w:val="C-BodyText"/>
        <w:spacing w:before="0" w:after="0" w:line="240" w:lineRule="auto"/>
        <w:rPr>
          <w:noProof/>
          <w:szCs w:val="24"/>
        </w:rPr>
      </w:pPr>
    </w:p>
    <w:p w14:paraId="5A674176" w14:textId="77777777" w:rsidR="00BB43EC" w:rsidRPr="004663D3" w:rsidRDefault="00BB43EC" w:rsidP="00BB43EC">
      <w:pPr>
        <w:keepNext/>
        <w:rPr>
          <w:u w:val="single"/>
          <w:lang w:eastAsia="en-US"/>
        </w:rPr>
      </w:pPr>
      <w:r w:rsidRPr="004663D3">
        <w:rPr>
          <w:u w:val="single"/>
          <w:lang w:eastAsia="en-US"/>
        </w:rPr>
        <w:t>Diluted Solution for IV Administration</w:t>
      </w:r>
    </w:p>
    <w:p w14:paraId="464729FA" w14:textId="0582CDC3" w:rsidR="00BB43EC" w:rsidRPr="004663D3" w:rsidRDefault="00BB43EC" w:rsidP="00964ABA">
      <w:pPr>
        <w:pStyle w:val="CommentText"/>
        <w:rPr>
          <w:sz w:val="24"/>
          <w:szCs w:val="24"/>
        </w:rPr>
      </w:pPr>
      <w:r w:rsidRPr="004663D3">
        <w:rPr>
          <w:sz w:val="24"/>
          <w:szCs w:val="24"/>
        </w:rPr>
        <w:t>Solution in vial requires dilution prior to administration. The prepared infusion solution is intended to be used immediately.</w:t>
      </w:r>
      <w:r w:rsidR="00C41711">
        <w:rPr>
          <w:sz w:val="24"/>
          <w:szCs w:val="24"/>
        </w:rPr>
        <w:t xml:space="preserve"> If not used immediately, the prepared infusion solution can be stored</w:t>
      </w:r>
      <w:r w:rsidRPr="004663D3">
        <w:rPr>
          <w:sz w:val="24"/>
          <w:szCs w:val="24"/>
        </w:rPr>
        <w:t xml:space="preserve"> for </w:t>
      </w:r>
      <w:r w:rsidR="00C41711">
        <w:rPr>
          <w:sz w:val="24"/>
          <w:szCs w:val="24"/>
        </w:rPr>
        <w:t>12</w:t>
      </w:r>
      <w:r w:rsidR="00C41711" w:rsidRPr="004663D3">
        <w:rPr>
          <w:sz w:val="24"/>
          <w:szCs w:val="24"/>
          <w:lang w:eastAsia="en-US"/>
        </w:rPr>
        <w:t> </w:t>
      </w:r>
      <w:r w:rsidRPr="004663D3">
        <w:rPr>
          <w:sz w:val="24"/>
          <w:szCs w:val="24"/>
        </w:rPr>
        <w:t xml:space="preserve">hours at room temperature (up to 25 °C) and </w:t>
      </w:r>
      <w:r w:rsidR="00C41711">
        <w:rPr>
          <w:sz w:val="24"/>
          <w:szCs w:val="24"/>
        </w:rPr>
        <w:t>48</w:t>
      </w:r>
      <w:r w:rsidR="00C41711" w:rsidRPr="004663D3">
        <w:rPr>
          <w:sz w:val="24"/>
          <w:szCs w:val="24"/>
        </w:rPr>
        <w:t> </w:t>
      </w:r>
      <w:r w:rsidRPr="004663D3">
        <w:rPr>
          <w:sz w:val="24"/>
          <w:szCs w:val="24"/>
        </w:rPr>
        <w:t>hours at 2 °C to 8 °C</w:t>
      </w:r>
      <w:r w:rsidRPr="00597A30">
        <w:rPr>
          <w:sz w:val="24"/>
          <w:szCs w:val="24"/>
        </w:rPr>
        <w:t>.</w:t>
      </w:r>
      <w:r w:rsidRPr="004663D3">
        <w:rPr>
          <w:sz w:val="24"/>
          <w:szCs w:val="24"/>
        </w:rPr>
        <w:t xml:space="preserve"> If refrigerated, allow the IV infusion bag to equilibrate to room temperature for approximately 30 minutes prior to administration.</w:t>
      </w:r>
    </w:p>
    <w:p w14:paraId="33223B0E" w14:textId="77777777" w:rsidR="00BB43EC" w:rsidRPr="004663D3" w:rsidRDefault="00BB43EC" w:rsidP="00BB43EC">
      <w:pPr>
        <w:pStyle w:val="C-BodyText"/>
        <w:spacing w:before="0" w:after="0" w:line="240" w:lineRule="auto"/>
        <w:rPr>
          <w:bCs/>
          <w:szCs w:val="24"/>
        </w:rPr>
      </w:pPr>
    </w:p>
    <w:p w14:paraId="43405CC1" w14:textId="77777777" w:rsidR="00BB43EC" w:rsidRPr="004663D3" w:rsidRDefault="00BB43EC" w:rsidP="00BB43EC">
      <w:pPr>
        <w:keepNext/>
        <w:rPr>
          <w:u w:val="single"/>
        </w:rPr>
      </w:pPr>
      <w:r w:rsidRPr="004663D3">
        <w:rPr>
          <w:u w:val="single"/>
        </w:rPr>
        <w:t xml:space="preserve">Storage of Syringes for Subcutaneous Administration </w:t>
      </w:r>
    </w:p>
    <w:p w14:paraId="17333BB2" w14:textId="1EBD898D" w:rsidR="00BB43EC" w:rsidRPr="004663D3" w:rsidRDefault="00BB43EC" w:rsidP="00BB43EC">
      <w:pPr>
        <w:autoSpaceDE w:val="0"/>
        <w:autoSpaceDN w:val="0"/>
        <w:adjustRightInd w:val="0"/>
      </w:pPr>
      <w:r w:rsidRPr="004663D3">
        <w:t xml:space="preserve">This product is preservative-free and therefore, the prepared syringes should be administered immediately. </w:t>
      </w:r>
      <w:r w:rsidR="00C41711">
        <w:t>If not used immediately, the prepared syringe can be stored</w:t>
      </w:r>
      <w:r w:rsidRPr="004663D3">
        <w:t xml:space="preserve"> for </w:t>
      </w:r>
      <w:r w:rsidR="00C41711">
        <w:t>6</w:t>
      </w:r>
      <w:r w:rsidRPr="004663D3">
        <w:t xml:space="preserve"> hours at room temperature (up to 25 °C) and </w:t>
      </w:r>
      <w:r w:rsidR="00C41711">
        <w:t>24</w:t>
      </w:r>
      <w:r w:rsidR="00C41711" w:rsidRPr="004663D3">
        <w:t> </w:t>
      </w:r>
      <w:r w:rsidRPr="004663D3">
        <w:t>hours at 2 °C to 8 °</w:t>
      </w:r>
      <w:proofErr w:type="gramStart"/>
      <w:r w:rsidRPr="004663D3">
        <w:t>C. .</w:t>
      </w:r>
      <w:proofErr w:type="gramEnd"/>
      <w:r w:rsidRPr="004663D3">
        <w:t xml:space="preserve">  If refrigerated, allow the syringes to equilibrate to room temperature for approximately 10 - 15 minutes prior to administration. </w:t>
      </w:r>
    </w:p>
    <w:p w14:paraId="09EC3876" w14:textId="344EE081" w:rsidR="00D52399" w:rsidRPr="00A807D3" w:rsidRDefault="00902EBE" w:rsidP="00902EBE">
      <w:pPr>
        <w:pStyle w:val="Heading2"/>
        <w:rPr>
          <w:color w:val="auto"/>
        </w:rPr>
      </w:pPr>
      <w:r w:rsidRPr="00A807D3">
        <w:rPr>
          <w:color w:val="auto"/>
        </w:rPr>
        <w:t>6.5</w:t>
      </w:r>
      <w:r w:rsidRPr="00A807D3">
        <w:rPr>
          <w:color w:val="auto"/>
        </w:rPr>
        <w:tab/>
        <w:t xml:space="preserve">NATURE AND CONTENTS OF CONTAINER </w:t>
      </w:r>
    </w:p>
    <w:p w14:paraId="307306A3" w14:textId="77777777" w:rsidR="00BB43EC" w:rsidRDefault="00BB43EC" w:rsidP="00BB43EC">
      <w:pPr>
        <w:pStyle w:val="C-BodyText"/>
        <w:spacing w:before="0" w:after="0"/>
        <w:rPr>
          <w:szCs w:val="24"/>
        </w:rPr>
      </w:pPr>
      <w:r w:rsidRPr="004663D3">
        <w:rPr>
          <w:noProof/>
          <w:szCs w:val="24"/>
        </w:rPr>
        <w:t>Ronapreve</w:t>
      </w:r>
      <w:r w:rsidRPr="000D5746">
        <w:rPr>
          <w:szCs w:val="24"/>
        </w:rPr>
        <w:t xml:space="preserve"> should be prepared by a healthcare professional using aseptic technique. </w:t>
      </w:r>
    </w:p>
    <w:p w14:paraId="47D27414" w14:textId="77777777" w:rsidR="00BB43EC" w:rsidRPr="000D5746" w:rsidRDefault="00BB43EC" w:rsidP="00BB43EC">
      <w:pPr>
        <w:pStyle w:val="C-BodyText"/>
        <w:spacing w:before="0" w:after="0"/>
        <w:rPr>
          <w:szCs w:val="24"/>
        </w:rPr>
      </w:pPr>
    </w:p>
    <w:p w14:paraId="6FBC0D70" w14:textId="2F6EAA43" w:rsidR="00BB43EC" w:rsidRDefault="00BB43EC" w:rsidP="00BB43EC">
      <w:pPr>
        <w:pStyle w:val="C-BodyText"/>
        <w:spacing w:before="0" w:after="0"/>
        <w:rPr>
          <w:szCs w:val="24"/>
        </w:rPr>
      </w:pPr>
      <w:proofErr w:type="spellStart"/>
      <w:r w:rsidRPr="000D5746">
        <w:rPr>
          <w:szCs w:val="24"/>
        </w:rPr>
        <w:t>Casirivimab</w:t>
      </w:r>
      <w:proofErr w:type="spellEnd"/>
      <w:r w:rsidRPr="000D5746">
        <w:rPr>
          <w:szCs w:val="24"/>
        </w:rPr>
        <w:t xml:space="preserve"> injection is a sterile, preservative free, clear to slightly </w:t>
      </w:r>
      <w:proofErr w:type="spellStart"/>
      <w:r w:rsidRPr="000D5746">
        <w:rPr>
          <w:szCs w:val="24"/>
        </w:rPr>
        <w:t>opalent</w:t>
      </w:r>
      <w:proofErr w:type="spellEnd"/>
      <w:r w:rsidRPr="000D5746">
        <w:rPr>
          <w:szCs w:val="24"/>
        </w:rPr>
        <w:t xml:space="preserve">, colorless to pale yellow solution supplied in a 6 mL single-use vial and a 20 mL multi dose vial. </w:t>
      </w:r>
    </w:p>
    <w:p w14:paraId="1C5C6A4A" w14:textId="77777777" w:rsidR="00BB43EC" w:rsidRPr="000D5746" w:rsidRDefault="00BB43EC" w:rsidP="00BB43EC">
      <w:pPr>
        <w:pStyle w:val="C-BodyText"/>
        <w:spacing w:before="0" w:after="0"/>
        <w:rPr>
          <w:szCs w:val="24"/>
        </w:rPr>
      </w:pPr>
    </w:p>
    <w:p w14:paraId="2066623D" w14:textId="4162F61B" w:rsidR="00BB43EC" w:rsidRDefault="00BB43EC" w:rsidP="00BB43EC">
      <w:pPr>
        <w:pStyle w:val="C-BodyText"/>
        <w:spacing w:before="0" w:after="0"/>
        <w:rPr>
          <w:szCs w:val="24"/>
        </w:rPr>
      </w:pPr>
      <w:proofErr w:type="spellStart"/>
      <w:r w:rsidRPr="000D5746">
        <w:rPr>
          <w:szCs w:val="24"/>
        </w:rPr>
        <w:t>Imdevimab</w:t>
      </w:r>
      <w:proofErr w:type="spellEnd"/>
      <w:r w:rsidRPr="000D5746">
        <w:rPr>
          <w:szCs w:val="24"/>
        </w:rPr>
        <w:t xml:space="preserve"> injection is a sterile, preservative free, clear to slightly opalescent, colorless to pale yellow solution supplied in a 6 mL single-use vial and a 20 mL multi- dose vial.</w:t>
      </w:r>
    </w:p>
    <w:p w14:paraId="12D39155" w14:textId="77777777" w:rsidR="00BB43EC" w:rsidRPr="004663D3" w:rsidRDefault="00BB43EC" w:rsidP="00BB43EC">
      <w:pPr>
        <w:pStyle w:val="C-BodyText"/>
        <w:spacing w:before="0" w:after="0"/>
        <w:rPr>
          <w:szCs w:val="24"/>
        </w:rPr>
      </w:pPr>
    </w:p>
    <w:p w14:paraId="597B352E" w14:textId="43EF9E78" w:rsidR="00BB43EC" w:rsidRDefault="00BB43EC" w:rsidP="00BB43EC">
      <w:pPr>
        <w:pStyle w:val="C-BodyText"/>
        <w:spacing w:before="0" w:after="0"/>
        <w:rPr>
          <w:noProof/>
          <w:szCs w:val="24"/>
        </w:rPr>
      </w:pPr>
      <w:r w:rsidRPr="004663D3">
        <w:rPr>
          <w:noProof/>
          <w:szCs w:val="24"/>
        </w:rPr>
        <w:t>Ronapreve</w:t>
      </w:r>
      <w:r w:rsidRPr="000D5746">
        <w:rPr>
          <w:noProof/>
          <w:szCs w:val="24"/>
        </w:rPr>
        <w:t xml:space="preserve"> (casirivimab and imdevimab) is available as</w:t>
      </w:r>
      <w:r>
        <w:rPr>
          <w:noProof/>
          <w:szCs w:val="24"/>
        </w:rPr>
        <w:t xml:space="preserve"> i</w:t>
      </w:r>
      <w:r w:rsidRPr="000D5746">
        <w:rPr>
          <w:noProof/>
          <w:szCs w:val="24"/>
        </w:rPr>
        <w:t>ndividual antibody solutions in separate vials, available in a dose pack containing either one 6 mL vial of each antibody or one 20 mL of each antibody (casirivimab and imdevimab)</w:t>
      </w:r>
      <w:r>
        <w:rPr>
          <w:noProof/>
          <w:szCs w:val="24"/>
        </w:rPr>
        <w:t>:</w:t>
      </w:r>
    </w:p>
    <w:p w14:paraId="66B4149A" w14:textId="77777777" w:rsidR="00BB43EC" w:rsidRPr="004663D3" w:rsidRDefault="00BB43EC" w:rsidP="00BB43EC">
      <w:pPr>
        <w:pStyle w:val="C-BodyText"/>
        <w:spacing w:before="0" w:after="0"/>
        <w:rPr>
          <w:noProof/>
          <w:szCs w:val="24"/>
        </w:rPr>
      </w:pPr>
    </w:p>
    <w:p w14:paraId="2587518E" w14:textId="77777777" w:rsidR="00BB43EC" w:rsidRPr="004663D3" w:rsidRDefault="00BB43EC" w:rsidP="00BB43EC">
      <w:pPr>
        <w:rPr>
          <w:u w:val="single"/>
        </w:rPr>
      </w:pPr>
      <w:proofErr w:type="spellStart"/>
      <w:r w:rsidRPr="004663D3">
        <w:rPr>
          <w:u w:val="single"/>
        </w:rPr>
        <w:t>Ronapreve</w:t>
      </w:r>
      <w:proofErr w:type="spellEnd"/>
      <w:r w:rsidRPr="004663D3">
        <w:rPr>
          <w:u w:val="single"/>
        </w:rPr>
        <w:t xml:space="preserve"> 120 mg/mL solution for infusion or injection, multidose vials</w:t>
      </w:r>
    </w:p>
    <w:p w14:paraId="535086DB" w14:textId="3016D184" w:rsidR="00BB43EC" w:rsidRPr="004663D3" w:rsidRDefault="00BB43EC" w:rsidP="00BB43EC">
      <w:r w:rsidRPr="004663D3">
        <w:t xml:space="preserve">Pack of two 20 mL clear Type I glass vials with butyl rubber stopper containing one vial of 11.1 mL solution of 1 332 mg of </w:t>
      </w:r>
      <w:proofErr w:type="spellStart"/>
      <w:r w:rsidRPr="004663D3">
        <w:t>casirivimab</w:t>
      </w:r>
      <w:proofErr w:type="spellEnd"/>
      <w:r w:rsidRPr="004663D3">
        <w:t xml:space="preserve"> and one vial of 11.1 mL solution of 1 332 mg of </w:t>
      </w:r>
      <w:proofErr w:type="spellStart"/>
      <w:r w:rsidRPr="004663D3">
        <w:t>imdevimab</w:t>
      </w:r>
      <w:proofErr w:type="spellEnd"/>
      <w:r w:rsidRPr="004663D3">
        <w:t xml:space="preserve">. </w:t>
      </w:r>
    </w:p>
    <w:p w14:paraId="53526A55" w14:textId="77777777" w:rsidR="00BB43EC" w:rsidRPr="004663D3" w:rsidRDefault="00BB43EC" w:rsidP="00BB43EC"/>
    <w:p w14:paraId="1BC61280" w14:textId="77777777" w:rsidR="00BB43EC" w:rsidRPr="004663D3" w:rsidRDefault="00BB43EC" w:rsidP="00BB43EC">
      <w:pPr>
        <w:rPr>
          <w:u w:val="single"/>
        </w:rPr>
      </w:pPr>
      <w:proofErr w:type="spellStart"/>
      <w:r w:rsidRPr="004663D3">
        <w:rPr>
          <w:u w:val="single"/>
        </w:rPr>
        <w:t>Ronapreve</w:t>
      </w:r>
      <w:proofErr w:type="spellEnd"/>
      <w:r w:rsidRPr="004663D3">
        <w:rPr>
          <w:u w:val="single"/>
        </w:rPr>
        <w:t xml:space="preserve"> 120 mg/ml solution for infusion or injection, single-use vial</w:t>
      </w:r>
    </w:p>
    <w:p w14:paraId="463EB5EC" w14:textId="63AF9E41" w:rsidR="00D52399" w:rsidRPr="00192E5A" w:rsidRDefault="00BB43EC" w:rsidP="00BB43EC">
      <w:pPr>
        <w:rPr>
          <w:color w:val="auto"/>
          <w:sz w:val="28"/>
        </w:rPr>
      </w:pPr>
      <w:r w:rsidRPr="004663D3">
        <w:t xml:space="preserve">Pack of two 6 mL clear Type I glass vials with butyl rubber stopper containing one vial of 2.5 mL solution of 300 mg of </w:t>
      </w:r>
      <w:proofErr w:type="spellStart"/>
      <w:r w:rsidRPr="004663D3">
        <w:t>casirivimab</w:t>
      </w:r>
      <w:proofErr w:type="spellEnd"/>
      <w:r w:rsidRPr="004663D3">
        <w:t xml:space="preserve"> and one vial of 2.5 mL solution of 300 mg of </w:t>
      </w:r>
      <w:proofErr w:type="spellStart"/>
      <w:r w:rsidRPr="004663D3">
        <w:t>imdevimab</w:t>
      </w:r>
      <w:proofErr w:type="spellEnd"/>
      <w:r w:rsidR="00204BDD" w:rsidRPr="00204BDD">
        <w:rPr>
          <w:color w:val="auto"/>
          <w:szCs w:val="22"/>
        </w:rPr>
        <w:t>.</w:t>
      </w:r>
    </w:p>
    <w:p w14:paraId="6ED5FB45" w14:textId="1B9C5C75" w:rsidR="00D52399" w:rsidRPr="00A807D3" w:rsidRDefault="00902EBE" w:rsidP="00902EBE">
      <w:pPr>
        <w:pStyle w:val="Heading2"/>
        <w:rPr>
          <w:color w:val="auto"/>
        </w:rPr>
      </w:pPr>
      <w:r w:rsidRPr="00A807D3">
        <w:rPr>
          <w:color w:val="auto"/>
        </w:rPr>
        <w:lastRenderedPageBreak/>
        <w:t>6.6</w:t>
      </w:r>
      <w:r w:rsidRPr="00A807D3">
        <w:rPr>
          <w:color w:val="auto"/>
        </w:rPr>
        <w:tab/>
        <w:t xml:space="preserve">SPECIAL PRECAUTIONS FOR </w:t>
      </w:r>
      <w:r w:rsidR="00B9039F" w:rsidRPr="00A807D3">
        <w:rPr>
          <w:color w:val="auto"/>
        </w:rPr>
        <w:t xml:space="preserve">USE, HANDLING AND </w:t>
      </w:r>
      <w:r w:rsidRPr="00A807D3">
        <w:rPr>
          <w:color w:val="auto"/>
        </w:rPr>
        <w:t>DISPOSAL</w:t>
      </w:r>
    </w:p>
    <w:p w14:paraId="3C177F72" w14:textId="1256967B" w:rsidR="00BB43EC" w:rsidRPr="00BE7DC2" w:rsidRDefault="00BB43EC" w:rsidP="00BB43EC">
      <w:pPr>
        <w:pStyle w:val="Heading3"/>
        <w:rPr>
          <w:color w:val="auto"/>
        </w:rPr>
      </w:pPr>
      <w:r w:rsidRPr="00BB43EC">
        <w:rPr>
          <w:color w:val="auto"/>
        </w:rPr>
        <w:t>General precaution</w:t>
      </w:r>
      <w:r>
        <w:rPr>
          <w:color w:val="auto"/>
        </w:rPr>
        <w:t>s</w:t>
      </w:r>
    </w:p>
    <w:p w14:paraId="6141430D" w14:textId="77777777" w:rsidR="00BB43EC" w:rsidRPr="000D5746" w:rsidRDefault="00BB43EC" w:rsidP="00BB43EC">
      <w:pPr>
        <w:pStyle w:val="C-BodyText"/>
        <w:keepNext/>
        <w:keepLines/>
        <w:spacing w:before="0" w:after="0"/>
        <w:rPr>
          <w:szCs w:val="24"/>
        </w:rPr>
      </w:pPr>
      <w:proofErr w:type="spellStart"/>
      <w:r w:rsidRPr="000D5746">
        <w:rPr>
          <w:szCs w:val="24"/>
        </w:rPr>
        <w:t>Casirivimab</w:t>
      </w:r>
      <w:proofErr w:type="spellEnd"/>
      <w:r w:rsidRPr="000D5746">
        <w:rPr>
          <w:szCs w:val="24"/>
        </w:rPr>
        <w:t xml:space="preserve"> and </w:t>
      </w:r>
      <w:proofErr w:type="spellStart"/>
      <w:r w:rsidRPr="000D5746">
        <w:rPr>
          <w:szCs w:val="24"/>
        </w:rPr>
        <w:t>imdevimab</w:t>
      </w:r>
      <w:proofErr w:type="spellEnd"/>
      <w:r w:rsidRPr="000D5746">
        <w:rPr>
          <w:szCs w:val="24"/>
        </w:rPr>
        <w:t xml:space="preserve"> vials should be inspected visually to ensure there is no particulate matter or </w:t>
      </w:r>
      <w:proofErr w:type="spellStart"/>
      <w:r w:rsidRPr="000D5746">
        <w:rPr>
          <w:szCs w:val="24"/>
        </w:rPr>
        <w:t>discolouration</w:t>
      </w:r>
      <w:proofErr w:type="spellEnd"/>
      <w:r w:rsidRPr="000D5746">
        <w:rPr>
          <w:szCs w:val="24"/>
        </w:rPr>
        <w:t xml:space="preserve"> prior to the administration. If particulate matter or </w:t>
      </w:r>
      <w:proofErr w:type="spellStart"/>
      <w:r w:rsidRPr="000D5746">
        <w:rPr>
          <w:szCs w:val="24"/>
        </w:rPr>
        <w:t>discolouration</w:t>
      </w:r>
      <w:proofErr w:type="spellEnd"/>
      <w:r w:rsidRPr="000D5746">
        <w:rPr>
          <w:szCs w:val="24"/>
        </w:rPr>
        <w:t xml:space="preserve"> is observed the vial should be discarded per local disposal guidelines. </w:t>
      </w:r>
    </w:p>
    <w:p w14:paraId="46918E00" w14:textId="6C69CB8E" w:rsidR="00BB43EC" w:rsidRPr="00BB43EC" w:rsidRDefault="00BB43EC" w:rsidP="00BB43EC">
      <w:pPr>
        <w:spacing w:after="120" w:line="300" w:lineRule="atLeast"/>
        <w:rPr>
          <w:color w:val="auto"/>
          <w:szCs w:val="20"/>
          <w:lang w:val="en-US" w:eastAsia="en-US"/>
        </w:rPr>
      </w:pPr>
      <w:r w:rsidRPr="000D5746">
        <w:rPr>
          <w:color w:val="auto"/>
        </w:rPr>
        <w:t>Do not shake or freeze the vials</w:t>
      </w:r>
      <w:r w:rsidRPr="00BE7DC2">
        <w:rPr>
          <w:color w:val="auto"/>
          <w:szCs w:val="20"/>
          <w:lang w:val="en-US" w:eastAsia="en-US"/>
        </w:rPr>
        <w:t>.</w:t>
      </w:r>
    </w:p>
    <w:p w14:paraId="60C05321" w14:textId="069870A2" w:rsidR="00BB43EC" w:rsidRDefault="00BB43EC" w:rsidP="00BB43EC">
      <w:pPr>
        <w:pStyle w:val="Heading3"/>
      </w:pPr>
      <w:r>
        <w:t>Disposal</w:t>
      </w:r>
    </w:p>
    <w:p w14:paraId="33A93760" w14:textId="7F04F4CB" w:rsidR="00A4304C" w:rsidRDefault="00A4304C" w:rsidP="00B9039F">
      <w:pPr>
        <w:spacing w:after="120" w:line="300" w:lineRule="atLeast"/>
        <w:rPr>
          <w:color w:val="auto"/>
        </w:rPr>
      </w:pPr>
      <w:r w:rsidRPr="00A4304C">
        <w:rPr>
          <w:color w:val="auto"/>
        </w:rPr>
        <w:t>In Australia, any unused medicine or waste material should be disposed of by taking to your local pharmacy.</w:t>
      </w:r>
    </w:p>
    <w:p w14:paraId="03982CE7" w14:textId="77777777" w:rsidR="00BB43EC" w:rsidRPr="00BB43EC" w:rsidRDefault="00BB43EC" w:rsidP="00BB43EC">
      <w:pPr>
        <w:pStyle w:val="C-BodyText"/>
        <w:spacing w:before="0" w:after="0"/>
        <w:rPr>
          <w:szCs w:val="24"/>
        </w:rPr>
      </w:pPr>
      <w:r w:rsidRPr="00BB43EC">
        <w:rPr>
          <w:szCs w:val="24"/>
        </w:rPr>
        <w:t xml:space="preserve">The following points should be strictly adhered to regarding the use and disposal of syringes and other medicinal sharps: </w:t>
      </w:r>
    </w:p>
    <w:p w14:paraId="7FFF4885" w14:textId="77777777" w:rsidR="00BB43EC" w:rsidRPr="00BB43EC" w:rsidRDefault="00BB43EC" w:rsidP="00BB43EC">
      <w:pPr>
        <w:pStyle w:val="C-BodyText"/>
        <w:spacing w:before="0" w:after="0"/>
        <w:ind w:left="567" w:hanging="567"/>
        <w:rPr>
          <w:szCs w:val="24"/>
        </w:rPr>
      </w:pPr>
      <w:r w:rsidRPr="00BB43EC">
        <w:rPr>
          <w:szCs w:val="24"/>
          <w:lang w:val="en-GB"/>
        </w:rPr>
        <w:t>●</w:t>
      </w:r>
      <w:r w:rsidRPr="00BB43EC">
        <w:rPr>
          <w:szCs w:val="24"/>
          <w:lang w:val="en-GB"/>
        </w:rPr>
        <w:tab/>
      </w:r>
      <w:r w:rsidRPr="00BB43EC">
        <w:rPr>
          <w:szCs w:val="24"/>
        </w:rPr>
        <w:t>Needles and syringes should never be reused.</w:t>
      </w:r>
    </w:p>
    <w:p w14:paraId="7F8E15C4" w14:textId="77777777" w:rsidR="00BB43EC" w:rsidRPr="00BB43EC" w:rsidRDefault="00BB43EC" w:rsidP="00BB43EC">
      <w:pPr>
        <w:pStyle w:val="C-BodyText"/>
        <w:spacing w:before="0" w:after="0"/>
        <w:ind w:left="567" w:hanging="567"/>
        <w:rPr>
          <w:szCs w:val="24"/>
        </w:rPr>
      </w:pPr>
      <w:r w:rsidRPr="00BB43EC">
        <w:rPr>
          <w:szCs w:val="24"/>
          <w:lang w:val="en-GB"/>
        </w:rPr>
        <w:t>●</w:t>
      </w:r>
      <w:r w:rsidRPr="00BB43EC">
        <w:rPr>
          <w:szCs w:val="24"/>
          <w:lang w:val="en-GB"/>
        </w:rPr>
        <w:tab/>
      </w:r>
      <w:r w:rsidRPr="00BB43EC">
        <w:rPr>
          <w:szCs w:val="24"/>
        </w:rPr>
        <w:t xml:space="preserve">Place all used needles and syringes into a </w:t>
      </w:r>
      <w:proofErr w:type="gramStart"/>
      <w:r w:rsidRPr="00BB43EC">
        <w:rPr>
          <w:szCs w:val="24"/>
        </w:rPr>
        <w:t>sharps</w:t>
      </w:r>
      <w:proofErr w:type="gramEnd"/>
      <w:r w:rsidRPr="00BB43EC">
        <w:rPr>
          <w:szCs w:val="24"/>
        </w:rPr>
        <w:t xml:space="preserve"> container (puncture-proof disposable container). </w:t>
      </w:r>
    </w:p>
    <w:p w14:paraId="7C301E7B" w14:textId="77777777" w:rsidR="00BB43EC" w:rsidRPr="00BB43EC" w:rsidRDefault="00BB43EC" w:rsidP="001A239A">
      <w:pPr>
        <w:spacing w:line="300" w:lineRule="atLeast"/>
        <w:rPr>
          <w:color w:val="auto"/>
          <w:lang w:val="en-US"/>
        </w:rPr>
      </w:pPr>
    </w:p>
    <w:p w14:paraId="50CED73B" w14:textId="77777777" w:rsidR="008903F2" w:rsidRPr="00A807D3" w:rsidRDefault="00902EBE" w:rsidP="009F4C5B">
      <w:pPr>
        <w:pStyle w:val="Heading2"/>
        <w:spacing w:before="0"/>
        <w:rPr>
          <w:color w:val="auto"/>
        </w:rPr>
      </w:pPr>
      <w:r w:rsidRPr="00A807D3">
        <w:rPr>
          <w:color w:val="auto"/>
        </w:rPr>
        <w:t>6.7</w:t>
      </w:r>
      <w:r w:rsidRPr="00A807D3">
        <w:rPr>
          <w:color w:val="auto"/>
        </w:rPr>
        <w:tab/>
        <w:t xml:space="preserve">PHYSIOCHEMICAL PROPERTIES </w:t>
      </w:r>
    </w:p>
    <w:p w14:paraId="2A23CB9A" w14:textId="77777777" w:rsidR="009B3628" w:rsidRPr="00A807D3" w:rsidRDefault="009B3628">
      <w:pPr>
        <w:rPr>
          <w:b/>
          <w:color w:val="auto"/>
        </w:rPr>
      </w:pPr>
      <w:r w:rsidRPr="00A807D3">
        <w:rPr>
          <w:b/>
          <w:color w:val="auto"/>
        </w:rPr>
        <w:t>Chemical structure</w:t>
      </w:r>
    </w:p>
    <w:p w14:paraId="4248182B" w14:textId="282244B6" w:rsidR="00BB43EC" w:rsidRDefault="00BB43EC" w:rsidP="00356312">
      <w:pPr>
        <w:rPr>
          <w:color w:val="auto"/>
        </w:rPr>
      </w:pPr>
      <w:proofErr w:type="spellStart"/>
      <w:r w:rsidRPr="003D0E8D">
        <w:rPr>
          <w:lang w:val="en-GB"/>
        </w:rPr>
        <w:t>Casirivimab</w:t>
      </w:r>
      <w:proofErr w:type="spellEnd"/>
      <w:r w:rsidRPr="003D0E8D">
        <w:rPr>
          <w:lang w:val="en-GB"/>
        </w:rPr>
        <w:t xml:space="preserve"> and </w:t>
      </w:r>
      <w:proofErr w:type="spellStart"/>
      <w:r w:rsidRPr="003D0E8D">
        <w:rPr>
          <w:lang w:val="en-GB"/>
        </w:rPr>
        <w:t>imdevimab</w:t>
      </w:r>
      <w:proofErr w:type="spellEnd"/>
      <w:r w:rsidRPr="003D0E8D">
        <w:rPr>
          <w:lang w:val="en-GB"/>
        </w:rPr>
        <w:t xml:space="preserve"> are two neutralising IgG1 recombinant human monoclonal antibodies produced by recombinant DNA technology in Chinese hamster ovary cells</w:t>
      </w:r>
      <w:r w:rsidRPr="003D0E8D">
        <w:rPr>
          <w:color w:val="auto"/>
        </w:rPr>
        <w:t>.</w:t>
      </w:r>
      <w:r>
        <w:rPr>
          <w:color w:val="auto"/>
        </w:rPr>
        <w:t xml:space="preserve"> </w:t>
      </w:r>
    </w:p>
    <w:p w14:paraId="6DBA27F2" w14:textId="77777777" w:rsidR="00BB43EC" w:rsidRDefault="00BB43EC" w:rsidP="00356312">
      <w:pPr>
        <w:rPr>
          <w:color w:val="auto"/>
        </w:rPr>
      </w:pPr>
    </w:p>
    <w:p w14:paraId="599E45EC" w14:textId="05639E31" w:rsidR="003D0E8D" w:rsidRPr="003D0E8D" w:rsidRDefault="003D0E8D" w:rsidP="003D0E8D">
      <w:pPr>
        <w:spacing w:after="240"/>
        <w:rPr>
          <w:lang w:val="en-GB"/>
        </w:rPr>
      </w:pPr>
      <w:proofErr w:type="spellStart"/>
      <w:r w:rsidRPr="003D0E8D">
        <w:rPr>
          <w:lang w:val="en-GB"/>
        </w:rPr>
        <w:t>Casirivimab</w:t>
      </w:r>
      <w:proofErr w:type="spellEnd"/>
      <w:r w:rsidRPr="003D0E8D">
        <w:rPr>
          <w:lang w:val="en-GB"/>
        </w:rPr>
        <w:t xml:space="preserve">: </w:t>
      </w:r>
      <w:proofErr w:type="spellStart"/>
      <w:r w:rsidRPr="003D0E8D">
        <w:rPr>
          <w:lang w:val="en-GB"/>
        </w:rPr>
        <w:t>Casirivimab</w:t>
      </w:r>
      <w:proofErr w:type="spellEnd"/>
      <w:r w:rsidRPr="003D0E8D">
        <w:rPr>
          <w:lang w:val="en-GB"/>
        </w:rPr>
        <w:t xml:space="preserve"> </w:t>
      </w:r>
      <w:r>
        <w:rPr>
          <w:lang w:val="en-GB"/>
        </w:rPr>
        <w:t xml:space="preserve">is a </w:t>
      </w:r>
      <w:r w:rsidRPr="003D0E8D">
        <w:rPr>
          <w:lang w:val="en-GB"/>
        </w:rPr>
        <w:t xml:space="preserve">covalent </w:t>
      </w:r>
      <w:proofErr w:type="spellStart"/>
      <w:r w:rsidRPr="003D0E8D">
        <w:rPr>
          <w:lang w:val="en-GB"/>
        </w:rPr>
        <w:t>heterotetramer</w:t>
      </w:r>
      <w:proofErr w:type="spellEnd"/>
      <w:r w:rsidRPr="003D0E8D">
        <w:rPr>
          <w:lang w:val="en-GB"/>
        </w:rPr>
        <w:t xml:space="preserve"> consisting of two </w:t>
      </w:r>
      <w:proofErr w:type="spellStart"/>
      <w:r w:rsidRPr="003D0E8D">
        <w:rPr>
          <w:lang w:val="en-GB"/>
        </w:rPr>
        <w:t>disulfide</w:t>
      </w:r>
      <w:proofErr w:type="spellEnd"/>
      <w:r w:rsidRPr="003D0E8D">
        <w:rPr>
          <w:lang w:val="en-GB"/>
        </w:rPr>
        <w:t xml:space="preserve">-linked human gamma heavy chains, each covalently linked through a </w:t>
      </w:r>
      <w:proofErr w:type="spellStart"/>
      <w:r w:rsidRPr="003D0E8D">
        <w:rPr>
          <w:lang w:val="en-GB"/>
        </w:rPr>
        <w:t>disulfide</w:t>
      </w:r>
      <w:proofErr w:type="spellEnd"/>
      <w:r w:rsidRPr="003D0E8D">
        <w:rPr>
          <w:lang w:val="en-GB"/>
        </w:rPr>
        <w:t xml:space="preserve"> bond to a human kappa light chain</w:t>
      </w:r>
      <w:r>
        <w:rPr>
          <w:lang w:val="en-GB"/>
        </w:rPr>
        <w:t xml:space="preserve">, </w:t>
      </w:r>
      <w:r w:rsidRPr="003D0E8D">
        <w:rPr>
          <w:lang w:val="en-GB"/>
        </w:rPr>
        <w:t>(C6</w:t>
      </w:r>
      <w:r w:rsidRPr="003D0E8D">
        <w:rPr>
          <w:vertAlign w:val="subscript"/>
          <w:lang w:val="en-GB"/>
        </w:rPr>
        <w:t>454</w:t>
      </w:r>
      <w:r w:rsidRPr="003D0E8D">
        <w:rPr>
          <w:lang w:val="en-GB"/>
        </w:rPr>
        <w:t>H</w:t>
      </w:r>
      <w:r w:rsidRPr="003D0E8D">
        <w:rPr>
          <w:vertAlign w:val="subscript"/>
          <w:lang w:val="en-GB"/>
        </w:rPr>
        <w:t>9976</w:t>
      </w:r>
      <w:r w:rsidRPr="003D0E8D">
        <w:rPr>
          <w:lang w:val="en-GB"/>
        </w:rPr>
        <w:t>N</w:t>
      </w:r>
      <w:r w:rsidRPr="003D0E8D">
        <w:rPr>
          <w:vertAlign w:val="subscript"/>
          <w:lang w:val="en-GB"/>
        </w:rPr>
        <w:t>1704</w:t>
      </w:r>
      <w:r w:rsidRPr="003D0E8D">
        <w:rPr>
          <w:lang w:val="en-GB"/>
        </w:rPr>
        <w:t>O</w:t>
      </w:r>
      <w:r w:rsidRPr="003D0E8D">
        <w:rPr>
          <w:vertAlign w:val="subscript"/>
          <w:lang w:val="en-GB"/>
        </w:rPr>
        <w:t>2024</w:t>
      </w:r>
      <w:r w:rsidRPr="003D0E8D">
        <w:rPr>
          <w:lang w:val="en-GB"/>
        </w:rPr>
        <w:t>S</w:t>
      </w:r>
      <w:r w:rsidRPr="003D0E8D">
        <w:rPr>
          <w:vertAlign w:val="subscript"/>
          <w:lang w:val="en-GB"/>
        </w:rPr>
        <w:t>44</w:t>
      </w:r>
      <w:r w:rsidRPr="003D0E8D">
        <w:rPr>
          <w:lang w:val="en-GB"/>
        </w:rPr>
        <w:t>)</w:t>
      </w:r>
      <w:r>
        <w:rPr>
          <w:lang w:val="en-GB"/>
        </w:rPr>
        <w:t xml:space="preserve">. </w:t>
      </w:r>
      <w:r w:rsidRPr="003D0E8D">
        <w:rPr>
          <w:lang w:val="en-GB"/>
        </w:rPr>
        <w:t>The approximate molecular weight of</w:t>
      </w:r>
      <w:r>
        <w:rPr>
          <w:lang w:val="en-GB"/>
        </w:rPr>
        <w:t xml:space="preserve"> </w:t>
      </w:r>
      <w:proofErr w:type="spellStart"/>
      <w:r>
        <w:rPr>
          <w:lang w:val="en-GB"/>
        </w:rPr>
        <w:t>casirivimab</w:t>
      </w:r>
      <w:proofErr w:type="spellEnd"/>
      <w:r w:rsidRPr="003D0E8D">
        <w:rPr>
          <w:lang w:val="en-GB"/>
        </w:rPr>
        <w:t xml:space="preserve"> 145.23 </w:t>
      </w:r>
      <w:proofErr w:type="spellStart"/>
      <w:r w:rsidRPr="003D0E8D">
        <w:rPr>
          <w:lang w:val="en-GB"/>
        </w:rPr>
        <w:t>kDa</w:t>
      </w:r>
      <w:proofErr w:type="spellEnd"/>
      <w:r>
        <w:rPr>
          <w:lang w:val="en-GB"/>
        </w:rPr>
        <w:t>.</w:t>
      </w:r>
    </w:p>
    <w:p w14:paraId="27ED5B3B" w14:textId="52877397" w:rsidR="003D0E8D" w:rsidRPr="00A4304C" w:rsidRDefault="003D0E8D" w:rsidP="003D0E8D">
      <w:pPr>
        <w:spacing w:after="240"/>
        <w:rPr>
          <w:color w:val="auto"/>
        </w:rPr>
      </w:pPr>
      <w:proofErr w:type="spellStart"/>
      <w:r w:rsidRPr="003D0E8D">
        <w:rPr>
          <w:lang w:val="en-GB"/>
        </w:rPr>
        <w:t>Imdevimab</w:t>
      </w:r>
      <w:proofErr w:type="spellEnd"/>
      <w:r w:rsidRPr="003D0E8D">
        <w:rPr>
          <w:lang w:val="en-GB"/>
        </w:rPr>
        <w:t>:</w:t>
      </w:r>
      <w:r w:rsidRPr="003D0E8D">
        <w:rPr>
          <w:color w:val="auto"/>
        </w:rPr>
        <w:t xml:space="preserve"> </w:t>
      </w:r>
      <w:proofErr w:type="spellStart"/>
      <w:r w:rsidRPr="003D0E8D">
        <w:rPr>
          <w:lang w:val="en-GB"/>
        </w:rPr>
        <w:t>Imdevimab</w:t>
      </w:r>
      <w:proofErr w:type="spellEnd"/>
      <w:r w:rsidRPr="003D0E8D">
        <w:rPr>
          <w:color w:val="auto"/>
        </w:rPr>
        <w:t xml:space="preserve"> </w:t>
      </w:r>
      <w:r>
        <w:rPr>
          <w:color w:val="auto"/>
        </w:rPr>
        <w:t xml:space="preserve">is </w:t>
      </w:r>
      <w:r w:rsidRPr="003D0E8D">
        <w:rPr>
          <w:color w:val="auto"/>
        </w:rPr>
        <w:t xml:space="preserve">a covalent </w:t>
      </w:r>
      <w:proofErr w:type="spellStart"/>
      <w:r w:rsidRPr="003D0E8D">
        <w:rPr>
          <w:color w:val="auto"/>
        </w:rPr>
        <w:t>heterotetramer</w:t>
      </w:r>
      <w:proofErr w:type="spellEnd"/>
      <w:r w:rsidRPr="003D0E8D">
        <w:rPr>
          <w:color w:val="auto"/>
        </w:rPr>
        <w:t xml:space="preserve"> consisting of two </w:t>
      </w:r>
      <w:proofErr w:type="spellStart"/>
      <w:r w:rsidRPr="003D0E8D">
        <w:rPr>
          <w:color w:val="auto"/>
        </w:rPr>
        <w:t>disulfide</w:t>
      </w:r>
      <w:proofErr w:type="spellEnd"/>
      <w:r w:rsidRPr="003D0E8D">
        <w:rPr>
          <w:color w:val="auto"/>
        </w:rPr>
        <w:t xml:space="preserve">-linked human gamma heavy chains, each covalently linked through a </w:t>
      </w:r>
      <w:proofErr w:type="spellStart"/>
      <w:r w:rsidRPr="003D0E8D">
        <w:rPr>
          <w:color w:val="auto"/>
        </w:rPr>
        <w:t>disulfide</w:t>
      </w:r>
      <w:proofErr w:type="spellEnd"/>
      <w:r w:rsidRPr="003D0E8D">
        <w:rPr>
          <w:color w:val="auto"/>
        </w:rPr>
        <w:t xml:space="preserve"> bond to a human lambda light chain</w:t>
      </w:r>
      <w:r>
        <w:rPr>
          <w:color w:val="auto"/>
        </w:rPr>
        <w:t>, (C</w:t>
      </w:r>
      <w:r w:rsidRPr="003D0E8D">
        <w:rPr>
          <w:color w:val="auto"/>
          <w:vertAlign w:val="subscript"/>
        </w:rPr>
        <w:t>6396</w:t>
      </w:r>
      <w:r>
        <w:rPr>
          <w:color w:val="auto"/>
        </w:rPr>
        <w:t>H</w:t>
      </w:r>
      <w:r w:rsidRPr="003D0E8D">
        <w:rPr>
          <w:color w:val="auto"/>
          <w:vertAlign w:val="subscript"/>
        </w:rPr>
        <w:t>9882</w:t>
      </w:r>
      <w:r>
        <w:rPr>
          <w:color w:val="auto"/>
        </w:rPr>
        <w:t>N</w:t>
      </w:r>
      <w:r w:rsidRPr="003D0E8D">
        <w:rPr>
          <w:color w:val="auto"/>
          <w:vertAlign w:val="subscript"/>
        </w:rPr>
        <w:t>1694</w:t>
      </w:r>
      <w:r>
        <w:rPr>
          <w:color w:val="auto"/>
        </w:rPr>
        <w:t>O</w:t>
      </w:r>
      <w:r w:rsidRPr="003D0E8D">
        <w:rPr>
          <w:color w:val="auto"/>
          <w:vertAlign w:val="subscript"/>
        </w:rPr>
        <w:t>2018</w:t>
      </w:r>
      <w:r>
        <w:rPr>
          <w:color w:val="auto"/>
        </w:rPr>
        <w:t>S</w:t>
      </w:r>
      <w:r w:rsidRPr="003D0E8D">
        <w:rPr>
          <w:color w:val="auto"/>
          <w:vertAlign w:val="subscript"/>
        </w:rPr>
        <w:t>42</w:t>
      </w:r>
      <w:r>
        <w:rPr>
          <w:color w:val="auto"/>
        </w:rPr>
        <w:t>)</w:t>
      </w:r>
      <w:r w:rsidRPr="003D0E8D">
        <w:rPr>
          <w:color w:val="auto"/>
        </w:rPr>
        <w:t xml:space="preserve">. The approximate molecular weight of </w:t>
      </w:r>
      <w:proofErr w:type="spellStart"/>
      <w:r>
        <w:rPr>
          <w:color w:val="auto"/>
        </w:rPr>
        <w:t>imdevimab</w:t>
      </w:r>
      <w:proofErr w:type="spellEnd"/>
      <w:r>
        <w:rPr>
          <w:color w:val="auto"/>
        </w:rPr>
        <w:t xml:space="preserve"> is 1</w:t>
      </w:r>
      <w:r w:rsidRPr="003D0E8D">
        <w:rPr>
          <w:color w:val="auto"/>
        </w:rPr>
        <w:t xml:space="preserve">44.14 </w:t>
      </w:r>
      <w:proofErr w:type="spellStart"/>
      <w:r w:rsidRPr="003D0E8D">
        <w:rPr>
          <w:color w:val="auto"/>
        </w:rPr>
        <w:t>kDa</w:t>
      </w:r>
      <w:proofErr w:type="spellEnd"/>
      <w:r>
        <w:rPr>
          <w:color w:val="auto"/>
        </w:rPr>
        <w:t>.</w:t>
      </w:r>
    </w:p>
    <w:p w14:paraId="73EE19C3" w14:textId="1E64B34C" w:rsidR="009B3628" w:rsidRPr="003D0E8D" w:rsidRDefault="009B3628" w:rsidP="003D0E8D">
      <w:pPr>
        <w:spacing w:after="120"/>
        <w:rPr>
          <w:b/>
          <w:color w:val="auto"/>
        </w:rPr>
      </w:pPr>
      <w:r w:rsidRPr="003D0E8D">
        <w:rPr>
          <w:b/>
          <w:color w:val="auto"/>
        </w:rPr>
        <w:t>CAS number</w:t>
      </w:r>
      <w:r w:rsidR="00A4304C" w:rsidRPr="003D0E8D">
        <w:rPr>
          <w:b/>
          <w:color w:val="auto"/>
        </w:rPr>
        <w:t>:</w:t>
      </w:r>
    </w:p>
    <w:p w14:paraId="1814170F" w14:textId="03546AF1" w:rsidR="003D0E8D" w:rsidRPr="003D0E8D" w:rsidRDefault="003D0E8D" w:rsidP="009F4C5B">
      <w:pPr>
        <w:spacing w:after="240"/>
        <w:rPr>
          <w:lang w:val="en-GB"/>
        </w:rPr>
      </w:pPr>
      <w:proofErr w:type="spellStart"/>
      <w:r w:rsidRPr="003D0E8D">
        <w:rPr>
          <w:lang w:val="en-GB"/>
        </w:rPr>
        <w:t>Casirivimab</w:t>
      </w:r>
      <w:proofErr w:type="spellEnd"/>
      <w:r w:rsidRPr="003D0E8D">
        <w:rPr>
          <w:lang w:val="en-GB"/>
        </w:rPr>
        <w:t xml:space="preserve">: 2415933-42-3 </w:t>
      </w:r>
    </w:p>
    <w:p w14:paraId="183F27D4" w14:textId="58BFA178" w:rsidR="00A4304C" w:rsidRPr="00A4304C" w:rsidRDefault="003D0E8D" w:rsidP="009F4C5B">
      <w:pPr>
        <w:spacing w:after="240"/>
        <w:rPr>
          <w:color w:val="auto"/>
        </w:rPr>
      </w:pPr>
      <w:proofErr w:type="spellStart"/>
      <w:r w:rsidRPr="003D0E8D">
        <w:rPr>
          <w:lang w:val="en-GB"/>
        </w:rPr>
        <w:t>Imdevimab</w:t>
      </w:r>
      <w:proofErr w:type="spellEnd"/>
      <w:r w:rsidRPr="003D0E8D">
        <w:rPr>
          <w:lang w:val="en-GB"/>
        </w:rPr>
        <w:t>:</w:t>
      </w:r>
      <w:r w:rsidRPr="003D0E8D">
        <w:rPr>
          <w:color w:val="auto"/>
        </w:rPr>
        <w:t xml:space="preserve"> 2415933-40-1</w:t>
      </w:r>
    </w:p>
    <w:p w14:paraId="105F54B7" w14:textId="77777777" w:rsidR="00D52399" w:rsidRPr="00A807D3" w:rsidRDefault="00615052" w:rsidP="009F4C5B">
      <w:pPr>
        <w:pStyle w:val="Heading1"/>
        <w:numPr>
          <w:ilvl w:val="0"/>
          <w:numId w:val="2"/>
        </w:numPr>
        <w:spacing w:before="0"/>
        <w:rPr>
          <w:color w:val="auto"/>
        </w:rPr>
      </w:pPr>
      <w:r w:rsidRPr="00A807D3">
        <w:rPr>
          <w:color w:val="auto"/>
        </w:rPr>
        <w:t xml:space="preserve"> MEDICINE SCHEDULE</w:t>
      </w:r>
      <w:r w:rsidR="00594C19" w:rsidRPr="00A807D3">
        <w:rPr>
          <w:color w:val="auto"/>
        </w:rPr>
        <w:t xml:space="preserve"> (POISONS STANDARD)</w:t>
      </w:r>
    </w:p>
    <w:p w14:paraId="3441A229" w14:textId="250CC409" w:rsidR="00D52399" w:rsidRPr="00A807D3" w:rsidRDefault="008214E7" w:rsidP="009F4C5B">
      <w:pPr>
        <w:spacing w:after="240"/>
        <w:rPr>
          <w:color w:val="auto"/>
          <w:sz w:val="28"/>
        </w:rPr>
      </w:pPr>
      <w:r w:rsidRPr="008214E7">
        <w:rPr>
          <w:color w:val="auto"/>
          <w:szCs w:val="22"/>
        </w:rPr>
        <w:t>Prescription Only Medicine</w:t>
      </w:r>
    </w:p>
    <w:p w14:paraId="54F6C2C7" w14:textId="77777777" w:rsidR="00D52399" w:rsidRPr="00A807D3" w:rsidRDefault="00615052" w:rsidP="009F4C5B">
      <w:pPr>
        <w:pStyle w:val="Heading1"/>
        <w:numPr>
          <w:ilvl w:val="0"/>
          <w:numId w:val="2"/>
        </w:numPr>
        <w:spacing w:before="0"/>
        <w:rPr>
          <w:color w:val="auto"/>
        </w:rPr>
      </w:pPr>
      <w:r w:rsidRPr="00A807D3">
        <w:rPr>
          <w:color w:val="auto"/>
        </w:rPr>
        <w:t>SPONSOR</w:t>
      </w:r>
    </w:p>
    <w:p w14:paraId="65D46722" w14:textId="77777777" w:rsidR="00363C7F" w:rsidRPr="00A807D3" w:rsidRDefault="00363C7F" w:rsidP="00363C7F">
      <w:pPr>
        <w:rPr>
          <w:color w:val="auto"/>
          <w:lang w:val="en-GB"/>
        </w:rPr>
      </w:pPr>
      <w:r w:rsidRPr="00A807D3">
        <w:rPr>
          <w:color w:val="auto"/>
          <w:lang w:val="en-GB"/>
        </w:rPr>
        <w:t>Roche Products Pty Limited</w:t>
      </w:r>
    </w:p>
    <w:p w14:paraId="2085797A" w14:textId="77777777" w:rsidR="00363C7F" w:rsidRPr="00A807D3" w:rsidRDefault="00363C7F" w:rsidP="00363C7F">
      <w:pPr>
        <w:rPr>
          <w:color w:val="auto"/>
          <w:lang w:val="en-GB"/>
        </w:rPr>
      </w:pPr>
      <w:r w:rsidRPr="00A807D3">
        <w:rPr>
          <w:color w:val="auto"/>
          <w:lang w:val="en-GB"/>
        </w:rPr>
        <w:t>ABN 70 000 132 865</w:t>
      </w:r>
    </w:p>
    <w:p w14:paraId="3B9211B1" w14:textId="77777777" w:rsidR="00363C7F" w:rsidRPr="00A807D3" w:rsidRDefault="00363C7F" w:rsidP="00363C7F">
      <w:pPr>
        <w:rPr>
          <w:color w:val="auto"/>
          <w:lang w:val="en-GB"/>
        </w:rPr>
      </w:pPr>
      <w:r w:rsidRPr="00A807D3">
        <w:rPr>
          <w:color w:val="auto"/>
          <w:lang w:val="en-GB"/>
        </w:rPr>
        <w:t xml:space="preserve">Level 8, 30 – 34 Hickson Road </w:t>
      </w:r>
    </w:p>
    <w:p w14:paraId="6DBD7B01" w14:textId="77777777" w:rsidR="00363C7F" w:rsidRPr="00A807D3" w:rsidRDefault="00363C7F" w:rsidP="00363C7F">
      <w:pPr>
        <w:rPr>
          <w:color w:val="auto"/>
          <w:lang w:val="en-GB"/>
        </w:rPr>
      </w:pPr>
      <w:r w:rsidRPr="00A807D3">
        <w:rPr>
          <w:color w:val="auto"/>
          <w:lang w:val="en-GB"/>
        </w:rPr>
        <w:t>Sydney NSW 2000</w:t>
      </w:r>
    </w:p>
    <w:p w14:paraId="1924CF0D" w14:textId="77777777" w:rsidR="00363C7F" w:rsidRPr="00A807D3" w:rsidRDefault="00363C7F" w:rsidP="00363C7F">
      <w:pPr>
        <w:rPr>
          <w:color w:val="auto"/>
          <w:lang w:val="en-GB"/>
        </w:rPr>
      </w:pPr>
      <w:r w:rsidRPr="00A807D3">
        <w:rPr>
          <w:color w:val="auto"/>
          <w:lang w:val="en-GB"/>
        </w:rPr>
        <w:t>AUSTRALIA</w:t>
      </w:r>
    </w:p>
    <w:p w14:paraId="3427D89A" w14:textId="77777777" w:rsidR="00363C7F" w:rsidRPr="00A807D3" w:rsidRDefault="00363C7F" w:rsidP="00363C7F">
      <w:pPr>
        <w:rPr>
          <w:color w:val="auto"/>
          <w:lang w:val="en-GB"/>
        </w:rPr>
      </w:pPr>
    </w:p>
    <w:p w14:paraId="77AD4C3B" w14:textId="77777777" w:rsidR="00363C7F" w:rsidRPr="00A807D3" w:rsidRDefault="00363C7F" w:rsidP="009F4C5B">
      <w:pPr>
        <w:spacing w:after="240"/>
        <w:rPr>
          <w:color w:val="auto"/>
        </w:rPr>
      </w:pPr>
      <w:r w:rsidRPr="00A807D3">
        <w:rPr>
          <w:color w:val="auto"/>
          <w:lang w:val="en-GB"/>
        </w:rPr>
        <w:t>Medical enquiries: 1800 233 950</w:t>
      </w:r>
    </w:p>
    <w:p w14:paraId="4E526DCA" w14:textId="77777777" w:rsidR="00D52399" w:rsidRPr="00A807D3" w:rsidRDefault="00615052" w:rsidP="009F4C5B">
      <w:pPr>
        <w:pStyle w:val="Heading1"/>
        <w:numPr>
          <w:ilvl w:val="0"/>
          <w:numId w:val="2"/>
        </w:numPr>
        <w:spacing w:before="0"/>
        <w:rPr>
          <w:color w:val="auto"/>
        </w:rPr>
      </w:pPr>
      <w:r w:rsidRPr="00A807D3">
        <w:rPr>
          <w:color w:val="auto"/>
        </w:rPr>
        <w:t>DATE OF FIRST APPROVAL</w:t>
      </w:r>
    </w:p>
    <w:p w14:paraId="287FCFDC" w14:textId="46924CF8" w:rsidR="009B3628" w:rsidRPr="00A807D3" w:rsidRDefault="00074220" w:rsidP="009F4C5B">
      <w:pPr>
        <w:spacing w:after="240"/>
        <w:rPr>
          <w:color w:val="auto"/>
        </w:rPr>
      </w:pPr>
      <w:r>
        <w:rPr>
          <w:color w:val="auto"/>
        </w:rPr>
        <w:t>18 October 2021</w:t>
      </w:r>
    </w:p>
    <w:p w14:paraId="4A55FD31" w14:textId="77777777" w:rsidR="00D52399" w:rsidRPr="00A807D3" w:rsidRDefault="00615052" w:rsidP="009F4C5B">
      <w:pPr>
        <w:pStyle w:val="Heading1"/>
        <w:numPr>
          <w:ilvl w:val="0"/>
          <w:numId w:val="2"/>
        </w:numPr>
        <w:spacing w:before="0"/>
        <w:rPr>
          <w:color w:val="auto"/>
        </w:rPr>
      </w:pPr>
      <w:r w:rsidRPr="00A807D3">
        <w:rPr>
          <w:color w:val="auto"/>
        </w:rPr>
        <w:lastRenderedPageBreak/>
        <w:t>DATE OF REVISION OF THE TEXT</w:t>
      </w:r>
    </w:p>
    <w:p w14:paraId="0F977A07" w14:textId="63651EF6" w:rsidR="00407592" w:rsidRPr="00A807D3" w:rsidRDefault="00074220">
      <w:pPr>
        <w:rPr>
          <w:color w:val="auto"/>
        </w:rPr>
      </w:pPr>
      <w:r>
        <w:rPr>
          <w:color w:val="auto"/>
        </w:rPr>
        <w:t>18 October 2021</w:t>
      </w:r>
    </w:p>
    <w:p w14:paraId="4C8954E7" w14:textId="6A97CB9A" w:rsidR="00FB04A6" w:rsidRPr="00A807D3" w:rsidRDefault="00FB04A6" w:rsidP="00FB04A6">
      <w:pPr>
        <w:rPr>
          <w:color w:val="auto"/>
        </w:rPr>
      </w:pPr>
    </w:p>
    <w:p w14:paraId="5C6AB51A" w14:textId="4E2B79D0" w:rsidR="00FB04A6" w:rsidRDefault="00FB04A6" w:rsidP="00FB04A6">
      <w:pPr>
        <w:rPr>
          <w:color w:val="auto"/>
        </w:rPr>
      </w:pPr>
    </w:p>
    <w:p w14:paraId="55A181F5" w14:textId="77777777" w:rsidR="00356312" w:rsidRPr="00A807D3" w:rsidRDefault="00356312" w:rsidP="00FB04A6">
      <w:pPr>
        <w:rPr>
          <w:color w:val="auto"/>
        </w:rPr>
      </w:pPr>
    </w:p>
    <w:p w14:paraId="7DC7852A" w14:textId="3B8CFAE4" w:rsidR="00D52399" w:rsidRPr="00A807D3" w:rsidRDefault="00615052" w:rsidP="00A8585F">
      <w:pPr>
        <w:pStyle w:val="Heading3"/>
        <w:spacing w:after="240"/>
        <w:rPr>
          <w:color w:val="auto"/>
        </w:rPr>
      </w:pPr>
      <w:r w:rsidRPr="00A807D3">
        <w:rPr>
          <w:color w:val="auto"/>
        </w:rPr>
        <w:t xml:space="preserve">Summary </w:t>
      </w:r>
      <w:r w:rsidR="00A42907">
        <w:rPr>
          <w:color w:val="auto"/>
        </w:rPr>
        <w:t>t</w:t>
      </w:r>
      <w:r w:rsidRPr="00A807D3">
        <w:rPr>
          <w:color w:val="auto"/>
        </w:rPr>
        <w:t>able</w:t>
      </w:r>
      <w:r w:rsidR="00A42907">
        <w:rPr>
          <w:color w:val="auto"/>
        </w:rPr>
        <w:t xml:space="preserve"> of changes</w:t>
      </w:r>
      <w:r w:rsidR="00902EBE" w:rsidRPr="00A807D3">
        <w:rPr>
          <w:color w:val="auto"/>
        </w:rPr>
        <w:t xml:space="preserve"> </w:t>
      </w:r>
    </w:p>
    <w:tbl>
      <w:tblPr>
        <w:tblStyle w:val="a"/>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1"/>
        <w:gridCol w:w="7291"/>
      </w:tblGrid>
      <w:tr w:rsidR="00D52399" w:rsidRPr="00A807D3" w14:paraId="41FBF9F0" w14:textId="77777777" w:rsidTr="00407592">
        <w:tc>
          <w:tcPr>
            <w:tcW w:w="1951" w:type="dxa"/>
          </w:tcPr>
          <w:p w14:paraId="6A4CA17A" w14:textId="77777777" w:rsidR="00D52399" w:rsidRPr="00A807D3" w:rsidRDefault="00615052">
            <w:pPr>
              <w:rPr>
                <w:b/>
                <w:color w:val="auto"/>
              </w:rPr>
            </w:pPr>
            <w:r w:rsidRPr="00A807D3">
              <w:rPr>
                <w:b/>
                <w:color w:val="auto"/>
              </w:rPr>
              <w:t>Section Changed</w:t>
            </w:r>
          </w:p>
        </w:tc>
        <w:tc>
          <w:tcPr>
            <w:tcW w:w="7291" w:type="dxa"/>
          </w:tcPr>
          <w:p w14:paraId="18DBC407" w14:textId="77777777" w:rsidR="00D52399" w:rsidRPr="00A807D3" w:rsidRDefault="00615052">
            <w:pPr>
              <w:rPr>
                <w:b/>
                <w:color w:val="auto"/>
              </w:rPr>
            </w:pPr>
            <w:r w:rsidRPr="00A807D3">
              <w:rPr>
                <w:b/>
                <w:color w:val="auto"/>
              </w:rPr>
              <w:t>Summary of new information</w:t>
            </w:r>
          </w:p>
        </w:tc>
      </w:tr>
      <w:tr w:rsidR="00D52399" w:rsidRPr="00A807D3" w14:paraId="5768A7B7" w14:textId="77777777" w:rsidTr="00407592">
        <w:tc>
          <w:tcPr>
            <w:tcW w:w="1951" w:type="dxa"/>
          </w:tcPr>
          <w:p w14:paraId="7AB04B45" w14:textId="77777777" w:rsidR="00D52399" w:rsidRPr="00A807D3" w:rsidRDefault="00D52399">
            <w:pPr>
              <w:rPr>
                <w:color w:val="auto"/>
              </w:rPr>
            </w:pPr>
          </w:p>
        </w:tc>
        <w:tc>
          <w:tcPr>
            <w:tcW w:w="7291" w:type="dxa"/>
          </w:tcPr>
          <w:p w14:paraId="58448329" w14:textId="77777777" w:rsidR="00D52399" w:rsidRPr="00A807D3" w:rsidRDefault="00D52399">
            <w:pPr>
              <w:rPr>
                <w:color w:val="auto"/>
              </w:rPr>
            </w:pPr>
          </w:p>
        </w:tc>
      </w:tr>
    </w:tbl>
    <w:p w14:paraId="64F6FFEE" w14:textId="77777777" w:rsidR="00D52399" w:rsidRPr="00A807D3" w:rsidRDefault="00D52399">
      <w:pPr>
        <w:rPr>
          <w:color w:val="auto"/>
        </w:rPr>
      </w:pPr>
    </w:p>
    <w:sectPr w:rsidR="00D52399" w:rsidRPr="00A807D3" w:rsidSect="009E3A75">
      <w:headerReference w:type="even" r:id="rId14"/>
      <w:headerReference w:type="default" r:id="rId15"/>
      <w:footerReference w:type="even" r:id="rId16"/>
      <w:footerReference w:type="default" r:id="rId17"/>
      <w:headerReference w:type="first" r:id="rId18"/>
      <w:footerReference w:type="first" r:id="rId19"/>
      <w:pgSz w:w="11906" w:h="16838"/>
      <w:pgMar w:top="1440" w:right="1196" w:bottom="1440" w:left="1170" w:header="0" w:footer="56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0E1486" w14:textId="77777777" w:rsidR="0060563E" w:rsidRDefault="0060563E">
      <w:r>
        <w:separator/>
      </w:r>
    </w:p>
  </w:endnote>
  <w:endnote w:type="continuationSeparator" w:id="0">
    <w:p w14:paraId="3AE6D961" w14:textId="77777777" w:rsidR="0060563E" w:rsidRDefault="0060563E">
      <w:r>
        <w:continuationSeparator/>
      </w:r>
    </w:p>
  </w:endnote>
  <w:endnote w:type="continuationNotice" w:id="1">
    <w:p w14:paraId="17D9D812" w14:textId="77777777" w:rsidR="0060563E" w:rsidRDefault="006056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Wingdings 3">
    <w:panose1 w:val="050401020108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MS Gothic"/>
    <w:charset w:val="00"/>
    <w:family w:val="roman"/>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4036C0" w14:textId="77777777" w:rsidR="0060563E" w:rsidRDefault="006056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EEBF6F" w14:textId="3D4FB52F" w:rsidR="0060563E" w:rsidRPr="00926DAE" w:rsidRDefault="0060563E" w:rsidP="00926DAE">
    <w:pPr>
      <w:tabs>
        <w:tab w:val="center" w:pos="4513"/>
        <w:tab w:val="right" w:pos="9026"/>
      </w:tabs>
      <w:rPr>
        <w:sz w:val="20"/>
        <w:szCs w:val="20"/>
      </w:rPr>
    </w:pPr>
    <w:proofErr w:type="spellStart"/>
    <w:r w:rsidRPr="004663D3">
      <w:rPr>
        <w:sz w:val="20"/>
      </w:rPr>
      <w:t>Ronapreve</w:t>
    </w:r>
    <w:proofErr w:type="spellEnd"/>
    <w:r w:rsidRPr="004663D3">
      <w:rPr>
        <w:sz w:val="20"/>
      </w:rPr>
      <w:t xml:space="preserve"> 2021</w:t>
    </w:r>
    <w:r>
      <w:rPr>
        <w:sz w:val="20"/>
      </w:rPr>
      <w:t>1018</w:t>
    </w:r>
    <w:r>
      <w:rPr>
        <w:sz w:val="20"/>
        <w:szCs w:val="20"/>
      </w:rPr>
      <w:tab/>
    </w:r>
    <w:r w:rsidRPr="00CC6729">
      <w:rPr>
        <w:sz w:val="20"/>
        <w:szCs w:val="20"/>
      </w:rPr>
      <w:fldChar w:fldCharType="begin"/>
    </w:r>
    <w:r w:rsidRPr="00CC6729">
      <w:rPr>
        <w:sz w:val="20"/>
        <w:szCs w:val="20"/>
      </w:rPr>
      <w:instrText>PAGE</w:instrText>
    </w:r>
    <w:r w:rsidRPr="00CC6729">
      <w:rPr>
        <w:sz w:val="20"/>
        <w:szCs w:val="20"/>
      </w:rPr>
      <w:fldChar w:fldCharType="separate"/>
    </w:r>
    <w:r>
      <w:rPr>
        <w:noProof/>
        <w:sz w:val="20"/>
        <w:szCs w:val="20"/>
      </w:rPr>
      <w:t>28</w:t>
    </w:r>
    <w:r w:rsidRPr="00CC672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C0E011" w14:textId="74BDD5A3" w:rsidR="0060563E" w:rsidRPr="00CC6729" w:rsidRDefault="0060563E" w:rsidP="00CC6729">
    <w:pPr>
      <w:tabs>
        <w:tab w:val="center" w:pos="4513"/>
        <w:tab w:val="right" w:pos="9026"/>
      </w:tabs>
      <w:rPr>
        <w:sz w:val="20"/>
        <w:szCs w:val="20"/>
      </w:rPr>
    </w:pPr>
    <w:proofErr w:type="spellStart"/>
    <w:r w:rsidRPr="004663D3">
      <w:rPr>
        <w:sz w:val="20"/>
      </w:rPr>
      <w:t>Ronapreve</w:t>
    </w:r>
    <w:proofErr w:type="spellEnd"/>
    <w:r w:rsidRPr="004663D3">
      <w:rPr>
        <w:sz w:val="20"/>
      </w:rPr>
      <w:t xml:space="preserve"> 2021</w:t>
    </w:r>
    <w:r>
      <w:rPr>
        <w:sz w:val="20"/>
      </w:rPr>
      <w:t>1018</w:t>
    </w:r>
    <w:r>
      <w:rPr>
        <w:sz w:val="20"/>
        <w:szCs w:val="20"/>
      </w:rPr>
      <w:tab/>
    </w:r>
    <w:r w:rsidRPr="00CC6729">
      <w:rPr>
        <w:sz w:val="20"/>
        <w:szCs w:val="20"/>
      </w:rPr>
      <w:fldChar w:fldCharType="begin"/>
    </w:r>
    <w:r w:rsidRPr="00CC6729">
      <w:rPr>
        <w:sz w:val="20"/>
        <w:szCs w:val="20"/>
      </w:rPr>
      <w:instrText>PAGE</w:instrText>
    </w:r>
    <w:r w:rsidRPr="00CC6729">
      <w:rPr>
        <w:sz w:val="20"/>
        <w:szCs w:val="20"/>
      </w:rPr>
      <w:fldChar w:fldCharType="separate"/>
    </w:r>
    <w:r>
      <w:rPr>
        <w:noProof/>
        <w:sz w:val="20"/>
        <w:szCs w:val="20"/>
      </w:rPr>
      <w:t>1</w:t>
    </w:r>
    <w:r w:rsidRPr="00CC6729">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F65E3B" w14:textId="77777777" w:rsidR="0060563E" w:rsidRDefault="0060563E">
      <w:r>
        <w:separator/>
      </w:r>
    </w:p>
  </w:footnote>
  <w:footnote w:type="continuationSeparator" w:id="0">
    <w:p w14:paraId="56C10DDA" w14:textId="77777777" w:rsidR="0060563E" w:rsidRDefault="0060563E">
      <w:r>
        <w:continuationSeparator/>
      </w:r>
    </w:p>
  </w:footnote>
  <w:footnote w:type="continuationNotice" w:id="1">
    <w:p w14:paraId="141A0A17" w14:textId="77777777" w:rsidR="0060563E" w:rsidRDefault="006056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47A382" w14:textId="77777777" w:rsidR="0060563E" w:rsidRDefault="006056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83BF8B" w14:textId="7218E694" w:rsidR="0060563E" w:rsidRDefault="0060563E">
    <w:pPr>
      <w:pStyle w:val="Header"/>
    </w:pPr>
  </w:p>
  <w:tbl>
    <w:tblPr>
      <w:tblStyle w:val="TableGrid"/>
      <w:tblW w:w="0" w:type="auto"/>
      <w:tblInd w:w="-113" w:type="dxa"/>
      <w:shd w:val="clear" w:color="auto" w:fill="E4F2E0"/>
      <w:tblLook w:val="04A0" w:firstRow="1" w:lastRow="0" w:firstColumn="1" w:lastColumn="0" w:noHBand="0" w:noVBand="1"/>
    </w:tblPr>
    <w:tblGrid>
      <w:gridCol w:w="8472"/>
    </w:tblGrid>
    <w:tr w:rsidR="0060563E" w:rsidRPr="000B2145" w14:paraId="52BE95DC" w14:textId="77777777" w:rsidTr="0060563E">
      <w:trPr>
        <w:trHeight w:val="590"/>
      </w:trPr>
      <w:tc>
        <w:tcPr>
          <w:tcW w:w="8472" w:type="dxa"/>
          <w:shd w:val="clear" w:color="auto" w:fill="E4F2E0"/>
        </w:tcPr>
        <w:p w14:paraId="3E9AC684" w14:textId="77777777" w:rsidR="0060563E" w:rsidRPr="000B2145" w:rsidRDefault="0060563E" w:rsidP="0060563E">
          <w:pPr>
            <w:pStyle w:val="Footer"/>
            <w:rPr>
              <w:b/>
              <w:sz w:val="18"/>
              <w:szCs w:val="18"/>
            </w:rPr>
          </w:pPr>
          <w:r w:rsidRPr="000E7E13">
            <w:rPr>
              <w:b/>
              <w:sz w:val="18"/>
              <w:szCs w:val="18"/>
            </w:rPr>
            <w:t>Attachment 1:</w:t>
          </w:r>
          <w:r w:rsidRPr="006064DD">
            <w:rPr>
              <w:b/>
            </w:rPr>
            <w:t xml:space="preserve"> </w:t>
          </w:r>
          <w:proofErr w:type="spellStart"/>
          <w:r w:rsidRPr="001B3030">
            <w:rPr>
              <w:b/>
            </w:rPr>
            <w:t>AusPAR</w:t>
          </w:r>
          <w:proofErr w:type="spellEnd"/>
          <w:r w:rsidRPr="001B3030">
            <w:rPr>
              <w:b/>
            </w:rPr>
            <w:t xml:space="preserve"> - </w:t>
          </w:r>
          <w:proofErr w:type="spellStart"/>
          <w:r w:rsidRPr="001B3030">
            <w:rPr>
              <w:b/>
            </w:rPr>
            <w:t>Ronapreve</w:t>
          </w:r>
          <w:proofErr w:type="spellEnd"/>
          <w:r w:rsidRPr="001B3030">
            <w:rPr>
              <w:b/>
            </w:rPr>
            <w:t xml:space="preserve"> – </w:t>
          </w:r>
          <w:proofErr w:type="spellStart"/>
          <w:r w:rsidRPr="001B3030">
            <w:rPr>
              <w:b/>
            </w:rPr>
            <w:t>casirivimab</w:t>
          </w:r>
          <w:proofErr w:type="spellEnd"/>
          <w:r w:rsidRPr="001B3030">
            <w:rPr>
              <w:b/>
            </w:rPr>
            <w:t>/</w:t>
          </w:r>
          <w:proofErr w:type="spellStart"/>
          <w:r w:rsidRPr="001B3030">
            <w:rPr>
              <w:b/>
            </w:rPr>
            <w:t>imdevimab</w:t>
          </w:r>
          <w:proofErr w:type="spellEnd"/>
          <w:r w:rsidRPr="001B3030">
            <w:rPr>
              <w:b/>
            </w:rPr>
            <w:t xml:space="preserve"> - Roche Products Pty Limited - PM-2021-03952-1-2</w:t>
          </w:r>
          <w:r>
            <w:rPr>
              <w:b/>
            </w:rPr>
            <w:t xml:space="preserve"> </w:t>
          </w:r>
          <w:r w:rsidRPr="001B3030">
            <w:rPr>
              <w:b/>
            </w:rPr>
            <w:t>Final 25 October 2021</w:t>
          </w:r>
          <w:r w:rsidRPr="00D256F8">
            <w:rPr>
              <w:b/>
              <w:sz w:val="18"/>
              <w:szCs w:val="18"/>
            </w:rPr>
            <w:t>.</w:t>
          </w:r>
          <w:r>
            <w:rPr>
              <w:b/>
              <w:sz w:val="18"/>
              <w:szCs w:val="18"/>
            </w:rPr>
            <w:t xml:space="preserve"> </w:t>
          </w:r>
          <w:r w:rsidRPr="000B2145">
            <w:rPr>
              <w:b/>
              <w:sz w:val="18"/>
              <w:szCs w:val="18"/>
            </w:rPr>
            <w:t xml:space="preserve">This is the Product Information that was approved with the submission described in this </w:t>
          </w:r>
          <w:proofErr w:type="spellStart"/>
          <w:r w:rsidRPr="000B2145">
            <w:rPr>
              <w:b/>
              <w:sz w:val="18"/>
              <w:szCs w:val="18"/>
            </w:rPr>
            <w:t>AusPAR</w:t>
          </w:r>
          <w:proofErr w:type="spellEnd"/>
          <w:r w:rsidRPr="000B2145">
            <w:rPr>
              <w:b/>
              <w:sz w:val="18"/>
              <w:szCs w:val="18"/>
            </w:rPr>
            <w:t>. It may have been superseded. For the most recent PI, please refer to the TGA website at &lt;</w:t>
          </w:r>
          <w:hyperlink r:id="rId1" w:history="1">
            <w:r w:rsidRPr="000B2145">
              <w:rPr>
                <w:rStyle w:val="Hyperlink"/>
                <w:b/>
                <w:sz w:val="18"/>
                <w:szCs w:val="18"/>
              </w:rPr>
              <w:t>https://www.tga.gov.au/product-information-pi</w:t>
            </w:r>
          </w:hyperlink>
          <w:r w:rsidRPr="000B2145">
            <w:rPr>
              <w:b/>
              <w:sz w:val="18"/>
              <w:szCs w:val="18"/>
              <w:u w:val="single"/>
            </w:rPr>
            <w:t>&gt;</w:t>
          </w:r>
        </w:p>
      </w:tc>
    </w:tr>
  </w:tbl>
  <w:p w14:paraId="4052ABEF" w14:textId="77777777" w:rsidR="0060563E" w:rsidRDefault="006056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7633C" w14:textId="0D5BE181" w:rsidR="0060563E" w:rsidRDefault="0060563E" w:rsidP="00513230">
    <w:pPr>
      <w:jc w:val="center"/>
    </w:pPr>
  </w:p>
  <w:tbl>
    <w:tblPr>
      <w:tblStyle w:val="TableGrid"/>
      <w:tblW w:w="0" w:type="auto"/>
      <w:tblInd w:w="-113" w:type="dxa"/>
      <w:shd w:val="clear" w:color="auto" w:fill="E4F2E0"/>
      <w:tblLook w:val="04A0" w:firstRow="1" w:lastRow="0" w:firstColumn="1" w:lastColumn="0" w:noHBand="0" w:noVBand="1"/>
    </w:tblPr>
    <w:tblGrid>
      <w:gridCol w:w="8472"/>
    </w:tblGrid>
    <w:tr w:rsidR="0060563E" w:rsidRPr="000B2145" w14:paraId="5B12492E" w14:textId="77777777" w:rsidTr="0060563E">
      <w:trPr>
        <w:trHeight w:val="590"/>
      </w:trPr>
      <w:tc>
        <w:tcPr>
          <w:tcW w:w="8472" w:type="dxa"/>
          <w:shd w:val="clear" w:color="auto" w:fill="E4F2E0"/>
        </w:tcPr>
        <w:p w14:paraId="56822D57" w14:textId="77777777" w:rsidR="0060563E" w:rsidRPr="000B2145" w:rsidRDefault="0060563E" w:rsidP="0060563E">
          <w:pPr>
            <w:pStyle w:val="Footer"/>
            <w:rPr>
              <w:b/>
              <w:sz w:val="18"/>
              <w:szCs w:val="18"/>
            </w:rPr>
          </w:pPr>
          <w:bookmarkStart w:id="14" w:name="_Hlk80614836"/>
          <w:r w:rsidRPr="000E7E13">
            <w:rPr>
              <w:b/>
              <w:sz w:val="18"/>
              <w:szCs w:val="18"/>
            </w:rPr>
            <w:t>Attachment 1:</w:t>
          </w:r>
          <w:r w:rsidRPr="006064DD">
            <w:rPr>
              <w:b/>
            </w:rPr>
            <w:t xml:space="preserve"> </w:t>
          </w:r>
          <w:proofErr w:type="spellStart"/>
          <w:r w:rsidRPr="001B3030">
            <w:rPr>
              <w:b/>
            </w:rPr>
            <w:t>AusPAR</w:t>
          </w:r>
          <w:proofErr w:type="spellEnd"/>
          <w:r w:rsidRPr="001B3030">
            <w:rPr>
              <w:b/>
            </w:rPr>
            <w:t xml:space="preserve"> - </w:t>
          </w:r>
          <w:proofErr w:type="spellStart"/>
          <w:r w:rsidRPr="001B3030">
            <w:rPr>
              <w:b/>
            </w:rPr>
            <w:t>Ronapreve</w:t>
          </w:r>
          <w:proofErr w:type="spellEnd"/>
          <w:r w:rsidRPr="001B3030">
            <w:rPr>
              <w:b/>
            </w:rPr>
            <w:t xml:space="preserve"> – </w:t>
          </w:r>
          <w:proofErr w:type="spellStart"/>
          <w:r w:rsidRPr="001B3030">
            <w:rPr>
              <w:b/>
            </w:rPr>
            <w:t>casirivimab</w:t>
          </w:r>
          <w:proofErr w:type="spellEnd"/>
          <w:r w:rsidRPr="001B3030">
            <w:rPr>
              <w:b/>
            </w:rPr>
            <w:t>/</w:t>
          </w:r>
          <w:proofErr w:type="spellStart"/>
          <w:r w:rsidRPr="001B3030">
            <w:rPr>
              <w:b/>
            </w:rPr>
            <w:t>imdevimab</w:t>
          </w:r>
          <w:proofErr w:type="spellEnd"/>
          <w:r w:rsidRPr="001B3030">
            <w:rPr>
              <w:b/>
            </w:rPr>
            <w:t xml:space="preserve"> - Roche Products Pty Limited - PM-2021-03952-1-2</w:t>
          </w:r>
          <w:r>
            <w:rPr>
              <w:b/>
            </w:rPr>
            <w:t xml:space="preserve"> </w:t>
          </w:r>
          <w:r w:rsidRPr="001B3030">
            <w:rPr>
              <w:b/>
            </w:rPr>
            <w:t>Final 25 October 2021</w:t>
          </w:r>
          <w:r w:rsidRPr="00D256F8">
            <w:rPr>
              <w:b/>
              <w:sz w:val="18"/>
              <w:szCs w:val="18"/>
            </w:rPr>
            <w:t>.</w:t>
          </w:r>
          <w:r>
            <w:rPr>
              <w:b/>
              <w:sz w:val="18"/>
              <w:szCs w:val="18"/>
            </w:rPr>
            <w:t xml:space="preserve"> </w:t>
          </w:r>
          <w:r w:rsidRPr="000B2145">
            <w:rPr>
              <w:b/>
              <w:sz w:val="18"/>
              <w:szCs w:val="18"/>
            </w:rPr>
            <w:t xml:space="preserve">This is the Product Information that was approved with the submission described in this </w:t>
          </w:r>
          <w:proofErr w:type="spellStart"/>
          <w:r w:rsidRPr="000B2145">
            <w:rPr>
              <w:b/>
              <w:sz w:val="18"/>
              <w:szCs w:val="18"/>
            </w:rPr>
            <w:t>AusPAR</w:t>
          </w:r>
          <w:proofErr w:type="spellEnd"/>
          <w:r w:rsidRPr="000B2145">
            <w:rPr>
              <w:b/>
              <w:sz w:val="18"/>
              <w:szCs w:val="18"/>
            </w:rPr>
            <w:t>. It may have been superseded. For the most recent PI, please refer to the TGA website at &lt;</w:t>
          </w:r>
          <w:hyperlink r:id="rId1" w:history="1">
            <w:r w:rsidRPr="000B2145">
              <w:rPr>
                <w:rStyle w:val="Hyperlink"/>
                <w:b/>
                <w:sz w:val="18"/>
                <w:szCs w:val="18"/>
              </w:rPr>
              <w:t>https://www.tga.gov.au/product-information-pi</w:t>
            </w:r>
          </w:hyperlink>
          <w:r w:rsidRPr="000B2145">
            <w:rPr>
              <w:b/>
              <w:sz w:val="18"/>
              <w:szCs w:val="18"/>
              <w:u w:val="single"/>
            </w:rPr>
            <w:t>&gt;</w:t>
          </w:r>
        </w:p>
      </w:tc>
    </w:tr>
    <w:bookmarkEnd w:id="14"/>
  </w:tbl>
  <w:p w14:paraId="18E6C14C" w14:textId="77777777" w:rsidR="0060563E" w:rsidRDefault="0060563E" w:rsidP="0060563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86169FE2"/>
    <w:lvl w:ilvl="0">
      <w:start w:val="1"/>
      <w:numFmt w:val="decimal"/>
      <w:pStyle w:val="ListNumber"/>
      <w:lvlText w:val="%1."/>
      <w:lvlJc w:val="left"/>
      <w:pPr>
        <w:tabs>
          <w:tab w:val="num" w:pos="432"/>
        </w:tabs>
        <w:ind w:left="432" w:hanging="432"/>
      </w:pPr>
      <w:rPr>
        <w:rFonts w:hint="default"/>
      </w:rPr>
    </w:lvl>
  </w:abstractNum>
  <w:abstractNum w:abstractNumId="1" w15:restartNumberingAfterBreak="0">
    <w:nsid w:val="043A5751"/>
    <w:multiLevelType w:val="multilevel"/>
    <w:tmpl w:val="1C6CD6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D0546C"/>
    <w:multiLevelType w:val="multilevel"/>
    <w:tmpl w:val="D1567B50"/>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12673FA0"/>
    <w:multiLevelType w:val="hybridMultilevel"/>
    <w:tmpl w:val="58E01F98"/>
    <w:lvl w:ilvl="0" w:tplc="C428BF82">
      <w:numFmt w:val="bullet"/>
      <w:lvlText w:val="•"/>
      <w:lvlJc w:val="left"/>
      <w:pPr>
        <w:ind w:left="1080" w:hanging="72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0F636C9"/>
    <w:multiLevelType w:val="hybridMultilevel"/>
    <w:tmpl w:val="B802DB88"/>
    <w:lvl w:ilvl="0" w:tplc="A642D696">
      <w:start w:val="1"/>
      <w:numFmt w:val="bullet"/>
      <w:lvlText w:val=""/>
      <w:lvlJc w:val="left"/>
      <w:pPr>
        <w:tabs>
          <w:tab w:val="num" w:pos="720"/>
        </w:tabs>
        <w:ind w:left="720" w:hanging="360"/>
      </w:pPr>
      <w:rPr>
        <w:rFonts w:ascii="Symbol" w:hAnsi="Symbol" w:hint="default"/>
      </w:rPr>
    </w:lvl>
    <w:lvl w:ilvl="1" w:tplc="BD4483F8">
      <w:start w:val="1"/>
      <w:numFmt w:val="bullet"/>
      <w:lvlText w:val="o"/>
      <w:lvlJc w:val="left"/>
      <w:pPr>
        <w:tabs>
          <w:tab w:val="num" w:pos="1440"/>
        </w:tabs>
        <w:ind w:left="1440" w:hanging="360"/>
      </w:pPr>
      <w:rPr>
        <w:rFonts w:ascii="Courier New" w:hAnsi="Courier New" w:cs="Times New Roman" w:hint="default"/>
      </w:rPr>
    </w:lvl>
    <w:lvl w:ilvl="2" w:tplc="55540772">
      <w:start w:val="1"/>
      <w:numFmt w:val="bullet"/>
      <w:lvlText w:val=""/>
      <w:lvlJc w:val="left"/>
      <w:pPr>
        <w:tabs>
          <w:tab w:val="num" w:pos="2160"/>
        </w:tabs>
        <w:ind w:left="2160" w:hanging="360"/>
      </w:pPr>
      <w:rPr>
        <w:rFonts w:ascii="Wingdings" w:hAnsi="Wingdings" w:hint="default"/>
      </w:rPr>
    </w:lvl>
    <w:lvl w:ilvl="3" w:tplc="E5D22DFA">
      <w:start w:val="1"/>
      <w:numFmt w:val="bullet"/>
      <w:lvlText w:val=""/>
      <w:lvlJc w:val="left"/>
      <w:pPr>
        <w:tabs>
          <w:tab w:val="num" w:pos="2880"/>
        </w:tabs>
        <w:ind w:left="2880" w:hanging="360"/>
      </w:pPr>
      <w:rPr>
        <w:rFonts w:ascii="Symbol" w:hAnsi="Symbol" w:hint="default"/>
      </w:rPr>
    </w:lvl>
    <w:lvl w:ilvl="4" w:tplc="2BE8E3EC">
      <w:start w:val="1"/>
      <w:numFmt w:val="bullet"/>
      <w:lvlText w:val="o"/>
      <w:lvlJc w:val="left"/>
      <w:pPr>
        <w:tabs>
          <w:tab w:val="num" w:pos="3600"/>
        </w:tabs>
        <w:ind w:left="3600" w:hanging="360"/>
      </w:pPr>
      <w:rPr>
        <w:rFonts w:ascii="Courier New" w:hAnsi="Courier New" w:cs="Times New Roman" w:hint="default"/>
      </w:rPr>
    </w:lvl>
    <w:lvl w:ilvl="5" w:tplc="892AA078">
      <w:start w:val="1"/>
      <w:numFmt w:val="bullet"/>
      <w:lvlText w:val=""/>
      <w:lvlJc w:val="left"/>
      <w:pPr>
        <w:tabs>
          <w:tab w:val="num" w:pos="4320"/>
        </w:tabs>
        <w:ind w:left="4320" w:hanging="360"/>
      </w:pPr>
      <w:rPr>
        <w:rFonts w:ascii="Wingdings" w:hAnsi="Wingdings" w:hint="default"/>
      </w:rPr>
    </w:lvl>
    <w:lvl w:ilvl="6" w:tplc="C422DB52">
      <w:start w:val="1"/>
      <w:numFmt w:val="bullet"/>
      <w:lvlText w:val=""/>
      <w:lvlJc w:val="left"/>
      <w:pPr>
        <w:tabs>
          <w:tab w:val="num" w:pos="5040"/>
        </w:tabs>
        <w:ind w:left="5040" w:hanging="360"/>
      </w:pPr>
      <w:rPr>
        <w:rFonts w:ascii="Symbol" w:hAnsi="Symbol" w:hint="default"/>
      </w:rPr>
    </w:lvl>
    <w:lvl w:ilvl="7" w:tplc="8A58DF70">
      <w:start w:val="1"/>
      <w:numFmt w:val="bullet"/>
      <w:lvlText w:val="o"/>
      <w:lvlJc w:val="left"/>
      <w:pPr>
        <w:tabs>
          <w:tab w:val="num" w:pos="5760"/>
        </w:tabs>
        <w:ind w:left="5760" w:hanging="360"/>
      </w:pPr>
      <w:rPr>
        <w:rFonts w:ascii="Courier New" w:hAnsi="Courier New" w:cs="Times New Roman" w:hint="default"/>
      </w:rPr>
    </w:lvl>
    <w:lvl w:ilvl="8" w:tplc="7C2644D0">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F03A71"/>
    <w:multiLevelType w:val="hybridMultilevel"/>
    <w:tmpl w:val="82D00914"/>
    <w:lvl w:ilvl="0" w:tplc="C428BF82">
      <w:numFmt w:val="bullet"/>
      <w:lvlText w:val="•"/>
      <w:lvlJc w:val="left"/>
      <w:pPr>
        <w:ind w:left="1080" w:hanging="72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2E84B5C"/>
    <w:multiLevelType w:val="hybridMultilevel"/>
    <w:tmpl w:val="A81CC368"/>
    <w:lvl w:ilvl="0" w:tplc="C428BF82">
      <w:numFmt w:val="bullet"/>
      <w:lvlText w:val="•"/>
      <w:lvlJc w:val="left"/>
      <w:pPr>
        <w:ind w:left="1136" w:hanging="720"/>
      </w:pPr>
      <w:rPr>
        <w:rFonts w:ascii="Times New Roman" w:eastAsia="Times New Roman" w:hAnsi="Times New Roman" w:cs="Times New Roman"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7" w15:restartNumberingAfterBreak="0">
    <w:nsid w:val="234F4CF9"/>
    <w:multiLevelType w:val="multilevel"/>
    <w:tmpl w:val="5322CFA8"/>
    <w:lvl w:ilvl="0">
      <w:start w:val="4"/>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15:restartNumberingAfterBreak="0">
    <w:nsid w:val="4395002F"/>
    <w:multiLevelType w:val="hybridMultilevel"/>
    <w:tmpl w:val="739208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6DD212B"/>
    <w:multiLevelType w:val="hybridMultilevel"/>
    <w:tmpl w:val="3CF04F14"/>
    <w:lvl w:ilvl="0" w:tplc="C428BF82">
      <w:numFmt w:val="bullet"/>
      <w:lvlText w:val="•"/>
      <w:lvlJc w:val="left"/>
      <w:pPr>
        <w:ind w:left="1080" w:hanging="72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5F77B5A"/>
    <w:multiLevelType w:val="hybridMultilevel"/>
    <w:tmpl w:val="1E028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AB03712"/>
    <w:multiLevelType w:val="hybridMultilevel"/>
    <w:tmpl w:val="6E726522"/>
    <w:lvl w:ilvl="0" w:tplc="2D2EB73E">
      <w:start w:val="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E9C1CE0"/>
    <w:multiLevelType w:val="hybridMultilevel"/>
    <w:tmpl w:val="D8667F98"/>
    <w:lvl w:ilvl="0" w:tplc="C428BF82">
      <w:numFmt w:val="bullet"/>
      <w:lvlText w:val="•"/>
      <w:lvlJc w:val="left"/>
      <w:pPr>
        <w:ind w:left="1080" w:hanging="72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4727FE2"/>
    <w:multiLevelType w:val="multilevel"/>
    <w:tmpl w:val="AE080A88"/>
    <w:lvl w:ilvl="0">
      <w:start w:val="4"/>
      <w:numFmt w:val="decimal"/>
      <w:lvlText w:val="%1.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8D60F22"/>
    <w:multiLevelType w:val="hybridMultilevel"/>
    <w:tmpl w:val="8D5A1B48"/>
    <w:lvl w:ilvl="0" w:tplc="C428BF82">
      <w:numFmt w:val="bullet"/>
      <w:lvlText w:val="•"/>
      <w:lvlJc w:val="left"/>
      <w:pPr>
        <w:ind w:left="1080" w:hanging="72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D5B632B"/>
    <w:multiLevelType w:val="hybridMultilevel"/>
    <w:tmpl w:val="0E927300"/>
    <w:lvl w:ilvl="0" w:tplc="FE3288AC">
      <w:start w:val="1"/>
      <w:numFmt w:val="decimal"/>
      <w:lvlText w:val="%1."/>
      <w:lvlJc w:val="left"/>
      <w:pPr>
        <w:ind w:left="795" w:hanging="435"/>
      </w:pPr>
      <w:rPr>
        <w:rFonts w:hint="default"/>
      </w:rPr>
    </w:lvl>
    <w:lvl w:ilvl="1" w:tplc="BA164D68" w:tentative="1">
      <w:start w:val="1"/>
      <w:numFmt w:val="lowerLetter"/>
      <w:lvlText w:val="%2."/>
      <w:lvlJc w:val="left"/>
      <w:pPr>
        <w:ind w:left="1440" w:hanging="360"/>
      </w:pPr>
    </w:lvl>
    <w:lvl w:ilvl="2" w:tplc="13F62538" w:tentative="1">
      <w:start w:val="1"/>
      <w:numFmt w:val="lowerRoman"/>
      <w:lvlText w:val="%3."/>
      <w:lvlJc w:val="right"/>
      <w:pPr>
        <w:ind w:left="2160" w:hanging="180"/>
      </w:pPr>
    </w:lvl>
    <w:lvl w:ilvl="3" w:tplc="4EB02B9E" w:tentative="1">
      <w:start w:val="1"/>
      <w:numFmt w:val="decimal"/>
      <w:lvlText w:val="%4."/>
      <w:lvlJc w:val="left"/>
      <w:pPr>
        <w:ind w:left="2880" w:hanging="360"/>
      </w:pPr>
    </w:lvl>
    <w:lvl w:ilvl="4" w:tplc="D2583986" w:tentative="1">
      <w:start w:val="1"/>
      <w:numFmt w:val="lowerLetter"/>
      <w:lvlText w:val="%5."/>
      <w:lvlJc w:val="left"/>
      <w:pPr>
        <w:ind w:left="3600" w:hanging="360"/>
      </w:pPr>
    </w:lvl>
    <w:lvl w:ilvl="5" w:tplc="541040EC" w:tentative="1">
      <w:start w:val="1"/>
      <w:numFmt w:val="lowerRoman"/>
      <w:lvlText w:val="%6."/>
      <w:lvlJc w:val="right"/>
      <w:pPr>
        <w:ind w:left="4320" w:hanging="180"/>
      </w:pPr>
    </w:lvl>
    <w:lvl w:ilvl="6" w:tplc="13BA20C2" w:tentative="1">
      <w:start w:val="1"/>
      <w:numFmt w:val="decimal"/>
      <w:lvlText w:val="%7."/>
      <w:lvlJc w:val="left"/>
      <w:pPr>
        <w:ind w:left="5040" w:hanging="360"/>
      </w:pPr>
    </w:lvl>
    <w:lvl w:ilvl="7" w:tplc="044C59CE" w:tentative="1">
      <w:start w:val="1"/>
      <w:numFmt w:val="lowerLetter"/>
      <w:lvlText w:val="%8."/>
      <w:lvlJc w:val="left"/>
      <w:pPr>
        <w:ind w:left="5760" w:hanging="360"/>
      </w:pPr>
    </w:lvl>
    <w:lvl w:ilvl="8" w:tplc="95A215AA" w:tentative="1">
      <w:start w:val="1"/>
      <w:numFmt w:val="lowerRoman"/>
      <w:lvlText w:val="%9."/>
      <w:lvlJc w:val="right"/>
      <w:pPr>
        <w:ind w:left="6480" w:hanging="180"/>
      </w:pPr>
    </w:lvl>
  </w:abstractNum>
  <w:num w:numId="1">
    <w:abstractNumId w:val="13"/>
  </w:num>
  <w:num w:numId="2">
    <w:abstractNumId w:val="7"/>
  </w:num>
  <w:num w:numId="3">
    <w:abstractNumId w:val="2"/>
  </w:num>
  <w:num w:numId="4">
    <w:abstractNumId w:val="11"/>
  </w:num>
  <w:num w:numId="5">
    <w:abstractNumId w:val="1"/>
  </w:num>
  <w:num w:numId="6">
    <w:abstractNumId w:val="4"/>
  </w:num>
  <w:num w:numId="7">
    <w:abstractNumId w:val="8"/>
  </w:num>
  <w:num w:numId="8">
    <w:abstractNumId w:val="3"/>
  </w:num>
  <w:num w:numId="9">
    <w:abstractNumId w:val="14"/>
  </w:num>
  <w:num w:numId="10">
    <w:abstractNumId w:val="12"/>
  </w:num>
  <w:num w:numId="11">
    <w:abstractNumId w:val="9"/>
  </w:num>
  <w:num w:numId="12">
    <w:abstractNumId w:val="5"/>
  </w:num>
  <w:num w:numId="13">
    <w:abstractNumId w:val="0"/>
  </w:num>
  <w:num w:numId="14">
    <w:abstractNumId w:val="15"/>
  </w:num>
  <w:num w:numId="15">
    <w:abstractNumId w:val="6"/>
  </w:num>
  <w:num w:numId="1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arilall, Sheri-Lee {MWJG~Sydney}">
    <w15:presenceInfo w15:providerId="None" w15:userId="Harilall, Sheri-Lee {MWJG~Sydne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hideGrammaticalErrors/>
  <w:activeWritingStyle w:appName="MSWord" w:lang="pt-BR" w:vendorID="64" w:dllVersion="6" w:nlCheck="1" w:checkStyle="0"/>
  <w:activeWritingStyle w:appName="MSWord" w:lang="en-NZ" w:vendorID="64" w:dllVersion="6" w:nlCheck="1" w:checkStyle="1"/>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de-DE" w:vendorID="64" w:dllVersion="6" w:nlCheck="1" w:checkStyle="0"/>
  <w:activeWritingStyle w:appName="MSWord" w:lang="fr-FR" w:vendorID="64" w:dllVersion="6" w:nlCheck="1" w:checkStyle="0"/>
  <w:activeWritingStyle w:appName="MSWord" w:lang="it-IT" w:vendorID="64" w:dllVersion="6" w:nlCheck="1" w:checkStyle="0"/>
  <w:activeWritingStyle w:appName="MSWord" w:lang="de-CH" w:vendorID="64" w:dllVersion="6" w:nlCheck="1" w:checkStyle="0"/>
  <w:activeWritingStyle w:appName="MSWord" w:lang="en-NZ" w:vendorID="64" w:dllVersion="0" w:nlCheck="1" w:checkStyle="0"/>
  <w:activeWritingStyle w:appName="MSWord" w:lang="en-US" w:vendorID="64" w:dllVersion="0" w:nlCheck="1" w:checkStyle="0"/>
  <w:activeWritingStyle w:appName="MSWord" w:lang="en-GB" w:vendorID="64" w:dllVersion="0" w:nlCheck="1" w:checkStyle="0"/>
  <w:activeWritingStyle w:appName="MSWord" w:lang="en-AU" w:vendorID="64" w:dllVersion="0" w:nlCheck="1" w:checkStyle="0"/>
  <w:activeWritingStyle w:appName="MSWord" w:lang="fr-FR" w:vendorID="64" w:dllVersion="0" w:nlCheck="1" w:checkStyle="0"/>
  <w:proofState w:spelling="clean" w:grammar="clean"/>
  <w:attachedTemplate r:id="rId1"/>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29B"/>
    <w:rsid w:val="00003548"/>
    <w:rsid w:val="00004855"/>
    <w:rsid w:val="00045105"/>
    <w:rsid w:val="00045860"/>
    <w:rsid w:val="00052D2B"/>
    <w:rsid w:val="000571B5"/>
    <w:rsid w:val="00063C81"/>
    <w:rsid w:val="00074220"/>
    <w:rsid w:val="000A3096"/>
    <w:rsid w:val="000A59F6"/>
    <w:rsid w:val="000A665B"/>
    <w:rsid w:val="000D562C"/>
    <w:rsid w:val="000E12C5"/>
    <w:rsid w:val="000E2E73"/>
    <w:rsid w:val="000E3B5F"/>
    <w:rsid w:val="000F5476"/>
    <w:rsid w:val="001234ED"/>
    <w:rsid w:val="001305E9"/>
    <w:rsid w:val="00146E82"/>
    <w:rsid w:val="00155938"/>
    <w:rsid w:val="00160ECE"/>
    <w:rsid w:val="001611CD"/>
    <w:rsid w:val="001724F7"/>
    <w:rsid w:val="00173338"/>
    <w:rsid w:val="00177498"/>
    <w:rsid w:val="00177D8C"/>
    <w:rsid w:val="00184002"/>
    <w:rsid w:val="00191402"/>
    <w:rsid w:val="00192E5A"/>
    <w:rsid w:val="001A0C8D"/>
    <w:rsid w:val="001A239A"/>
    <w:rsid w:val="001A4D6F"/>
    <w:rsid w:val="001A5A19"/>
    <w:rsid w:val="001B3AD7"/>
    <w:rsid w:val="001C2A3C"/>
    <w:rsid w:val="001D7151"/>
    <w:rsid w:val="001D786E"/>
    <w:rsid w:val="001D7BF9"/>
    <w:rsid w:val="001E0456"/>
    <w:rsid w:val="001E2087"/>
    <w:rsid w:val="002012E2"/>
    <w:rsid w:val="00204BDD"/>
    <w:rsid w:val="00205A38"/>
    <w:rsid w:val="00213ABE"/>
    <w:rsid w:val="00233F9C"/>
    <w:rsid w:val="002909E4"/>
    <w:rsid w:val="002A1F00"/>
    <w:rsid w:val="002A35E7"/>
    <w:rsid w:val="002A47B2"/>
    <w:rsid w:val="002A62FD"/>
    <w:rsid w:val="002A689B"/>
    <w:rsid w:val="002F05FC"/>
    <w:rsid w:val="00302709"/>
    <w:rsid w:val="003044FC"/>
    <w:rsid w:val="0030574B"/>
    <w:rsid w:val="00311266"/>
    <w:rsid w:val="0031764D"/>
    <w:rsid w:val="00322FE6"/>
    <w:rsid w:val="00336270"/>
    <w:rsid w:val="003440E8"/>
    <w:rsid w:val="00345CA5"/>
    <w:rsid w:val="003473D3"/>
    <w:rsid w:val="00356312"/>
    <w:rsid w:val="00362475"/>
    <w:rsid w:val="00363C7F"/>
    <w:rsid w:val="00364228"/>
    <w:rsid w:val="003652A0"/>
    <w:rsid w:val="00365A44"/>
    <w:rsid w:val="00365C8B"/>
    <w:rsid w:val="00367961"/>
    <w:rsid w:val="0037495B"/>
    <w:rsid w:val="003760C0"/>
    <w:rsid w:val="003A138D"/>
    <w:rsid w:val="003C575A"/>
    <w:rsid w:val="003C5EC9"/>
    <w:rsid w:val="003D0E8D"/>
    <w:rsid w:val="003E4887"/>
    <w:rsid w:val="003E51CC"/>
    <w:rsid w:val="003E5FFE"/>
    <w:rsid w:val="003F4DF6"/>
    <w:rsid w:val="004031AA"/>
    <w:rsid w:val="00407592"/>
    <w:rsid w:val="00407719"/>
    <w:rsid w:val="00414D20"/>
    <w:rsid w:val="00450DAA"/>
    <w:rsid w:val="004667E1"/>
    <w:rsid w:val="00466ECF"/>
    <w:rsid w:val="004712BE"/>
    <w:rsid w:val="00475F45"/>
    <w:rsid w:val="004965A8"/>
    <w:rsid w:val="004B2E3C"/>
    <w:rsid w:val="004C7408"/>
    <w:rsid w:val="004E5377"/>
    <w:rsid w:val="004F1432"/>
    <w:rsid w:val="004F6C17"/>
    <w:rsid w:val="00501394"/>
    <w:rsid w:val="005020CB"/>
    <w:rsid w:val="005114AD"/>
    <w:rsid w:val="00513230"/>
    <w:rsid w:val="00517995"/>
    <w:rsid w:val="005415E9"/>
    <w:rsid w:val="005420C1"/>
    <w:rsid w:val="0054630C"/>
    <w:rsid w:val="00552476"/>
    <w:rsid w:val="005614CF"/>
    <w:rsid w:val="00561FC4"/>
    <w:rsid w:val="005751F2"/>
    <w:rsid w:val="0058141F"/>
    <w:rsid w:val="005904B8"/>
    <w:rsid w:val="00594C19"/>
    <w:rsid w:val="00597A30"/>
    <w:rsid w:val="005A2864"/>
    <w:rsid w:val="005C5D1D"/>
    <w:rsid w:val="005E631D"/>
    <w:rsid w:val="005F5990"/>
    <w:rsid w:val="00601523"/>
    <w:rsid w:val="0060329B"/>
    <w:rsid w:val="0060563E"/>
    <w:rsid w:val="0061435A"/>
    <w:rsid w:val="00615052"/>
    <w:rsid w:val="00621701"/>
    <w:rsid w:val="0062200E"/>
    <w:rsid w:val="00624397"/>
    <w:rsid w:val="00624D66"/>
    <w:rsid w:val="00627046"/>
    <w:rsid w:val="006279A1"/>
    <w:rsid w:val="0063078C"/>
    <w:rsid w:val="00631876"/>
    <w:rsid w:val="00633219"/>
    <w:rsid w:val="006442FD"/>
    <w:rsid w:val="00644D3D"/>
    <w:rsid w:val="00651E59"/>
    <w:rsid w:val="00654EB5"/>
    <w:rsid w:val="006608B6"/>
    <w:rsid w:val="00666925"/>
    <w:rsid w:val="006723E8"/>
    <w:rsid w:val="0067390C"/>
    <w:rsid w:val="006742F0"/>
    <w:rsid w:val="00674CFD"/>
    <w:rsid w:val="006757A5"/>
    <w:rsid w:val="006A5558"/>
    <w:rsid w:val="006B75A4"/>
    <w:rsid w:val="006B7D54"/>
    <w:rsid w:val="006C6D73"/>
    <w:rsid w:val="006C73C2"/>
    <w:rsid w:val="006F052E"/>
    <w:rsid w:val="00712499"/>
    <w:rsid w:val="0071539D"/>
    <w:rsid w:val="0072403E"/>
    <w:rsid w:val="007535E3"/>
    <w:rsid w:val="007658C4"/>
    <w:rsid w:val="007666D6"/>
    <w:rsid w:val="007A72AC"/>
    <w:rsid w:val="007B0922"/>
    <w:rsid w:val="007B2253"/>
    <w:rsid w:val="007B38B4"/>
    <w:rsid w:val="007C0FEE"/>
    <w:rsid w:val="007C236A"/>
    <w:rsid w:val="007E7073"/>
    <w:rsid w:val="00800DBA"/>
    <w:rsid w:val="008104FB"/>
    <w:rsid w:val="00811FEA"/>
    <w:rsid w:val="00813E59"/>
    <w:rsid w:val="00820652"/>
    <w:rsid w:val="008214E7"/>
    <w:rsid w:val="00834C48"/>
    <w:rsid w:val="008457DD"/>
    <w:rsid w:val="00852A3B"/>
    <w:rsid w:val="00853368"/>
    <w:rsid w:val="0086361F"/>
    <w:rsid w:val="0087549F"/>
    <w:rsid w:val="00875FD7"/>
    <w:rsid w:val="008903F2"/>
    <w:rsid w:val="008955B6"/>
    <w:rsid w:val="00896CDA"/>
    <w:rsid w:val="008B56AA"/>
    <w:rsid w:val="008D412A"/>
    <w:rsid w:val="008E0232"/>
    <w:rsid w:val="008F3947"/>
    <w:rsid w:val="00902EBE"/>
    <w:rsid w:val="00903DB9"/>
    <w:rsid w:val="009266DF"/>
    <w:rsid w:val="00926DAE"/>
    <w:rsid w:val="00927594"/>
    <w:rsid w:val="00942495"/>
    <w:rsid w:val="009628BF"/>
    <w:rsid w:val="00964ABA"/>
    <w:rsid w:val="009A73C1"/>
    <w:rsid w:val="009B3628"/>
    <w:rsid w:val="009E3A75"/>
    <w:rsid w:val="009F1918"/>
    <w:rsid w:val="009F4C5B"/>
    <w:rsid w:val="00A01A37"/>
    <w:rsid w:val="00A04381"/>
    <w:rsid w:val="00A3616E"/>
    <w:rsid w:val="00A363EE"/>
    <w:rsid w:val="00A42907"/>
    <w:rsid w:val="00A4304C"/>
    <w:rsid w:val="00A4743D"/>
    <w:rsid w:val="00A52FD7"/>
    <w:rsid w:val="00A536D4"/>
    <w:rsid w:val="00A807D3"/>
    <w:rsid w:val="00A8585F"/>
    <w:rsid w:val="00AA60D3"/>
    <w:rsid w:val="00AA7BC6"/>
    <w:rsid w:val="00AB4DCF"/>
    <w:rsid w:val="00B03DB2"/>
    <w:rsid w:val="00B10BA0"/>
    <w:rsid w:val="00B1134D"/>
    <w:rsid w:val="00B1498F"/>
    <w:rsid w:val="00B1571F"/>
    <w:rsid w:val="00B47F89"/>
    <w:rsid w:val="00B51201"/>
    <w:rsid w:val="00B65D51"/>
    <w:rsid w:val="00B72105"/>
    <w:rsid w:val="00B8096C"/>
    <w:rsid w:val="00B9039F"/>
    <w:rsid w:val="00B9238F"/>
    <w:rsid w:val="00B92E5D"/>
    <w:rsid w:val="00B94DA3"/>
    <w:rsid w:val="00B95264"/>
    <w:rsid w:val="00BA0878"/>
    <w:rsid w:val="00BA26B4"/>
    <w:rsid w:val="00BB2798"/>
    <w:rsid w:val="00BB43EC"/>
    <w:rsid w:val="00BC2E52"/>
    <w:rsid w:val="00BE793A"/>
    <w:rsid w:val="00BE7DC2"/>
    <w:rsid w:val="00BF2C36"/>
    <w:rsid w:val="00BF3D2C"/>
    <w:rsid w:val="00C114D0"/>
    <w:rsid w:val="00C21045"/>
    <w:rsid w:val="00C41711"/>
    <w:rsid w:val="00C4445C"/>
    <w:rsid w:val="00C50CAB"/>
    <w:rsid w:val="00C568D3"/>
    <w:rsid w:val="00C60186"/>
    <w:rsid w:val="00C61D87"/>
    <w:rsid w:val="00C62741"/>
    <w:rsid w:val="00C70AB9"/>
    <w:rsid w:val="00C84374"/>
    <w:rsid w:val="00C84D79"/>
    <w:rsid w:val="00C92DFA"/>
    <w:rsid w:val="00C96D3B"/>
    <w:rsid w:val="00C97612"/>
    <w:rsid w:val="00CA0E91"/>
    <w:rsid w:val="00CA6122"/>
    <w:rsid w:val="00CB6D43"/>
    <w:rsid w:val="00CC6729"/>
    <w:rsid w:val="00CD6B5E"/>
    <w:rsid w:val="00CF1AAF"/>
    <w:rsid w:val="00CF3BFF"/>
    <w:rsid w:val="00D128EC"/>
    <w:rsid w:val="00D214AE"/>
    <w:rsid w:val="00D22EC4"/>
    <w:rsid w:val="00D32342"/>
    <w:rsid w:val="00D41003"/>
    <w:rsid w:val="00D51AAF"/>
    <w:rsid w:val="00D52399"/>
    <w:rsid w:val="00D638E9"/>
    <w:rsid w:val="00D66F8F"/>
    <w:rsid w:val="00DB7BBC"/>
    <w:rsid w:val="00DC0440"/>
    <w:rsid w:val="00DC0776"/>
    <w:rsid w:val="00DC5D58"/>
    <w:rsid w:val="00DD0E07"/>
    <w:rsid w:val="00DE388D"/>
    <w:rsid w:val="00DE6865"/>
    <w:rsid w:val="00DF235A"/>
    <w:rsid w:val="00E00D93"/>
    <w:rsid w:val="00E2081C"/>
    <w:rsid w:val="00E21CCD"/>
    <w:rsid w:val="00E222B4"/>
    <w:rsid w:val="00E30355"/>
    <w:rsid w:val="00E345ED"/>
    <w:rsid w:val="00E44B26"/>
    <w:rsid w:val="00E54EE6"/>
    <w:rsid w:val="00E71446"/>
    <w:rsid w:val="00E73887"/>
    <w:rsid w:val="00E73B96"/>
    <w:rsid w:val="00E76E30"/>
    <w:rsid w:val="00E8206E"/>
    <w:rsid w:val="00E8439C"/>
    <w:rsid w:val="00EE2A34"/>
    <w:rsid w:val="00EE2A5B"/>
    <w:rsid w:val="00EF7B97"/>
    <w:rsid w:val="00F222DB"/>
    <w:rsid w:val="00F43B7A"/>
    <w:rsid w:val="00F477E2"/>
    <w:rsid w:val="00F5220C"/>
    <w:rsid w:val="00F53F98"/>
    <w:rsid w:val="00F6610D"/>
    <w:rsid w:val="00F93985"/>
    <w:rsid w:val="00F953F4"/>
    <w:rsid w:val="00FB04A6"/>
    <w:rsid w:val="00FC7222"/>
    <w:rsid w:val="00FE67FC"/>
    <w:rsid w:val="00FF2BBE"/>
    <w:rsid w:val="00FF62C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269118"/>
  <w15:docId w15:val="{5A6B33A3-EA53-462A-B65A-054F30F6F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color w:val="000000"/>
        <w:sz w:val="24"/>
        <w:szCs w:val="24"/>
        <w:lang w:val="en-NZ" w:eastAsia="en-AU"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spacing w:before="480"/>
      <w:ind w:left="360" w:hanging="360"/>
      <w:contextualSpacing/>
      <w:outlineLvl w:val="0"/>
    </w:pPr>
    <w:rPr>
      <w:b/>
    </w:rPr>
  </w:style>
  <w:style w:type="paragraph" w:styleId="Heading2">
    <w:name w:val="heading 2"/>
    <w:basedOn w:val="Normal"/>
    <w:next w:val="Normal"/>
    <w:rsid w:val="00902EBE"/>
    <w:pPr>
      <w:spacing w:before="200"/>
      <w:ind w:left="786" w:hanging="786"/>
      <w:outlineLvl w:val="1"/>
    </w:pPr>
    <w:rPr>
      <w:b/>
    </w:rPr>
  </w:style>
  <w:style w:type="paragraph" w:styleId="Heading3">
    <w:name w:val="heading 3"/>
    <w:basedOn w:val="Normal"/>
    <w:next w:val="Normal"/>
    <w:pPr>
      <w:spacing w:before="200" w:line="271" w:lineRule="auto"/>
      <w:outlineLvl w:val="2"/>
    </w:pPr>
    <w:rPr>
      <w:b/>
    </w:rPr>
  </w:style>
  <w:style w:type="paragraph" w:styleId="Heading4">
    <w:name w:val="heading 4"/>
    <w:basedOn w:val="Normal"/>
    <w:next w:val="Normal"/>
    <w:link w:val="Heading4Char"/>
    <w:pPr>
      <w:spacing w:before="200"/>
      <w:outlineLvl w:val="3"/>
    </w:pPr>
    <w:rPr>
      <w:u w:val="single"/>
    </w:rPr>
  </w:style>
  <w:style w:type="paragraph" w:styleId="Heading5">
    <w:name w:val="heading 5"/>
    <w:basedOn w:val="Normal"/>
    <w:next w:val="Normal"/>
    <w:pPr>
      <w:spacing w:before="200"/>
      <w:outlineLvl w:val="4"/>
    </w:pPr>
    <w:rPr>
      <w:i/>
    </w:rPr>
  </w:style>
  <w:style w:type="paragraph" w:styleId="Heading6">
    <w:name w:val="heading 6"/>
    <w:basedOn w:val="Normal"/>
    <w:next w:val="Normal"/>
    <w:link w:val="Heading6Char"/>
    <w:pPr>
      <w:spacing w:line="271" w:lineRule="auto"/>
      <w:outlineLvl w:val="5"/>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bottom w:val="single" w:sz="4" w:space="1" w:color="000000"/>
      </w:pBdr>
      <w:contextualSpacing/>
    </w:pPr>
    <w:rPr>
      <w:rFonts w:ascii="Calibri" w:eastAsia="Calibri" w:hAnsi="Calibri" w:cs="Calibri"/>
      <w:sz w:val="52"/>
      <w:szCs w:val="52"/>
    </w:rPr>
  </w:style>
  <w:style w:type="paragraph" w:styleId="Subtitle">
    <w:name w:val="Subtitle"/>
    <w:basedOn w:val="Normal"/>
    <w:next w:val="Normal"/>
    <w:pPr>
      <w:spacing w:after="600"/>
    </w:pPr>
    <w:rPr>
      <w:rFonts w:ascii="Calibri" w:eastAsia="Calibri" w:hAnsi="Calibri" w:cs="Calibri"/>
      <w:i/>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6C73C2"/>
    <w:pPr>
      <w:tabs>
        <w:tab w:val="center" w:pos="4513"/>
        <w:tab w:val="right" w:pos="9026"/>
      </w:tabs>
    </w:pPr>
  </w:style>
  <w:style w:type="character" w:customStyle="1" w:styleId="HeaderChar">
    <w:name w:val="Header Char"/>
    <w:basedOn w:val="DefaultParagraphFont"/>
    <w:link w:val="Header"/>
    <w:uiPriority w:val="99"/>
    <w:rsid w:val="006C73C2"/>
  </w:style>
  <w:style w:type="paragraph" w:styleId="Footer">
    <w:name w:val="footer"/>
    <w:basedOn w:val="Normal"/>
    <w:link w:val="FooterChar"/>
    <w:unhideWhenUsed/>
    <w:rsid w:val="006C73C2"/>
    <w:pPr>
      <w:tabs>
        <w:tab w:val="center" w:pos="4513"/>
        <w:tab w:val="right" w:pos="9026"/>
      </w:tabs>
    </w:pPr>
  </w:style>
  <w:style w:type="character" w:customStyle="1" w:styleId="FooterChar">
    <w:name w:val="Footer Char"/>
    <w:basedOn w:val="DefaultParagraphFont"/>
    <w:link w:val="Footer"/>
    <w:rsid w:val="006C73C2"/>
  </w:style>
  <w:style w:type="paragraph" w:styleId="ListParagraph">
    <w:name w:val="List Paragraph"/>
    <w:aliases w:val="Bullet List,Bullet1,Bullets,Hyperlink1,Hyperlink2,Odstavec se seznamem1,Section 5,hyperlink"/>
    <w:basedOn w:val="Normal"/>
    <w:link w:val="ListParagraphChar"/>
    <w:uiPriority w:val="34"/>
    <w:qFormat/>
    <w:rsid w:val="00E21CCD"/>
    <w:pPr>
      <w:ind w:left="720"/>
      <w:contextualSpacing/>
    </w:pPr>
  </w:style>
  <w:style w:type="character" w:styleId="Hyperlink">
    <w:name w:val="Hyperlink"/>
    <w:basedOn w:val="DefaultParagraphFont"/>
    <w:uiPriority w:val="99"/>
    <w:unhideWhenUsed/>
    <w:rsid w:val="00E21CCD"/>
    <w:rPr>
      <w:color w:val="0000FF"/>
      <w:u w:val="single"/>
    </w:rPr>
  </w:style>
  <w:style w:type="paragraph" w:customStyle="1" w:styleId="Default">
    <w:name w:val="Default"/>
    <w:rsid w:val="000E2E7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lang w:val="en-AU"/>
    </w:rPr>
  </w:style>
  <w:style w:type="paragraph" w:styleId="BalloonText">
    <w:name w:val="Balloon Text"/>
    <w:basedOn w:val="Normal"/>
    <w:link w:val="BalloonTextChar"/>
    <w:uiPriority w:val="99"/>
    <w:semiHidden/>
    <w:unhideWhenUsed/>
    <w:rsid w:val="00CC6729"/>
    <w:rPr>
      <w:rFonts w:ascii="Tahoma" w:hAnsi="Tahoma" w:cs="Tahoma"/>
      <w:sz w:val="16"/>
      <w:szCs w:val="16"/>
    </w:rPr>
  </w:style>
  <w:style w:type="character" w:customStyle="1" w:styleId="BalloonTextChar">
    <w:name w:val="Balloon Text Char"/>
    <w:basedOn w:val="DefaultParagraphFont"/>
    <w:link w:val="BalloonText"/>
    <w:uiPriority w:val="99"/>
    <w:semiHidden/>
    <w:rsid w:val="00CC6729"/>
    <w:rPr>
      <w:rFonts w:ascii="Tahoma" w:hAnsi="Tahoma" w:cs="Tahoma"/>
      <w:sz w:val="16"/>
      <w:szCs w:val="16"/>
    </w:rPr>
  </w:style>
  <w:style w:type="table" w:styleId="TableGrid">
    <w:name w:val="Table Grid"/>
    <w:basedOn w:val="TableNormal"/>
    <w:uiPriority w:val="59"/>
    <w:rsid w:val="00513230"/>
    <w:pPr>
      <w:pBdr>
        <w:top w:val="none" w:sz="0" w:space="0" w:color="auto"/>
        <w:left w:val="none" w:sz="0" w:space="0" w:color="auto"/>
        <w:bottom w:val="none" w:sz="0" w:space="0" w:color="auto"/>
        <w:right w:val="none" w:sz="0" w:space="0" w:color="auto"/>
        <w:between w:val="none" w:sz="0" w:space="0" w:color="auto"/>
      </w:pBdr>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Bayer Caption,Figure A.,Figure A. Char,Lengende,Table 1"/>
    <w:basedOn w:val="Normal"/>
    <w:next w:val="Normal"/>
    <w:link w:val="CaptionChar"/>
    <w:unhideWhenUsed/>
    <w:qFormat/>
    <w:rsid w:val="00DB7BBC"/>
    <w:pPr>
      <w:spacing w:after="200"/>
    </w:pPr>
    <w:rPr>
      <w:iCs/>
      <w:color w:val="auto"/>
      <w:sz w:val="22"/>
      <w:szCs w:val="18"/>
    </w:rPr>
  </w:style>
  <w:style w:type="character" w:styleId="CommentReference">
    <w:name w:val="annotation reference"/>
    <w:aliases w:val="Annotationmark"/>
    <w:basedOn w:val="DefaultParagraphFont"/>
    <w:uiPriority w:val="99"/>
    <w:unhideWhenUsed/>
    <w:rsid w:val="00C97612"/>
    <w:rPr>
      <w:sz w:val="16"/>
      <w:szCs w:val="16"/>
    </w:rPr>
  </w:style>
  <w:style w:type="paragraph" w:styleId="CommentText">
    <w:name w:val="annotation text"/>
    <w:aliases w:val="Annotationtext,Comment Text Char Char,Comment Text Char Char Char Char,Comment Text Char Char1 Char,Comment Text Char1 Char Char,Comment Text Char2 Char"/>
    <w:basedOn w:val="Normal"/>
    <w:link w:val="CommentTextChar"/>
    <w:uiPriority w:val="99"/>
    <w:unhideWhenUsed/>
    <w:rsid w:val="00C97612"/>
    <w:rPr>
      <w:sz w:val="20"/>
      <w:szCs w:val="20"/>
    </w:rPr>
  </w:style>
  <w:style w:type="character" w:customStyle="1" w:styleId="CommentTextChar">
    <w:name w:val="Comment Text Char"/>
    <w:aliases w:val="Annotationtext Char,Comment Text Char Char Char,Comment Text Char Char Char Char Char,Comment Text Char Char1 Char Char,Comment Text Char1 Char Char Char,Comment Text Char2 Char Char"/>
    <w:basedOn w:val="DefaultParagraphFont"/>
    <w:link w:val="CommentText"/>
    <w:uiPriority w:val="99"/>
    <w:rsid w:val="00C97612"/>
    <w:rPr>
      <w:sz w:val="20"/>
      <w:szCs w:val="20"/>
    </w:rPr>
  </w:style>
  <w:style w:type="paragraph" w:styleId="CommentSubject">
    <w:name w:val="annotation subject"/>
    <w:basedOn w:val="CommentText"/>
    <w:next w:val="CommentText"/>
    <w:link w:val="CommentSubjectChar"/>
    <w:uiPriority w:val="99"/>
    <w:semiHidden/>
    <w:unhideWhenUsed/>
    <w:rsid w:val="00C97612"/>
    <w:rPr>
      <w:b/>
      <w:bCs/>
    </w:rPr>
  </w:style>
  <w:style w:type="character" w:customStyle="1" w:styleId="CommentSubjectChar">
    <w:name w:val="Comment Subject Char"/>
    <w:basedOn w:val="CommentTextChar"/>
    <w:link w:val="CommentSubject"/>
    <w:uiPriority w:val="99"/>
    <w:semiHidden/>
    <w:rsid w:val="00C97612"/>
    <w:rPr>
      <w:b/>
      <w:bCs/>
      <w:sz w:val="20"/>
      <w:szCs w:val="20"/>
    </w:rPr>
  </w:style>
  <w:style w:type="paragraph" w:customStyle="1" w:styleId="Paragraph">
    <w:name w:val="Paragraph"/>
    <w:basedOn w:val="Normal"/>
    <w:link w:val="ParagraphChar"/>
    <w:qFormat/>
    <w:rsid w:val="00875FD7"/>
    <w:pPr>
      <w:pBdr>
        <w:top w:val="none" w:sz="0" w:space="0" w:color="auto"/>
        <w:left w:val="none" w:sz="0" w:space="0" w:color="auto"/>
        <w:bottom w:val="none" w:sz="0" w:space="0" w:color="auto"/>
        <w:right w:val="none" w:sz="0" w:space="0" w:color="auto"/>
        <w:between w:val="none" w:sz="0" w:space="0" w:color="auto"/>
      </w:pBdr>
      <w:spacing w:after="250" w:line="300" w:lineRule="atLeast"/>
    </w:pPr>
    <w:rPr>
      <w:color w:val="auto"/>
      <w:sz w:val="22"/>
      <w:lang w:val="en-US" w:eastAsia="en-US"/>
    </w:rPr>
  </w:style>
  <w:style w:type="character" w:customStyle="1" w:styleId="ParagraphChar">
    <w:name w:val="Paragraph Char"/>
    <w:link w:val="Paragraph"/>
    <w:rsid w:val="00875FD7"/>
    <w:rPr>
      <w:color w:val="auto"/>
      <w:sz w:val="22"/>
      <w:lang w:val="en-US" w:eastAsia="en-US"/>
    </w:rPr>
  </w:style>
  <w:style w:type="paragraph" w:styleId="NormalWeb">
    <w:name w:val="Normal (Web)"/>
    <w:basedOn w:val="Normal"/>
    <w:uiPriority w:val="99"/>
    <w:unhideWhenUsed/>
    <w:rsid w:val="00DC0776"/>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lang w:val="en-GB" w:eastAsia="en-US"/>
    </w:rPr>
  </w:style>
  <w:style w:type="character" w:customStyle="1" w:styleId="apple-tab-span">
    <w:name w:val="apple-tab-span"/>
    <w:rsid w:val="00DE388D"/>
  </w:style>
  <w:style w:type="paragraph" w:customStyle="1" w:styleId="SynopsisText">
    <w:name w:val="Synopsis Text"/>
    <w:basedOn w:val="Normal"/>
    <w:link w:val="SynopsisTextChar"/>
    <w:rsid w:val="00B65D51"/>
    <w:pPr>
      <w:pBdr>
        <w:top w:val="none" w:sz="0" w:space="0" w:color="auto"/>
        <w:left w:val="none" w:sz="0" w:space="0" w:color="auto"/>
        <w:bottom w:val="none" w:sz="0" w:space="0" w:color="auto"/>
        <w:right w:val="none" w:sz="0" w:space="0" w:color="auto"/>
        <w:between w:val="none" w:sz="0" w:space="0" w:color="auto"/>
      </w:pBdr>
      <w:spacing w:after="60" w:line="220" w:lineRule="exact"/>
      <w:ind w:left="72" w:right="72"/>
    </w:pPr>
    <w:rPr>
      <w:color w:val="auto"/>
      <w:sz w:val="20"/>
      <w:lang w:val="en-US" w:eastAsia="en-US"/>
    </w:rPr>
  </w:style>
  <w:style w:type="character" w:customStyle="1" w:styleId="SynopsisTextChar">
    <w:name w:val="Synopsis Text Char"/>
    <w:link w:val="SynopsisText"/>
    <w:rsid w:val="00B65D51"/>
    <w:rPr>
      <w:color w:val="auto"/>
      <w:sz w:val="20"/>
      <w:lang w:val="en-US" w:eastAsia="en-US"/>
    </w:rPr>
  </w:style>
  <w:style w:type="paragraph" w:customStyle="1" w:styleId="TextTi12">
    <w:name w:val="Text:Ti12"/>
    <w:basedOn w:val="Normal"/>
    <w:link w:val="TextTi12Char"/>
    <w:rsid w:val="00B9039F"/>
    <w:pPr>
      <w:pBdr>
        <w:top w:val="none" w:sz="0" w:space="0" w:color="auto"/>
        <w:left w:val="none" w:sz="0" w:space="0" w:color="auto"/>
        <w:bottom w:val="none" w:sz="0" w:space="0" w:color="auto"/>
        <w:right w:val="none" w:sz="0" w:space="0" w:color="auto"/>
        <w:between w:val="none" w:sz="0" w:space="0" w:color="auto"/>
      </w:pBdr>
      <w:spacing w:after="170" w:line="280" w:lineRule="atLeast"/>
      <w:jc w:val="both"/>
    </w:pPr>
    <w:rPr>
      <w:color w:val="auto"/>
      <w:lang w:val="en-US" w:eastAsia="de-DE"/>
    </w:rPr>
  </w:style>
  <w:style w:type="character" w:customStyle="1" w:styleId="TextTi12Char">
    <w:name w:val="Text:Ti12 Char"/>
    <w:link w:val="TextTi12"/>
    <w:rsid w:val="00B9039F"/>
    <w:rPr>
      <w:color w:val="auto"/>
      <w:lang w:val="en-US" w:eastAsia="de-DE"/>
    </w:rPr>
  </w:style>
  <w:style w:type="paragraph" w:styleId="ListNumber">
    <w:name w:val="List Number"/>
    <w:basedOn w:val="Normal"/>
    <w:rsid w:val="00621701"/>
    <w:pPr>
      <w:numPr>
        <w:numId w:val="13"/>
      </w:numPr>
      <w:pBdr>
        <w:top w:val="none" w:sz="0" w:space="0" w:color="auto"/>
        <w:left w:val="none" w:sz="0" w:space="0" w:color="auto"/>
        <w:bottom w:val="none" w:sz="0" w:space="0" w:color="auto"/>
        <w:right w:val="none" w:sz="0" w:space="0" w:color="auto"/>
        <w:between w:val="none" w:sz="0" w:space="0" w:color="auto"/>
      </w:pBdr>
      <w:spacing w:after="100" w:line="280" w:lineRule="atLeast"/>
    </w:pPr>
    <w:rPr>
      <w:rFonts w:ascii="Arial" w:eastAsia="SimSun" w:hAnsi="Arial"/>
      <w:color w:val="auto"/>
      <w:sz w:val="22"/>
      <w:lang w:val="en-US" w:eastAsia="zh-CN"/>
    </w:rPr>
  </w:style>
  <w:style w:type="paragraph" w:customStyle="1" w:styleId="TabFigNote">
    <w:name w:val="TabFig Note"/>
    <w:basedOn w:val="Normal"/>
    <w:rsid w:val="00621701"/>
    <w:pPr>
      <w:keepNext/>
      <w:keepLines/>
      <w:pBdr>
        <w:top w:val="none" w:sz="0" w:space="0" w:color="auto"/>
        <w:left w:val="none" w:sz="0" w:space="0" w:color="auto"/>
        <w:bottom w:val="none" w:sz="0" w:space="0" w:color="auto"/>
        <w:right w:val="none" w:sz="0" w:space="0" w:color="auto"/>
        <w:between w:val="none" w:sz="0" w:space="0" w:color="auto"/>
      </w:pBdr>
      <w:spacing w:before="40" w:line="240" w:lineRule="exact"/>
      <w:ind w:left="29"/>
    </w:pPr>
    <w:rPr>
      <w:rFonts w:ascii="Arial" w:eastAsia="SimSun" w:hAnsi="Arial"/>
      <w:color w:val="auto"/>
      <w:sz w:val="20"/>
      <w:lang w:val="en-US" w:eastAsia="zh-CN"/>
    </w:rPr>
  </w:style>
  <w:style w:type="paragraph" w:customStyle="1" w:styleId="C-BodyText">
    <w:name w:val="C-Body Text"/>
    <w:link w:val="C-BodyTextChar"/>
    <w:rsid w:val="00BB43EC"/>
    <w:pPr>
      <w:pBdr>
        <w:top w:val="none" w:sz="0" w:space="0" w:color="auto"/>
        <w:left w:val="none" w:sz="0" w:space="0" w:color="auto"/>
        <w:bottom w:val="none" w:sz="0" w:space="0" w:color="auto"/>
        <w:right w:val="none" w:sz="0" w:space="0" w:color="auto"/>
        <w:between w:val="none" w:sz="0" w:space="0" w:color="auto"/>
      </w:pBdr>
      <w:spacing w:before="120" w:after="120" w:line="280" w:lineRule="atLeast"/>
    </w:pPr>
    <w:rPr>
      <w:color w:val="auto"/>
      <w:szCs w:val="20"/>
      <w:lang w:val="en-US" w:eastAsia="en-US"/>
    </w:rPr>
  </w:style>
  <w:style w:type="character" w:customStyle="1" w:styleId="C-BodyTextChar">
    <w:name w:val="C-Body Text Char"/>
    <w:link w:val="C-BodyText"/>
    <w:rsid w:val="00BB43EC"/>
    <w:rPr>
      <w:color w:val="auto"/>
      <w:szCs w:val="20"/>
      <w:lang w:val="en-US" w:eastAsia="en-US"/>
    </w:rPr>
  </w:style>
  <w:style w:type="paragraph" w:customStyle="1" w:styleId="C-TableHeader">
    <w:name w:val="C-Table Header"/>
    <w:next w:val="Normal"/>
    <w:link w:val="C-TableHeaderChar"/>
    <w:rsid w:val="00BB43EC"/>
    <w:pPr>
      <w:keepNext/>
      <w:pBdr>
        <w:top w:val="none" w:sz="0" w:space="0" w:color="auto"/>
        <w:left w:val="none" w:sz="0" w:space="0" w:color="auto"/>
        <w:bottom w:val="none" w:sz="0" w:space="0" w:color="auto"/>
        <w:right w:val="none" w:sz="0" w:space="0" w:color="auto"/>
        <w:between w:val="none" w:sz="0" w:space="0" w:color="auto"/>
      </w:pBdr>
      <w:spacing w:before="60" w:after="60"/>
    </w:pPr>
    <w:rPr>
      <w:b/>
      <w:color w:val="auto"/>
      <w:sz w:val="22"/>
      <w:szCs w:val="20"/>
      <w:lang w:val="en-US" w:eastAsia="en-US"/>
    </w:rPr>
  </w:style>
  <w:style w:type="character" w:customStyle="1" w:styleId="C-TableHeaderChar">
    <w:name w:val="C-Table Header Char"/>
    <w:link w:val="C-TableHeader"/>
    <w:rsid w:val="00BB43EC"/>
    <w:rPr>
      <w:b/>
      <w:color w:val="auto"/>
      <w:sz w:val="22"/>
      <w:szCs w:val="20"/>
      <w:lang w:val="en-US" w:eastAsia="en-US"/>
    </w:rPr>
  </w:style>
  <w:style w:type="table" w:customStyle="1" w:styleId="TableGrid2">
    <w:name w:val="Table Grid2"/>
    <w:basedOn w:val="TableNormal"/>
    <w:next w:val="TableGrid"/>
    <w:uiPriority w:val="59"/>
    <w:rsid w:val="00BB43EC"/>
    <w:pPr>
      <w:pBdr>
        <w:top w:val="none" w:sz="0" w:space="0" w:color="auto"/>
        <w:left w:val="none" w:sz="0" w:space="0" w:color="auto"/>
        <w:bottom w:val="none" w:sz="0" w:space="0" w:color="auto"/>
        <w:right w:val="none" w:sz="0" w:space="0" w:color="auto"/>
        <w:between w:val="none" w:sz="0" w:space="0" w:color="auto"/>
      </w:pBdr>
    </w:pPr>
    <w:rPr>
      <w:rFonts w:asciiTheme="minorHAnsi" w:eastAsiaTheme="minorHAnsi" w:hAnsiTheme="minorHAnsi" w:cstheme="minorBidi"/>
      <w:color w:val="auto"/>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rsid w:val="00BB43EC"/>
    <w:rPr>
      <w:u w:val="single"/>
    </w:rPr>
  </w:style>
  <w:style w:type="paragraph" w:customStyle="1" w:styleId="HangingIndent">
    <w:name w:val="Hanging Indent"/>
    <w:basedOn w:val="Normal"/>
    <w:rsid w:val="00BB43EC"/>
    <w:pPr>
      <w:pBdr>
        <w:top w:val="none" w:sz="0" w:space="0" w:color="auto"/>
        <w:left w:val="none" w:sz="0" w:space="0" w:color="auto"/>
        <w:bottom w:val="none" w:sz="0" w:space="0" w:color="auto"/>
        <w:right w:val="none" w:sz="0" w:space="0" w:color="auto"/>
        <w:between w:val="none" w:sz="0" w:space="0" w:color="auto"/>
      </w:pBdr>
      <w:ind w:left="567" w:hanging="567"/>
    </w:pPr>
    <w:rPr>
      <w:color w:val="auto"/>
      <w:sz w:val="22"/>
      <w:szCs w:val="20"/>
      <w:lang w:val="en-US" w:eastAsia="ja-JP"/>
    </w:rPr>
  </w:style>
  <w:style w:type="character" w:customStyle="1" w:styleId="Heading6Char">
    <w:name w:val="Heading 6 Char"/>
    <w:link w:val="Heading6"/>
    <w:rsid w:val="00BB43EC"/>
    <w:rPr>
      <w:i/>
    </w:rPr>
  </w:style>
  <w:style w:type="character" w:customStyle="1" w:styleId="CaptionChar">
    <w:name w:val="Caption Char"/>
    <w:aliases w:val="Bayer Caption Char,Figure A. Char1,Figure A. Char Char,Lengende Char,Table 1 Char"/>
    <w:link w:val="Caption"/>
    <w:rsid w:val="00BB43EC"/>
    <w:rPr>
      <w:iCs/>
      <w:color w:val="auto"/>
      <w:sz w:val="22"/>
      <w:szCs w:val="18"/>
    </w:rPr>
  </w:style>
  <w:style w:type="table" w:customStyle="1" w:styleId="TableGrid3">
    <w:name w:val="Table Grid3"/>
    <w:basedOn w:val="TableNormal"/>
    <w:next w:val="TableGrid"/>
    <w:uiPriority w:val="39"/>
    <w:rsid w:val="00BB43EC"/>
    <w:pPr>
      <w:pBdr>
        <w:top w:val="none" w:sz="0" w:space="0" w:color="auto"/>
        <w:left w:val="none" w:sz="0" w:space="0" w:color="auto"/>
        <w:bottom w:val="none" w:sz="0" w:space="0" w:color="auto"/>
        <w:right w:val="none" w:sz="0" w:space="0" w:color="auto"/>
        <w:between w:val="none" w:sz="0" w:space="0" w:color="auto"/>
      </w:pBdr>
    </w:pPr>
    <w:rPr>
      <w:color w:val="auto"/>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TableText">
    <w:name w:val="C-Table Text"/>
    <w:link w:val="C-TableTextChar"/>
    <w:rsid w:val="00BB43EC"/>
    <w:pPr>
      <w:pBdr>
        <w:top w:val="none" w:sz="0" w:space="0" w:color="auto"/>
        <w:left w:val="none" w:sz="0" w:space="0" w:color="auto"/>
        <w:bottom w:val="none" w:sz="0" w:space="0" w:color="auto"/>
        <w:right w:val="none" w:sz="0" w:space="0" w:color="auto"/>
        <w:between w:val="none" w:sz="0" w:space="0" w:color="auto"/>
      </w:pBdr>
      <w:spacing w:before="60" w:after="60"/>
    </w:pPr>
    <w:rPr>
      <w:color w:val="auto"/>
      <w:sz w:val="22"/>
      <w:szCs w:val="20"/>
      <w:lang w:val="en-US" w:eastAsia="en-US"/>
    </w:rPr>
  </w:style>
  <w:style w:type="character" w:customStyle="1" w:styleId="C-TableTextChar">
    <w:name w:val="C-Table Text Char"/>
    <w:link w:val="C-TableText"/>
    <w:locked/>
    <w:rsid w:val="00BB43EC"/>
    <w:rPr>
      <w:color w:val="auto"/>
      <w:sz w:val="22"/>
      <w:szCs w:val="20"/>
      <w:lang w:val="en-US" w:eastAsia="en-US"/>
    </w:rPr>
  </w:style>
  <w:style w:type="paragraph" w:customStyle="1" w:styleId="C-MW-BodyText">
    <w:name w:val="C-MW-Body Text"/>
    <w:basedOn w:val="C-BodyText"/>
    <w:link w:val="C-MW-BodyTextChar"/>
    <w:qFormat/>
    <w:rsid w:val="00BB43EC"/>
    <w:pPr>
      <w:jc w:val="both"/>
    </w:pPr>
  </w:style>
  <w:style w:type="character" w:customStyle="1" w:styleId="C-MW-BodyTextChar">
    <w:name w:val="C-MW-Body Text Char"/>
    <w:basedOn w:val="C-BodyTextChar"/>
    <w:link w:val="C-MW-BodyText"/>
    <w:rsid w:val="00BB43EC"/>
    <w:rPr>
      <w:color w:val="auto"/>
      <w:szCs w:val="20"/>
      <w:lang w:val="en-US" w:eastAsia="en-US"/>
    </w:rPr>
  </w:style>
  <w:style w:type="character" w:customStyle="1" w:styleId="C-Hyperlink">
    <w:name w:val="C-Hyperlink"/>
    <w:rsid w:val="00BB43EC"/>
    <w:rPr>
      <w:color w:val="0000FF"/>
    </w:rPr>
  </w:style>
  <w:style w:type="character" w:customStyle="1" w:styleId="ListParagraphChar">
    <w:name w:val="List Paragraph Char"/>
    <w:aliases w:val="Bullet List Char,Bullet1 Char,Bullets Char,Hyperlink1 Char,Hyperlink2 Char,Odstavec se seznamem1 Char,Section 5 Char,hyperlink Char"/>
    <w:link w:val="ListParagraph"/>
    <w:uiPriority w:val="34"/>
    <w:locked/>
    <w:rsid w:val="00BB43EC"/>
  </w:style>
  <w:style w:type="table" w:customStyle="1" w:styleId="TableGrid4">
    <w:name w:val="Table Grid4"/>
    <w:basedOn w:val="TableNormal"/>
    <w:next w:val="TableGrid"/>
    <w:uiPriority w:val="39"/>
    <w:rsid w:val="00BB43EC"/>
    <w:pPr>
      <w:pBdr>
        <w:top w:val="none" w:sz="0" w:space="0" w:color="auto"/>
        <w:left w:val="none" w:sz="0" w:space="0" w:color="auto"/>
        <w:bottom w:val="none" w:sz="0" w:space="0" w:color="auto"/>
        <w:right w:val="none" w:sz="0" w:space="0" w:color="auto"/>
        <w:between w:val="none" w:sz="0" w:space="0" w:color="auto"/>
      </w:pBdr>
    </w:pPr>
    <w:rPr>
      <w:color w:val="auto"/>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B43EC"/>
    <w:pPr>
      <w:pBdr>
        <w:top w:val="none" w:sz="0" w:space="0" w:color="auto"/>
        <w:left w:val="none" w:sz="0" w:space="0" w:color="auto"/>
        <w:bottom w:val="none" w:sz="0" w:space="0" w:color="auto"/>
        <w:right w:val="none" w:sz="0" w:space="0" w:color="auto"/>
        <w:between w:val="none" w:sz="0" w:space="0" w:color="auto"/>
      </w:pBdr>
    </w:pPr>
    <w:rPr>
      <w:color w:val="auto"/>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odyTextIndent">
    <w:name w:val="C-Body Text Indent"/>
    <w:rsid w:val="00BB43EC"/>
    <w:pPr>
      <w:pBdr>
        <w:top w:val="none" w:sz="0" w:space="0" w:color="auto"/>
        <w:left w:val="none" w:sz="0" w:space="0" w:color="auto"/>
        <w:bottom w:val="none" w:sz="0" w:space="0" w:color="auto"/>
        <w:right w:val="none" w:sz="0" w:space="0" w:color="auto"/>
        <w:between w:val="none" w:sz="0" w:space="0" w:color="auto"/>
      </w:pBdr>
      <w:spacing w:before="120" w:after="120" w:line="280" w:lineRule="atLeast"/>
      <w:ind w:left="360"/>
    </w:pPr>
    <w:rPr>
      <w:color w:val="auto"/>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61334">
      <w:bodyDiv w:val="1"/>
      <w:marLeft w:val="0"/>
      <w:marRight w:val="0"/>
      <w:marTop w:val="0"/>
      <w:marBottom w:val="0"/>
      <w:divBdr>
        <w:top w:val="none" w:sz="0" w:space="0" w:color="auto"/>
        <w:left w:val="none" w:sz="0" w:space="0" w:color="auto"/>
        <w:bottom w:val="none" w:sz="0" w:space="0" w:color="auto"/>
        <w:right w:val="none" w:sz="0" w:space="0" w:color="auto"/>
      </w:divBdr>
    </w:div>
    <w:div w:id="391928215">
      <w:bodyDiv w:val="1"/>
      <w:marLeft w:val="0"/>
      <w:marRight w:val="0"/>
      <w:marTop w:val="0"/>
      <w:marBottom w:val="0"/>
      <w:divBdr>
        <w:top w:val="none" w:sz="0" w:space="0" w:color="auto"/>
        <w:left w:val="none" w:sz="0" w:space="0" w:color="auto"/>
        <w:bottom w:val="none" w:sz="0" w:space="0" w:color="auto"/>
        <w:right w:val="none" w:sz="0" w:space="0" w:color="auto"/>
      </w:divBdr>
    </w:div>
    <w:div w:id="1253582487">
      <w:bodyDiv w:val="1"/>
      <w:marLeft w:val="0"/>
      <w:marRight w:val="0"/>
      <w:marTop w:val="0"/>
      <w:marBottom w:val="0"/>
      <w:divBdr>
        <w:top w:val="none" w:sz="0" w:space="0" w:color="auto"/>
        <w:left w:val="none" w:sz="0" w:space="0" w:color="auto"/>
        <w:bottom w:val="none" w:sz="0" w:space="0" w:color="auto"/>
        <w:right w:val="none" w:sz="0" w:space="0" w:color="auto"/>
      </w:divBdr>
    </w:div>
    <w:div w:id="1509442342">
      <w:bodyDiv w:val="1"/>
      <w:marLeft w:val="0"/>
      <w:marRight w:val="0"/>
      <w:marTop w:val="0"/>
      <w:marBottom w:val="0"/>
      <w:divBdr>
        <w:top w:val="none" w:sz="0" w:space="0" w:color="auto"/>
        <w:left w:val="none" w:sz="0" w:space="0" w:color="auto"/>
        <w:bottom w:val="none" w:sz="0" w:space="0" w:color="auto"/>
        <w:right w:val="none" w:sz="0" w:space="0" w:color="auto"/>
      </w:divBdr>
    </w:div>
    <w:div w:id="17010045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ga.gov.au/reporting-problems" TargetMode="External"/><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tga.gov.au/reporting-problems" TargetMode="Externa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Shared%20drives\RegANZ\Templates\Product%20Information\Data%20Sheet%20and%20Product%20Information%20(DSPI)%20Template-v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4E4A9-A6A5-4A0D-80C1-65F0D2678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Data Sheet and Product Information (DSPI) Template-v5.dotx</Template>
  <TotalTime>0</TotalTime>
  <Pages>30</Pages>
  <Words>10231</Words>
  <Characters>57296</Characters>
  <Application>Microsoft Office Word</Application>
  <DocSecurity>0</DocSecurity>
  <Lines>1081</Lines>
  <Paragraphs>482</Paragraphs>
  <ScaleCrop>false</ScaleCrop>
  <HeadingPairs>
    <vt:vector size="2" baseType="variant">
      <vt:variant>
        <vt:lpstr>Title</vt:lpstr>
      </vt:variant>
      <vt:variant>
        <vt:i4>1</vt:i4>
      </vt:variant>
    </vt:vector>
  </HeadingPairs>
  <TitlesOfParts>
    <vt:vector size="1" baseType="lpstr">
      <vt:lpstr/>
    </vt:vector>
  </TitlesOfParts>
  <Company>F. Hoffmann-La Roche, Ltd.</Company>
  <LinksUpToDate>false</LinksUpToDate>
  <CharactersWithSpaces>67045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Casirivimab/imdevimab</dc:title>
  <dc:subject>prescription medicines</dc:subject>
  <dc:creator>F. Hoffmann-La Roche, Ltd.</dc:creator>
  <cp:lastPrinted>2021-10-19T04:14:00Z</cp:lastPrinted>
  <dcterms:created xsi:type="dcterms:W3CDTF">2021-11-02T03:00:00Z</dcterms:created>
  <dcterms:modified xsi:type="dcterms:W3CDTF">2021-11-02T03:01:00Z</dcterms:modified>
</cp:coreProperties>
</file>