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A20C1F" w14:textId="0F000074" w:rsidR="003E7453" w:rsidRDefault="003E7453" w:rsidP="00B25C91">
      <w:pPr>
        <w:pStyle w:val="Heading2"/>
        <w:jc w:val="center"/>
        <w:rPr>
          <w:rFonts w:eastAsia="Times New Roman"/>
          <w:lang w:eastAsia="en-AU"/>
        </w:rPr>
      </w:pPr>
      <w:bookmarkStart w:id="0" w:name="_GoBack"/>
      <w:bookmarkEnd w:id="0"/>
      <w:r>
        <w:rPr>
          <w:rFonts w:eastAsia="Times New Roman"/>
          <w:lang w:eastAsia="en-AU"/>
        </w:rPr>
        <w:t>Product Information</w:t>
      </w:r>
    </w:p>
    <w:p w14:paraId="33B7C4A0" w14:textId="0C41B8C2" w:rsidR="003E7453" w:rsidRPr="003E7453" w:rsidRDefault="00A47A01">
      <w:pPr>
        <w:pStyle w:val="Heading1"/>
        <w:rPr>
          <w:rFonts w:eastAsia="Times New Roman"/>
          <w:lang w:eastAsia="en-AU"/>
        </w:rPr>
      </w:pPr>
      <w:r w:rsidRPr="003E7453">
        <w:rPr>
          <w:rFonts w:eastAsia="Times New Roman"/>
          <w:lang w:eastAsia="en-AU"/>
        </w:rPr>
        <w:t>C</w:t>
      </w:r>
      <w:r>
        <w:rPr>
          <w:rFonts w:eastAsia="Times New Roman"/>
          <w:lang w:eastAsia="en-AU"/>
        </w:rPr>
        <w:t>ARBAGLU</w:t>
      </w:r>
      <w:r w:rsidR="002C25E3" w:rsidRPr="002C25E3">
        <w:rPr>
          <w:rFonts w:eastAsia="Times New Roman"/>
          <w:vertAlign w:val="superscript"/>
          <w:lang w:eastAsia="en-AU"/>
        </w:rPr>
        <w:t>®</w:t>
      </w:r>
    </w:p>
    <w:p w14:paraId="2BFEECEB" w14:textId="77777777" w:rsidR="003E7453" w:rsidRPr="00290055" w:rsidRDefault="003E7453" w:rsidP="00E774A4">
      <w:pPr>
        <w:pStyle w:val="Heading2"/>
        <w:rPr>
          <w:lang w:eastAsia="en-AU"/>
        </w:rPr>
      </w:pPr>
      <w:r w:rsidRPr="00290055">
        <w:rPr>
          <w:lang w:eastAsia="en-AU"/>
        </w:rPr>
        <w:t>NAME OF THE MEDICINE</w:t>
      </w:r>
    </w:p>
    <w:p w14:paraId="6DD3AF16" w14:textId="77777777" w:rsidR="000C0F55" w:rsidRPr="00290055" w:rsidRDefault="003E7453">
      <w:pPr>
        <w:rPr>
          <w:rFonts w:cs="Times New Roman"/>
        </w:rPr>
      </w:pPr>
      <w:proofErr w:type="gramStart"/>
      <w:r w:rsidRPr="00290055">
        <w:rPr>
          <w:rFonts w:cs="Times New Roman"/>
        </w:rPr>
        <w:t>Carglumic acid 200 mg dispersible tablets</w:t>
      </w:r>
      <w:r w:rsidR="00290055" w:rsidRPr="00290055">
        <w:rPr>
          <w:rFonts w:cs="Times New Roman"/>
        </w:rPr>
        <w:t>.</w:t>
      </w:r>
      <w:proofErr w:type="gramEnd"/>
    </w:p>
    <w:p w14:paraId="6CF0D647" w14:textId="77777777" w:rsidR="003E7453" w:rsidRPr="00290055" w:rsidRDefault="00290055" w:rsidP="00290055">
      <w:pPr>
        <w:rPr>
          <w:rFonts w:cs="Times New Roman"/>
        </w:rPr>
      </w:pPr>
      <w:r w:rsidRPr="00290055">
        <w:rPr>
          <w:rFonts w:cs="Times New Roman"/>
        </w:rPr>
        <w:t>Carglumic acid is a white crystalline powder, soluble in boiling water, slightly soluble in cold water, practically insoluble in organic solvents (cyclohexane, dichloromethane, ether).</w:t>
      </w:r>
    </w:p>
    <w:p w14:paraId="6E594239" w14:textId="77777777" w:rsidR="00290055" w:rsidRPr="00290055" w:rsidRDefault="00290055" w:rsidP="00290055">
      <w:pPr>
        <w:rPr>
          <w:rFonts w:cs="Times New Roman"/>
        </w:rPr>
      </w:pPr>
      <w:r w:rsidRPr="00290055">
        <w:rPr>
          <w:rFonts w:cs="Times New Roman"/>
        </w:rPr>
        <w:t>Its structural formula is:</w:t>
      </w:r>
    </w:p>
    <w:p w14:paraId="714E7C37" w14:textId="77777777" w:rsidR="00290055" w:rsidRDefault="00290055" w:rsidP="00290055">
      <w:pPr>
        <w:jc w:val="center"/>
      </w:pPr>
      <w:r>
        <w:rPr>
          <w:noProof/>
          <w:lang w:eastAsia="en-AU"/>
        </w:rPr>
        <w:drawing>
          <wp:inline distT="0" distB="0" distL="0" distR="0" wp14:anchorId="17675DFF" wp14:editId="503AC342">
            <wp:extent cx="1981200" cy="1405035"/>
            <wp:effectExtent l="0" t="0" r="0" b="0"/>
            <wp:docPr id="1" name="Picture 1" descr="Molecular formula: C6H10N2O5&#10;Relative molecular mass: 190.16" title="structural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1981651" cy="1405355"/>
                    </a:xfrm>
                    <a:prstGeom prst="rect">
                      <a:avLst/>
                    </a:prstGeom>
                  </pic:spPr>
                </pic:pic>
              </a:graphicData>
            </a:graphic>
          </wp:inline>
        </w:drawing>
      </w:r>
    </w:p>
    <w:p w14:paraId="6B003F64" w14:textId="77777777" w:rsidR="00290055" w:rsidRPr="00290055" w:rsidRDefault="00290055" w:rsidP="00F176A8">
      <w:r w:rsidRPr="00290055">
        <w:t>Molecular formula: C</w:t>
      </w:r>
      <w:r w:rsidRPr="00E44149">
        <w:rPr>
          <w:vertAlign w:val="subscript"/>
        </w:rPr>
        <w:t>6</w:t>
      </w:r>
      <w:r w:rsidRPr="00290055">
        <w:t>H</w:t>
      </w:r>
      <w:r w:rsidRPr="00E44149">
        <w:rPr>
          <w:vertAlign w:val="subscript"/>
        </w:rPr>
        <w:t>10</w:t>
      </w:r>
      <w:r w:rsidRPr="00290055">
        <w:t>N</w:t>
      </w:r>
      <w:r w:rsidRPr="00E44149">
        <w:rPr>
          <w:vertAlign w:val="subscript"/>
        </w:rPr>
        <w:t>2</w:t>
      </w:r>
      <w:r w:rsidRPr="00290055">
        <w:t>O</w:t>
      </w:r>
      <w:r w:rsidRPr="00E44149">
        <w:rPr>
          <w:vertAlign w:val="subscript"/>
        </w:rPr>
        <w:t>5</w:t>
      </w:r>
    </w:p>
    <w:p w14:paraId="038CD173" w14:textId="77777777" w:rsidR="00290055" w:rsidRPr="00290055" w:rsidRDefault="00290055" w:rsidP="00F176A8">
      <w:r w:rsidRPr="00290055">
        <w:t>Relative molecular mass: 190.16</w:t>
      </w:r>
    </w:p>
    <w:p w14:paraId="4C4BCE77" w14:textId="77777777" w:rsidR="003E7453" w:rsidRDefault="00290055" w:rsidP="00E774A4">
      <w:pPr>
        <w:pStyle w:val="Heading2"/>
      </w:pPr>
      <w:r>
        <w:t>DESCRIPTION</w:t>
      </w:r>
    </w:p>
    <w:p w14:paraId="133C9316" w14:textId="27402DBA" w:rsidR="003E7453" w:rsidRPr="00290055" w:rsidRDefault="00A47A01" w:rsidP="00F176A8">
      <w:r>
        <w:t>CARBAGLU</w:t>
      </w:r>
      <w:r w:rsidRPr="00290055">
        <w:t xml:space="preserve"> </w:t>
      </w:r>
      <w:r w:rsidR="00290055" w:rsidRPr="00290055">
        <w:t>is a dispersible tablet containing 200mg of carglumic acid</w:t>
      </w:r>
      <w:r w:rsidR="0095213D">
        <w:t xml:space="preserve"> (CAS No. 1188-38-1)</w:t>
      </w:r>
      <w:r w:rsidR="004A7B1E">
        <w:t xml:space="preserve">. </w:t>
      </w:r>
      <w:r w:rsidR="00290055" w:rsidRPr="00290055">
        <w:t xml:space="preserve">The tablets are white and elongated </w:t>
      </w:r>
      <w:r w:rsidR="00FC6D2C">
        <w:t>and ca</w:t>
      </w:r>
      <w:r w:rsidR="00290055" w:rsidRPr="00290055">
        <w:t>n be divided into equal halves.</w:t>
      </w:r>
    </w:p>
    <w:p w14:paraId="15E35D08" w14:textId="182775A9" w:rsidR="00290055" w:rsidRPr="00F176A8" w:rsidRDefault="00A47A01" w:rsidP="00F176A8">
      <w:r>
        <w:t>CARBAGLU</w:t>
      </w:r>
      <w:r w:rsidRPr="00F176A8">
        <w:t xml:space="preserve"> </w:t>
      </w:r>
      <w:r w:rsidR="00290055" w:rsidRPr="00F176A8">
        <w:t xml:space="preserve">contains the following inactive ingredients: microcrystalline cellulose, sodium lauryl </w:t>
      </w:r>
      <w:proofErr w:type="spellStart"/>
      <w:r w:rsidR="0095213D" w:rsidRPr="00F176A8">
        <w:t>sulfate</w:t>
      </w:r>
      <w:proofErr w:type="spellEnd"/>
      <w:r w:rsidR="00290055" w:rsidRPr="00F176A8">
        <w:t xml:space="preserve">, </w:t>
      </w:r>
      <w:proofErr w:type="spellStart"/>
      <w:r w:rsidR="00290055" w:rsidRPr="00F176A8">
        <w:t>hypromellose</w:t>
      </w:r>
      <w:proofErr w:type="spellEnd"/>
      <w:r w:rsidR="00290055" w:rsidRPr="00F176A8">
        <w:t xml:space="preserve">, </w:t>
      </w:r>
      <w:proofErr w:type="spellStart"/>
      <w:r w:rsidR="00290055" w:rsidRPr="00F176A8">
        <w:t>croscarmellose</w:t>
      </w:r>
      <w:proofErr w:type="spellEnd"/>
      <w:r w:rsidR="00290055" w:rsidRPr="00F176A8">
        <w:t xml:space="preserve"> sodium, </w:t>
      </w:r>
      <w:r w:rsidR="0095213D" w:rsidRPr="00F176A8">
        <w:t xml:space="preserve">anhydrous colloidal </w:t>
      </w:r>
      <w:r w:rsidR="00290055" w:rsidRPr="00F176A8">
        <w:t xml:space="preserve">silica, sodium </w:t>
      </w:r>
      <w:proofErr w:type="spellStart"/>
      <w:r w:rsidR="00290055" w:rsidRPr="00F176A8">
        <w:t>stearylfumarate</w:t>
      </w:r>
      <w:proofErr w:type="spellEnd"/>
      <w:r w:rsidR="00290055" w:rsidRPr="00F176A8">
        <w:t>.</w:t>
      </w:r>
    </w:p>
    <w:p w14:paraId="4E74AB8F" w14:textId="77777777" w:rsidR="003E7453" w:rsidRDefault="00290055" w:rsidP="00E774A4">
      <w:pPr>
        <w:pStyle w:val="Heading2"/>
      </w:pPr>
      <w:r>
        <w:t>PHARMACOLOGY</w:t>
      </w:r>
    </w:p>
    <w:p w14:paraId="6CE67ADE" w14:textId="77777777" w:rsidR="00A134E7" w:rsidRPr="0035441C" w:rsidRDefault="00A134E7" w:rsidP="00A134E7">
      <w:pPr>
        <w:rPr>
          <w:rFonts w:cs="Times New Roman"/>
          <w:b/>
        </w:rPr>
      </w:pPr>
      <w:r w:rsidRPr="0035441C">
        <w:rPr>
          <w:rFonts w:cs="Times New Roman"/>
          <w:b/>
        </w:rPr>
        <w:t>Pharmacodynamics</w:t>
      </w:r>
    </w:p>
    <w:p w14:paraId="61048265" w14:textId="77777777" w:rsidR="00A134E7" w:rsidRPr="0035441C" w:rsidRDefault="00A134E7" w:rsidP="00695FE1">
      <w:pPr>
        <w:pStyle w:val="Heading4"/>
      </w:pPr>
      <w:r w:rsidRPr="0035441C">
        <w:t xml:space="preserve">Mechanism of action </w:t>
      </w:r>
    </w:p>
    <w:p w14:paraId="5B182158" w14:textId="40357761" w:rsidR="00A134E7" w:rsidRPr="0035441C" w:rsidRDefault="00A134E7" w:rsidP="00396BC5">
      <w:pPr>
        <w:rPr>
          <w:rFonts w:cs="Times New Roman"/>
        </w:rPr>
      </w:pPr>
      <w:r w:rsidRPr="0035441C">
        <w:rPr>
          <w:rFonts w:cs="Times New Roman"/>
        </w:rPr>
        <w:t>Carglumic acid is a structural analogue of N-</w:t>
      </w:r>
      <w:proofErr w:type="spellStart"/>
      <w:r w:rsidRPr="0035441C">
        <w:rPr>
          <w:rFonts w:cs="Times New Roman"/>
        </w:rPr>
        <w:t>acetylglutamate</w:t>
      </w:r>
      <w:proofErr w:type="spellEnd"/>
      <w:r w:rsidR="008B4471">
        <w:rPr>
          <w:rFonts w:cs="Times New Roman"/>
        </w:rPr>
        <w:t xml:space="preserve"> (NAG)</w:t>
      </w:r>
      <w:r w:rsidRPr="0035441C">
        <w:rPr>
          <w:rFonts w:cs="Times New Roman"/>
        </w:rPr>
        <w:t xml:space="preserve">, </w:t>
      </w:r>
      <w:r w:rsidR="00A47A01">
        <w:rPr>
          <w:rFonts w:cs="Times New Roman"/>
        </w:rPr>
        <w:t>which is the</w:t>
      </w:r>
      <w:r w:rsidRPr="0035441C">
        <w:rPr>
          <w:rFonts w:cs="Times New Roman"/>
        </w:rPr>
        <w:t xml:space="preserve"> naturally occurring activator of carbamoyl phosphate synthetase</w:t>
      </w:r>
      <w:r w:rsidR="008B4471">
        <w:rPr>
          <w:rFonts w:cs="Times New Roman"/>
        </w:rPr>
        <w:t xml:space="preserve"> 1</w:t>
      </w:r>
      <w:r w:rsidR="00A47A01">
        <w:rPr>
          <w:rFonts w:cs="Times New Roman"/>
        </w:rPr>
        <w:t xml:space="preserve"> (CPS</w:t>
      </w:r>
      <w:r w:rsidR="008B4471">
        <w:rPr>
          <w:rFonts w:cs="Times New Roman"/>
        </w:rPr>
        <w:t xml:space="preserve"> 1</w:t>
      </w:r>
      <w:r w:rsidR="00A47A01">
        <w:rPr>
          <w:rFonts w:cs="Times New Roman"/>
        </w:rPr>
        <w:t>)</w:t>
      </w:r>
      <w:r w:rsidRPr="0035441C">
        <w:rPr>
          <w:rFonts w:cs="Times New Roman"/>
        </w:rPr>
        <w:t xml:space="preserve">, the first enzyme of the urea cycle. </w:t>
      </w:r>
      <w:r w:rsidR="00396BC5" w:rsidRPr="00396BC5">
        <w:rPr>
          <w:rFonts w:cs="Times New Roman"/>
          <w:lang w:val="x-none"/>
        </w:rPr>
        <w:t>N-</w:t>
      </w:r>
      <w:proofErr w:type="spellStart"/>
      <w:r w:rsidR="00396BC5" w:rsidRPr="00396BC5">
        <w:rPr>
          <w:rFonts w:cs="Times New Roman"/>
          <w:lang w:val="x-none"/>
        </w:rPr>
        <w:t>acetylglutamate</w:t>
      </w:r>
      <w:proofErr w:type="spellEnd"/>
      <w:r w:rsidR="00396BC5" w:rsidRPr="00396BC5">
        <w:rPr>
          <w:rFonts w:cs="Times New Roman"/>
          <w:lang w:val="x-none"/>
        </w:rPr>
        <w:t xml:space="preserve"> is</w:t>
      </w:r>
      <w:r w:rsidR="00396BC5">
        <w:rPr>
          <w:rFonts w:cs="Times New Roman"/>
          <w:lang w:val="en-US"/>
        </w:rPr>
        <w:t xml:space="preserve"> </w:t>
      </w:r>
      <w:r w:rsidR="00396BC5" w:rsidRPr="00396BC5">
        <w:rPr>
          <w:rFonts w:cs="Times New Roman"/>
          <w:lang w:val="x-none"/>
        </w:rPr>
        <w:t>the product of N-</w:t>
      </w:r>
      <w:proofErr w:type="spellStart"/>
      <w:r w:rsidR="00396BC5" w:rsidRPr="00396BC5">
        <w:rPr>
          <w:rFonts w:cs="Times New Roman"/>
          <w:lang w:val="x-none"/>
        </w:rPr>
        <w:t>acetylglutamate</w:t>
      </w:r>
      <w:proofErr w:type="spellEnd"/>
      <w:r w:rsidR="00396BC5" w:rsidRPr="00396BC5">
        <w:rPr>
          <w:rFonts w:cs="Times New Roman"/>
          <w:lang w:val="x-none"/>
        </w:rPr>
        <w:t xml:space="preserve"> synthase</w:t>
      </w:r>
      <w:r w:rsidR="008B4471">
        <w:rPr>
          <w:rFonts w:cs="Times New Roman"/>
          <w:lang w:val="en-US"/>
        </w:rPr>
        <w:t xml:space="preserve"> (NAGS)</w:t>
      </w:r>
      <w:r w:rsidR="00396BC5" w:rsidRPr="00396BC5">
        <w:rPr>
          <w:rFonts w:cs="Times New Roman"/>
          <w:lang w:val="x-none"/>
        </w:rPr>
        <w:t>.</w:t>
      </w:r>
      <w:r w:rsidR="00396BC5">
        <w:rPr>
          <w:rFonts w:cs="Times New Roman"/>
        </w:rPr>
        <w:t xml:space="preserve"> </w:t>
      </w:r>
      <w:r w:rsidR="008B4471">
        <w:rPr>
          <w:rFonts w:cs="Times New Roman"/>
        </w:rPr>
        <w:t xml:space="preserve">Where NAGS is defective, NAG synthesis is impaired and thus CPS 1 is not activated; consequently the urea cycle is not triggered. </w:t>
      </w:r>
      <w:r w:rsidRPr="0035441C">
        <w:rPr>
          <w:rFonts w:cs="Times New Roman"/>
        </w:rPr>
        <w:t xml:space="preserve">Carglumic acid has been shown </w:t>
      </w:r>
      <w:r w:rsidRPr="0035441C">
        <w:rPr>
          <w:rFonts w:cs="Times New Roman"/>
          <w:i/>
          <w:iCs/>
        </w:rPr>
        <w:t xml:space="preserve">in vitro </w:t>
      </w:r>
      <w:r w:rsidRPr="0035441C">
        <w:rPr>
          <w:rFonts w:cs="Times New Roman"/>
        </w:rPr>
        <w:t xml:space="preserve">to activate </w:t>
      </w:r>
      <w:r w:rsidR="00A47A01">
        <w:rPr>
          <w:rFonts w:cs="Times New Roman"/>
        </w:rPr>
        <w:t>hepatic CPS</w:t>
      </w:r>
      <w:r w:rsidR="008B4471">
        <w:rPr>
          <w:rFonts w:cs="Times New Roman"/>
        </w:rPr>
        <w:t xml:space="preserve"> 1</w:t>
      </w:r>
      <w:r w:rsidRPr="0035441C">
        <w:rPr>
          <w:rFonts w:cs="Times New Roman"/>
        </w:rPr>
        <w:t>.</w:t>
      </w:r>
      <w:r w:rsidR="00A47A01">
        <w:rPr>
          <w:rFonts w:cs="Times New Roman"/>
        </w:rPr>
        <w:t xml:space="preserve"> Although carglumic acid has a lower affinity for CPS</w:t>
      </w:r>
      <w:r w:rsidR="00E44149">
        <w:rPr>
          <w:rFonts w:cs="Times New Roman"/>
        </w:rPr>
        <w:t xml:space="preserve"> </w:t>
      </w:r>
      <w:r w:rsidR="00A47A01">
        <w:rPr>
          <w:rFonts w:cs="Times New Roman"/>
        </w:rPr>
        <w:t xml:space="preserve">than the naturally occurring NAG, </w:t>
      </w:r>
      <w:r w:rsidR="00A47A01" w:rsidRPr="00A47A01">
        <w:rPr>
          <w:rFonts w:cs="Times New Roman"/>
          <w:i/>
        </w:rPr>
        <w:t>in vivo</w:t>
      </w:r>
      <w:r w:rsidR="00A47A01">
        <w:rPr>
          <w:rFonts w:cs="Times New Roman"/>
        </w:rPr>
        <w:t xml:space="preserve"> it has showed more effective and longer lasting effect than NAG</w:t>
      </w:r>
      <w:r w:rsidRPr="0035441C">
        <w:rPr>
          <w:rFonts w:cs="Times New Roman"/>
        </w:rPr>
        <w:t xml:space="preserve">. </w:t>
      </w:r>
    </w:p>
    <w:p w14:paraId="47C40A1B" w14:textId="77777777" w:rsidR="00A134E7" w:rsidRPr="0035441C" w:rsidRDefault="00A134E7" w:rsidP="00695FE1">
      <w:pPr>
        <w:pStyle w:val="Heading4"/>
      </w:pPr>
      <w:proofErr w:type="spellStart"/>
      <w:r w:rsidRPr="0035441C">
        <w:t>Pharmacodynamic</w:t>
      </w:r>
      <w:proofErr w:type="spellEnd"/>
      <w:r w:rsidRPr="0035441C">
        <w:t xml:space="preserve"> effects </w:t>
      </w:r>
    </w:p>
    <w:p w14:paraId="46C47F2E" w14:textId="56DE5277" w:rsidR="00A134E7" w:rsidRPr="00A134E7" w:rsidRDefault="00A134E7" w:rsidP="00A134E7">
      <w:pPr>
        <w:rPr>
          <w:rFonts w:cs="Times New Roman"/>
        </w:rPr>
      </w:pPr>
      <w:r w:rsidRPr="00A134E7">
        <w:rPr>
          <w:rFonts w:cs="Times New Roman"/>
        </w:rPr>
        <w:lastRenderedPageBreak/>
        <w:t>Other studies have been conducted in rats under different experimental conditions leading to increased ammonia availability (starvation, protein-free or high-protein diet). Carglumic acid was shown to decrease blood ammonia levels and increase urea levels in blood and urine, whereas the liver content of carbamoyl phosphate synthetase activators was significantly increased.</w:t>
      </w:r>
    </w:p>
    <w:p w14:paraId="7B4FEB96" w14:textId="77777777" w:rsidR="00290055" w:rsidRPr="00290055" w:rsidRDefault="00290055" w:rsidP="00695FE1">
      <w:pPr>
        <w:pStyle w:val="Heading4"/>
      </w:pPr>
      <w:r w:rsidRPr="00290055">
        <w:t>Pharmacokinetics</w:t>
      </w:r>
    </w:p>
    <w:p w14:paraId="440DDE91" w14:textId="5E31A8B7" w:rsidR="00290055" w:rsidRPr="00290055" w:rsidRDefault="00290055" w:rsidP="00290055">
      <w:pPr>
        <w:rPr>
          <w:rFonts w:cs="Times New Roman"/>
        </w:rPr>
      </w:pPr>
      <w:r w:rsidRPr="00290055">
        <w:rPr>
          <w:rFonts w:cs="Times New Roman"/>
        </w:rPr>
        <w:t>The pharmacokinetics of carglumic acid has been studied in healthy male volunteers using radiolabelled and unlabelled product.</w:t>
      </w:r>
    </w:p>
    <w:p w14:paraId="63202AEE" w14:textId="77777777" w:rsidR="00290055" w:rsidRPr="00B67A77" w:rsidRDefault="00290055" w:rsidP="00E774A4">
      <w:pPr>
        <w:pStyle w:val="Heading5"/>
      </w:pPr>
      <w:r w:rsidRPr="00B67A77">
        <w:t>Absorption</w:t>
      </w:r>
    </w:p>
    <w:p w14:paraId="641BC686" w14:textId="32226493" w:rsidR="00290055" w:rsidRDefault="00290055" w:rsidP="00290055">
      <w:pPr>
        <w:rPr>
          <w:rFonts w:cs="Times New Roman"/>
        </w:rPr>
      </w:pPr>
      <w:r w:rsidRPr="00290055">
        <w:rPr>
          <w:rFonts w:cs="Times New Roman"/>
        </w:rPr>
        <w:t>After a single oral dose of 100 mg/kg body weight, approximately 30% of carglumic acid is estimated</w:t>
      </w:r>
      <w:r>
        <w:rPr>
          <w:rFonts w:cs="Times New Roman"/>
        </w:rPr>
        <w:t xml:space="preserve"> </w:t>
      </w:r>
      <w:r w:rsidRPr="00290055">
        <w:rPr>
          <w:rFonts w:cs="Times New Roman"/>
        </w:rPr>
        <w:t xml:space="preserve">to be absorbed. At that dose-level, in 12 volunteers given </w:t>
      </w:r>
      <w:r w:rsidR="00A47A01">
        <w:rPr>
          <w:rFonts w:cs="Times New Roman"/>
        </w:rPr>
        <w:t>CARBAGLU</w:t>
      </w:r>
      <w:r w:rsidR="00A47A01" w:rsidRPr="00290055">
        <w:rPr>
          <w:rFonts w:cs="Times New Roman"/>
        </w:rPr>
        <w:t xml:space="preserve"> </w:t>
      </w:r>
      <w:r w:rsidRPr="00290055">
        <w:rPr>
          <w:rFonts w:cs="Times New Roman"/>
        </w:rPr>
        <w:t>tablets, plasma concentration</w:t>
      </w:r>
      <w:r>
        <w:rPr>
          <w:rFonts w:cs="Times New Roman"/>
        </w:rPr>
        <w:t xml:space="preserve"> </w:t>
      </w:r>
      <w:r w:rsidRPr="00290055">
        <w:rPr>
          <w:rFonts w:cs="Times New Roman"/>
        </w:rPr>
        <w:t xml:space="preserve">peaked </w:t>
      </w:r>
      <w:proofErr w:type="gramStart"/>
      <w:r w:rsidRPr="00290055">
        <w:rPr>
          <w:rFonts w:cs="Times New Roman"/>
        </w:rPr>
        <w:t>at 2.6 µg/ml (median; range 1.8-4.8)</w:t>
      </w:r>
      <w:proofErr w:type="gramEnd"/>
      <w:r w:rsidRPr="00290055">
        <w:rPr>
          <w:rFonts w:cs="Times New Roman"/>
        </w:rPr>
        <w:t xml:space="preserve"> after 3 hours (median; range 2-4).</w:t>
      </w:r>
    </w:p>
    <w:p w14:paraId="6082D2A5" w14:textId="76F1A105" w:rsidR="00A47A01" w:rsidRDefault="00A47A01" w:rsidP="00290055">
      <w:pPr>
        <w:rPr>
          <w:rFonts w:cs="Times New Roman"/>
        </w:rPr>
      </w:pPr>
      <w:r>
        <w:rPr>
          <w:rFonts w:cs="Times New Roman"/>
        </w:rPr>
        <w:t>Absolute bioavailability of carglumic acid has not been determined.</w:t>
      </w:r>
    </w:p>
    <w:p w14:paraId="189BE942" w14:textId="77777777" w:rsidR="00290055" w:rsidRPr="00B67A77" w:rsidRDefault="00290055" w:rsidP="00E774A4">
      <w:pPr>
        <w:pStyle w:val="Heading5"/>
      </w:pPr>
      <w:r w:rsidRPr="00E774A4">
        <w:t>Distribution</w:t>
      </w:r>
    </w:p>
    <w:p w14:paraId="30505601" w14:textId="77777777" w:rsidR="00290055" w:rsidRPr="00290055" w:rsidRDefault="00290055" w:rsidP="00290055">
      <w:pPr>
        <w:rPr>
          <w:rFonts w:cs="Times New Roman"/>
        </w:rPr>
      </w:pPr>
      <w:r w:rsidRPr="00290055">
        <w:rPr>
          <w:rFonts w:cs="Times New Roman"/>
        </w:rPr>
        <w:t>The plasma elimination curve of carglumic acid is biphasic with a rapid phase over the first 12 hours</w:t>
      </w:r>
      <w:r w:rsidR="00B67A77">
        <w:rPr>
          <w:rFonts w:cs="Times New Roman"/>
        </w:rPr>
        <w:t xml:space="preserve"> </w:t>
      </w:r>
      <w:r w:rsidRPr="00290055">
        <w:rPr>
          <w:rFonts w:cs="Times New Roman"/>
        </w:rPr>
        <w:t xml:space="preserve">after administration followed by a slow phase (terminal </w:t>
      </w:r>
      <w:r w:rsidR="0035441C" w:rsidRPr="00290055">
        <w:rPr>
          <w:rFonts w:cs="Times New Roman"/>
        </w:rPr>
        <w:t>half-life</w:t>
      </w:r>
      <w:r w:rsidRPr="00290055">
        <w:rPr>
          <w:rFonts w:cs="Times New Roman"/>
        </w:rPr>
        <w:t xml:space="preserve"> up to 28 hours).</w:t>
      </w:r>
    </w:p>
    <w:p w14:paraId="150033B7" w14:textId="19D8EA19" w:rsidR="00290055" w:rsidRPr="00290055" w:rsidRDefault="00290055" w:rsidP="00290055">
      <w:pPr>
        <w:rPr>
          <w:rFonts w:cs="Times New Roman"/>
        </w:rPr>
      </w:pPr>
      <w:r w:rsidRPr="00290055">
        <w:rPr>
          <w:rFonts w:cs="Times New Roman"/>
        </w:rPr>
        <w:t>Protein binding has not been determined.</w:t>
      </w:r>
    </w:p>
    <w:p w14:paraId="43CCB4AB" w14:textId="77777777" w:rsidR="00290055" w:rsidRPr="0035441C" w:rsidRDefault="00290055" w:rsidP="00E774A4">
      <w:pPr>
        <w:pStyle w:val="Heading5"/>
      </w:pPr>
      <w:r w:rsidRPr="0035441C">
        <w:t>Metabolism</w:t>
      </w:r>
    </w:p>
    <w:p w14:paraId="56E7363A" w14:textId="5D42A53E" w:rsidR="00290055" w:rsidRPr="00290055" w:rsidRDefault="00290055" w:rsidP="00396BC5">
      <w:pPr>
        <w:rPr>
          <w:rFonts w:cs="Times New Roman"/>
        </w:rPr>
      </w:pPr>
      <w:r w:rsidRPr="00290055">
        <w:rPr>
          <w:rFonts w:cs="Times New Roman"/>
        </w:rPr>
        <w:t>A proportion of carglumic acid is metabolised</w:t>
      </w:r>
      <w:r w:rsidR="00396BC5">
        <w:rPr>
          <w:rFonts w:cs="Times New Roman"/>
        </w:rPr>
        <w:t>, possibly by the intestinal flora</w:t>
      </w:r>
      <w:r w:rsidRPr="00290055">
        <w:rPr>
          <w:rFonts w:cs="Times New Roman"/>
        </w:rPr>
        <w:t xml:space="preserve">. </w:t>
      </w:r>
      <w:r w:rsidR="00396BC5">
        <w:rPr>
          <w:rFonts w:cs="Times New Roman"/>
        </w:rPr>
        <w:t xml:space="preserve">One </w:t>
      </w:r>
      <w:r w:rsidR="00A47A01">
        <w:rPr>
          <w:rFonts w:cs="Times New Roman"/>
        </w:rPr>
        <w:t xml:space="preserve">possible </w:t>
      </w:r>
      <w:r w:rsidR="00396BC5">
        <w:rPr>
          <w:rFonts w:cs="Times New Roman"/>
        </w:rPr>
        <w:t xml:space="preserve">end product of carglumic acid metabolism is carbon dioxide, which is eliminated through the lungs. </w:t>
      </w:r>
    </w:p>
    <w:p w14:paraId="7F183B7D" w14:textId="77777777" w:rsidR="00290055" w:rsidRPr="0035441C" w:rsidRDefault="00290055" w:rsidP="00E774A4">
      <w:pPr>
        <w:pStyle w:val="Heading5"/>
      </w:pPr>
      <w:r w:rsidRPr="0035441C">
        <w:t>Elimination</w:t>
      </w:r>
    </w:p>
    <w:p w14:paraId="5FAF243E" w14:textId="77777777" w:rsidR="00290055" w:rsidRPr="00290055" w:rsidRDefault="00290055" w:rsidP="00290055">
      <w:pPr>
        <w:rPr>
          <w:rFonts w:cs="Times New Roman"/>
        </w:rPr>
      </w:pPr>
      <w:r w:rsidRPr="00290055">
        <w:rPr>
          <w:rFonts w:cs="Times New Roman"/>
        </w:rPr>
        <w:t>After a single oral dose of 100 mg/kg body weight, 9% of the dose is excreted unchanged in the urine</w:t>
      </w:r>
      <w:r w:rsidR="00B67A77">
        <w:rPr>
          <w:rFonts w:cs="Times New Roman"/>
        </w:rPr>
        <w:t xml:space="preserve"> </w:t>
      </w:r>
      <w:r w:rsidRPr="00290055">
        <w:rPr>
          <w:rFonts w:cs="Times New Roman"/>
        </w:rPr>
        <w:t>and up to 60% in the faeces.</w:t>
      </w:r>
    </w:p>
    <w:p w14:paraId="5D0E45D9" w14:textId="77777777" w:rsidR="003E7453" w:rsidRDefault="00290055" w:rsidP="00290055">
      <w:pPr>
        <w:rPr>
          <w:rFonts w:cs="Times New Roman"/>
        </w:rPr>
      </w:pPr>
      <w:r w:rsidRPr="00290055">
        <w:rPr>
          <w:rFonts w:cs="Times New Roman"/>
        </w:rPr>
        <w:t>Plasma levels of carglumic acid were measured in patients of all age categories, from newborn infants</w:t>
      </w:r>
      <w:r w:rsidR="00B67A77">
        <w:rPr>
          <w:rFonts w:cs="Times New Roman"/>
        </w:rPr>
        <w:t xml:space="preserve"> </w:t>
      </w:r>
      <w:r w:rsidRPr="00290055">
        <w:rPr>
          <w:rFonts w:cs="Times New Roman"/>
        </w:rPr>
        <w:t>to adolescents, treated with various daily doses (7 – 122 mg/kg/day). The range</w:t>
      </w:r>
      <w:r w:rsidR="00787CE6">
        <w:rPr>
          <w:rFonts w:cs="Times New Roman"/>
        </w:rPr>
        <w:t>s reported</w:t>
      </w:r>
      <w:r w:rsidRPr="00290055">
        <w:rPr>
          <w:rFonts w:cs="Times New Roman"/>
        </w:rPr>
        <w:t xml:space="preserve"> w</w:t>
      </w:r>
      <w:r w:rsidR="00787CE6">
        <w:rPr>
          <w:rFonts w:cs="Times New Roman"/>
        </w:rPr>
        <w:t>ere</w:t>
      </w:r>
      <w:r w:rsidRPr="00290055">
        <w:rPr>
          <w:rFonts w:cs="Times New Roman"/>
        </w:rPr>
        <w:t xml:space="preserve"> consistent with</w:t>
      </w:r>
      <w:r w:rsidR="00B67A77">
        <w:rPr>
          <w:rFonts w:cs="Times New Roman"/>
        </w:rPr>
        <w:t xml:space="preserve"> </w:t>
      </w:r>
      <w:r w:rsidRPr="00290055">
        <w:rPr>
          <w:rFonts w:cs="Times New Roman"/>
        </w:rPr>
        <w:t xml:space="preserve">those measured in healthy adults, </w:t>
      </w:r>
      <w:r w:rsidR="00787CE6">
        <w:rPr>
          <w:rFonts w:cs="Times New Roman"/>
        </w:rPr>
        <w:t>including those from</w:t>
      </w:r>
      <w:r w:rsidRPr="00290055">
        <w:rPr>
          <w:rFonts w:cs="Times New Roman"/>
        </w:rPr>
        <w:t xml:space="preserve"> newborn infants. </w:t>
      </w:r>
      <w:r w:rsidR="00787CE6">
        <w:rPr>
          <w:rFonts w:cs="Times New Roman"/>
        </w:rPr>
        <w:t>Regardless of</w:t>
      </w:r>
      <w:r w:rsidRPr="00290055">
        <w:rPr>
          <w:rFonts w:cs="Times New Roman"/>
        </w:rPr>
        <w:t xml:space="preserve"> the daily dose, </w:t>
      </w:r>
      <w:r w:rsidR="00787CE6">
        <w:rPr>
          <w:rFonts w:cs="Times New Roman"/>
        </w:rPr>
        <w:t>plasma levels</w:t>
      </w:r>
      <w:r w:rsidRPr="00290055">
        <w:rPr>
          <w:rFonts w:cs="Times New Roman"/>
        </w:rPr>
        <w:t xml:space="preserve"> slowly</w:t>
      </w:r>
      <w:r w:rsidR="00B67A77">
        <w:rPr>
          <w:rFonts w:cs="Times New Roman"/>
        </w:rPr>
        <w:t xml:space="preserve"> </w:t>
      </w:r>
      <w:r w:rsidRPr="00290055">
        <w:rPr>
          <w:rFonts w:cs="Times New Roman"/>
        </w:rPr>
        <w:t>declin</w:t>
      </w:r>
      <w:r w:rsidR="00787CE6">
        <w:rPr>
          <w:rFonts w:cs="Times New Roman"/>
        </w:rPr>
        <w:t>ed</w:t>
      </w:r>
      <w:r w:rsidRPr="00290055">
        <w:rPr>
          <w:rFonts w:cs="Times New Roman"/>
        </w:rPr>
        <w:t xml:space="preserve"> over 15 hours to levels </w:t>
      </w:r>
      <w:r w:rsidR="005475AE" w:rsidRPr="00290055">
        <w:rPr>
          <w:rFonts w:cs="Times New Roman"/>
        </w:rPr>
        <w:t>a</w:t>
      </w:r>
      <w:r w:rsidR="005475AE">
        <w:rPr>
          <w:rFonts w:cs="Times New Roman"/>
        </w:rPr>
        <w:t>pproximately</w:t>
      </w:r>
      <w:r w:rsidRPr="00290055">
        <w:rPr>
          <w:rFonts w:cs="Times New Roman"/>
        </w:rPr>
        <w:t xml:space="preserve"> 100 ng/ml.</w:t>
      </w:r>
    </w:p>
    <w:p w14:paraId="079A822F" w14:textId="77777777" w:rsidR="003E7453" w:rsidRDefault="00A134E7" w:rsidP="00787CE6">
      <w:pPr>
        <w:pStyle w:val="Heading2"/>
      </w:pPr>
      <w:r>
        <w:t>CLINICAL TRIALS</w:t>
      </w:r>
    </w:p>
    <w:p w14:paraId="4D80EB36" w14:textId="77777777" w:rsidR="00340E76" w:rsidRDefault="00340E76" w:rsidP="00340E76">
      <w:pPr>
        <w:pStyle w:val="Heading3"/>
      </w:pPr>
      <w:r>
        <w:t>NAGS Deficiency</w:t>
      </w:r>
    </w:p>
    <w:p w14:paraId="65CC61EA" w14:textId="77777777" w:rsidR="007D40D5" w:rsidRDefault="007D40D5" w:rsidP="00787CE6">
      <w:r w:rsidRPr="007D40D5">
        <w:t>In patients with N-</w:t>
      </w:r>
      <w:proofErr w:type="spellStart"/>
      <w:r w:rsidRPr="007D40D5">
        <w:t>acetylglutamate</w:t>
      </w:r>
      <w:proofErr w:type="spellEnd"/>
      <w:r w:rsidRPr="007D40D5">
        <w:t xml:space="preserve"> synthase </w:t>
      </w:r>
      <w:r w:rsidR="005475AE">
        <w:t xml:space="preserve">(NAGS) </w:t>
      </w:r>
      <w:r w:rsidRPr="007D40D5">
        <w:t xml:space="preserve">deficiency, carglumic acid </w:t>
      </w:r>
      <w:r w:rsidR="005475AE">
        <w:t xml:space="preserve">has been </w:t>
      </w:r>
      <w:r w:rsidRPr="007D40D5">
        <w:t>shown to induce a rapid</w:t>
      </w:r>
      <w:r>
        <w:t xml:space="preserve"> </w:t>
      </w:r>
      <w:r w:rsidRPr="007D40D5">
        <w:t xml:space="preserve">normalisation of plasma ammonia levels, usually within 24 hours. </w:t>
      </w:r>
      <w:r w:rsidRPr="007D40D5">
        <w:lastRenderedPageBreak/>
        <w:t>When the treatment was instituted</w:t>
      </w:r>
      <w:r>
        <w:t xml:space="preserve"> </w:t>
      </w:r>
      <w:r w:rsidRPr="007D40D5">
        <w:t>before any permanent brain damage, patients exhibited normal growth and psychomotor development.</w:t>
      </w:r>
    </w:p>
    <w:p w14:paraId="2F644B9F" w14:textId="6C792B0C" w:rsidR="00F176A8" w:rsidRDefault="005475AE">
      <w:pPr>
        <w:rPr>
          <w:b/>
          <w:bCs/>
          <w:szCs w:val="18"/>
        </w:rPr>
      </w:pPr>
      <w:r>
        <w:t>In a retrospective, non-comparative descriptive study, data was collected from NAGS deficiency patients treated with car</w:t>
      </w:r>
      <w:r w:rsidR="00854DDD">
        <w:t>glumic acid for the management of hyperammonaemia.  Of the 23 patients reviewed, 18 were on long term</w:t>
      </w:r>
      <w:r w:rsidR="008B4471">
        <w:t xml:space="preserve"> continuous</w:t>
      </w:r>
      <w:r w:rsidR="00854DDD">
        <w:t xml:space="preserve"> therapy with carglumic acid.  The mean baseline biochemistry results are summarised in </w:t>
      </w:r>
      <w:r w:rsidR="002B12CF">
        <w:fldChar w:fldCharType="begin"/>
      </w:r>
      <w:r w:rsidR="002B12CF">
        <w:instrText xml:space="preserve"> REF _Ref408913370 \h </w:instrText>
      </w:r>
      <w:r w:rsidR="002B12CF">
        <w:fldChar w:fldCharType="separate"/>
      </w:r>
      <w:r w:rsidR="00AC203B">
        <w:t xml:space="preserve">Table </w:t>
      </w:r>
      <w:r w:rsidR="00AC203B">
        <w:rPr>
          <w:noProof/>
        </w:rPr>
        <w:t>1</w:t>
      </w:r>
      <w:r w:rsidR="002B12CF">
        <w:fldChar w:fldCharType="end"/>
      </w:r>
      <w:r w:rsidR="00854DDD">
        <w:t>.</w:t>
      </w:r>
    </w:p>
    <w:p w14:paraId="49077A43" w14:textId="395B466D" w:rsidR="00854DDD" w:rsidRDefault="00854DDD" w:rsidP="00854DDD">
      <w:pPr>
        <w:pStyle w:val="Caption"/>
      </w:pPr>
      <w:bookmarkStart w:id="1" w:name="_Ref408913370"/>
      <w:r>
        <w:t xml:space="preserve">Table </w:t>
      </w:r>
      <w:r w:rsidR="00855C7E">
        <w:fldChar w:fldCharType="begin"/>
      </w:r>
      <w:r w:rsidR="00855C7E">
        <w:instrText xml:space="preserve"> SEQ Table \* ARABIC </w:instrText>
      </w:r>
      <w:r w:rsidR="00855C7E">
        <w:fldChar w:fldCharType="separate"/>
      </w:r>
      <w:r w:rsidR="00AC203B">
        <w:rPr>
          <w:noProof/>
        </w:rPr>
        <w:t>1</w:t>
      </w:r>
      <w:r w:rsidR="00855C7E">
        <w:rPr>
          <w:noProof/>
        </w:rPr>
        <w:fldChar w:fldCharType="end"/>
      </w:r>
      <w:bookmarkEnd w:id="1"/>
      <w:r>
        <w:t xml:space="preserve"> Mean Baseline Biochemistry Results for NAGS Patients</w:t>
      </w:r>
    </w:p>
    <w:tbl>
      <w:tblPr>
        <w:tblStyle w:val="TableGrid"/>
        <w:tblW w:w="0" w:type="auto"/>
        <w:jc w:val="center"/>
        <w:tblBorders>
          <w:top w:val="single" w:sz="12" w:space="0" w:color="auto"/>
          <w:left w:val="none" w:sz="0" w:space="0" w:color="auto"/>
          <w:bottom w:val="single" w:sz="12" w:space="0" w:color="auto"/>
          <w:right w:val="none" w:sz="0" w:space="0" w:color="auto"/>
        </w:tblBorders>
        <w:tblLook w:val="04A0" w:firstRow="1" w:lastRow="0" w:firstColumn="1" w:lastColumn="0" w:noHBand="0" w:noVBand="1"/>
      </w:tblPr>
      <w:tblGrid>
        <w:gridCol w:w="1907"/>
        <w:gridCol w:w="2600"/>
        <w:gridCol w:w="1058"/>
      </w:tblGrid>
      <w:tr w:rsidR="00854DDD" w14:paraId="336A7811" w14:textId="77777777" w:rsidTr="00F176A8">
        <w:trPr>
          <w:jc w:val="center"/>
        </w:trPr>
        <w:tc>
          <w:tcPr>
            <w:tcW w:w="1907" w:type="dxa"/>
          </w:tcPr>
          <w:p w14:paraId="3EEA3548" w14:textId="77777777" w:rsidR="00854DDD" w:rsidRPr="00F176A8" w:rsidRDefault="00854DDD" w:rsidP="00340E76">
            <w:pPr>
              <w:jc w:val="center"/>
              <w:rPr>
                <w:b/>
              </w:rPr>
            </w:pPr>
            <w:r w:rsidRPr="00F176A8">
              <w:rPr>
                <w:b/>
              </w:rPr>
              <w:t>Bio</w:t>
            </w:r>
            <w:r w:rsidR="00340E76" w:rsidRPr="00F176A8">
              <w:rPr>
                <w:b/>
              </w:rPr>
              <w:t>marker</w:t>
            </w:r>
          </w:p>
        </w:tc>
        <w:tc>
          <w:tcPr>
            <w:tcW w:w="2600" w:type="dxa"/>
          </w:tcPr>
          <w:p w14:paraId="3A0AD5EF" w14:textId="77777777" w:rsidR="00854DDD" w:rsidRPr="00F176A8" w:rsidRDefault="00854DDD" w:rsidP="00854DDD">
            <w:pPr>
              <w:jc w:val="center"/>
              <w:rPr>
                <w:b/>
              </w:rPr>
            </w:pPr>
            <w:r w:rsidRPr="00F176A8">
              <w:rPr>
                <w:b/>
              </w:rPr>
              <w:t>Mean Plasma Concentration (SD)</w:t>
            </w:r>
          </w:p>
        </w:tc>
        <w:tc>
          <w:tcPr>
            <w:tcW w:w="1058" w:type="dxa"/>
          </w:tcPr>
          <w:p w14:paraId="4CBE164D" w14:textId="77777777" w:rsidR="00854DDD" w:rsidRPr="00F176A8" w:rsidRDefault="00854DDD" w:rsidP="00854DDD">
            <w:pPr>
              <w:jc w:val="center"/>
              <w:rPr>
                <w:b/>
              </w:rPr>
            </w:pPr>
            <w:r w:rsidRPr="00F176A8">
              <w:rPr>
                <w:b/>
              </w:rPr>
              <w:t>N</w:t>
            </w:r>
          </w:p>
        </w:tc>
      </w:tr>
      <w:tr w:rsidR="00854DDD" w14:paraId="3A22B61A" w14:textId="77777777" w:rsidTr="00F176A8">
        <w:trPr>
          <w:jc w:val="center"/>
        </w:trPr>
        <w:tc>
          <w:tcPr>
            <w:tcW w:w="1907" w:type="dxa"/>
          </w:tcPr>
          <w:p w14:paraId="168CF3D4" w14:textId="77777777" w:rsidR="00854DDD" w:rsidRPr="00F176A8" w:rsidRDefault="00854DDD" w:rsidP="00854DDD">
            <w:r w:rsidRPr="00F176A8">
              <w:t>Ammonia</w:t>
            </w:r>
          </w:p>
        </w:tc>
        <w:tc>
          <w:tcPr>
            <w:tcW w:w="2600" w:type="dxa"/>
          </w:tcPr>
          <w:p w14:paraId="3872C2B7" w14:textId="20C28E05" w:rsidR="00854DDD" w:rsidRPr="00F176A8" w:rsidRDefault="00854DDD" w:rsidP="00F176A8">
            <w:pPr>
              <w:tabs>
                <w:tab w:val="decimal" w:pos="650"/>
              </w:tabs>
            </w:pPr>
            <w:r w:rsidRPr="00F176A8">
              <w:t>218.</w:t>
            </w:r>
            <w:r w:rsidR="00D30404">
              <w:t>9</w:t>
            </w:r>
            <w:r w:rsidRPr="00F176A8">
              <w:t xml:space="preserve"> </w:t>
            </w:r>
            <w:r w:rsidRPr="00F176A8">
              <w:rPr>
                <w:rFonts w:cs="Times New Roman"/>
              </w:rPr>
              <w:t>µ</w:t>
            </w:r>
            <w:proofErr w:type="spellStart"/>
            <w:r w:rsidRPr="00F176A8">
              <w:t>mol</w:t>
            </w:r>
            <w:proofErr w:type="spellEnd"/>
            <w:r w:rsidRPr="00F176A8">
              <w:t>/L (299.0)</w:t>
            </w:r>
          </w:p>
        </w:tc>
        <w:tc>
          <w:tcPr>
            <w:tcW w:w="1058" w:type="dxa"/>
          </w:tcPr>
          <w:p w14:paraId="25A4B0E3" w14:textId="77777777" w:rsidR="00854DDD" w:rsidRPr="00F176A8" w:rsidRDefault="00854DDD" w:rsidP="00854DDD">
            <w:pPr>
              <w:jc w:val="center"/>
            </w:pPr>
            <w:r w:rsidRPr="00F176A8">
              <w:t>20</w:t>
            </w:r>
          </w:p>
        </w:tc>
      </w:tr>
      <w:tr w:rsidR="00854DDD" w14:paraId="7B906243" w14:textId="77777777" w:rsidTr="00F176A8">
        <w:trPr>
          <w:jc w:val="center"/>
        </w:trPr>
        <w:tc>
          <w:tcPr>
            <w:tcW w:w="1907" w:type="dxa"/>
          </w:tcPr>
          <w:p w14:paraId="60B0E1C7" w14:textId="77777777" w:rsidR="00854DDD" w:rsidRPr="00F176A8" w:rsidRDefault="00854DDD" w:rsidP="00854DDD">
            <w:r w:rsidRPr="00F176A8">
              <w:t>Glutamate</w:t>
            </w:r>
          </w:p>
        </w:tc>
        <w:tc>
          <w:tcPr>
            <w:tcW w:w="2600" w:type="dxa"/>
          </w:tcPr>
          <w:p w14:paraId="7CD2836E" w14:textId="77777777" w:rsidR="00854DDD" w:rsidRPr="00F176A8" w:rsidRDefault="00854DDD" w:rsidP="00F176A8">
            <w:pPr>
              <w:tabs>
                <w:tab w:val="decimal" w:pos="650"/>
              </w:tabs>
            </w:pPr>
            <w:r w:rsidRPr="00F176A8">
              <w:t xml:space="preserve">957.1 </w:t>
            </w:r>
            <w:r w:rsidRPr="00F176A8">
              <w:rPr>
                <w:rFonts w:cs="Times New Roman"/>
              </w:rPr>
              <w:t>µ</w:t>
            </w:r>
            <w:proofErr w:type="spellStart"/>
            <w:r w:rsidRPr="00F176A8">
              <w:t>mol</w:t>
            </w:r>
            <w:proofErr w:type="spellEnd"/>
            <w:r w:rsidRPr="00F176A8">
              <w:t>/L (452.5)</w:t>
            </w:r>
          </w:p>
        </w:tc>
        <w:tc>
          <w:tcPr>
            <w:tcW w:w="1058" w:type="dxa"/>
          </w:tcPr>
          <w:p w14:paraId="330901A2" w14:textId="77777777" w:rsidR="00854DDD" w:rsidRPr="00F176A8" w:rsidRDefault="00854DDD" w:rsidP="00854DDD">
            <w:pPr>
              <w:jc w:val="center"/>
            </w:pPr>
            <w:r w:rsidRPr="00F176A8">
              <w:t>16</w:t>
            </w:r>
          </w:p>
        </w:tc>
      </w:tr>
      <w:tr w:rsidR="00854DDD" w14:paraId="508C1A05" w14:textId="77777777" w:rsidTr="00F176A8">
        <w:trPr>
          <w:jc w:val="center"/>
        </w:trPr>
        <w:tc>
          <w:tcPr>
            <w:tcW w:w="1907" w:type="dxa"/>
          </w:tcPr>
          <w:p w14:paraId="6D16B04E" w14:textId="77777777" w:rsidR="00854DDD" w:rsidRPr="00F176A8" w:rsidRDefault="00854DDD" w:rsidP="00854DDD">
            <w:r w:rsidRPr="00F176A8">
              <w:t>Citrulline</w:t>
            </w:r>
          </w:p>
        </w:tc>
        <w:tc>
          <w:tcPr>
            <w:tcW w:w="2600" w:type="dxa"/>
          </w:tcPr>
          <w:p w14:paraId="1A7685DE" w14:textId="77777777" w:rsidR="00854DDD" w:rsidRPr="00F176A8" w:rsidRDefault="00854DDD" w:rsidP="00F176A8">
            <w:pPr>
              <w:tabs>
                <w:tab w:val="decimal" w:pos="650"/>
              </w:tabs>
            </w:pPr>
            <w:r w:rsidRPr="00F176A8">
              <w:t xml:space="preserve">19.8 </w:t>
            </w:r>
            <w:r w:rsidRPr="00F176A8">
              <w:rPr>
                <w:rFonts w:cs="Times New Roman"/>
              </w:rPr>
              <w:t>µ</w:t>
            </w:r>
            <w:proofErr w:type="spellStart"/>
            <w:r w:rsidRPr="00F176A8">
              <w:t>mol</w:t>
            </w:r>
            <w:proofErr w:type="spellEnd"/>
            <w:r w:rsidRPr="00F176A8">
              <w:t>/L (16.5)</w:t>
            </w:r>
          </w:p>
        </w:tc>
        <w:tc>
          <w:tcPr>
            <w:tcW w:w="1058" w:type="dxa"/>
          </w:tcPr>
          <w:p w14:paraId="4FFA4DEB" w14:textId="77777777" w:rsidR="00854DDD" w:rsidRPr="00F176A8" w:rsidRDefault="00854DDD" w:rsidP="00854DDD">
            <w:pPr>
              <w:jc w:val="center"/>
            </w:pPr>
            <w:r w:rsidRPr="00F176A8">
              <w:t>13</w:t>
            </w:r>
          </w:p>
        </w:tc>
      </w:tr>
      <w:tr w:rsidR="00854DDD" w14:paraId="2315E1A5" w14:textId="77777777" w:rsidTr="00F176A8">
        <w:trPr>
          <w:jc w:val="center"/>
        </w:trPr>
        <w:tc>
          <w:tcPr>
            <w:tcW w:w="1907" w:type="dxa"/>
          </w:tcPr>
          <w:p w14:paraId="29CF1001" w14:textId="77777777" w:rsidR="00854DDD" w:rsidRPr="00F176A8" w:rsidRDefault="00854DDD" w:rsidP="00854DDD">
            <w:r w:rsidRPr="00F176A8">
              <w:t>Urea</w:t>
            </w:r>
          </w:p>
        </w:tc>
        <w:tc>
          <w:tcPr>
            <w:tcW w:w="2600" w:type="dxa"/>
          </w:tcPr>
          <w:p w14:paraId="07A5B635" w14:textId="77777777" w:rsidR="00854DDD" w:rsidRPr="00F176A8" w:rsidRDefault="00854DDD" w:rsidP="00F176A8">
            <w:pPr>
              <w:tabs>
                <w:tab w:val="decimal" w:pos="650"/>
              </w:tabs>
            </w:pPr>
            <w:r w:rsidRPr="00F176A8">
              <w:t>3.2 mmol/L (1.7)</w:t>
            </w:r>
          </w:p>
        </w:tc>
        <w:tc>
          <w:tcPr>
            <w:tcW w:w="1058" w:type="dxa"/>
          </w:tcPr>
          <w:p w14:paraId="7B4BB96F" w14:textId="77777777" w:rsidR="00854DDD" w:rsidRPr="00F176A8" w:rsidRDefault="00854DDD" w:rsidP="00854DDD">
            <w:pPr>
              <w:jc w:val="center"/>
            </w:pPr>
            <w:r w:rsidRPr="00F176A8">
              <w:t>15</w:t>
            </w:r>
          </w:p>
        </w:tc>
      </w:tr>
    </w:tbl>
    <w:p w14:paraId="197E3669" w14:textId="77777777" w:rsidR="00854DDD" w:rsidRDefault="00854DDD" w:rsidP="00854DDD"/>
    <w:p w14:paraId="7C48B34A" w14:textId="3D33CA4F" w:rsidR="00A47A01" w:rsidRDefault="00A47A01" w:rsidP="00854DDD">
      <w:r>
        <w:t>Treatment with carglumic acid in NAGS comprised management of acute phase (initial 7 days), followed by long-term maintenance treatment. During acute treatment doses between 100 – 250 mg/kg/day administered 2 – 5 times per day were used. The dose was then reduced over time depending upon the clinical response, including laboratory monitoring.</w:t>
      </w:r>
    </w:p>
    <w:p w14:paraId="19FA07DA" w14:textId="7AF487A7" w:rsidR="00854DDD" w:rsidRDefault="00854DDD" w:rsidP="00854DDD">
      <w:r>
        <w:t>Following treatment with carglumic acid</w:t>
      </w:r>
      <w:r w:rsidR="00136F4F">
        <w:t xml:space="preserve"> in the acute phase</w:t>
      </w:r>
      <w:r>
        <w:t xml:space="preserve">, </w:t>
      </w:r>
      <w:proofErr w:type="spellStart"/>
      <w:r>
        <w:t>ammonaemia</w:t>
      </w:r>
      <w:proofErr w:type="spellEnd"/>
      <w:r>
        <w:t xml:space="preserve">, </w:t>
      </w:r>
      <w:proofErr w:type="spellStart"/>
      <w:r>
        <w:t>glutaminaeia</w:t>
      </w:r>
      <w:proofErr w:type="spellEnd"/>
      <w:r>
        <w:t xml:space="preserve"> and </w:t>
      </w:r>
      <w:proofErr w:type="spellStart"/>
      <w:r>
        <w:t>citrulliaemia</w:t>
      </w:r>
      <w:proofErr w:type="spellEnd"/>
      <w:r>
        <w:t xml:space="preserve"> normalised quickly.  </w:t>
      </w:r>
      <w:r w:rsidR="00340E76">
        <w:t>Normal concentrations of these biomarkers were</w:t>
      </w:r>
      <w:r>
        <w:t xml:space="preserve"> obtained 24 – 72 hours after the first dose of carglumic acid.</w:t>
      </w:r>
    </w:p>
    <w:p w14:paraId="4C0BC795" w14:textId="048C5756" w:rsidR="00136F4F" w:rsidRDefault="00136F4F" w:rsidP="00854DDD">
      <w:r>
        <w:t xml:space="preserve">The demographic characteristics of the patient population are shown in </w:t>
      </w:r>
      <w:r w:rsidR="002B12CF">
        <w:fldChar w:fldCharType="begin"/>
      </w:r>
      <w:r w:rsidR="002B12CF">
        <w:instrText xml:space="preserve"> REF _Ref408913360 \h </w:instrText>
      </w:r>
      <w:r w:rsidR="002B12CF">
        <w:fldChar w:fldCharType="separate"/>
      </w:r>
      <w:r w:rsidR="00AC203B">
        <w:t xml:space="preserve">Table </w:t>
      </w:r>
      <w:r w:rsidR="00AC203B">
        <w:rPr>
          <w:noProof/>
        </w:rPr>
        <w:t>2</w:t>
      </w:r>
      <w:r w:rsidR="002B12CF">
        <w:fldChar w:fldCharType="end"/>
      </w:r>
      <w:r>
        <w:t>.</w:t>
      </w:r>
    </w:p>
    <w:p w14:paraId="27729FD4" w14:textId="334445A6" w:rsidR="00136F4F" w:rsidRDefault="00136F4F" w:rsidP="00911184">
      <w:pPr>
        <w:pStyle w:val="Caption"/>
      </w:pPr>
      <w:bookmarkStart w:id="2" w:name="_Ref408913360"/>
      <w:r>
        <w:t xml:space="preserve">Table </w:t>
      </w:r>
      <w:r w:rsidR="00855C7E">
        <w:fldChar w:fldCharType="begin"/>
      </w:r>
      <w:r w:rsidR="00855C7E">
        <w:instrText xml:space="preserve"> SEQ Table \* ARABIC </w:instrText>
      </w:r>
      <w:r w:rsidR="00855C7E">
        <w:fldChar w:fldCharType="separate"/>
      </w:r>
      <w:r w:rsidR="00AC203B">
        <w:rPr>
          <w:noProof/>
        </w:rPr>
        <w:t>2</w:t>
      </w:r>
      <w:r w:rsidR="00855C7E">
        <w:rPr>
          <w:noProof/>
        </w:rPr>
        <w:fldChar w:fldCharType="end"/>
      </w:r>
      <w:bookmarkEnd w:id="2"/>
      <w:r w:rsidR="00911184">
        <w:t xml:space="preserve"> Baseline Characteristics of the 23 NAGS deficiency patients</w:t>
      </w:r>
    </w:p>
    <w:tbl>
      <w:tblPr>
        <w:tblStyle w:val="TableGrid"/>
        <w:tblW w:w="0" w:type="auto"/>
        <w:tblLook w:val="04A0" w:firstRow="1" w:lastRow="0" w:firstColumn="1" w:lastColumn="0" w:noHBand="0" w:noVBand="1"/>
      </w:tblPr>
      <w:tblGrid>
        <w:gridCol w:w="4219"/>
        <w:gridCol w:w="2511"/>
        <w:gridCol w:w="2512"/>
      </w:tblGrid>
      <w:tr w:rsidR="00911184" w14:paraId="2CDEAC89" w14:textId="77777777" w:rsidTr="008654CB">
        <w:trPr>
          <w:tblHeader/>
        </w:trPr>
        <w:tc>
          <w:tcPr>
            <w:tcW w:w="4219" w:type="dxa"/>
            <w:tcBorders>
              <w:top w:val="single" w:sz="12" w:space="0" w:color="auto"/>
              <w:left w:val="nil"/>
              <w:bottom w:val="single" w:sz="12" w:space="0" w:color="auto"/>
            </w:tcBorders>
          </w:tcPr>
          <w:p w14:paraId="5D1EFF90" w14:textId="77777777" w:rsidR="00911184" w:rsidRDefault="00911184" w:rsidP="00911184"/>
        </w:tc>
        <w:tc>
          <w:tcPr>
            <w:tcW w:w="2511" w:type="dxa"/>
            <w:tcBorders>
              <w:top w:val="single" w:sz="12" w:space="0" w:color="auto"/>
              <w:bottom w:val="single" w:sz="12" w:space="0" w:color="auto"/>
            </w:tcBorders>
          </w:tcPr>
          <w:p w14:paraId="7A1F7748" w14:textId="77777777" w:rsidR="00911184" w:rsidRDefault="00911184" w:rsidP="00911184"/>
        </w:tc>
        <w:tc>
          <w:tcPr>
            <w:tcW w:w="2512" w:type="dxa"/>
            <w:tcBorders>
              <w:top w:val="single" w:sz="12" w:space="0" w:color="auto"/>
              <w:bottom w:val="single" w:sz="12" w:space="0" w:color="auto"/>
              <w:right w:val="nil"/>
            </w:tcBorders>
            <w:vAlign w:val="center"/>
          </w:tcPr>
          <w:p w14:paraId="695DAA8F" w14:textId="77777777" w:rsidR="00911184" w:rsidRDefault="00911184" w:rsidP="00911184">
            <w:pPr>
              <w:jc w:val="center"/>
            </w:pPr>
            <w:r>
              <w:t>Patients</w:t>
            </w:r>
          </w:p>
          <w:p w14:paraId="55DD7BAE" w14:textId="49AA5D34" w:rsidR="00911184" w:rsidRDefault="00911184" w:rsidP="00911184">
            <w:pPr>
              <w:jc w:val="center"/>
            </w:pPr>
            <w:r>
              <w:t>N=23</w:t>
            </w:r>
          </w:p>
        </w:tc>
      </w:tr>
      <w:tr w:rsidR="00911184" w14:paraId="4536E55C" w14:textId="77777777" w:rsidTr="004A7B1E">
        <w:tc>
          <w:tcPr>
            <w:tcW w:w="4219" w:type="dxa"/>
            <w:vMerge w:val="restart"/>
            <w:tcBorders>
              <w:top w:val="single" w:sz="12" w:space="0" w:color="auto"/>
              <w:left w:val="nil"/>
            </w:tcBorders>
            <w:vAlign w:val="center"/>
          </w:tcPr>
          <w:p w14:paraId="758DD3F1" w14:textId="49652E34" w:rsidR="00911184" w:rsidRDefault="00911184" w:rsidP="00911184">
            <w:r>
              <w:t>Gender</w:t>
            </w:r>
          </w:p>
        </w:tc>
        <w:tc>
          <w:tcPr>
            <w:tcW w:w="2511" w:type="dxa"/>
            <w:tcBorders>
              <w:top w:val="single" w:sz="12" w:space="0" w:color="auto"/>
            </w:tcBorders>
          </w:tcPr>
          <w:p w14:paraId="5D08AC06" w14:textId="27C66557" w:rsidR="00911184" w:rsidRDefault="00911184" w:rsidP="004A7B1E">
            <w:pPr>
              <w:ind w:left="317"/>
            </w:pPr>
            <w:r>
              <w:t>Male</w:t>
            </w:r>
          </w:p>
        </w:tc>
        <w:tc>
          <w:tcPr>
            <w:tcW w:w="2512" w:type="dxa"/>
            <w:tcBorders>
              <w:top w:val="single" w:sz="12" w:space="0" w:color="auto"/>
              <w:right w:val="nil"/>
            </w:tcBorders>
            <w:vAlign w:val="center"/>
          </w:tcPr>
          <w:p w14:paraId="30BC5C8A" w14:textId="7AE98912" w:rsidR="00911184" w:rsidRDefault="00911184" w:rsidP="00911184">
            <w:pPr>
              <w:jc w:val="center"/>
            </w:pPr>
            <w:r>
              <w:t>14 (61%)</w:t>
            </w:r>
          </w:p>
        </w:tc>
      </w:tr>
      <w:tr w:rsidR="00911184" w14:paraId="05769F08" w14:textId="77777777" w:rsidTr="004A7B1E">
        <w:tc>
          <w:tcPr>
            <w:tcW w:w="4219" w:type="dxa"/>
            <w:vMerge/>
            <w:tcBorders>
              <w:left w:val="nil"/>
              <w:bottom w:val="single" w:sz="12" w:space="0" w:color="auto"/>
            </w:tcBorders>
            <w:vAlign w:val="center"/>
          </w:tcPr>
          <w:p w14:paraId="6609E258" w14:textId="77777777" w:rsidR="00911184" w:rsidRDefault="00911184"/>
        </w:tc>
        <w:tc>
          <w:tcPr>
            <w:tcW w:w="2511" w:type="dxa"/>
            <w:tcBorders>
              <w:bottom w:val="single" w:sz="12" w:space="0" w:color="auto"/>
            </w:tcBorders>
          </w:tcPr>
          <w:p w14:paraId="243D47B3" w14:textId="012A7F18" w:rsidR="00911184" w:rsidRDefault="00911184" w:rsidP="004A7B1E">
            <w:pPr>
              <w:ind w:left="317"/>
            </w:pPr>
            <w:r>
              <w:t>Female</w:t>
            </w:r>
          </w:p>
        </w:tc>
        <w:tc>
          <w:tcPr>
            <w:tcW w:w="2512" w:type="dxa"/>
            <w:tcBorders>
              <w:bottom w:val="single" w:sz="12" w:space="0" w:color="auto"/>
              <w:right w:val="nil"/>
            </w:tcBorders>
            <w:vAlign w:val="center"/>
          </w:tcPr>
          <w:p w14:paraId="5DF46FEC" w14:textId="6C3C80F5" w:rsidR="00911184" w:rsidRDefault="00911184" w:rsidP="00911184">
            <w:pPr>
              <w:jc w:val="center"/>
            </w:pPr>
            <w:r>
              <w:t>9 (39%)</w:t>
            </w:r>
          </w:p>
        </w:tc>
      </w:tr>
      <w:tr w:rsidR="00911184" w14:paraId="3D424185" w14:textId="77777777" w:rsidTr="004A7B1E">
        <w:tc>
          <w:tcPr>
            <w:tcW w:w="4219" w:type="dxa"/>
            <w:vMerge w:val="restart"/>
            <w:tcBorders>
              <w:top w:val="single" w:sz="12" w:space="0" w:color="auto"/>
              <w:left w:val="nil"/>
            </w:tcBorders>
            <w:vAlign w:val="center"/>
          </w:tcPr>
          <w:p w14:paraId="32BFB7C5" w14:textId="61D5D5DB" w:rsidR="00911184" w:rsidRDefault="00911184" w:rsidP="00911184">
            <w:r>
              <w:t>Age at initiation of CARBAGLU therapy (years)</w:t>
            </w:r>
          </w:p>
        </w:tc>
        <w:tc>
          <w:tcPr>
            <w:tcW w:w="2511" w:type="dxa"/>
            <w:tcBorders>
              <w:top w:val="single" w:sz="12" w:space="0" w:color="auto"/>
            </w:tcBorders>
          </w:tcPr>
          <w:p w14:paraId="7FF9CD70" w14:textId="565A6FF1" w:rsidR="00911184" w:rsidRDefault="00911184" w:rsidP="004A7B1E">
            <w:pPr>
              <w:ind w:left="317"/>
            </w:pPr>
            <w:r>
              <w:t>Mean (SD)</w:t>
            </w:r>
          </w:p>
        </w:tc>
        <w:tc>
          <w:tcPr>
            <w:tcW w:w="2512" w:type="dxa"/>
            <w:tcBorders>
              <w:top w:val="single" w:sz="12" w:space="0" w:color="auto"/>
              <w:right w:val="nil"/>
            </w:tcBorders>
            <w:vAlign w:val="center"/>
          </w:tcPr>
          <w:p w14:paraId="2D4B4FD4" w14:textId="682C15F0" w:rsidR="00911184" w:rsidRDefault="00911184" w:rsidP="00911184">
            <w:pPr>
              <w:jc w:val="center"/>
            </w:pPr>
            <w:r>
              <w:t>2 (4)</w:t>
            </w:r>
          </w:p>
        </w:tc>
      </w:tr>
      <w:tr w:rsidR="00911184" w14:paraId="5E50D90C" w14:textId="77777777" w:rsidTr="004A7B1E">
        <w:tc>
          <w:tcPr>
            <w:tcW w:w="4219" w:type="dxa"/>
            <w:vMerge/>
            <w:tcBorders>
              <w:left w:val="nil"/>
              <w:bottom w:val="single" w:sz="12" w:space="0" w:color="auto"/>
            </w:tcBorders>
            <w:vAlign w:val="center"/>
          </w:tcPr>
          <w:p w14:paraId="31D86C6D" w14:textId="77777777" w:rsidR="00911184" w:rsidRDefault="00911184"/>
        </w:tc>
        <w:tc>
          <w:tcPr>
            <w:tcW w:w="2511" w:type="dxa"/>
            <w:tcBorders>
              <w:bottom w:val="single" w:sz="12" w:space="0" w:color="auto"/>
            </w:tcBorders>
          </w:tcPr>
          <w:p w14:paraId="56C454A8" w14:textId="6685618B" w:rsidR="00911184" w:rsidRDefault="00911184" w:rsidP="004A7B1E">
            <w:pPr>
              <w:ind w:left="317"/>
            </w:pPr>
            <w:r>
              <w:t>Min-Max</w:t>
            </w:r>
          </w:p>
        </w:tc>
        <w:tc>
          <w:tcPr>
            <w:tcW w:w="2512" w:type="dxa"/>
            <w:tcBorders>
              <w:bottom w:val="single" w:sz="12" w:space="0" w:color="auto"/>
              <w:right w:val="nil"/>
            </w:tcBorders>
            <w:vAlign w:val="center"/>
          </w:tcPr>
          <w:p w14:paraId="44F0A0AD" w14:textId="1CC607A6" w:rsidR="00911184" w:rsidRDefault="00911184" w:rsidP="00911184">
            <w:pPr>
              <w:jc w:val="center"/>
            </w:pPr>
            <w:r>
              <w:t>0 – 13</w:t>
            </w:r>
          </w:p>
        </w:tc>
      </w:tr>
      <w:tr w:rsidR="00911184" w14:paraId="24D8573B" w14:textId="77777777" w:rsidTr="004A7B1E">
        <w:tc>
          <w:tcPr>
            <w:tcW w:w="4219" w:type="dxa"/>
            <w:vMerge w:val="restart"/>
            <w:tcBorders>
              <w:top w:val="single" w:sz="12" w:space="0" w:color="auto"/>
              <w:left w:val="nil"/>
            </w:tcBorders>
            <w:vAlign w:val="center"/>
          </w:tcPr>
          <w:p w14:paraId="5EA39725" w14:textId="474BD740" w:rsidR="00911184" w:rsidRDefault="00911184" w:rsidP="00911184">
            <w:r>
              <w:t>Age groups at initiation of CARBAGLU therapy</w:t>
            </w:r>
          </w:p>
        </w:tc>
        <w:tc>
          <w:tcPr>
            <w:tcW w:w="2511" w:type="dxa"/>
            <w:tcBorders>
              <w:top w:val="single" w:sz="12" w:space="0" w:color="auto"/>
            </w:tcBorders>
          </w:tcPr>
          <w:p w14:paraId="44EA54F6" w14:textId="25FBF381" w:rsidR="00911184" w:rsidRDefault="00911184" w:rsidP="004A7B1E">
            <w:pPr>
              <w:ind w:left="317"/>
            </w:pPr>
            <w:r>
              <w:t>&lt; 30 days</w:t>
            </w:r>
          </w:p>
        </w:tc>
        <w:tc>
          <w:tcPr>
            <w:tcW w:w="2512" w:type="dxa"/>
            <w:tcBorders>
              <w:top w:val="single" w:sz="12" w:space="0" w:color="auto"/>
              <w:right w:val="nil"/>
            </w:tcBorders>
            <w:vAlign w:val="center"/>
          </w:tcPr>
          <w:p w14:paraId="6CCA3822" w14:textId="74203C13" w:rsidR="00911184" w:rsidRDefault="00911184" w:rsidP="00911184">
            <w:pPr>
              <w:jc w:val="center"/>
            </w:pPr>
            <w:r>
              <w:t>9 (39%)</w:t>
            </w:r>
          </w:p>
        </w:tc>
      </w:tr>
      <w:tr w:rsidR="00911184" w14:paraId="36014A1C" w14:textId="77777777" w:rsidTr="004A7B1E">
        <w:tc>
          <w:tcPr>
            <w:tcW w:w="4219" w:type="dxa"/>
            <w:vMerge/>
            <w:tcBorders>
              <w:left w:val="nil"/>
            </w:tcBorders>
            <w:vAlign w:val="center"/>
          </w:tcPr>
          <w:p w14:paraId="1A97350C" w14:textId="77777777" w:rsidR="00911184" w:rsidRDefault="00911184"/>
        </w:tc>
        <w:tc>
          <w:tcPr>
            <w:tcW w:w="2511" w:type="dxa"/>
          </w:tcPr>
          <w:p w14:paraId="35DAD332" w14:textId="76EABD20" w:rsidR="00911184" w:rsidRDefault="00911184" w:rsidP="004A7B1E">
            <w:pPr>
              <w:ind w:left="317"/>
            </w:pPr>
            <w:r>
              <w:t>&gt; 30 days – 11 month</w:t>
            </w:r>
          </w:p>
        </w:tc>
        <w:tc>
          <w:tcPr>
            <w:tcW w:w="2512" w:type="dxa"/>
            <w:tcBorders>
              <w:right w:val="nil"/>
            </w:tcBorders>
            <w:vAlign w:val="center"/>
          </w:tcPr>
          <w:p w14:paraId="26E4E3BB" w14:textId="13AD9DC4" w:rsidR="00911184" w:rsidRDefault="00911184" w:rsidP="00911184">
            <w:pPr>
              <w:jc w:val="center"/>
            </w:pPr>
            <w:r>
              <w:t>9 (39%)</w:t>
            </w:r>
          </w:p>
        </w:tc>
      </w:tr>
      <w:tr w:rsidR="00911184" w14:paraId="2CE7A2FD" w14:textId="77777777" w:rsidTr="004A7B1E">
        <w:tc>
          <w:tcPr>
            <w:tcW w:w="4219" w:type="dxa"/>
            <w:vMerge/>
            <w:tcBorders>
              <w:left w:val="nil"/>
              <w:bottom w:val="single" w:sz="12" w:space="0" w:color="auto"/>
            </w:tcBorders>
            <w:vAlign w:val="center"/>
          </w:tcPr>
          <w:p w14:paraId="6A84F175" w14:textId="77777777" w:rsidR="00911184" w:rsidRDefault="00911184"/>
        </w:tc>
        <w:tc>
          <w:tcPr>
            <w:tcW w:w="2511" w:type="dxa"/>
            <w:tcBorders>
              <w:bottom w:val="single" w:sz="12" w:space="0" w:color="auto"/>
            </w:tcBorders>
          </w:tcPr>
          <w:p w14:paraId="092FF4D1" w14:textId="292EFB45" w:rsidR="00911184" w:rsidRDefault="00911184" w:rsidP="004A7B1E">
            <w:pPr>
              <w:ind w:left="317"/>
            </w:pPr>
            <w:r>
              <w:rPr>
                <w:rFonts w:cs="Times New Roman"/>
              </w:rPr>
              <w:t>≥</w:t>
            </w:r>
            <w:r>
              <w:rPr>
                <w:rFonts w:asciiTheme="minorBidi" w:hAnsiTheme="minorBidi"/>
              </w:rPr>
              <w:t xml:space="preserve"> 1 – 13 years</w:t>
            </w:r>
          </w:p>
        </w:tc>
        <w:tc>
          <w:tcPr>
            <w:tcW w:w="2512" w:type="dxa"/>
            <w:tcBorders>
              <w:bottom w:val="single" w:sz="12" w:space="0" w:color="auto"/>
              <w:right w:val="nil"/>
            </w:tcBorders>
            <w:vAlign w:val="center"/>
          </w:tcPr>
          <w:p w14:paraId="0FCFAB34" w14:textId="068A1B3C" w:rsidR="00911184" w:rsidRDefault="00911184" w:rsidP="004A7B1E">
            <w:pPr>
              <w:jc w:val="center"/>
            </w:pPr>
            <w:r>
              <w:t>5 (22%)</w:t>
            </w:r>
          </w:p>
        </w:tc>
      </w:tr>
      <w:tr w:rsidR="00911184" w14:paraId="159BB31E" w14:textId="77777777" w:rsidTr="004A7B1E">
        <w:tc>
          <w:tcPr>
            <w:tcW w:w="4219" w:type="dxa"/>
            <w:vMerge w:val="restart"/>
            <w:tcBorders>
              <w:top w:val="single" w:sz="12" w:space="0" w:color="auto"/>
              <w:left w:val="nil"/>
            </w:tcBorders>
            <w:vAlign w:val="center"/>
          </w:tcPr>
          <w:p w14:paraId="4D64871F" w14:textId="438D84AC" w:rsidR="00911184" w:rsidRDefault="00911184" w:rsidP="00911184">
            <w:r>
              <w:t>NAGS gene mutations by DNA testing</w:t>
            </w:r>
          </w:p>
        </w:tc>
        <w:tc>
          <w:tcPr>
            <w:tcW w:w="2511" w:type="dxa"/>
            <w:tcBorders>
              <w:top w:val="single" w:sz="12" w:space="0" w:color="auto"/>
            </w:tcBorders>
          </w:tcPr>
          <w:p w14:paraId="24A0877B" w14:textId="0A6A5B6A" w:rsidR="00911184" w:rsidRDefault="00911184" w:rsidP="004A7B1E">
            <w:pPr>
              <w:ind w:left="317"/>
            </w:pPr>
            <w:r>
              <w:t>Homozygous</w:t>
            </w:r>
          </w:p>
        </w:tc>
        <w:tc>
          <w:tcPr>
            <w:tcW w:w="2512" w:type="dxa"/>
            <w:tcBorders>
              <w:top w:val="single" w:sz="12" w:space="0" w:color="auto"/>
              <w:right w:val="nil"/>
            </w:tcBorders>
            <w:vAlign w:val="center"/>
          </w:tcPr>
          <w:p w14:paraId="3D7A3DA5" w14:textId="7B4374A8" w:rsidR="00911184" w:rsidRDefault="00911184" w:rsidP="004A7B1E">
            <w:pPr>
              <w:jc w:val="center"/>
            </w:pPr>
            <w:r>
              <w:t>14 (61%)</w:t>
            </w:r>
          </w:p>
        </w:tc>
      </w:tr>
      <w:tr w:rsidR="00911184" w14:paraId="53615F74" w14:textId="77777777" w:rsidTr="004A7B1E">
        <w:tc>
          <w:tcPr>
            <w:tcW w:w="4219" w:type="dxa"/>
            <w:vMerge/>
            <w:tcBorders>
              <w:left w:val="nil"/>
            </w:tcBorders>
            <w:vAlign w:val="center"/>
          </w:tcPr>
          <w:p w14:paraId="11334704" w14:textId="77777777" w:rsidR="00911184" w:rsidRDefault="00911184"/>
        </w:tc>
        <w:tc>
          <w:tcPr>
            <w:tcW w:w="2511" w:type="dxa"/>
          </w:tcPr>
          <w:p w14:paraId="77381202" w14:textId="2D41A0B7" w:rsidR="00911184" w:rsidRDefault="00911184" w:rsidP="004A7B1E">
            <w:pPr>
              <w:ind w:left="317"/>
            </w:pPr>
            <w:r>
              <w:t>Heterozygous</w:t>
            </w:r>
          </w:p>
        </w:tc>
        <w:tc>
          <w:tcPr>
            <w:tcW w:w="2512" w:type="dxa"/>
            <w:tcBorders>
              <w:right w:val="nil"/>
            </w:tcBorders>
            <w:vAlign w:val="center"/>
          </w:tcPr>
          <w:p w14:paraId="3D17C15A" w14:textId="65DF4325" w:rsidR="00911184" w:rsidRDefault="00911184" w:rsidP="004A7B1E">
            <w:pPr>
              <w:jc w:val="center"/>
            </w:pPr>
            <w:r>
              <w:t>4 (17%)</w:t>
            </w:r>
          </w:p>
        </w:tc>
      </w:tr>
      <w:tr w:rsidR="00911184" w14:paraId="059E49A9" w14:textId="77777777" w:rsidTr="004A7B1E">
        <w:tc>
          <w:tcPr>
            <w:tcW w:w="4219" w:type="dxa"/>
            <w:vMerge/>
            <w:tcBorders>
              <w:left w:val="nil"/>
              <w:bottom w:val="single" w:sz="12" w:space="0" w:color="auto"/>
            </w:tcBorders>
            <w:vAlign w:val="center"/>
          </w:tcPr>
          <w:p w14:paraId="5997C319" w14:textId="77777777" w:rsidR="00911184" w:rsidRDefault="00911184"/>
        </w:tc>
        <w:tc>
          <w:tcPr>
            <w:tcW w:w="2511" w:type="dxa"/>
            <w:tcBorders>
              <w:bottom w:val="single" w:sz="12" w:space="0" w:color="auto"/>
            </w:tcBorders>
          </w:tcPr>
          <w:p w14:paraId="2E248DBE" w14:textId="49BF5097" w:rsidR="00911184" w:rsidRDefault="00911184" w:rsidP="004A7B1E">
            <w:pPr>
              <w:ind w:left="317"/>
            </w:pPr>
            <w:r>
              <w:t>Not available</w:t>
            </w:r>
          </w:p>
        </w:tc>
        <w:tc>
          <w:tcPr>
            <w:tcW w:w="2512" w:type="dxa"/>
            <w:tcBorders>
              <w:bottom w:val="single" w:sz="12" w:space="0" w:color="auto"/>
              <w:right w:val="nil"/>
            </w:tcBorders>
            <w:vAlign w:val="center"/>
          </w:tcPr>
          <w:p w14:paraId="4B5E8EEF" w14:textId="411FD4DB" w:rsidR="00911184" w:rsidRDefault="00911184" w:rsidP="004A7B1E">
            <w:pPr>
              <w:jc w:val="center"/>
            </w:pPr>
            <w:r>
              <w:t>5 (22%)</w:t>
            </w:r>
          </w:p>
        </w:tc>
      </w:tr>
      <w:tr w:rsidR="00911184" w14:paraId="583073C4" w14:textId="77777777" w:rsidTr="004A7B1E">
        <w:tc>
          <w:tcPr>
            <w:tcW w:w="4219" w:type="dxa"/>
            <w:vMerge w:val="restart"/>
            <w:tcBorders>
              <w:top w:val="single" w:sz="12" w:space="0" w:color="auto"/>
              <w:left w:val="nil"/>
            </w:tcBorders>
            <w:vAlign w:val="center"/>
          </w:tcPr>
          <w:p w14:paraId="247C7BEA" w14:textId="27278CD5" w:rsidR="00911184" w:rsidRDefault="00911184" w:rsidP="00911184">
            <w:r>
              <w:t>Patients current treatment status</w:t>
            </w:r>
          </w:p>
        </w:tc>
        <w:tc>
          <w:tcPr>
            <w:tcW w:w="2511" w:type="dxa"/>
            <w:tcBorders>
              <w:top w:val="single" w:sz="12" w:space="0" w:color="auto"/>
            </w:tcBorders>
          </w:tcPr>
          <w:p w14:paraId="56AA773B" w14:textId="4B838EF7" w:rsidR="00911184" w:rsidRDefault="00911184" w:rsidP="004A7B1E">
            <w:pPr>
              <w:ind w:left="317"/>
            </w:pPr>
            <w:r>
              <w:t>On-going</w:t>
            </w:r>
          </w:p>
        </w:tc>
        <w:tc>
          <w:tcPr>
            <w:tcW w:w="2512" w:type="dxa"/>
            <w:tcBorders>
              <w:top w:val="single" w:sz="12" w:space="0" w:color="auto"/>
              <w:right w:val="nil"/>
            </w:tcBorders>
            <w:vAlign w:val="center"/>
          </w:tcPr>
          <w:p w14:paraId="64ACE740" w14:textId="7D35BD68" w:rsidR="00911184" w:rsidRDefault="00911184" w:rsidP="004A7B1E">
            <w:pPr>
              <w:jc w:val="center"/>
            </w:pPr>
            <w:r>
              <w:t>18 (78%)</w:t>
            </w:r>
          </w:p>
        </w:tc>
      </w:tr>
      <w:tr w:rsidR="00911184" w14:paraId="79C69713" w14:textId="77777777" w:rsidTr="004A7B1E">
        <w:tc>
          <w:tcPr>
            <w:tcW w:w="4219" w:type="dxa"/>
            <w:vMerge/>
            <w:tcBorders>
              <w:left w:val="nil"/>
              <w:bottom w:val="single" w:sz="12" w:space="0" w:color="auto"/>
            </w:tcBorders>
          </w:tcPr>
          <w:p w14:paraId="55D60729" w14:textId="77777777" w:rsidR="00911184" w:rsidRDefault="00911184" w:rsidP="00911184"/>
        </w:tc>
        <w:tc>
          <w:tcPr>
            <w:tcW w:w="2511" w:type="dxa"/>
            <w:tcBorders>
              <w:bottom w:val="single" w:sz="12" w:space="0" w:color="auto"/>
            </w:tcBorders>
          </w:tcPr>
          <w:p w14:paraId="0EDD8B63" w14:textId="111078F8" w:rsidR="00911184" w:rsidRDefault="00911184" w:rsidP="004A7B1E">
            <w:pPr>
              <w:ind w:left="317"/>
            </w:pPr>
            <w:r>
              <w:t>Discontinued</w:t>
            </w:r>
          </w:p>
        </w:tc>
        <w:tc>
          <w:tcPr>
            <w:tcW w:w="2512" w:type="dxa"/>
            <w:tcBorders>
              <w:bottom w:val="single" w:sz="12" w:space="0" w:color="auto"/>
              <w:right w:val="nil"/>
            </w:tcBorders>
            <w:vAlign w:val="center"/>
          </w:tcPr>
          <w:p w14:paraId="6439001F" w14:textId="11B0358C" w:rsidR="00911184" w:rsidRDefault="00911184" w:rsidP="004A7B1E">
            <w:pPr>
              <w:jc w:val="center"/>
            </w:pPr>
            <w:r>
              <w:t>5 (22%)</w:t>
            </w:r>
          </w:p>
        </w:tc>
      </w:tr>
    </w:tbl>
    <w:p w14:paraId="360685B5" w14:textId="77777777" w:rsidR="00911184" w:rsidRDefault="00911184" w:rsidP="00911184"/>
    <w:p w14:paraId="38316E38" w14:textId="1BE50837" w:rsidR="00911184" w:rsidRDefault="002B12CF" w:rsidP="00911184">
      <w:r>
        <w:lastRenderedPageBreak/>
        <w:fldChar w:fldCharType="begin"/>
      </w:r>
      <w:r>
        <w:instrText xml:space="preserve"> REF _Ref408913352 \h </w:instrText>
      </w:r>
      <w:r>
        <w:fldChar w:fldCharType="separate"/>
      </w:r>
      <w:r w:rsidR="00AC203B">
        <w:t xml:space="preserve">Table </w:t>
      </w:r>
      <w:r w:rsidR="00AC203B">
        <w:rPr>
          <w:noProof/>
        </w:rPr>
        <w:t>3</w:t>
      </w:r>
      <w:r>
        <w:fldChar w:fldCharType="end"/>
      </w:r>
      <w:r>
        <w:t xml:space="preserve"> </w:t>
      </w:r>
      <w:r w:rsidR="00911184">
        <w:t>summarises the plasma ammonia levels at baseline, days 1 to 3 post-CARBAGLU treatment, and long-term CARBAGLU treatment for 13 evaluable patients.</w:t>
      </w:r>
    </w:p>
    <w:p w14:paraId="7286C60F" w14:textId="77777777" w:rsidR="00911184" w:rsidRDefault="00911184">
      <w:r>
        <w:br w:type="page"/>
      </w:r>
    </w:p>
    <w:p w14:paraId="3EFB3A87" w14:textId="3E26A996" w:rsidR="00911184" w:rsidRDefault="00911184" w:rsidP="004A7B1E">
      <w:pPr>
        <w:pStyle w:val="Caption"/>
      </w:pPr>
      <w:bookmarkStart w:id="3" w:name="_Ref408913352"/>
      <w:r>
        <w:lastRenderedPageBreak/>
        <w:t xml:space="preserve">Table </w:t>
      </w:r>
      <w:r w:rsidR="00855C7E">
        <w:fldChar w:fldCharType="begin"/>
      </w:r>
      <w:r w:rsidR="00855C7E">
        <w:instrText xml:space="preserve"> SEQ Table \* ARABIC </w:instrText>
      </w:r>
      <w:r w:rsidR="00855C7E">
        <w:fldChar w:fldCharType="separate"/>
      </w:r>
      <w:r w:rsidR="00AC203B">
        <w:rPr>
          <w:noProof/>
        </w:rPr>
        <w:t>3</w:t>
      </w:r>
      <w:r w:rsidR="00855C7E">
        <w:rPr>
          <w:noProof/>
        </w:rPr>
        <w:fldChar w:fldCharType="end"/>
      </w:r>
      <w:bookmarkEnd w:id="3"/>
      <w:r>
        <w:t xml:space="preserve"> Plasma ammonia levels at baseline and after treatment with CARBAGLU</w:t>
      </w:r>
    </w:p>
    <w:tbl>
      <w:tblPr>
        <w:tblStyle w:val="TableGrid"/>
        <w:tblW w:w="0" w:type="auto"/>
        <w:jc w:val="center"/>
        <w:tblLook w:val="04A0" w:firstRow="1" w:lastRow="0" w:firstColumn="1" w:lastColumn="0" w:noHBand="0" w:noVBand="1"/>
      </w:tblPr>
      <w:tblGrid>
        <w:gridCol w:w="4219"/>
        <w:gridCol w:w="2511"/>
        <w:gridCol w:w="2512"/>
      </w:tblGrid>
      <w:tr w:rsidR="004B7137" w14:paraId="63043A46" w14:textId="77777777" w:rsidTr="004A7B1E">
        <w:trPr>
          <w:jc w:val="center"/>
        </w:trPr>
        <w:tc>
          <w:tcPr>
            <w:tcW w:w="4219" w:type="dxa"/>
            <w:tcBorders>
              <w:bottom w:val="single" w:sz="4" w:space="0" w:color="auto"/>
            </w:tcBorders>
          </w:tcPr>
          <w:p w14:paraId="2DA44559" w14:textId="649A7FF3" w:rsidR="004B7137" w:rsidRPr="004A7B1E" w:rsidRDefault="00436DCB" w:rsidP="004A7B1E">
            <w:pPr>
              <w:jc w:val="center"/>
              <w:rPr>
                <w:b/>
              </w:rPr>
            </w:pPr>
            <w:r w:rsidRPr="004B7137">
              <w:rPr>
                <w:b/>
              </w:rPr>
              <w:t>Time point</w:t>
            </w:r>
          </w:p>
        </w:tc>
        <w:tc>
          <w:tcPr>
            <w:tcW w:w="2511" w:type="dxa"/>
            <w:tcBorders>
              <w:bottom w:val="single" w:sz="4" w:space="0" w:color="auto"/>
            </w:tcBorders>
          </w:tcPr>
          <w:p w14:paraId="1205364F" w14:textId="5247315E" w:rsidR="004B7137" w:rsidRPr="004A7B1E" w:rsidRDefault="004B7137" w:rsidP="004A7B1E">
            <w:pPr>
              <w:jc w:val="center"/>
              <w:rPr>
                <w:b/>
              </w:rPr>
            </w:pPr>
            <w:r w:rsidRPr="004A7B1E">
              <w:rPr>
                <w:b/>
              </w:rPr>
              <w:t>Statistics (N=13)*</w:t>
            </w:r>
          </w:p>
        </w:tc>
        <w:tc>
          <w:tcPr>
            <w:tcW w:w="2512" w:type="dxa"/>
            <w:tcBorders>
              <w:bottom w:val="single" w:sz="4" w:space="0" w:color="auto"/>
            </w:tcBorders>
          </w:tcPr>
          <w:p w14:paraId="6D013968" w14:textId="7B5F12FE" w:rsidR="004B7137" w:rsidRPr="004A7B1E" w:rsidRDefault="004B7137" w:rsidP="004A7B1E">
            <w:pPr>
              <w:jc w:val="center"/>
              <w:rPr>
                <w:b/>
              </w:rPr>
            </w:pPr>
            <w:r w:rsidRPr="004A7B1E">
              <w:rPr>
                <w:b/>
              </w:rPr>
              <w:t>Ammonia** (</w:t>
            </w:r>
            <w:r w:rsidRPr="004A7B1E">
              <w:rPr>
                <w:rFonts w:cs="Times New Roman"/>
                <w:b/>
              </w:rPr>
              <w:t>µ</w:t>
            </w:r>
            <w:proofErr w:type="spellStart"/>
            <w:r w:rsidRPr="004A7B1E">
              <w:rPr>
                <w:b/>
              </w:rPr>
              <w:t>mol</w:t>
            </w:r>
            <w:proofErr w:type="spellEnd"/>
            <w:r w:rsidRPr="004A7B1E">
              <w:rPr>
                <w:b/>
              </w:rPr>
              <w:t>/L)</w:t>
            </w:r>
          </w:p>
        </w:tc>
      </w:tr>
      <w:tr w:rsidR="004B7137" w14:paraId="68654F25" w14:textId="77777777" w:rsidTr="004A7B1E">
        <w:trPr>
          <w:jc w:val="center"/>
        </w:trPr>
        <w:tc>
          <w:tcPr>
            <w:tcW w:w="4219" w:type="dxa"/>
            <w:vMerge w:val="restart"/>
            <w:vAlign w:val="center"/>
          </w:tcPr>
          <w:p w14:paraId="71ABBB96" w14:textId="64486DBD" w:rsidR="004B7137" w:rsidRDefault="004B7137" w:rsidP="004A7B1E">
            <w:pPr>
              <w:jc w:val="center"/>
            </w:pPr>
            <w:r>
              <w:t>Baseline</w:t>
            </w:r>
          </w:p>
          <w:p w14:paraId="343C740F" w14:textId="4A72F525" w:rsidR="004B7137" w:rsidRDefault="004B7137" w:rsidP="004A7B1E">
            <w:pPr>
              <w:jc w:val="center"/>
            </w:pPr>
            <w:r>
              <w:t>(prior to first treatment with CARBAGLU)</w:t>
            </w:r>
          </w:p>
        </w:tc>
        <w:tc>
          <w:tcPr>
            <w:tcW w:w="2511" w:type="dxa"/>
          </w:tcPr>
          <w:p w14:paraId="0E3D3B1E" w14:textId="096881E7" w:rsidR="004B7137" w:rsidRDefault="004B7137" w:rsidP="004A7B1E">
            <w:pPr>
              <w:jc w:val="center"/>
            </w:pPr>
            <w:r>
              <w:t>N</w:t>
            </w:r>
          </w:p>
        </w:tc>
        <w:tc>
          <w:tcPr>
            <w:tcW w:w="2512" w:type="dxa"/>
          </w:tcPr>
          <w:p w14:paraId="5E11B54E" w14:textId="582C4C8D" w:rsidR="004B7137" w:rsidRDefault="004B7137" w:rsidP="004A7B1E">
            <w:pPr>
              <w:jc w:val="center"/>
            </w:pPr>
            <w:r>
              <w:t>13</w:t>
            </w:r>
          </w:p>
        </w:tc>
      </w:tr>
      <w:tr w:rsidR="004B7137" w14:paraId="2FB25FFF" w14:textId="77777777" w:rsidTr="004A7B1E">
        <w:trPr>
          <w:jc w:val="center"/>
        </w:trPr>
        <w:tc>
          <w:tcPr>
            <w:tcW w:w="4219" w:type="dxa"/>
            <w:vMerge/>
            <w:vAlign w:val="center"/>
          </w:tcPr>
          <w:p w14:paraId="119A282B" w14:textId="77777777" w:rsidR="004B7137" w:rsidRDefault="004B7137" w:rsidP="004A7B1E">
            <w:pPr>
              <w:jc w:val="center"/>
            </w:pPr>
          </w:p>
        </w:tc>
        <w:tc>
          <w:tcPr>
            <w:tcW w:w="2511" w:type="dxa"/>
          </w:tcPr>
          <w:p w14:paraId="6203B869" w14:textId="094C367D" w:rsidR="004B7137" w:rsidRDefault="004B7137" w:rsidP="004A7B1E">
            <w:pPr>
              <w:jc w:val="center"/>
            </w:pPr>
            <w:r>
              <w:t>Mean (SD)</w:t>
            </w:r>
          </w:p>
        </w:tc>
        <w:tc>
          <w:tcPr>
            <w:tcW w:w="2512" w:type="dxa"/>
          </w:tcPr>
          <w:p w14:paraId="43C6763A" w14:textId="36819B1C" w:rsidR="004B7137" w:rsidRDefault="004B7137" w:rsidP="004A7B1E">
            <w:pPr>
              <w:jc w:val="center"/>
            </w:pPr>
            <w:r>
              <w:t>271 (359)</w:t>
            </w:r>
          </w:p>
        </w:tc>
      </w:tr>
      <w:tr w:rsidR="004B7137" w14:paraId="2E0D9703" w14:textId="77777777" w:rsidTr="004A7B1E">
        <w:trPr>
          <w:jc w:val="center"/>
        </w:trPr>
        <w:tc>
          <w:tcPr>
            <w:tcW w:w="4219" w:type="dxa"/>
            <w:vMerge/>
            <w:vAlign w:val="center"/>
          </w:tcPr>
          <w:p w14:paraId="691973B4" w14:textId="77777777" w:rsidR="004B7137" w:rsidRDefault="004B7137" w:rsidP="004A7B1E">
            <w:pPr>
              <w:jc w:val="center"/>
            </w:pPr>
          </w:p>
        </w:tc>
        <w:tc>
          <w:tcPr>
            <w:tcW w:w="2511" w:type="dxa"/>
          </w:tcPr>
          <w:p w14:paraId="1078B7D4" w14:textId="4BD31C65" w:rsidR="004B7137" w:rsidRPr="004A7B1E" w:rsidRDefault="004B7137" w:rsidP="004A7B1E">
            <w:pPr>
              <w:jc w:val="center"/>
              <w:rPr>
                <w:b/>
              </w:rPr>
            </w:pPr>
            <w:r w:rsidRPr="004A7B1E">
              <w:rPr>
                <w:b/>
              </w:rPr>
              <w:t>Median</w:t>
            </w:r>
          </w:p>
        </w:tc>
        <w:tc>
          <w:tcPr>
            <w:tcW w:w="2512" w:type="dxa"/>
          </w:tcPr>
          <w:p w14:paraId="02310807" w14:textId="25284B81" w:rsidR="004B7137" w:rsidRPr="004A7B1E" w:rsidRDefault="004B7137" w:rsidP="004A7B1E">
            <w:pPr>
              <w:jc w:val="center"/>
              <w:rPr>
                <w:b/>
              </w:rPr>
            </w:pPr>
            <w:r w:rsidRPr="004A7B1E">
              <w:rPr>
                <w:b/>
              </w:rPr>
              <w:t>157</w:t>
            </w:r>
          </w:p>
        </w:tc>
      </w:tr>
      <w:tr w:rsidR="004B7137" w14:paraId="11068174" w14:textId="77777777" w:rsidTr="004A7B1E">
        <w:trPr>
          <w:jc w:val="center"/>
        </w:trPr>
        <w:tc>
          <w:tcPr>
            <w:tcW w:w="4219" w:type="dxa"/>
            <w:vMerge/>
            <w:vAlign w:val="center"/>
          </w:tcPr>
          <w:p w14:paraId="5A6716D9" w14:textId="77777777" w:rsidR="004B7137" w:rsidRDefault="004B7137" w:rsidP="004A7B1E">
            <w:pPr>
              <w:jc w:val="center"/>
            </w:pPr>
          </w:p>
        </w:tc>
        <w:tc>
          <w:tcPr>
            <w:tcW w:w="2511" w:type="dxa"/>
          </w:tcPr>
          <w:p w14:paraId="3FE45B9F" w14:textId="7CF5375D" w:rsidR="004B7137" w:rsidRDefault="004B7137" w:rsidP="004A7B1E">
            <w:pPr>
              <w:jc w:val="center"/>
            </w:pPr>
            <w:r>
              <w:t>Range</w:t>
            </w:r>
          </w:p>
        </w:tc>
        <w:tc>
          <w:tcPr>
            <w:tcW w:w="2512" w:type="dxa"/>
          </w:tcPr>
          <w:p w14:paraId="369BC5F8" w14:textId="1A21AF53" w:rsidR="004B7137" w:rsidRDefault="004B7137" w:rsidP="004A7B1E">
            <w:pPr>
              <w:jc w:val="center"/>
            </w:pPr>
            <w:r>
              <w:t>72-1428</w:t>
            </w:r>
          </w:p>
        </w:tc>
      </w:tr>
      <w:tr w:rsidR="004B7137" w14:paraId="6EA552E1" w14:textId="77777777" w:rsidTr="004A7B1E">
        <w:trPr>
          <w:jc w:val="center"/>
        </w:trPr>
        <w:tc>
          <w:tcPr>
            <w:tcW w:w="4219" w:type="dxa"/>
            <w:vMerge/>
            <w:tcBorders>
              <w:bottom w:val="double" w:sz="12" w:space="0" w:color="auto"/>
            </w:tcBorders>
            <w:vAlign w:val="center"/>
          </w:tcPr>
          <w:p w14:paraId="41A1081F" w14:textId="77777777" w:rsidR="004B7137" w:rsidRDefault="004B7137" w:rsidP="004A7B1E">
            <w:pPr>
              <w:jc w:val="center"/>
            </w:pPr>
          </w:p>
        </w:tc>
        <w:tc>
          <w:tcPr>
            <w:tcW w:w="2511" w:type="dxa"/>
            <w:tcBorders>
              <w:bottom w:val="double" w:sz="12" w:space="0" w:color="auto"/>
            </w:tcBorders>
          </w:tcPr>
          <w:p w14:paraId="59C163F4" w14:textId="6659E178" w:rsidR="004B7137" w:rsidRDefault="004B7137" w:rsidP="004A7B1E">
            <w:pPr>
              <w:jc w:val="center"/>
            </w:pPr>
            <w:r>
              <w:t>Missing data</w:t>
            </w:r>
          </w:p>
        </w:tc>
        <w:tc>
          <w:tcPr>
            <w:tcW w:w="2512" w:type="dxa"/>
            <w:tcBorders>
              <w:bottom w:val="double" w:sz="12" w:space="0" w:color="auto"/>
            </w:tcBorders>
          </w:tcPr>
          <w:p w14:paraId="6B24678C" w14:textId="13D580B0" w:rsidR="004B7137" w:rsidRDefault="004B7137" w:rsidP="004A7B1E">
            <w:pPr>
              <w:jc w:val="center"/>
            </w:pPr>
            <w:r>
              <w:t>0</w:t>
            </w:r>
          </w:p>
        </w:tc>
      </w:tr>
      <w:tr w:rsidR="004B7137" w14:paraId="1C286D65" w14:textId="77777777" w:rsidTr="004A7B1E">
        <w:trPr>
          <w:jc w:val="center"/>
        </w:trPr>
        <w:tc>
          <w:tcPr>
            <w:tcW w:w="4219" w:type="dxa"/>
            <w:vMerge w:val="restart"/>
            <w:tcBorders>
              <w:top w:val="double" w:sz="12" w:space="0" w:color="auto"/>
            </w:tcBorders>
            <w:vAlign w:val="center"/>
          </w:tcPr>
          <w:p w14:paraId="576966AA" w14:textId="37337B43" w:rsidR="004B7137" w:rsidRDefault="004B7137" w:rsidP="004A7B1E">
            <w:pPr>
              <w:jc w:val="center"/>
            </w:pPr>
            <w:r>
              <w:t>Day 1</w:t>
            </w:r>
          </w:p>
        </w:tc>
        <w:tc>
          <w:tcPr>
            <w:tcW w:w="2511" w:type="dxa"/>
            <w:tcBorders>
              <w:top w:val="double" w:sz="12" w:space="0" w:color="auto"/>
            </w:tcBorders>
          </w:tcPr>
          <w:p w14:paraId="01947B60" w14:textId="67B7244B" w:rsidR="004B7137" w:rsidRDefault="004B7137" w:rsidP="004A7B1E">
            <w:pPr>
              <w:jc w:val="center"/>
            </w:pPr>
            <w:r>
              <w:t>N</w:t>
            </w:r>
          </w:p>
        </w:tc>
        <w:tc>
          <w:tcPr>
            <w:tcW w:w="2512" w:type="dxa"/>
            <w:tcBorders>
              <w:top w:val="double" w:sz="12" w:space="0" w:color="auto"/>
            </w:tcBorders>
          </w:tcPr>
          <w:p w14:paraId="384DCFC4" w14:textId="00B6ABC5" w:rsidR="004B7137" w:rsidRDefault="004B7137" w:rsidP="004A7B1E">
            <w:pPr>
              <w:jc w:val="center"/>
            </w:pPr>
            <w:r>
              <w:t>10</w:t>
            </w:r>
          </w:p>
        </w:tc>
      </w:tr>
      <w:tr w:rsidR="004B7137" w14:paraId="5F980458" w14:textId="77777777" w:rsidTr="004A7B1E">
        <w:trPr>
          <w:jc w:val="center"/>
        </w:trPr>
        <w:tc>
          <w:tcPr>
            <w:tcW w:w="4219" w:type="dxa"/>
            <w:vMerge/>
            <w:vAlign w:val="center"/>
          </w:tcPr>
          <w:p w14:paraId="55F97CCE" w14:textId="77777777" w:rsidR="004B7137" w:rsidRDefault="004B7137" w:rsidP="004A7B1E">
            <w:pPr>
              <w:jc w:val="center"/>
            </w:pPr>
          </w:p>
        </w:tc>
        <w:tc>
          <w:tcPr>
            <w:tcW w:w="2511" w:type="dxa"/>
          </w:tcPr>
          <w:p w14:paraId="5F35BEC1" w14:textId="77F83E43" w:rsidR="004B7137" w:rsidRDefault="004B7137" w:rsidP="004A7B1E">
            <w:pPr>
              <w:jc w:val="center"/>
            </w:pPr>
            <w:r>
              <w:t>Mean (SD)</w:t>
            </w:r>
          </w:p>
        </w:tc>
        <w:tc>
          <w:tcPr>
            <w:tcW w:w="2512" w:type="dxa"/>
          </w:tcPr>
          <w:p w14:paraId="2BE3DCBD" w14:textId="7AE85125" w:rsidR="004B7137" w:rsidRDefault="004B7137" w:rsidP="004A7B1E">
            <w:pPr>
              <w:jc w:val="center"/>
            </w:pPr>
            <w:r>
              <w:t>181 (358)</w:t>
            </w:r>
          </w:p>
        </w:tc>
      </w:tr>
      <w:tr w:rsidR="004B7137" w14:paraId="365980F0" w14:textId="77777777" w:rsidTr="004A7B1E">
        <w:trPr>
          <w:jc w:val="center"/>
        </w:trPr>
        <w:tc>
          <w:tcPr>
            <w:tcW w:w="4219" w:type="dxa"/>
            <w:vMerge/>
            <w:vAlign w:val="center"/>
          </w:tcPr>
          <w:p w14:paraId="65EB7AF5" w14:textId="77777777" w:rsidR="004B7137" w:rsidRDefault="004B7137" w:rsidP="004A7B1E">
            <w:pPr>
              <w:jc w:val="center"/>
            </w:pPr>
          </w:p>
        </w:tc>
        <w:tc>
          <w:tcPr>
            <w:tcW w:w="2511" w:type="dxa"/>
          </w:tcPr>
          <w:p w14:paraId="15D904CA" w14:textId="09799B8F" w:rsidR="004B7137" w:rsidRDefault="004B7137" w:rsidP="004A7B1E">
            <w:pPr>
              <w:jc w:val="center"/>
            </w:pPr>
            <w:r w:rsidRPr="002B23BF">
              <w:rPr>
                <w:b/>
              </w:rPr>
              <w:t>Median</w:t>
            </w:r>
          </w:p>
        </w:tc>
        <w:tc>
          <w:tcPr>
            <w:tcW w:w="2512" w:type="dxa"/>
          </w:tcPr>
          <w:p w14:paraId="41996F8E" w14:textId="3D7DFB91" w:rsidR="004B7137" w:rsidRDefault="004B7137" w:rsidP="004A7B1E">
            <w:pPr>
              <w:jc w:val="center"/>
            </w:pPr>
            <w:r>
              <w:t>65</w:t>
            </w:r>
          </w:p>
        </w:tc>
      </w:tr>
      <w:tr w:rsidR="004B7137" w14:paraId="4C40B562" w14:textId="77777777" w:rsidTr="004A7B1E">
        <w:trPr>
          <w:jc w:val="center"/>
        </w:trPr>
        <w:tc>
          <w:tcPr>
            <w:tcW w:w="4219" w:type="dxa"/>
            <w:vMerge/>
            <w:vAlign w:val="center"/>
          </w:tcPr>
          <w:p w14:paraId="22B455AD" w14:textId="77777777" w:rsidR="004B7137" w:rsidRDefault="004B7137" w:rsidP="004A7B1E">
            <w:pPr>
              <w:jc w:val="center"/>
            </w:pPr>
          </w:p>
        </w:tc>
        <w:tc>
          <w:tcPr>
            <w:tcW w:w="2511" w:type="dxa"/>
          </w:tcPr>
          <w:p w14:paraId="7B478331" w14:textId="1951834F" w:rsidR="004B7137" w:rsidRDefault="004B7137" w:rsidP="004A7B1E">
            <w:pPr>
              <w:jc w:val="center"/>
            </w:pPr>
            <w:r>
              <w:t>Range</w:t>
            </w:r>
          </w:p>
        </w:tc>
        <w:tc>
          <w:tcPr>
            <w:tcW w:w="2512" w:type="dxa"/>
          </w:tcPr>
          <w:p w14:paraId="0180FB98" w14:textId="41BB3D4C" w:rsidR="004B7137" w:rsidRDefault="004B7137" w:rsidP="004A7B1E">
            <w:pPr>
              <w:jc w:val="center"/>
            </w:pPr>
            <w:r>
              <w:t>25-1190</w:t>
            </w:r>
          </w:p>
        </w:tc>
      </w:tr>
      <w:tr w:rsidR="004B7137" w14:paraId="16BDFDDB" w14:textId="77777777" w:rsidTr="004A7B1E">
        <w:trPr>
          <w:jc w:val="center"/>
        </w:trPr>
        <w:tc>
          <w:tcPr>
            <w:tcW w:w="4219" w:type="dxa"/>
            <w:vMerge/>
            <w:tcBorders>
              <w:bottom w:val="single" w:sz="12" w:space="0" w:color="auto"/>
            </w:tcBorders>
            <w:vAlign w:val="center"/>
          </w:tcPr>
          <w:p w14:paraId="697B4F29" w14:textId="77777777" w:rsidR="004B7137" w:rsidRDefault="004B7137" w:rsidP="004A7B1E">
            <w:pPr>
              <w:jc w:val="center"/>
            </w:pPr>
          </w:p>
        </w:tc>
        <w:tc>
          <w:tcPr>
            <w:tcW w:w="2511" w:type="dxa"/>
            <w:tcBorders>
              <w:bottom w:val="single" w:sz="12" w:space="0" w:color="auto"/>
            </w:tcBorders>
          </w:tcPr>
          <w:p w14:paraId="3A98C60A" w14:textId="672736AD" w:rsidR="004B7137" w:rsidRDefault="004B7137" w:rsidP="004A7B1E">
            <w:pPr>
              <w:jc w:val="center"/>
            </w:pPr>
            <w:r>
              <w:t>Missing data</w:t>
            </w:r>
          </w:p>
        </w:tc>
        <w:tc>
          <w:tcPr>
            <w:tcW w:w="2512" w:type="dxa"/>
            <w:tcBorders>
              <w:bottom w:val="single" w:sz="12" w:space="0" w:color="auto"/>
            </w:tcBorders>
          </w:tcPr>
          <w:p w14:paraId="11F247ED" w14:textId="60BFBF05" w:rsidR="004B7137" w:rsidRDefault="004B7137" w:rsidP="004A7B1E">
            <w:pPr>
              <w:jc w:val="center"/>
            </w:pPr>
            <w:r>
              <w:t>3</w:t>
            </w:r>
          </w:p>
        </w:tc>
      </w:tr>
      <w:tr w:rsidR="004B7137" w14:paraId="66C88D76" w14:textId="77777777" w:rsidTr="004A7B1E">
        <w:trPr>
          <w:jc w:val="center"/>
        </w:trPr>
        <w:tc>
          <w:tcPr>
            <w:tcW w:w="4219" w:type="dxa"/>
            <w:vMerge w:val="restart"/>
            <w:tcBorders>
              <w:top w:val="single" w:sz="12" w:space="0" w:color="auto"/>
            </w:tcBorders>
            <w:vAlign w:val="center"/>
          </w:tcPr>
          <w:p w14:paraId="11C07B3A" w14:textId="4D0C859E" w:rsidR="004B7137" w:rsidRDefault="004B7137" w:rsidP="004A7B1E">
            <w:pPr>
              <w:jc w:val="center"/>
            </w:pPr>
            <w:r>
              <w:t>Day 2</w:t>
            </w:r>
          </w:p>
        </w:tc>
        <w:tc>
          <w:tcPr>
            <w:tcW w:w="2511" w:type="dxa"/>
            <w:tcBorders>
              <w:top w:val="single" w:sz="12" w:space="0" w:color="auto"/>
            </w:tcBorders>
          </w:tcPr>
          <w:p w14:paraId="20440A2F" w14:textId="3D3099AF" w:rsidR="004B7137" w:rsidRDefault="004B7137" w:rsidP="004A7B1E">
            <w:pPr>
              <w:jc w:val="center"/>
            </w:pPr>
            <w:r>
              <w:t>N</w:t>
            </w:r>
          </w:p>
        </w:tc>
        <w:tc>
          <w:tcPr>
            <w:tcW w:w="2512" w:type="dxa"/>
            <w:tcBorders>
              <w:top w:val="single" w:sz="12" w:space="0" w:color="auto"/>
            </w:tcBorders>
          </w:tcPr>
          <w:p w14:paraId="6D4763B2" w14:textId="371011F0" w:rsidR="004B7137" w:rsidRDefault="004B7137" w:rsidP="004A7B1E">
            <w:pPr>
              <w:jc w:val="center"/>
            </w:pPr>
            <w:r>
              <w:t>8</w:t>
            </w:r>
          </w:p>
        </w:tc>
      </w:tr>
      <w:tr w:rsidR="004B7137" w14:paraId="40F4DDAF" w14:textId="77777777" w:rsidTr="004A7B1E">
        <w:trPr>
          <w:jc w:val="center"/>
        </w:trPr>
        <w:tc>
          <w:tcPr>
            <w:tcW w:w="4219" w:type="dxa"/>
            <w:vMerge/>
            <w:vAlign w:val="center"/>
          </w:tcPr>
          <w:p w14:paraId="36E7D3FD" w14:textId="77777777" w:rsidR="004B7137" w:rsidRDefault="004B7137" w:rsidP="004A7B1E">
            <w:pPr>
              <w:jc w:val="center"/>
            </w:pPr>
          </w:p>
        </w:tc>
        <w:tc>
          <w:tcPr>
            <w:tcW w:w="2511" w:type="dxa"/>
          </w:tcPr>
          <w:p w14:paraId="76BC6EDE" w14:textId="0C84AC03" w:rsidR="004B7137" w:rsidRDefault="004B7137" w:rsidP="004A7B1E">
            <w:pPr>
              <w:jc w:val="center"/>
            </w:pPr>
            <w:r>
              <w:t>Mean (SD)</w:t>
            </w:r>
          </w:p>
        </w:tc>
        <w:tc>
          <w:tcPr>
            <w:tcW w:w="2512" w:type="dxa"/>
          </w:tcPr>
          <w:p w14:paraId="35F6324F" w14:textId="23F03502" w:rsidR="004B7137" w:rsidRDefault="004B7137" w:rsidP="004A7B1E">
            <w:pPr>
              <w:jc w:val="center"/>
            </w:pPr>
            <w:r>
              <w:t>69 (78)</w:t>
            </w:r>
          </w:p>
        </w:tc>
      </w:tr>
      <w:tr w:rsidR="004B7137" w14:paraId="48CB9502" w14:textId="77777777" w:rsidTr="004A7B1E">
        <w:trPr>
          <w:jc w:val="center"/>
        </w:trPr>
        <w:tc>
          <w:tcPr>
            <w:tcW w:w="4219" w:type="dxa"/>
            <w:vMerge/>
            <w:vAlign w:val="center"/>
          </w:tcPr>
          <w:p w14:paraId="0CE96C60" w14:textId="77777777" w:rsidR="004B7137" w:rsidRDefault="004B7137" w:rsidP="004A7B1E">
            <w:pPr>
              <w:jc w:val="center"/>
            </w:pPr>
          </w:p>
        </w:tc>
        <w:tc>
          <w:tcPr>
            <w:tcW w:w="2511" w:type="dxa"/>
          </w:tcPr>
          <w:p w14:paraId="71EF64A1" w14:textId="58C7B5F9" w:rsidR="004B7137" w:rsidRDefault="004B7137" w:rsidP="004A7B1E">
            <w:pPr>
              <w:jc w:val="center"/>
            </w:pPr>
            <w:r w:rsidRPr="002B23BF">
              <w:rPr>
                <w:b/>
              </w:rPr>
              <w:t>Median</w:t>
            </w:r>
          </w:p>
        </w:tc>
        <w:tc>
          <w:tcPr>
            <w:tcW w:w="2512" w:type="dxa"/>
          </w:tcPr>
          <w:p w14:paraId="07F478D1" w14:textId="16CB68FB" w:rsidR="004B7137" w:rsidRPr="004A7B1E" w:rsidRDefault="004B7137" w:rsidP="004A7B1E">
            <w:pPr>
              <w:jc w:val="center"/>
              <w:rPr>
                <w:b/>
              </w:rPr>
            </w:pPr>
            <w:r w:rsidRPr="004A7B1E">
              <w:rPr>
                <w:b/>
              </w:rPr>
              <w:t>44</w:t>
            </w:r>
          </w:p>
        </w:tc>
      </w:tr>
      <w:tr w:rsidR="004B7137" w14:paraId="1CE60776" w14:textId="77777777" w:rsidTr="004A7B1E">
        <w:trPr>
          <w:jc w:val="center"/>
        </w:trPr>
        <w:tc>
          <w:tcPr>
            <w:tcW w:w="4219" w:type="dxa"/>
            <w:vMerge/>
            <w:vAlign w:val="center"/>
          </w:tcPr>
          <w:p w14:paraId="45205893" w14:textId="77777777" w:rsidR="004B7137" w:rsidRDefault="004B7137" w:rsidP="004A7B1E">
            <w:pPr>
              <w:jc w:val="center"/>
            </w:pPr>
          </w:p>
        </w:tc>
        <w:tc>
          <w:tcPr>
            <w:tcW w:w="2511" w:type="dxa"/>
          </w:tcPr>
          <w:p w14:paraId="04F2D9FF" w14:textId="009CE4DB" w:rsidR="004B7137" w:rsidRDefault="004B7137" w:rsidP="004A7B1E">
            <w:pPr>
              <w:jc w:val="center"/>
            </w:pPr>
            <w:r>
              <w:t>Range</w:t>
            </w:r>
          </w:p>
        </w:tc>
        <w:tc>
          <w:tcPr>
            <w:tcW w:w="2512" w:type="dxa"/>
          </w:tcPr>
          <w:p w14:paraId="73A1AFE6" w14:textId="4494F03C" w:rsidR="004B7137" w:rsidRDefault="004B7137" w:rsidP="004A7B1E">
            <w:pPr>
              <w:jc w:val="center"/>
            </w:pPr>
            <w:r>
              <w:t xml:space="preserve">11-255 </w:t>
            </w:r>
          </w:p>
        </w:tc>
      </w:tr>
      <w:tr w:rsidR="004B7137" w14:paraId="0F5E710D" w14:textId="77777777" w:rsidTr="004A7B1E">
        <w:trPr>
          <w:jc w:val="center"/>
        </w:trPr>
        <w:tc>
          <w:tcPr>
            <w:tcW w:w="4219" w:type="dxa"/>
            <w:vMerge/>
            <w:tcBorders>
              <w:bottom w:val="single" w:sz="12" w:space="0" w:color="auto"/>
            </w:tcBorders>
            <w:vAlign w:val="center"/>
          </w:tcPr>
          <w:p w14:paraId="3FB90BEA" w14:textId="77777777" w:rsidR="004B7137" w:rsidRDefault="004B7137" w:rsidP="004A7B1E">
            <w:pPr>
              <w:jc w:val="center"/>
            </w:pPr>
          </w:p>
        </w:tc>
        <w:tc>
          <w:tcPr>
            <w:tcW w:w="2511" w:type="dxa"/>
            <w:tcBorders>
              <w:bottom w:val="single" w:sz="12" w:space="0" w:color="auto"/>
            </w:tcBorders>
          </w:tcPr>
          <w:p w14:paraId="390AE5E0" w14:textId="1E045F68" w:rsidR="004B7137" w:rsidRDefault="004B7137" w:rsidP="004A7B1E">
            <w:pPr>
              <w:jc w:val="center"/>
            </w:pPr>
            <w:r>
              <w:t>Missing data</w:t>
            </w:r>
          </w:p>
        </w:tc>
        <w:tc>
          <w:tcPr>
            <w:tcW w:w="2512" w:type="dxa"/>
            <w:tcBorders>
              <w:bottom w:val="single" w:sz="12" w:space="0" w:color="auto"/>
            </w:tcBorders>
          </w:tcPr>
          <w:p w14:paraId="7221A25B" w14:textId="4216BA5D" w:rsidR="004B7137" w:rsidRDefault="004B7137" w:rsidP="004A7B1E">
            <w:pPr>
              <w:jc w:val="center"/>
            </w:pPr>
            <w:r>
              <w:t>5</w:t>
            </w:r>
          </w:p>
        </w:tc>
      </w:tr>
      <w:tr w:rsidR="004B7137" w14:paraId="0A556641" w14:textId="77777777" w:rsidTr="004A7B1E">
        <w:trPr>
          <w:jc w:val="center"/>
        </w:trPr>
        <w:tc>
          <w:tcPr>
            <w:tcW w:w="4219" w:type="dxa"/>
            <w:vMerge w:val="restart"/>
            <w:tcBorders>
              <w:top w:val="single" w:sz="12" w:space="0" w:color="auto"/>
            </w:tcBorders>
            <w:vAlign w:val="center"/>
          </w:tcPr>
          <w:p w14:paraId="3523BA18" w14:textId="746ED4CA" w:rsidR="004B7137" w:rsidRDefault="004B7137" w:rsidP="004A7B1E">
            <w:pPr>
              <w:jc w:val="center"/>
            </w:pPr>
            <w:r>
              <w:t>Day 3</w:t>
            </w:r>
          </w:p>
        </w:tc>
        <w:tc>
          <w:tcPr>
            <w:tcW w:w="2511" w:type="dxa"/>
            <w:tcBorders>
              <w:top w:val="single" w:sz="12" w:space="0" w:color="auto"/>
            </w:tcBorders>
          </w:tcPr>
          <w:p w14:paraId="36A6F14D" w14:textId="6A1ABC71" w:rsidR="004B7137" w:rsidRDefault="004B7137" w:rsidP="004A7B1E">
            <w:pPr>
              <w:jc w:val="center"/>
            </w:pPr>
            <w:r>
              <w:t>N</w:t>
            </w:r>
          </w:p>
        </w:tc>
        <w:tc>
          <w:tcPr>
            <w:tcW w:w="2512" w:type="dxa"/>
            <w:tcBorders>
              <w:top w:val="single" w:sz="12" w:space="0" w:color="auto"/>
            </w:tcBorders>
          </w:tcPr>
          <w:p w14:paraId="3D83F4DC" w14:textId="7CF84E95" w:rsidR="004B7137" w:rsidRDefault="004B7137" w:rsidP="004A7B1E">
            <w:pPr>
              <w:jc w:val="center"/>
            </w:pPr>
            <w:r>
              <w:t>5</w:t>
            </w:r>
          </w:p>
        </w:tc>
      </w:tr>
      <w:tr w:rsidR="004B7137" w14:paraId="784CC283" w14:textId="77777777" w:rsidTr="004A7B1E">
        <w:trPr>
          <w:jc w:val="center"/>
        </w:trPr>
        <w:tc>
          <w:tcPr>
            <w:tcW w:w="4219" w:type="dxa"/>
            <w:vMerge/>
            <w:vAlign w:val="center"/>
          </w:tcPr>
          <w:p w14:paraId="09408649" w14:textId="77777777" w:rsidR="004B7137" w:rsidRDefault="004B7137" w:rsidP="004A7B1E">
            <w:pPr>
              <w:jc w:val="center"/>
            </w:pPr>
          </w:p>
        </w:tc>
        <w:tc>
          <w:tcPr>
            <w:tcW w:w="2511" w:type="dxa"/>
          </w:tcPr>
          <w:p w14:paraId="0B6C5A9E" w14:textId="1EBC2F58" w:rsidR="004B7137" w:rsidRDefault="004B7137" w:rsidP="004A7B1E">
            <w:pPr>
              <w:jc w:val="center"/>
            </w:pPr>
            <w:r>
              <w:t>Mean (SD)</w:t>
            </w:r>
          </w:p>
        </w:tc>
        <w:tc>
          <w:tcPr>
            <w:tcW w:w="2512" w:type="dxa"/>
          </w:tcPr>
          <w:p w14:paraId="56DD066F" w14:textId="58FDA486" w:rsidR="004B7137" w:rsidRDefault="004B7137" w:rsidP="004A7B1E">
            <w:pPr>
              <w:jc w:val="center"/>
            </w:pPr>
            <w:r>
              <w:t>27 (11)</w:t>
            </w:r>
          </w:p>
        </w:tc>
      </w:tr>
      <w:tr w:rsidR="004B7137" w14:paraId="5219F5CD" w14:textId="77777777" w:rsidTr="004A7B1E">
        <w:trPr>
          <w:jc w:val="center"/>
        </w:trPr>
        <w:tc>
          <w:tcPr>
            <w:tcW w:w="4219" w:type="dxa"/>
            <w:vMerge/>
            <w:vAlign w:val="center"/>
          </w:tcPr>
          <w:p w14:paraId="33CF14E6" w14:textId="77777777" w:rsidR="004B7137" w:rsidRDefault="004B7137" w:rsidP="004A7B1E">
            <w:pPr>
              <w:jc w:val="center"/>
            </w:pPr>
          </w:p>
        </w:tc>
        <w:tc>
          <w:tcPr>
            <w:tcW w:w="2511" w:type="dxa"/>
          </w:tcPr>
          <w:p w14:paraId="2A619864" w14:textId="3470F2D9" w:rsidR="004B7137" w:rsidRDefault="004B7137" w:rsidP="004A7B1E">
            <w:pPr>
              <w:jc w:val="center"/>
            </w:pPr>
            <w:r w:rsidRPr="002B23BF">
              <w:rPr>
                <w:b/>
              </w:rPr>
              <w:t>Median</w:t>
            </w:r>
          </w:p>
        </w:tc>
        <w:tc>
          <w:tcPr>
            <w:tcW w:w="2512" w:type="dxa"/>
          </w:tcPr>
          <w:p w14:paraId="7D201030" w14:textId="159D8272" w:rsidR="004B7137" w:rsidRPr="004A7B1E" w:rsidRDefault="004B7137" w:rsidP="004A7B1E">
            <w:pPr>
              <w:jc w:val="center"/>
              <w:rPr>
                <w:b/>
              </w:rPr>
            </w:pPr>
            <w:r w:rsidRPr="004A7B1E">
              <w:rPr>
                <w:b/>
              </w:rPr>
              <w:t>25</w:t>
            </w:r>
          </w:p>
        </w:tc>
      </w:tr>
      <w:tr w:rsidR="004B7137" w14:paraId="70C0057D" w14:textId="77777777" w:rsidTr="004A7B1E">
        <w:trPr>
          <w:jc w:val="center"/>
        </w:trPr>
        <w:tc>
          <w:tcPr>
            <w:tcW w:w="4219" w:type="dxa"/>
            <w:vMerge/>
            <w:vAlign w:val="center"/>
          </w:tcPr>
          <w:p w14:paraId="48F796C2" w14:textId="77777777" w:rsidR="004B7137" w:rsidRDefault="004B7137" w:rsidP="004A7B1E">
            <w:pPr>
              <w:jc w:val="center"/>
            </w:pPr>
          </w:p>
        </w:tc>
        <w:tc>
          <w:tcPr>
            <w:tcW w:w="2511" w:type="dxa"/>
          </w:tcPr>
          <w:p w14:paraId="5D5F6FC9" w14:textId="6C214B4B" w:rsidR="004B7137" w:rsidRDefault="004B7137" w:rsidP="004A7B1E">
            <w:pPr>
              <w:jc w:val="center"/>
            </w:pPr>
            <w:r>
              <w:t>Range</w:t>
            </w:r>
          </w:p>
        </w:tc>
        <w:tc>
          <w:tcPr>
            <w:tcW w:w="2512" w:type="dxa"/>
          </w:tcPr>
          <w:p w14:paraId="31504DA8" w14:textId="462FA313" w:rsidR="004B7137" w:rsidRDefault="004B7137" w:rsidP="004A7B1E">
            <w:pPr>
              <w:jc w:val="center"/>
            </w:pPr>
            <w:r>
              <w:t>12-42</w:t>
            </w:r>
          </w:p>
        </w:tc>
      </w:tr>
      <w:tr w:rsidR="004B7137" w14:paraId="1FCC6F53" w14:textId="77777777" w:rsidTr="004A7B1E">
        <w:trPr>
          <w:jc w:val="center"/>
        </w:trPr>
        <w:tc>
          <w:tcPr>
            <w:tcW w:w="4219" w:type="dxa"/>
            <w:vMerge/>
            <w:tcBorders>
              <w:bottom w:val="double" w:sz="12" w:space="0" w:color="auto"/>
            </w:tcBorders>
            <w:vAlign w:val="center"/>
          </w:tcPr>
          <w:p w14:paraId="119F75FD" w14:textId="77777777" w:rsidR="004B7137" w:rsidRDefault="004B7137" w:rsidP="004A7B1E">
            <w:pPr>
              <w:jc w:val="center"/>
            </w:pPr>
          </w:p>
        </w:tc>
        <w:tc>
          <w:tcPr>
            <w:tcW w:w="2511" w:type="dxa"/>
            <w:tcBorders>
              <w:bottom w:val="double" w:sz="12" w:space="0" w:color="auto"/>
            </w:tcBorders>
          </w:tcPr>
          <w:p w14:paraId="2D7E1BD7" w14:textId="54525BA1" w:rsidR="004B7137" w:rsidRDefault="004B7137" w:rsidP="004A7B1E">
            <w:pPr>
              <w:jc w:val="center"/>
            </w:pPr>
            <w:r>
              <w:t>Missing data</w:t>
            </w:r>
          </w:p>
        </w:tc>
        <w:tc>
          <w:tcPr>
            <w:tcW w:w="2512" w:type="dxa"/>
            <w:tcBorders>
              <w:bottom w:val="double" w:sz="12" w:space="0" w:color="auto"/>
            </w:tcBorders>
          </w:tcPr>
          <w:p w14:paraId="59FED208" w14:textId="29EE88EA" w:rsidR="004B7137" w:rsidRDefault="004B7137" w:rsidP="004A7B1E">
            <w:pPr>
              <w:jc w:val="center"/>
            </w:pPr>
            <w:r>
              <w:t>8</w:t>
            </w:r>
          </w:p>
        </w:tc>
      </w:tr>
      <w:tr w:rsidR="004B7137" w14:paraId="6A81F620" w14:textId="77777777" w:rsidTr="004A7B1E">
        <w:trPr>
          <w:jc w:val="center"/>
        </w:trPr>
        <w:tc>
          <w:tcPr>
            <w:tcW w:w="4219" w:type="dxa"/>
            <w:vMerge w:val="restart"/>
            <w:tcBorders>
              <w:top w:val="double" w:sz="12" w:space="0" w:color="auto"/>
            </w:tcBorders>
            <w:vAlign w:val="center"/>
          </w:tcPr>
          <w:p w14:paraId="5AE633C8" w14:textId="13E5A57A" w:rsidR="004B7137" w:rsidRDefault="004B7137" w:rsidP="004A7B1E">
            <w:pPr>
              <w:jc w:val="center"/>
            </w:pPr>
            <w:r>
              <w:t>Long-term</w:t>
            </w:r>
          </w:p>
          <w:p w14:paraId="0271AAF4" w14:textId="77777777" w:rsidR="004B7137" w:rsidRDefault="004B7137" w:rsidP="004A7B1E">
            <w:pPr>
              <w:jc w:val="center"/>
            </w:pPr>
            <w:r>
              <w:t>Mean: 8 years</w:t>
            </w:r>
          </w:p>
          <w:p w14:paraId="5DB8072A" w14:textId="77777777" w:rsidR="004B7137" w:rsidRDefault="004B7137" w:rsidP="004A7B1E">
            <w:pPr>
              <w:jc w:val="center"/>
            </w:pPr>
            <w:r>
              <w:t>Median: 6 years</w:t>
            </w:r>
          </w:p>
          <w:p w14:paraId="761161E6" w14:textId="77777777" w:rsidR="004B7137" w:rsidRDefault="004B7137" w:rsidP="004A7B1E">
            <w:pPr>
              <w:jc w:val="center"/>
            </w:pPr>
            <w:r>
              <w:t>1 to 16 years</w:t>
            </w:r>
          </w:p>
          <w:p w14:paraId="00D784A5" w14:textId="6C09E29A" w:rsidR="004B7137" w:rsidRDefault="004B7137" w:rsidP="004A7B1E">
            <w:pPr>
              <w:jc w:val="center"/>
            </w:pPr>
            <w:r>
              <w:t>(last available value on CARBAGLU treatment)</w:t>
            </w:r>
          </w:p>
        </w:tc>
        <w:tc>
          <w:tcPr>
            <w:tcW w:w="2511" w:type="dxa"/>
            <w:tcBorders>
              <w:top w:val="double" w:sz="12" w:space="0" w:color="auto"/>
            </w:tcBorders>
          </w:tcPr>
          <w:p w14:paraId="670857F9" w14:textId="71F1FDD1" w:rsidR="004B7137" w:rsidRDefault="004B7137" w:rsidP="004A7B1E">
            <w:pPr>
              <w:jc w:val="center"/>
            </w:pPr>
            <w:r>
              <w:t>N</w:t>
            </w:r>
          </w:p>
        </w:tc>
        <w:tc>
          <w:tcPr>
            <w:tcW w:w="2512" w:type="dxa"/>
            <w:tcBorders>
              <w:top w:val="double" w:sz="12" w:space="0" w:color="auto"/>
            </w:tcBorders>
          </w:tcPr>
          <w:p w14:paraId="4623E7D7" w14:textId="3F07333A" w:rsidR="004B7137" w:rsidRDefault="004B7137" w:rsidP="004A7B1E">
            <w:pPr>
              <w:jc w:val="center"/>
            </w:pPr>
            <w:r>
              <w:t>13</w:t>
            </w:r>
          </w:p>
        </w:tc>
      </w:tr>
      <w:tr w:rsidR="004B7137" w14:paraId="4D4C9FB0" w14:textId="77777777" w:rsidTr="004A7B1E">
        <w:trPr>
          <w:jc w:val="center"/>
        </w:trPr>
        <w:tc>
          <w:tcPr>
            <w:tcW w:w="4219" w:type="dxa"/>
            <w:vMerge/>
          </w:tcPr>
          <w:p w14:paraId="16CC0D5B" w14:textId="77777777" w:rsidR="004B7137" w:rsidRDefault="004B7137" w:rsidP="004A7B1E">
            <w:pPr>
              <w:jc w:val="center"/>
            </w:pPr>
          </w:p>
        </w:tc>
        <w:tc>
          <w:tcPr>
            <w:tcW w:w="2511" w:type="dxa"/>
          </w:tcPr>
          <w:p w14:paraId="2D292CD5" w14:textId="6BA31EBA" w:rsidR="004B7137" w:rsidRDefault="004B7137" w:rsidP="004A7B1E">
            <w:pPr>
              <w:jc w:val="center"/>
            </w:pPr>
            <w:r>
              <w:t>Mean (SD)</w:t>
            </w:r>
          </w:p>
        </w:tc>
        <w:tc>
          <w:tcPr>
            <w:tcW w:w="2512" w:type="dxa"/>
          </w:tcPr>
          <w:p w14:paraId="1FA9B9E1" w14:textId="12451715" w:rsidR="004B7137" w:rsidRDefault="004B7137" w:rsidP="004A7B1E">
            <w:pPr>
              <w:jc w:val="center"/>
            </w:pPr>
            <w:r>
              <w:t>23 (7)</w:t>
            </w:r>
          </w:p>
        </w:tc>
      </w:tr>
      <w:tr w:rsidR="004B7137" w14:paraId="404FD5A2" w14:textId="77777777" w:rsidTr="004A7B1E">
        <w:trPr>
          <w:jc w:val="center"/>
        </w:trPr>
        <w:tc>
          <w:tcPr>
            <w:tcW w:w="4219" w:type="dxa"/>
            <w:vMerge/>
          </w:tcPr>
          <w:p w14:paraId="79D6FF9F" w14:textId="77777777" w:rsidR="004B7137" w:rsidRDefault="004B7137" w:rsidP="004A7B1E">
            <w:pPr>
              <w:jc w:val="center"/>
            </w:pPr>
          </w:p>
        </w:tc>
        <w:tc>
          <w:tcPr>
            <w:tcW w:w="2511" w:type="dxa"/>
          </w:tcPr>
          <w:p w14:paraId="48197457" w14:textId="6BDEC3AC" w:rsidR="004B7137" w:rsidRDefault="004B7137" w:rsidP="004A7B1E">
            <w:pPr>
              <w:jc w:val="center"/>
            </w:pPr>
            <w:r w:rsidRPr="002B23BF">
              <w:rPr>
                <w:b/>
              </w:rPr>
              <w:t>Median</w:t>
            </w:r>
          </w:p>
        </w:tc>
        <w:tc>
          <w:tcPr>
            <w:tcW w:w="2512" w:type="dxa"/>
          </w:tcPr>
          <w:p w14:paraId="139117EF" w14:textId="7F934064" w:rsidR="004B7137" w:rsidRPr="004A7B1E" w:rsidRDefault="004B7137" w:rsidP="004A7B1E">
            <w:pPr>
              <w:jc w:val="center"/>
              <w:rPr>
                <w:b/>
              </w:rPr>
            </w:pPr>
            <w:r w:rsidRPr="004A7B1E">
              <w:rPr>
                <w:b/>
              </w:rPr>
              <w:t>24</w:t>
            </w:r>
          </w:p>
        </w:tc>
      </w:tr>
      <w:tr w:rsidR="004B7137" w14:paraId="2C535905" w14:textId="77777777" w:rsidTr="004A7B1E">
        <w:trPr>
          <w:jc w:val="center"/>
        </w:trPr>
        <w:tc>
          <w:tcPr>
            <w:tcW w:w="4219" w:type="dxa"/>
            <w:vMerge/>
          </w:tcPr>
          <w:p w14:paraId="0F971090" w14:textId="77777777" w:rsidR="004B7137" w:rsidRDefault="004B7137" w:rsidP="004A7B1E">
            <w:pPr>
              <w:jc w:val="center"/>
            </w:pPr>
          </w:p>
        </w:tc>
        <w:tc>
          <w:tcPr>
            <w:tcW w:w="2511" w:type="dxa"/>
          </w:tcPr>
          <w:p w14:paraId="31630DD3" w14:textId="5C05924C" w:rsidR="004B7137" w:rsidRDefault="004B7137" w:rsidP="004A7B1E">
            <w:pPr>
              <w:jc w:val="center"/>
            </w:pPr>
            <w:r>
              <w:t>Range</w:t>
            </w:r>
          </w:p>
        </w:tc>
        <w:tc>
          <w:tcPr>
            <w:tcW w:w="2512" w:type="dxa"/>
          </w:tcPr>
          <w:p w14:paraId="40162341" w14:textId="22157364" w:rsidR="004B7137" w:rsidRDefault="004B7137" w:rsidP="004A7B1E">
            <w:pPr>
              <w:jc w:val="center"/>
            </w:pPr>
            <w:r>
              <w:t>9-34</w:t>
            </w:r>
          </w:p>
        </w:tc>
      </w:tr>
      <w:tr w:rsidR="004B7137" w14:paraId="63FEA66D" w14:textId="77777777" w:rsidTr="004A7B1E">
        <w:trPr>
          <w:jc w:val="center"/>
        </w:trPr>
        <w:tc>
          <w:tcPr>
            <w:tcW w:w="4219" w:type="dxa"/>
            <w:vMerge/>
          </w:tcPr>
          <w:p w14:paraId="148AD795" w14:textId="77777777" w:rsidR="004B7137" w:rsidRDefault="004B7137" w:rsidP="004A7B1E">
            <w:pPr>
              <w:jc w:val="center"/>
            </w:pPr>
          </w:p>
        </w:tc>
        <w:tc>
          <w:tcPr>
            <w:tcW w:w="2511" w:type="dxa"/>
          </w:tcPr>
          <w:p w14:paraId="2D7D1C89" w14:textId="5CCA4E57" w:rsidR="004B7137" w:rsidRDefault="004B7137" w:rsidP="004A7B1E">
            <w:pPr>
              <w:jc w:val="center"/>
            </w:pPr>
            <w:r>
              <w:t>Missing data</w:t>
            </w:r>
          </w:p>
        </w:tc>
        <w:tc>
          <w:tcPr>
            <w:tcW w:w="2512" w:type="dxa"/>
          </w:tcPr>
          <w:p w14:paraId="33BC9075" w14:textId="35EF820A" w:rsidR="004B7137" w:rsidRDefault="004B7137" w:rsidP="004A7B1E">
            <w:pPr>
              <w:jc w:val="center"/>
            </w:pPr>
            <w:r>
              <w:t>0</w:t>
            </w:r>
          </w:p>
        </w:tc>
      </w:tr>
    </w:tbl>
    <w:p w14:paraId="10A8FE0B" w14:textId="76DE75AE" w:rsidR="00911184" w:rsidRPr="003956CE" w:rsidRDefault="004B7137" w:rsidP="004A7B1E">
      <w:pPr>
        <w:pStyle w:val="tablefootnote"/>
      </w:pPr>
      <w:r w:rsidRPr="004A7B1E">
        <w:rPr>
          <w:lang w:val="en-AU"/>
        </w:rPr>
        <w:t>* 13/23 patients with complete short-term and long-term plasma ammonia documentation</w:t>
      </w:r>
    </w:p>
    <w:p w14:paraId="512E4373" w14:textId="475531FB" w:rsidR="004B7137" w:rsidRPr="003956CE" w:rsidRDefault="004B7137" w:rsidP="004A7B1E">
      <w:pPr>
        <w:pStyle w:val="tablefootnote"/>
      </w:pPr>
      <w:r w:rsidRPr="004A7B1E">
        <w:rPr>
          <w:lang w:val="en-AU"/>
        </w:rPr>
        <w:t xml:space="preserve">** Mean ammonia normal range: </w:t>
      </w:r>
      <w:proofErr w:type="gramStart"/>
      <w:r w:rsidRPr="004A7B1E">
        <w:rPr>
          <w:lang w:val="en-AU"/>
        </w:rPr>
        <w:t>5 to 50 µ</w:t>
      </w:r>
      <w:proofErr w:type="spellStart"/>
      <w:r w:rsidRPr="004A7B1E">
        <w:rPr>
          <w:lang w:val="en-AU"/>
        </w:rPr>
        <w:t>mol</w:t>
      </w:r>
      <w:proofErr w:type="spellEnd"/>
      <w:r w:rsidRPr="004A7B1E">
        <w:rPr>
          <w:lang w:val="en-AU"/>
        </w:rPr>
        <w:t>/L</w:t>
      </w:r>
      <w:proofErr w:type="gramEnd"/>
    </w:p>
    <w:p w14:paraId="26855256" w14:textId="0FD7674F" w:rsidR="002B12CF" w:rsidRDefault="002B12CF" w:rsidP="00854DDD"/>
    <w:p w14:paraId="4624E0F8" w14:textId="58E89D2B" w:rsidR="002B12CF" w:rsidRDefault="002B12CF" w:rsidP="00854DDD">
      <w:r>
        <w:t>The mean plasma ammonia level at baseline and the decline that is observed after treatment with CARBAGLU in 13 evaluable patients with NAGS deficiency is illustrated in Figure 1.</w:t>
      </w:r>
    </w:p>
    <w:p w14:paraId="24AE2A92" w14:textId="77777777" w:rsidR="002B12CF" w:rsidRDefault="002B12CF">
      <w:r>
        <w:br w:type="page"/>
      </w:r>
    </w:p>
    <w:p w14:paraId="62C5CA23" w14:textId="1C0C9B7B" w:rsidR="002B12CF" w:rsidRDefault="002B12CF" w:rsidP="004A7B1E">
      <w:pPr>
        <w:jc w:val="center"/>
      </w:pPr>
      <w:r>
        <w:rPr>
          <w:noProof/>
          <w:lang w:eastAsia="en-AU"/>
        </w:rPr>
        <w:lastRenderedPageBreak/>
        <w:drawing>
          <wp:inline distT="0" distB="0" distL="0" distR="0" wp14:anchorId="2AB5756F" wp14:editId="0028E8BC">
            <wp:extent cx="4751222" cy="3172570"/>
            <wp:effectExtent l="0" t="0" r="0" b="0"/>
            <wp:docPr id="2" name="Picture 2" descr="Fig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775818" cy="3188994"/>
                    </a:xfrm>
                    <a:prstGeom prst="rect">
                      <a:avLst/>
                    </a:prstGeom>
                  </pic:spPr>
                </pic:pic>
              </a:graphicData>
            </a:graphic>
          </wp:inline>
        </w:drawing>
      </w:r>
    </w:p>
    <w:p w14:paraId="2544EFE7" w14:textId="0BC0658D" w:rsidR="002B12CF" w:rsidRDefault="002B12CF" w:rsidP="004A7B1E">
      <w:pPr>
        <w:pStyle w:val="Caption"/>
      </w:pPr>
      <w:r>
        <w:t xml:space="preserve">Figure </w:t>
      </w:r>
      <w:r w:rsidR="00855C7E">
        <w:fldChar w:fldCharType="begin"/>
      </w:r>
      <w:r w:rsidR="00855C7E">
        <w:instrText xml:space="preserve"> SEQ Figure \* ARABIC </w:instrText>
      </w:r>
      <w:r w:rsidR="00855C7E">
        <w:fldChar w:fldCharType="separate"/>
      </w:r>
      <w:r w:rsidR="00AC203B">
        <w:rPr>
          <w:noProof/>
        </w:rPr>
        <w:t>1</w:t>
      </w:r>
      <w:r w:rsidR="00855C7E">
        <w:rPr>
          <w:noProof/>
        </w:rPr>
        <w:fldChar w:fldCharType="end"/>
      </w:r>
      <w:r>
        <w:t xml:space="preserve"> Ammonia </w:t>
      </w:r>
      <w:r w:rsidR="00436DCB">
        <w:t>response</w:t>
      </w:r>
      <w:r>
        <w:t xml:space="preserve"> for 13 evaluable NAGS deficiency patients at baseline and after treatment with CARBAGLU</w:t>
      </w:r>
    </w:p>
    <w:p w14:paraId="280C0865" w14:textId="3789A424" w:rsidR="00854DDD" w:rsidRDefault="00854DDD" w:rsidP="00854DDD">
      <w:r>
        <w:t xml:space="preserve">The analysis of long-term treatment with </w:t>
      </w:r>
      <w:r w:rsidR="0095213D">
        <w:t xml:space="preserve">carglumic acid </w:t>
      </w:r>
      <w:r>
        <w:t xml:space="preserve">showed continuous control of </w:t>
      </w:r>
      <w:proofErr w:type="spellStart"/>
      <w:r>
        <w:t>ammon</w:t>
      </w:r>
      <w:r w:rsidR="00436DCB">
        <w:t>a</w:t>
      </w:r>
      <w:r>
        <w:t>emia</w:t>
      </w:r>
      <w:proofErr w:type="spellEnd"/>
      <w:r>
        <w:t>,</w:t>
      </w:r>
      <w:r w:rsidR="00340E76">
        <w:t xml:space="preserve"> </w:t>
      </w:r>
      <w:proofErr w:type="spellStart"/>
      <w:r>
        <w:t>glutamin</w:t>
      </w:r>
      <w:r w:rsidR="00436DCB">
        <w:t>a</w:t>
      </w:r>
      <w:r>
        <w:t>emia</w:t>
      </w:r>
      <w:proofErr w:type="spellEnd"/>
      <w:r>
        <w:t>, a discontinuation of the daily protein intake restriction, improvement in the growth</w:t>
      </w:r>
      <w:r w:rsidR="00340E76">
        <w:t xml:space="preserve"> </w:t>
      </w:r>
      <w:r>
        <w:t xml:space="preserve">parameters, neurological </w:t>
      </w:r>
      <w:r w:rsidR="002B12CF">
        <w:t xml:space="preserve">status </w:t>
      </w:r>
      <w:r>
        <w:t>and psychomotor status.</w:t>
      </w:r>
    </w:p>
    <w:p w14:paraId="70AAC821" w14:textId="0DC96C1A" w:rsidR="00854DDD" w:rsidRPr="00854DDD" w:rsidRDefault="00854DDD" w:rsidP="00854DDD">
      <w:r>
        <w:t xml:space="preserve">There were no decompensation events during treatment with </w:t>
      </w:r>
      <w:r w:rsidR="0095213D">
        <w:t xml:space="preserve">carglumic acid </w:t>
      </w:r>
      <w:r>
        <w:t>as long as the dose administered</w:t>
      </w:r>
      <w:r w:rsidR="00340E76">
        <w:t xml:space="preserve"> </w:t>
      </w:r>
      <w:r>
        <w:t>was adequate. Extremely low doses for age and weight exposed patients to sudden metabolic status</w:t>
      </w:r>
      <w:r w:rsidR="00340E76">
        <w:t xml:space="preserve"> </w:t>
      </w:r>
      <w:r>
        <w:t>decompensation.</w:t>
      </w:r>
    </w:p>
    <w:p w14:paraId="62CC9817" w14:textId="3002EB97" w:rsidR="00340E76" w:rsidRDefault="00340E76" w:rsidP="00340E76">
      <w:pPr>
        <w:pStyle w:val="Heading3"/>
      </w:pPr>
      <w:r>
        <w:t xml:space="preserve">Organic </w:t>
      </w:r>
      <w:proofErr w:type="spellStart"/>
      <w:r>
        <w:t>Acidaemia</w:t>
      </w:r>
      <w:r w:rsidR="00911184">
        <w:t>s</w:t>
      </w:r>
      <w:proofErr w:type="spellEnd"/>
    </w:p>
    <w:p w14:paraId="5DF39F2B" w14:textId="77777777" w:rsidR="00A134E7" w:rsidRDefault="007D40D5" w:rsidP="00AE1A77">
      <w:r w:rsidRPr="007D40D5">
        <w:t>In patients with organic acidaemia (neonates and non-neonates), the treatment with carglumic acid</w:t>
      </w:r>
      <w:r>
        <w:t xml:space="preserve"> </w:t>
      </w:r>
      <w:r w:rsidRPr="007D40D5">
        <w:t>induced a quick decrease of ammonia plasma levels, reducing the risk of neurological complications.</w:t>
      </w:r>
    </w:p>
    <w:p w14:paraId="662E1547" w14:textId="0179A79C" w:rsidR="00AE1A77" w:rsidRDefault="002B12CF" w:rsidP="00BB2A36">
      <w:r>
        <w:t xml:space="preserve">In an observational study, based on retrospective analysis </w:t>
      </w:r>
      <w:r w:rsidR="00BB2A36">
        <w:t xml:space="preserve">of the outcomes from treatment with carglumic acid, the reduction in plasma ammonia levels was assessed in patients during organic acidaemia (OA) </w:t>
      </w:r>
      <w:r w:rsidR="00F500A3">
        <w:t xml:space="preserve">decompensation </w:t>
      </w:r>
      <w:r w:rsidR="00BB2A36">
        <w:t xml:space="preserve">episodes.  In total, 57 patients were enrolled, with 41 included in the efficacy analysis following the treatment with carglumic acid during the OA </w:t>
      </w:r>
      <w:r w:rsidR="00F500A3">
        <w:t xml:space="preserve">decompensation </w:t>
      </w:r>
      <w:r w:rsidR="00BB2A36">
        <w:t>episode.  Seven patients reported two or more episodes during the treatment phase.  No pre-defined dose of carglumic acid was stated, however the standard recommended initial dose of carglumic acid is 100-250 mg/kg/day, given twice or thrice daily, which was taken as reference for data analysis.  The primary endpoint assigned for the study was the reduction in plasma ammonia levels following carglumic acid treatment.</w:t>
      </w:r>
    </w:p>
    <w:p w14:paraId="10F32AC6" w14:textId="77777777" w:rsidR="00BB2A36" w:rsidRDefault="00BB2A36" w:rsidP="00135ECA">
      <w:r>
        <w:t xml:space="preserve">From the 41 patients included in the efficacy analysis, 4 (9.8%) were confirmed as </w:t>
      </w:r>
      <w:proofErr w:type="spellStart"/>
      <w:r>
        <w:t>isovaleric</w:t>
      </w:r>
      <w:proofErr w:type="spellEnd"/>
      <w:r>
        <w:t xml:space="preserve"> </w:t>
      </w:r>
      <w:proofErr w:type="spellStart"/>
      <w:r>
        <w:t>acidaemia</w:t>
      </w:r>
      <w:proofErr w:type="spellEnd"/>
      <w:r>
        <w:t xml:space="preserve"> (IVA), 21 patients (51.2%) were confirmed as methyl-malonic acidaemia (MMA), </w:t>
      </w:r>
      <w:r>
        <w:lastRenderedPageBreak/>
        <w:t>and 16 patients (39.0%) as confirmed propionic acidaemia (PA).</w:t>
      </w:r>
      <w:r w:rsidR="00135ECA">
        <w:t xml:space="preserve"> The baseline age of the episodes in the efficacy population was a median of 9.0 days. At the initiation of the treatment with carglumic acid, 29 episodes (out of 48) occurred during the first 4 weeks after birth (neonates) and 19 episodes occurred beyond the neonatal period (non-neonates).</w:t>
      </w:r>
    </w:p>
    <w:p w14:paraId="36340F66" w14:textId="77777777" w:rsidR="00F500A3" w:rsidRDefault="00135ECA" w:rsidP="00B2359A">
      <w:r>
        <w:t xml:space="preserve">The baseline </w:t>
      </w:r>
      <w:proofErr w:type="spellStart"/>
      <w:r>
        <w:t>ammonaemia</w:t>
      </w:r>
      <w:proofErr w:type="spellEnd"/>
      <w:r>
        <w:t xml:space="preserve"> recorded was a mean of 350.7 µ</w:t>
      </w:r>
      <w:proofErr w:type="spellStart"/>
      <w:r>
        <w:t>mol</w:t>
      </w:r>
      <w:proofErr w:type="spellEnd"/>
      <w:r>
        <w:t>/L (range: 76.0 to 1633.0 µ</w:t>
      </w:r>
      <w:proofErr w:type="spellStart"/>
      <w:r>
        <w:t>mol</w:t>
      </w:r>
      <w:proofErr w:type="spellEnd"/>
      <w:r>
        <w:t xml:space="preserve">/L) in the efficacy population.  </w:t>
      </w:r>
    </w:p>
    <w:p w14:paraId="4BF60757" w14:textId="02A84FF4" w:rsidR="00F500A3" w:rsidRDefault="00F500A3" w:rsidP="00B2359A">
      <w:r>
        <w:t>Treatment with carglumic acid in IA was aimed at resolution of acute decompensation episode. The majority of episodes were initially treated with a dose of carglumic acid 100-250mg/kg/day. The duration of treatment ranged from 1 to 15 days with a mean of 5.5 days (5.2 days PA, 6.1 days MMA, 3.5 days IVA). The mean duration of treatment was 4.9 days in neonates and 5.3 days in non-neonates. A trend to decrease the dose from 1</w:t>
      </w:r>
      <w:r w:rsidRPr="004A7B1E">
        <w:rPr>
          <w:vertAlign w:val="superscript"/>
        </w:rPr>
        <w:t>st</w:t>
      </w:r>
      <w:r>
        <w:t xml:space="preserve"> to the last day (up to 15 days at the discretion of the treating physician) was seen as shown in Figure 2.</w:t>
      </w:r>
    </w:p>
    <w:p w14:paraId="42103404" w14:textId="395CA520" w:rsidR="00F500A3" w:rsidRDefault="00F500A3" w:rsidP="007E51E4">
      <w:pPr>
        <w:jc w:val="center"/>
      </w:pPr>
      <w:r>
        <w:rPr>
          <w:noProof/>
          <w:lang w:eastAsia="en-AU"/>
        </w:rPr>
        <w:drawing>
          <wp:inline distT="0" distB="0" distL="0" distR="0" wp14:anchorId="32379664" wp14:editId="04CDE813">
            <wp:extent cx="4158080" cy="2782956"/>
            <wp:effectExtent l="0" t="0" r="0" b="0"/>
            <wp:docPr id="3" name="Picture 3" descr="Fig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4173330" cy="2793162"/>
                    </a:xfrm>
                    <a:prstGeom prst="rect">
                      <a:avLst/>
                    </a:prstGeom>
                  </pic:spPr>
                </pic:pic>
              </a:graphicData>
            </a:graphic>
          </wp:inline>
        </w:drawing>
      </w:r>
    </w:p>
    <w:p w14:paraId="275319F5" w14:textId="3616A1C6" w:rsidR="00F500A3" w:rsidRDefault="00F500A3" w:rsidP="004A7B1E">
      <w:pPr>
        <w:pStyle w:val="Caption"/>
      </w:pPr>
      <w:r>
        <w:t xml:space="preserve">Figure </w:t>
      </w:r>
      <w:r w:rsidR="00855C7E">
        <w:fldChar w:fldCharType="begin"/>
      </w:r>
      <w:r w:rsidR="00855C7E">
        <w:instrText xml:space="preserve"> SEQ Figure \* ARABIC </w:instrText>
      </w:r>
      <w:r w:rsidR="00855C7E">
        <w:fldChar w:fldCharType="separate"/>
      </w:r>
      <w:r w:rsidR="00AC203B">
        <w:rPr>
          <w:noProof/>
        </w:rPr>
        <w:t>2</w:t>
      </w:r>
      <w:r w:rsidR="00855C7E">
        <w:rPr>
          <w:noProof/>
        </w:rPr>
        <w:fldChar w:fldCharType="end"/>
      </w:r>
      <w:r>
        <w:t xml:space="preserve"> </w:t>
      </w:r>
      <w:proofErr w:type="gramStart"/>
      <w:r>
        <w:t>First</w:t>
      </w:r>
      <w:proofErr w:type="gramEnd"/>
      <w:r>
        <w:t xml:space="preserve"> and last day CARBAGLU dose in the general efficacy population</w:t>
      </w:r>
    </w:p>
    <w:p w14:paraId="5BBCA992" w14:textId="7D156BF6" w:rsidR="00B2359A" w:rsidRDefault="00135ECA" w:rsidP="00B2359A">
      <w:r>
        <w:t>Following carglumic acid treatment, a significant biological response to the treatment with carglumic acid was observed</w:t>
      </w:r>
      <w:r w:rsidR="00B2359A">
        <w:t>, with t</w:t>
      </w:r>
      <w:r>
        <w:t xml:space="preserve">he mean </w:t>
      </w:r>
      <w:proofErr w:type="spellStart"/>
      <w:r>
        <w:t>ammonaemia</w:t>
      </w:r>
      <w:proofErr w:type="spellEnd"/>
      <w:r>
        <w:t xml:space="preserve"> at primary endpoint </w:t>
      </w:r>
      <w:proofErr w:type="gramStart"/>
      <w:r w:rsidR="00B2359A">
        <w:t>of</w:t>
      </w:r>
      <w:r>
        <w:t xml:space="preserve"> 58.5 µ</w:t>
      </w:r>
      <w:proofErr w:type="spellStart"/>
      <w:r>
        <w:t>mol</w:t>
      </w:r>
      <w:proofErr w:type="spellEnd"/>
      <w:r>
        <w:t>/L (</w:t>
      </w:r>
      <w:r w:rsidR="00B2359A">
        <w:t>range 15.0 – 58.0 µ</w:t>
      </w:r>
      <w:proofErr w:type="spellStart"/>
      <w:r w:rsidR="00B2359A">
        <w:t>mol</w:t>
      </w:r>
      <w:proofErr w:type="spellEnd"/>
      <w:r w:rsidR="00B2359A">
        <w:t>/L)</w:t>
      </w:r>
      <w:proofErr w:type="gramEnd"/>
      <w:r>
        <w:t xml:space="preserve">. </w:t>
      </w:r>
      <w:r w:rsidR="00B2359A">
        <w:t>The mean p</w:t>
      </w:r>
      <w:r>
        <w:t xml:space="preserve">lasma </w:t>
      </w:r>
      <w:r w:rsidR="00B2359A">
        <w:t>ammonia concentrations decrease</w:t>
      </w:r>
      <w:r>
        <w:t xml:space="preserve"> from baseline </w:t>
      </w:r>
      <w:r w:rsidR="00B2359A">
        <w:t xml:space="preserve">was </w:t>
      </w:r>
      <w:r>
        <w:t>-292.2 µ</w:t>
      </w:r>
      <w:proofErr w:type="spellStart"/>
      <w:r>
        <w:t>mol</w:t>
      </w:r>
      <w:proofErr w:type="spellEnd"/>
      <w:r>
        <w:t xml:space="preserve">/L with a reduction range from -24.0 </w:t>
      </w:r>
      <w:proofErr w:type="gramStart"/>
      <w:r>
        <w:t>to -1540.0 µ</w:t>
      </w:r>
      <w:proofErr w:type="spellStart"/>
      <w:r>
        <w:t>mol</w:t>
      </w:r>
      <w:proofErr w:type="spellEnd"/>
      <w:r>
        <w:t>/L.</w:t>
      </w:r>
      <w:proofErr w:type="gramEnd"/>
      <w:r w:rsidR="00B2359A">
        <w:t xml:space="preserve"> When ammonia scavengers </w:t>
      </w:r>
      <w:r w:rsidR="008B4471">
        <w:t xml:space="preserve">were </w:t>
      </w:r>
      <w:r w:rsidR="00B2359A">
        <w:t>administered concomitantly with carglumic acid, the respective plasma ammonia levels at the endpoint were:</w:t>
      </w:r>
    </w:p>
    <w:p w14:paraId="6FC2365B" w14:textId="77777777" w:rsidR="00B2359A" w:rsidRDefault="00B2359A" w:rsidP="00B2359A">
      <w:pPr>
        <w:pStyle w:val="ListParagraph"/>
        <w:numPr>
          <w:ilvl w:val="0"/>
          <w:numId w:val="7"/>
        </w:numPr>
      </w:pPr>
      <w:r>
        <w:t>with ammonia scavengers, a mean of 55.6 µ</w:t>
      </w:r>
      <w:proofErr w:type="spellStart"/>
      <w:r>
        <w:t>mol</w:t>
      </w:r>
      <w:proofErr w:type="spellEnd"/>
      <w:r>
        <w:t>/L, and</w:t>
      </w:r>
    </w:p>
    <w:p w14:paraId="08AC259E" w14:textId="77777777" w:rsidR="00AE1A77" w:rsidRDefault="00B2359A" w:rsidP="00B2359A">
      <w:pPr>
        <w:pStyle w:val="ListParagraph"/>
        <w:numPr>
          <w:ilvl w:val="0"/>
          <w:numId w:val="7"/>
        </w:numPr>
      </w:pPr>
      <w:proofErr w:type="gramStart"/>
      <w:r>
        <w:t>without</w:t>
      </w:r>
      <w:proofErr w:type="gramEnd"/>
      <w:r>
        <w:t xml:space="preserve"> ammonia scavengers a mean of 60.8 µ</w:t>
      </w:r>
      <w:proofErr w:type="spellStart"/>
      <w:r>
        <w:t>mol</w:t>
      </w:r>
      <w:proofErr w:type="spellEnd"/>
      <w:r>
        <w:t>/L.</w:t>
      </w:r>
    </w:p>
    <w:p w14:paraId="4F2BC8E2" w14:textId="77777777" w:rsidR="00B2359A" w:rsidRDefault="00B2359A" w:rsidP="00B2359A">
      <w:r>
        <w:t xml:space="preserve">The mean time to achieve the primary endpoint was 2.4 days (58.7 hours), with this time equivalent in the disease category groups.  The median time to achieve the primary endpoint for the three OA was: </w:t>
      </w:r>
    </w:p>
    <w:p w14:paraId="5DC65F90" w14:textId="77777777" w:rsidR="00B2359A" w:rsidRDefault="00B2359A" w:rsidP="00B2359A">
      <w:pPr>
        <w:pStyle w:val="ListParagraph"/>
        <w:numPr>
          <w:ilvl w:val="0"/>
          <w:numId w:val="9"/>
        </w:numPr>
      </w:pPr>
      <w:r>
        <w:lastRenderedPageBreak/>
        <w:t>40.5 hours for the IVA episodes,</w:t>
      </w:r>
    </w:p>
    <w:p w14:paraId="1E4D12DF" w14:textId="77777777" w:rsidR="00B2359A" w:rsidRDefault="00B2359A" w:rsidP="00B2359A">
      <w:pPr>
        <w:pStyle w:val="ListParagraph"/>
        <w:numPr>
          <w:ilvl w:val="0"/>
          <w:numId w:val="9"/>
        </w:numPr>
      </w:pPr>
      <w:r>
        <w:t>37.5 hours for the MMA episodes and</w:t>
      </w:r>
    </w:p>
    <w:p w14:paraId="0DD9BCA6" w14:textId="77777777" w:rsidR="00B2359A" w:rsidRPr="00A134E7" w:rsidRDefault="00B2359A" w:rsidP="00B2359A">
      <w:pPr>
        <w:pStyle w:val="ListParagraph"/>
        <w:numPr>
          <w:ilvl w:val="0"/>
          <w:numId w:val="9"/>
        </w:numPr>
      </w:pPr>
      <w:r>
        <w:t>36.0 hours for the PA episodes.</w:t>
      </w:r>
    </w:p>
    <w:p w14:paraId="7526D24A" w14:textId="77777777" w:rsidR="003E7453" w:rsidRDefault="007D40D5" w:rsidP="00787CE6">
      <w:pPr>
        <w:pStyle w:val="Heading2"/>
      </w:pPr>
      <w:r>
        <w:t>INDICATIONS</w:t>
      </w:r>
    </w:p>
    <w:p w14:paraId="6D5E649B" w14:textId="77777777" w:rsidR="00A34007" w:rsidRPr="00A34007" w:rsidRDefault="00A34007" w:rsidP="00787CE6">
      <w:r w:rsidRPr="00A34007">
        <w:t>Carbaglu is indicated in treatment of</w:t>
      </w:r>
    </w:p>
    <w:p w14:paraId="07EC1EF4" w14:textId="39DBC3D7" w:rsidR="00F500A3" w:rsidRDefault="003956CE" w:rsidP="00787CE6">
      <w:pPr>
        <w:pStyle w:val="ListParagraph"/>
        <w:numPr>
          <w:ilvl w:val="0"/>
          <w:numId w:val="5"/>
        </w:numPr>
      </w:pPr>
      <w:proofErr w:type="spellStart"/>
      <w:r>
        <w:t>H</w:t>
      </w:r>
      <w:r w:rsidRPr="00A34007">
        <w:t>yperammonaemia</w:t>
      </w:r>
      <w:proofErr w:type="spellEnd"/>
      <w:r w:rsidRPr="00A34007">
        <w:t xml:space="preserve"> </w:t>
      </w:r>
      <w:r w:rsidR="00A34007" w:rsidRPr="00A34007">
        <w:t>due to N-</w:t>
      </w:r>
      <w:proofErr w:type="spellStart"/>
      <w:r w:rsidR="00A34007" w:rsidRPr="00A34007">
        <w:t>acetylglutamate</w:t>
      </w:r>
      <w:proofErr w:type="spellEnd"/>
      <w:r w:rsidR="00A34007" w:rsidRPr="00A34007">
        <w:t xml:space="preserve"> synthase primary deficiency</w:t>
      </w:r>
    </w:p>
    <w:p w14:paraId="594674BC" w14:textId="3EF4D22B" w:rsidR="00A34007" w:rsidRPr="00A34007" w:rsidRDefault="003956CE" w:rsidP="00787CE6">
      <w:pPr>
        <w:pStyle w:val="ListParagraph"/>
        <w:numPr>
          <w:ilvl w:val="0"/>
          <w:numId w:val="5"/>
        </w:numPr>
      </w:pPr>
      <w:r>
        <w:t xml:space="preserve">Hyperammonaemia due to </w:t>
      </w:r>
      <w:r w:rsidR="00F500A3">
        <w:t xml:space="preserve">Organic </w:t>
      </w:r>
      <w:proofErr w:type="spellStart"/>
      <w:r w:rsidR="00F500A3">
        <w:t>Acidaemias</w:t>
      </w:r>
      <w:proofErr w:type="spellEnd"/>
      <w:r w:rsidR="00F500A3">
        <w:t xml:space="preserve"> such as:</w:t>
      </w:r>
    </w:p>
    <w:p w14:paraId="7EF935D2" w14:textId="270A5E1F" w:rsidR="00A34007" w:rsidRPr="00A34007" w:rsidRDefault="00F500A3" w:rsidP="004A7B1E">
      <w:pPr>
        <w:pStyle w:val="ListParagraph"/>
        <w:numPr>
          <w:ilvl w:val="1"/>
          <w:numId w:val="5"/>
        </w:numPr>
      </w:pPr>
      <w:proofErr w:type="spellStart"/>
      <w:r>
        <w:t>H</w:t>
      </w:r>
      <w:r w:rsidR="00A34007" w:rsidRPr="00A34007">
        <w:t>yperammonaemia</w:t>
      </w:r>
      <w:proofErr w:type="spellEnd"/>
      <w:r w:rsidR="00A34007" w:rsidRPr="00A34007">
        <w:t xml:space="preserve"> due to </w:t>
      </w:r>
      <w:proofErr w:type="spellStart"/>
      <w:r w:rsidR="00A34007" w:rsidRPr="00A34007">
        <w:t>isovaleric</w:t>
      </w:r>
      <w:proofErr w:type="spellEnd"/>
      <w:r w:rsidR="00A34007" w:rsidRPr="00A34007">
        <w:t xml:space="preserve"> </w:t>
      </w:r>
      <w:proofErr w:type="spellStart"/>
      <w:r w:rsidR="00A34007" w:rsidRPr="00A34007">
        <w:t>acidaemia</w:t>
      </w:r>
      <w:proofErr w:type="spellEnd"/>
    </w:p>
    <w:p w14:paraId="3992BE36" w14:textId="78401A17" w:rsidR="00A34007" w:rsidRPr="00A34007" w:rsidRDefault="00F500A3" w:rsidP="004A7B1E">
      <w:pPr>
        <w:pStyle w:val="ListParagraph"/>
        <w:numPr>
          <w:ilvl w:val="1"/>
          <w:numId w:val="5"/>
        </w:numPr>
      </w:pPr>
      <w:proofErr w:type="spellStart"/>
      <w:r>
        <w:t>H</w:t>
      </w:r>
      <w:r w:rsidRPr="00A34007">
        <w:t>yperammonaemia</w:t>
      </w:r>
      <w:proofErr w:type="spellEnd"/>
      <w:r w:rsidRPr="00A34007">
        <w:t xml:space="preserve"> </w:t>
      </w:r>
      <w:r w:rsidR="00A34007" w:rsidRPr="00A34007">
        <w:t xml:space="preserve">due to </w:t>
      </w:r>
      <w:proofErr w:type="spellStart"/>
      <w:r w:rsidR="00A34007" w:rsidRPr="00A34007">
        <w:t>methymalonic</w:t>
      </w:r>
      <w:proofErr w:type="spellEnd"/>
      <w:r w:rsidR="00A34007" w:rsidRPr="00A34007">
        <w:t xml:space="preserve"> </w:t>
      </w:r>
      <w:proofErr w:type="spellStart"/>
      <w:r w:rsidR="00A34007" w:rsidRPr="00A34007">
        <w:t>acidaemia</w:t>
      </w:r>
      <w:proofErr w:type="spellEnd"/>
    </w:p>
    <w:p w14:paraId="4D980072" w14:textId="04183914" w:rsidR="003E7453" w:rsidRPr="00A34007" w:rsidRDefault="00F500A3" w:rsidP="004A7B1E">
      <w:pPr>
        <w:pStyle w:val="ListParagraph"/>
        <w:numPr>
          <w:ilvl w:val="1"/>
          <w:numId w:val="5"/>
        </w:numPr>
      </w:pPr>
      <w:r>
        <w:t>H</w:t>
      </w:r>
      <w:r w:rsidRPr="00A34007">
        <w:t xml:space="preserve">yperammonaemia </w:t>
      </w:r>
      <w:r w:rsidR="00A34007" w:rsidRPr="00A34007">
        <w:t>due to propionic acidaemia</w:t>
      </w:r>
    </w:p>
    <w:p w14:paraId="5B5605A8" w14:textId="77777777" w:rsidR="003E7453" w:rsidRDefault="00A34007" w:rsidP="00787CE6">
      <w:pPr>
        <w:pStyle w:val="Heading2"/>
      </w:pPr>
      <w:r>
        <w:t>CONTRAINDICATIONS</w:t>
      </w:r>
    </w:p>
    <w:p w14:paraId="0E23DB9F" w14:textId="77777777" w:rsidR="00A34007" w:rsidRPr="00A34007" w:rsidRDefault="00A34007" w:rsidP="00F176A8">
      <w:proofErr w:type="gramStart"/>
      <w:r w:rsidRPr="00A34007">
        <w:t>Hypersensitivity to the active substance or to any of the excipients.</w:t>
      </w:r>
      <w:proofErr w:type="gramEnd"/>
    </w:p>
    <w:p w14:paraId="10AD1138" w14:textId="77777777" w:rsidR="003E7453" w:rsidRPr="00A34007" w:rsidRDefault="00A34007" w:rsidP="00F176A8">
      <w:r w:rsidRPr="00A34007">
        <w:t>Breast-feeding during the use of carglumic acid is contraindicated.</w:t>
      </w:r>
    </w:p>
    <w:p w14:paraId="5A7A5C7F" w14:textId="77777777" w:rsidR="003E7453" w:rsidRDefault="00A34007" w:rsidP="00787CE6">
      <w:pPr>
        <w:pStyle w:val="Heading2"/>
      </w:pPr>
      <w:r>
        <w:t>PRECAUTIONS</w:t>
      </w:r>
    </w:p>
    <w:p w14:paraId="233B5519" w14:textId="77777777" w:rsidR="00F07221" w:rsidRDefault="00F07221" w:rsidP="00F07221">
      <w:pPr>
        <w:pStyle w:val="Heading3"/>
      </w:pPr>
      <w:r>
        <w:t>Therapeutic monitoring</w:t>
      </w:r>
    </w:p>
    <w:p w14:paraId="363C5535" w14:textId="617F92B8" w:rsidR="00F07221" w:rsidRDefault="00F07221" w:rsidP="00F07221">
      <w:r>
        <w:t xml:space="preserve">Plasma levels of ammonia and amino acids should be maintained within normal limits. </w:t>
      </w:r>
      <w:r w:rsidR="00F30603">
        <w:t>Ongoing monitoring of neurological and cardia</w:t>
      </w:r>
      <w:r w:rsidR="003956CE">
        <w:t>c</w:t>
      </w:r>
      <w:r w:rsidR="00F30603">
        <w:t xml:space="preserve"> status, laboratory tests (renal, hepatic, haematological) and clinical responses in patients receiving carglumic acid is crucial to assess patient response. </w:t>
      </w:r>
    </w:p>
    <w:p w14:paraId="213727E7" w14:textId="18EFF62E" w:rsidR="006B0D32" w:rsidRPr="006B0D32" w:rsidRDefault="006B0D32" w:rsidP="00F07221">
      <w:pPr>
        <w:rPr>
          <w:b/>
        </w:rPr>
      </w:pPr>
      <w:r w:rsidRPr="006B0D32">
        <w:rPr>
          <w:b/>
        </w:rPr>
        <w:t>Cardiotoxicity</w:t>
      </w:r>
      <w:r w:rsidR="00F30603">
        <w:rPr>
          <w:b/>
        </w:rPr>
        <w:t xml:space="preserve"> and Hepatotoxicity</w:t>
      </w:r>
    </w:p>
    <w:p w14:paraId="1AF0B200" w14:textId="258F49B1" w:rsidR="006B0D32" w:rsidRPr="00E44149" w:rsidRDefault="00F30603" w:rsidP="00F07221">
      <w:r>
        <w:rPr>
          <w:lang w:val="en-GB"/>
        </w:rPr>
        <w:t>Due to the small dataset, any association between carglumic acid and cardiotoxicity or hepatotoxicity cannot be reliably determined. Therefore, cardiac and hepatic function monitoring is advised during treatment with carglumic acid</w:t>
      </w:r>
      <w:r w:rsidR="006B0D32" w:rsidRPr="00E44149">
        <w:rPr>
          <w:lang w:val="en-GB"/>
        </w:rPr>
        <w:t>.</w:t>
      </w:r>
    </w:p>
    <w:p w14:paraId="439DA3C7" w14:textId="77777777" w:rsidR="00F07221" w:rsidRDefault="00F07221" w:rsidP="00F07221">
      <w:pPr>
        <w:pStyle w:val="Heading3"/>
      </w:pPr>
      <w:r>
        <w:t>Nutritional management</w:t>
      </w:r>
    </w:p>
    <w:p w14:paraId="11A0D4C0" w14:textId="419BB663" w:rsidR="00A34007" w:rsidRPr="00A34007" w:rsidRDefault="00F07221" w:rsidP="00F07221">
      <w:r>
        <w:t>Protein restriction</w:t>
      </w:r>
      <w:r w:rsidR="00F30603">
        <w:t xml:space="preserve"> during acute phase and protein</w:t>
      </w:r>
      <w:r>
        <w:t xml:space="preserve"> supplementation </w:t>
      </w:r>
      <w:r w:rsidR="00F30603">
        <w:t xml:space="preserve">during maintenance phase </w:t>
      </w:r>
      <w:r>
        <w:t>may be indicated.</w:t>
      </w:r>
      <w:r w:rsidR="00F30603">
        <w:t xml:space="preserve"> Specialised advice may be sought.</w:t>
      </w:r>
    </w:p>
    <w:p w14:paraId="620E79DA" w14:textId="77777777" w:rsidR="003E7453" w:rsidRDefault="003E7453" w:rsidP="00787CE6">
      <w:pPr>
        <w:pStyle w:val="Heading3"/>
        <w:rPr>
          <w:rFonts w:eastAsia="Times New Roman"/>
          <w:lang w:eastAsia="en-AU"/>
        </w:rPr>
      </w:pPr>
      <w:r w:rsidRPr="003E7453">
        <w:rPr>
          <w:rFonts w:eastAsia="Times New Roman"/>
          <w:lang w:eastAsia="en-AU"/>
        </w:rPr>
        <w:t>Eff</w:t>
      </w:r>
      <w:r w:rsidR="00F07221">
        <w:rPr>
          <w:rFonts w:eastAsia="Times New Roman"/>
          <w:lang w:eastAsia="en-AU"/>
        </w:rPr>
        <w:t>ects on fertility</w:t>
      </w:r>
    </w:p>
    <w:p w14:paraId="6065918F" w14:textId="3C76B89C" w:rsidR="00F07221" w:rsidRPr="00F07221" w:rsidRDefault="00396BC5" w:rsidP="00396BC5">
      <w:pPr>
        <w:rPr>
          <w:lang w:eastAsia="en-AU"/>
        </w:rPr>
      </w:pPr>
      <w:r w:rsidRPr="00396BC5">
        <w:rPr>
          <w:lang w:val="x-none" w:eastAsia="en-AU"/>
        </w:rPr>
        <w:t>No formal clinical studies have been conducted to assess the effects of carglumic acid on</w:t>
      </w:r>
      <w:r>
        <w:rPr>
          <w:lang w:val="en-US" w:eastAsia="en-AU"/>
        </w:rPr>
        <w:t xml:space="preserve"> </w:t>
      </w:r>
      <w:r w:rsidRPr="00396BC5">
        <w:rPr>
          <w:lang w:val="x-none" w:eastAsia="en-AU"/>
        </w:rPr>
        <w:t>fertility. There were no effects on fertility or reproductive performance in female rats at oral</w:t>
      </w:r>
      <w:r>
        <w:rPr>
          <w:lang w:val="en-US" w:eastAsia="en-AU"/>
        </w:rPr>
        <w:t xml:space="preserve"> </w:t>
      </w:r>
      <w:r w:rsidRPr="00396BC5">
        <w:rPr>
          <w:lang w:val="x-none" w:eastAsia="en-AU"/>
        </w:rPr>
        <w:t>doses up to 2000 mg/kg/day (resulting in 28 times the clinical AUC). In a separate study,</w:t>
      </w:r>
      <w:r>
        <w:rPr>
          <w:lang w:val="en-US" w:eastAsia="en-AU"/>
        </w:rPr>
        <w:t xml:space="preserve"> </w:t>
      </w:r>
      <w:r w:rsidRPr="00396BC5">
        <w:rPr>
          <w:lang w:val="x-none" w:eastAsia="en-AU"/>
        </w:rPr>
        <w:t>mating and fertility were unaffected in male rats at oral doses up to 1000 mg/kg/day</w:t>
      </w:r>
      <w:r>
        <w:rPr>
          <w:lang w:val="en-US" w:eastAsia="en-AU"/>
        </w:rPr>
        <w:t xml:space="preserve"> </w:t>
      </w:r>
      <w:r w:rsidRPr="00396BC5">
        <w:rPr>
          <w:lang w:val="x-none" w:eastAsia="en-AU"/>
        </w:rPr>
        <w:t xml:space="preserve">(resulting in 14 times the estimated clinical AUC at the </w:t>
      </w:r>
      <w:r w:rsidR="007F5F05">
        <w:rPr>
          <w:lang w:val="en-US" w:eastAsia="en-AU"/>
        </w:rPr>
        <w:t xml:space="preserve">maximum recommended human dose, </w:t>
      </w:r>
      <w:r w:rsidRPr="00396BC5">
        <w:rPr>
          <w:lang w:val="x-none" w:eastAsia="en-AU"/>
        </w:rPr>
        <w:t>MRHD)</w:t>
      </w:r>
      <w:r w:rsidR="00E44149">
        <w:rPr>
          <w:lang w:val="en-US" w:eastAsia="en-AU"/>
        </w:rPr>
        <w:t>.</w:t>
      </w:r>
    </w:p>
    <w:p w14:paraId="338E1456" w14:textId="2BC054C1" w:rsidR="003E7453" w:rsidRDefault="00E774A4" w:rsidP="00787CE6">
      <w:pPr>
        <w:pStyle w:val="Heading3"/>
        <w:rPr>
          <w:rFonts w:eastAsia="Times New Roman"/>
          <w:lang w:eastAsia="en-AU"/>
        </w:rPr>
      </w:pPr>
      <w:r>
        <w:rPr>
          <w:rFonts w:eastAsia="Times New Roman"/>
          <w:lang w:eastAsia="en-AU"/>
        </w:rPr>
        <w:lastRenderedPageBreak/>
        <w:t>Use in pregnancy</w:t>
      </w:r>
      <w:r w:rsidR="003E7453" w:rsidRPr="003E7453">
        <w:rPr>
          <w:rFonts w:eastAsia="Times New Roman"/>
          <w:lang w:eastAsia="en-AU"/>
        </w:rPr>
        <w:t xml:space="preserve"> </w:t>
      </w:r>
      <w:r w:rsidR="00F56E65">
        <w:rPr>
          <w:rFonts w:eastAsia="Times New Roman"/>
          <w:lang w:eastAsia="en-AU"/>
        </w:rPr>
        <w:t xml:space="preserve">(Category </w:t>
      </w:r>
      <w:r w:rsidR="00396BC5">
        <w:rPr>
          <w:rFonts w:eastAsia="Times New Roman"/>
          <w:lang w:eastAsia="en-AU"/>
        </w:rPr>
        <w:t>B1</w:t>
      </w:r>
      <w:r w:rsidR="00F56E65">
        <w:rPr>
          <w:rFonts w:eastAsia="Times New Roman"/>
          <w:lang w:eastAsia="en-AU"/>
        </w:rPr>
        <w:t>)</w:t>
      </w:r>
    </w:p>
    <w:p w14:paraId="6CAEE49B" w14:textId="0DB0BE99" w:rsidR="00261B71" w:rsidRDefault="00491C52" w:rsidP="00396BC5">
      <w:r>
        <w:t xml:space="preserve">There are no adequate and well controlled studies or available human data with </w:t>
      </w:r>
      <w:r w:rsidR="00261B71">
        <w:t xml:space="preserve">carglumic </w:t>
      </w:r>
      <w:r w:rsidR="00F176A8">
        <w:t xml:space="preserve">acid </w:t>
      </w:r>
      <w:r w:rsidR="00F176A8" w:rsidRPr="004A7B1E">
        <w:t>in</w:t>
      </w:r>
      <w:r>
        <w:t xml:space="preserve"> pregnant women. </w:t>
      </w:r>
      <w:r w:rsidR="00396BC5" w:rsidRPr="00396BC5">
        <w:rPr>
          <w:lang w:val="x-none"/>
        </w:rPr>
        <w:t xml:space="preserve">In </w:t>
      </w:r>
      <w:proofErr w:type="spellStart"/>
      <w:r w:rsidR="00396BC5" w:rsidRPr="00396BC5">
        <w:rPr>
          <w:lang w:val="x-none"/>
        </w:rPr>
        <w:t>embryof</w:t>
      </w:r>
      <w:r w:rsidR="00436DCB">
        <w:rPr>
          <w:lang w:val="en-US"/>
        </w:rPr>
        <w:t>o</w:t>
      </w:r>
      <w:r w:rsidR="00396BC5" w:rsidRPr="00396BC5">
        <w:rPr>
          <w:lang w:val="x-none"/>
        </w:rPr>
        <w:t>etal</w:t>
      </w:r>
      <w:proofErr w:type="spellEnd"/>
      <w:r w:rsidR="00396BC5" w:rsidRPr="00396BC5">
        <w:rPr>
          <w:lang w:val="x-none"/>
        </w:rPr>
        <w:t xml:space="preserve"> development studies, no adverse effects were</w:t>
      </w:r>
      <w:r w:rsidR="00396BC5">
        <w:rPr>
          <w:lang w:val="en-US"/>
        </w:rPr>
        <w:t xml:space="preserve"> </w:t>
      </w:r>
      <w:r w:rsidR="00396BC5" w:rsidRPr="00396BC5">
        <w:rPr>
          <w:lang w:val="x-none"/>
        </w:rPr>
        <w:t>observed in pregnant rats and rabbits that received oral carglumic acid during</w:t>
      </w:r>
      <w:r w:rsidR="00396BC5">
        <w:rPr>
          <w:lang w:val="en-US"/>
        </w:rPr>
        <w:t xml:space="preserve"> </w:t>
      </w:r>
      <w:r w:rsidR="00396BC5" w:rsidRPr="00396BC5">
        <w:rPr>
          <w:lang w:val="x-none"/>
        </w:rPr>
        <w:t>organogenesis at doses up to 2000 mg/kg/day and 1000 mg/kg/day, respectively. These</w:t>
      </w:r>
      <w:r w:rsidR="00396BC5">
        <w:rPr>
          <w:lang w:val="en-US"/>
        </w:rPr>
        <w:t xml:space="preserve"> </w:t>
      </w:r>
      <w:r w:rsidR="00396BC5" w:rsidRPr="00396BC5">
        <w:rPr>
          <w:lang w:val="x-none"/>
        </w:rPr>
        <w:t>doses resulted in exposures (AUC) 28 and 2.4 times the estimated clinical AUC at the</w:t>
      </w:r>
      <w:r w:rsidR="007F5F05">
        <w:rPr>
          <w:lang w:val="en-US"/>
        </w:rPr>
        <w:t xml:space="preserve"> </w:t>
      </w:r>
      <w:r w:rsidR="00396BC5" w:rsidRPr="00396BC5">
        <w:rPr>
          <w:lang w:val="x-none"/>
        </w:rPr>
        <w:t>MRHD</w:t>
      </w:r>
      <w:r>
        <w:t xml:space="preserve">. </w:t>
      </w:r>
    </w:p>
    <w:p w14:paraId="0C850573" w14:textId="77777777" w:rsidR="003E7453" w:rsidRDefault="00F56E65" w:rsidP="00491C52">
      <w:pPr>
        <w:pStyle w:val="Heading3"/>
        <w:rPr>
          <w:rFonts w:eastAsia="Times New Roman"/>
          <w:lang w:eastAsia="en-AU"/>
        </w:rPr>
      </w:pPr>
      <w:r>
        <w:rPr>
          <w:rFonts w:eastAsia="Times New Roman"/>
          <w:lang w:eastAsia="en-AU"/>
        </w:rPr>
        <w:t>Use in lactation</w:t>
      </w:r>
      <w:r w:rsidR="003E7453" w:rsidRPr="003E7453">
        <w:rPr>
          <w:rFonts w:eastAsia="Times New Roman"/>
          <w:lang w:eastAsia="en-AU"/>
        </w:rPr>
        <w:t xml:space="preserve"> </w:t>
      </w:r>
    </w:p>
    <w:p w14:paraId="228514F3" w14:textId="77777777" w:rsidR="00F176A8" w:rsidRPr="00F176A8" w:rsidRDefault="00396BC5" w:rsidP="00F176A8">
      <w:pPr>
        <w:rPr>
          <w:lang w:val="en-US" w:eastAsia="en-AU"/>
        </w:rPr>
      </w:pPr>
      <w:r w:rsidRPr="00F176A8">
        <w:rPr>
          <w:lang w:eastAsia="en-AU"/>
        </w:rPr>
        <w:t>It is not known whether carglumic acid is excreted into human milk. Carglumic acid is</w:t>
      </w:r>
      <w:r w:rsidRPr="00F176A8">
        <w:rPr>
          <w:lang w:val="en-US" w:eastAsia="en-AU"/>
        </w:rPr>
        <w:t xml:space="preserve"> </w:t>
      </w:r>
      <w:r w:rsidRPr="00F176A8">
        <w:rPr>
          <w:lang w:eastAsia="en-AU"/>
        </w:rPr>
        <w:t>excreted in the milk of lactating rats and an increase in mortality and impairment of body</w:t>
      </w:r>
      <w:r w:rsidRPr="00F176A8">
        <w:rPr>
          <w:lang w:val="en-US" w:eastAsia="en-AU"/>
        </w:rPr>
        <w:t xml:space="preserve"> </w:t>
      </w:r>
      <w:r w:rsidRPr="00F176A8">
        <w:rPr>
          <w:lang w:eastAsia="en-AU"/>
        </w:rPr>
        <w:t>weight gain occurred in neonatal rats nursed by mothers receiving carglumic acid (refer to</w:t>
      </w:r>
      <w:r w:rsidRPr="00F176A8">
        <w:rPr>
          <w:lang w:val="en-US" w:eastAsia="en-AU"/>
        </w:rPr>
        <w:t xml:space="preserve"> </w:t>
      </w:r>
      <w:r w:rsidRPr="00F176A8">
        <w:rPr>
          <w:lang w:eastAsia="en-AU"/>
        </w:rPr>
        <w:t>CONTRAINDICATIONS). Therefore, breast-feeding during the use of carglumic acid is</w:t>
      </w:r>
      <w:r w:rsidRPr="00F176A8">
        <w:rPr>
          <w:lang w:val="en-US" w:eastAsia="en-AU"/>
        </w:rPr>
        <w:t xml:space="preserve"> </w:t>
      </w:r>
      <w:r w:rsidRPr="00F176A8">
        <w:rPr>
          <w:lang w:eastAsia="en-AU"/>
        </w:rPr>
        <w:t>contraindicated.</w:t>
      </w:r>
      <w:r w:rsidRPr="00F176A8">
        <w:rPr>
          <w:lang w:val="en-US" w:eastAsia="en-AU"/>
        </w:rPr>
        <w:t xml:space="preserve"> </w:t>
      </w:r>
    </w:p>
    <w:p w14:paraId="297E5BB4" w14:textId="6681771B" w:rsidR="003E7453" w:rsidRDefault="00F56E65" w:rsidP="00787CE6">
      <w:pPr>
        <w:pStyle w:val="Heading3"/>
        <w:rPr>
          <w:rFonts w:eastAsia="Times New Roman"/>
          <w:lang w:eastAsia="en-AU"/>
        </w:rPr>
      </w:pPr>
      <w:r>
        <w:rPr>
          <w:rFonts w:eastAsia="Times New Roman"/>
          <w:lang w:eastAsia="en-AU"/>
        </w:rPr>
        <w:t>Use in the elderly</w:t>
      </w:r>
    </w:p>
    <w:p w14:paraId="6F90C767" w14:textId="77777777" w:rsidR="00F56E65" w:rsidRPr="00F56E65" w:rsidRDefault="00F56E65" w:rsidP="00F56E65">
      <w:pPr>
        <w:rPr>
          <w:lang w:eastAsia="en-AU"/>
        </w:rPr>
      </w:pPr>
      <w:r>
        <w:rPr>
          <w:lang w:eastAsia="en-AU"/>
        </w:rPr>
        <w:t>No data is available regarding the administration of carglumic acid in the elderly.</w:t>
      </w:r>
    </w:p>
    <w:p w14:paraId="203EB168" w14:textId="77777777" w:rsidR="003E7453" w:rsidRDefault="00F56E65" w:rsidP="00787CE6">
      <w:pPr>
        <w:pStyle w:val="Heading3"/>
        <w:rPr>
          <w:rFonts w:eastAsia="Times New Roman"/>
          <w:lang w:eastAsia="en-AU"/>
        </w:rPr>
      </w:pPr>
      <w:r>
        <w:rPr>
          <w:rFonts w:eastAsia="Times New Roman"/>
          <w:lang w:eastAsia="en-AU"/>
        </w:rPr>
        <w:t>Genotoxicity</w:t>
      </w:r>
    </w:p>
    <w:p w14:paraId="351B3629" w14:textId="77777777" w:rsidR="00F176A8" w:rsidRDefault="00396BC5" w:rsidP="00F176A8">
      <w:pPr>
        <w:rPr>
          <w:lang w:val="en-US" w:eastAsia="en-AU"/>
        </w:rPr>
      </w:pPr>
      <w:r w:rsidRPr="00396BC5">
        <w:rPr>
          <w:lang w:eastAsia="en-AU"/>
        </w:rPr>
        <w:t>Carglumic acid was negative in the Ames test, chromosomal aberration assay in human</w:t>
      </w:r>
      <w:r>
        <w:rPr>
          <w:lang w:val="en-US" w:eastAsia="en-AU"/>
        </w:rPr>
        <w:t xml:space="preserve"> </w:t>
      </w:r>
      <w:r w:rsidRPr="00396BC5">
        <w:rPr>
          <w:lang w:eastAsia="en-AU"/>
        </w:rPr>
        <w:t xml:space="preserve">lymphocytes and in the </w:t>
      </w:r>
      <w:r w:rsidRPr="00396BC5">
        <w:rPr>
          <w:i/>
          <w:lang w:eastAsia="en-AU"/>
        </w:rPr>
        <w:t xml:space="preserve">in vivo </w:t>
      </w:r>
      <w:r w:rsidRPr="00396BC5">
        <w:rPr>
          <w:lang w:eastAsia="en-AU"/>
        </w:rPr>
        <w:t>micronucleus assay in rats</w:t>
      </w:r>
      <w:r>
        <w:rPr>
          <w:lang w:val="en-US" w:eastAsia="en-AU"/>
        </w:rPr>
        <w:t xml:space="preserve">. </w:t>
      </w:r>
    </w:p>
    <w:p w14:paraId="52A89629" w14:textId="6FF9886D" w:rsidR="00F56E65" w:rsidRDefault="00F56E65" w:rsidP="00787CE6">
      <w:pPr>
        <w:pStyle w:val="Heading3"/>
        <w:rPr>
          <w:rFonts w:eastAsia="Times New Roman"/>
          <w:lang w:eastAsia="en-AU"/>
        </w:rPr>
      </w:pPr>
      <w:r>
        <w:rPr>
          <w:rFonts w:eastAsia="Times New Roman"/>
          <w:lang w:eastAsia="en-AU"/>
        </w:rPr>
        <w:t>Carcinogenicity</w:t>
      </w:r>
    </w:p>
    <w:p w14:paraId="28958FC4" w14:textId="77777777" w:rsidR="003E7453" w:rsidRPr="003E7453" w:rsidRDefault="00F56E65" w:rsidP="00F56E65">
      <w:pPr>
        <w:rPr>
          <w:lang w:eastAsia="en-AU"/>
        </w:rPr>
      </w:pPr>
      <w:r w:rsidRPr="00F56E65">
        <w:rPr>
          <w:lang w:eastAsia="en-AU"/>
        </w:rPr>
        <w:t>Carcinogenicity studies have not been conducted.</w:t>
      </w:r>
      <w:r w:rsidR="003E7453" w:rsidRPr="003E7453">
        <w:rPr>
          <w:lang w:eastAsia="en-AU"/>
        </w:rPr>
        <w:t xml:space="preserve"> </w:t>
      </w:r>
    </w:p>
    <w:p w14:paraId="0CB92920" w14:textId="77777777" w:rsidR="003E7453" w:rsidRDefault="003E7453" w:rsidP="00F07221">
      <w:pPr>
        <w:pStyle w:val="Heading2"/>
      </w:pPr>
      <w:r>
        <w:t>Interactions with other medicines</w:t>
      </w:r>
    </w:p>
    <w:p w14:paraId="366B58B6" w14:textId="37825695" w:rsidR="003E7453" w:rsidRDefault="00396BC5" w:rsidP="00396BC5">
      <w:r w:rsidRPr="00396BC5">
        <w:rPr>
          <w:lang w:val="x-none"/>
        </w:rPr>
        <w:t>No specific clinical studies have been performed to assess possible interactions. Based on</w:t>
      </w:r>
      <w:r>
        <w:rPr>
          <w:lang w:val="en-US"/>
        </w:rPr>
        <w:t xml:space="preserve"> </w:t>
      </w:r>
      <w:r w:rsidRPr="00396BC5">
        <w:rPr>
          <w:i/>
          <w:lang w:val="x-none"/>
        </w:rPr>
        <w:t xml:space="preserve">in vitro </w:t>
      </w:r>
      <w:r w:rsidRPr="00396BC5">
        <w:rPr>
          <w:lang w:val="x-none"/>
        </w:rPr>
        <w:t>studies, carglumic acid is not an inducer of CYP1A1/2, 2B6 or 3A4/5 enzymes and is</w:t>
      </w:r>
      <w:r>
        <w:rPr>
          <w:lang w:val="en-US"/>
        </w:rPr>
        <w:t xml:space="preserve"> </w:t>
      </w:r>
      <w:r w:rsidRPr="00396BC5">
        <w:rPr>
          <w:lang w:val="x-none"/>
        </w:rPr>
        <w:t>not an inhibitor of CYP1A2, 2A6, 2B6, 2C8, 2C9, 2C19, 2D6, 2E1 or 3A4/5</w:t>
      </w:r>
      <w:r>
        <w:rPr>
          <w:lang w:val="en-US"/>
        </w:rPr>
        <w:t>.</w:t>
      </w:r>
      <w:r w:rsidR="00F56E65" w:rsidRPr="00F56E65">
        <w:t>.</w:t>
      </w:r>
    </w:p>
    <w:p w14:paraId="4F371EC6" w14:textId="77777777" w:rsidR="00C4426B" w:rsidRDefault="00C4426B" w:rsidP="00C4426B">
      <w:pPr>
        <w:pStyle w:val="Heading2"/>
      </w:pPr>
      <w:r>
        <w:t>Adverse Effects</w:t>
      </w:r>
    </w:p>
    <w:p w14:paraId="6C48241B" w14:textId="77777777" w:rsidR="00AC7AE0" w:rsidRDefault="00AC7AE0" w:rsidP="004A7B1E">
      <w:pPr>
        <w:pStyle w:val="Heading3"/>
      </w:pPr>
      <w:r>
        <w:t>NAGS Deficiency</w:t>
      </w:r>
    </w:p>
    <w:p w14:paraId="0595000E" w14:textId="7ECE3BB8" w:rsidR="00AC7AE0" w:rsidRDefault="00AC7AE0" w:rsidP="00C4426B">
      <w:r>
        <w:t>The most common adverse e</w:t>
      </w:r>
      <w:r w:rsidR="009F7D5C">
        <w:t>vent</w:t>
      </w:r>
      <w:r w:rsidR="003956CE">
        <w:t>s</w:t>
      </w:r>
      <w:r>
        <w:t xml:space="preserve"> (occurring in </w:t>
      </w:r>
      <w:r>
        <w:rPr>
          <w:rFonts w:cs="Times New Roman"/>
        </w:rPr>
        <w:t>≥</w:t>
      </w:r>
      <w:r>
        <w:t xml:space="preserve"> 13% of patients), regardless of causality, are: infections, vomiting, abdominal pain, pyrexia, tonsillitis, anaemia, ear infection, diarrhoea, </w:t>
      </w:r>
      <w:proofErr w:type="spellStart"/>
      <w:r>
        <w:t>nasopharyngitis</w:t>
      </w:r>
      <w:proofErr w:type="spellEnd"/>
      <w:r>
        <w:t>, and headache.</w:t>
      </w:r>
    </w:p>
    <w:p w14:paraId="34065592" w14:textId="4167A784" w:rsidR="00AC7AE0" w:rsidRDefault="00436DCB" w:rsidP="00C4426B">
      <w:r>
        <w:fldChar w:fldCharType="begin"/>
      </w:r>
      <w:r>
        <w:instrText xml:space="preserve"> REF _Ref408918433 \h </w:instrText>
      </w:r>
      <w:r>
        <w:fldChar w:fldCharType="separate"/>
      </w:r>
      <w:r w:rsidR="00AC203B">
        <w:t xml:space="preserve">Table </w:t>
      </w:r>
      <w:r w:rsidR="00AC203B">
        <w:rPr>
          <w:noProof/>
        </w:rPr>
        <w:t>4</w:t>
      </w:r>
      <w:r>
        <w:fldChar w:fldCharType="end"/>
      </w:r>
      <w:r>
        <w:t xml:space="preserve"> </w:t>
      </w:r>
      <w:r w:rsidR="009F7D5C">
        <w:t xml:space="preserve">summarises adverse events occurring in 2 or more </w:t>
      </w:r>
      <w:r>
        <w:t>patients</w:t>
      </w:r>
      <w:r w:rsidR="009F7D5C">
        <w:t xml:space="preserve"> treated with carglumic acid in the retrospective study. </w:t>
      </w:r>
    </w:p>
    <w:p w14:paraId="0C1DCB4C" w14:textId="6E0CC6F2" w:rsidR="00BF625E" w:rsidRDefault="00BF625E">
      <w:r>
        <w:br w:type="page"/>
      </w:r>
    </w:p>
    <w:p w14:paraId="7B3935C9" w14:textId="7F2D1742" w:rsidR="00BF625E" w:rsidRDefault="00BF625E" w:rsidP="004A7B1E">
      <w:pPr>
        <w:pStyle w:val="Caption"/>
      </w:pPr>
      <w:bookmarkStart w:id="4" w:name="_Ref408918433"/>
      <w:r>
        <w:lastRenderedPageBreak/>
        <w:t xml:space="preserve">Table </w:t>
      </w:r>
      <w:r w:rsidR="00855C7E">
        <w:fldChar w:fldCharType="begin"/>
      </w:r>
      <w:r w:rsidR="00855C7E">
        <w:instrText xml:space="preserve"> SEQ Table \* ARABIC </w:instrText>
      </w:r>
      <w:r w:rsidR="00855C7E">
        <w:fldChar w:fldCharType="separate"/>
      </w:r>
      <w:r w:rsidR="00AC203B">
        <w:rPr>
          <w:noProof/>
        </w:rPr>
        <w:t>4</w:t>
      </w:r>
      <w:r w:rsidR="00855C7E">
        <w:rPr>
          <w:noProof/>
        </w:rPr>
        <w:fldChar w:fldCharType="end"/>
      </w:r>
      <w:bookmarkEnd w:id="4"/>
      <w:r>
        <w:t xml:space="preserve"> Adverse Events reported in </w:t>
      </w:r>
      <w:r>
        <w:rPr>
          <w:rFonts w:cs="Times New Roman"/>
        </w:rPr>
        <w:t>≥</w:t>
      </w:r>
      <w:r>
        <w:t xml:space="preserve"> 2 patients treated with CARBAGLU in the NAGS Deficiency Retrospective Study</w:t>
      </w:r>
    </w:p>
    <w:tbl>
      <w:tblPr>
        <w:tblStyle w:val="TableGrid"/>
        <w:tblW w:w="0" w:type="auto"/>
        <w:tblLook w:val="04A0" w:firstRow="1" w:lastRow="0" w:firstColumn="1" w:lastColumn="0" w:noHBand="0" w:noVBand="1"/>
      </w:tblPr>
      <w:tblGrid>
        <w:gridCol w:w="6204"/>
        <w:gridCol w:w="3038"/>
      </w:tblGrid>
      <w:tr w:rsidR="00BF625E" w14:paraId="512D00B3" w14:textId="77777777" w:rsidTr="004A7B1E">
        <w:tc>
          <w:tcPr>
            <w:tcW w:w="6204" w:type="dxa"/>
          </w:tcPr>
          <w:p w14:paraId="3CC3DCAB" w14:textId="40F55FF7" w:rsidR="00BF625E" w:rsidRPr="004A7B1E" w:rsidRDefault="00BF625E" w:rsidP="004A7B1E">
            <w:pPr>
              <w:ind w:left="567"/>
              <w:rPr>
                <w:b/>
              </w:rPr>
            </w:pPr>
            <w:r w:rsidRPr="004A7B1E">
              <w:rPr>
                <w:b/>
              </w:rPr>
              <w:t>System Order Class</w:t>
            </w:r>
          </w:p>
          <w:p w14:paraId="57D83A8A" w14:textId="1516CE65" w:rsidR="00BF625E" w:rsidRDefault="00BF625E" w:rsidP="004A7B1E">
            <w:pPr>
              <w:ind w:left="993"/>
            </w:pPr>
            <w:r>
              <w:t>Preferred Term</w:t>
            </w:r>
          </w:p>
        </w:tc>
        <w:tc>
          <w:tcPr>
            <w:tcW w:w="3038" w:type="dxa"/>
          </w:tcPr>
          <w:p w14:paraId="1D4A946E" w14:textId="3898F586" w:rsidR="00BF625E" w:rsidRDefault="00BF625E" w:rsidP="004A7B1E">
            <w:pPr>
              <w:jc w:val="center"/>
            </w:pPr>
            <w:r>
              <w:t>Number of Patients (N)</w:t>
            </w:r>
            <w:r w:rsidR="00436DCB">
              <w:t xml:space="preserve"> </w:t>
            </w:r>
            <w:r>
              <w:t>(%)</w:t>
            </w:r>
          </w:p>
        </w:tc>
      </w:tr>
      <w:tr w:rsidR="00BF625E" w14:paraId="3750F0AE" w14:textId="77777777" w:rsidTr="004A7B1E">
        <w:tc>
          <w:tcPr>
            <w:tcW w:w="6204" w:type="dxa"/>
          </w:tcPr>
          <w:p w14:paraId="4680AA78" w14:textId="26F8C844" w:rsidR="00BF625E" w:rsidRPr="004A7B1E" w:rsidRDefault="00BF625E" w:rsidP="004A7B1E">
            <w:pPr>
              <w:ind w:left="567"/>
              <w:rPr>
                <w:b/>
              </w:rPr>
            </w:pPr>
            <w:r w:rsidRPr="004A7B1E">
              <w:rPr>
                <w:b/>
              </w:rPr>
              <w:t>TOTAL</w:t>
            </w:r>
          </w:p>
        </w:tc>
        <w:tc>
          <w:tcPr>
            <w:tcW w:w="3038" w:type="dxa"/>
          </w:tcPr>
          <w:p w14:paraId="51189675" w14:textId="3127AECC" w:rsidR="00BF625E" w:rsidRDefault="00BF625E" w:rsidP="004A7B1E">
            <w:pPr>
              <w:jc w:val="center"/>
            </w:pPr>
            <w:r>
              <w:t>23 (100)</w:t>
            </w:r>
          </w:p>
        </w:tc>
      </w:tr>
      <w:tr w:rsidR="00BF625E" w14:paraId="718AA985" w14:textId="77777777" w:rsidTr="004A7B1E">
        <w:tc>
          <w:tcPr>
            <w:tcW w:w="6204" w:type="dxa"/>
          </w:tcPr>
          <w:p w14:paraId="372E0573" w14:textId="0E08EEBB" w:rsidR="00BF625E" w:rsidRPr="004A7B1E" w:rsidRDefault="00BF625E" w:rsidP="004A7B1E">
            <w:pPr>
              <w:ind w:left="567"/>
              <w:rPr>
                <w:b/>
              </w:rPr>
            </w:pPr>
            <w:r w:rsidRPr="004A7B1E">
              <w:rPr>
                <w:b/>
              </w:rPr>
              <w:t>Blood and lymphatic system disorders</w:t>
            </w:r>
          </w:p>
        </w:tc>
        <w:tc>
          <w:tcPr>
            <w:tcW w:w="3038" w:type="dxa"/>
          </w:tcPr>
          <w:p w14:paraId="7B93D621" w14:textId="77777777" w:rsidR="00BF625E" w:rsidRDefault="00BF625E" w:rsidP="004A7B1E">
            <w:pPr>
              <w:jc w:val="center"/>
            </w:pPr>
          </w:p>
        </w:tc>
      </w:tr>
      <w:tr w:rsidR="00BF625E" w14:paraId="22F3C63D" w14:textId="77777777" w:rsidTr="004A7B1E">
        <w:tc>
          <w:tcPr>
            <w:tcW w:w="6204" w:type="dxa"/>
          </w:tcPr>
          <w:p w14:paraId="6F964521" w14:textId="07BB425F" w:rsidR="00BF625E" w:rsidRDefault="00BF625E" w:rsidP="004A7B1E">
            <w:pPr>
              <w:ind w:left="993"/>
            </w:pPr>
            <w:r>
              <w:t>Anaemia</w:t>
            </w:r>
          </w:p>
        </w:tc>
        <w:tc>
          <w:tcPr>
            <w:tcW w:w="3038" w:type="dxa"/>
          </w:tcPr>
          <w:p w14:paraId="72E6FFE4" w14:textId="5ACCD934" w:rsidR="00BF625E" w:rsidRDefault="00BF625E" w:rsidP="004A7B1E">
            <w:pPr>
              <w:jc w:val="center"/>
            </w:pPr>
            <w:r>
              <w:t>3 (13)</w:t>
            </w:r>
          </w:p>
        </w:tc>
      </w:tr>
      <w:tr w:rsidR="00BF625E" w14:paraId="45C456B6" w14:textId="77777777" w:rsidTr="004A7B1E">
        <w:tc>
          <w:tcPr>
            <w:tcW w:w="6204" w:type="dxa"/>
          </w:tcPr>
          <w:p w14:paraId="7D08E819" w14:textId="7BD573F3" w:rsidR="00BF625E" w:rsidRPr="004A7B1E" w:rsidRDefault="00BF625E" w:rsidP="004A7B1E">
            <w:pPr>
              <w:ind w:left="567"/>
              <w:rPr>
                <w:b/>
              </w:rPr>
            </w:pPr>
            <w:r w:rsidRPr="004A7B1E">
              <w:rPr>
                <w:b/>
              </w:rPr>
              <w:t>Ear and labyrinth disorders</w:t>
            </w:r>
          </w:p>
        </w:tc>
        <w:tc>
          <w:tcPr>
            <w:tcW w:w="3038" w:type="dxa"/>
          </w:tcPr>
          <w:p w14:paraId="59BD1465" w14:textId="77777777" w:rsidR="00BF625E" w:rsidRDefault="00BF625E" w:rsidP="004A7B1E">
            <w:pPr>
              <w:jc w:val="center"/>
            </w:pPr>
          </w:p>
        </w:tc>
      </w:tr>
      <w:tr w:rsidR="00BF625E" w14:paraId="65C17A46" w14:textId="77777777" w:rsidTr="004A7B1E">
        <w:tc>
          <w:tcPr>
            <w:tcW w:w="6204" w:type="dxa"/>
          </w:tcPr>
          <w:p w14:paraId="183F4CCD" w14:textId="46CE1AC7" w:rsidR="00BF625E" w:rsidRDefault="00BF625E" w:rsidP="004A7B1E">
            <w:pPr>
              <w:ind w:left="993"/>
            </w:pPr>
            <w:r>
              <w:t>Ear infection</w:t>
            </w:r>
          </w:p>
        </w:tc>
        <w:tc>
          <w:tcPr>
            <w:tcW w:w="3038" w:type="dxa"/>
          </w:tcPr>
          <w:p w14:paraId="4F720F4A" w14:textId="7FB5766E" w:rsidR="00BF625E" w:rsidRDefault="00BF625E" w:rsidP="004A7B1E">
            <w:pPr>
              <w:jc w:val="center"/>
            </w:pPr>
            <w:r>
              <w:t>3 (13)</w:t>
            </w:r>
          </w:p>
        </w:tc>
      </w:tr>
      <w:tr w:rsidR="00BF625E" w14:paraId="2712033F" w14:textId="77777777" w:rsidTr="004A7B1E">
        <w:tc>
          <w:tcPr>
            <w:tcW w:w="6204" w:type="dxa"/>
          </w:tcPr>
          <w:p w14:paraId="4A7CBAF4" w14:textId="6BE62B9E" w:rsidR="00BF625E" w:rsidRPr="004A7B1E" w:rsidRDefault="00BF625E" w:rsidP="004A7B1E">
            <w:pPr>
              <w:ind w:left="567"/>
              <w:rPr>
                <w:b/>
              </w:rPr>
            </w:pPr>
            <w:r w:rsidRPr="004A7B1E">
              <w:rPr>
                <w:b/>
              </w:rPr>
              <w:t>Gastrointestinal disorders</w:t>
            </w:r>
          </w:p>
        </w:tc>
        <w:tc>
          <w:tcPr>
            <w:tcW w:w="3038" w:type="dxa"/>
          </w:tcPr>
          <w:p w14:paraId="2E1CEF38" w14:textId="77777777" w:rsidR="00BF625E" w:rsidRDefault="00BF625E" w:rsidP="004A7B1E">
            <w:pPr>
              <w:jc w:val="center"/>
            </w:pPr>
          </w:p>
        </w:tc>
      </w:tr>
      <w:tr w:rsidR="00BF625E" w14:paraId="2F3F03E1" w14:textId="77777777" w:rsidTr="004A7B1E">
        <w:tc>
          <w:tcPr>
            <w:tcW w:w="6204" w:type="dxa"/>
          </w:tcPr>
          <w:p w14:paraId="791361CC" w14:textId="782438BE" w:rsidR="00BF625E" w:rsidRDefault="00BF625E" w:rsidP="004A7B1E">
            <w:pPr>
              <w:ind w:left="993"/>
            </w:pPr>
            <w:r>
              <w:t>Abdominal pain</w:t>
            </w:r>
          </w:p>
        </w:tc>
        <w:tc>
          <w:tcPr>
            <w:tcW w:w="3038" w:type="dxa"/>
          </w:tcPr>
          <w:p w14:paraId="779BCE1C" w14:textId="6F8D524B" w:rsidR="00BF625E" w:rsidRDefault="00BF625E" w:rsidP="004A7B1E">
            <w:pPr>
              <w:jc w:val="center"/>
            </w:pPr>
            <w:r>
              <w:t>4 (17)</w:t>
            </w:r>
          </w:p>
        </w:tc>
      </w:tr>
      <w:tr w:rsidR="00BF625E" w14:paraId="10770334" w14:textId="77777777" w:rsidTr="004A7B1E">
        <w:tc>
          <w:tcPr>
            <w:tcW w:w="6204" w:type="dxa"/>
          </w:tcPr>
          <w:p w14:paraId="1F84A462" w14:textId="20A1C40A" w:rsidR="00BF625E" w:rsidRDefault="00BF625E" w:rsidP="004A7B1E">
            <w:pPr>
              <w:ind w:left="993"/>
            </w:pPr>
            <w:r>
              <w:t>Diarrhoea</w:t>
            </w:r>
          </w:p>
        </w:tc>
        <w:tc>
          <w:tcPr>
            <w:tcW w:w="3038" w:type="dxa"/>
          </w:tcPr>
          <w:p w14:paraId="3EA30EAE" w14:textId="1B9AFCA9" w:rsidR="00BF625E" w:rsidRDefault="00BF625E" w:rsidP="004A7B1E">
            <w:pPr>
              <w:jc w:val="center"/>
            </w:pPr>
            <w:r>
              <w:t>3 (13)</w:t>
            </w:r>
          </w:p>
        </w:tc>
      </w:tr>
      <w:tr w:rsidR="00BF625E" w14:paraId="49321342" w14:textId="77777777" w:rsidTr="004A7B1E">
        <w:tc>
          <w:tcPr>
            <w:tcW w:w="6204" w:type="dxa"/>
          </w:tcPr>
          <w:p w14:paraId="40C29B23" w14:textId="751CEB50" w:rsidR="00BF625E" w:rsidRDefault="00BF625E" w:rsidP="004A7B1E">
            <w:pPr>
              <w:ind w:left="993"/>
            </w:pPr>
            <w:r>
              <w:t>Vomiting</w:t>
            </w:r>
          </w:p>
        </w:tc>
        <w:tc>
          <w:tcPr>
            <w:tcW w:w="3038" w:type="dxa"/>
          </w:tcPr>
          <w:p w14:paraId="04C65EDE" w14:textId="23DBAB26" w:rsidR="00BF625E" w:rsidRDefault="00BF625E" w:rsidP="004A7B1E">
            <w:pPr>
              <w:jc w:val="center"/>
            </w:pPr>
            <w:r>
              <w:t>6 (26)</w:t>
            </w:r>
          </w:p>
        </w:tc>
      </w:tr>
      <w:tr w:rsidR="00BF625E" w14:paraId="61D764D3" w14:textId="77777777" w:rsidTr="004A7B1E">
        <w:tc>
          <w:tcPr>
            <w:tcW w:w="6204" w:type="dxa"/>
          </w:tcPr>
          <w:p w14:paraId="2119B60D" w14:textId="717C5F09" w:rsidR="00BF625E" w:rsidRDefault="00BF625E" w:rsidP="004A7B1E">
            <w:pPr>
              <w:ind w:left="993"/>
            </w:pPr>
            <w:r>
              <w:t>Dysgeusia</w:t>
            </w:r>
          </w:p>
        </w:tc>
        <w:tc>
          <w:tcPr>
            <w:tcW w:w="3038" w:type="dxa"/>
          </w:tcPr>
          <w:p w14:paraId="7269D9DA" w14:textId="3D419CC8" w:rsidR="00BF625E" w:rsidRDefault="00BF625E" w:rsidP="004A7B1E">
            <w:pPr>
              <w:jc w:val="center"/>
            </w:pPr>
            <w:r>
              <w:t>2 (9)</w:t>
            </w:r>
          </w:p>
        </w:tc>
      </w:tr>
      <w:tr w:rsidR="00BF625E" w14:paraId="68578CDD" w14:textId="77777777" w:rsidTr="004A7B1E">
        <w:tc>
          <w:tcPr>
            <w:tcW w:w="6204" w:type="dxa"/>
          </w:tcPr>
          <w:p w14:paraId="1F43CA65" w14:textId="358B4BC6" w:rsidR="00BF625E" w:rsidRPr="004A7B1E" w:rsidRDefault="00BF625E" w:rsidP="004A7B1E">
            <w:pPr>
              <w:ind w:left="567"/>
              <w:rPr>
                <w:b/>
              </w:rPr>
            </w:pPr>
            <w:r w:rsidRPr="004A7B1E">
              <w:rPr>
                <w:b/>
              </w:rPr>
              <w:t>General disorders and administration site conditions</w:t>
            </w:r>
          </w:p>
        </w:tc>
        <w:tc>
          <w:tcPr>
            <w:tcW w:w="3038" w:type="dxa"/>
          </w:tcPr>
          <w:p w14:paraId="06B85312" w14:textId="77777777" w:rsidR="00BF625E" w:rsidRDefault="00BF625E" w:rsidP="004A7B1E">
            <w:pPr>
              <w:jc w:val="center"/>
            </w:pPr>
          </w:p>
        </w:tc>
      </w:tr>
      <w:tr w:rsidR="00BF625E" w14:paraId="29C17C47" w14:textId="77777777" w:rsidTr="004A7B1E">
        <w:tc>
          <w:tcPr>
            <w:tcW w:w="6204" w:type="dxa"/>
          </w:tcPr>
          <w:p w14:paraId="01C3E463" w14:textId="3BE6C7D7" w:rsidR="00BF625E" w:rsidRDefault="00BF625E" w:rsidP="004A7B1E">
            <w:pPr>
              <w:ind w:left="993"/>
            </w:pPr>
            <w:r>
              <w:t>Asthenia</w:t>
            </w:r>
          </w:p>
        </w:tc>
        <w:tc>
          <w:tcPr>
            <w:tcW w:w="3038" w:type="dxa"/>
          </w:tcPr>
          <w:p w14:paraId="531D653B" w14:textId="1928858B" w:rsidR="00BF625E" w:rsidRDefault="00BF625E" w:rsidP="004A7B1E">
            <w:pPr>
              <w:jc w:val="center"/>
            </w:pPr>
            <w:r>
              <w:t>2 (9)</w:t>
            </w:r>
          </w:p>
        </w:tc>
      </w:tr>
      <w:tr w:rsidR="00BF625E" w14:paraId="3A4E89D6" w14:textId="77777777" w:rsidTr="004A7B1E">
        <w:tc>
          <w:tcPr>
            <w:tcW w:w="6204" w:type="dxa"/>
          </w:tcPr>
          <w:p w14:paraId="7EC9733A" w14:textId="1F8D65F0" w:rsidR="00BF625E" w:rsidRDefault="00BF625E" w:rsidP="004A7B1E">
            <w:pPr>
              <w:ind w:left="993"/>
            </w:pPr>
            <w:r>
              <w:t>Hyperhidrosis</w:t>
            </w:r>
          </w:p>
        </w:tc>
        <w:tc>
          <w:tcPr>
            <w:tcW w:w="3038" w:type="dxa"/>
          </w:tcPr>
          <w:p w14:paraId="11566432" w14:textId="4297D3A7" w:rsidR="00BF625E" w:rsidRDefault="00BF625E" w:rsidP="004A7B1E">
            <w:pPr>
              <w:jc w:val="center"/>
            </w:pPr>
            <w:r>
              <w:t>2 (9)</w:t>
            </w:r>
          </w:p>
        </w:tc>
      </w:tr>
      <w:tr w:rsidR="00BF625E" w14:paraId="60FB833B" w14:textId="77777777" w:rsidTr="004A7B1E">
        <w:tc>
          <w:tcPr>
            <w:tcW w:w="6204" w:type="dxa"/>
          </w:tcPr>
          <w:p w14:paraId="720AAF01" w14:textId="0E8C7212" w:rsidR="00BF625E" w:rsidRDefault="00BF625E" w:rsidP="004A7B1E">
            <w:pPr>
              <w:ind w:left="993"/>
            </w:pPr>
            <w:r>
              <w:t>Pyrexia</w:t>
            </w:r>
          </w:p>
        </w:tc>
        <w:tc>
          <w:tcPr>
            <w:tcW w:w="3038" w:type="dxa"/>
          </w:tcPr>
          <w:p w14:paraId="1EE8B885" w14:textId="559F834F" w:rsidR="00BF625E" w:rsidRDefault="00BF625E" w:rsidP="004A7B1E">
            <w:pPr>
              <w:jc w:val="center"/>
            </w:pPr>
            <w:r>
              <w:t>4 (17)</w:t>
            </w:r>
          </w:p>
        </w:tc>
      </w:tr>
      <w:tr w:rsidR="00BF625E" w14:paraId="381DAE1D" w14:textId="77777777" w:rsidTr="004A7B1E">
        <w:tc>
          <w:tcPr>
            <w:tcW w:w="6204" w:type="dxa"/>
          </w:tcPr>
          <w:p w14:paraId="2BE66220" w14:textId="3D00D3C3" w:rsidR="00BF625E" w:rsidRPr="004A7B1E" w:rsidRDefault="00BF625E" w:rsidP="004A7B1E">
            <w:pPr>
              <w:ind w:left="567"/>
              <w:rPr>
                <w:b/>
              </w:rPr>
            </w:pPr>
            <w:r w:rsidRPr="004A7B1E">
              <w:rPr>
                <w:b/>
              </w:rPr>
              <w:t>Infections and Infestations</w:t>
            </w:r>
          </w:p>
        </w:tc>
        <w:tc>
          <w:tcPr>
            <w:tcW w:w="3038" w:type="dxa"/>
          </w:tcPr>
          <w:p w14:paraId="404F2A7C" w14:textId="77777777" w:rsidR="00BF625E" w:rsidRDefault="00BF625E" w:rsidP="004A7B1E">
            <w:pPr>
              <w:jc w:val="center"/>
            </w:pPr>
          </w:p>
        </w:tc>
      </w:tr>
      <w:tr w:rsidR="00BF625E" w14:paraId="16047089" w14:textId="77777777" w:rsidTr="004A7B1E">
        <w:tc>
          <w:tcPr>
            <w:tcW w:w="6204" w:type="dxa"/>
          </w:tcPr>
          <w:p w14:paraId="65AD6AEB" w14:textId="63C8B4A8" w:rsidR="00BF625E" w:rsidRDefault="00BF625E" w:rsidP="004A7B1E">
            <w:pPr>
              <w:ind w:left="993"/>
            </w:pPr>
            <w:r>
              <w:t>Infection</w:t>
            </w:r>
          </w:p>
        </w:tc>
        <w:tc>
          <w:tcPr>
            <w:tcW w:w="3038" w:type="dxa"/>
          </w:tcPr>
          <w:p w14:paraId="48EBB826" w14:textId="637D5F24" w:rsidR="00BF625E" w:rsidRDefault="00BF625E" w:rsidP="004A7B1E">
            <w:pPr>
              <w:jc w:val="center"/>
            </w:pPr>
            <w:r>
              <w:t>3 (13)</w:t>
            </w:r>
          </w:p>
        </w:tc>
      </w:tr>
      <w:tr w:rsidR="00BF625E" w14:paraId="4660F8B3" w14:textId="77777777" w:rsidTr="004A7B1E">
        <w:tc>
          <w:tcPr>
            <w:tcW w:w="6204" w:type="dxa"/>
          </w:tcPr>
          <w:p w14:paraId="435DEC5F" w14:textId="25C7828D" w:rsidR="00BF625E" w:rsidRDefault="00BF625E" w:rsidP="004A7B1E">
            <w:pPr>
              <w:ind w:left="993"/>
            </w:pPr>
            <w:r>
              <w:t>Influenza</w:t>
            </w:r>
          </w:p>
        </w:tc>
        <w:tc>
          <w:tcPr>
            <w:tcW w:w="3038" w:type="dxa"/>
          </w:tcPr>
          <w:p w14:paraId="0541BF9F" w14:textId="5BB7C211" w:rsidR="00BF625E" w:rsidRDefault="00BF625E" w:rsidP="004A7B1E">
            <w:pPr>
              <w:jc w:val="center"/>
            </w:pPr>
            <w:r>
              <w:t>2 (9)</w:t>
            </w:r>
          </w:p>
        </w:tc>
      </w:tr>
      <w:tr w:rsidR="00BF625E" w14:paraId="55E0EDED" w14:textId="77777777" w:rsidTr="004A7B1E">
        <w:tc>
          <w:tcPr>
            <w:tcW w:w="6204" w:type="dxa"/>
          </w:tcPr>
          <w:p w14:paraId="1131BEE0" w14:textId="71E815D0" w:rsidR="00BF625E" w:rsidRDefault="00BF625E" w:rsidP="004A7B1E">
            <w:pPr>
              <w:ind w:left="993"/>
            </w:pPr>
            <w:proofErr w:type="spellStart"/>
            <w:r>
              <w:t>Nasopharyngitis</w:t>
            </w:r>
            <w:proofErr w:type="spellEnd"/>
          </w:p>
        </w:tc>
        <w:tc>
          <w:tcPr>
            <w:tcW w:w="3038" w:type="dxa"/>
          </w:tcPr>
          <w:p w14:paraId="3C7454AB" w14:textId="339CE5C9" w:rsidR="00BF625E" w:rsidRDefault="00BF625E" w:rsidP="004A7B1E">
            <w:pPr>
              <w:jc w:val="center"/>
            </w:pPr>
            <w:r>
              <w:t>3 (13)</w:t>
            </w:r>
          </w:p>
        </w:tc>
      </w:tr>
      <w:tr w:rsidR="00BF625E" w14:paraId="61F15603" w14:textId="77777777" w:rsidTr="004A7B1E">
        <w:tc>
          <w:tcPr>
            <w:tcW w:w="6204" w:type="dxa"/>
          </w:tcPr>
          <w:p w14:paraId="311473B7" w14:textId="6F99CE69" w:rsidR="00BF625E" w:rsidRDefault="00BF625E" w:rsidP="004A7B1E">
            <w:pPr>
              <w:ind w:left="993"/>
            </w:pPr>
            <w:r>
              <w:t>Pneumonia</w:t>
            </w:r>
          </w:p>
        </w:tc>
        <w:tc>
          <w:tcPr>
            <w:tcW w:w="3038" w:type="dxa"/>
          </w:tcPr>
          <w:p w14:paraId="78A80C6B" w14:textId="2528212B" w:rsidR="00BF625E" w:rsidRDefault="00BF625E" w:rsidP="004A7B1E">
            <w:pPr>
              <w:jc w:val="center"/>
            </w:pPr>
            <w:r>
              <w:t>2 (9)</w:t>
            </w:r>
          </w:p>
        </w:tc>
      </w:tr>
      <w:tr w:rsidR="00BF625E" w14:paraId="4F25E800" w14:textId="77777777" w:rsidTr="004A7B1E">
        <w:tc>
          <w:tcPr>
            <w:tcW w:w="6204" w:type="dxa"/>
          </w:tcPr>
          <w:p w14:paraId="027D95B9" w14:textId="7B360C17" w:rsidR="00BF625E" w:rsidRDefault="00BF625E" w:rsidP="004A7B1E">
            <w:pPr>
              <w:ind w:left="993"/>
            </w:pPr>
            <w:r>
              <w:t>Tonsillitis</w:t>
            </w:r>
          </w:p>
        </w:tc>
        <w:tc>
          <w:tcPr>
            <w:tcW w:w="3038" w:type="dxa"/>
          </w:tcPr>
          <w:p w14:paraId="26E58B83" w14:textId="0F8D3D99" w:rsidR="00BF625E" w:rsidRDefault="00BF625E" w:rsidP="004A7B1E">
            <w:pPr>
              <w:jc w:val="center"/>
            </w:pPr>
            <w:r>
              <w:t>4 (17)</w:t>
            </w:r>
          </w:p>
        </w:tc>
      </w:tr>
      <w:tr w:rsidR="00BF625E" w14:paraId="3156FA74" w14:textId="77777777" w:rsidTr="004A7B1E">
        <w:tc>
          <w:tcPr>
            <w:tcW w:w="6204" w:type="dxa"/>
          </w:tcPr>
          <w:p w14:paraId="7C421672" w14:textId="160F004F" w:rsidR="00BF625E" w:rsidRPr="004A7B1E" w:rsidRDefault="00BF625E" w:rsidP="004A7B1E">
            <w:pPr>
              <w:ind w:left="567"/>
              <w:rPr>
                <w:b/>
              </w:rPr>
            </w:pPr>
            <w:r w:rsidRPr="004A7B1E">
              <w:rPr>
                <w:b/>
              </w:rPr>
              <w:t>Investigations</w:t>
            </w:r>
          </w:p>
        </w:tc>
        <w:tc>
          <w:tcPr>
            <w:tcW w:w="3038" w:type="dxa"/>
          </w:tcPr>
          <w:p w14:paraId="0E641A70" w14:textId="77777777" w:rsidR="00BF625E" w:rsidRDefault="00BF625E" w:rsidP="004A7B1E">
            <w:pPr>
              <w:jc w:val="center"/>
            </w:pPr>
          </w:p>
        </w:tc>
      </w:tr>
      <w:tr w:rsidR="00BF625E" w14:paraId="187213C0" w14:textId="77777777" w:rsidTr="004A7B1E">
        <w:tc>
          <w:tcPr>
            <w:tcW w:w="6204" w:type="dxa"/>
          </w:tcPr>
          <w:p w14:paraId="70D2FDB8" w14:textId="5E0ED0B5" w:rsidR="00BF625E" w:rsidRDefault="00BF625E" w:rsidP="004A7B1E">
            <w:pPr>
              <w:ind w:left="993"/>
            </w:pPr>
            <w:r>
              <w:t>Haemoglobin decreased</w:t>
            </w:r>
          </w:p>
        </w:tc>
        <w:tc>
          <w:tcPr>
            <w:tcW w:w="3038" w:type="dxa"/>
          </w:tcPr>
          <w:p w14:paraId="695C63EB" w14:textId="3880DB4B" w:rsidR="00BF625E" w:rsidRDefault="00BF625E" w:rsidP="004A7B1E">
            <w:pPr>
              <w:jc w:val="center"/>
            </w:pPr>
            <w:r>
              <w:t>3 (13)</w:t>
            </w:r>
          </w:p>
        </w:tc>
      </w:tr>
      <w:tr w:rsidR="00BF625E" w14:paraId="2F3BD3F5" w14:textId="77777777" w:rsidTr="004A7B1E">
        <w:tc>
          <w:tcPr>
            <w:tcW w:w="6204" w:type="dxa"/>
          </w:tcPr>
          <w:p w14:paraId="6B6C7D5F" w14:textId="77E8F460" w:rsidR="00BF625E" w:rsidRDefault="00BF625E" w:rsidP="004A7B1E">
            <w:pPr>
              <w:ind w:left="993"/>
            </w:pPr>
            <w:r>
              <w:t>Weight decreased</w:t>
            </w:r>
          </w:p>
        </w:tc>
        <w:tc>
          <w:tcPr>
            <w:tcW w:w="3038" w:type="dxa"/>
          </w:tcPr>
          <w:p w14:paraId="3C12906F" w14:textId="42699560" w:rsidR="00BF625E" w:rsidRDefault="00BF625E" w:rsidP="004A7B1E">
            <w:pPr>
              <w:jc w:val="center"/>
            </w:pPr>
            <w:r>
              <w:t>2 (9)</w:t>
            </w:r>
          </w:p>
        </w:tc>
      </w:tr>
      <w:tr w:rsidR="00BF625E" w14:paraId="0F779D83" w14:textId="77777777" w:rsidTr="004A7B1E">
        <w:tc>
          <w:tcPr>
            <w:tcW w:w="6204" w:type="dxa"/>
          </w:tcPr>
          <w:p w14:paraId="253F2B7B" w14:textId="3EF3F6F8" w:rsidR="00BF625E" w:rsidRPr="004A7B1E" w:rsidRDefault="00BF625E" w:rsidP="004A7B1E">
            <w:pPr>
              <w:ind w:left="567"/>
              <w:rPr>
                <w:b/>
              </w:rPr>
            </w:pPr>
            <w:r w:rsidRPr="004A7B1E">
              <w:rPr>
                <w:b/>
              </w:rPr>
              <w:t>Metabolism and nutritional disorders</w:t>
            </w:r>
          </w:p>
        </w:tc>
        <w:tc>
          <w:tcPr>
            <w:tcW w:w="3038" w:type="dxa"/>
          </w:tcPr>
          <w:p w14:paraId="0373E07C" w14:textId="77777777" w:rsidR="00BF625E" w:rsidRDefault="00BF625E" w:rsidP="004A7B1E">
            <w:pPr>
              <w:jc w:val="center"/>
            </w:pPr>
          </w:p>
        </w:tc>
      </w:tr>
      <w:tr w:rsidR="00BF625E" w14:paraId="68CC288F" w14:textId="77777777" w:rsidTr="004A7B1E">
        <w:tc>
          <w:tcPr>
            <w:tcW w:w="6204" w:type="dxa"/>
          </w:tcPr>
          <w:p w14:paraId="7AE2615C" w14:textId="305657BE" w:rsidR="00BF625E" w:rsidRDefault="00BF625E" w:rsidP="004A7B1E">
            <w:pPr>
              <w:ind w:left="993"/>
            </w:pPr>
            <w:r>
              <w:t>Anorexia</w:t>
            </w:r>
          </w:p>
        </w:tc>
        <w:tc>
          <w:tcPr>
            <w:tcW w:w="3038" w:type="dxa"/>
          </w:tcPr>
          <w:p w14:paraId="59BDFE28" w14:textId="67946880" w:rsidR="00BF625E" w:rsidRDefault="00BF625E" w:rsidP="004A7B1E">
            <w:pPr>
              <w:jc w:val="center"/>
            </w:pPr>
            <w:r>
              <w:t>2 (9)</w:t>
            </w:r>
          </w:p>
        </w:tc>
      </w:tr>
      <w:tr w:rsidR="00BF625E" w14:paraId="16BBA71C" w14:textId="77777777" w:rsidTr="004A7B1E">
        <w:tc>
          <w:tcPr>
            <w:tcW w:w="6204" w:type="dxa"/>
          </w:tcPr>
          <w:p w14:paraId="7B3CE298" w14:textId="7B70F115" w:rsidR="00BF625E" w:rsidRPr="004A7B1E" w:rsidRDefault="00BF625E" w:rsidP="004A7B1E">
            <w:pPr>
              <w:ind w:left="567"/>
              <w:rPr>
                <w:b/>
              </w:rPr>
            </w:pPr>
            <w:r w:rsidRPr="004A7B1E">
              <w:rPr>
                <w:b/>
              </w:rPr>
              <w:t>Nervous system disorders</w:t>
            </w:r>
          </w:p>
        </w:tc>
        <w:tc>
          <w:tcPr>
            <w:tcW w:w="3038" w:type="dxa"/>
          </w:tcPr>
          <w:p w14:paraId="69CDC997" w14:textId="77777777" w:rsidR="00BF625E" w:rsidRDefault="00BF625E" w:rsidP="004A7B1E">
            <w:pPr>
              <w:jc w:val="center"/>
            </w:pPr>
          </w:p>
        </w:tc>
      </w:tr>
      <w:tr w:rsidR="00BF625E" w14:paraId="221C94BC" w14:textId="77777777" w:rsidTr="004A7B1E">
        <w:tc>
          <w:tcPr>
            <w:tcW w:w="6204" w:type="dxa"/>
          </w:tcPr>
          <w:p w14:paraId="38069D50" w14:textId="36DDA366" w:rsidR="00BF625E" w:rsidRDefault="00BF625E" w:rsidP="004A7B1E">
            <w:pPr>
              <w:ind w:left="993"/>
            </w:pPr>
            <w:r>
              <w:t>Headache</w:t>
            </w:r>
          </w:p>
        </w:tc>
        <w:tc>
          <w:tcPr>
            <w:tcW w:w="3038" w:type="dxa"/>
          </w:tcPr>
          <w:p w14:paraId="70CDCC1E" w14:textId="4379F488" w:rsidR="00BF625E" w:rsidRDefault="00BF625E" w:rsidP="004A7B1E">
            <w:pPr>
              <w:jc w:val="center"/>
            </w:pPr>
            <w:r>
              <w:t>3 (13)</w:t>
            </w:r>
          </w:p>
        </w:tc>
      </w:tr>
      <w:tr w:rsidR="00BF625E" w14:paraId="2C8CC5A8" w14:textId="77777777" w:rsidTr="004A7B1E">
        <w:tc>
          <w:tcPr>
            <w:tcW w:w="6204" w:type="dxa"/>
          </w:tcPr>
          <w:p w14:paraId="3D82B143" w14:textId="6FD241C4" w:rsidR="00BF625E" w:rsidRDefault="00BF625E" w:rsidP="004A7B1E">
            <w:pPr>
              <w:ind w:left="993"/>
            </w:pPr>
            <w:r>
              <w:t>Somnolence</w:t>
            </w:r>
          </w:p>
        </w:tc>
        <w:tc>
          <w:tcPr>
            <w:tcW w:w="3038" w:type="dxa"/>
          </w:tcPr>
          <w:p w14:paraId="59D71D52" w14:textId="38A6CCD0" w:rsidR="00BF625E" w:rsidRDefault="00BF625E" w:rsidP="004A7B1E">
            <w:pPr>
              <w:jc w:val="center"/>
            </w:pPr>
            <w:r>
              <w:t>2 (9)</w:t>
            </w:r>
          </w:p>
        </w:tc>
      </w:tr>
      <w:tr w:rsidR="00BF625E" w14:paraId="3E0E0678" w14:textId="77777777" w:rsidTr="004A7B1E">
        <w:tc>
          <w:tcPr>
            <w:tcW w:w="6204" w:type="dxa"/>
          </w:tcPr>
          <w:p w14:paraId="2F8782F7" w14:textId="7031E181" w:rsidR="00BF625E" w:rsidRPr="004A7B1E" w:rsidRDefault="00BF625E" w:rsidP="004A7B1E">
            <w:pPr>
              <w:ind w:left="567"/>
              <w:rPr>
                <w:b/>
              </w:rPr>
            </w:pPr>
            <w:r w:rsidRPr="004A7B1E">
              <w:rPr>
                <w:b/>
              </w:rPr>
              <w:t>Skin and subcutaneous tissue disorders</w:t>
            </w:r>
          </w:p>
        </w:tc>
        <w:tc>
          <w:tcPr>
            <w:tcW w:w="3038" w:type="dxa"/>
          </w:tcPr>
          <w:p w14:paraId="7CB81BC3" w14:textId="77777777" w:rsidR="00BF625E" w:rsidRDefault="00BF625E" w:rsidP="004A7B1E">
            <w:pPr>
              <w:jc w:val="center"/>
            </w:pPr>
          </w:p>
        </w:tc>
      </w:tr>
      <w:tr w:rsidR="00BF625E" w14:paraId="3F173B57" w14:textId="77777777" w:rsidTr="004A7B1E">
        <w:tc>
          <w:tcPr>
            <w:tcW w:w="6204" w:type="dxa"/>
          </w:tcPr>
          <w:p w14:paraId="3B1B0289" w14:textId="44A501E2" w:rsidR="00BF625E" w:rsidRDefault="00BF625E" w:rsidP="004A7B1E">
            <w:pPr>
              <w:ind w:left="993"/>
            </w:pPr>
            <w:r>
              <w:t>Rash</w:t>
            </w:r>
          </w:p>
        </w:tc>
        <w:tc>
          <w:tcPr>
            <w:tcW w:w="3038" w:type="dxa"/>
          </w:tcPr>
          <w:p w14:paraId="163D0C8D" w14:textId="720C255F" w:rsidR="00BF625E" w:rsidRDefault="00BF625E" w:rsidP="004A7B1E">
            <w:pPr>
              <w:jc w:val="center"/>
            </w:pPr>
            <w:r>
              <w:t>2 (9)</w:t>
            </w:r>
          </w:p>
        </w:tc>
      </w:tr>
    </w:tbl>
    <w:p w14:paraId="7FE24C4A" w14:textId="77777777" w:rsidR="00BF625E" w:rsidRDefault="00BF625E" w:rsidP="0074213A"/>
    <w:p w14:paraId="5702973C" w14:textId="1536D53B" w:rsidR="00BF625E" w:rsidRDefault="00BF625E" w:rsidP="004A7B1E">
      <w:pPr>
        <w:pStyle w:val="Heading3"/>
      </w:pPr>
      <w:r>
        <w:t xml:space="preserve">Organic </w:t>
      </w:r>
      <w:proofErr w:type="spellStart"/>
      <w:r>
        <w:t>Acidaemias</w:t>
      </w:r>
      <w:proofErr w:type="spellEnd"/>
    </w:p>
    <w:p w14:paraId="4572264A" w14:textId="229B786D" w:rsidR="003956CE" w:rsidRDefault="00BF625E" w:rsidP="003956CE">
      <w:r>
        <w:br/>
      </w:r>
      <w:r w:rsidR="003956CE">
        <w:t>The most common adverse events</w:t>
      </w:r>
      <w:r w:rsidR="007E51E4">
        <w:t>,</w:t>
      </w:r>
      <w:r w:rsidR="003956CE">
        <w:t xml:space="preserve"> regardless of causality</w:t>
      </w:r>
      <w:r w:rsidR="007E51E4">
        <w:t>,</w:t>
      </w:r>
      <w:r w:rsidR="003956CE">
        <w:t xml:space="preserve"> are anaemia, and thrombocytopenia. </w:t>
      </w:r>
    </w:p>
    <w:p w14:paraId="4733CD42" w14:textId="06BDA140" w:rsidR="003956CE" w:rsidRDefault="003956CE" w:rsidP="003956CE">
      <w:r>
        <w:fldChar w:fldCharType="begin"/>
      </w:r>
      <w:r>
        <w:instrText xml:space="preserve"> REF _Ref408918433 \h </w:instrText>
      </w:r>
      <w:r>
        <w:fldChar w:fldCharType="separate"/>
      </w:r>
      <w:r w:rsidR="00AC203B">
        <w:t xml:space="preserve">Table </w:t>
      </w:r>
      <w:r w:rsidR="00AC203B">
        <w:rPr>
          <w:noProof/>
        </w:rPr>
        <w:t>4</w:t>
      </w:r>
      <w:r>
        <w:fldChar w:fldCharType="end"/>
      </w:r>
      <w:r>
        <w:t xml:space="preserve"> summarises adverse events occurring in 2 or more patients treated with carglumic acid in the retrospective study. </w:t>
      </w:r>
    </w:p>
    <w:p w14:paraId="343687D1" w14:textId="77777777" w:rsidR="003956CE" w:rsidRDefault="003956CE">
      <w:pPr>
        <w:rPr>
          <w:b/>
          <w:bCs/>
          <w:szCs w:val="18"/>
        </w:rPr>
      </w:pPr>
      <w:r>
        <w:br w:type="page"/>
      </w:r>
    </w:p>
    <w:p w14:paraId="295637CB" w14:textId="1402384C" w:rsidR="003956CE" w:rsidRDefault="003956CE" w:rsidP="003956CE">
      <w:pPr>
        <w:pStyle w:val="Caption"/>
        <w:keepNext/>
      </w:pPr>
      <w:r>
        <w:lastRenderedPageBreak/>
        <w:t xml:space="preserve">Table 5 Adverse Events reported in </w:t>
      </w:r>
      <w:r>
        <w:rPr>
          <w:rFonts w:cs="Times New Roman"/>
        </w:rPr>
        <w:t>≥</w:t>
      </w:r>
      <w:r>
        <w:t xml:space="preserve"> 2 patients treated with CARBAGLU in the Organic Acidaemia Retrospective Study</w:t>
      </w:r>
    </w:p>
    <w:tbl>
      <w:tblPr>
        <w:tblStyle w:val="TableGrid"/>
        <w:tblW w:w="0" w:type="auto"/>
        <w:tblLook w:val="04A0" w:firstRow="1" w:lastRow="0" w:firstColumn="1" w:lastColumn="0" w:noHBand="0" w:noVBand="1"/>
      </w:tblPr>
      <w:tblGrid>
        <w:gridCol w:w="6204"/>
        <w:gridCol w:w="3038"/>
      </w:tblGrid>
      <w:tr w:rsidR="003956CE" w14:paraId="4095D5DE" w14:textId="77777777" w:rsidTr="008654CB">
        <w:tc>
          <w:tcPr>
            <w:tcW w:w="6204" w:type="dxa"/>
          </w:tcPr>
          <w:p w14:paraId="6BA71FEA" w14:textId="77777777" w:rsidR="003956CE" w:rsidRPr="004A7B1E" w:rsidRDefault="003956CE" w:rsidP="008654CB">
            <w:pPr>
              <w:keepNext/>
              <w:ind w:left="567"/>
              <w:rPr>
                <w:b/>
              </w:rPr>
            </w:pPr>
            <w:r w:rsidRPr="004A7B1E">
              <w:rPr>
                <w:b/>
              </w:rPr>
              <w:t>System Order Class</w:t>
            </w:r>
          </w:p>
          <w:p w14:paraId="0580448E" w14:textId="77777777" w:rsidR="003956CE" w:rsidRPr="00F44811" w:rsidRDefault="003956CE" w:rsidP="008654CB">
            <w:pPr>
              <w:keepNext/>
              <w:ind w:left="993"/>
            </w:pPr>
            <w:r w:rsidRPr="00F44811">
              <w:t>Preferred Term</w:t>
            </w:r>
          </w:p>
        </w:tc>
        <w:tc>
          <w:tcPr>
            <w:tcW w:w="3038" w:type="dxa"/>
          </w:tcPr>
          <w:p w14:paraId="24D2A878" w14:textId="277EFA68" w:rsidR="003956CE" w:rsidRPr="00F44811" w:rsidRDefault="003956CE" w:rsidP="003956CE">
            <w:pPr>
              <w:keepNext/>
              <w:jc w:val="center"/>
            </w:pPr>
            <w:r>
              <w:t>Number of Patients (</w:t>
            </w:r>
            <w:r w:rsidRPr="00F44811">
              <w:t>%)</w:t>
            </w:r>
          </w:p>
        </w:tc>
      </w:tr>
      <w:tr w:rsidR="003956CE" w14:paraId="177AA24B" w14:textId="77777777" w:rsidTr="008654CB">
        <w:tc>
          <w:tcPr>
            <w:tcW w:w="6204" w:type="dxa"/>
          </w:tcPr>
          <w:p w14:paraId="4F3A6A0F" w14:textId="77777777" w:rsidR="003956CE" w:rsidRPr="004A7B1E" w:rsidRDefault="003956CE" w:rsidP="008654CB">
            <w:pPr>
              <w:ind w:left="567"/>
              <w:rPr>
                <w:b/>
              </w:rPr>
            </w:pPr>
            <w:r w:rsidRPr="004A7B1E">
              <w:rPr>
                <w:b/>
              </w:rPr>
              <w:t xml:space="preserve">TOTAL  </w:t>
            </w:r>
          </w:p>
        </w:tc>
        <w:tc>
          <w:tcPr>
            <w:tcW w:w="3038" w:type="dxa"/>
          </w:tcPr>
          <w:p w14:paraId="0F039513" w14:textId="77777777" w:rsidR="003956CE" w:rsidRPr="00F44811" w:rsidRDefault="003956CE" w:rsidP="008654CB">
            <w:pPr>
              <w:jc w:val="center"/>
            </w:pPr>
            <w:r w:rsidRPr="00F44811">
              <w:t>57 (100)</w:t>
            </w:r>
          </w:p>
        </w:tc>
      </w:tr>
      <w:tr w:rsidR="003956CE" w14:paraId="2DDB087D" w14:textId="77777777" w:rsidTr="008654CB">
        <w:tc>
          <w:tcPr>
            <w:tcW w:w="6204" w:type="dxa"/>
          </w:tcPr>
          <w:p w14:paraId="56B0C70D" w14:textId="77777777" w:rsidR="003956CE" w:rsidRPr="004A7B1E" w:rsidRDefault="003956CE" w:rsidP="008654CB">
            <w:pPr>
              <w:ind w:firstLine="567"/>
              <w:rPr>
                <w:b/>
              </w:rPr>
            </w:pPr>
            <w:r w:rsidRPr="004A7B1E">
              <w:rPr>
                <w:b/>
              </w:rPr>
              <w:t>Blood and lymphatic system disorders</w:t>
            </w:r>
          </w:p>
        </w:tc>
        <w:tc>
          <w:tcPr>
            <w:tcW w:w="3038" w:type="dxa"/>
          </w:tcPr>
          <w:p w14:paraId="56D11337" w14:textId="77777777" w:rsidR="003956CE" w:rsidRPr="00F44811" w:rsidRDefault="003956CE" w:rsidP="008654CB">
            <w:pPr>
              <w:jc w:val="center"/>
            </w:pPr>
          </w:p>
        </w:tc>
      </w:tr>
      <w:tr w:rsidR="003956CE" w14:paraId="5B12AFDB" w14:textId="77777777" w:rsidTr="008654CB">
        <w:tc>
          <w:tcPr>
            <w:tcW w:w="6204" w:type="dxa"/>
          </w:tcPr>
          <w:p w14:paraId="46E15F47" w14:textId="77777777" w:rsidR="003956CE" w:rsidRPr="00F44811" w:rsidRDefault="003956CE" w:rsidP="008654CB">
            <w:pPr>
              <w:ind w:left="993"/>
            </w:pPr>
            <w:r w:rsidRPr="00F44811">
              <w:t>Anaemia</w:t>
            </w:r>
          </w:p>
        </w:tc>
        <w:tc>
          <w:tcPr>
            <w:tcW w:w="3038" w:type="dxa"/>
          </w:tcPr>
          <w:p w14:paraId="4F1105A7" w14:textId="77777777" w:rsidR="003956CE" w:rsidRPr="00F44811" w:rsidRDefault="003956CE" w:rsidP="008654CB">
            <w:pPr>
              <w:jc w:val="center"/>
            </w:pPr>
            <w:r w:rsidRPr="00F44811">
              <w:t>3 (5.3 %)</w:t>
            </w:r>
          </w:p>
        </w:tc>
      </w:tr>
      <w:tr w:rsidR="003956CE" w14:paraId="55CF5EC1" w14:textId="77777777" w:rsidTr="008654CB">
        <w:tc>
          <w:tcPr>
            <w:tcW w:w="6204" w:type="dxa"/>
          </w:tcPr>
          <w:p w14:paraId="76F15CBE" w14:textId="77777777" w:rsidR="003956CE" w:rsidRPr="00F44811" w:rsidRDefault="003956CE" w:rsidP="008654CB">
            <w:pPr>
              <w:ind w:left="993"/>
            </w:pPr>
            <w:r w:rsidRPr="00F44811">
              <w:t xml:space="preserve">Thrombocytopenia </w:t>
            </w:r>
          </w:p>
        </w:tc>
        <w:tc>
          <w:tcPr>
            <w:tcW w:w="3038" w:type="dxa"/>
          </w:tcPr>
          <w:p w14:paraId="247FCC5A" w14:textId="77777777" w:rsidR="003956CE" w:rsidRPr="00F44811" w:rsidRDefault="003956CE" w:rsidP="008654CB">
            <w:pPr>
              <w:jc w:val="center"/>
            </w:pPr>
            <w:r w:rsidRPr="00F44811">
              <w:t>3 (5.3 %)</w:t>
            </w:r>
          </w:p>
        </w:tc>
      </w:tr>
      <w:tr w:rsidR="003956CE" w14:paraId="00EDCAC0" w14:textId="77777777" w:rsidTr="008654CB">
        <w:tc>
          <w:tcPr>
            <w:tcW w:w="6204" w:type="dxa"/>
          </w:tcPr>
          <w:p w14:paraId="0F72E596" w14:textId="77777777" w:rsidR="003956CE" w:rsidRPr="004A7B1E" w:rsidRDefault="003956CE" w:rsidP="008654CB">
            <w:pPr>
              <w:ind w:left="567"/>
              <w:rPr>
                <w:b/>
              </w:rPr>
            </w:pPr>
            <w:r w:rsidRPr="004A7B1E">
              <w:rPr>
                <w:b/>
              </w:rPr>
              <w:t>Gastrointestinal disorders</w:t>
            </w:r>
          </w:p>
        </w:tc>
        <w:tc>
          <w:tcPr>
            <w:tcW w:w="3038" w:type="dxa"/>
          </w:tcPr>
          <w:p w14:paraId="45DE6C4E" w14:textId="77777777" w:rsidR="003956CE" w:rsidRPr="00F44811" w:rsidRDefault="003956CE" w:rsidP="008654CB">
            <w:pPr>
              <w:jc w:val="center"/>
            </w:pPr>
          </w:p>
        </w:tc>
      </w:tr>
      <w:tr w:rsidR="003956CE" w14:paraId="59EB6A50" w14:textId="77777777" w:rsidTr="008654CB">
        <w:tc>
          <w:tcPr>
            <w:tcW w:w="6204" w:type="dxa"/>
          </w:tcPr>
          <w:p w14:paraId="3D87D622" w14:textId="77777777" w:rsidR="003956CE" w:rsidRPr="00F44811" w:rsidRDefault="003956CE" w:rsidP="008654CB">
            <w:pPr>
              <w:ind w:left="993"/>
            </w:pPr>
            <w:r w:rsidRPr="00F44811">
              <w:t>Diarrhoea</w:t>
            </w:r>
          </w:p>
        </w:tc>
        <w:tc>
          <w:tcPr>
            <w:tcW w:w="3038" w:type="dxa"/>
          </w:tcPr>
          <w:p w14:paraId="1F2E9A8A" w14:textId="77777777" w:rsidR="003956CE" w:rsidRPr="00F44811" w:rsidRDefault="003956CE" w:rsidP="008654CB">
            <w:pPr>
              <w:jc w:val="center"/>
            </w:pPr>
            <w:r w:rsidRPr="00F44811">
              <w:t>2 (3.5%)</w:t>
            </w:r>
          </w:p>
        </w:tc>
      </w:tr>
      <w:tr w:rsidR="003956CE" w14:paraId="11FEAB17" w14:textId="77777777" w:rsidTr="008654CB">
        <w:tc>
          <w:tcPr>
            <w:tcW w:w="6204" w:type="dxa"/>
          </w:tcPr>
          <w:p w14:paraId="375A5229" w14:textId="77777777" w:rsidR="003956CE" w:rsidRPr="00F44811" w:rsidRDefault="003956CE" w:rsidP="008654CB">
            <w:pPr>
              <w:ind w:left="993"/>
            </w:pPr>
            <w:r w:rsidRPr="00F44811">
              <w:t>Vomiting</w:t>
            </w:r>
          </w:p>
        </w:tc>
        <w:tc>
          <w:tcPr>
            <w:tcW w:w="3038" w:type="dxa"/>
          </w:tcPr>
          <w:p w14:paraId="1F0EB33B" w14:textId="77777777" w:rsidR="003956CE" w:rsidRPr="00F44811" w:rsidRDefault="003956CE" w:rsidP="008654CB">
            <w:pPr>
              <w:jc w:val="center"/>
            </w:pPr>
            <w:r w:rsidRPr="00F44811">
              <w:t>2 (3.5%)</w:t>
            </w:r>
          </w:p>
        </w:tc>
      </w:tr>
      <w:tr w:rsidR="003956CE" w14:paraId="1558615C" w14:textId="77777777" w:rsidTr="008654CB">
        <w:tc>
          <w:tcPr>
            <w:tcW w:w="6204" w:type="dxa"/>
          </w:tcPr>
          <w:p w14:paraId="71F63DDC" w14:textId="77777777" w:rsidR="003956CE" w:rsidRPr="004A7B1E" w:rsidRDefault="003956CE" w:rsidP="008654CB">
            <w:pPr>
              <w:ind w:left="567"/>
              <w:rPr>
                <w:b/>
              </w:rPr>
            </w:pPr>
            <w:r w:rsidRPr="004A7B1E">
              <w:rPr>
                <w:b/>
              </w:rPr>
              <w:t>General disorders and administration site conditions</w:t>
            </w:r>
          </w:p>
        </w:tc>
        <w:tc>
          <w:tcPr>
            <w:tcW w:w="3038" w:type="dxa"/>
          </w:tcPr>
          <w:p w14:paraId="0EB01D15" w14:textId="77777777" w:rsidR="003956CE" w:rsidRPr="00F44811" w:rsidRDefault="003956CE" w:rsidP="008654CB">
            <w:pPr>
              <w:jc w:val="center"/>
            </w:pPr>
          </w:p>
        </w:tc>
      </w:tr>
      <w:tr w:rsidR="003956CE" w14:paraId="4CD21C2D" w14:textId="77777777" w:rsidTr="008654CB">
        <w:tc>
          <w:tcPr>
            <w:tcW w:w="6204" w:type="dxa"/>
          </w:tcPr>
          <w:p w14:paraId="7A9BB8C5" w14:textId="77777777" w:rsidR="003956CE" w:rsidRPr="00F44811" w:rsidRDefault="003956CE" w:rsidP="008654CB">
            <w:pPr>
              <w:ind w:left="993"/>
            </w:pPr>
            <w:r w:rsidRPr="00F44811">
              <w:t xml:space="preserve">Condition aggravated </w:t>
            </w:r>
          </w:p>
        </w:tc>
        <w:tc>
          <w:tcPr>
            <w:tcW w:w="3038" w:type="dxa"/>
          </w:tcPr>
          <w:p w14:paraId="430C602B" w14:textId="77777777" w:rsidR="003956CE" w:rsidRPr="00F44811" w:rsidRDefault="003956CE" w:rsidP="008654CB">
            <w:pPr>
              <w:jc w:val="center"/>
            </w:pPr>
            <w:r w:rsidRPr="00F44811">
              <w:t>2 (3.5%)</w:t>
            </w:r>
          </w:p>
        </w:tc>
      </w:tr>
      <w:tr w:rsidR="003956CE" w14:paraId="41AE5B8A" w14:textId="77777777" w:rsidTr="008654CB">
        <w:tc>
          <w:tcPr>
            <w:tcW w:w="6204" w:type="dxa"/>
          </w:tcPr>
          <w:p w14:paraId="338FB9EC" w14:textId="77777777" w:rsidR="003956CE" w:rsidRPr="00F44811" w:rsidRDefault="003956CE" w:rsidP="008654CB">
            <w:pPr>
              <w:ind w:left="993"/>
            </w:pPr>
            <w:r w:rsidRPr="00F44811">
              <w:t>Hyperthermia</w:t>
            </w:r>
          </w:p>
        </w:tc>
        <w:tc>
          <w:tcPr>
            <w:tcW w:w="3038" w:type="dxa"/>
          </w:tcPr>
          <w:p w14:paraId="2BDC68D4" w14:textId="77777777" w:rsidR="003956CE" w:rsidRPr="00F44811" w:rsidRDefault="003956CE" w:rsidP="008654CB">
            <w:pPr>
              <w:jc w:val="center"/>
            </w:pPr>
            <w:r w:rsidRPr="00F44811">
              <w:t>2 (3.5%)</w:t>
            </w:r>
          </w:p>
        </w:tc>
      </w:tr>
      <w:tr w:rsidR="003956CE" w14:paraId="776E0742" w14:textId="77777777" w:rsidTr="008654CB">
        <w:tc>
          <w:tcPr>
            <w:tcW w:w="6204" w:type="dxa"/>
          </w:tcPr>
          <w:p w14:paraId="58FAA4C2" w14:textId="77777777" w:rsidR="003956CE" w:rsidRPr="00F44811" w:rsidRDefault="003956CE" w:rsidP="008654CB">
            <w:pPr>
              <w:ind w:left="993"/>
            </w:pPr>
            <w:r w:rsidRPr="00F44811">
              <w:t>Hypothermia</w:t>
            </w:r>
          </w:p>
        </w:tc>
        <w:tc>
          <w:tcPr>
            <w:tcW w:w="3038" w:type="dxa"/>
          </w:tcPr>
          <w:p w14:paraId="228F8856" w14:textId="77777777" w:rsidR="003956CE" w:rsidRPr="00F44811" w:rsidRDefault="003956CE" w:rsidP="008654CB">
            <w:pPr>
              <w:jc w:val="center"/>
            </w:pPr>
            <w:r w:rsidRPr="00F44811">
              <w:t>2 (3.5%)</w:t>
            </w:r>
          </w:p>
        </w:tc>
      </w:tr>
      <w:tr w:rsidR="003956CE" w14:paraId="23F6AC50" w14:textId="77777777" w:rsidTr="008654CB">
        <w:tc>
          <w:tcPr>
            <w:tcW w:w="6204" w:type="dxa"/>
          </w:tcPr>
          <w:p w14:paraId="53195BC6" w14:textId="77777777" w:rsidR="003956CE" w:rsidRPr="00F44811" w:rsidRDefault="003956CE" w:rsidP="008654CB">
            <w:pPr>
              <w:ind w:left="993"/>
            </w:pPr>
            <w:r w:rsidRPr="00F44811">
              <w:t>Pyrexia</w:t>
            </w:r>
          </w:p>
        </w:tc>
        <w:tc>
          <w:tcPr>
            <w:tcW w:w="3038" w:type="dxa"/>
          </w:tcPr>
          <w:p w14:paraId="0EE28AE2" w14:textId="77777777" w:rsidR="003956CE" w:rsidRPr="00F44811" w:rsidRDefault="003956CE" w:rsidP="008654CB">
            <w:pPr>
              <w:jc w:val="center"/>
            </w:pPr>
            <w:r w:rsidRPr="00F44811">
              <w:t>3 (5.3 %)</w:t>
            </w:r>
          </w:p>
        </w:tc>
      </w:tr>
      <w:tr w:rsidR="003956CE" w14:paraId="795BF9D2" w14:textId="77777777" w:rsidTr="008654CB">
        <w:tc>
          <w:tcPr>
            <w:tcW w:w="6204" w:type="dxa"/>
          </w:tcPr>
          <w:p w14:paraId="493D32FB" w14:textId="77777777" w:rsidR="003956CE" w:rsidRPr="00F44811" w:rsidRDefault="003956CE" w:rsidP="008654CB">
            <w:pPr>
              <w:ind w:left="993"/>
            </w:pPr>
            <w:r w:rsidRPr="00F44811">
              <w:t xml:space="preserve">Infections and infestations </w:t>
            </w:r>
          </w:p>
        </w:tc>
        <w:tc>
          <w:tcPr>
            <w:tcW w:w="3038" w:type="dxa"/>
          </w:tcPr>
          <w:p w14:paraId="4BD9B0AF" w14:textId="77777777" w:rsidR="003956CE" w:rsidRPr="00F44811" w:rsidRDefault="003956CE" w:rsidP="008654CB">
            <w:pPr>
              <w:jc w:val="center"/>
            </w:pPr>
          </w:p>
        </w:tc>
      </w:tr>
      <w:tr w:rsidR="003956CE" w14:paraId="39DFC275" w14:textId="77777777" w:rsidTr="008654CB">
        <w:tc>
          <w:tcPr>
            <w:tcW w:w="6204" w:type="dxa"/>
          </w:tcPr>
          <w:p w14:paraId="588BDBBB" w14:textId="77777777" w:rsidR="003956CE" w:rsidRPr="00AF2CCA" w:rsidRDefault="003956CE" w:rsidP="008654CB">
            <w:pPr>
              <w:ind w:left="993"/>
            </w:pPr>
            <w:r w:rsidRPr="00AF2CCA">
              <w:t xml:space="preserve">Sepsis </w:t>
            </w:r>
          </w:p>
        </w:tc>
        <w:tc>
          <w:tcPr>
            <w:tcW w:w="3038" w:type="dxa"/>
          </w:tcPr>
          <w:p w14:paraId="08798B40" w14:textId="77777777" w:rsidR="003956CE" w:rsidRPr="00F44811" w:rsidRDefault="003956CE" w:rsidP="008654CB">
            <w:pPr>
              <w:jc w:val="center"/>
            </w:pPr>
            <w:r w:rsidRPr="00F44811">
              <w:t>2 (3.5%)</w:t>
            </w:r>
          </w:p>
        </w:tc>
      </w:tr>
      <w:tr w:rsidR="003956CE" w14:paraId="09891891" w14:textId="77777777" w:rsidTr="008654CB">
        <w:tc>
          <w:tcPr>
            <w:tcW w:w="6204" w:type="dxa"/>
          </w:tcPr>
          <w:p w14:paraId="5833E2C9" w14:textId="77777777" w:rsidR="003956CE" w:rsidRPr="004A7B1E" w:rsidRDefault="003956CE" w:rsidP="008654CB">
            <w:pPr>
              <w:ind w:left="567"/>
              <w:rPr>
                <w:b/>
              </w:rPr>
            </w:pPr>
            <w:r w:rsidRPr="004A7B1E">
              <w:rPr>
                <w:b/>
              </w:rPr>
              <w:t>Investigations</w:t>
            </w:r>
          </w:p>
        </w:tc>
        <w:tc>
          <w:tcPr>
            <w:tcW w:w="3038" w:type="dxa"/>
          </w:tcPr>
          <w:p w14:paraId="59902284" w14:textId="77777777" w:rsidR="003956CE" w:rsidRPr="00F44811" w:rsidRDefault="003956CE" w:rsidP="008654CB">
            <w:pPr>
              <w:jc w:val="center"/>
            </w:pPr>
          </w:p>
        </w:tc>
      </w:tr>
      <w:tr w:rsidR="003956CE" w14:paraId="095A0C82" w14:textId="77777777" w:rsidTr="008654CB">
        <w:tc>
          <w:tcPr>
            <w:tcW w:w="6204" w:type="dxa"/>
          </w:tcPr>
          <w:p w14:paraId="6B803AC1" w14:textId="77777777" w:rsidR="003956CE" w:rsidRPr="00F44811" w:rsidRDefault="003956CE" w:rsidP="008654CB">
            <w:pPr>
              <w:ind w:left="993"/>
            </w:pPr>
            <w:r>
              <w:t xml:space="preserve">Cardiac murmur </w:t>
            </w:r>
          </w:p>
        </w:tc>
        <w:tc>
          <w:tcPr>
            <w:tcW w:w="3038" w:type="dxa"/>
          </w:tcPr>
          <w:p w14:paraId="315AF447" w14:textId="77777777" w:rsidR="003956CE" w:rsidRPr="00F44811" w:rsidRDefault="003956CE" w:rsidP="008654CB">
            <w:pPr>
              <w:jc w:val="center"/>
            </w:pPr>
            <w:r w:rsidRPr="00F44811">
              <w:t>2 (3.5%)</w:t>
            </w:r>
          </w:p>
        </w:tc>
      </w:tr>
      <w:tr w:rsidR="003956CE" w14:paraId="1DAC1A96" w14:textId="77777777" w:rsidTr="008654CB">
        <w:tc>
          <w:tcPr>
            <w:tcW w:w="6204" w:type="dxa"/>
          </w:tcPr>
          <w:p w14:paraId="5E9E79FE" w14:textId="77777777" w:rsidR="003956CE" w:rsidRPr="00F44811" w:rsidRDefault="003956CE" w:rsidP="008654CB">
            <w:pPr>
              <w:ind w:left="993"/>
            </w:pPr>
            <w:r>
              <w:t xml:space="preserve">Oxygen saturation decreased </w:t>
            </w:r>
          </w:p>
        </w:tc>
        <w:tc>
          <w:tcPr>
            <w:tcW w:w="3038" w:type="dxa"/>
          </w:tcPr>
          <w:p w14:paraId="00BAE9E8" w14:textId="77777777" w:rsidR="003956CE" w:rsidRPr="00F44811" w:rsidRDefault="003956CE" w:rsidP="008654CB">
            <w:pPr>
              <w:jc w:val="center"/>
            </w:pPr>
            <w:r w:rsidRPr="00F44811">
              <w:t>2 (3.5%)</w:t>
            </w:r>
          </w:p>
        </w:tc>
      </w:tr>
      <w:tr w:rsidR="003956CE" w14:paraId="4EFB81B2" w14:textId="77777777" w:rsidTr="008654CB">
        <w:tc>
          <w:tcPr>
            <w:tcW w:w="6204" w:type="dxa"/>
          </w:tcPr>
          <w:p w14:paraId="6E84B3E6" w14:textId="77777777" w:rsidR="003956CE" w:rsidRPr="004A7B1E" w:rsidRDefault="003956CE" w:rsidP="008654CB">
            <w:pPr>
              <w:ind w:left="567"/>
              <w:rPr>
                <w:b/>
              </w:rPr>
            </w:pPr>
            <w:r w:rsidRPr="004A7B1E">
              <w:rPr>
                <w:b/>
              </w:rPr>
              <w:t>Metabolism and nutritional disorders</w:t>
            </w:r>
          </w:p>
        </w:tc>
        <w:tc>
          <w:tcPr>
            <w:tcW w:w="3038" w:type="dxa"/>
          </w:tcPr>
          <w:p w14:paraId="73F667DD" w14:textId="77777777" w:rsidR="003956CE" w:rsidRPr="00F44811" w:rsidRDefault="003956CE" w:rsidP="008654CB">
            <w:pPr>
              <w:jc w:val="center"/>
            </w:pPr>
          </w:p>
        </w:tc>
      </w:tr>
      <w:tr w:rsidR="003956CE" w14:paraId="29CD67D9" w14:textId="77777777" w:rsidTr="008654CB">
        <w:tc>
          <w:tcPr>
            <w:tcW w:w="6204" w:type="dxa"/>
          </w:tcPr>
          <w:p w14:paraId="21AB5F9C" w14:textId="77777777" w:rsidR="003956CE" w:rsidRPr="00F44811" w:rsidRDefault="003956CE" w:rsidP="008654CB">
            <w:pPr>
              <w:ind w:left="993"/>
            </w:pPr>
            <w:r>
              <w:t xml:space="preserve">Hyperglycaemia </w:t>
            </w:r>
          </w:p>
        </w:tc>
        <w:tc>
          <w:tcPr>
            <w:tcW w:w="3038" w:type="dxa"/>
          </w:tcPr>
          <w:p w14:paraId="467FA443" w14:textId="77777777" w:rsidR="003956CE" w:rsidRPr="00F44811" w:rsidRDefault="003956CE" w:rsidP="008654CB">
            <w:pPr>
              <w:jc w:val="center"/>
            </w:pPr>
            <w:r w:rsidRPr="00F44811">
              <w:t>2 (3.5%)</w:t>
            </w:r>
          </w:p>
        </w:tc>
      </w:tr>
    </w:tbl>
    <w:p w14:paraId="16B67363" w14:textId="77777777" w:rsidR="00695FE1" w:rsidRDefault="00695FE1" w:rsidP="003956CE"/>
    <w:p w14:paraId="023DB2D5" w14:textId="29880A8D" w:rsidR="003956CE" w:rsidRPr="0074213A" w:rsidRDefault="003956CE" w:rsidP="003956CE">
      <w:r>
        <w:t xml:space="preserve">For spontaneous cases, the most common adverse events are vomiting, diarrhoea and rash. </w:t>
      </w:r>
    </w:p>
    <w:p w14:paraId="06F35960" w14:textId="77777777" w:rsidR="003E7453" w:rsidRDefault="003E7453" w:rsidP="00F07221">
      <w:pPr>
        <w:pStyle w:val="Heading2"/>
      </w:pPr>
      <w:r>
        <w:t>Dosage and administration</w:t>
      </w:r>
    </w:p>
    <w:p w14:paraId="40B87491" w14:textId="38D50BD0" w:rsidR="003E7453" w:rsidRDefault="00436DCB" w:rsidP="00491C52">
      <w:r>
        <w:t xml:space="preserve">CARBAGLU </w:t>
      </w:r>
      <w:r w:rsidR="003350B9">
        <w:t>treatment should be initiated under the supervision of a physician experienced in the treatment of metabolic disorders.</w:t>
      </w:r>
    </w:p>
    <w:p w14:paraId="38DC951F" w14:textId="6E088A27" w:rsidR="00FD6569" w:rsidRPr="00FD6569" w:rsidRDefault="00FD6569" w:rsidP="00FD6569">
      <w:pPr>
        <w:rPr>
          <w:lang w:val="x-none"/>
        </w:rPr>
      </w:pPr>
      <w:r w:rsidRPr="00FD6569">
        <w:rPr>
          <w:lang w:val="x-none"/>
        </w:rPr>
        <w:t>Any episode of acute symptomatic hyperammonaemia should be treated as a life-threatening</w:t>
      </w:r>
      <w:r>
        <w:rPr>
          <w:lang w:val="en-US"/>
        </w:rPr>
        <w:t xml:space="preserve"> </w:t>
      </w:r>
      <w:r w:rsidRPr="00FD6569">
        <w:rPr>
          <w:lang w:val="x-none"/>
        </w:rPr>
        <w:t>emergency and may be started as early as the first day of life. Treatment of</w:t>
      </w:r>
      <w:r>
        <w:rPr>
          <w:lang w:val="en-US"/>
        </w:rPr>
        <w:t xml:space="preserve"> </w:t>
      </w:r>
      <w:r w:rsidRPr="00FD6569">
        <w:rPr>
          <w:lang w:val="x-none"/>
        </w:rPr>
        <w:t xml:space="preserve">hyperammonaemia may require dialysis, preferably </w:t>
      </w:r>
      <w:proofErr w:type="spellStart"/>
      <w:r w:rsidRPr="00FD6569">
        <w:rPr>
          <w:lang w:val="x-none"/>
        </w:rPr>
        <w:t>hemodialysis</w:t>
      </w:r>
      <w:proofErr w:type="spellEnd"/>
      <w:r w:rsidRPr="00FD6569">
        <w:rPr>
          <w:lang w:val="x-none"/>
        </w:rPr>
        <w:t>, to remove a large burden</w:t>
      </w:r>
      <w:r>
        <w:rPr>
          <w:lang w:val="en-US"/>
        </w:rPr>
        <w:t xml:space="preserve"> </w:t>
      </w:r>
      <w:r w:rsidRPr="00FD6569">
        <w:rPr>
          <w:lang w:val="x-none"/>
        </w:rPr>
        <w:t>of ammonia. Uncontrolled hyperammonaemia can rapidly result in brain injury/damage or</w:t>
      </w:r>
      <w:r>
        <w:rPr>
          <w:lang w:val="en-US"/>
        </w:rPr>
        <w:t xml:space="preserve"> </w:t>
      </w:r>
      <w:r w:rsidRPr="00FD6569">
        <w:rPr>
          <w:lang w:val="x-none"/>
        </w:rPr>
        <w:t>death, and prompt use of all therapies necessary to reduce plasma ammonia levels is essential.</w:t>
      </w:r>
    </w:p>
    <w:p w14:paraId="7042D9A2" w14:textId="5E68BDF5" w:rsidR="00FD6569" w:rsidRPr="00FD6569" w:rsidRDefault="00FD6569" w:rsidP="00FD6569">
      <w:pPr>
        <w:rPr>
          <w:lang w:val="x-none"/>
        </w:rPr>
      </w:pPr>
      <w:r w:rsidRPr="00FD6569">
        <w:rPr>
          <w:lang w:val="x-none"/>
        </w:rPr>
        <w:t>Plasma levels of ammonia and amino acids should be maintained within normal limits.</w:t>
      </w:r>
      <w:r>
        <w:rPr>
          <w:lang w:val="en-US"/>
        </w:rPr>
        <w:t xml:space="preserve"> </w:t>
      </w:r>
      <w:r w:rsidRPr="00FD6569">
        <w:rPr>
          <w:lang w:val="x-none"/>
        </w:rPr>
        <w:t>Ongoing monitoring of neurological and cardiac status, laboratory tests (renal, hepatic,</w:t>
      </w:r>
      <w:r w:rsidRPr="004A7B1E">
        <w:rPr>
          <w:lang w:val="en-GB"/>
        </w:rPr>
        <w:t xml:space="preserve"> haematological</w:t>
      </w:r>
      <w:r w:rsidRPr="00FD6569">
        <w:rPr>
          <w:lang w:val="x-none"/>
        </w:rPr>
        <w:t>) and clinical responses in patients receiving carglumic acid is crucial to assess</w:t>
      </w:r>
      <w:r>
        <w:rPr>
          <w:lang w:val="en-US"/>
        </w:rPr>
        <w:t xml:space="preserve"> </w:t>
      </w:r>
      <w:r w:rsidRPr="00FD6569">
        <w:rPr>
          <w:lang w:val="x-none"/>
        </w:rPr>
        <w:t>patient response.</w:t>
      </w:r>
    </w:p>
    <w:p w14:paraId="6661F06B" w14:textId="4FDDB36C" w:rsidR="00FD6569" w:rsidRPr="00FD6569" w:rsidRDefault="00FD6569" w:rsidP="00FD6569">
      <w:pPr>
        <w:rPr>
          <w:lang w:val="x-none"/>
        </w:rPr>
      </w:pPr>
      <w:r w:rsidRPr="00FD6569">
        <w:rPr>
          <w:lang w:val="x-none"/>
        </w:rPr>
        <w:t>CARBAGLU tablets should not be swallowed whole or crushed. Disperse CARBAGLU</w:t>
      </w:r>
      <w:r>
        <w:rPr>
          <w:lang w:val="en-US"/>
        </w:rPr>
        <w:t xml:space="preserve"> </w:t>
      </w:r>
      <w:r w:rsidRPr="00FD6569">
        <w:rPr>
          <w:lang w:val="x-none"/>
        </w:rPr>
        <w:t>tablets in water immediately before use. CARBAGLU is for oral administration only.</w:t>
      </w:r>
    </w:p>
    <w:p w14:paraId="7F5CBD75" w14:textId="77777777" w:rsidR="00491C52" w:rsidRPr="00491C52" w:rsidRDefault="00491C52" w:rsidP="00491C52">
      <w:pPr>
        <w:pStyle w:val="Heading3"/>
      </w:pPr>
      <w:r w:rsidRPr="00491C52">
        <w:lastRenderedPageBreak/>
        <w:t xml:space="preserve">Adult Dosage </w:t>
      </w:r>
    </w:p>
    <w:p w14:paraId="23DD2917" w14:textId="6032FA49" w:rsidR="00491C52" w:rsidRPr="00491C52" w:rsidRDefault="00491C52" w:rsidP="00491C52">
      <w:r w:rsidRPr="00491C52">
        <w:t xml:space="preserve">The recommended initial dose for acute </w:t>
      </w:r>
      <w:r w:rsidR="00436DCB" w:rsidRPr="00491C52">
        <w:t>hyperammonaemia</w:t>
      </w:r>
      <w:r w:rsidRPr="00491C52">
        <w:t xml:space="preserve"> is 100 mg/kg/day to 250 mg/kg/day. Concomitant administration of other ammonia lowering therapies is recommended</w:t>
      </w:r>
      <w:r w:rsidR="008B4471">
        <w:t xml:space="preserve"> during acute decompensations</w:t>
      </w:r>
      <w:r w:rsidRPr="00491C52">
        <w:t xml:space="preserve">. Dosing should be titrated based on individual patient plasma ammonia levels and clinical symptoms. </w:t>
      </w:r>
    </w:p>
    <w:p w14:paraId="767E2D4C" w14:textId="77777777" w:rsidR="00491C52" w:rsidRDefault="00491C52" w:rsidP="00491C52">
      <w:r w:rsidRPr="00491C52">
        <w:t xml:space="preserve">The recommended maintenance dose should be titrated to target normal plasma ammonia level for age. </w:t>
      </w:r>
    </w:p>
    <w:p w14:paraId="67DF5607" w14:textId="4B0636AA" w:rsidR="008B4471" w:rsidRPr="00491C52" w:rsidRDefault="008B4471" w:rsidP="00491C52">
      <w:r>
        <w:t>In the long-term, the dose should be individually adjusted to maintain adequate metabolic control (normal plasma ammonia).</w:t>
      </w:r>
    </w:p>
    <w:p w14:paraId="619CA38F" w14:textId="1EB8A68D" w:rsidR="00491C52" w:rsidRPr="00491C52" w:rsidRDefault="00491C52" w:rsidP="00491C52">
      <w:r w:rsidRPr="00491C52">
        <w:t xml:space="preserve">The total daily dose should be divided into 2 to 4 doses and rounded to the nearest 100 mg. (i.e. half a </w:t>
      </w:r>
      <w:r w:rsidR="00436DCB">
        <w:t>CARBAGLU</w:t>
      </w:r>
      <w:r w:rsidR="00436DCB" w:rsidRPr="00491C52">
        <w:t xml:space="preserve"> </w:t>
      </w:r>
      <w:r w:rsidRPr="00491C52">
        <w:t xml:space="preserve">Tablet) </w:t>
      </w:r>
    </w:p>
    <w:p w14:paraId="513B94F7" w14:textId="77777777" w:rsidR="00491C52" w:rsidRPr="00491C52" w:rsidRDefault="00491C52" w:rsidP="00491C52">
      <w:pPr>
        <w:pStyle w:val="Heading3"/>
      </w:pPr>
      <w:r w:rsidRPr="00491C52">
        <w:t>P</w:t>
      </w:r>
      <w:r>
        <w:t>aediatric Dosage</w:t>
      </w:r>
    </w:p>
    <w:p w14:paraId="75CEB6C5" w14:textId="2CDA3582" w:rsidR="00491C52" w:rsidRPr="00491C52" w:rsidRDefault="00491C52" w:rsidP="00491C52">
      <w:r w:rsidRPr="00491C52">
        <w:t xml:space="preserve">The recommended initial dose for acute </w:t>
      </w:r>
      <w:r w:rsidR="00436DCB" w:rsidRPr="00491C52">
        <w:t>hyperammonaemia</w:t>
      </w:r>
      <w:r w:rsidRPr="00491C52">
        <w:t xml:space="preserve"> is 100 mg/kg/day to 250 mg/kg/day. Concomitant administration of other ammonia lowering therapies is recommended</w:t>
      </w:r>
      <w:r w:rsidR="008B4471">
        <w:t xml:space="preserve"> during acute decompensations</w:t>
      </w:r>
      <w:r w:rsidRPr="00491C52">
        <w:t xml:space="preserve">. Dosing should be titrated based on individual patient plasma ammonia levels and clinical symptoms. </w:t>
      </w:r>
    </w:p>
    <w:p w14:paraId="1646AB1D" w14:textId="77777777" w:rsidR="00491C52" w:rsidRDefault="00491C52" w:rsidP="00491C52">
      <w:r>
        <w:t>As with the use in adults, t</w:t>
      </w:r>
      <w:r w:rsidRPr="00491C52">
        <w:t xml:space="preserve">he recommended maintenance dose should be titrated to target normal plasma ammonia level for age. </w:t>
      </w:r>
    </w:p>
    <w:p w14:paraId="33F43D47" w14:textId="711B0B87" w:rsidR="008B4471" w:rsidRPr="00491C52" w:rsidRDefault="0074213A" w:rsidP="00491C52">
      <w:r>
        <w:t>In the long-term, the dose should be individually adjusted to maintain adequate metabolic control (normal plasma ammonia).</w:t>
      </w:r>
    </w:p>
    <w:p w14:paraId="301F41A4" w14:textId="77777777" w:rsidR="00491C52" w:rsidRDefault="00491C52" w:rsidP="00491C52">
      <w:r w:rsidRPr="00491C52">
        <w:t xml:space="preserve">The total daily dose should be divided into 2 to 4 doses. </w:t>
      </w:r>
    </w:p>
    <w:p w14:paraId="3A25FCB5" w14:textId="77777777" w:rsidR="002C25E3" w:rsidRDefault="002C25E3" w:rsidP="00695FE1">
      <w:pPr>
        <w:pStyle w:val="Heading4"/>
      </w:pPr>
      <w:r>
        <w:t>Carglumic acid responsiveness test</w:t>
      </w:r>
    </w:p>
    <w:p w14:paraId="5E5C7435" w14:textId="4A437E3D" w:rsidR="002C25E3" w:rsidRDefault="002C25E3" w:rsidP="002C25E3">
      <w:r>
        <w:t xml:space="preserve">It is recommended to test individual responsiveness to </w:t>
      </w:r>
      <w:r w:rsidR="00436DCB">
        <w:t xml:space="preserve">CARBAGLU </w:t>
      </w:r>
      <w:r>
        <w:t>before initiating any long term treatment. As examples</w:t>
      </w:r>
    </w:p>
    <w:p w14:paraId="1BE307E6" w14:textId="1A4EC4FA" w:rsidR="002C25E3" w:rsidRDefault="002C25E3" w:rsidP="002C25E3">
      <w:pPr>
        <w:pStyle w:val="ListParagraph"/>
        <w:numPr>
          <w:ilvl w:val="0"/>
          <w:numId w:val="5"/>
        </w:numPr>
      </w:pPr>
      <w:r>
        <w:t xml:space="preserve">In a comatose child, start with a dose of 100 to 250 mg/kg/day and measure ammonia plasma concentration at least before each administration; it should normalise within a few hours after starting </w:t>
      </w:r>
      <w:r w:rsidR="00436DCB">
        <w:t>CARBAGLU</w:t>
      </w:r>
      <w:r>
        <w:t>.</w:t>
      </w:r>
    </w:p>
    <w:p w14:paraId="6FB2B295" w14:textId="77777777" w:rsidR="002C25E3" w:rsidRPr="00491C52" w:rsidRDefault="002C25E3" w:rsidP="002C25E3">
      <w:pPr>
        <w:pStyle w:val="ListParagraph"/>
        <w:numPr>
          <w:ilvl w:val="0"/>
          <w:numId w:val="5"/>
        </w:numPr>
      </w:pPr>
      <w:r>
        <w:t>In a patient with moderate hyperammonaemia, administer a test dose of 100 to 200 mg/kg/day for 3 days with a constant protein intake and perform repeated determinations of ammonia plasma concentration (before and 1 hour after a meal); adjust the dose in order to maintain normal ammonia plasma levels.</w:t>
      </w:r>
    </w:p>
    <w:p w14:paraId="3579E887" w14:textId="77777777" w:rsidR="003350B9" w:rsidRPr="003350B9" w:rsidRDefault="003350B9" w:rsidP="00695FE1">
      <w:pPr>
        <w:pStyle w:val="Heading3"/>
        <w:pageBreakBefore/>
      </w:pPr>
      <w:r>
        <w:lastRenderedPageBreak/>
        <w:t>A</w:t>
      </w:r>
      <w:r w:rsidRPr="003350B9">
        <w:t>dministration:</w:t>
      </w:r>
    </w:p>
    <w:p w14:paraId="20DA5A30" w14:textId="77777777" w:rsidR="00491C52" w:rsidRPr="00491C52" w:rsidRDefault="00491C52" w:rsidP="00695FE1">
      <w:pPr>
        <w:pStyle w:val="Heading4"/>
      </w:pPr>
      <w:r w:rsidRPr="00491C52">
        <w:t xml:space="preserve">Oral Administration in Adults </w:t>
      </w:r>
    </w:p>
    <w:p w14:paraId="73C2A06D" w14:textId="79F3D173" w:rsidR="00491C52" w:rsidRPr="00491C52" w:rsidRDefault="00436DCB" w:rsidP="00491C52">
      <w:r>
        <w:t>CARBAGLU</w:t>
      </w:r>
      <w:r w:rsidR="00491C52" w:rsidRPr="00491C52">
        <w:t xml:space="preserve"> tablets should not be swallowed whole or crushed. Disperse </w:t>
      </w:r>
      <w:r>
        <w:t>CARBAGLU</w:t>
      </w:r>
      <w:r w:rsidR="00491C52" w:rsidRPr="00491C52">
        <w:t xml:space="preserve"> tablets in water immediately before use. </w:t>
      </w:r>
    </w:p>
    <w:p w14:paraId="0C917042" w14:textId="19B7223D" w:rsidR="00491C52" w:rsidRDefault="00491C52" w:rsidP="00491C52">
      <w:r w:rsidRPr="00491C52">
        <w:t xml:space="preserve">Each 200 mg tablet should be dispersed in </w:t>
      </w:r>
      <w:r w:rsidR="006F73CC">
        <w:t xml:space="preserve">5 – 10 </w:t>
      </w:r>
      <w:r w:rsidR="00AD26BD" w:rsidRPr="00491C52">
        <w:t>m</w:t>
      </w:r>
      <w:r w:rsidR="00AD26BD">
        <w:t>L</w:t>
      </w:r>
      <w:r w:rsidR="00AD26BD" w:rsidRPr="00491C52">
        <w:t xml:space="preserve"> </w:t>
      </w:r>
      <w:r w:rsidRPr="00491C52">
        <w:t xml:space="preserve">of water and taken immediately. </w:t>
      </w:r>
      <w:r w:rsidR="00AD26BD">
        <w:t>The suspension has a slightly acidic taste.</w:t>
      </w:r>
      <w:r w:rsidR="00AD26BD" w:rsidRPr="00491C52">
        <w:t xml:space="preserve"> </w:t>
      </w:r>
      <w:r w:rsidR="00436DCB">
        <w:t>CARBAGLU</w:t>
      </w:r>
      <w:r w:rsidRPr="00491C52">
        <w:t xml:space="preserve"> tablets do not dissolve completely in water and undissolved particles of the tablet may remain in the mixing container. To ensure complete delivery of the dose, the mixing container should be rinsed with additional volumes of water </w:t>
      </w:r>
      <w:r w:rsidR="00241A19">
        <w:t xml:space="preserve">(5 – 10mL) </w:t>
      </w:r>
      <w:r w:rsidRPr="00491C52">
        <w:t xml:space="preserve">and the contents swallowed immediately. </w:t>
      </w:r>
    </w:p>
    <w:p w14:paraId="428C54CA" w14:textId="21A94292" w:rsidR="00491C52" w:rsidRPr="00491C52" w:rsidRDefault="00491C52" w:rsidP="00491C52">
      <w:r w:rsidRPr="00491C52">
        <w:t xml:space="preserve">For patients who have a nasogastric tube in place, </w:t>
      </w:r>
      <w:r w:rsidR="00436DCB">
        <w:t>CARBAGLU</w:t>
      </w:r>
      <w:r w:rsidRPr="00491C52">
        <w:t xml:space="preserve"> should be administered as follows: </w:t>
      </w:r>
    </w:p>
    <w:p w14:paraId="1C9DA7CC" w14:textId="6FC4FA77" w:rsidR="00491C52" w:rsidRPr="00491C52" w:rsidRDefault="00491C52" w:rsidP="00491C52">
      <w:pPr>
        <w:pStyle w:val="ListParagraph"/>
        <w:numPr>
          <w:ilvl w:val="0"/>
          <w:numId w:val="15"/>
        </w:numPr>
      </w:pPr>
      <w:r w:rsidRPr="00491C52">
        <w:t xml:space="preserve">Mix each 200 mg tablet in </w:t>
      </w:r>
      <w:r w:rsidR="006F73CC">
        <w:t xml:space="preserve">5 – 10 </w:t>
      </w:r>
      <w:r w:rsidRPr="00491C52">
        <w:t>m</w:t>
      </w:r>
      <w:r w:rsidR="00AD26BD">
        <w:t>L</w:t>
      </w:r>
      <w:r w:rsidRPr="00491C52">
        <w:t xml:space="preserve"> of water. Shake gently to allow for quick dispersal. </w:t>
      </w:r>
    </w:p>
    <w:p w14:paraId="520D138E" w14:textId="77777777" w:rsidR="00AD26BD" w:rsidRDefault="00491C52" w:rsidP="00491C52">
      <w:pPr>
        <w:pStyle w:val="ListParagraph"/>
        <w:numPr>
          <w:ilvl w:val="0"/>
          <w:numId w:val="15"/>
        </w:numPr>
      </w:pPr>
      <w:r w:rsidRPr="00491C52">
        <w:t>Administer the dispersion immediately through the nasogastric tube</w:t>
      </w:r>
      <w:r w:rsidR="00AD26BD">
        <w:t xml:space="preserve">. </w:t>
      </w:r>
    </w:p>
    <w:p w14:paraId="5A6904F5" w14:textId="5AB418FC" w:rsidR="00491C52" w:rsidRPr="00491C52" w:rsidRDefault="00491C52" w:rsidP="00491C52">
      <w:pPr>
        <w:pStyle w:val="ListParagraph"/>
        <w:numPr>
          <w:ilvl w:val="0"/>
          <w:numId w:val="15"/>
        </w:numPr>
      </w:pPr>
      <w:r w:rsidRPr="00491C52">
        <w:t xml:space="preserve">Flush with additional water to clear the nasogastric tube. </w:t>
      </w:r>
    </w:p>
    <w:p w14:paraId="09F01016" w14:textId="77777777" w:rsidR="003350B9" w:rsidRDefault="003350B9" w:rsidP="003350B9">
      <w:r>
        <w:t>Based on pharmacokinetic data and clinical experience, it is recommended to divide the total daily dose into two to four doses to be given before meals or feedings. The breaking of the tablets in halves allows most of the required posology adjustments. Occasionally, the use of quarter tablets may also be useful to adjust the posology prescribed by the physician.</w:t>
      </w:r>
    </w:p>
    <w:p w14:paraId="4945DE11" w14:textId="77777777" w:rsidR="00491C52" w:rsidRPr="00491C52" w:rsidRDefault="00491C52" w:rsidP="00695FE1">
      <w:pPr>
        <w:pStyle w:val="Heading4"/>
      </w:pPr>
      <w:r w:rsidRPr="00491C52">
        <w:t>Oral Administration Using an Oral Syringe in P</w:t>
      </w:r>
      <w:r>
        <w:t>a</w:t>
      </w:r>
      <w:r w:rsidRPr="00491C52">
        <w:t xml:space="preserve">ediatrics </w:t>
      </w:r>
    </w:p>
    <w:p w14:paraId="1865123D" w14:textId="756BAEA8" w:rsidR="00491C52" w:rsidRPr="00491C52" w:rsidRDefault="00491C52" w:rsidP="00491C52">
      <w:r w:rsidRPr="00491C52">
        <w:t xml:space="preserve">For administration via oral syringe, </w:t>
      </w:r>
      <w:r w:rsidR="00436DCB">
        <w:t>CARBAGLU</w:t>
      </w:r>
      <w:r w:rsidRPr="00491C52">
        <w:t xml:space="preserve"> should be administered as follows: </w:t>
      </w:r>
    </w:p>
    <w:p w14:paraId="78795C63" w14:textId="3E1EAD4F" w:rsidR="00491C52" w:rsidRPr="00491C52" w:rsidRDefault="00491C52" w:rsidP="00491C52">
      <w:pPr>
        <w:pStyle w:val="ListParagraph"/>
        <w:numPr>
          <w:ilvl w:val="0"/>
          <w:numId w:val="16"/>
        </w:numPr>
      </w:pPr>
      <w:r w:rsidRPr="00491C52">
        <w:t>Mix each 200 mg tablet in 2.5 m</w:t>
      </w:r>
      <w:r w:rsidR="00AD26BD">
        <w:t>L</w:t>
      </w:r>
      <w:r w:rsidRPr="00491C52">
        <w:t xml:space="preserve"> of water to yield a concentration of 80 mg/mL in a mixing container. Shake gently to allow for quick dispersal. </w:t>
      </w:r>
    </w:p>
    <w:p w14:paraId="62DA44F0" w14:textId="77777777" w:rsidR="00491C52" w:rsidRPr="00491C52" w:rsidRDefault="00491C52" w:rsidP="00491C52">
      <w:pPr>
        <w:pStyle w:val="ListParagraph"/>
        <w:numPr>
          <w:ilvl w:val="0"/>
          <w:numId w:val="16"/>
        </w:numPr>
      </w:pPr>
      <w:r w:rsidRPr="00491C52">
        <w:t xml:space="preserve">Draw up the appropriate volume of dispersion in an oral syringe and administer immediately. Discard the unused portion. </w:t>
      </w:r>
    </w:p>
    <w:p w14:paraId="6A939881" w14:textId="77777777" w:rsidR="00491C52" w:rsidRPr="00491C52" w:rsidRDefault="00491C52" w:rsidP="00491C52">
      <w:pPr>
        <w:pStyle w:val="ListParagraph"/>
        <w:numPr>
          <w:ilvl w:val="0"/>
          <w:numId w:val="16"/>
        </w:numPr>
      </w:pPr>
      <w:r w:rsidRPr="00491C52">
        <w:t xml:space="preserve">Refill the oral syringe with a minimum volume of water (1-2 mL) and administer immediately. </w:t>
      </w:r>
    </w:p>
    <w:p w14:paraId="3B4E8D97" w14:textId="602E3583" w:rsidR="00491C52" w:rsidRPr="00491C52" w:rsidRDefault="00491C52" w:rsidP="00695FE1">
      <w:pPr>
        <w:pStyle w:val="Heading4"/>
      </w:pPr>
      <w:r w:rsidRPr="00491C52">
        <w:t xml:space="preserve">Nasogastric Tube Administration in Paediatrics </w:t>
      </w:r>
    </w:p>
    <w:p w14:paraId="4F9AB5F1" w14:textId="3F185825" w:rsidR="00491C52" w:rsidRPr="00491C52" w:rsidRDefault="00491C52" w:rsidP="00491C52">
      <w:r w:rsidRPr="00491C52">
        <w:t xml:space="preserve">For patients who have a nasogastric tube in place, </w:t>
      </w:r>
      <w:r w:rsidR="00436DCB">
        <w:t>CARBAGLU</w:t>
      </w:r>
      <w:r w:rsidRPr="00491C52">
        <w:t xml:space="preserve"> should be administered as follows: </w:t>
      </w:r>
    </w:p>
    <w:p w14:paraId="7D42C174" w14:textId="4BCB4D06" w:rsidR="00491C52" w:rsidRPr="00491C52" w:rsidRDefault="00491C52" w:rsidP="00491C52">
      <w:pPr>
        <w:pStyle w:val="ListParagraph"/>
        <w:numPr>
          <w:ilvl w:val="0"/>
          <w:numId w:val="17"/>
        </w:numPr>
      </w:pPr>
      <w:r w:rsidRPr="00491C52">
        <w:t>Mix each 200 mg tablet in 2.5 m</w:t>
      </w:r>
      <w:r w:rsidR="00AD26BD">
        <w:t>L</w:t>
      </w:r>
      <w:r w:rsidRPr="00491C52">
        <w:t xml:space="preserve"> of water to yield a concentration of 80 mg/mL in a mixing container. Shake gently to allow for quick dispersal. </w:t>
      </w:r>
    </w:p>
    <w:p w14:paraId="0504765B" w14:textId="77777777" w:rsidR="00491C52" w:rsidRPr="00491C52" w:rsidRDefault="00491C52" w:rsidP="00491C52">
      <w:pPr>
        <w:pStyle w:val="ListParagraph"/>
        <w:numPr>
          <w:ilvl w:val="0"/>
          <w:numId w:val="17"/>
        </w:numPr>
      </w:pPr>
      <w:r w:rsidRPr="00491C52">
        <w:t xml:space="preserve">Draw up the appropriate volume of dispersion and administer immediately through a nasogastric tube. Discard the unused portion. </w:t>
      </w:r>
    </w:p>
    <w:p w14:paraId="173D343D" w14:textId="77777777" w:rsidR="00491C52" w:rsidRPr="00491C52" w:rsidRDefault="00491C52" w:rsidP="00491C52">
      <w:pPr>
        <w:pStyle w:val="ListParagraph"/>
        <w:numPr>
          <w:ilvl w:val="0"/>
          <w:numId w:val="17"/>
        </w:numPr>
      </w:pPr>
      <w:r w:rsidRPr="00491C52">
        <w:t xml:space="preserve">Flush with additional water to clear the nasogastric tube. </w:t>
      </w:r>
    </w:p>
    <w:p w14:paraId="2209BDF6" w14:textId="77777777" w:rsidR="003E7453" w:rsidRDefault="003E7453" w:rsidP="00814AEF">
      <w:pPr>
        <w:pStyle w:val="Heading2"/>
      </w:pPr>
      <w:r>
        <w:lastRenderedPageBreak/>
        <w:t>Overdosage</w:t>
      </w:r>
    </w:p>
    <w:p w14:paraId="6AC949E0" w14:textId="77777777" w:rsidR="003E7453" w:rsidRDefault="003350B9" w:rsidP="003350B9">
      <w:r>
        <w:t>In one patient treated with carglumic acid, where the dose was increased up to 750 mg/kg/day, symptoms of intoxication occurred which can be characterised as a sympathomimetic reaction: tachycardia, profuse sweating, increased bronchial secretion, increased body temperature and restlessness. These symptoms resolved once the dose was reduced.</w:t>
      </w:r>
    </w:p>
    <w:p w14:paraId="4C8BF412" w14:textId="30252FE1" w:rsidR="006C3AF5" w:rsidRDefault="003E7453">
      <w:pPr>
        <w:rPr>
          <w:rFonts w:eastAsiaTheme="majorEastAsia" w:cstheme="majorBidi"/>
          <w:b/>
          <w:bCs/>
          <w:caps/>
          <w:szCs w:val="26"/>
        </w:rPr>
      </w:pPr>
      <w:r>
        <w:t>For information on the management of overdose, contact the Poison Information Centre on 131126 (Australia).</w:t>
      </w:r>
    </w:p>
    <w:p w14:paraId="301F2836" w14:textId="77777777" w:rsidR="003E7453" w:rsidRDefault="003E7453" w:rsidP="00814AEF">
      <w:pPr>
        <w:pStyle w:val="Heading2"/>
      </w:pPr>
      <w:r>
        <w:t>Presentation and storage conditions</w:t>
      </w:r>
    </w:p>
    <w:p w14:paraId="36567902" w14:textId="23FA59B0" w:rsidR="003E7453" w:rsidRDefault="00436DCB" w:rsidP="00F366ED">
      <w:r>
        <w:t>CARBAGLU</w:t>
      </w:r>
      <w:r w:rsidR="00FC6D2C">
        <w:t xml:space="preserve"> is a white, elongated tablet </w:t>
      </w:r>
      <w:r w:rsidR="00FC6D2C" w:rsidRPr="00290055">
        <w:t>with three score marks and engraved on one side. The tablet ca</w:t>
      </w:r>
      <w:r w:rsidR="00FC6D2C">
        <w:t xml:space="preserve">n be divided into two halves. </w:t>
      </w:r>
    </w:p>
    <w:p w14:paraId="2E6D0FF4" w14:textId="564F6B09" w:rsidR="00FC6D2C" w:rsidRDefault="00436DCB" w:rsidP="00FC6D2C">
      <w:r>
        <w:t>CARBAGLU</w:t>
      </w:r>
      <w:r w:rsidR="00FC6D2C">
        <w:t xml:space="preserve"> is supplied in 5- or 60- polypropylene tablet </w:t>
      </w:r>
      <w:r w:rsidR="0095213D">
        <w:t xml:space="preserve">tube </w:t>
      </w:r>
      <w:r w:rsidR="00FC6D2C">
        <w:t>containers closed by a polyethylene cap with a desiccant unit.</w:t>
      </w:r>
    </w:p>
    <w:p w14:paraId="2909CF65" w14:textId="77777777" w:rsidR="00FC6D2C" w:rsidRDefault="00FC6D2C" w:rsidP="00FC6D2C">
      <w:r>
        <w:t>Not all pack sizes may be marketed.</w:t>
      </w:r>
    </w:p>
    <w:p w14:paraId="786621AA" w14:textId="77777777" w:rsidR="006C3AF5" w:rsidRDefault="006C3AF5" w:rsidP="006C3AF5">
      <w:pPr>
        <w:pStyle w:val="Heading3"/>
      </w:pPr>
      <w:r>
        <w:t>Storage Conditions</w:t>
      </w:r>
    </w:p>
    <w:p w14:paraId="01267E02" w14:textId="42AC6910" w:rsidR="0038164F" w:rsidRDefault="0038164F" w:rsidP="0038164F">
      <w:r>
        <w:t xml:space="preserve">Store at 2 </w:t>
      </w:r>
      <w:r>
        <w:rPr>
          <w:rFonts w:cs="Times New Roman"/>
        </w:rPr>
        <w:t>°</w:t>
      </w:r>
      <w:r>
        <w:t xml:space="preserve">C to 8 </w:t>
      </w:r>
      <w:r>
        <w:rPr>
          <w:rFonts w:cs="Times New Roman"/>
        </w:rPr>
        <w:t>°</w:t>
      </w:r>
      <w:r>
        <w:t>C (Refrigerate. Do not freeze).</w:t>
      </w:r>
      <w:r w:rsidR="0095213D">
        <w:t xml:space="preserve"> Protect from light</w:t>
      </w:r>
      <w:r w:rsidR="00826889">
        <w:t>.</w:t>
      </w:r>
    </w:p>
    <w:p w14:paraId="3CBCC0F5" w14:textId="77777777" w:rsidR="006C3AF5" w:rsidRDefault="00F366ED" w:rsidP="006C3AF5">
      <w:r>
        <w:t>Once the tablet container has been opened, it must be used within 1 month.  Store the opened container below 3</w:t>
      </w:r>
      <w:r w:rsidR="006C3AF5">
        <w:t xml:space="preserve">0 </w:t>
      </w:r>
      <w:r w:rsidR="0038164F">
        <w:rPr>
          <w:rFonts w:cs="Times New Roman"/>
        </w:rPr>
        <w:t>°</w:t>
      </w:r>
      <w:r>
        <w:t xml:space="preserve">C (do not refrigerate). </w:t>
      </w:r>
      <w:r w:rsidR="006C3AF5">
        <w:t>Keep the container tightly closed in order to protect from moisture.</w:t>
      </w:r>
    </w:p>
    <w:p w14:paraId="3043539E" w14:textId="77777777" w:rsidR="003E7453" w:rsidRDefault="003E7453" w:rsidP="00814AEF">
      <w:pPr>
        <w:pStyle w:val="Heading2"/>
      </w:pPr>
      <w:r>
        <w:t>Name and address of the sponsor</w:t>
      </w:r>
    </w:p>
    <w:p w14:paraId="21EBA6D2" w14:textId="77777777" w:rsidR="003E7453" w:rsidRDefault="00814AEF" w:rsidP="00814AEF">
      <w:pPr>
        <w:pStyle w:val="NoSpacing"/>
      </w:pPr>
      <w:r>
        <w:t>Emerge Health</w:t>
      </w:r>
    </w:p>
    <w:p w14:paraId="686B98A2" w14:textId="77777777" w:rsidR="00814AEF" w:rsidRDefault="002C25E3" w:rsidP="00814AEF">
      <w:pPr>
        <w:pStyle w:val="NoSpacing"/>
      </w:pPr>
      <w:r>
        <w:t>Suite 3, Level 1, 2 Theatre Place</w:t>
      </w:r>
    </w:p>
    <w:p w14:paraId="02CB7099" w14:textId="77777777" w:rsidR="00814AEF" w:rsidRDefault="00814AEF" w:rsidP="00814AEF">
      <w:pPr>
        <w:pStyle w:val="NoSpacing"/>
      </w:pPr>
      <w:r>
        <w:t>C</w:t>
      </w:r>
      <w:r w:rsidR="002C25E3">
        <w:t>anterbury</w:t>
      </w:r>
      <w:r>
        <w:t xml:space="preserve"> Victoria 3</w:t>
      </w:r>
      <w:r w:rsidR="002C25E3">
        <w:t>126</w:t>
      </w:r>
    </w:p>
    <w:p w14:paraId="51AB46B8" w14:textId="77777777" w:rsidR="00814AEF" w:rsidRDefault="00814AEF" w:rsidP="00814AEF">
      <w:pPr>
        <w:pStyle w:val="NoSpacing"/>
      </w:pPr>
      <w:r>
        <w:t>Australia</w:t>
      </w:r>
    </w:p>
    <w:p w14:paraId="32C4CFF9" w14:textId="77777777" w:rsidR="00814AEF" w:rsidRDefault="00814AEF" w:rsidP="00814AEF">
      <w:pPr>
        <w:pStyle w:val="NoSpacing"/>
      </w:pPr>
      <w:proofErr w:type="spellStart"/>
      <w:r>
        <w:t>Ph</w:t>
      </w:r>
      <w:proofErr w:type="spellEnd"/>
      <w:r>
        <w:t>: +61 3 90</w:t>
      </w:r>
      <w:r w:rsidR="002C25E3">
        <w:t>77</w:t>
      </w:r>
      <w:r>
        <w:t xml:space="preserve"> </w:t>
      </w:r>
      <w:r w:rsidR="002C25E3">
        <w:t>4468</w:t>
      </w:r>
    </w:p>
    <w:p w14:paraId="436B46BE" w14:textId="77777777" w:rsidR="00814AEF" w:rsidRDefault="00814AEF" w:rsidP="00814AEF">
      <w:pPr>
        <w:pStyle w:val="NoSpacing"/>
      </w:pPr>
      <w:r>
        <w:t>www.emergehealth.com.au</w:t>
      </w:r>
    </w:p>
    <w:p w14:paraId="0585C536" w14:textId="77777777" w:rsidR="003E7453" w:rsidRDefault="003E7453" w:rsidP="00814AEF">
      <w:pPr>
        <w:pStyle w:val="Heading2"/>
      </w:pPr>
      <w:r>
        <w:t>Poison Schedule of the medicine</w:t>
      </w:r>
    </w:p>
    <w:p w14:paraId="77EB6874" w14:textId="77777777" w:rsidR="003E7453" w:rsidRDefault="00814AEF">
      <w:r>
        <w:t>Schedule 4</w:t>
      </w:r>
    </w:p>
    <w:p w14:paraId="1D13210E" w14:textId="77777777" w:rsidR="003E7453" w:rsidRDefault="003E7453" w:rsidP="00814AEF">
      <w:pPr>
        <w:pStyle w:val="Heading2"/>
      </w:pPr>
      <w:r>
        <w:t>Date of first inclusion in the Australian Register of Therapeutic Goods (the ARTG)</w:t>
      </w:r>
    </w:p>
    <w:p w14:paraId="01E7D3C2" w14:textId="0713274D" w:rsidR="003E7453" w:rsidRDefault="00B25C91">
      <w:r>
        <w:t>12 February 2015</w:t>
      </w:r>
    </w:p>
    <w:p w14:paraId="3C796012" w14:textId="77777777" w:rsidR="00340E76" w:rsidRDefault="002C25E3" w:rsidP="00340E76">
      <w:r>
        <w:t xml:space="preserve">® </w:t>
      </w:r>
      <w:proofErr w:type="spellStart"/>
      <w:r>
        <w:t>Carbaglu</w:t>
      </w:r>
      <w:proofErr w:type="spellEnd"/>
      <w:r>
        <w:t xml:space="preserve"> is a registered trademark of </w:t>
      </w:r>
      <w:proofErr w:type="spellStart"/>
      <w:r>
        <w:t>Recordati</w:t>
      </w:r>
      <w:proofErr w:type="spellEnd"/>
      <w:r>
        <w:t xml:space="preserve"> Orphan Drugs.</w:t>
      </w:r>
    </w:p>
    <w:sectPr w:rsidR="00340E76" w:rsidSect="00F176A8">
      <w:headerReference w:type="default" r:id="rId15"/>
      <w:footerReference w:type="default" r:id="rId16"/>
      <w:headerReference w:type="first" r:id="rId17"/>
      <w:footerReference w:type="first" r:id="rId18"/>
      <w:pgSz w:w="11906" w:h="16838" w:code="9"/>
      <w:pgMar w:top="1134" w:right="1440" w:bottom="1134" w:left="1440"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86F9DD5" w14:textId="77777777" w:rsidR="008654CB" w:rsidRDefault="008654CB" w:rsidP="00290055">
      <w:pPr>
        <w:spacing w:after="0" w:line="240" w:lineRule="auto"/>
      </w:pPr>
      <w:r>
        <w:separator/>
      </w:r>
    </w:p>
  </w:endnote>
  <w:endnote w:type="continuationSeparator" w:id="0">
    <w:p w14:paraId="573F21BE" w14:textId="77777777" w:rsidR="008654CB" w:rsidRDefault="008654CB" w:rsidP="002900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621"/>
      <w:gridCol w:w="4621"/>
    </w:tblGrid>
    <w:tr w:rsidR="008654CB" w14:paraId="3D567C57" w14:textId="77777777" w:rsidTr="00F500A3">
      <w:tc>
        <w:tcPr>
          <w:tcW w:w="4621" w:type="dxa"/>
        </w:tcPr>
        <w:p w14:paraId="0233A68F" w14:textId="035945AF" w:rsidR="008654CB" w:rsidRPr="00E774A4" w:rsidRDefault="008654CB" w:rsidP="00B25C91">
          <w:pPr>
            <w:pStyle w:val="Footer"/>
            <w:rPr>
              <w:sz w:val="18"/>
            </w:rPr>
          </w:pPr>
          <w:proofErr w:type="spellStart"/>
          <w:r>
            <w:rPr>
              <w:sz w:val="16"/>
            </w:rPr>
            <w:t>Carbaglu</w:t>
          </w:r>
          <w:proofErr w:type="spellEnd"/>
          <w:r>
            <w:rPr>
              <w:sz w:val="16"/>
            </w:rPr>
            <w:t xml:space="preserve"> AU PI </w:t>
          </w:r>
          <w:proofErr w:type="spellStart"/>
          <w:r w:rsidRPr="00E774A4">
            <w:rPr>
              <w:sz w:val="16"/>
            </w:rPr>
            <w:t>Ver</w:t>
          </w:r>
          <w:proofErr w:type="spellEnd"/>
          <w:r w:rsidRPr="00E774A4">
            <w:rPr>
              <w:sz w:val="16"/>
            </w:rPr>
            <w:t xml:space="preserve">: </w:t>
          </w:r>
          <w:r>
            <w:rPr>
              <w:sz w:val="16"/>
            </w:rPr>
            <w:t>1.0</w:t>
          </w:r>
        </w:p>
      </w:tc>
      <w:tc>
        <w:tcPr>
          <w:tcW w:w="4621" w:type="dxa"/>
        </w:tcPr>
        <w:p w14:paraId="12896E3B" w14:textId="77777777" w:rsidR="008654CB" w:rsidRPr="00E774A4" w:rsidRDefault="008654CB" w:rsidP="00F176A8">
          <w:pPr>
            <w:pStyle w:val="Footer"/>
            <w:jc w:val="right"/>
            <w:rPr>
              <w:sz w:val="18"/>
            </w:rPr>
          </w:pPr>
          <w:r w:rsidRPr="00E774A4">
            <w:rPr>
              <w:sz w:val="16"/>
            </w:rPr>
            <w:t xml:space="preserve">Page </w:t>
          </w:r>
          <w:r w:rsidRPr="00E774A4">
            <w:rPr>
              <w:b/>
              <w:sz w:val="16"/>
            </w:rPr>
            <w:fldChar w:fldCharType="begin"/>
          </w:r>
          <w:r w:rsidRPr="00E774A4">
            <w:rPr>
              <w:b/>
              <w:sz w:val="16"/>
            </w:rPr>
            <w:instrText xml:space="preserve"> PAGE  \* Arabic  \* MERGEFORMAT </w:instrText>
          </w:r>
          <w:r w:rsidRPr="00E774A4">
            <w:rPr>
              <w:b/>
              <w:sz w:val="16"/>
            </w:rPr>
            <w:fldChar w:fldCharType="separate"/>
          </w:r>
          <w:r w:rsidR="00855C7E">
            <w:rPr>
              <w:b/>
              <w:noProof/>
              <w:sz w:val="16"/>
            </w:rPr>
            <w:t>2</w:t>
          </w:r>
          <w:r w:rsidRPr="00E774A4">
            <w:rPr>
              <w:b/>
              <w:sz w:val="16"/>
            </w:rPr>
            <w:fldChar w:fldCharType="end"/>
          </w:r>
          <w:r w:rsidRPr="00E774A4">
            <w:rPr>
              <w:sz w:val="16"/>
            </w:rPr>
            <w:t xml:space="preserve"> of </w:t>
          </w:r>
          <w:r w:rsidRPr="00E774A4">
            <w:rPr>
              <w:b/>
              <w:sz w:val="16"/>
            </w:rPr>
            <w:fldChar w:fldCharType="begin"/>
          </w:r>
          <w:r w:rsidRPr="00E774A4">
            <w:rPr>
              <w:b/>
              <w:sz w:val="16"/>
            </w:rPr>
            <w:instrText xml:space="preserve"> NUMPAGES  \* Arabic  \* MERGEFORMAT </w:instrText>
          </w:r>
          <w:r w:rsidRPr="00E774A4">
            <w:rPr>
              <w:b/>
              <w:sz w:val="16"/>
            </w:rPr>
            <w:fldChar w:fldCharType="separate"/>
          </w:r>
          <w:r w:rsidR="00855C7E">
            <w:rPr>
              <w:b/>
              <w:noProof/>
              <w:sz w:val="16"/>
            </w:rPr>
            <w:t>14</w:t>
          </w:r>
          <w:r w:rsidRPr="00E774A4">
            <w:rPr>
              <w:b/>
              <w:sz w:val="16"/>
            </w:rPr>
            <w:fldChar w:fldCharType="end"/>
          </w:r>
        </w:p>
      </w:tc>
    </w:tr>
  </w:tbl>
  <w:p w14:paraId="32621A0D" w14:textId="77777777" w:rsidR="008654CB" w:rsidRDefault="008654C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621"/>
      <w:gridCol w:w="4621"/>
    </w:tblGrid>
    <w:tr w:rsidR="008654CB" w14:paraId="1EBBE726" w14:textId="77777777" w:rsidTr="00F500A3">
      <w:tc>
        <w:tcPr>
          <w:tcW w:w="4621" w:type="dxa"/>
        </w:tcPr>
        <w:p w14:paraId="062F14EB" w14:textId="53082107" w:rsidR="008654CB" w:rsidRPr="00E774A4" w:rsidRDefault="008654CB" w:rsidP="00B25C91">
          <w:pPr>
            <w:pStyle w:val="Footer"/>
            <w:rPr>
              <w:sz w:val="18"/>
            </w:rPr>
          </w:pPr>
          <w:proofErr w:type="spellStart"/>
          <w:r>
            <w:rPr>
              <w:sz w:val="16"/>
            </w:rPr>
            <w:t>Carbaglu</w:t>
          </w:r>
          <w:proofErr w:type="spellEnd"/>
          <w:r>
            <w:rPr>
              <w:sz w:val="16"/>
            </w:rPr>
            <w:t xml:space="preserve"> AU PI </w:t>
          </w:r>
          <w:proofErr w:type="spellStart"/>
          <w:r w:rsidRPr="00E774A4">
            <w:rPr>
              <w:sz w:val="16"/>
            </w:rPr>
            <w:t>Ver</w:t>
          </w:r>
          <w:proofErr w:type="spellEnd"/>
          <w:r w:rsidRPr="00E774A4">
            <w:rPr>
              <w:sz w:val="16"/>
            </w:rPr>
            <w:t xml:space="preserve">: </w:t>
          </w:r>
          <w:r>
            <w:rPr>
              <w:sz w:val="16"/>
            </w:rPr>
            <w:t>1.0</w:t>
          </w:r>
        </w:p>
      </w:tc>
      <w:tc>
        <w:tcPr>
          <w:tcW w:w="4621" w:type="dxa"/>
        </w:tcPr>
        <w:p w14:paraId="57421F69" w14:textId="77777777" w:rsidR="008654CB" w:rsidRPr="00E774A4" w:rsidRDefault="008654CB" w:rsidP="00F176A8">
          <w:pPr>
            <w:pStyle w:val="Footer"/>
            <w:jc w:val="right"/>
            <w:rPr>
              <w:sz w:val="18"/>
            </w:rPr>
          </w:pPr>
          <w:r w:rsidRPr="00E774A4">
            <w:rPr>
              <w:sz w:val="16"/>
            </w:rPr>
            <w:t xml:space="preserve">Page </w:t>
          </w:r>
          <w:r w:rsidRPr="00E774A4">
            <w:rPr>
              <w:b/>
              <w:sz w:val="16"/>
            </w:rPr>
            <w:fldChar w:fldCharType="begin"/>
          </w:r>
          <w:r w:rsidRPr="00E774A4">
            <w:rPr>
              <w:b/>
              <w:sz w:val="16"/>
            </w:rPr>
            <w:instrText xml:space="preserve"> PAGE  \* Arabic  \* MERGEFORMAT </w:instrText>
          </w:r>
          <w:r w:rsidRPr="00E774A4">
            <w:rPr>
              <w:b/>
              <w:sz w:val="16"/>
            </w:rPr>
            <w:fldChar w:fldCharType="separate"/>
          </w:r>
          <w:r w:rsidR="00855C7E">
            <w:rPr>
              <w:b/>
              <w:noProof/>
              <w:sz w:val="16"/>
            </w:rPr>
            <w:t>1</w:t>
          </w:r>
          <w:r w:rsidRPr="00E774A4">
            <w:rPr>
              <w:b/>
              <w:sz w:val="16"/>
            </w:rPr>
            <w:fldChar w:fldCharType="end"/>
          </w:r>
          <w:r w:rsidRPr="00E774A4">
            <w:rPr>
              <w:sz w:val="16"/>
            </w:rPr>
            <w:t xml:space="preserve"> of </w:t>
          </w:r>
          <w:r w:rsidRPr="00E774A4">
            <w:rPr>
              <w:b/>
              <w:sz w:val="16"/>
            </w:rPr>
            <w:fldChar w:fldCharType="begin"/>
          </w:r>
          <w:r w:rsidRPr="00E774A4">
            <w:rPr>
              <w:b/>
              <w:sz w:val="16"/>
            </w:rPr>
            <w:instrText xml:space="preserve"> NUMPAGES  \* Arabic  \* MERGEFORMAT </w:instrText>
          </w:r>
          <w:r w:rsidRPr="00E774A4">
            <w:rPr>
              <w:b/>
              <w:sz w:val="16"/>
            </w:rPr>
            <w:fldChar w:fldCharType="separate"/>
          </w:r>
          <w:r w:rsidR="00855C7E">
            <w:rPr>
              <w:b/>
              <w:noProof/>
              <w:sz w:val="16"/>
            </w:rPr>
            <w:t>4</w:t>
          </w:r>
          <w:r w:rsidRPr="00E774A4">
            <w:rPr>
              <w:b/>
              <w:sz w:val="16"/>
            </w:rPr>
            <w:fldChar w:fldCharType="end"/>
          </w:r>
        </w:p>
      </w:tc>
    </w:tr>
  </w:tbl>
  <w:p w14:paraId="6402CE50" w14:textId="77777777" w:rsidR="008654CB" w:rsidRDefault="008654C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53283B3" w14:textId="77777777" w:rsidR="008654CB" w:rsidRDefault="008654CB" w:rsidP="00290055">
      <w:pPr>
        <w:spacing w:after="0" w:line="240" w:lineRule="auto"/>
      </w:pPr>
      <w:r>
        <w:separator/>
      </w:r>
    </w:p>
  </w:footnote>
  <w:footnote w:type="continuationSeparator" w:id="0">
    <w:p w14:paraId="5DC0B0CB" w14:textId="77777777" w:rsidR="008654CB" w:rsidRDefault="008654CB" w:rsidP="0029005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shd w:val="clear" w:color="auto" w:fill="E4F2E0"/>
      <w:tblLook w:val="04A0" w:firstRow="1" w:lastRow="0" w:firstColumn="1" w:lastColumn="0" w:noHBand="0" w:noVBand="1"/>
    </w:tblPr>
    <w:tblGrid>
      <w:gridCol w:w="8720"/>
    </w:tblGrid>
    <w:tr w:rsidR="008654CB" w14:paraId="6B26FFA1" w14:textId="77777777" w:rsidTr="008654CB">
      <w:tc>
        <w:tcPr>
          <w:tcW w:w="8720" w:type="dxa"/>
          <w:shd w:val="clear" w:color="auto" w:fill="E4F2E0"/>
        </w:tcPr>
        <w:p w14:paraId="33875DD2" w14:textId="77777777" w:rsidR="008654CB" w:rsidRPr="00D361CA" w:rsidRDefault="008654CB" w:rsidP="008654CB">
          <w:pPr>
            <w:spacing w:before="40" w:after="40"/>
            <w:rPr>
              <w:b/>
              <w:sz w:val="20"/>
              <w:szCs w:val="20"/>
            </w:rPr>
          </w:pPr>
          <w:r w:rsidRPr="00D361CA">
            <w:rPr>
              <w:b/>
              <w:sz w:val="20"/>
              <w:szCs w:val="20"/>
            </w:rPr>
            <w:t xml:space="preserve">Attachment 1: Product information for </w:t>
          </w:r>
          <w:proofErr w:type="spellStart"/>
          <w:r w:rsidRPr="005C3041">
            <w:rPr>
              <w:b/>
              <w:sz w:val="20"/>
              <w:szCs w:val="20"/>
            </w:rPr>
            <w:t>AusPAR</w:t>
          </w:r>
          <w:proofErr w:type="spellEnd"/>
          <w:r w:rsidRPr="005C3041">
            <w:rPr>
              <w:b/>
              <w:sz w:val="20"/>
              <w:szCs w:val="20"/>
            </w:rPr>
            <w:t xml:space="preserve"> </w:t>
          </w:r>
          <w:proofErr w:type="spellStart"/>
          <w:proofErr w:type="gramStart"/>
          <w:r w:rsidRPr="005C3041">
            <w:rPr>
              <w:b/>
              <w:sz w:val="20"/>
              <w:szCs w:val="20"/>
            </w:rPr>
            <w:t>Carbaglu</w:t>
          </w:r>
          <w:proofErr w:type="spellEnd"/>
          <w:r w:rsidRPr="005C3041">
            <w:rPr>
              <w:b/>
              <w:sz w:val="20"/>
              <w:szCs w:val="20"/>
            </w:rPr>
            <w:t xml:space="preserve"> </w:t>
          </w:r>
          <w:r>
            <w:rPr>
              <w:b/>
              <w:sz w:val="20"/>
              <w:szCs w:val="20"/>
            </w:rPr>
            <w:t xml:space="preserve"> </w:t>
          </w:r>
          <w:proofErr w:type="spellStart"/>
          <w:r w:rsidRPr="005C3041">
            <w:rPr>
              <w:b/>
              <w:sz w:val="20"/>
              <w:szCs w:val="20"/>
            </w:rPr>
            <w:t>carglumic</w:t>
          </w:r>
          <w:proofErr w:type="spellEnd"/>
          <w:proofErr w:type="gramEnd"/>
          <w:r w:rsidRPr="005C3041">
            <w:rPr>
              <w:b/>
              <w:sz w:val="20"/>
              <w:szCs w:val="20"/>
            </w:rPr>
            <w:t xml:space="preserve"> acid </w:t>
          </w:r>
          <w:r>
            <w:rPr>
              <w:b/>
              <w:sz w:val="20"/>
              <w:szCs w:val="20"/>
            </w:rPr>
            <w:t xml:space="preserve"> </w:t>
          </w:r>
          <w:r w:rsidRPr="005C3041">
            <w:rPr>
              <w:b/>
              <w:sz w:val="20"/>
              <w:szCs w:val="20"/>
            </w:rPr>
            <w:t>Emerge Health Pty Ltd</w:t>
          </w:r>
          <w:r>
            <w:rPr>
              <w:b/>
              <w:sz w:val="20"/>
              <w:szCs w:val="20"/>
            </w:rPr>
            <w:t xml:space="preserve"> </w:t>
          </w:r>
          <w:r w:rsidRPr="005C3041">
            <w:rPr>
              <w:b/>
              <w:sz w:val="20"/>
              <w:szCs w:val="20"/>
            </w:rPr>
            <w:t xml:space="preserve"> PM-2013-02751-1-3  2 September 2015</w:t>
          </w:r>
          <w:r w:rsidRPr="00D361CA">
            <w:rPr>
              <w:b/>
              <w:sz w:val="20"/>
              <w:szCs w:val="20"/>
            </w:rPr>
            <w:t xml:space="preserve">. This Product Information was approved at the time this </w:t>
          </w:r>
          <w:proofErr w:type="spellStart"/>
          <w:r w:rsidRPr="00D361CA">
            <w:rPr>
              <w:b/>
              <w:sz w:val="20"/>
              <w:szCs w:val="20"/>
            </w:rPr>
            <w:t>AusPAR</w:t>
          </w:r>
          <w:proofErr w:type="spellEnd"/>
          <w:r w:rsidRPr="00D361CA">
            <w:rPr>
              <w:b/>
              <w:sz w:val="20"/>
              <w:szCs w:val="20"/>
            </w:rPr>
            <w:t xml:space="preserve"> was published.</w:t>
          </w:r>
        </w:p>
      </w:tc>
    </w:tr>
  </w:tbl>
  <w:p w14:paraId="1AD06633" w14:textId="77777777" w:rsidR="008654CB" w:rsidRPr="008654CB" w:rsidRDefault="008654CB" w:rsidP="008654CB">
    <w:pPr>
      <w:spacing w:after="0" w:line="240" w:lineRule="auto"/>
      <w:rPr>
        <w:sz w:val="8"/>
        <w:szCs w:val="8"/>
      </w:rPr>
    </w:pPr>
  </w:p>
  <w:tbl>
    <w:tblPr>
      <w:tblStyle w:val="TableGrid"/>
      <w:tblW w:w="0" w:type="auto"/>
      <w:tblBorders>
        <w:top w:val="none" w:sz="0" w:space="0" w:color="auto"/>
        <w:left w:val="none" w:sz="0" w:space="0" w:color="auto"/>
        <w:right w:val="none" w:sz="0" w:space="0" w:color="auto"/>
      </w:tblBorders>
      <w:tblLook w:val="04A0" w:firstRow="1" w:lastRow="0" w:firstColumn="1" w:lastColumn="0" w:noHBand="0" w:noVBand="1"/>
    </w:tblPr>
    <w:tblGrid>
      <w:gridCol w:w="9242"/>
    </w:tblGrid>
    <w:tr w:rsidR="008654CB" w14:paraId="3769EC25" w14:textId="77777777" w:rsidTr="00B67A77">
      <w:tc>
        <w:tcPr>
          <w:tcW w:w="9242" w:type="dxa"/>
        </w:tcPr>
        <w:p w14:paraId="69BA9EC5" w14:textId="46A304AB" w:rsidR="008654CB" w:rsidRPr="00B67A77" w:rsidRDefault="008654CB" w:rsidP="00B25C91">
          <w:pPr>
            <w:pStyle w:val="Header"/>
            <w:spacing w:after="120"/>
            <w:rPr>
              <w:rFonts w:cs="Times New Roman"/>
            </w:rPr>
          </w:pPr>
          <w:r w:rsidRPr="00B67A77">
            <w:rPr>
              <w:rFonts w:cs="Times New Roman"/>
              <w:sz w:val="24"/>
            </w:rPr>
            <w:t>C</w:t>
          </w:r>
          <w:r>
            <w:rPr>
              <w:rFonts w:cs="Times New Roman"/>
              <w:sz w:val="24"/>
            </w:rPr>
            <w:t>ARBAGLU</w:t>
          </w:r>
          <w:r w:rsidRPr="00B67A77">
            <w:rPr>
              <w:rFonts w:cs="Times New Roman"/>
              <w:sz w:val="24"/>
            </w:rPr>
            <w:t xml:space="preserve"> Product Information</w:t>
          </w:r>
        </w:p>
      </w:tc>
    </w:tr>
  </w:tbl>
  <w:p w14:paraId="75951597" w14:textId="77777777" w:rsidR="008654CB" w:rsidRPr="008654CB" w:rsidRDefault="008654CB">
    <w:pPr>
      <w:pStyle w:val="Header"/>
      <w:rPr>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shd w:val="clear" w:color="auto" w:fill="E4F2E0"/>
      <w:tblLook w:val="04A0" w:firstRow="1" w:lastRow="0" w:firstColumn="1" w:lastColumn="0" w:noHBand="0" w:noVBand="1"/>
    </w:tblPr>
    <w:tblGrid>
      <w:gridCol w:w="8720"/>
    </w:tblGrid>
    <w:tr w:rsidR="008654CB" w14:paraId="7652099D" w14:textId="77777777" w:rsidTr="008654CB">
      <w:tc>
        <w:tcPr>
          <w:tcW w:w="8720" w:type="dxa"/>
          <w:shd w:val="clear" w:color="auto" w:fill="E4F2E0"/>
        </w:tcPr>
        <w:p w14:paraId="4771DDAD" w14:textId="77777777" w:rsidR="008654CB" w:rsidRPr="00D361CA" w:rsidRDefault="008654CB" w:rsidP="008654CB">
          <w:pPr>
            <w:spacing w:before="40" w:after="40"/>
            <w:rPr>
              <w:b/>
              <w:sz w:val="20"/>
              <w:szCs w:val="20"/>
            </w:rPr>
          </w:pPr>
          <w:r w:rsidRPr="00D361CA">
            <w:rPr>
              <w:b/>
              <w:sz w:val="20"/>
              <w:szCs w:val="20"/>
            </w:rPr>
            <w:t xml:space="preserve">Attachment 1: Product information for </w:t>
          </w:r>
          <w:proofErr w:type="spellStart"/>
          <w:r w:rsidRPr="005C3041">
            <w:rPr>
              <w:b/>
              <w:sz w:val="20"/>
              <w:szCs w:val="20"/>
            </w:rPr>
            <w:t>AusPAR</w:t>
          </w:r>
          <w:proofErr w:type="spellEnd"/>
          <w:r w:rsidRPr="005C3041">
            <w:rPr>
              <w:b/>
              <w:sz w:val="20"/>
              <w:szCs w:val="20"/>
            </w:rPr>
            <w:t xml:space="preserve"> </w:t>
          </w:r>
          <w:proofErr w:type="spellStart"/>
          <w:proofErr w:type="gramStart"/>
          <w:r w:rsidRPr="005C3041">
            <w:rPr>
              <w:b/>
              <w:sz w:val="20"/>
              <w:szCs w:val="20"/>
            </w:rPr>
            <w:t>Carbaglu</w:t>
          </w:r>
          <w:proofErr w:type="spellEnd"/>
          <w:r w:rsidRPr="005C3041">
            <w:rPr>
              <w:b/>
              <w:sz w:val="20"/>
              <w:szCs w:val="20"/>
            </w:rPr>
            <w:t xml:space="preserve"> </w:t>
          </w:r>
          <w:r>
            <w:rPr>
              <w:b/>
              <w:sz w:val="20"/>
              <w:szCs w:val="20"/>
            </w:rPr>
            <w:t xml:space="preserve"> </w:t>
          </w:r>
          <w:proofErr w:type="spellStart"/>
          <w:r w:rsidRPr="005C3041">
            <w:rPr>
              <w:b/>
              <w:sz w:val="20"/>
              <w:szCs w:val="20"/>
            </w:rPr>
            <w:t>carglumic</w:t>
          </w:r>
          <w:proofErr w:type="spellEnd"/>
          <w:proofErr w:type="gramEnd"/>
          <w:r w:rsidRPr="005C3041">
            <w:rPr>
              <w:b/>
              <w:sz w:val="20"/>
              <w:szCs w:val="20"/>
            </w:rPr>
            <w:t xml:space="preserve"> acid </w:t>
          </w:r>
          <w:r>
            <w:rPr>
              <w:b/>
              <w:sz w:val="20"/>
              <w:szCs w:val="20"/>
            </w:rPr>
            <w:t xml:space="preserve"> </w:t>
          </w:r>
          <w:r w:rsidRPr="005C3041">
            <w:rPr>
              <w:b/>
              <w:sz w:val="20"/>
              <w:szCs w:val="20"/>
            </w:rPr>
            <w:t>Emerge Health Pty Ltd</w:t>
          </w:r>
          <w:r>
            <w:rPr>
              <w:b/>
              <w:sz w:val="20"/>
              <w:szCs w:val="20"/>
            </w:rPr>
            <w:t xml:space="preserve"> </w:t>
          </w:r>
          <w:r w:rsidRPr="005C3041">
            <w:rPr>
              <w:b/>
              <w:sz w:val="20"/>
              <w:szCs w:val="20"/>
            </w:rPr>
            <w:t xml:space="preserve"> PM-2013-02751-1-3  2 September 2015</w:t>
          </w:r>
          <w:r w:rsidRPr="00D361CA">
            <w:rPr>
              <w:b/>
              <w:sz w:val="20"/>
              <w:szCs w:val="20"/>
            </w:rPr>
            <w:t xml:space="preserve">. This Product Information was approved at the time this </w:t>
          </w:r>
          <w:proofErr w:type="spellStart"/>
          <w:r w:rsidRPr="00D361CA">
            <w:rPr>
              <w:b/>
              <w:sz w:val="20"/>
              <w:szCs w:val="20"/>
            </w:rPr>
            <w:t>AusPAR</w:t>
          </w:r>
          <w:proofErr w:type="spellEnd"/>
          <w:r w:rsidRPr="00D361CA">
            <w:rPr>
              <w:b/>
              <w:sz w:val="20"/>
              <w:szCs w:val="20"/>
            </w:rPr>
            <w:t xml:space="preserve"> was published.</w:t>
          </w:r>
        </w:p>
      </w:tc>
    </w:tr>
  </w:tbl>
  <w:p w14:paraId="5F6B1F08" w14:textId="77777777" w:rsidR="008654CB" w:rsidRDefault="008654C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B88E879"/>
    <w:multiLevelType w:val="hybridMultilevel"/>
    <w:tmpl w:val="6FADC150"/>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D13FF566"/>
    <w:multiLevelType w:val="hybridMultilevel"/>
    <w:tmpl w:val="293EAFC5"/>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FBD22F8B"/>
    <w:multiLevelType w:val="hybridMultilevel"/>
    <w:tmpl w:val="D0CF27E5"/>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1FF47C9"/>
    <w:multiLevelType w:val="multilevel"/>
    <w:tmpl w:val="5F525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C2C33AD"/>
    <w:multiLevelType w:val="hybridMultilevel"/>
    <w:tmpl w:val="697A02E0"/>
    <w:lvl w:ilvl="0" w:tplc="1BC6E2F0">
      <w:numFmt w:val="bullet"/>
      <w:lvlText w:val="•"/>
      <w:lvlJc w:val="left"/>
      <w:pPr>
        <w:ind w:left="720" w:hanging="360"/>
      </w:pPr>
      <w:rPr>
        <w:rFonts w:ascii="Times New Roman" w:eastAsiaTheme="minorHAnsi"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1FB0559A"/>
    <w:multiLevelType w:val="hybridMultilevel"/>
    <w:tmpl w:val="6A7CB084"/>
    <w:lvl w:ilvl="0" w:tplc="0C090001">
      <w:start w:val="1"/>
      <w:numFmt w:val="bullet"/>
      <w:lvlText w:val=""/>
      <w:lvlJc w:val="left"/>
      <w:pPr>
        <w:ind w:left="766" w:hanging="360"/>
      </w:pPr>
      <w:rPr>
        <w:rFonts w:ascii="Symbol" w:hAnsi="Symbol" w:hint="default"/>
      </w:rPr>
    </w:lvl>
    <w:lvl w:ilvl="1" w:tplc="0C090003" w:tentative="1">
      <w:start w:val="1"/>
      <w:numFmt w:val="bullet"/>
      <w:lvlText w:val="o"/>
      <w:lvlJc w:val="left"/>
      <w:pPr>
        <w:ind w:left="1486" w:hanging="360"/>
      </w:pPr>
      <w:rPr>
        <w:rFonts w:ascii="Courier New" w:hAnsi="Courier New" w:cs="Courier New" w:hint="default"/>
      </w:rPr>
    </w:lvl>
    <w:lvl w:ilvl="2" w:tplc="0C090005" w:tentative="1">
      <w:start w:val="1"/>
      <w:numFmt w:val="bullet"/>
      <w:lvlText w:val=""/>
      <w:lvlJc w:val="left"/>
      <w:pPr>
        <w:ind w:left="2206" w:hanging="360"/>
      </w:pPr>
      <w:rPr>
        <w:rFonts w:ascii="Wingdings" w:hAnsi="Wingdings" w:hint="default"/>
      </w:rPr>
    </w:lvl>
    <w:lvl w:ilvl="3" w:tplc="0C090001" w:tentative="1">
      <w:start w:val="1"/>
      <w:numFmt w:val="bullet"/>
      <w:lvlText w:val=""/>
      <w:lvlJc w:val="left"/>
      <w:pPr>
        <w:ind w:left="2926" w:hanging="360"/>
      </w:pPr>
      <w:rPr>
        <w:rFonts w:ascii="Symbol" w:hAnsi="Symbol" w:hint="default"/>
      </w:rPr>
    </w:lvl>
    <w:lvl w:ilvl="4" w:tplc="0C090003" w:tentative="1">
      <w:start w:val="1"/>
      <w:numFmt w:val="bullet"/>
      <w:lvlText w:val="o"/>
      <w:lvlJc w:val="left"/>
      <w:pPr>
        <w:ind w:left="3646" w:hanging="360"/>
      </w:pPr>
      <w:rPr>
        <w:rFonts w:ascii="Courier New" w:hAnsi="Courier New" w:cs="Courier New" w:hint="default"/>
      </w:rPr>
    </w:lvl>
    <w:lvl w:ilvl="5" w:tplc="0C090005" w:tentative="1">
      <w:start w:val="1"/>
      <w:numFmt w:val="bullet"/>
      <w:lvlText w:val=""/>
      <w:lvlJc w:val="left"/>
      <w:pPr>
        <w:ind w:left="4366" w:hanging="360"/>
      </w:pPr>
      <w:rPr>
        <w:rFonts w:ascii="Wingdings" w:hAnsi="Wingdings" w:hint="default"/>
      </w:rPr>
    </w:lvl>
    <w:lvl w:ilvl="6" w:tplc="0C090001" w:tentative="1">
      <w:start w:val="1"/>
      <w:numFmt w:val="bullet"/>
      <w:lvlText w:val=""/>
      <w:lvlJc w:val="left"/>
      <w:pPr>
        <w:ind w:left="5086" w:hanging="360"/>
      </w:pPr>
      <w:rPr>
        <w:rFonts w:ascii="Symbol" w:hAnsi="Symbol" w:hint="default"/>
      </w:rPr>
    </w:lvl>
    <w:lvl w:ilvl="7" w:tplc="0C090003" w:tentative="1">
      <w:start w:val="1"/>
      <w:numFmt w:val="bullet"/>
      <w:lvlText w:val="o"/>
      <w:lvlJc w:val="left"/>
      <w:pPr>
        <w:ind w:left="5806" w:hanging="360"/>
      </w:pPr>
      <w:rPr>
        <w:rFonts w:ascii="Courier New" w:hAnsi="Courier New" w:cs="Courier New" w:hint="default"/>
      </w:rPr>
    </w:lvl>
    <w:lvl w:ilvl="8" w:tplc="0C090005" w:tentative="1">
      <w:start w:val="1"/>
      <w:numFmt w:val="bullet"/>
      <w:lvlText w:val=""/>
      <w:lvlJc w:val="left"/>
      <w:pPr>
        <w:ind w:left="6526" w:hanging="360"/>
      </w:pPr>
      <w:rPr>
        <w:rFonts w:ascii="Wingdings" w:hAnsi="Wingdings" w:hint="default"/>
      </w:rPr>
    </w:lvl>
  </w:abstractNum>
  <w:abstractNum w:abstractNumId="6">
    <w:nsid w:val="220138F8"/>
    <w:multiLevelType w:val="hybridMultilevel"/>
    <w:tmpl w:val="8FFC50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25D105A2"/>
    <w:multiLevelType w:val="hybridMultilevel"/>
    <w:tmpl w:val="97E0E9F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2A8A36F5"/>
    <w:multiLevelType w:val="hybridMultilevel"/>
    <w:tmpl w:val="2CEE33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36121E29"/>
    <w:multiLevelType w:val="hybridMultilevel"/>
    <w:tmpl w:val="6084FD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3A574DBD"/>
    <w:multiLevelType w:val="hybridMultilevel"/>
    <w:tmpl w:val="32184112"/>
    <w:lvl w:ilvl="0" w:tplc="1BC6E2F0">
      <w:numFmt w:val="bullet"/>
      <w:lvlText w:val="•"/>
      <w:lvlJc w:val="left"/>
      <w:pPr>
        <w:ind w:left="720" w:hanging="360"/>
      </w:pPr>
      <w:rPr>
        <w:rFonts w:ascii="Times New Roman" w:eastAsiaTheme="minorHAnsi"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4ADA52BE"/>
    <w:multiLevelType w:val="hybridMultilevel"/>
    <w:tmpl w:val="228A4E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4EE73FE8"/>
    <w:multiLevelType w:val="hybridMultilevel"/>
    <w:tmpl w:val="D0C6C8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683E52CD"/>
    <w:multiLevelType w:val="hybridMultilevel"/>
    <w:tmpl w:val="8A80D0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6BCA038C"/>
    <w:multiLevelType w:val="hybridMultilevel"/>
    <w:tmpl w:val="6A7C9E4E"/>
    <w:lvl w:ilvl="0" w:tplc="1BC6E2F0">
      <w:numFmt w:val="bullet"/>
      <w:lvlText w:val="•"/>
      <w:lvlJc w:val="left"/>
      <w:pPr>
        <w:ind w:left="765" w:hanging="360"/>
      </w:pPr>
      <w:rPr>
        <w:rFonts w:ascii="Times New Roman" w:eastAsiaTheme="minorHAnsi" w:hAnsi="Times New Roman" w:cs="Times New Roman"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15">
    <w:nsid w:val="6D4A02D1"/>
    <w:multiLevelType w:val="hybridMultilevel"/>
    <w:tmpl w:val="3670F322"/>
    <w:lvl w:ilvl="0" w:tplc="1BC6E2F0">
      <w:numFmt w:val="bullet"/>
      <w:lvlText w:val="•"/>
      <w:lvlJc w:val="left"/>
      <w:pPr>
        <w:ind w:left="720" w:hanging="360"/>
      </w:pPr>
      <w:rPr>
        <w:rFonts w:ascii="Times New Roman" w:eastAsiaTheme="minorHAnsi" w:hAnsi="Times New Roman" w:cs="Times New Roman" w:hint="default"/>
      </w:rPr>
    </w:lvl>
    <w:lvl w:ilvl="1" w:tplc="FC2CDE8E">
      <w:numFmt w:val="bullet"/>
      <w:lvlText w:val="-"/>
      <w:lvlJc w:val="left"/>
      <w:pPr>
        <w:ind w:left="1440" w:hanging="360"/>
      </w:pPr>
      <w:rPr>
        <w:rFonts w:ascii="Times New Roman" w:eastAsiaTheme="minorHAnsi" w:hAnsi="Times New Roman" w:cs="Times New Roman"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6F7B13F0"/>
    <w:multiLevelType w:val="hybridMultilevel"/>
    <w:tmpl w:val="15501C26"/>
    <w:lvl w:ilvl="0" w:tplc="1BC6E2F0">
      <w:numFmt w:val="bullet"/>
      <w:lvlText w:val="•"/>
      <w:lvlJc w:val="left"/>
      <w:pPr>
        <w:ind w:left="720" w:hanging="360"/>
      </w:pPr>
      <w:rPr>
        <w:rFonts w:ascii="Times New Roman" w:eastAsiaTheme="minorHAnsi"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nsid w:val="7A415CD6"/>
    <w:multiLevelType w:val="hybridMultilevel"/>
    <w:tmpl w:val="A680009C"/>
    <w:lvl w:ilvl="0" w:tplc="7528EFCE">
      <w:numFmt w:val="bullet"/>
      <w:lvlText w:val="-"/>
      <w:lvlJc w:val="left"/>
      <w:pPr>
        <w:ind w:left="405" w:hanging="360"/>
      </w:pPr>
      <w:rPr>
        <w:rFonts w:ascii="Calibri" w:eastAsiaTheme="minorHAnsi" w:hAnsi="Calibri" w:cs="Calibri" w:hint="default"/>
      </w:rPr>
    </w:lvl>
    <w:lvl w:ilvl="1" w:tplc="0C090003" w:tentative="1">
      <w:start w:val="1"/>
      <w:numFmt w:val="bullet"/>
      <w:lvlText w:val="o"/>
      <w:lvlJc w:val="left"/>
      <w:pPr>
        <w:ind w:left="1125" w:hanging="360"/>
      </w:pPr>
      <w:rPr>
        <w:rFonts w:ascii="Courier New" w:hAnsi="Courier New" w:cs="Courier New" w:hint="default"/>
      </w:rPr>
    </w:lvl>
    <w:lvl w:ilvl="2" w:tplc="0C090005" w:tentative="1">
      <w:start w:val="1"/>
      <w:numFmt w:val="bullet"/>
      <w:lvlText w:val=""/>
      <w:lvlJc w:val="left"/>
      <w:pPr>
        <w:ind w:left="1845" w:hanging="360"/>
      </w:pPr>
      <w:rPr>
        <w:rFonts w:ascii="Wingdings" w:hAnsi="Wingdings" w:hint="default"/>
      </w:rPr>
    </w:lvl>
    <w:lvl w:ilvl="3" w:tplc="0C090001" w:tentative="1">
      <w:start w:val="1"/>
      <w:numFmt w:val="bullet"/>
      <w:lvlText w:val=""/>
      <w:lvlJc w:val="left"/>
      <w:pPr>
        <w:ind w:left="2565" w:hanging="360"/>
      </w:pPr>
      <w:rPr>
        <w:rFonts w:ascii="Symbol" w:hAnsi="Symbol" w:hint="default"/>
      </w:rPr>
    </w:lvl>
    <w:lvl w:ilvl="4" w:tplc="0C090003" w:tentative="1">
      <w:start w:val="1"/>
      <w:numFmt w:val="bullet"/>
      <w:lvlText w:val="o"/>
      <w:lvlJc w:val="left"/>
      <w:pPr>
        <w:ind w:left="3285" w:hanging="360"/>
      </w:pPr>
      <w:rPr>
        <w:rFonts w:ascii="Courier New" w:hAnsi="Courier New" w:cs="Courier New" w:hint="default"/>
      </w:rPr>
    </w:lvl>
    <w:lvl w:ilvl="5" w:tplc="0C090005" w:tentative="1">
      <w:start w:val="1"/>
      <w:numFmt w:val="bullet"/>
      <w:lvlText w:val=""/>
      <w:lvlJc w:val="left"/>
      <w:pPr>
        <w:ind w:left="4005" w:hanging="360"/>
      </w:pPr>
      <w:rPr>
        <w:rFonts w:ascii="Wingdings" w:hAnsi="Wingdings" w:hint="default"/>
      </w:rPr>
    </w:lvl>
    <w:lvl w:ilvl="6" w:tplc="0C090001" w:tentative="1">
      <w:start w:val="1"/>
      <w:numFmt w:val="bullet"/>
      <w:lvlText w:val=""/>
      <w:lvlJc w:val="left"/>
      <w:pPr>
        <w:ind w:left="4725" w:hanging="360"/>
      </w:pPr>
      <w:rPr>
        <w:rFonts w:ascii="Symbol" w:hAnsi="Symbol" w:hint="default"/>
      </w:rPr>
    </w:lvl>
    <w:lvl w:ilvl="7" w:tplc="0C090003" w:tentative="1">
      <w:start w:val="1"/>
      <w:numFmt w:val="bullet"/>
      <w:lvlText w:val="o"/>
      <w:lvlJc w:val="left"/>
      <w:pPr>
        <w:ind w:left="5445" w:hanging="360"/>
      </w:pPr>
      <w:rPr>
        <w:rFonts w:ascii="Courier New" w:hAnsi="Courier New" w:cs="Courier New" w:hint="default"/>
      </w:rPr>
    </w:lvl>
    <w:lvl w:ilvl="8" w:tplc="0C090005" w:tentative="1">
      <w:start w:val="1"/>
      <w:numFmt w:val="bullet"/>
      <w:lvlText w:val=""/>
      <w:lvlJc w:val="left"/>
      <w:pPr>
        <w:ind w:left="6165" w:hanging="360"/>
      </w:pPr>
      <w:rPr>
        <w:rFonts w:ascii="Wingdings" w:hAnsi="Wingdings" w:hint="default"/>
      </w:rPr>
    </w:lvl>
  </w:abstractNum>
  <w:num w:numId="1">
    <w:abstractNumId w:val="3"/>
  </w:num>
  <w:num w:numId="2">
    <w:abstractNumId w:val="6"/>
  </w:num>
  <w:num w:numId="3">
    <w:abstractNumId w:val="5"/>
  </w:num>
  <w:num w:numId="4">
    <w:abstractNumId w:val="17"/>
  </w:num>
  <w:num w:numId="5">
    <w:abstractNumId w:val="7"/>
  </w:num>
  <w:num w:numId="6">
    <w:abstractNumId w:val="8"/>
  </w:num>
  <w:num w:numId="7">
    <w:abstractNumId w:val="15"/>
  </w:num>
  <w:num w:numId="8">
    <w:abstractNumId w:val="4"/>
  </w:num>
  <w:num w:numId="9">
    <w:abstractNumId w:val="16"/>
  </w:num>
  <w:num w:numId="10">
    <w:abstractNumId w:val="14"/>
  </w:num>
  <w:num w:numId="11">
    <w:abstractNumId w:val="10"/>
  </w:num>
  <w:num w:numId="12">
    <w:abstractNumId w:val="0"/>
  </w:num>
  <w:num w:numId="13">
    <w:abstractNumId w:val="2"/>
  </w:num>
  <w:num w:numId="14">
    <w:abstractNumId w:val="1"/>
  </w:num>
  <w:num w:numId="15">
    <w:abstractNumId w:val="13"/>
  </w:num>
  <w:num w:numId="16">
    <w:abstractNumId w:val="11"/>
  </w:num>
  <w:num w:numId="17">
    <w:abstractNumId w:val="12"/>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2"/>
  </w:compat>
  <w:rsids>
    <w:rsidRoot w:val="003E7453"/>
    <w:rsid w:val="00020CA4"/>
    <w:rsid w:val="00031FC6"/>
    <w:rsid w:val="00050012"/>
    <w:rsid w:val="00090FE9"/>
    <w:rsid w:val="000A6737"/>
    <w:rsid w:val="000C0F55"/>
    <w:rsid w:val="000E19F3"/>
    <w:rsid w:val="000F5070"/>
    <w:rsid w:val="00111E3C"/>
    <w:rsid w:val="0012624C"/>
    <w:rsid w:val="00135ECA"/>
    <w:rsid w:val="00136BF1"/>
    <w:rsid w:val="00136F4F"/>
    <w:rsid w:val="00137E8F"/>
    <w:rsid w:val="001871DA"/>
    <w:rsid w:val="001D4F80"/>
    <w:rsid w:val="002118CD"/>
    <w:rsid w:val="002324F0"/>
    <w:rsid w:val="00241A19"/>
    <w:rsid w:val="00261B71"/>
    <w:rsid w:val="00283F72"/>
    <w:rsid w:val="00284C23"/>
    <w:rsid w:val="00290055"/>
    <w:rsid w:val="002A35C4"/>
    <w:rsid w:val="002B12CF"/>
    <w:rsid w:val="002C25E3"/>
    <w:rsid w:val="002E5392"/>
    <w:rsid w:val="00325B13"/>
    <w:rsid w:val="003327BA"/>
    <w:rsid w:val="003350B9"/>
    <w:rsid w:val="00340E76"/>
    <w:rsid w:val="0035441C"/>
    <w:rsid w:val="00371B5F"/>
    <w:rsid w:val="0038164F"/>
    <w:rsid w:val="00383D07"/>
    <w:rsid w:val="00390F08"/>
    <w:rsid w:val="00393305"/>
    <w:rsid w:val="00395544"/>
    <w:rsid w:val="003956CE"/>
    <w:rsid w:val="00396BC5"/>
    <w:rsid w:val="003E7453"/>
    <w:rsid w:val="003F0A88"/>
    <w:rsid w:val="004224A9"/>
    <w:rsid w:val="00436DCB"/>
    <w:rsid w:val="00473143"/>
    <w:rsid w:val="00491C52"/>
    <w:rsid w:val="004A447B"/>
    <w:rsid w:val="004A7B1E"/>
    <w:rsid w:val="004B3953"/>
    <w:rsid w:val="004B7137"/>
    <w:rsid w:val="004B739C"/>
    <w:rsid w:val="004D4D2A"/>
    <w:rsid w:val="004D77B7"/>
    <w:rsid w:val="004F1A18"/>
    <w:rsid w:val="004F766B"/>
    <w:rsid w:val="00513212"/>
    <w:rsid w:val="005270B9"/>
    <w:rsid w:val="00535FB7"/>
    <w:rsid w:val="00545FA9"/>
    <w:rsid w:val="005475AE"/>
    <w:rsid w:val="005E0406"/>
    <w:rsid w:val="0063507E"/>
    <w:rsid w:val="006456BF"/>
    <w:rsid w:val="006476BF"/>
    <w:rsid w:val="00662610"/>
    <w:rsid w:val="00671A6B"/>
    <w:rsid w:val="0067471E"/>
    <w:rsid w:val="00693701"/>
    <w:rsid w:val="00695FE1"/>
    <w:rsid w:val="0069630D"/>
    <w:rsid w:val="006B0D32"/>
    <w:rsid w:val="006C3AF5"/>
    <w:rsid w:val="006F73CC"/>
    <w:rsid w:val="006F75C8"/>
    <w:rsid w:val="00704D31"/>
    <w:rsid w:val="00707D7F"/>
    <w:rsid w:val="007128FD"/>
    <w:rsid w:val="00725527"/>
    <w:rsid w:val="007304A1"/>
    <w:rsid w:val="0074213A"/>
    <w:rsid w:val="007470E0"/>
    <w:rsid w:val="0075342A"/>
    <w:rsid w:val="00777308"/>
    <w:rsid w:val="00787CE6"/>
    <w:rsid w:val="007D020C"/>
    <w:rsid w:val="007D40D5"/>
    <w:rsid w:val="007E51E4"/>
    <w:rsid w:val="007F5F05"/>
    <w:rsid w:val="00802DA4"/>
    <w:rsid w:val="008035E3"/>
    <w:rsid w:val="00814AEF"/>
    <w:rsid w:val="00816787"/>
    <w:rsid w:val="0082356B"/>
    <w:rsid w:val="00826889"/>
    <w:rsid w:val="00837F7B"/>
    <w:rsid w:val="00846E70"/>
    <w:rsid w:val="00854DDD"/>
    <w:rsid w:val="00855C7E"/>
    <w:rsid w:val="008654CB"/>
    <w:rsid w:val="008708D2"/>
    <w:rsid w:val="008B4471"/>
    <w:rsid w:val="008C1FE4"/>
    <w:rsid w:val="008C5A59"/>
    <w:rsid w:val="008D1C63"/>
    <w:rsid w:val="008D49A7"/>
    <w:rsid w:val="008D577D"/>
    <w:rsid w:val="008E0742"/>
    <w:rsid w:val="008E6B97"/>
    <w:rsid w:val="00904258"/>
    <w:rsid w:val="00911184"/>
    <w:rsid w:val="00913761"/>
    <w:rsid w:val="0095213D"/>
    <w:rsid w:val="00973CF9"/>
    <w:rsid w:val="00973D32"/>
    <w:rsid w:val="009F7D5C"/>
    <w:rsid w:val="00A03E72"/>
    <w:rsid w:val="00A044EF"/>
    <w:rsid w:val="00A134E7"/>
    <w:rsid w:val="00A16911"/>
    <w:rsid w:val="00A26327"/>
    <w:rsid w:val="00A2658E"/>
    <w:rsid w:val="00A26AA3"/>
    <w:rsid w:val="00A34007"/>
    <w:rsid w:val="00A47A01"/>
    <w:rsid w:val="00A504E9"/>
    <w:rsid w:val="00A5662F"/>
    <w:rsid w:val="00A65E5F"/>
    <w:rsid w:val="00AA054C"/>
    <w:rsid w:val="00AA652A"/>
    <w:rsid w:val="00AB5188"/>
    <w:rsid w:val="00AC203B"/>
    <w:rsid w:val="00AC7AE0"/>
    <w:rsid w:val="00AD26BD"/>
    <w:rsid w:val="00AE1A77"/>
    <w:rsid w:val="00B2359A"/>
    <w:rsid w:val="00B25C91"/>
    <w:rsid w:val="00B400A1"/>
    <w:rsid w:val="00B67A77"/>
    <w:rsid w:val="00B97E03"/>
    <w:rsid w:val="00BB2A36"/>
    <w:rsid w:val="00BB54E6"/>
    <w:rsid w:val="00BD19D0"/>
    <w:rsid w:val="00BE6282"/>
    <w:rsid w:val="00BE63AD"/>
    <w:rsid w:val="00BF625E"/>
    <w:rsid w:val="00C24FB6"/>
    <w:rsid w:val="00C4426B"/>
    <w:rsid w:val="00C6584C"/>
    <w:rsid w:val="00C70A14"/>
    <w:rsid w:val="00C85F67"/>
    <w:rsid w:val="00C93B46"/>
    <w:rsid w:val="00CB6A97"/>
    <w:rsid w:val="00CC3A98"/>
    <w:rsid w:val="00CD14C0"/>
    <w:rsid w:val="00CD4DD6"/>
    <w:rsid w:val="00CF0674"/>
    <w:rsid w:val="00D04CE9"/>
    <w:rsid w:val="00D1367E"/>
    <w:rsid w:val="00D30404"/>
    <w:rsid w:val="00D30D0E"/>
    <w:rsid w:val="00D33278"/>
    <w:rsid w:val="00D6790E"/>
    <w:rsid w:val="00D74965"/>
    <w:rsid w:val="00DC1F11"/>
    <w:rsid w:val="00DE4AA1"/>
    <w:rsid w:val="00E01930"/>
    <w:rsid w:val="00E031A7"/>
    <w:rsid w:val="00E073F1"/>
    <w:rsid w:val="00E33770"/>
    <w:rsid w:val="00E44149"/>
    <w:rsid w:val="00E653CF"/>
    <w:rsid w:val="00E774A4"/>
    <w:rsid w:val="00E83757"/>
    <w:rsid w:val="00E83C15"/>
    <w:rsid w:val="00ED0E01"/>
    <w:rsid w:val="00ED61E2"/>
    <w:rsid w:val="00ED718B"/>
    <w:rsid w:val="00ED7B3E"/>
    <w:rsid w:val="00EE5F2D"/>
    <w:rsid w:val="00F07221"/>
    <w:rsid w:val="00F176A8"/>
    <w:rsid w:val="00F30603"/>
    <w:rsid w:val="00F366ED"/>
    <w:rsid w:val="00F4782B"/>
    <w:rsid w:val="00F500A3"/>
    <w:rsid w:val="00F56E65"/>
    <w:rsid w:val="00F64241"/>
    <w:rsid w:val="00F661CB"/>
    <w:rsid w:val="00F70CF9"/>
    <w:rsid w:val="00F803BA"/>
    <w:rsid w:val="00F82235"/>
    <w:rsid w:val="00F9077D"/>
    <w:rsid w:val="00FC6D2C"/>
    <w:rsid w:val="00FD656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2A9F87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76A8"/>
    <w:rPr>
      <w:rFonts w:ascii="Times New Roman" w:hAnsi="Times New Roman"/>
      <w:sz w:val="24"/>
    </w:rPr>
  </w:style>
  <w:style w:type="paragraph" w:styleId="Heading1">
    <w:name w:val="heading 1"/>
    <w:basedOn w:val="Normal"/>
    <w:next w:val="Normal"/>
    <w:link w:val="Heading1Char"/>
    <w:autoRedefine/>
    <w:uiPriority w:val="9"/>
    <w:qFormat/>
    <w:rsid w:val="00050012"/>
    <w:pPr>
      <w:keepNext/>
      <w:keepLines/>
      <w:spacing w:before="240" w:after="240"/>
      <w:outlineLvl w:val="0"/>
    </w:pPr>
    <w:rPr>
      <w:rFonts w:eastAsiaTheme="majorEastAsia" w:cstheme="majorBidi"/>
      <w:b/>
      <w:bCs/>
      <w:sz w:val="28"/>
      <w:szCs w:val="28"/>
    </w:rPr>
  </w:style>
  <w:style w:type="paragraph" w:styleId="Heading2">
    <w:name w:val="heading 2"/>
    <w:basedOn w:val="Normal"/>
    <w:next w:val="Normal"/>
    <w:link w:val="Heading2Char"/>
    <w:uiPriority w:val="9"/>
    <w:unhideWhenUsed/>
    <w:qFormat/>
    <w:rsid w:val="00787CE6"/>
    <w:pPr>
      <w:keepNext/>
      <w:keepLines/>
      <w:spacing w:before="200" w:after="120"/>
      <w:outlineLvl w:val="1"/>
    </w:pPr>
    <w:rPr>
      <w:rFonts w:eastAsiaTheme="majorEastAsia" w:cstheme="majorBidi"/>
      <w:b/>
      <w:bCs/>
      <w:caps/>
      <w:szCs w:val="26"/>
    </w:rPr>
  </w:style>
  <w:style w:type="paragraph" w:styleId="Heading3">
    <w:name w:val="heading 3"/>
    <w:basedOn w:val="Normal"/>
    <w:next w:val="Normal"/>
    <w:link w:val="Heading3Char"/>
    <w:uiPriority w:val="9"/>
    <w:unhideWhenUsed/>
    <w:qFormat/>
    <w:rsid w:val="00E774A4"/>
    <w:pPr>
      <w:keepNext/>
      <w:keepLines/>
      <w:spacing w:before="200" w:after="0"/>
      <w:outlineLvl w:val="2"/>
    </w:pPr>
    <w:rPr>
      <w:rFonts w:eastAsiaTheme="majorEastAsia" w:cstheme="majorBidi"/>
      <w:b/>
      <w:bCs/>
    </w:rPr>
  </w:style>
  <w:style w:type="paragraph" w:styleId="Heading4">
    <w:name w:val="heading 4"/>
    <w:basedOn w:val="Normal"/>
    <w:link w:val="Heading4Char"/>
    <w:autoRedefine/>
    <w:uiPriority w:val="9"/>
    <w:qFormat/>
    <w:rsid w:val="00695FE1"/>
    <w:pPr>
      <w:spacing w:before="120" w:after="120" w:line="240" w:lineRule="auto"/>
      <w:outlineLvl w:val="3"/>
    </w:pPr>
    <w:rPr>
      <w:rFonts w:eastAsia="Times New Roman" w:cs="Times New Roman"/>
      <w:b/>
      <w:bCs/>
      <w:i/>
      <w:szCs w:val="24"/>
      <w:lang w:eastAsia="en-AU"/>
    </w:rPr>
  </w:style>
  <w:style w:type="paragraph" w:styleId="Heading5">
    <w:name w:val="heading 5"/>
    <w:basedOn w:val="Normal"/>
    <w:next w:val="Normal"/>
    <w:link w:val="Heading5Char"/>
    <w:autoRedefine/>
    <w:uiPriority w:val="9"/>
    <w:unhideWhenUsed/>
    <w:qFormat/>
    <w:rsid w:val="00E774A4"/>
    <w:pPr>
      <w:keepNext/>
      <w:keepLines/>
      <w:spacing w:before="200" w:after="0"/>
      <w:outlineLvl w:val="4"/>
    </w:pPr>
    <w:rPr>
      <w:rFonts w:eastAsiaTheme="majorEastAsia" w:cstheme="majorBidi"/>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695FE1"/>
    <w:rPr>
      <w:rFonts w:ascii="Times New Roman" w:eastAsia="Times New Roman" w:hAnsi="Times New Roman" w:cs="Times New Roman"/>
      <w:b/>
      <w:bCs/>
      <w:i/>
      <w:sz w:val="24"/>
      <w:szCs w:val="24"/>
      <w:lang w:eastAsia="en-AU"/>
    </w:rPr>
  </w:style>
  <w:style w:type="character" w:customStyle="1" w:styleId="Heading5Char">
    <w:name w:val="Heading 5 Char"/>
    <w:basedOn w:val="DefaultParagraphFont"/>
    <w:link w:val="Heading5"/>
    <w:uiPriority w:val="9"/>
    <w:rsid w:val="00E774A4"/>
    <w:rPr>
      <w:rFonts w:ascii="Times New Roman" w:eastAsiaTheme="majorEastAsia" w:hAnsi="Times New Roman" w:cstheme="majorBidi"/>
      <w:i/>
    </w:rPr>
  </w:style>
  <w:style w:type="character" w:customStyle="1" w:styleId="Heading2Char">
    <w:name w:val="Heading 2 Char"/>
    <w:basedOn w:val="DefaultParagraphFont"/>
    <w:link w:val="Heading2"/>
    <w:uiPriority w:val="9"/>
    <w:rsid w:val="00787CE6"/>
    <w:rPr>
      <w:rFonts w:ascii="Times New Roman" w:eastAsiaTheme="majorEastAsia" w:hAnsi="Times New Roman" w:cstheme="majorBidi"/>
      <w:b/>
      <w:bCs/>
      <w:caps/>
      <w:sz w:val="24"/>
      <w:szCs w:val="26"/>
    </w:rPr>
  </w:style>
  <w:style w:type="paragraph" w:styleId="BalloonText">
    <w:name w:val="Balloon Text"/>
    <w:basedOn w:val="Normal"/>
    <w:link w:val="BalloonTextChar"/>
    <w:uiPriority w:val="99"/>
    <w:semiHidden/>
    <w:unhideWhenUsed/>
    <w:rsid w:val="0029005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90055"/>
    <w:rPr>
      <w:rFonts w:ascii="Tahoma" w:hAnsi="Tahoma" w:cs="Tahoma"/>
      <w:sz w:val="16"/>
      <w:szCs w:val="16"/>
    </w:rPr>
  </w:style>
  <w:style w:type="paragraph" w:styleId="Header">
    <w:name w:val="header"/>
    <w:basedOn w:val="Normal"/>
    <w:link w:val="HeaderChar"/>
    <w:uiPriority w:val="99"/>
    <w:unhideWhenUsed/>
    <w:rsid w:val="00290055"/>
    <w:pPr>
      <w:tabs>
        <w:tab w:val="center" w:pos="4513"/>
        <w:tab w:val="right" w:pos="9026"/>
      </w:tabs>
      <w:spacing w:after="0" w:line="240" w:lineRule="auto"/>
    </w:pPr>
  </w:style>
  <w:style w:type="character" w:customStyle="1" w:styleId="HeaderChar">
    <w:name w:val="Header Char"/>
    <w:basedOn w:val="DefaultParagraphFont"/>
    <w:link w:val="Header"/>
    <w:uiPriority w:val="99"/>
    <w:rsid w:val="00290055"/>
  </w:style>
  <w:style w:type="paragraph" w:styleId="Footer">
    <w:name w:val="footer"/>
    <w:basedOn w:val="Normal"/>
    <w:link w:val="FooterChar"/>
    <w:uiPriority w:val="99"/>
    <w:unhideWhenUsed/>
    <w:rsid w:val="00290055"/>
    <w:pPr>
      <w:tabs>
        <w:tab w:val="center" w:pos="4513"/>
        <w:tab w:val="right" w:pos="9026"/>
      </w:tabs>
      <w:spacing w:after="0" w:line="240" w:lineRule="auto"/>
    </w:pPr>
  </w:style>
  <w:style w:type="character" w:customStyle="1" w:styleId="FooterChar">
    <w:name w:val="Footer Char"/>
    <w:basedOn w:val="DefaultParagraphFont"/>
    <w:link w:val="Footer"/>
    <w:uiPriority w:val="99"/>
    <w:rsid w:val="00290055"/>
  </w:style>
  <w:style w:type="table" w:styleId="TableGrid">
    <w:name w:val="Table Grid"/>
    <w:basedOn w:val="TableNormal"/>
    <w:uiPriority w:val="59"/>
    <w:rsid w:val="002900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5441C"/>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A34007"/>
    <w:pPr>
      <w:ind w:left="720"/>
      <w:contextualSpacing/>
    </w:pPr>
  </w:style>
  <w:style w:type="character" w:customStyle="1" w:styleId="Heading1Char">
    <w:name w:val="Heading 1 Char"/>
    <w:basedOn w:val="DefaultParagraphFont"/>
    <w:link w:val="Heading1"/>
    <w:uiPriority w:val="9"/>
    <w:rsid w:val="00050012"/>
    <w:rPr>
      <w:rFonts w:ascii="Times New Roman" w:eastAsiaTheme="majorEastAsia" w:hAnsi="Times New Roman" w:cstheme="majorBidi"/>
      <w:b/>
      <w:bCs/>
      <w:sz w:val="28"/>
      <w:szCs w:val="28"/>
    </w:rPr>
  </w:style>
  <w:style w:type="character" w:customStyle="1" w:styleId="Heading3Char">
    <w:name w:val="Heading 3 Char"/>
    <w:basedOn w:val="DefaultParagraphFont"/>
    <w:link w:val="Heading3"/>
    <w:uiPriority w:val="9"/>
    <w:rsid w:val="00E774A4"/>
    <w:rPr>
      <w:rFonts w:ascii="Times New Roman" w:eastAsiaTheme="majorEastAsia" w:hAnsi="Times New Roman" w:cstheme="majorBidi"/>
      <w:b/>
      <w:bCs/>
    </w:rPr>
  </w:style>
  <w:style w:type="paragraph" w:styleId="NoSpacing">
    <w:name w:val="No Spacing"/>
    <w:uiPriority w:val="1"/>
    <w:qFormat/>
    <w:rsid w:val="00787CE6"/>
    <w:pPr>
      <w:spacing w:after="0" w:line="240" w:lineRule="auto"/>
    </w:pPr>
    <w:rPr>
      <w:rFonts w:ascii="Times New Roman" w:hAnsi="Times New Roman"/>
    </w:rPr>
  </w:style>
  <w:style w:type="paragraph" w:styleId="Caption">
    <w:name w:val="caption"/>
    <w:basedOn w:val="Normal"/>
    <w:next w:val="Normal"/>
    <w:uiPriority w:val="35"/>
    <w:unhideWhenUsed/>
    <w:qFormat/>
    <w:rsid w:val="00854DDD"/>
    <w:pPr>
      <w:spacing w:line="240" w:lineRule="auto"/>
    </w:pPr>
    <w:rPr>
      <w:b/>
      <w:bCs/>
      <w:szCs w:val="18"/>
    </w:rPr>
  </w:style>
  <w:style w:type="paragraph" w:customStyle="1" w:styleId="CM22">
    <w:name w:val="CM22"/>
    <w:basedOn w:val="Default"/>
    <w:next w:val="Default"/>
    <w:uiPriority w:val="99"/>
    <w:rsid w:val="00491C52"/>
    <w:rPr>
      <w:color w:val="auto"/>
    </w:rPr>
  </w:style>
  <w:style w:type="paragraph" w:styleId="Revision">
    <w:name w:val="Revision"/>
    <w:hidden/>
    <w:uiPriority w:val="99"/>
    <w:semiHidden/>
    <w:rsid w:val="007F5F05"/>
    <w:pPr>
      <w:spacing w:after="0" w:line="240" w:lineRule="auto"/>
    </w:pPr>
    <w:rPr>
      <w:rFonts w:ascii="Times New Roman" w:hAnsi="Times New Roman"/>
    </w:rPr>
  </w:style>
  <w:style w:type="paragraph" w:customStyle="1" w:styleId="tablefootnote">
    <w:name w:val="table footnote"/>
    <w:rsid w:val="002B12CF"/>
    <w:pPr>
      <w:tabs>
        <w:tab w:val="left" w:pos="288"/>
      </w:tabs>
      <w:spacing w:after="0" w:line="240" w:lineRule="auto"/>
    </w:pPr>
    <w:rPr>
      <w:rFonts w:ascii="Times New Roman" w:eastAsia="Times New Roman" w:hAnsi="Times New Roman" w:cs="Times New Roman"/>
      <w:sz w:val="20"/>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4061793">
      <w:bodyDiv w:val="1"/>
      <w:marLeft w:val="0"/>
      <w:marRight w:val="0"/>
      <w:marTop w:val="0"/>
      <w:marBottom w:val="0"/>
      <w:divBdr>
        <w:top w:val="none" w:sz="0" w:space="0" w:color="auto"/>
        <w:left w:val="none" w:sz="0" w:space="0" w:color="auto"/>
        <w:bottom w:val="none" w:sz="0" w:space="0" w:color="auto"/>
        <w:right w:val="none" w:sz="0" w:space="0" w:color="auto"/>
      </w:divBdr>
    </w:div>
    <w:div w:id="418522999">
      <w:bodyDiv w:val="1"/>
      <w:marLeft w:val="0"/>
      <w:marRight w:val="0"/>
      <w:marTop w:val="0"/>
      <w:marBottom w:val="0"/>
      <w:divBdr>
        <w:top w:val="none" w:sz="0" w:space="0" w:color="auto"/>
        <w:left w:val="none" w:sz="0" w:space="0" w:color="auto"/>
        <w:bottom w:val="none" w:sz="0" w:space="0" w:color="auto"/>
        <w:right w:val="none" w:sz="0" w:space="0" w:color="auto"/>
      </w:divBdr>
    </w:div>
    <w:div w:id="526530366">
      <w:bodyDiv w:val="1"/>
      <w:marLeft w:val="0"/>
      <w:marRight w:val="0"/>
      <w:marTop w:val="0"/>
      <w:marBottom w:val="0"/>
      <w:divBdr>
        <w:top w:val="none" w:sz="0" w:space="0" w:color="auto"/>
        <w:left w:val="none" w:sz="0" w:space="0" w:color="auto"/>
        <w:bottom w:val="none" w:sz="0" w:space="0" w:color="auto"/>
        <w:right w:val="none" w:sz="0" w:space="0" w:color="auto"/>
      </w:divBdr>
    </w:div>
    <w:div w:id="764155385">
      <w:bodyDiv w:val="1"/>
      <w:marLeft w:val="0"/>
      <w:marRight w:val="0"/>
      <w:marTop w:val="0"/>
      <w:marBottom w:val="0"/>
      <w:divBdr>
        <w:top w:val="none" w:sz="0" w:space="0" w:color="auto"/>
        <w:left w:val="none" w:sz="0" w:space="0" w:color="auto"/>
        <w:bottom w:val="none" w:sz="0" w:space="0" w:color="auto"/>
        <w:right w:val="none" w:sz="0" w:space="0" w:color="auto"/>
      </w:divBdr>
    </w:div>
    <w:div w:id="779762009">
      <w:bodyDiv w:val="1"/>
      <w:marLeft w:val="0"/>
      <w:marRight w:val="0"/>
      <w:marTop w:val="0"/>
      <w:marBottom w:val="0"/>
      <w:divBdr>
        <w:top w:val="none" w:sz="0" w:space="0" w:color="auto"/>
        <w:left w:val="none" w:sz="0" w:space="0" w:color="auto"/>
        <w:bottom w:val="none" w:sz="0" w:space="0" w:color="auto"/>
        <w:right w:val="none" w:sz="0" w:space="0" w:color="auto"/>
      </w:divBdr>
    </w:div>
    <w:div w:id="1119297427">
      <w:bodyDiv w:val="1"/>
      <w:marLeft w:val="0"/>
      <w:marRight w:val="0"/>
      <w:marTop w:val="0"/>
      <w:marBottom w:val="0"/>
      <w:divBdr>
        <w:top w:val="none" w:sz="0" w:space="0" w:color="auto"/>
        <w:left w:val="none" w:sz="0" w:space="0" w:color="auto"/>
        <w:bottom w:val="none" w:sz="0" w:space="0" w:color="auto"/>
        <w:right w:val="none" w:sz="0" w:space="0" w:color="auto"/>
      </w:divBdr>
    </w:div>
    <w:div w:id="1208639443">
      <w:bodyDiv w:val="1"/>
      <w:marLeft w:val="0"/>
      <w:marRight w:val="0"/>
      <w:marTop w:val="0"/>
      <w:marBottom w:val="0"/>
      <w:divBdr>
        <w:top w:val="none" w:sz="0" w:space="0" w:color="auto"/>
        <w:left w:val="none" w:sz="0" w:space="0" w:color="auto"/>
        <w:bottom w:val="none" w:sz="0" w:space="0" w:color="auto"/>
        <w:right w:val="none" w:sz="0" w:space="0" w:color="auto"/>
      </w:divBdr>
    </w:div>
    <w:div w:id="1227492126">
      <w:bodyDiv w:val="1"/>
      <w:marLeft w:val="0"/>
      <w:marRight w:val="0"/>
      <w:marTop w:val="0"/>
      <w:marBottom w:val="0"/>
      <w:divBdr>
        <w:top w:val="none" w:sz="0" w:space="0" w:color="auto"/>
        <w:left w:val="none" w:sz="0" w:space="0" w:color="auto"/>
        <w:bottom w:val="none" w:sz="0" w:space="0" w:color="auto"/>
        <w:right w:val="none" w:sz="0" w:space="0" w:color="auto"/>
      </w:divBdr>
    </w:div>
    <w:div w:id="1282690737">
      <w:bodyDiv w:val="1"/>
      <w:marLeft w:val="0"/>
      <w:marRight w:val="0"/>
      <w:marTop w:val="0"/>
      <w:marBottom w:val="0"/>
      <w:divBdr>
        <w:top w:val="none" w:sz="0" w:space="0" w:color="auto"/>
        <w:left w:val="none" w:sz="0" w:space="0" w:color="auto"/>
        <w:bottom w:val="none" w:sz="0" w:space="0" w:color="auto"/>
        <w:right w:val="none" w:sz="0" w:space="0" w:color="auto"/>
      </w:divBdr>
    </w:div>
    <w:div w:id="1466118055">
      <w:bodyDiv w:val="1"/>
      <w:marLeft w:val="0"/>
      <w:marRight w:val="0"/>
      <w:marTop w:val="0"/>
      <w:marBottom w:val="0"/>
      <w:divBdr>
        <w:top w:val="none" w:sz="0" w:space="0" w:color="auto"/>
        <w:left w:val="none" w:sz="0" w:space="0" w:color="auto"/>
        <w:bottom w:val="none" w:sz="0" w:space="0" w:color="auto"/>
        <w:right w:val="none" w:sz="0" w:space="0" w:color="auto"/>
      </w:divBdr>
    </w:div>
    <w:div w:id="1659458521">
      <w:bodyDiv w:val="1"/>
      <w:marLeft w:val="0"/>
      <w:marRight w:val="0"/>
      <w:marTop w:val="0"/>
      <w:marBottom w:val="0"/>
      <w:divBdr>
        <w:top w:val="none" w:sz="0" w:space="0" w:color="auto"/>
        <w:left w:val="none" w:sz="0" w:space="0" w:color="auto"/>
        <w:bottom w:val="none" w:sz="0" w:space="0" w:color="auto"/>
        <w:right w:val="none" w:sz="0" w:space="0" w:color="auto"/>
      </w:divBdr>
    </w:div>
    <w:div w:id="1669095017">
      <w:bodyDiv w:val="1"/>
      <w:marLeft w:val="0"/>
      <w:marRight w:val="0"/>
      <w:marTop w:val="0"/>
      <w:marBottom w:val="0"/>
      <w:divBdr>
        <w:top w:val="none" w:sz="0" w:space="0" w:color="auto"/>
        <w:left w:val="none" w:sz="0" w:space="0" w:color="auto"/>
        <w:bottom w:val="none" w:sz="0" w:space="0" w:color="auto"/>
        <w:right w:val="none" w:sz="0" w:space="0" w:color="auto"/>
      </w:divBdr>
    </w:div>
    <w:div w:id="1727484780">
      <w:bodyDiv w:val="1"/>
      <w:marLeft w:val="0"/>
      <w:marRight w:val="0"/>
      <w:marTop w:val="0"/>
      <w:marBottom w:val="0"/>
      <w:divBdr>
        <w:top w:val="none" w:sz="0" w:space="0" w:color="auto"/>
        <w:left w:val="none" w:sz="0" w:space="0" w:color="auto"/>
        <w:bottom w:val="none" w:sz="0" w:space="0" w:color="auto"/>
        <w:right w:val="none" w:sz="0" w:space="0" w:color="auto"/>
      </w:divBdr>
    </w:div>
    <w:div w:id="1793749360">
      <w:bodyDiv w:val="1"/>
      <w:marLeft w:val="0"/>
      <w:marRight w:val="0"/>
      <w:marTop w:val="0"/>
      <w:marBottom w:val="0"/>
      <w:divBdr>
        <w:top w:val="none" w:sz="0" w:space="0" w:color="auto"/>
        <w:left w:val="none" w:sz="0" w:space="0" w:color="auto"/>
        <w:bottom w:val="none" w:sz="0" w:space="0" w:color="auto"/>
        <w:right w:val="none" w:sz="0" w:space="0" w:color="auto"/>
      </w:divBdr>
    </w:div>
    <w:div w:id="1855420148">
      <w:bodyDiv w:val="1"/>
      <w:marLeft w:val="0"/>
      <w:marRight w:val="0"/>
      <w:marTop w:val="0"/>
      <w:marBottom w:val="0"/>
      <w:divBdr>
        <w:top w:val="none" w:sz="0" w:space="0" w:color="auto"/>
        <w:left w:val="none" w:sz="0" w:space="0" w:color="auto"/>
        <w:bottom w:val="none" w:sz="0" w:space="0" w:color="auto"/>
        <w:right w:val="none" w:sz="0" w:space="0" w:color="auto"/>
      </w:divBdr>
    </w:div>
    <w:div w:id="2147308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footer" Target="footer2.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82443A5DFE9584FB5EFCDA71D86275C" ma:contentTypeVersion="2" ma:contentTypeDescription="Create a new document." ma:contentTypeScope="" ma:versionID="47d67c4eef818b8d79f86dc6dc5ffd61">
  <xsd:schema xmlns:xsd="http://www.w3.org/2001/XMLSchema" xmlns:xs="http://www.w3.org/2001/XMLSchema" xmlns:p="http://schemas.microsoft.com/office/2006/metadata/properties" xmlns:ns2="d47b44a4-7e45-4378-bef0-730718f1d718" targetNamespace="http://schemas.microsoft.com/office/2006/metadata/properties" ma:root="true" ma:fieldsID="6e2ac14b4f575b33f26ac1cc11585bea" ns2:_="">
    <xsd:import namespace="d47b44a4-7e45-4378-bef0-730718f1d718"/>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7b44a4-7e45-4378-bef0-730718f1d71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626293-5BAA-4CEF-A3CD-0F86B61D9BE5}">
  <ds:schemaRefs>
    <ds:schemaRef ds:uri="http://purl.org/dc/elements/1.1/"/>
    <ds:schemaRef ds:uri="d47b44a4-7e45-4378-bef0-730718f1d718"/>
    <ds:schemaRef ds:uri="http://purl.org/dc/terms/"/>
    <ds:schemaRef ds:uri="http://schemas.microsoft.com/office/2006/documentManagement/types"/>
    <ds:schemaRef ds:uri="http://purl.org/dc/dcmitype/"/>
    <ds:schemaRef ds:uri="http://schemas.microsoft.com/office/infopath/2007/PartnerControls"/>
    <ds:schemaRef ds:uri="http://schemas.openxmlformats.org/package/2006/metadata/core-properties"/>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F634723A-E44B-4BBE-8384-39A3EE4806D5}">
  <ds:schemaRefs>
    <ds:schemaRef ds:uri="http://schemas.microsoft.com/sharepoint/v3/contenttype/forms"/>
  </ds:schemaRefs>
</ds:datastoreItem>
</file>

<file path=customXml/itemProps3.xml><?xml version="1.0" encoding="utf-8"?>
<ds:datastoreItem xmlns:ds="http://schemas.openxmlformats.org/officeDocument/2006/customXml" ds:itemID="{D31D0AAB-9FA3-4905-9A1E-C4F2987A84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7b44a4-7e45-4378-bef0-730718f1d7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1B6B021-FA2C-4D8C-A202-C98CBAF64D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14</Pages>
  <Words>3423</Words>
  <Characters>19204</Characters>
  <Application>Microsoft Office Word</Application>
  <DocSecurity>0</DocSecurity>
  <Lines>600</Lines>
  <Paragraphs>426</Paragraphs>
  <ScaleCrop>false</ScaleCrop>
  <HeadingPairs>
    <vt:vector size="2" baseType="variant">
      <vt:variant>
        <vt:lpstr>Title</vt:lpstr>
      </vt:variant>
      <vt:variant>
        <vt:i4>1</vt:i4>
      </vt:variant>
    </vt:vector>
  </HeadingPairs>
  <TitlesOfParts>
    <vt:vector size="1" baseType="lpstr">
      <vt:lpstr>AusPAR Attachment 1: Product Information for Carbaglu</vt:lpstr>
    </vt:vector>
  </TitlesOfParts>
  <Company/>
  <LinksUpToDate>false</LinksUpToDate>
  <CharactersWithSpaces>22201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AusPAR Attachment 1: Product Information for Carbaglu</dc:title>
  <dc:subject>Prescription medicine</dc:subject>
  <dc:creator>Greg Plunkett</dc:creator>
  <cp:keywords>AusPARs</cp:keywords>
  <cp:lastModifiedBy>Searson, Lisa</cp:lastModifiedBy>
  <cp:revision>4</cp:revision>
  <cp:lastPrinted>2015-02-12T22:21:00Z</cp:lastPrinted>
  <dcterms:created xsi:type="dcterms:W3CDTF">2015-09-01T03:45:00Z</dcterms:created>
  <dcterms:modified xsi:type="dcterms:W3CDTF">2015-10-21T05:27:00Z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0x010100882443A5DFE9584FB5EFCDA71D86275C</vt:lpwstr>
  </property>
  <property fmtid="{D5CDD505-2E9C-101B-9397-08002B2CF9AE}" pid="3" name="IsMyDocuments">
    <vt:bool>true</vt:bool>
  </property>
</Properties>
</file>