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B3D1AC" w14:textId="77777777" w:rsidTr="00BF1190">
        <w:trPr>
          <w:trHeight w:val="1863"/>
        </w:trPr>
        <w:tc>
          <w:tcPr>
            <w:tcW w:w="3652" w:type="dxa"/>
            <w:tcBorders>
              <w:top w:val="nil"/>
              <w:left w:val="nil"/>
              <w:bottom w:val="nil"/>
              <w:right w:val="nil"/>
            </w:tcBorders>
          </w:tcPr>
          <w:p w14:paraId="421B69BA" w14:textId="1FA52FE3" w:rsidR="008E7846" w:rsidRPr="00096AA7" w:rsidRDefault="000868CB" w:rsidP="00096AA7">
            <w:pPr>
              <w:rPr>
                <w:rFonts w:ascii="Arial" w:hAnsi="Arial" w:cs="Arial"/>
                <w:b/>
                <w:color w:val="002C47"/>
                <w:sz w:val="36"/>
                <w:szCs w:val="36"/>
              </w:rPr>
            </w:pPr>
            <w:r>
              <w:rPr>
                <w:rFonts w:ascii="Arial" w:hAnsi="Arial" w:cs="Arial"/>
                <w:b/>
                <w:color w:val="002C47"/>
                <w:sz w:val="36"/>
                <w:szCs w:val="36"/>
              </w:rPr>
              <w:t xml:space="preserve">May </w:t>
            </w:r>
            <w:r w:rsidR="00C823D5">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0D660E8" w14:textId="77777777" w:rsidTr="0032583B">
        <w:trPr>
          <w:trHeight w:val="868"/>
        </w:trPr>
        <w:tc>
          <w:tcPr>
            <w:tcW w:w="9079" w:type="dxa"/>
          </w:tcPr>
          <w:p w14:paraId="7D7F89CC" w14:textId="77777777" w:rsidR="0032583B" w:rsidRPr="00193CC4" w:rsidRDefault="0032583B" w:rsidP="00193CC4">
            <w:pPr>
              <w:pStyle w:val="Title"/>
              <w:framePr w:hSpace="0" w:wrap="auto" w:vAnchor="margin" w:yAlign="inline"/>
            </w:pPr>
            <w:r w:rsidRPr="00193CC4">
              <w:t xml:space="preserve">Australian Public Assessment Report for </w:t>
            </w:r>
            <w:proofErr w:type="spellStart"/>
            <w:r w:rsidR="00C823D5" w:rsidRPr="00193CC4">
              <w:t>Caplacizumab</w:t>
            </w:r>
            <w:proofErr w:type="spellEnd"/>
          </w:p>
        </w:tc>
      </w:tr>
      <w:tr w:rsidR="0032583B" w:rsidRPr="00B64760" w14:paraId="347CFC90" w14:textId="77777777" w:rsidTr="0032583B">
        <w:tc>
          <w:tcPr>
            <w:tcW w:w="9079" w:type="dxa"/>
          </w:tcPr>
          <w:p w14:paraId="5B505941" w14:textId="77777777" w:rsidR="0032583B" w:rsidRPr="008E7846" w:rsidRDefault="00C823D5" w:rsidP="00193CC4">
            <w:pPr>
              <w:pStyle w:val="Subtitle"/>
              <w:framePr w:hSpace="0" w:wrap="auto" w:vAnchor="margin" w:yAlign="inline"/>
            </w:pPr>
            <w:r>
              <w:t xml:space="preserve">Proprietary Product Name: </w:t>
            </w:r>
            <w:proofErr w:type="spellStart"/>
            <w:r>
              <w:t>Cablivi</w:t>
            </w:r>
            <w:proofErr w:type="spellEnd"/>
          </w:p>
        </w:tc>
      </w:tr>
      <w:tr w:rsidR="0032583B" w:rsidRPr="00B64760" w14:paraId="122AC673" w14:textId="77777777" w:rsidTr="0032583B">
        <w:trPr>
          <w:trHeight w:val="486"/>
        </w:trPr>
        <w:tc>
          <w:tcPr>
            <w:tcW w:w="9079" w:type="dxa"/>
          </w:tcPr>
          <w:p w14:paraId="39F1F402" w14:textId="77777777" w:rsidR="0032583B" w:rsidRPr="008E7846" w:rsidRDefault="0032583B" w:rsidP="00193CC4">
            <w:pPr>
              <w:pStyle w:val="Subtitle"/>
              <w:framePr w:hSpace="0" w:wrap="auto" w:vAnchor="margin" w:yAlign="inline"/>
            </w:pPr>
            <w:r w:rsidRPr="008E7846">
              <w:t xml:space="preserve">Sponsor: </w:t>
            </w:r>
            <w:r w:rsidR="00C823D5" w:rsidRPr="00C823D5">
              <w:t>Sanofi-Aventis Australia Pty Ltd</w:t>
            </w:r>
          </w:p>
        </w:tc>
      </w:tr>
    </w:tbl>
    <w:p w14:paraId="0E0BD577" w14:textId="77777777" w:rsidR="008E7846" w:rsidRPr="0085156D" w:rsidRDefault="008E7846" w:rsidP="0085156D">
      <w:r w:rsidRPr="0085156D">
        <w:br w:type="page"/>
      </w:r>
    </w:p>
    <w:p w14:paraId="7708E5BB" w14:textId="77777777" w:rsidR="008E7846" w:rsidRPr="001F6CBA" w:rsidRDefault="008E7846" w:rsidP="008E7846">
      <w:pPr>
        <w:pStyle w:val="NonTOCHeading2"/>
      </w:pPr>
      <w:r w:rsidRPr="001F6CBA">
        <w:lastRenderedPageBreak/>
        <w:t>About the Therapeutic Goods Administration (TGA)</w:t>
      </w:r>
    </w:p>
    <w:p w14:paraId="2B623D4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2D5C0DB"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D547943" w14:textId="77777777"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7CBCC1C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063B3BB"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3BF2FA41" w14:textId="77777777" w:rsidR="008E7846" w:rsidRDefault="008E7846" w:rsidP="00875A6B">
      <w:pPr>
        <w:pStyle w:val="NonTOCHeading2"/>
      </w:pPr>
      <w:r>
        <w:t xml:space="preserve">About </w:t>
      </w:r>
      <w:proofErr w:type="spellStart"/>
      <w:r>
        <w:t>AusPARs</w:t>
      </w:r>
      <w:proofErr w:type="spellEnd"/>
    </w:p>
    <w:p w14:paraId="73776A0D"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472C57C7" w14:textId="77777777" w:rsidR="008E7846" w:rsidRDefault="008E7846" w:rsidP="008E7846">
      <w:pPr>
        <w:pStyle w:val="ListBullet"/>
        <w:numPr>
          <w:ilvl w:val="0"/>
          <w:numId w:val="3"/>
        </w:numPr>
        <w:ind w:left="357" w:hanging="357"/>
      </w:pPr>
      <w:proofErr w:type="spellStart"/>
      <w:r>
        <w:t>AusPARs</w:t>
      </w:r>
      <w:proofErr w:type="spellEnd"/>
      <w:r>
        <w:t xml:space="preserve"> </w:t>
      </w:r>
      <w:proofErr w:type="gramStart"/>
      <w:r>
        <w:t>are prepared and published by the TGA</w:t>
      </w:r>
      <w:proofErr w:type="gramEnd"/>
      <w:r>
        <w:t>.</w:t>
      </w:r>
    </w:p>
    <w:p w14:paraId="0B304C3B"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w:t>
      </w:r>
      <w:proofErr w:type="gramStart"/>
      <w:r>
        <w:t>is prepared</w:t>
      </w:r>
      <w:proofErr w:type="gramEnd"/>
      <w:r>
        <w:t xml:space="preserve"> for submissions that relate to new chemical entities, generic medicines, major variations and extensions of indications.</w:t>
      </w:r>
    </w:p>
    <w:p w14:paraId="56E92C3A"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A52A122"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t>
      </w:r>
      <w:proofErr w:type="gramStart"/>
      <w:r>
        <w:t>will be developed</w:t>
      </w:r>
      <w:proofErr w:type="gramEnd"/>
      <w:r>
        <w:t xml:space="preserve"> to reflect changes to indications and/or major variations to a prescription medicine subject to evaluation by the TGA.</w:t>
      </w:r>
    </w:p>
    <w:p w14:paraId="5EFC7D0D" w14:textId="77777777" w:rsidR="00924482" w:rsidRPr="00DF1D7F" w:rsidRDefault="00924482" w:rsidP="00F54B65">
      <w:pPr>
        <w:pStyle w:val="LegalSubheading"/>
        <w:spacing w:before="3120"/>
      </w:pPr>
      <w:r w:rsidRPr="00DF1D7F">
        <w:t>Copyright</w:t>
      </w:r>
    </w:p>
    <w:p w14:paraId="1756448D" w14:textId="77777777" w:rsidR="00924482" w:rsidRDefault="00924482" w:rsidP="00924482">
      <w:pPr>
        <w:pStyle w:val="LegalCopy"/>
      </w:pPr>
      <w:r w:rsidRPr="00191B3B">
        <w:rPr>
          <w:rFonts w:cs="Arial"/>
          <w:lang w:val="en-GB"/>
        </w:rPr>
        <w:t>© Comm</w:t>
      </w:r>
      <w:r w:rsidR="00C823D5">
        <w:rPr>
          <w:rFonts w:cs="Arial"/>
          <w:lang w:val="en-GB"/>
        </w:rPr>
        <w:t>onwealth of Australia 2020</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3908D1E"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B82A512" w14:textId="77777777" w:rsidR="0089635C" w:rsidRPr="0089635C" w:rsidRDefault="0089635C" w:rsidP="0010788A">
          <w:pPr>
            <w:pStyle w:val="Contents"/>
          </w:pPr>
          <w:r w:rsidRPr="0010788A">
            <w:t>Contents</w:t>
          </w:r>
        </w:p>
        <w:p w14:paraId="7BAB7B40" w14:textId="16151EFE" w:rsidR="004333B0"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39569368" w:history="1">
            <w:r w:rsidR="004333B0" w:rsidRPr="00BE4EAD">
              <w:rPr>
                <w:rStyle w:val="Hyperlink"/>
                <w:noProof/>
              </w:rPr>
              <w:t>Common abbreviations</w:t>
            </w:r>
            <w:r w:rsidR="004333B0">
              <w:rPr>
                <w:noProof/>
                <w:webHidden/>
              </w:rPr>
              <w:tab/>
            </w:r>
            <w:r w:rsidR="004333B0">
              <w:rPr>
                <w:noProof/>
                <w:webHidden/>
              </w:rPr>
              <w:fldChar w:fldCharType="begin"/>
            </w:r>
            <w:r w:rsidR="004333B0">
              <w:rPr>
                <w:noProof/>
                <w:webHidden/>
              </w:rPr>
              <w:instrText xml:space="preserve"> PAGEREF _Toc39569368 \h </w:instrText>
            </w:r>
            <w:r w:rsidR="004333B0">
              <w:rPr>
                <w:noProof/>
                <w:webHidden/>
              </w:rPr>
            </w:r>
            <w:r w:rsidR="004333B0">
              <w:rPr>
                <w:noProof/>
                <w:webHidden/>
              </w:rPr>
              <w:fldChar w:fldCharType="separate"/>
            </w:r>
            <w:r w:rsidR="004333B0">
              <w:rPr>
                <w:noProof/>
                <w:webHidden/>
              </w:rPr>
              <w:t>4</w:t>
            </w:r>
            <w:r w:rsidR="004333B0">
              <w:rPr>
                <w:noProof/>
                <w:webHidden/>
              </w:rPr>
              <w:fldChar w:fldCharType="end"/>
            </w:r>
          </w:hyperlink>
        </w:p>
        <w:p w14:paraId="7CA4348B" w14:textId="40367179" w:rsidR="004333B0" w:rsidRDefault="00B223EF">
          <w:pPr>
            <w:pStyle w:val="TOC2"/>
            <w:rPr>
              <w:rFonts w:asciiTheme="minorHAnsi" w:eastAsiaTheme="minorEastAsia" w:hAnsiTheme="minorHAnsi" w:cstheme="minorBidi"/>
              <w:b w:val="0"/>
              <w:noProof/>
              <w:sz w:val="22"/>
              <w:lang w:eastAsia="en-AU"/>
            </w:rPr>
          </w:pPr>
          <w:hyperlink w:anchor="_Toc39569369" w:history="1">
            <w:r w:rsidR="004333B0" w:rsidRPr="00BE4EAD">
              <w:rPr>
                <w:rStyle w:val="Hyperlink"/>
                <w:noProof/>
              </w:rPr>
              <w:t>I. Introduction to product submission</w:t>
            </w:r>
            <w:r w:rsidR="004333B0">
              <w:rPr>
                <w:noProof/>
                <w:webHidden/>
              </w:rPr>
              <w:tab/>
            </w:r>
            <w:r w:rsidR="004333B0">
              <w:rPr>
                <w:noProof/>
                <w:webHidden/>
              </w:rPr>
              <w:fldChar w:fldCharType="begin"/>
            </w:r>
            <w:r w:rsidR="004333B0">
              <w:rPr>
                <w:noProof/>
                <w:webHidden/>
              </w:rPr>
              <w:instrText xml:space="preserve"> PAGEREF _Toc39569369 \h </w:instrText>
            </w:r>
            <w:r w:rsidR="004333B0">
              <w:rPr>
                <w:noProof/>
                <w:webHidden/>
              </w:rPr>
            </w:r>
            <w:r w:rsidR="004333B0">
              <w:rPr>
                <w:noProof/>
                <w:webHidden/>
              </w:rPr>
              <w:fldChar w:fldCharType="separate"/>
            </w:r>
            <w:r w:rsidR="004333B0">
              <w:rPr>
                <w:noProof/>
                <w:webHidden/>
              </w:rPr>
              <w:t>6</w:t>
            </w:r>
            <w:r w:rsidR="004333B0">
              <w:rPr>
                <w:noProof/>
                <w:webHidden/>
              </w:rPr>
              <w:fldChar w:fldCharType="end"/>
            </w:r>
          </w:hyperlink>
        </w:p>
        <w:p w14:paraId="4280A0B9" w14:textId="0C0C394D" w:rsidR="004333B0" w:rsidRDefault="00B223EF">
          <w:pPr>
            <w:pStyle w:val="TOC3"/>
            <w:rPr>
              <w:rFonts w:asciiTheme="minorHAnsi" w:eastAsiaTheme="minorEastAsia" w:hAnsiTheme="minorHAnsi" w:cstheme="minorBidi"/>
              <w:noProof/>
              <w:lang w:eastAsia="en-AU"/>
            </w:rPr>
          </w:pPr>
          <w:hyperlink w:anchor="_Toc39569370" w:history="1">
            <w:r w:rsidR="004333B0" w:rsidRPr="00BE4EAD">
              <w:rPr>
                <w:rStyle w:val="Hyperlink"/>
                <w:noProof/>
                <w:lang w:eastAsia="en-AU"/>
              </w:rPr>
              <w:t>Submission details</w:t>
            </w:r>
            <w:r w:rsidR="004333B0">
              <w:rPr>
                <w:noProof/>
                <w:webHidden/>
              </w:rPr>
              <w:tab/>
            </w:r>
            <w:r w:rsidR="004333B0">
              <w:rPr>
                <w:noProof/>
                <w:webHidden/>
              </w:rPr>
              <w:fldChar w:fldCharType="begin"/>
            </w:r>
            <w:r w:rsidR="004333B0">
              <w:rPr>
                <w:noProof/>
                <w:webHidden/>
              </w:rPr>
              <w:instrText xml:space="preserve"> PAGEREF _Toc39569370 \h </w:instrText>
            </w:r>
            <w:r w:rsidR="004333B0">
              <w:rPr>
                <w:noProof/>
                <w:webHidden/>
              </w:rPr>
            </w:r>
            <w:r w:rsidR="004333B0">
              <w:rPr>
                <w:noProof/>
                <w:webHidden/>
              </w:rPr>
              <w:fldChar w:fldCharType="separate"/>
            </w:r>
            <w:r w:rsidR="004333B0">
              <w:rPr>
                <w:noProof/>
                <w:webHidden/>
              </w:rPr>
              <w:t>6</w:t>
            </w:r>
            <w:r w:rsidR="004333B0">
              <w:rPr>
                <w:noProof/>
                <w:webHidden/>
              </w:rPr>
              <w:fldChar w:fldCharType="end"/>
            </w:r>
          </w:hyperlink>
        </w:p>
        <w:p w14:paraId="5BA2A628" w14:textId="453DA0BE" w:rsidR="004333B0" w:rsidRDefault="00B223EF">
          <w:pPr>
            <w:pStyle w:val="TOC3"/>
            <w:rPr>
              <w:rFonts w:asciiTheme="minorHAnsi" w:eastAsiaTheme="minorEastAsia" w:hAnsiTheme="minorHAnsi" w:cstheme="minorBidi"/>
              <w:noProof/>
              <w:lang w:eastAsia="en-AU"/>
            </w:rPr>
          </w:pPr>
          <w:hyperlink w:anchor="_Toc39569371" w:history="1">
            <w:r w:rsidR="004333B0" w:rsidRPr="00BE4EAD">
              <w:rPr>
                <w:rStyle w:val="Hyperlink"/>
                <w:noProof/>
              </w:rPr>
              <w:t>Product background</w:t>
            </w:r>
            <w:r w:rsidR="004333B0">
              <w:rPr>
                <w:noProof/>
                <w:webHidden/>
              </w:rPr>
              <w:tab/>
            </w:r>
            <w:r w:rsidR="004333B0">
              <w:rPr>
                <w:noProof/>
                <w:webHidden/>
              </w:rPr>
              <w:fldChar w:fldCharType="begin"/>
            </w:r>
            <w:r w:rsidR="004333B0">
              <w:rPr>
                <w:noProof/>
                <w:webHidden/>
              </w:rPr>
              <w:instrText xml:space="preserve"> PAGEREF _Toc39569371 \h </w:instrText>
            </w:r>
            <w:r w:rsidR="004333B0">
              <w:rPr>
                <w:noProof/>
                <w:webHidden/>
              </w:rPr>
            </w:r>
            <w:r w:rsidR="004333B0">
              <w:rPr>
                <w:noProof/>
                <w:webHidden/>
              </w:rPr>
              <w:fldChar w:fldCharType="separate"/>
            </w:r>
            <w:r w:rsidR="004333B0">
              <w:rPr>
                <w:noProof/>
                <w:webHidden/>
              </w:rPr>
              <w:t>7</w:t>
            </w:r>
            <w:r w:rsidR="004333B0">
              <w:rPr>
                <w:noProof/>
                <w:webHidden/>
              </w:rPr>
              <w:fldChar w:fldCharType="end"/>
            </w:r>
          </w:hyperlink>
        </w:p>
        <w:p w14:paraId="09CD3B47" w14:textId="04035D5B" w:rsidR="004333B0" w:rsidRDefault="00B223EF">
          <w:pPr>
            <w:pStyle w:val="TOC3"/>
            <w:rPr>
              <w:rFonts w:asciiTheme="minorHAnsi" w:eastAsiaTheme="minorEastAsia" w:hAnsiTheme="minorHAnsi" w:cstheme="minorBidi"/>
              <w:noProof/>
              <w:lang w:eastAsia="en-AU"/>
            </w:rPr>
          </w:pPr>
          <w:hyperlink w:anchor="_Toc39569372" w:history="1">
            <w:r w:rsidR="004333B0" w:rsidRPr="00BE4EAD">
              <w:rPr>
                <w:rStyle w:val="Hyperlink"/>
                <w:noProof/>
              </w:rPr>
              <w:t>Regulatory status</w:t>
            </w:r>
            <w:r w:rsidR="004333B0">
              <w:rPr>
                <w:noProof/>
                <w:webHidden/>
              </w:rPr>
              <w:tab/>
            </w:r>
            <w:r w:rsidR="004333B0">
              <w:rPr>
                <w:noProof/>
                <w:webHidden/>
              </w:rPr>
              <w:fldChar w:fldCharType="begin"/>
            </w:r>
            <w:r w:rsidR="004333B0">
              <w:rPr>
                <w:noProof/>
                <w:webHidden/>
              </w:rPr>
              <w:instrText xml:space="preserve"> PAGEREF _Toc39569372 \h </w:instrText>
            </w:r>
            <w:r w:rsidR="004333B0">
              <w:rPr>
                <w:noProof/>
                <w:webHidden/>
              </w:rPr>
            </w:r>
            <w:r w:rsidR="004333B0">
              <w:rPr>
                <w:noProof/>
                <w:webHidden/>
              </w:rPr>
              <w:fldChar w:fldCharType="separate"/>
            </w:r>
            <w:r w:rsidR="004333B0">
              <w:rPr>
                <w:noProof/>
                <w:webHidden/>
              </w:rPr>
              <w:t>8</w:t>
            </w:r>
            <w:r w:rsidR="004333B0">
              <w:rPr>
                <w:noProof/>
                <w:webHidden/>
              </w:rPr>
              <w:fldChar w:fldCharType="end"/>
            </w:r>
          </w:hyperlink>
        </w:p>
        <w:p w14:paraId="2167D81B" w14:textId="063C828A" w:rsidR="004333B0" w:rsidRDefault="00B223EF">
          <w:pPr>
            <w:pStyle w:val="TOC3"/>
            <w:rPr>
              <w:rFonts w:asciiTheme="minorHAnsi" w:eastAsiaTheme="minorEastAsia" w:hAnsiTheme="minorHAnsi" w:cstheme="minorBidi"/>
              <w:noProof/>
              <w:lang w:eastAsia="en-AU"/>
            </w:rPr>
          </w:pPr>
          <w:hyperlink w:anchor="_Toc39569373" w:history="1">
            <w:r w:rsidR="004333B0" w:rsidRPr="00BE4EAD">
              <w:rPr>
                <w:rStyle w:val="Hyperlink"/>
                <w:noProof/>
              </w:rPr>
              <w:t>Product Information</w:t>
            </w:r>
            <w:r w:rsidR="004333B0">
              <w:rPr>
                <w:noProof/>
                <w:webHidden/>
              </w:rPr>
              <w:tab/>
            </w:r>
            <w:r w:rsidR="004333B0">
              <w:rPr>
                <w:noProof/>
                <w:webHidden/>
              </w:rPr>
              <w:fldChar w:fldCharType="begin"/>
            </w:r>
            <w:r w:rsidR="004333B0">
              <w:rPr>
                <w:noProof/>
                <w:webHidden/>
              </w:rPr>
              <w:instrText xml:space="preserve"> PAGEREF _Toc39569373 \h </w:instrText>
            </w:r>
            <w:r w:rsidR="004333B0">
              <w:rPr>
                <w:noProof/>
                <w:webHidden/>
              </w:rPr>
            </w:r>
            <w:r w:rsidR="004333B0">
              <w:rPr>
                <w:noProof/>
                <w:webHidden/>
              </w:rPr>
              <w:fldChar w:fldCharType="separate"/>
            </w:r>
            <w:r w:rsidR="004333B0">
              <w:rPr>
                <w:noProof/>
                <w:webHidden/>
              </w:rPr>
              <w:t>8</w:t>
            </w:r>
            <w:r w:rsidR="004333B0">
              <w:rPr>
                <w:noProof/>
                <w:webHidden/>
              </w:rPr>
              <w:fldChar w:fldCharType="end"/>
            </w:r>
          </w:hyperlink>
        </w:p>
        <w:p w14:paraId="27DA37F6" w14:textId="43E54270" w:rsidR="004333B0" w:rsidRDefault="00B223EF">
          <w:pPr>
            <w:pStyle w:val="TOC2"/>
            <w:rPr>
              <w:rFonts w:asciiTheme="minorHAnsi" w:eastAsiaTheme="minorEastAsia" w:hAnsiTheme="minorHAnsi" w:cstheme="minorBidi"/>
              <w:b w:val="0"/>
              <w:noProof/>
              <w:sz w:val="22"/>
              <w:lang w:eastAsia="en-AU"/>
            </w:rPr>
          </w:pPr>
          <w:hyperlink w:anchor="_Toc39569374" w:history="1">
            <w:r w:rsidR="004333B0" w:rsidRPr="00BE4EAD">
              <w:rPr>
                <w:rStyle w:val="Hyperlink"/>
                <w:noProof/>
              </w:rPr>
              <w:t>II. Registration timeline</w:t>
            </w:r>
            <w:r w:rsidR="004333B0">
              <w:rPr>
                <w:noProof/>
                <w:webHidden/>
              </w:rPr>
              <w:tab/>
            </w:r>
            <w:r w:rsidR="004333B0">
              <w:rPr>
                <w:noProof/>
                <w:webHidden/>
              </w:rPr>
              <w:fldChar w:fldCharType="begin"/>
            </w:r>
            <w:r w:rsidR="004333B0">
              <w:rPr>
                <w:noProof/>
                <w:webHidden/>
              </w:rPr>
              <w:instrText xml:space="preserve"> PAGEREF _Toc39569374 \h </w:instrText>
            </w:r>
            <w:r w:rsidR="004333B0">
              <w:rPr>
                <w:noProof/>
                <w:webHidden/>
              </w:rPr>
            </w:r>
            <w:r w:rsidR="004333B0">
              <w:rPr>
                <w:noProof/>
                <w:webHidden/>
              </w:rPr>
              <w:fldChar w:fldCharType="separate"/>
            </w:r>
            <w:r w:rsidR="004333B0">
              <w:rPr>
                <w:noProof/>
                <w:webHidden/>
              </w:rPr>
              <w:t>8</w:t>
            </w:r>
            <w:r w:rsidR="004333B0">
              <w:rPr>
                <w:noProof/>
                <w:webHidden/>
              </w:rPr>
              <w:fldChar w:fldCharType="end"/>
            </w:r>
          </w:hyperlink>
        </w:p>
        <w:p w14:paraId="79A19C06" w14:textId="0F054643" w:rsidR="004333B0" w:rsidRDefault="00B223EF">
          <w:pPr>
            <w:pStyle w:val="TOC2"/>
            <w:rPr>
              <w:rFonts w:asciiTheme="minorHAnsi" w:eastAsiaTheme="minorEastAsia" w:hAnsiTheme="minorHAnsi" w:cstheme="minorBidi"/>
              <w:b w:val="0"/>
              <w:noProof/>
              <w:sz w:val="22"/>
              <w:lang w:eastAsia="en-AU"/>
            </w:rPr>
          </w:pPr>
          <w:hyperlink w:anchor="_Toc39569375" w:history="1">
            <w:r w:rsidR="004333B0" w:rsidRPr="00BE4EAD">
              <w:rPr>
                <w:rStyle w:val="Hyperlink"/>
                <w:noProof/>
              </w:rPr>
              <w:t>III. Submission overview and risk/benefit assessment</w:t>
            </w:r>
            <w:r w:rsidR="004333B0">
              <w:rPr>
                <w:noProof/>
                <w:webHidden/>
              </w:rPr>
              <w:tab/>
            </w:r>
            <w:r w:rsidR="004333B0">
              <w:rPr>
                <w:noProof/>
                <w:webHidden/>
              </w:rPr>
              <w:fldChar w:fldCharType="begin"/>
            </w:r>
            <w:r w:rsidR="004333B0">
              <w:rPr>
                <w:noProof/>
                <w:webHidden/>
              </w:rPr>
              <w:instrText xml:space="preserve"> PAGEREF _Toc39569375 \h </w:instrText>
            </w:r>
            <w:r w:rsidR="004333B0">
              <w:rPr>
                <w:noProof/>
                <w:webHidden/>
              </w:rPr>
            </w:r>
            <w:r w:rsidR="004333B0">
              <w:rPr>
                <w:noProof/>
                <w:webHidden/>
              </w:rPr>
              <w:fldChar w:fldCharType="separate"/>
            </w:r>
            <w:r w:rsidR="004333B0">
              <w:rPr>
                <w:noProof/>
                <w:webHidden/>
              </w:rPr>
              <w:t>9</w:t>
            </w:r>
            <w:r w:rsidR="004333B0">
              <w:rPr>
                <w:noProof/>
                <w:webHidden/>
              </w:rPr>
              <w:fldChar w:fldCharType="end"/>
            </w:r>
          </w:hyperlink>
        </w:p>
        <w:p w14:paraId="47EB9335" w14:textId="61BAD1D7" w:rsidR="004333B0" w:rsidRDefault="00B223EF">
          <w:pPr>
            <w:pStyle w:val="TOC3"/>
            <w:rPr>
              <w:rFonts w:asciiTheme="minorHAnsi" w:eastAsiaTheme="minorEastAsia" w:hAnsiTheme="minorHAnsi" w:cstheme="minorBidi"/>
              <w:noProof/>
              <w:lang w:eastAsia="en-AU"/>
            </w:rPr>
          </w:pPr>
          <w:hyperlink w:anchor="_Toc39569376" w:history="1">
            <w:r w:rsidR="004333B0" w:rsidRPr="00BE4EAD">
              <w:rPr>
                <w:rStyle w:val="Hyperlink"/>
                <w:noProof/>
              </w:rPr>
              <w:t>Quality</w:t>
            </w:r>
            <w:r w:rsidR="004333B0">
              <w:rPr>
                <w:noProof/>
                <w:webHidden/>
              </w:rPr>
              <w:tab/>
            </w:r>
            <w:r w:rsidR="004333B0">
              <w:rPr>
                <w:noProof/>
                <w:webHidden/>
              </w:rPr>
              <w:fldChar w:fldCharType="begin"/>
            </w:r>
            <w:r w:rsidR="004333B0">
              <w:rPr>
                <w:noProof/>
                <w:webHidden/>
              </w:rPr>
              <w:instrText xml:space="preserve"> PAGEREF _Toc39569376 \h </w:instrText>
            </w:r>
            <w:r w:rsidR="004333B0">
              <w:rPr>
                <w:noProof/>
                <w:webHidden/>
              </w:rPr>
            </w:r>
            <w:r w:rsidR="004333B0">
              <w:rPr>
                <w:noProof/>
                <w:webHidden/>
              </w:rPr>
              <w:fldChar w:fldCharType="separate"/>
            </w:r>
            <w:r w:rsidR="004333B0">
              <w:rPr>
                <w:noProof/>
                <w:webHidden/>
              </w:rPr>
              <w:t>9</w:t>
            </w:r>
            <w:r w:rsidR="004333B0">
              <w:rPr>
                <w:noProof/>
                <w:webHidden/>
              </w:rPr>
              <w:fldChar w:fldCharType="end"/>
            </w:r>
          </w:hyperlink>
        </w:p>
        <w:p w14:paraId="337B2A00" w14:textId="788472CA" w:rsidR="004333B0" w:rsidRDefault="00B223EF">
          <w:pPr>
            <w:pStyle w:val="TOC3"/>
            <w:rPr>
              <w:rFonts w:asciiTheme="minorHAnsi" w:eastAsiaTheme="minorEastAsia" w:hAnsiTheme="minorHAnsi" w:cstheme="minorBidi"/>
              <w:noProof/>
              <w:lang w:eastAsia="en-AU"/>
            </w:rPr>
          </w:pPr>
          <w:hyperlink w:anchor="_Toc39569377" w:history="1">
            <w:r w:rsidR="004333B0" w:rsidRPr="00BE4EAD">
              <w:rPr>
                <w:rStyle w:val="Hyperlink"/>
                <w:noProof/>
              </w:rPr>
              <w:t>Nonclinical</w:t>
            </w:r>
            <w:r w:rsidR="004333B0">
              <w:rPr>
                <w:noProof/>
                <w:webHidden/>
              </w:rPr>
              <w:tab/>
            </w:r>
            <w:r w:rsidR="004333B0">
              <w:rPr>
                <w:noProof/>
                <w:webHidden/>
              </w:rPr>
              <w:fldChar w:fldCharType="begin"/>
            </w:r>
            <w:r w:rsidR="004333B0">
              <w:rPr>
                <w:noProof/>
                <w:webHidden/>
              </w:rPr>
              <w:instrText xml:space="preserve"> PAGEREF _Toc39569377 \h </w:instrText>
            </w:r>
            <w:r w:rsidR="004333B0">
              <w:rPr>
                <w:noProof/>
                <w:webHidden/>
              </w:rPr>
            </w:r>
            <w:r w:rsidR="004333B0">
              <w:rPr>
                <w:noProof/>
                <w:webHidden/>
              </w:rPr>
              <w:fldChar w:fldCharType="separate"/>
            </w:r>
            <w:r w:rsidR="004333B0">
              <w:rPr>
                <w:noProof/>
                <w:webHidden/>
              </w:rPr>
              <w:t>10</w:t>
            </w:r>
            <w:r w:rsidR="004333B0">
              <w:rPr>
                <w:noProof/>
                <w:webHidden/>
              </w:rPr>
              <w:fldChar w:fldCharType="end"/>
            </w:r>
          </w:hyperlink>
        </w:p>
        <w:p w14:paraId="1707225C" w14:textId="4BD9EF58" w:rsidR="004333B0" w:rsidRDefault="00B223EF">
          <w:pPr>
            <w:pStyle w:val="TOC3"/>
            <w:rPr>
              <w:rFonts w:asciiTheme="minorHAnsi" w:eastAsiaTheme="minorEastAsia" w:hAnsiTheme="minorHAnsi" w:cstheme="minorBidi"/>
              <w:noProof/>
              <w:lang w:eastAsia="en-AU"/>
            </w:rPr>
          </w:pPr>
          <w:hyperlink w:anchor="_Toc39569378" w:history="1">
            <w:r w:rsidR="004333B0" w:rsidRPr="00BE4EAD">
              <w:rPr>
                <w:rStyle w:val="Hyperlink"/>
                <w:noProof/>
              </w:rPr>
              <w:t>Clinical</w:t>
            </w:r>
            <w:r w:rsidR="004333B0">
              <w:rPr>
                <w:noProof/>
                <w:webHidden/>
              </w:rPr>
              <w:tab/>
            </w:r>
            <w:r w:rsidR="004333B0">
              <w:rPr>
                <w:noProof/>
                <w:webHidden/>
              </w:rPr>
              <w:fldChar w:fldCharType="begin"/>
            </w:r>
            <w:r w:rsidR="004333B0">
              <w:rPr>
                <w:noProof/>
                <w:webHidden/>
              </w:rPr>
              <w:instrText xml:space="preserve"> PAGEREF _Toc39569378 \h </w:instrText>
            </w:r>
            <w:r w:rsidR="004333B0">
              <w:rPr>
                <w:noProof/>
                <w:webHidden/>
              </w:rPr>
            </w:r>
            <w:r w:rsidR="004333B0">
              <w:rPr>
                <w:noProof/>
                <w:webHidden/>
              </w:rPr>
              <w:fldChar w:fldCharType="separate"/>
            </w:r>
            <w:r w:rsidR="004333B0">
              <w:rPr>
                <w:noProof/>
                <w:webHidden/>
              </w:rPr>
              <w:t>11</w:t>
            </w:r>
            <w:r w:rsidR="004333B0">
              <w:rPr>
                <w:noProof/>
                <w:webHidden/>
              </w:rPr>
              <w:fldChar w:fldCharType="end"/>
            </w:r>
          </w:hyperlink>
        </w:p>
        <w:p w14:paraId="07BDED88" w14:textId="7DA15510" w:rsidR="004333B0" w:rsidRDefault="00B223EF">
          <w:pPr>
            <w:pStyle w:val="TOC3"/>
            <w:rPr>
              <w:rFonts w:asciiTheme="minorHAnsi" w:eastAsiaTheme="minorEastAsia" w:hAnsiTheme="minorHAnsi" w:cstheme="minorBidi"/>
              <w:noProof/>
              <w:lang w:eastAsia="en-AU"/>
            </w:rPr>
          </w:pPr>
          <w:hyperlink w:anchor="_Toc39569379" w:history="1">
            <w:r w:rsidR="004333B0" w:rsidRPr="00BE4EAD">
              <w:rPr>
                <w:rStyle w:val="Hyperlink"/>
                <w:noProof/>
                <w:lang w:eastAsia="en-AU"/>
              </w:rPr>
              <w:t>Risk management plan</w:t>
            </w:r>
            <w:r w:rsidR="004333B0">
              <w:rPr>
                <w:noProof/>
                <w:webHidden/>
              </w:rPr>
              <w:tab/>
            </w:r>
            <w:r w:rsidR="004333B0">
              <w:rPr>
                <w:noProof/>
                <w:webHidden/>
              </w:rPr>
              <w:fldChar w:fldCharType="begin"/>
            </w:r>
            <w:r w:rsidR="004333B0">
              <w:rPr>
                <w:noProof/>
                <w:webHidden/>
              </w:rPr>
              <w:instrText xml:space="preserve"> PAGEREF _Toc39569379 \h </w:instrText>
            </w:r>
            <w:r w:rsidR="004333B0">
              <w:rPr>
                <w:noProof/>
                <w:webHidden/>
              </w:rPr>
            </w:r>
            <w:r w:rsidR="004333B0">
              <w:rPr>
                <w:noProof/>
                <w:webHidden/>
              </w:rPr>
              <w:fldChar w:fldCharType="separate"/>
            </w:r>
            <w:r w:rsidR="004333B0">
              <w:rPr>
                <w:noProof/>
                <w:webHidden/>
              </w:rPr>
              <w:t>18</w:t>
            </w:r>
            <w:r w:rsidR="004333B0">
              <w:rPr>
                <w:noProof/>
                <w:webHidden/>
              </w:rPr>
              <w:fldChar w:fldCharType="end"/>
            </w:r>
          </w:hyperlink>
        </w:p>
        <w:p w14:paraId="1C4E202C" w14:textId="0C42E7A6" w:rsidR="004333B0" w:rsidRDefault="00B223EF">
          <w:pPr>
            <w:pStyle w:val="TOC3"/>
            <w:rPr>
              <w:rFonts w:asciiTheme="minorHAnsi" w:eastAsiaTheme="minorEastAsia" w:hAnsiTheme="minorHAnsi" w:cstheme="minorBidi"/>
              <w:noProof/>
              <w:lang w:eastAsia="en-AU"/>
            </w:rPr>
          </w:pPr>
          <w:hyperlink w:anchor="_Toc39569380" w:history="1">
            <w:r w:rsidR="004333B0" w:rsidRPr="00BE4EAD">
              <w:rPr>
                <w:rStyle w:val="Hyperlink"/>
                <w:noProof/>
              </w:rPr>
              <w:t>Risk-benefit analysis</w:t>
            </w:r>
            <w:r w:rsidR="004333B0">
              <w:rPr>
                <w:noProof/>
                <w:webHidden/>
              </w:rPr>
              <w:tab/>
            </w:r>
            <w:r w:rsidR="004333B0">
              <w:rPr>
                <w:noProof/>
                <w:webHidden/>
              </w:rPr>
              <w:fldChar w:fldCharType="begin"/>
            </w:r>
            <w:r w:rsidR="004333B0">
              <w:rPr>
                <w:noProof/>
                <w:webHidden/>
              </w:rPr>
              <w:instrText xml:space="preserve"> PAGEREF _Toc39569380 \h </w:instrText>
            </w:r>
            <w:r w:rsidR="004333B0">
              <w:rPr>
                <w:noProof/>
                <w:webHidden/>
              </w:rPr>
            </w:r>
            <w:r w:rsidR="004333B0">
              <w:rPr>
                <w:noProof/>
                <w:webHidden/>
              </w:rPr>
              <w:fldChar w:fldCharType="separate"/>
            </w:r>
            <w:r w:rsidR="004333B0">
              <w:rPr>
                <w:noProof/>
                <w:webHidden/>
              </w:rPr>
              <w:t>19</w:t>
            </w:r>
            <w:r w:rsidR="004333B0">
              <w:rPr>
                <w:noProof/>
                <w:webHidden/>
              </w:rPr>
              <w:fldChar w:fldCharType="end"/>
            </w:r>
          </w:hyperlink>
        </w:p>
        <w:p w14:paraId="7C350070" w14:textId="3579150C" w:rsidR="004333B0" w:rsidRDefault="00B223EF">
          <w:pPr>
            <w:pStyle w:val="TOC3"/>
            <w:rPr>
              <w:rFonts w:asciiTheme="minorHAnsi" w:eastAsiaTheme="minorEastAsia" w:hAnsiTheme="minorHAnsi" w:cstheme="minorBidi"/>
              <w:noProof/>
              <w:lang w:eastAsia="en-AU"/>
            </w:rPr>
          </w:pPr>
          <w:hyperlink w:anchor="_Toc39569381" w:history="1">
            <w:r w:rsidR="004333B0" w:rsidRPr="00BE4EAD">
              <w:rPr>
                <w:rStyle w:val="Hyperlink"/>
                <w:noProof/>
              </w:rPr>
              <w:t>Outcome</w:t>
            </w:r>
            <w:r w:rsidR="004333B0">
              <w:rPr>
                <w:noProof/>
                <w:webHidden/>
              </w:rPr>
              <w:tab/>
            </w:r>
            <w:r w:rsidR="004333B0">
              <w:rPr>
                <w:noProof/>
                <w:webHidden/>
              </w:rPr>
              <w:fldChar w:fldCharType="begin"/>
            </w:r>
            <w:r w:rsidR="004333B0">
              <w:rPr>
                <w:noProof/>
                <w:webHidden/>
              </w:rPr>
              <w:instrText xml:space="preserve"> PAGEREF _Toc39569381 \h </w:instrText>
            </w:r>
            <w:r w:rsidR="004333B0">
              <w:rPr>
                <w:noProof/>
                <w:webHidden/>
              </w:rPr>
            </w:r>
            <w:r w:rsidR="004333B0">
              <w:rPr>
                <w:noProof/>
                <w:webHidden/>
              </w:rPr>
              <w:fldChar w:fldCharType="separate"/>
            </w:r>
            <w:r w:rsidR="004333B0">
              <w:rPr>
                <w:noProof/>
                <w:webHidden/>
              </w:rPr>
              <w:t>21</w:t>
            </w:r>
            <w:r w:rsidR="004333B0">
              <w:rPr>
                <w:noProof/>
                <w:webHidden/>
              </w:rPr>
              <w:fldChar w:fldCharType="end"/>
            </w:r>
          </w:hyperlink>
        </w:p>
        <w:p w14:paraId="185EBB55" w14:textId="351C2FFE" w:rsidR="004333B0" w:rsidRDefault="00B223EF">
          <w:pPr>
            <w:pStyle w:val="TOC2"/>
            <w:rPr>
              <w:rFonts w:asciiTheme="minorHAnsi" w:eastAsiaTheme="minorEastAsia" w:hAnsiTheme="minorHAnsi" w:cstheme="minorBidi"/>
              <w:b w:val="0"/>
              <w:noProof/>
              <w:sz w:val="22"/>
              <w:lang w:eastAsia="en-AU"/>
            </w:rPr>
          </w:pPr>
          <w:hyperlink w:anchor="_Toc39569382" w:history="1">
            <w:r w:rsidR="004333B0" w:rsidRPr="00BE4EAD">
              <w:rPr>
                <w:rStyle w:val="Hyperlink"/>
                <w:noProof/>
              </w:rPr>
              <w:t>Attachment 1. Product Information</w:t>
            </w:r>
            <w:r w:rsidR="004333B0">
              <w:rPr>
                <w:noProof/>
                <w:webHidden/>
              </w:rPr>
              <w:tab/>
            </w:r>
            <w:r w:rsidR="004333B0">
              <w:rPr>
                <w:noProof/>
                <w:webHidden/>
              </w:rPr>
              <w:fldChar w:fldCharType="begin"/>
            </w:r>
            <w:r w:rsidR="004333B0">
              <w:rPr>
                <w:noProof/>
                <w:webHidden/>
              </w:rPr>
              <w:instrText xml:space="preserve"> PAGEREF _Toc39569382 \h </w:instrText>
            </w:r>
            <w:r w:rsidR="004333B0">
              <w:rPr>
                <w:noProof/>
                <w:webHidden/>
              </w:rPr>
            </w:r>
            <w:r w:rsidR="004333B0">
              <w:rPr>
                <w:noProof/>
                <w:webHidden/>
              </w:rPr>
              <w:fldChar w:fldCharType="separate"/>
            </w:r>
            <w:r w:rsidR="004333B0">
              <w:rPr>
                <w:noProof/>
                <w:webHidden/>
              </w:rPr>
              <w:t>22</w:t>
            </w:r>
            <w:r w:rsidR="004333B0">
              <w:rPr>
                <w:noProof/>
                <w:webHidden/>
              </w:rPr>
              <w:fldChar w:fldCharType="end"/>
            </w:r>
          </w:hyperlink>
        </w:p>
        <w:p w14:paraId="41A6D240" w14:textId="4A06A317" w:rsidR="003A7F6C" w:rsidRPr="00B811C6" w:rsidRDefault="00960520" w:rsidP="00B811C6">
          <w:pPr>
            <w:pStyle w:val="TOC2"/>
          </w:pPr>
          <w:r>
            <w:fldChar w:fldCharType="end"/>
          </w:r>
        </w:p>
      </w:sdtContent>
    </w:sdt>
    <w:bookmarkStart w:id="2" w:name="_Toc314842482" w:displacedByCustomXml="prev"/>
    <w:p w14:paraId="29D1553A" w14:textId="77777777" w:rsidR="00C52E24" w:rsidRPr="00C52E24" w:rsidRDefault="00441C3F" w:rsidP="002566B0">
      <w:pPr>
        <w:pStyle w:val="Heading2"/>
        <w:pageBreakBefore/>
      </w:pPr>
      <w:bookmarkStart w:id="3" w:name="_Toc351716269"/>
      <w:bookmarkStart w:id="4" w:name="_Toc351718881"/>
      <w:bookmarkStart w:id="5" w:name="_Toc355338616"/>
      <w:bookmarkStart w:id="6" w:name="_Toc356306144"/>
      <w:bookmarkStart w:id="7" w:name="_Toc39569368"/>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0"/>
        <w:gridCol w:w="6684"/>
      </w:tblGrid>
      <w:tr w:rsidR="006B1444" w:rsidRPr="00FD119B" w14:paraId="4F3399C7"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741D4EF3" w14:textId="77777777" w:rsidR="006B1444" w:rsidRPr="00FD119B" w:rsidRDefault="006B1444" w:rsidP="000D7927">
            <w:pPr>
              <w:keepNext w:val="0"/>
              <w:ind w:left="0" w:right="0"/>
              <w:rPr>
                <w:szCs w:val="22"/>
                <w:lang w:eastAsia="en-US"/>
              </w:rPr>
            </w:pPr>
            <w:r w:rsidRPr="00FD119B">
              <w:rPr>
                <w:szCs w:val="22"/>
                <w:lang w:eastAsia="en-US"/>
              </w:rPr>
              <w:t>Abbreviation</w:t>
            </w:r>
          </w:p>
        </w:tc>
        <w:tc>
          <w:tcPr>
            <w:tcW w:w="6911" w:type="dxa"/>
          </w:tcPr>
          <w:p w14:paraId="236AB1CC" w14:textId="77777777" w:rsidR="006B1444" w:rsidRPr="00FD119B" w:rsidRDefault="006B1444" w:rsidP="000D7927">
            <w:pPr>
              <w:keepNext w:val="0"/>
              <w:ind w:left="0" w:right="0"/>
              <w:rPr>
                <w:szCs w:val="22"/>
                <w:lang w:eastAsia="en-US"/>
              </w:rPr>
            </w:pPr>
            <w:r w:rsidRPr="00FD119B">
              <w:rPr>
                <w:szCs w:val="22"/>
                <w:lang w:eastAsia="en-US"/>
              </w:rPr>
              <w:t>Meaning</w:t>
            </w:r>
          </w:p>
        </w:tc>
      </w:tr>
      <w:tr w:rsidR="001A4083" w:rsidRPr="00FD119B" w14:paraId="2AF71DAD" w14:textId="77777777" w:rsidTr="00FD119B">
        <w:tc>
          <w:tcPr>
            <w:tcW w:w="1809" w:type="dxa"/>
          </w:tcPr>
          <w:p w14:paraId="48EC9C59" w14:textId="1BDC3754" w:rsidR="001A4083" w:rsidRDefault="001A4083" w:rsidP="000D7927">
            <w:r>
              <w:t>Ab</w:t>
            </w:r>
          </w:p>
        </w:tc>
        <w:tc>
          <w:tcPr>
            <w:tcW w:w="6911" w:type="dxa"/>
          </w:tcPr>
          <w:p w14:paraId="3836D787" w14:textId="0A4686E4" w:rsidR="001A4083" w:rsidRDefault="001A4083" w:rsidP="0058132E">
            <w:pPr>
              <w:rPr>
                <w:bCs/>
              </w:rPr>
            </w:pPr>
            <w:r>
              <w:rPr>
                <w:bCs/>
              </w:rPr>
              <w:t>Antibody</w:t>
            </w:r>
          </w:p>
        </w:tc>
      </w:tr>
      <w:tr w:rsidR="006B1444" w:rsidRPr="00FD119B" w14:paraId="42F45BFF" w14:textId="77777777" w:rsidTr="00FD119B">
        <w:tc>
          <w:tcPr>
            <w:tcW w:w="1809" w:type="dxa"/>
          </w:tcPr>
          <w:p w14:paraId="099F49C1" w14:textId="77777777" w:rsidR="006B1444" w:rsidRDefault="006B1444" w:rsidP="000D7927">
            <w:r>
              <w:t>ACM</w:t>
            </w:r>
          </w:p>
        </w:tc>
        <w:tc>
          <w:tcPr>
            <w:tcW w:w="6911" w:type="dxa"/>
          </w:tcPr>
          <w:p w14:paraId="3EDD1827" w14:textId="77777777" w:rsidR="006B1444" w:rsidRDefault="006B1444" w:rsidP="0058132E">
            <w:r>
              <w:rPr>
                <w:bCs/>
              </w:rPr>
              <w:t>Advisory Committee on Medicines</w:t>
            </w:r>
          </w:p>
        </w:tc>
      </w:tr>
      <w:tr w:rsidR="006B1444" w:rsidRPr="00FD119B" w14:paraId="26AC47B9" w14:textId="77777777" w:rsidTr="00FD119B">
        <w:tc>
          <w:tcPr>
            <w:tcW w:w="1809" w:type="dxa"/>
          </w:tcPr>
          <w:p w14:paraId="337A1895" w14:textId="77777777" w:rsidR="006B1444" w:rsidRPr="00E15890" w:rsidRDefault="006B1444" w:rsidP="000D7927">
            <w:r>
              <w:t>ADA</w:t>
            </w:r>
          </w:p>
        </w:tc>
        <w:tc>
          <w:tcPr>
            <w:tcW w:w="6911" w:type="dxa"/>
          </w:tcPr>
          <w:p w14:paraId="6E0DE8E3" w14:textId="77777777" w:rsidR="006B1444" w:rsidRDefault="006B1444" w:rsidP="004B3093">
            <w:r>
              <w:t>Anti-drug antibody</w:t>
            </w:r>
          </w:p>
        </w:tc>
      </w:tr>
      <w:tr w:rsidR="006B1444" w:rsidRPr="00FD119B" w14:paraId="7CFB0F72" w14:textId="77777777" w:rsidTr="00FD119B">
        <w:tc>
          <w:tcPr>
            <w:tcW w:w="1809" w:type="dxa"/>
          </w:tcPr>
          <w:p w14:paraId="3A485667" w14:textId="77777777" w:rsidR="006B1444" w:rsidRPr="000D7927" w:rsidRDefault="006B1444" w:rsidP="000D7927">
            <w:r w:rsidRPr="000D7927">
              <w:t>ADAMTS13</w:t>
            </w:r>
          </w:p>
        </w:tc>
        <w:tc>
          <w:tcPr>
            <w:tcW w:w="6911" w:type="dxa"/>
          </w:tcPr>
          <w:p w14:paraId="0427913A" w14:textId="6C049B7A" w:rsidR="006B1444" w:rsidRPr="000D7927" w:rsidRDefault="006B1444" w:rsidP="000D7927">
            <w:r>
              <w:t>A</w:t>
            </w:r>
            <w:r w:rsidRPr="00B25D51">
              <w:t xml:space="preserve"> </w:t>
            </w:r>
            <w:proofErr w:type="spellStart"/>
            <w:r w:rsidRPr="00B25D51">
              <w:t>disintegrin</w:t>
            </w:r>
            <w:proofErr w:type="spellEnd"/>
            <w:r w:rsidRPr="00B25D51">
              <w:t xml:space="preserve"> and metalloproteinase with a thrombospondin type</w:t>
            </w:r>
            <w:r w:rsidR="000868CB">
              <w:t> </w:t>
            </w:r>
            <w:r w:rsidRPr="00B25D51">
              <w:t>1 motif, member 13</w:t>
            </w:r>
          </w:p>
        </w:tc>
      </w:tr>
      <w:tr w:rsidR="006B1444" w:rsidRPr="00FD119B" w14:paraId="16DAED67" w14:textId="77777777" w:rsidTr="00FD119B">
        <w:tc>
          <w:tcPr>
            <w:tcW w:w="1809" w:type="dxa"/>
          </w:tcPr>
          <w:p w14:paraId="468C7D27" w14:textId="77777777" w:rsidR="006B1444" w:rsidRDefault="006B1444" w:rsidP="000D7927">
            <w:r>
              <w:t>ASA</w:t>
            </w:r>
          </w:p>
        </w:tc>
        <w:tc>
          <w:tcPr>
            <w:tcW w:w="6911" w:type="dxa"/>
          </w:tcPr>
          <w:p w14:paraId="16AA1B03" w14:textId="77777777" w:rsidR="006B1444" w:rsidRDefault="006B1444" w:rsidP="0058132E">
            <w:r>
              <w:t>Australian specific Annex</w:t>
            </w:r>
          </w:p>
        </w:tc>
      </w:tr>
      <w:tr w:rsidR="006B1444" w:rsidRPr="00FD119B" w14:paraId="23522955" w14:textId="77777777" w:rsidTr="00FD119B">
        <w:tc>
          <w:tcPr>
            <w:tcW w:w="1809" w:type="dxa"/>
          </w:tcPr>
          <w:p w14:paraId="67D23B71" w14:textId="324A0BAF" w:rsidR="006B1444" w:rsidRDefault="006B1444" w:rsidP="000D7927">
            <w:r>
              <w:t>AR</w:t>
            </w:r>
            <w:r w:rsidR="000868CB">
              <w:t>T</w:t>
            </w:r>
            <w:r>
              <w:t>G</w:t>
            </w:r>
          </w:p>
        </w:tc>
        <w:tc>
          <w:tcPr>
            <w:tcW w:w="6911" w:type="dxa"/>
          </w:tcPr>
          <w:p w14:paraId="073F52A5" w14:textId="77777777" w:rsidR="006B1444" w:rsidRDefault="006B1444" w:rsidP="0058132E">
            <w:r>
              <w:rPr>
                <w:rFonts w:asciiTheme="minorHAnsi" w:hAnsiTheme="minorHAnsi"/>
              </w:rPr>
              <w:t>Australian Register of Therapeutic Goods</w:t>
            </w:r>
          </w:p>
        </w:tc>
      </w:tr>
      <w:tr w:rsidR="006B1444" w:rsidRPr="00FD119B" w14:paraId="073A0293" w14:textId="77777777" w:rsidTr="00FD119B">
        <w:tc>
          <w:tcPr>
            <w:tcW w:w="1809" w:type="dxa"/>
          </w:tcPr>
          <w:p w14:paraId="22086DDC" w14:textId="77777777" w:rsidR="006B1444" w:rsidRPr="00FD119B" w:rsidRDefault="006B1444" w:rsidP="000D7927">
            <w:pPr>
              <w:rPr>
                <w:color w:val="auto"/>
                <w:szCs w:val="22"/>
                <w:lang w:eastAsia="en-US"/>
              </w:rPr>
            </w:pPr>
            <w:proofErr w:type="spellStart"/>
            <w:r w:rsidRPr="000D7927">
              <w:rPr>
                <w:color w:val="auto"/>
                <w:szCs w:val="22"/>
                <w:lang w:eastAsia="en-US"/>
              </w:rPr>
              <w:t>aTTP</w:t>
            </w:r>
            <w:proofErr w:type="spellEnd"/>
          </w:p>
        </w:tc>
        <w:tc>
          <w:tcPr>
            <w:tcW w:w="6911" w:type="dxa"/>
          </w:tcPr>
          <w:p w14:paraId="386B4B71" w14:textId="77777777" w:rsidR="006B1444" w:rsidRPr="00FD119B" w:rsidRDefault="006B1444" w:rsidP="000D7927">
            <w:pPr>
              <w:rPr>
                <w:color w:val="auto"/>
                <w:szCs w:val="22"/>
                <w:lang w:eastAsia="en-US"/>
              </w:rPr>
            </w:pPr>
            <w:r w:rsidRPr="000D7927">
              <w:rPr>
                <w:color w:val="auto"/>
                <w:szCs w:val="22"/>
                <w:lang w:eastAsia="en-US"/>
              </w:rPr>
              <w:t>Acquired throm</w:t>
            </w:r>
            <w:r>
              <w:rPr>
                <w:color w:val="auto"/>
                <w:szCs w:val="22"/>
                <w:lang w:eastAsia="en-US"/>
              </w:rPr>
              <w:t>botic thrombocytopenic purpura</w:t>
            </w:r>
          </w:p>
        </w:tc>
      </w:tr>
      <w:tr w:rsidR="006B1444" w:rsidRPr="00FD119B" w14:paraId="173B44A9" w14:textId="77777777" w:rsidTr="00FD119B">
        <w:tc>
          <w:tcPr>
            <w:tcW w:w="1809" w:type="dxa"/>
          </w:tcPr>
          <w:p w14:paraId="578170AE" w14:textId="77777777" w:rsidR="006B1444" w:rsidRDefault="006B1444" w:rsidP="000D7927">
            <w:r>
              <w:t>CNS</w:t>
            </w:r>
          </w:p>
        </w:tc>
        <w:tc>
          <w:tcPr>
            <w:tcW w:w="6911" w:type="dxa"/>
          </w:tcPr>
          <w:p w14:paraId="1BCCB4A8" w14:textId="77777777" w:rsidR="006B1444" w:rsidRDefault="006B1444" w:rsidP="009B3D56">
            <w:r>
              <w:t>Central nervous system</w:t>
            </w:r>
          </w:p>
        </w:tc>
      </w:tr>
      <w:tr w:rsidR="006B1444" w:rsidRPr="00FD119B" w14:paraId="7074AC7A" w14:textId="77777777" w:rsidTr="00FD119B">
        <w:tc>
          <w:tcPr>
            <w:tcW w:w="1809" w:type="dxa"/>
          </w:tcPr>
          <w:p w14:paraId="54B9F3C8" w14:textId="07DA69A4" w:rsidR="006B1444" w:rsidRDefault="006B1444" w:rsidP="000D7927">
            <w:r>
              <w:t>CPD</w:t>
            </w:r>
          </w:p>
        </w:tc>
        <w:tc>
          <w:tcPr>
            <w:tcW w:w="6911" w:type="dxa"/>
          </w:tcPr>
          <w:p w14:paraId="7CCA1AD7" w14:textId="2650F75C" w:rsidR="006B1444" w:rsidRDefault="006B1444" w:rsidP="006B1444">
            <w:r>
              <w:t>Certified Product Details</w:t>
            </w:r>
          </w:p>
        </w:tc>
      </w:tr>
      <w:tr w:rsidR="006B1444" w:rsidRPr="00FD119B" w14:paraId="2D99C28C" w14:textId="77777777" w:rsidTr="00FD119B">
        <w:tc>
          <w:tcPr>
            <w:tcW w:w="1809" w:type="dxa"/>
          </w:tcPr>
          <w:p w14:paraId="57C5C0A3" w14:textId="77777777" w:rsidR="006B1444" w:rsidRDefault="006B1444" w:rsidP="000D7927">
            <w:proofErr w:type="spellStart"/>
            <w:r w:rsidRPr="00FF3FF9">
              <w:t>cTnI</w:t>
            </w:r>
            <w:proofErr w:type="spellEnd"/>
          </w:p>
        </w:tc>
        <w:tc>
          <w:tcPr>
            <w:tcW w:w="6911" w:type="dxa"/>
          </w:tcPr>
          <w:p w14:paraId="587C24B9" w14:textId="77777777" w:rsidR="006B1444" w:rsidRDefault="006B1444" w:rsidP="00DC65C4">
            <w:r>
              <w:t>C</w:t>
            </w:r>
            <w:r w:rsidRPr="00DC65C4">
              <w:t>ardiac troponin I</w:t>
            </w:r>
          </w:p>
        </w:tc>
      </w:tr>
      <w:tr w:rsidR="006B1444" w:rsidRPr="00FD119B" w14:paraId="3DF9D940" w14:textId="77777777" w:rsidTr="00FD119B">
        <w:tc>
          <w:tcPr>
            <w:tcW w:w="1809" w:type="dxa"/>
          </w:tcPr>
          <w:p w14:paraId="7EC93991" w14:textId="77777777" w:rsidR="006B1444" w:rsidRDefault="006B1444" w:rsidP="000D7927">
            <w:r w:rsidRPr="004151AE">
              <w:t>DLP</w:t>
            </w:r>
          </w:p>
        </w:tc>
        <w:tc>
          <w:tcPr>
            <w:tcW w:w="6911" w:type="dxa"/>
          </w:tcPr>
          <w:p w14:paraId="08B25F2C" w14:textId="77777777" w:rsidR="006B1444" w:rsidRDefault="006B1444" w:rsidP="000834AD">
            <w:r>
              <w:t>Data lock point</w:t>
            </w:r>
          </w:p>
        </w:tc>
      </w:tr>
      <w:tr w:rsidR="006B1444" w:rsidRPr="00FD119B" w14:paraId="4389911A" w14:textId="77777777" w:rsidTr="00FD119B">
        <w:tc>
          <w:tcPr>
            <w:tcW w:w="1809" w:type="dxa"/>
          </w:tcPr>
          <w:p w14:paraId="351043EB" w14:textId="77777777" w:rsidR="006B1444" w:rsidRPr="00E15890" w:rsidRDefault="006B1444" w:rsidP="000D7927">
            <w:r w:rsidRPr="002F717D">
              <w:t>ELISA</w:t>
            </w:r>
          </w:p>
        </w:tc>
        <w:tc>
          <w:tcPr>
            <w:tcW w:w="6911" w:type="dxa"/>
          </w:tcPr>
          <w:p w14:paraId="4C0A55C7" w14:textId="77777777" w:rsidR="006B1444" w:rsidRDefault="006B1444" w:rsidP="004B3093">
            <w:r>
              <w:t>E</w:t>
            </w:r>
            <w:r w:rsidRPr="002F717D">
              <w:t>nz</w:t>
            </w:r>
            <w:r>
              <w:t>yme-linked immunosorbent assay</w:t>
            </w:r>
          </w:p>
        </w:tc>
      </w:tr>
      <w:tr w:rsidR="006B1444" w:rsidRPr="00FD119B" w14:paraId="37F22803" w14:textId="77777777" w:rsidTr="00FD119B">
        <w:tc>
          <w:tcPr>
            <w:tcW w:w="1809" w:type="dxa"/>
          </w:tcPr>
          <w:p w14:paraId="0F907C2C" w14:textId="77777777" w:rsidR="006B1444" w:rsidRDefault="006B1444" w:rsidP="000D7927">
            <w:r>
              <w:t>EMA</w:t>
            </w:r>
          </w:p>
        </w:tc>
        <w:tc>
          <w:tcPr>
            <w:tcW w:w="6911" w:type="dxa"/>
          </w:tcPr>
          <w:p w14:paraId="34F862C6" w14:textId="77777777" w:rsidR="006B1444" w:rsidRDefault="006B1444" w:rsidP="000D7927">
            <w:r>
              <w:t>European Medicines Agency (European Union)</w:t>
            </w:r>
          </w:p>
        </w:tc>
      </w:tr>
      <w:tr w:rsidR="006B1444" w:rsidRPr="00FD119B" w14:paraId="6CE338C0" w14:textId="77777777" w:rsidTr="00FD119B">
        <w:tc>
          <w:tcPr>
            <w:tcW w:w="1809" w:type="dxa"/>
          </w:tcPr>
          <w:p w14:paraId="5FF5CC03" w14:textId="77777777" w:rsidR="006B1444" w:rsidRDefault="006B1444" w:rsidP="000D7927">
            <w:r>
              <w:t>EU-RMP</w:t>
            </w:r>
          </w:p>
        </w:tc>
        <w:tc>
          <w:tcPr>
            <w:tcW w:w="6911" w:type="dxa"/>
          </w:tcPr>
          <w:p w14:paraId="73A06F85" w14:textId="77777777" w:rsidR="006B1444" w:rsidRDefault="006B1444" w:rsidP="0058132E">
            <w:r>
              <w:t>European Union-Risk Management Plan</w:t>
            </w:r>
          </w:p>
        </w:tc>
      </w:tr>
      <w:tr w:rsidR="006B1444" w:rsidRPr="00FD119B" w14:paraId="191B7721" w14:textId="77777777" w:rsidTr="00FD119B">
        <w:tc>
          <w:tcPr>
            <w:tcW w:w="1809" w:type="dxa"/>
          </w:tcPr>
          <w:p w14:paraId="64050C44" w14:textId="77777777" w:rsidR="006B1444" w:rsidRPr="00271802" w:rsidRDefault="006B1444" w:rsidP="000D7927">
            <w:r>
              <w:t>F</w:t>
            </w:r>
          </w:p>
        </w:tc>
        <w:tc>
          <w:tcPr>
            <w:tcW w:w="6911" w:type="dxa"/>
          </w:tcPr>
          <w:p w14:paraId="30B489E9" w14:textId="77777777" w:rsidR="006B1444" w:rsidRDefault="006B1444" w:rsidP="0028737D">
            <w:r>
              <w:t>Fraction absorbed</w:t>
            </w:r>
          </w:p>
        </w:tc>
      </w:tr>
      <w:tr w:rsidR="006B1444" w:rsidRPr="00FD119B" w14:paraId="504B0958" w14:textId="77777777" w:rsidTr="00FD119B">
        <w:tc>
          <w:tcPr>
            <w:tcW w:w="1809" w:type="dxa"/>
          </w:tcPr>
          <w:p w14:paraId="4DB5EB67" w14:textId="77777777" w:rsidR="006B1444" w:rsidRPr="000D7927" w:rsidRDefault="006B1444" w:rsidP="000D7927">
            <w:r>
              <w:t>FDA</w:t>
            </w:r>
          </w:p>
        </w:tc>
        <w:tc>
          <w:tcPr>
            <w:tcW w:w="6911" w:type="dxa"/>
          </w:tcPr>
          <w:p w14:paraId="5714B405" w14:textId="77777777" w:rsidR="006B1444" w:rsidRPr="000D7927" w:rsidRDefault="006B1444" w:rsidP="00755683">
            <w:r>
              <w:t>Food and Drug Administration (United States)</w:t>
            </w:r>
          </w:p>
        </w:tc>
      </w:tr>
      <w:tr w:rsidR="006B1444" w:rsidRPr="00FD119B" w14:paraId="71C84F83" w14:textId="77777777" w:rsidTr="00FD119B">
        <w:tc>
          <w:tcPr>
            <w:tcW w:w="1809" w:type="dxa"/>
          </w:tcPr>
          <w:p w14:paraId="69B25387" w14:textId="77777777" w:rsidR="006B1444" w:rsidRPr="00E15890" w:rsidRDefault="006B1444" w:rsidP="000D7927">
            <w:r>
              <w:t>GP1b</w:t>
            </w:r>
          </w:p>
        </w:tc>
        <w:tc>
          <w:tcPr>
            <w:tcW w:w="6911" w:type="dxa"/>
          </w:tcPr>
          <w:p w14:paraId="793B44B8" w14:textId="77777777" w:rsidR="006B1444" w:rsidRDefault="006B1444" w:rsidP="004B3093">
            <w:r>
              <w:t>Glycoprotein 1</w:t>
            </w:r>
            <w:r w:rsidRPr="004B3093">
              <w:t>b</w:t>
            </w:r>
          </w:p>
        </w:tc>
      </w:tr>
      <w:tr w:rsidR="006B1444" w:rsidRPr="00FD119B" w14:paraId="1A2E459F" w14:textId="77777777" w:rsidTr="00FD119B">
        <w:tc>
          <w:tcPr>
            <w:tcW w:w="1809" w:type="dxa"/>
          </w:tcPr>
          <w:p w14:paraId="2C9F3A6B" w14:textId="77777777" w:rsidR="006B1444" w:rsidRDefault="006B1444" w:rsidP="000D7927">
            <w:r>
              <w:t>IV</w:t>
            </w:r>
          </w:p>
        </w:tc>
        <w:tc>
          <w:tcPr>
            <w:tcW w:w="6911" w:type="dxa"/>
          </w:tcPr>
          <w:p w14:paraId="7390EF03" w14:textId="77777777" w:rsidR="006B1444" w:rsidRDefault="006B1444" w:rsidP="000D7927">
            <w:r>
              <w:t>Intravenous</w:t>
            </w:r>
          </w:p>
        </w:tc>
      </w:tr>
      <w:tr w:rsidR="006B1444" w:rsidRPr="00FD119B" w14:paraId="32AE352C" w14:textId="77777777" w:rsidTr="00FD119B">
        <w:tc>
          <w:tcPr>
            <w:tcW w:w="1809" w:type="dxa"/>
          </w:tcPr>
          <w:p w14:paraId="7C319E3A" w14:textId="77777777" w:rsidR="006B1444" w:rsidRDefault="006B1444" w:rsidP="000D7927">
            <w:proofErr w:type="spellStart"/>
            <w:r w:rsidRPr="004151AE">
              <w:t>kDa</w:t>
            </w:r>
            <w:proofErr w:type="spellEnd"/>
          </w:p>
        </w:tc>
        <w:tc>
          <w:tcPr>
            <w:tcW w:w="6911" w:type="dxa"/>
          </w:tcPr>
          <w:p w14:paraId="1690237D" w14:textId="2E2C2225" w:rsidR="006B1444" w:rsidRDefault="000868CB" w:rsidP="0028737D">
            <w:proofErr w:type="spellStart"/>
            <w:r>
              <w:t>K</w:t>
            </w:r>
            <w:r w:rsidR="006B1444">
              <w:t>ilodalton</w:t>
            </w:r>
            <w:proofErr w:type="spellEnd"/>
          </w:p>
        </w:tc>
      </w:tr>
      <w:tr w:rsidR="006B1444" w:rsidRPr="00FD119B" w14:paraId="60163A65" w14:textId="77777777" w:rsidTr="00FD119B">
        <w:tc>
          <w:tcPr>
            <w:tcW w:w="1809" w:type="dxa"/>
          </w:tcPr>
          <w:p w14:paraId="603AACC1" w14:textId="77777777" w:rsidR="006B1444" w:rsidRDefault="006B1444" w:rsidP="000D7927">
            <w:r>
              <w:t>LDH</w:t>
            </w:r>
          </w:p>
        </w:tc>
        <w:tc>
          <w:tcPr>
            <w:tcW w:w="6911" w:type="dxa"/>
          </w:tcPr>
          <w:p w14:paraId="460244CD" w14:textId="77777777" w:rsidR="006B1444" w:rsidRDefault="006B1444" w:rsidP="00557A1B">
            <w:r>
              <w:t>L</w:t>
            </w:r>
            <w:r w:rsidRPr="000E1934">
              <w:t>actate dehydrogenase</w:t>
            </w:r>
          </w:p>
        </w:tc>
      </w:tr>
      <w:tr w:rsidR="006B1444" w:rsidRPr="00FD119B" w14:paraId="45154AEC" w14:textId="77777777" w:rsidTr="00FD119B">
        <w:tc>
          <w:tcPr>
            <w:tcW w:w="1809" w:type="dxa"/>
          </w:tcPr>
          <w:p w14:paraId="4FCB314C" w14:textId="77777777" w:rsidR="006B1444" w:rsidRDefault="006B1444" w:rsidP="000D7927">
            <w:r>
              <w:t>Nab</w:t>
            </w:r>
          </w:p>
        </w:tc>
        <w:tc>
          <w:tcPr>
            <w:tcW w:w="6911" w:type="dxa"/>
          </w:tcPr>
          <w:p w14:paraId="412F0D12" w14:textId="77777777" w:rsidR="006B1444" w:rsidRDefault="006B1444" w:rsidP="00CC04AE">
            <w:r>
              <w:t>Neutralising antibody</w:t>
            </w:r>
          </w:p>
        </w:tc>
      </w:tr>
      <w:tr w:rsidR="006B1444" w:rsidRPr="00FD119B" w14:paraId="7CCD8D7F" w14:textId="77777777" w:rsidTr="00FD119B">
        <w:tc>
          <w:tcPr>
            <w:tcW w:w="1809" w:type="dxa"/>
          </w:tcPr>
          <w:p w14:paraId="5CE82257" w14:textId="77777777" w:rsidR="006B1444" w:rsidRDefault="006B1444" w:rsidP="000D7927">
            <w:r w:rsidRPr="00271802">
              <w:t>PD</w:t>
            </w:r>
          </w:p>
        </w:tc>
        <w:tc>
          <w:tcPr>
            <w:tcW w:w="6911" w:type="dxa"/>
          </w:tcPr>
          <w:p w14:paraId="507A3EF1" w14:textId="77777777" w:rsidR="006B1444" w:rsidRDefault="006B1444" w:rsidP="0028737D">
            <w:proofErr w:type="spellStart"/>
            <w:r>
              <w:t>Pharmacodynamic</w:t>
            </w:r>
            <w:proofErr w:type="spellEnd"/>
            <w:r>
              <w:t>(s)</w:t>
            </w:r>
          </w:p>
        </w:tc>
      </w:tr>
      <w:tr w:rsidR="006B1444" w:rsidRPr="00FD119B" w14:paraId="1EAD0A19" w14:textId="77777777" w:rsidTr="00FD119B">
        <w:tc>
          <w:tcPr>
            <w:tcW w:w="1809" w:type="dxa"/>
          </w:tcPr>
          <w:p w14:paraId="74BA3B31" w14:textId="77777777" w:rsidR="006B1444" w:rsidRPr="000D7927" w:rsidRDefault="006B1444" w:rsidP="000D7927">
            <w:r>
              <w:t>PE</w:t>
            </w:r>
          </w:p>
        </w:tc>
        <w:tc>
          <w:tcPr>
            <w:tcW w:w="6911" w:type="dxa"/>
          </w:tcPr>
          <w:p w14:paraId="277DC2F5" w14:textId="77777777" w:rsidR="006B1444" w:rsidRDefault="006B1444" w:rsidP="00755683">
            <w:r>
              <w:t>Plasma exchange</w:t>
            </w:r>
          </w:p>
        </w:tc>
      </w:tr>
      <w:tr w:rsidR="006B1444" w:rsidRPr="00FD119B" w14:paraId="0F140FDF" w14:textId="77777777" w:rsidTr="00FD119B">
        <w:tc>
          <w:tcPr>
            <w:tcW w:w="1809" w:type="dxa"/>
          </w:tcPr>
          <w:p w14:paraId="6F69136E" w14:textId="77777777" w:rsidR="006B1444" w:rsidRDefault="006B1444" w:rsidP="000D7927">
            <w:r>
              <w:t>PI</w:t>
            </w:r>
          </w:p>
        </w:tc>
        <w:tc>
          <w:tcPr>
            <w:tcW w:w="6911" w:type="dxa"/>
          </w:tcPr>
          <w:p w14:paraId="2D1B6590" w14:textId="77777777" w:rsidR="006B1444" w:rsidRDefault="006B1444" w:rsidP="000D7927">
            <w:r>
              <w:t>Product Information</w:t>
            </w:r>
          </w:p>
        </w:tc>
      </w:tr>
      <w:tr w:rsidR="006B1444" w:rsidRPr="00FD119B" w14:paraId="3A3D6600" w14:textId="77777777" w:rsidTr="00FD119B">
        <w:tc>
          <w:tcPr>
            <w:tcW w:w="1809" w:type="dxa"/>
          </w:tcPr>
          <w:p w14:paraId="0FB1873A" w14:textId="77777777" w:rsidR="006B1444" w:rsidRDefault="006B1444" w:rsidP="000D7927">
            <w:r w:rsidRPr="00271802">
              <w:lastRenderedPageBreak/>
              <w:t>PK</w:t>
            </w:r>
          </w:p>
        </w:tc>
        <w:tc>
          <w:tcPr>
            <w:tcW w:w="6911" w:type="dxa"/>
          </w:tcPr>
          <w:p w14:paraId="289D6BCD" w14:textId="77777777" w:rsidR="006B1444" w:rsidRDefault="006B1444" w:rsidP="0028737D">
            <w:r>
              <w:t>Pharmacokinetic(s)</w:t>
            </w:r>
          </w:p>
        </w:tc>
      </w:tr>
      <w:tr w:rsidR="006B1444" w:rsidRPr="00FD119B" w14:paraId="2CD3A38C" w14:textId="77777777" w:rsidTr="00FD119B">
        <w:tc>
          <w:tcPr>
            <w:tcW w:w="1809" w:type="dxa"/>
          </w:tcPr>
          <w:p w14:paraId="607ECF43" w14:textId="77777777" w:rsidR="006B1444" w:rsidRPr="00E15890" w:rsidRDefault="006B1444" w:rsidP="000D7927">
            <w:r>
              <w:t>pre-Ab</w:t>
            </w:r>
          </w:p>
        </w:tc>
        <w:tc>
          <w:tcPr>
            <w:tcW w:w="6911" w:type="dxa"/>
          </w:tcPr>
          <w:p w14:paraId="7BE21F31" w14:textId="77777777" w:rsidR="006B1444" w:rsidRDefault="006B1444" w:rsidP="0058132E">
            <w:r>
              <w:t>Pre-existing antibody</w:t>
            </w:r>
          </w:p>
        </w:tc>
      </w:tr>
      <w:tr w:rsidR="006B1444" w:rsidRPr="00FD119B" w14:paraId="3B7D2BA0" w14:textId="77777777" w:rsidTr="00FD119B">
        <w:tc>
          <w:tcPr>
            <w:tcW w:w="1809" w:type="dxa"/>
          </w:tcPr>
          <w:p w14:paraId="4E35F85E" w14:textId="77777777" w:rsidR="006B1444" w:rsidRPr="00E15890" w:rsidRDefault="006B1444" w:rsidP="000D7927">
            <w:r w:rsidRPr="00E15890">
              <w:t>RICA</w:t>
            </w:r>
          </w:p>
        </w:tc>
        <w:tc>
          <w:tcPr>
            <w:tcW w:w="6911" w:type="dxa"/>
          </w:tcPr>
          <w:p w14:paraId="07860512" w14:textId="77777777" w:rsidR="006B1444" w:rsidRDefault="006B1444" w:rsidP="004B3093">
            <w:proofErr w:type="spellStart"/>
            <w:r>
              <w:t>R</w:t>
            </w:r>
            <w:r w:rsidRPr="004B3093">
              <w:t>istocet</w:t>
            </w:r>
            <w:r>
              <w:t>in</w:t>
            </w:r>
            <w:proofErr w:type="spellEnd"/>
            <w:r>
              <w:t>-induced platelet aggregation</w:t>
            </w:r>
          </w:p>
        </w:tc>
      </w:tr>
      <w:tr w:rsidR="006B1444" w:rsidRPr="00FD119B" w14:paraId="6596CFDB" w14:textId="77777777" w:rsidTr="00FD119B">
        <w:tc>
          <w:tcPr>
            <w:tcW w:w="1809" w:type="dxa"/>
          </w:tcPr>
          <w:p w14:paraId="4BFF79C8" w14:textId="77777777" w:rsidR="006B1444" w:rsidRPr="00271802" w:rsidRDefault="006B1444" w:rsidP="000D7927">
            <w:r w:rsidRPr="00E15890">
              <w:t>RICO</w:t>
            </w:r>
          </w:p>
        </w:tc>
        <w:tc>
          <w:tcPr>
            <w:tcW w:w="6911" w:type="dxa"/>
          </w:tcPr>
          <w:p w14:paraId="22EFD3A3" w14:textId="77777777" w:rsidR="006B1444" w:rsidRDefault="006B1444" w:rsidP="004B3093">
            <w:proofErr w:type="spellStart"/>
            <w:r>
              <w:t>Ristocetin</w:t>
            </w:r>
            <w:proofErr w:type="spellEnd"/>
            <w:r>
              <w:noBreakHyphen/>
            </w:r>
            <w:r w:rsidRPr="004B3093">
              <w:t>induced cofactor activity</w:t>
            </w:r>
          </w:p>
        </w:tc>
      </w:tr>
      <w:tr w:rsidR="006B1444" w:rsidRPr="00FD119B" w14:paraId="68829028" w14:textId="77777777" w:rsidTr="00FD119B">
        <w:tc>
          <w:tcPr>
            <w:tcW w:w="1809" w:type="dxa"/>
          </w:tcPr>
          <w:p w14:paraId="65B0F4E0" w14:textId="77777777" w:rsidR="006B1444" w:rsidRDefault="006B1444" w:rsidP="000D7927">
            <w:r>
              <w:t>SC</w:t>
            </w:r>
          </w:p>
        </w:tc>
        <w:tc>
          <w:tcPr>
            <w:tcW w:w="6911" w:type="dxa"/>
          </w:tcPr>
          <w:p w14:paraId="50AF19EE" w14:textId="77777777" w:rsidR="006B1444" w:rsidRDefault="006B1444" w:rsidP="009B3D56">
            <w:r>
              <w:t>Subcutaneous</w:t>
            </w:r>
          </w:p>
        </w:tc>
      </w:tr>
      <w:tr w:rsidR="006B1444" w:rsidRPr="00FD119B" w14:paraId="4C972971" w14:textId="77777777" w:rsidTr="00FD119B">
        <w:tc>
          <w:tcPr>
            <w:tcW w:w="1809" w:type="dxa"/>
          </w:tcPr>
          <w:p w14:paraId="73E1406B" w14:textId="77777777" w:rsidR="006B1444" w:rsidRDefault="006B1444" w:rsidP="000D7927">
            <w:r>
              <w:t>TE</w:t>
            </w:r>
          </w:p>
        </w:tc>
        <w:tc>
          <w:tcPr>
            <w:tcW w:w="6911" w:type="dxa"/>
          </w:tcPr>
          <w:p w14:paraId="23714CAC" w14:textId="77777777" w:rsidR="006B1444" w:rsidRDefault="006B1444" w:rsidP="0058132E">
            <w:r>
              <w:t>Treatment-emergent</w:t>
            </w:r>
          </w:p>
        </w:tc>
      </w:tr>
      <w:tr w:rsidR="006B1444" w:rsidRPr="00FD119B" w14:paraId="598C4E1F" w14:textId="77777777" w:rsidTr="00FD119B">
        <w:tc>
          <w:tcPr>
            <w:tcW w:w="1809" w:type="dxa"/>
          </w:tcPr>
          <w:p w14:paraId="5E1DAE6A" w14:textId="77777777" w:rsidR="006B1444" w:rsidRDefault="006B1444" w:rsidP="000D7927">
            <w:r>
              <w:rPr>
                <w:noProof/>
              </w:rPr>
              <w:t>TEAE</w:t>
            </w:r>
          </w:p>
        </w:tc>
        <w:tc>
          <w:tcPr>
            <w:tcW w:w="6911" w:type="dxa"/>
          </w:tcPr>
          <w:p w14:paraId="33B8F499" w14:textId="77777777" w:rsidR="006B1444" w:rsidRDefault="006B1444" w:rsidP="006A7195">
            <w:r>
              <w:rPr>
                <w:noProof/>
              </w:rPr>
              <w:t>Treatment emergent adverse event</w:t>
            </w:r>
          </w:p>
        </w:tc>
      </w:tr>
      <w:tr w:rsidR="006B1444" w:rsidRPr="00FD119B" w14:paraId="5A4D3594" w14:textId="77777777" w:rsidTr="00FD119B">
        <w:tc>
          <w:tcPr>
            <w:tcW w:w="1809" w:type="dxa"/>
          </w:tcPr>
          <w:p w14:paraId="769DF278" w14:textId="77777777" w:rsidR="006B1444" w:rsidRDefault="006B1444" w:rsidP="000D7927">
            <w:r>
              <w:t>TTP</w:t>
            </w:r>
          </w:p>
        </w:tc>
        <w:tc>
          <w:tcPr>
            <w:tcW w:w="6911" w:type="dxa"/>
          </w:tcPr>
          <w:p w14:paraId="246BE56C" w14:textId="77777777" w:rsidR="006B1444" w:rsidRDefault="006B1444" w:rsidP="0058132E">
            <w:r>
              <w:t>Thrombotic thrombocytopenic purpura</w:t>
            </w:r>
          </w:p>
        </w:tc>
      </w:tr>
      <w:tr w:rsidR="006B1444" w:rsidRPr="00FD119B" w14:paraId="6AD469CE" w14:textId="77777777" w:rsidTr="00FD119B">
        <w:tc>
          <w:tcPr>
            <w:tcW w:w="1809" w:type="dxa"/>
          </w:tcPr>
          <w:p w14:paraId="5F0D4455" w14:textId="77777777" w:rsidR="006B1444" w:rsidRDefault="006B1444" w:rsidP="000D7927">
            <w:r>
              <w:t>ULN</w:t>
            </w:r>
          </w:p>
        </w:tc>
        <w:tc>
          <w:tcPr>
            <w:tcW w:w="6911" w:type="dxa"/>
          </w:tcPr>
          <w:p w14:paraId="1B035B5B" w14:textId="77777777" w:rsidR="006B1444" w:rsidRDefault="006B1444" w:rsidP="00557A1B">
            <w:r>
              <w:t>Upper limit of normal</w:t>
            </w:r>
          </w:p>
        </w:tc>
      </w:tr>
      <w:tr w:rsidR="006B1444" w:rsidRPr="00FD119B" w14:paraId="3391FAC8" w14:textId="77777777" w:rsidTr="00FD119B">
        <w:tc>
          <w:tcPr>
            <w:tcW w:w="1809" w:type="dxa"/>
          </w:tcPr>
          <w:p w14:paraId="71EBE311" w14:textId="77777777" w:rsidR="006B1444" w:rsidRPr="000D7927" w:rsidRDefault="006B1444" w:rsidP="000D7927">
            <w:proofErr w:type="spellStart"/>
            <w:r w:rsidRPr="000D7927">
              <w:t>ULvWF</w:t>
            </w:r>
            <w:proofErr w:type="spellEnd"/>
          </w:p>
        </w:tc>
        <w:tc>
          <w:tcPr>
            <w:tcW w:w="6911" w:type="dxa"/>
          </w:tcPr>
          <w:p w14:paraId="0172FE4A" w14:textId="77777777" w:rsidR="006B1444" w:rsidRPr="000D7927" w:rsidRDefault="006B1444" w:rsidP="00755683">
            <w:r>
              <w:t>U</w:t>
            </w:r>
            <w:r w:rsidRPr="000D7927">
              <w:t xml:space="preserve">ltra-large </w:t>
            </w:r>
            <w:r>
              <w:t xml:space="preserve">von </w:t>
            </w:r>
            <w:proofErr w:type="spellStart"/>
            <w:r>
              <w:t>Willebrand</w:t>
            </w:r>
            <w:proofErr w:type="spellEnd"/>
            <w:r>
              <w:t xml:space="preserve"> factor</w:t>
            </w:r>
          </w:p>
        </w:tc>
      </w:tr>
      <w:tr w:rsidR="006B1444" w:rsidRPr="00FD119B" w14:paraId="0C826F28" w14:textId="77777777" w:rsidTr="00FD119B">
        <w:tc>
          <w:tcPr>
            <w:tcW w:w="1809" w:type="dxa"/>
          </w:tcPr>
          <w:p w14:paraId="024E9058" w14:textId="77777777" w:rsidR="006B1444" w:rsidRPr="00271802" w:rsidRDefault="006B1444" w:rsidP="000D7927">
            <w:r w:rsidRPr="003A551A">
              <w:t>V</w:t>
            </w:r>
          </w:p>
        </w:tc>
        <w:tc>
          <w:tcPr>
            <w:tcW w:w="6911" w:type="dxa"/>
          </w:tcPr>
          <w:p w14:paraId="1B043C1A" w14:textId="77777777" w:rsidR="006B1444" w:rsidRDefault="006B1444" w:rsidP="0028737D">
            <w:r>
              <w:t>Volume of distribution</w:t>
            </w:r>
          </w:p>
        </w:tc>
      </w:tr>
      <w:tr w:rsidR="006B1444" w:rsidRPr="00FD119B" w14:paraId="72B75452" w14:textId="77777777" w:rsidTr="00FD119B">
        <w:tc>
          <w:tcPr>
            <w:tcW w:w="1809" w:type="dxa"/>
          </w:tcPr>
          <w:p w14:paraId="02EEF8C3" w14:textId="77777777" w:rsidR="006B1444" w:rsidRPr="00FD119B" w:rsidRDefault="006B1444" w:rsidP="000D7927">
            <w:pPr>
              <w:rPr>
                <w:color w:val="auto"/>
                <w:szCs w:val="22"/>
                <w:lang w:eastAsia="en-US"/>
              </w:rPr>
            </w:pPr>
            <w:proofErr w:type="spellStart"/>
            <w:r>
              <w:t>vWF</w:t>
            </w:r>
            <w:proofErr w:type="spellEnd"/>
          </w:p>
        </w:tc>
        <w:tc>
          <w:tcPr>
            <w:tcW w:w="6911" w:type="dxa"/>
          </w:tcPr>
          <w:p w14:paraId="24C9F48C" w14:textId="77777777" w:rsidR="006B1444" w:rsidRPr="00FD119B" w:rsidRDefault="006B1444" w:rsidP="000D7927">
            <w:pPr>
              <w:rPr>
                <w:color w:val="auto"/>
                <w:szCs w:val="22"/>
                <w:lang w:eastAsia="en-US"/>
              </w:rPr>
            </w:pPr>
            <w:r>
              <w:t xml:space="preserve">von </w:t>
            </w:r>
            <w:proofErr w:type="spellStart"/>
            <w:r>
              <w:t>Willebrand</w:t>
            </w:r>
            <w:proofErr w:type="spellEnd"/>
            <w:r>
              <w:t xml:space="preserve"> factor</w:t>
            </w:r>
          </w:p>
        </w:tc>
      </w:tr>
      <w:tr w:rsidR="006B1444" w:rsidRPr="00FD119B" w14:paraId="06CFC11A" w14:textId="77777777" w:rsidTr="00FD119B">
        <w:tc>
          <w:tcPr>
            <w:tcW w:w="1809" w:type="dxa"/>
          </w:tcPr>
          <w:p w14:paraId="7E2AC27D" w14:textId="77777777" w:rsidR="006B1444" w:rsidRDefault="006B1444" w:rsidP="000D7927">
            <w:proofErr w:type="spellStart"/>
            <w:r>
              <w:t>vWF</w:t>
            </w:r>
            <w:proofErr w:type="spellEnd"/>
            <w:r>
              <w:t xml:space="preserve">: </w:t>
            </w:r>
            <w:proofErr w:type="spellStart"/>
            <w:r>
              <w:t>RCo</w:t>
            </w:r>
            <w:proofErr w:type="spellEnd"/>
          </w:p>
        </w:tc>
        <w:tc>
          <w:tcPr>
            <w:tcW w:w="6911" w:type="dxa"/>
          </w:tcPr>
          <w:p w14:paraId="49741ED6" w14:textId="77777777" w:rsidR="006B1444" w:rsidRDefault="006B1444" w:rsidP="00CC04AE">
            <w:r>
              <w:t>v</w:t>
            </w:r>
            <w:r w:rsidRPr="00CC04AE">
              <w:t xml:space="preserve">on </w:t>
            </w:r>
            <w:proofErr w:type="spellStart"/>
            <w:r w:rsidRPr="00CC04AE">
              <w:t>Willebrand</w:t>
            </w:r>
            <w:proofErr w:type="spellEnd"/>
            <w:r w:rsidRPr="00CC04AE">
              <w:t xml:space="preserve"> </w:t>
            </w:r>
            <w:proofErr w:type="spellStart"/>
            <w:r>
              <w:t>ristocetin</w:t>
            </w:r>
            <w:proofErr w:type="spellEnd"/>
            <w:r>
              <w:t xml:space="preserve"> cofactor</w:t>
            </w:r>
          </w:p>
        </w:tc>
      </w:tr>
      <w:tr w:rsidR="006B1444" w:rsidRPr="00FD119B" w14:paraId="3832CEFA" w14:textId="77777777" w:rsidTr="00FD119B">
        <w:tc>
          <w:tcPr>
            <w:tcW w:w="1809" w:type="dxa"/>
          </w:tcPr>
          <w:p w14:paraId="6B2FAF40" w14:textId="77777777" w:rsidR="006B1444" w:rsidRPr="00271802" w:rsidRDefault="006B1444" w:rsidP="000D7927">
            <w:proofErr w:type="spellStart"/>
            <w:r>
              <w:t>v</w:t>
            </w:r>
            <w:r w:rsidRPr="00DB652B">
              <w:t>WF:Ag</w:t>
            </w:r>
            <w:proofErr w:type="spellEnd"/>
          </w:p>
        </w:tc>
        <w:tc>
          <w:tcPr>
            <w:tcW w:w="6911" w:type="dxa"/>
          </w:tcPr>
          <w:p w14:paraId="1F631BEB" w14:textId="77777777" w:rsidR="006B1444" w:rsidRDefault="006B1444" w:rsidP="0028737D">
            <w:r w:rsidRPr="00DB652B">
              <w:t xml:space="preserve">von </w:t>
            </w:r>
            <w:proofErr w:type="spellStart"/>
            <w:r w:rsidRPr="00DB652B">
              <w:t>Willebrand</w:t>
            </w:r>
            <w:proofErr w:type="spellEnd"/>
            <w:r w:rsidRPr="00DB652B">
              <w:t xml:space="preserve"> factor antigen</w:t>
            </w:r>
          </w:p>
        </w:tc>
      </w:tr>
    </w:tbl>
    <w:p w14:paraId="33796F07" w14:textId="77777777" w:rsidR="008E7846" w:rsidRDefault="00F53C07" w:rsidP="002566B0">
      <w:pPr>
        <w:pStyle w:val="Heading2"/>
        <w:pageBreakBefore/>
      </w:pPr>
      <w:bookmarkStart w:id="8" w:name="_Toc39569369"/>
      <w:r>
        <w:lastRenderedPageBreak/>
        <w:t>I.</w:t>
      </w:r>
      <w:r w:rsidR="008E7846">
        <w:t xml:space="preserve"> Introduction to product submission</w:t>
      </w:r>
      <w:bookmarkEnd w:id="8"/>
      <w:bookmarkEnd w:id="0"/>
      <w:bookmarkEnd w:id="2"/>
    </w:p>
    <w:p w14:paraId="54A53F13" w14:textId="77777777" w:rsidR="008E7846" w:rsidRDefault="008E7846" w:rsidP="008E7846">
      <w:pPr>
        <w:pStyle w:val="Heading3"/>
        <w:rPr>
          <w:lang w:eastAsia="en-AU"/>
        </w:rPr>
      </w:pPr>
      <w:bookmarkStart w:id="9" w:name="_Toc247691502"/>
      <w:bookmarkStart w:id="10" w:name="_Toc314842483"/>
      <w:bookmarkStart w:id="11" w:name="_Toc39569370"/>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0A9B9EC" w14:textId="77777777" w:rsidTr="003735BC">
        <w:tc>
          <w:tcPr>
            <w:tcW w:w="2907" w:type="dxa"/>
          </w:tcPr>
          <w:p w14:paraId="6271AC7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DF16483" w14:textId="77777777" w:rsidR="008E7846" w:rsidRPr="003D1E62" w:rsidRDefault="00C823D5" w:rsidP="001B5C90">
            <w:r>
              <w:rPr>
                <w:rFonts w:eastAsia="Calibri"/>
              </w:rPr>
              <w:t>New biological entity</w:t>
            </w:r>
          </w:p>
        </w:tc>
      </w:tr>
      <w:tr w:rsidR="008E7846" w:rsidRPr="003D1E62" w14:paraId="20AB2E6D" w14:textId="77777777" w:rsidTr="003735BC">
        <w:tc>
          <w:tcPr>
            <w:tcW w:w="2907" w:type="dxa"/>
          </w:tcPr>
          <w:p w14:paraId="3A4E85C0" w14:textId="77777777" w:rsidR="008E7846" w:rsidRPr="003D1E62" w:rsidRDefault="008E7846" w:rsidP="003D1E62">
            <w:r w:rsidRPr="003D1E62">
              <w:rPr>
                <w:i/>
              </w:rPr>
              <w:t>Decision</w:t>
            </w:r>
            <w:r w:rsidRPr="003D1E62">
              <w:t>:</w:t>
            </w:r>
          </w:p>
        </w:tc>
        <w:tc>
          <w:tcPr>
            <w:tcW w:w="6307" w:type="dxa"/>
          </w:tcPr>
          <w:p w14:paraId="716DE9B1" w14:textId="77777777" w:rsidR="008E7846" w:rsidRPr="003D1E62" w:rsidRDefault="00C823D5" w:rsidP="00C823D5">
            <w:r>
              <w:t>Approved</w:t>
            </w:r>
          </w:p>
        </w:tc>
      </w:tr>
      <w:tr w:rsidR="00C823D5" w:rsidRPr="003D1E62" w14:paraId="7801E8CE" w14:textId="77777777" w:rsidTr="003735BC">
        <w:tc>
          <w:tcPr>
            <w:tcW w:w="2907" w:type="dxa"/>
          </w:tcPr>
          <w:p w14:paraId="6220E0A4" w14:textId="77777777" w:rsidR="00C823D5" w:rsidRPr="003D1E62" w:rsidRDefault="00C823D5" w:rsidP="00C823D5">
            <w:pPr>
              <w:rPr>
                <w:i/>
              </w:rPr>
            </w:pPr>
            <w:r w:rsidRPr="003D1E62">
              <w:rPr>
                <w:i/>
              </w:rPr>
              <w:t xml:space="preserve">Date of </w:t>
            </w:r>
            <w:r>
              <w:rPr>
                <w:i/>
              </w:rPr>
              <w:t>d</w:t>
            </w:r>
            <w:r w:rsidRPr="003D1E62">
              <w:rPr>
                <w:i/>
              </w:rPr>
              <w:t>ecision:</w:t>
            </w:r>
          </w:p>
        </w:tc>
        <w:tc>
          <w:tcPr>
            <w:tcW w:w="6307" w:type="dxa"/>
          </w:tcPr>
          <w:p w14:paraId="2256D3A3" w14:textId="77777777" w:rsidR="00C823D5" w:rsidRPr="008F649E" w:rsidRDefault="00C823D5" w:rsidP="00C823D5">
            <w:r w:rsidRPr="008F649E">
              <w:t>30 January 2020</w:t>
            </w:r>
          </w:p>
        </w:tc>
      </w:tr>
      <w:tr w:rsidR="00C823D5" w:rsidRPr="003D1E62" w14:paraId="26DDE3C2" w14:textId="77777777" w:rsidTr="003735BC">
        <w:tc>
          <w:tcPr>
            <w:tcW w:w="2907" w:type="dxa"/>
          </w:tcPr>
          <w:p w14:paraId="7C4D29CF" w14:textId="77777777" w:rsidR="00C823D5" w:rsidRPr="00441C3F" w:rsidRDefault="00C823D5" w:rsidP="00C823D5">
            <w:pPr>
              <w:rPr>
                <w:i/>
              </w:rPr>
            </w:pPr>
            <w:r w:rsidRPr="00441C3F">
              <w:rPr>
                <w:i/>
              </w:rPr>
              <w:t>Date of entry onto ARTG</w:t>
            </w:r>
            <w:r>
              <w:rPr>
                <w:i/>
              </w:rPr>
              <w:t>:</w:t>
            </w:r>
          </w:p>
        </w:tc>
        <w:tc>
          <w:tcPr>
            <w:tcW w:w="6307" w:type="dxa"/>
          </w:tcPr>
          <w:p w14:paraId="3749D785" w14:textId="77777777" w:rsidR="00C823D5" w:rsidRDefault="00C823D5" w:rsidP="00C823D5">
            <w:r w:rsidRPr="008F649E">
              <w:t>5 February 2020</w:t>
            </w:r>
          </w:p>
        </w:tc>
      </w:tr>
      <w:tr w:rsidR="00500337" w:rsidRPr="003D1E62" w14:paraId="26546D01" w14:textId="77777777" w:rsidTr="003735BC">
        <w:tc>
          <w:tcPr>
            <w:tcW w:w="2907" w:type="dxa"/>
          </w:tcPr>
          <w:p w14:paraId="2977462C" w14:textId="77777777" w:rsidR="00500337" w:rsidRPr="00441C3F" w:rsidRDefault="00C823D5" w:rsidP="001B5C90">
            <w:pPr>
              <w:rPr>
                <w:i/>
              </w:rPr>
            </w:pPr>
            <w:r>
              <w:rPr>
                <w:i/>
              </w:rPr>
              <w:t>ARTG number</w:t>
            </w:r>
            <w:r w:rsidR="00500337">
              <w:rPr>
                <w:i/>
              </w:rPr>
              <w:t>:</w:t>
            </w:r>
          </w:p>
        </w:tc>
        <w:tc>
          <w:tcPr>
            <w:tcW w:w="6307" w:type="dxa"/>
          </w:tcPr>
          <w:p w14:paraId="5FCBBE67" w14:textId="77777777" w:rsidR="00500337" w:rsidRPr="00441C3F" w:rsidRDefault="00C823D5" w:rsidP="00EC463D">
            <w:r w:rsidRPr="001365F3">
              <w:rPr>
                <w:rFonts w:eastAsia="Calibri"/>
              </w:rPr>
              <w:t>318058</w:t>
            </w:r>
          </w:p>
        </w:tc>
      </w:tr>
      <w:tr w:rsidR="003735BC" w:rsidRPr="003D1E62" w14:paraId="57BA8F12" w14:textId="77777777" w:rsidTr="003735BC">
        <w:tc>
          <w:tcPr>
            <w:tcW w:w="2907" w:type="dxa"/>
          </w:tcPr>
          <w:p w14:paraId="0FE6954F"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1BFAB84A" w14:textId="77777777" w:rsidR="003735BC" w:rsidRDefault="00C823D5" w:rsidP="003735BC">
            <w:r>
              <w:t>Yes</w:t>
            </w:r>
          </w:p>
          <w:p w14:paraId="7C7CB862" w14:textId="77777777" w:rsidR="003735BC" w:rsidRPr="00487162" w:rsidRDefault="003735BC" w:rsidP="003735BC">
            <w:r>
              <w:t xml:space="preserve">This product will remain in the scheme for 5 years, starting on the date the product </w:t>
            </w:r>
            <w:proofErr w:type="gramStart"/>
            <w:r>
              <w:t>is first supplied</w:t>
            </w:r>
            <w:proofErr w:type="gramEnd"/>
            <w:r>
              <w:t xml:space="preserve"> in </w:t>
            </w:r>
            <w:r w:rsidR="00C823D5">
              <w:t>Australia.</w:t>
            </w:r>
          </w:p>
        </w:tc>
      </w:tr>
    </w:tbl>
    <w:p w14:paraId="2B0F8EF7"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7FF2AAAB" w14:textId="77777777" w:rsidTr="00BF1190">
        <w:tc>
          <w:tcPr>
            <w:tcW w:w="2907" w:type="dxa"/>
          </w:tcPr>
          <w:p w14:paraId="0EEC6303" w14:textId="77777777" w:rsidR="008E7846" w:rsidRPr="00487162" w:rsidRDefault="001B5C90" w:rsidP="00E45619">
            <w:pPr>
              <w:rPr>
                <w:i/>
              </w:rPr>
            </w:pPr>
            <w:r>
              <w:rPr>
                <w:i/>
              </w:rPr>
              <w:t>Active in</w:t>
            </w:r>
            <w:r w:rsidR="00C823D5">
              <w:rPr>
                <w:i/>
              </w:rPr>
              <w:t>gredient</w:t>
            </w:r>
            <w:r>
              <w:rPr>
                <w:i/>
              </w:rPr>
              <w:t>:</w:t>
            </w:r>
          </w:p>
        </w:tc>
        <w:tc>
          <w:tcPr>
            <w:tcW w:w="6307" w:type="dxa"/>
          </w:tcPr>
          <w:p w14:paraId="1D9F364B" w14:textId="77777777" w:rsidR="008E7846" w:rsidRPr="00487162" w:rsidRDefault="00C823D5" w:rsidP="00E55CB0">
            <w:proofErr w:type="spellStart"/>
            <w:r>
              <w:rPr>
                <w:rFonts w:eastAsia="Calibri"/>
              </w:rPr>
              <w:t>C</w:t>
            </w:r>
            <w:r w:rsidRPr="001365F3">
              <w:rPr>
                <w:rFonts w:eastAsia="Calibri"/>
              </w:rPr>
              <w:t>aplacizumab</w:t>
            </w:r>
            <w:proofErr w:type="spellEnd"/>
          </w:p>
        </w:tc>
      </w:tr>
      <w:tr w:rsidR="008E7846" w:rsidRPr="00487162" w14:paraId="721948B7" w14:textId="77777777" w:rsidTr="00BF1190">
        <w:tc>
          <w:tcPr>
            <w:tcW w:w="2907" w:type="dxa"/>
          </w:tcPr>
          <w:p w14:paraId="1B8A50A5" w14:textId="77777777" w:rsidR="008E7846" w:rsidRPr="00487162" w:rsidRDefault="008E7846" w:rsidP="001B5C90">
            <w:pPr>
              <w:rPr>
                <w:i/>
              </w:rPr>
            </w:pPr>
            <w:r w:rsidRPr="00487162">
              <w:rPr>
                <w:i/>
              </w:rPr>
              <w:t>Product</w:t>
            </w:r>
            <w:r w:rsidR="00C823D5">
              <w:rPr>
                <w:i/>
              </w:rPr>
              <w:t xml:space="preserve"> name</w:t>
            </w:r>
            <w:r w:rsidR="001B5C90">
              <w:rPr>
                <w:i/>
              </w:rPr>
              <w:t>:</w:t>
            </w:r>
          </w:p>
        </w:tc>
        <w:tc>
          <w:tcPr>
            <w:tcW w:w="6307" w:type="dxa"/>
          </w:tcPr>
          <w:p w14:paraId="24447A6C" w14:textId="77777777" w:rsidR="008E7846" w:rsidRPr="00487162" w:rsidRDefault="00C823D5" w:rsidP="00E45619">
            <w:proofErr w:type="spellStart"/>
            <w:r w:rsidRPr="001365F3">
              <w:t>Cablivi</w:t>
            </w:r>
            <w:proofErr w:type="spellEnd"/>
          </w:p>
        </w:tc>
      </w:tr>
      <w:tr w:rsidR="008E7846" w:rsidRPr="00487162" w14:paraId="110F81B9" w14:textId="77777777" w:rsidTr="00BF1190">
        <w:tc>
          <w:tcPr>
            <w:tcW w:w="2907" w:type="dxa"/>
          </w:tcPr>
          <w:p w14:paraId="4F07794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CC3BEA7" w14:textId="77777777" w:rsidR="00C823D5" w:rsidRPr="001365F3" w:rsidRDefault="00C823D5" w:rsidP="008D297E">
            <w:pPr>
              <w:rPr>
                <w:lang w:val="es-ES"/>
              </w:rPr>
            </w:pPr>
            <w:r w:rsidRPr="001365F3">
              <w:rPr>
                <w:lang w:val="es-ES"/>
              </w:rPr>
              <w:t xml:space="preserve">Sanofi-Aventis Australia </w:t>
            </w:r>
            <w:proofErr w:type="spellStart"/>
            <w:r w:rsidRPr="001365F3">
              <w:rPr>
                <w:lang w:val="es-ES"/>
              </w:rPr>
              <w:t>Pty</w:t>
            </w:r>
            <w:proofErr w:type="spellEnd"/>
            <w:r w:rsidRPr="001365F3">
              <w:rPr>
                <w:lang w:val="es-ES"/>
              </w:rPr>
              <w:t xml:space="preserve"> </w:t>
            </w:r>
            <w:proofErr w:type="spellStart"/>
            <w:r w:rsidRPr="001365F3">
              <w:rPr>
                <w:lang w:val="es-ES"/>
              </w:rPr>
              <w:t>Ltd</w:t>
            </w:r>
            <w:proofErr w:type="spellEnd"/>
          </w:p>
          <w:p w14:paraId="2C75F92A" w14:textId="77777777" w:rsidR="00C823D5" w:rsidRDefault="00C823D5" w:rsidP="008D297E">
            <w:pPr>
              <w:rPr>
                <w:lang w:val="es-ES"/>
              </w:rPr>
            </w:pPr>
            <w:r w:rsidRPr="001365F3">
              <w:rPr>
                <w:lang w:val="es-ES"/>
              </w:rPr>
              <w:t>12-24</w:t>
            </w:r>
            <w:r>
              <w:rPr>
                <w:lang w:val="es-ES"/>
              </w:rPr>
              <w:t xml:space="preserve"> Talavera Road</w:t>
            </w:r>
          </w:p>
          <w:p w14:paraId="44E49AB2" w14:textId="77777777" w:rsidR="008E7846" w:rsidRPr="00487162" w:rsidRDefault="00C823D5" w:rsidP="008D297E">
            <w:proofErr w:type="spellStart"/>
            <w:r>
              <w:rPr>
                <w:lang w:val="es-ES"/>
              </w:rPr>
              <w:t>Macquarie</w:t>
            </w:r>
            <w:proofErr w:type="spellEnd"/>
            <w:r>
              <w:rPr>
                <w:lang w:val="es-ES"/>
              </w:rPr>
              <w:t xml:space="preserve"> Park, </w:t>
            </w:r>
            <w:r w:rsidRPr="001365F3">
              <w:rPr>
                <w:lang w:val="es-ES"/>
              </w:rPr>
              <w:t>NSW 2113</w:t>
            </w:r>
          </w:p>
        </w:tc>
      </w:tr>
      <w:tr w:rsidR="00C823D5" w:rsidRPr="00487162" w14:paraId="359CE710" w14:textId="77777777" w:rsidTr="00BF1190">
        <w:tc>
          <w:tcPr>
            <w:tcW w:w="2907" w:type="dxa"/>
          </w:tcPr>
          <w:p w14:paraId="1AF04EA1" w14:textId="77777777" w:rsidR="00C823D5" w:rsidRPr="00487162" w:rsidRDefault="008D297E" w:rsidP="00C823D5">
            <w:pPr>
              <w:rPr>
                <w:i/>
              </w:rPr>
            </w:pPr>
            <w:r>
              <w:rPr>
                <w:i/>
              </w:rPr>
              <w:t>Dose form</w:t>
            </w:r>
            <w:r w:rsidR="00C823D5">
              <w:rPr>
                <w:i/>
              </w:rPr>
              <w:t>:</w:t>
            </w:r>
          </w:p>
        </w:tc>
        <w:tc>
          <w:tcPr>
            <w:tcW w:w="6307" w:type="dxa"/>
          </w:tcPr>
          <w:p w14:paraId="100547B7" w14:textId="77777777" w:rsidR="00C823D5" w:rsidRPr="002A13E7" w:rsidRDefault="00C823D5" w:rsidP="00C823D5">
            <w:r w:rsidRPr="002A13E7">
              <w:t>Powder and solvent for solution for injection</w:t>
            </w:r>
          </w:p>
        </w:tc>
      </w:tr>
      <w:tr w:rsidR="00C823D5" w:rsidRPr="00487162" w14:paraId="723BEFD7" w14:textId="77777777" w:rsidTr="00BF1190">
        <w:tc>
          <w:tcPr>
            <w:tcW w:w="2907" w:type="dxa"/>
          </w:tcPr>
          <w:p w14:paraId="5F591166" w14:textId="09B9E163" w:rsidR="00C823D5" w:rsidRPr="00487162" w:rsidRDefault="008D297E" w:rsidP="00C823D5">
            <w:pPr>
              <w:rPr>
                <w:i/>
              </w:rPr>
            </w:pPr>
            <w:r>
              <w:rPr>
                <w:i/>
              </w:rPr>
              <w:t>Strength</w:t>
            </w:r>
            <w:r w:rsidR="002566B0">
              <w:rPr>
                <w:i/>
              </w:rPr>
              <w:t>:</w:t>
            </w:r>
          </w:p>
        </w:tc>
        <w:tc>
          <w:tcPr>
            <w:tcW w:w="6307" w:type="dxa"/>
          </w:tcPr>
          <w:p w14:paraId="76FD65EB" w14:textId="77777777" w:rsidR="00C823D5" w:rsidRDefault="00C823D5" w:rsidP="00C823D5">
            <w:r w:rsidRPr="002A13E7">
              <w:t>10 mg</w:t>
            </w:r>
          </w:p>
        </w:tc>
      </w:tr>
      <w:tr w:rsidR="00C823D5" w:rsidRPr="00487162" w14:paraId="3421E203" w14:textId="77777777" w:rsidTr="00BF1190">
        <w:tc>
          <w:tcPr>
            <w:tcW w:w="2907" w:type="dxa"/>
          </w:tcPr>
          <w:p w14:paraId="006CF489" w14:textId="77777777" w:rsidR="00C823D5" w:rsidRPr="00487162" w:rsidRDefault="008D297E" w:rsidP="00C823D5">
            <w:pPr>
              <w:rPr>
                <w:i/>
              </w:rPr>
            </w:pPr>
            <w:r>
              <w:rPr>
                <w:i/>
              </w:rPr>
              <w:t>Containers</w:t>
            </w:r>
            <w:r w:rsidR="00C823D5" w:rsidRPr="00487162">
              <w:rPr>
                <w:i/>
              </w:rPr>
              <w:t>:</w:t>
            </w:r>
          </w:p>
        </w:tc>
        <w:tc>
          <w:tcPr>
            <w:tcW w:w="6307" w:type="dxa"/>
          </w:tcPr>
          <w:p w14:paraId="6EEDCEC2" w14:textId="77777777" w:rsidR="00C823D5" w:rsidRPr="00806715" w:rsidRDefault="00C823D5" w:rsidP="00C823D5">
            <w:r w:rsidRPr="00806715">
              <w:t>Vial (powder) and prefilled syringe (solvent)</w:t>
            </w:r>
          </w:p>
        </w:tc>
      </w:tr>
      <w:tr w:rsidR="00C823D5" w:rsidRPr="00487162" w14:paraId="78DC881D" w14:textId="77777777" w:rsidTr="00BF1190">
        <w:tc>
          <w:tcPr>
            <w:tcW w:w="2907" w:type="dxa"/>
          </w:tcPr>
          <w:p w14:paraId="12E863EF" w14:textId="77777777" w:rsidR="00C823D5" w:rsidRPr="00487162" w:rsidRDefault="008D297E" w:rsidP="00C823D5">
            <w:pPr>
              <w:rPr>
                <w:i/>
              </w:rPr>
            </w:pPr>
            <w:r>
              <w:rPr>
                <w:i/>
              </w:rPr>
              <w:t>Pack sizes</w:t>
            </w:r>
            <w:r w:rsidR="00C823D5" w:rsidRPr="00487162">
              <w:rPr>
                <w:i/>
              </w:rPr>
              <w:t>:</w:t>
            </w:r>
          </w:p>
        </w:tc>
        <w:tc>
          <w:tcPr>
            <w:tcW w:w="6307" w:type="dxa"/>
          </w:tcPr>
          <w:p w14:paraId="784E8F4D" w14:textId="46E61D45" w:rsidR="00C823D5" w:rsidRDefault="00C823D5" w:rsidP="00C823D5">
            <w:r w:rsidRPr="00806715">
              <w:t>1</w:t>
            </w:r>
            <w:r w:rsidR="000868CB">
              <w:t xml:space="preserve"> and</w:t>
            </w:r>
            <w:r w:rsidRPr="00806715">
              <w:t xml:space="preserve"> 7</w:t>
            </w:r>
            <w:r w:rsidR="000868CB">
              <w:t xml:space="preserve"> vial(s)/prefilled syringe(s)</w:t>
            </w:r>
          </w:p>
        </w:tc>
      </w:tr>
      <w:tr w:rsidR="008E7846" w:rsidRPr="00487162" w14:paraId="0C2CDCD9" w14:textId="77777777" w:rsidTr="00BF1190">
        <w:tc>
          <w:tcPr>
            <w:tcW w:w="2907" w:type="dxa"/>
          </w:tcPr>
          <w:p w14:paraId="3F5EA63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D1B5231" w14:textId="77777777" w:rsidR="008E7846" w:rsidRPr="00C823D5" w:rsidRDefault="00C823D5" w:rsidP="00E45619">
            <w:pPr>
              <w:rPr>
                <w:rFonts w:eastAsia="MS Mincho"/>
                <w:i/>
                <w:lang w:eastAsia="ja-JP"/>
              </w:rPr>
            </w:pPr>
            <w:proofErr w:type="spellStart"/>
            <w:r w:rsidRPr="00C823D5">
              <w:rPr>
                <w:rFonts w:eastAsia="MS Mincho"/>
                <w:i/>
                <w:lang w:eastAsia="ja-JP"/>
              </w:rPr>
              <w:t>Cablivi</w:t>
            </w:r>
            <w:proofErr w:type="spellEnd"/>
            <w:r w:rsidRPr="00C823D5">
              <w:rPr>
                <w:rFonts w:eastAsia="MS Mincho"/>
                <w:i/>
                <w:lang w:eastAsia="ja-JP"/>
              </w:rPr>
              <w:t xml:space="preserve"> </w:t>
            </w:r>
            <w:proofErr w:type="gramStart"/>
            <w:r w:rsidRPr="00C823D5">
              <w:rPr>
                <w:rFonts w:eastAsia="MS Mincho"/>
                <w:i/>
                <w:lang w:eastAsia="ja-JP"/>
              </w:rPr>
              <w:t>is indicated</w:t>
            </w:r>
            <w:proofErr w:type="gramEnd"/>
            <w:r w:rsidRPr="00C823D5">
              <w:rPr>
                <w:rFonts w:eastAsia="MS Mincho"/>
                <w:i/>
                <w:lang w:eastAsia="ja-JP"/>
              </w:rPr>
              <w:t xml:space="preserve"> for the treatment of adults experiencing an episode of acquired thrombotic thrombocytopenic purpura (</w:t>
            </w:r>
            <w:proofErr w:type="spellStart"/>
            <w:r w:rsidRPr="00C823D5">
              <w:rPr>
                <w:rFonts w:eastAsia="MS Mincho"/>
                <w:i/>
                <w:lang w:eastAsia="ja-JP"/>
              </w:rPr>
              <w:t>aTTP</w:t>
            </w:r>
            <w:proofErr w:type="spellEnd"/>
            <w:r w:rsidRPr="00C823D5">
              <w:rPr>
                <w:rFonts w:eastAsia="MS Mincho"/>
                <w:i/>
                <w:lang w:eastAsia="ja-JP"/>
              </w:rPr>
              <w:t>), in conjunction with plasma exchange and immunosuppression.</w:t>
            </w:r>
          </w:p>
        </w:tc>
      </w:tr>
      <w:tr w:rsidR="00C823D5" w:rsidRPr="00487162" w14:paraId="044D8278" w14:textId="77777777" w:rsidTr="00BF1190">
        <w:tc>
          <w:tcPr>
            <w:tcW w:w="2907" w:type="dxa"/>
          </w:tcPr>
          <w:p w14:paraId="30212967" w14:textId="77777777" w:rsidR="00C823D5" w:rsidRPr="00487162" w:rsidRDefault="008D297E" w:rsidP="00C823D5">
            <w:pPr>
              <w:rPr>
                <w:i/>
              </w:rPr>
            </w:pPr>
            <w:r>
              <w:rPr>
                <w:i/>
              </w:rPr>
              <w:t>Routes</w:t>
            </w:r>
            <w:r w:rsidR="00C823D5" w:rsidRPr="00487162">
              <w:rPr>
                <w:i/>
              </w:rPr>
              <w:t xml:space="preserve"> of administration:</w:t>
            </w:r>
          </w:p>
        </w:tc>
        <w:tc>
          <w:tcPr>
            <w:tcW w:w="6307" w:type="dxa"/>
          </w:tcPr>
          <w:p w14:paraId="033E3395" w14:textId="77777777" w:rsidR="00C823D5" w:rsidRPr="00D75678" w:rsidRDefault="00C823D5" w:rsidP="00C823D5">
            <w:r w:rsidRPr="002D088B">
              <w:t>Intravenous injection</w:t>
            </w:r>
            <w:r>
              <w:t>, subcutaneous injection</w:t>
            </w:r>
          </w:p>
        </w:tc>
      </w:tr>
      <w:tr w:rsidR="00C823D5" w:rsidRPr="00487162" w14:paraId="1E96F4E6" w14:textId="77777777" w:rsidTr="00BF1190">
        <w:tc>
          <w:tcPr>
            <w:tcW w:w="2907" w:type="dxa"/>
          </w:tcPr>
          <w:p w14:paraId="2C92F6EF" w14:textId="77777777" w:rsidR="00C823D5" w:rsidRPr="00487162" w:rsidRDefault="00C823D5" w:rsidP="00C823D5">
            <w:pPr>
              <w:rPr>
                <w:i/>
              </w:rPr>
            </w:pPr>
            <w:r w:rsidRPr="00487162">
              <w:rPr>
                <w:i/>
              </w:rPr>
              <w:t>Dosage:</w:t>
            </w:r>
          </w:p>
        </w:tc>
        <w:tc>
          <w:tcPr>
            <w:tcW w:w="6307" w:type="dxa"/>
          </w:tcPr>
          <w:p w14:paraId="1D180848" w14:textId="77777777" w:rsidR="00C823D5" w:rsidRPr="001365F3" w:rsidRDefault="00C823D5" w:rsidP="00C823D5">
            <w:r w:rsidRPr="001365F3">
              <w:t xml:space="preserve">Treatment with </w:t>
            </w:r>
            <w:proofErr w:type="spellStart"/>
            <w:r w:rsidRPr="001365F3">
              <w:t>Cablivi</w:t>
            </w:r>
            <w:proofErr w:type="spellEnd"/>
            <w:r w:rsidRPr="001365F3">
              <w:t xml:space="preserve"> </w:t>
            </w:r>
            <w:proofErr w:type="gramStart"/>
            <w:r w:rsidRPr="001365F3">
              <w:t xml:space="preserve">should be initiated and supervised by physicians experienced in the management of patients with thrombotic </w:t>
            </w:r>
            <w:proofErr w:type="spellStart"/>
            <w:r w:rsidRPr="001365F3">
              <w:t>microangiopathies</w:t>
            </w:r>
            <w:proofErr w:type="spellEnd"/>
            <w:proofErr w:type="gramEnd"/>
            <w:r w:rsidRPr="001365F3">
              <w:t>.</w:t>
            </w:r>
          </w:p>
          <w:p w14:paraId="3E02781A" w14:textId="77777777" w:rsidR="00C823D5" w:rsidRPr="00C823D5" w:rsidRDefault="00C823D5" w:rsidP="00C823D5">
            <w:pPr>
              <w:rPr>
                <w:b/>
              </w:rPr>
            </w:pPr>
            <w:r w:rsidRPr="00C823D5">
              <w:rPr>
                <w:b/>
              </w:rPr>
              <w:t>First dose</w:t>
            </w:r>
          </w:p>
          <w:p w14:paraId="7FC659A4" w14:textId="77777777" w:rsidR="00C823D5" w:rsidRPr="001365F3" w:rsidRDefault="00C823D5" w:rsidP="00BB60B8">
            <w:pPr>
              <w:spacing w:after="560"/>
            </w:pPr>
            <w:r w:rsidRPr="001365F3">
              <w:t xml:space="preserve">Intravenous injection of 10 mg of </w:t>
            </w:r>
            <w:proofErr w:type="spellStart"/>
            <w:r w:rsidRPr="001365F3">
              <w:t>caplacizumab</w:t>
            </w:r>
            <w:proofErr w:type="spellEnd"/>
            <w:r w:rsidRPr="001365F3">
              <w:t xml:space="preserve"> prior to plasma exchange.</w:t>
            </w:r>
          </w:p>
          <w:p w14:paraId="7769E927" w14:textId="77777777" w:rsidR="00C823D5" w:rsidRPr="00C823D5" w:rsidRDefault="00C823D5" w:rsidP="00C823D5">
            <w:pPr>
              <w:rPr>
                <w:b/>
              </w:rPr>
            </w:pPr>
            <w:r w:rsidRPr="00C823D5">
              <w:rPr>
                <w:b/>
              </w:rPr>
              <w:lastRenderedPageBreak/>
              <w:t>Subsequent doses</w:t>
            </w:r>
          </w:p>
          <w:p w14:paraId="352271AF" w14:textId="77777777" w:rsidR="00C823D5" w:rsidRPr="001365F3" w:rsidRDefault="00C823D5" w:rsidP="00C823D5">
            <w:r w:rsidRPr="001365F3">
              <w:t xml:space="preserve">Daily subcutaneous administration of 10 mg of </w:t>
            </w:r>
            <w:proofErr w:type="spellStart"/>
            <w:r w:rsidRPr="001365F3">
              <w:t>caplacizumab</w:t>
            </w:r>
            <w:proofErr w:type="spellEnd"/>
            <w:r w:rsidRPr="001365F3">
              <w:t xml:space="preserve"> after completion of each plasma exchange for the duration of daily plasma exchange treatment, followed by daily subcutaneous injection of 10 mg of </w:t>
            </w:r>
            <w:proofErr w:type="spellStart"/>
            <w:r w:rsidRPr="001365F3">
              <w:t>caplacizumab</w:t>
            </w:r>
            <w:proofErr w:type="spellEnd"/>
            <w:r w:rsidRPr="001365F3">
              <w:t xml:space="preserve"> for 30 days after stopping daily plasma exchange treatment.</w:t>
            </w:r>
          </w:p>
          <w:p w14:paraId="05700B70" w14:textId="77777777" w:rsidR="00C823D5" w:rsidRPr="001365F3" w:rsidRDefault="00C823D5" w:rsidP="00C823D5">
            <w:r w:rsidRPr="001365F3">
              <w:t xml:space="preserve">If at the end of this period there is evidence of unresolved immunological disease, it is recommended to optimise the immunosuppression regimen and continue daily subcutaneous administration of 10 mg of </w:t>
            </w:r>
            <w:proofErr w:type="spellStart"/>
            <w:r w:rsidRPr="001365F3">
              <w:t>caplacizumab</w:t>
            </w:r>
            <w:proofErr w:type="spellEnd"/>
            <w:r w:rsidRPr="001365F3">
              <w:t xml:space="preserve"> until the signs of underlying immunolo</w:t>
            </w:r>
            <w:r>
              <w:t>gical disease are resolved (for example,</w:t>
            </w:r>
            <w:r w:rsidRPr="001365F3">
              <w:t xml:space="preserve"> sustained normalisation of ADAMTS13 activity level).</w:t>
            </w:r>
          </w:p>
          <w:p w14:paraId="36737864" w14:textId="77777777" w:rsidR="00C823D5" w:rsidRPr="001365F3" w:rsidRDefault="00C823D5" w:rsidP="00C823D5">
            <w:r w:rsidRPr="001365F3">
              <w:t xml:space="preserve">In the clinical development program, </w:t>
            </w:r>
            <w:proofErr w:type="spellStart"/>
            <w:r w:rsidRPr="001365F3">
              <w:t>caplacizumab</w:t>
            </w:r>
            <w:proofErr w:type="spellEnd"/>
            <w:r w:rsidRPr="001365F3">
              <w:t xml:space="preserve"> </w:t>
            </w:r>
            <w:proofErr w:type="gramStart"/>
            <w:r w:rsidRPr="001365F3">
              <w:t>has been admini</w:t>
            </w:r>
            <w:r>
              <w:t>stered</w:t>
            </w:r>
            <w:proofErr w:type="gramEnd"/>
            <w:r>
              <w:t xml:space="preserve"> daily for up to 65 days. </w:t>
            </w:r>
            <w:r w:rsidRPr="001365F3">
              <w:t xml:space="preserve">No data on re-treatment with </w:t>
            </w:r>
            <w:proofErr w:type="spellStart"/>
            <w:r w:rsidRPr="001365F3">
              <w:t>caplacizumab</w:t>
            </w:r>
            <w:proofErr w:type="spellEnd"/>
            <w:r w:rsidRPr="001365F3">
              <w:t xml:space="preserve"> are available.</w:t>
            </w:r>
          </w:p>
          <w:p w14:paraId="06DE70B8" w14:textId="77777777" w:rsidR="00C823D5" w:rsidRPr="001365F3" w:rsidRDefault="00C823D5" w:rsidP="00C823D5">
            <w:r w:rsidRPr="001365F3">
              <w:t xml:space="preserve">For further </w:t>
            </w:r>
            <w:proofErr w:type="gramStart"/>
            <w:r w:rsidRPr="001365F3">
              <w:t>information</w:t>
            </w:r>
            <w:proofErr w:type="gramEnd"/>
            <w:r w:rsidRPr="001365F3">
              <w:t xml:space="preserve"> refer to the Product Information.</w:t>
            </w:r>
          </w:p>
        </w:tc>
      </w:tr>
    </w:tbl>
    <w:p w14:paraId="203DDBEC" w14:textId="77777777" w:rsidR="008E7846" w:rsidRDefault="008E7846" w:rsidP="008E7846">
      <w:pPr>
        <w:pStyle w:val="Heading3"/>
      </w:pPr>
      <w:bookmarkStart w:id="12" w:name="_Toc247691503"/>
      <w:bookmarkStart w:id="13" w:name="_Toc314842484"/>
      <w:bookmarkStart w:id="14" w:name="_Toc39569371"/>
      <w:r>
        <w:lastRenderedPageBreak/>
        <w:t>Product background</w:t>
      </w:r>
      <w:bookmarkEnd w:id="12"/>
      <w:bookmarkEnd w:id="13"/>
      <w:bookmarkEnd w:id="14"/>
    </w:p>
    <w:p w14:paraId="002AA157" w14:textId="77777777" w:rsidR="008E7846" w:rsidRDefault="00940A89" w:rsidP="00940A89">
      <w:r w:rsidRPr="00940A89">
        <w:t xml:space="preserve">This </w:t>
      </w:r>
      <w:proofErr w:type="spellStart"/>
      <w:r w:rsidRPr="00940A89">
        <w:t>AusPAR</w:t>
      </w:r>
      <w:proofErr w:type="spellEnd"/>
      <w:r w:rsidRPr="00940A89">
        <w:t xml:space="preserve"> describes the application by </w:t>
      </w:r>
      <w:r w:rsidR="008D297E" w:rsidRPr="001365F3">
        <w:rPr>
          <w:lang w:val="es-ES"/>
        </w:rPr>
        <w:t xml:space="preserve">Sanofi-Aventis Australia </w:t>
      </w:r>
      <w:proofErr w:type="spellStart"/>
      <w:r w:rsidR="008D297E" w:rsidRPr="001365F3">
        <w:rPr>
          <w:lang w:val="es-ES"/>
        </w:rPr>
        <w:t>Pty</w:t>
      </w:r>
      <w:proofErr w:type="spellEnd"/>
      <w:r w:rsidR="008D297E" w:rsidRPr="001365F3">
        <w:rPr>
          <w:lang w:val="es-ES"/>
        </w:rPr>
        <w:t xml:space="preserve"> </w:t>
      </w:r>
      <w:proofErr w:type="spellStart"/>
      <w:r w:rsidR="008D297E" w:rsidRPr="001365F3">
        <w:rPr>
          <w:lang w:val="es-ES"/>
        </w:rPr>
        <w:t>Ltd</w:t>
      </w:r>
      <w:proofErr w:type="spellEnd"/>
      <w:r w:rsidR="008D297E" w:rsidRPr="00940A89">
        <w:t xml:space="preserve"> </w:t>
      </w:r>
      <w:r w:rsidR="008D297E">
        <w:t>(</w:t>
      </w:r>
      <w:r w:rsidRPr="00940A89">
        <w:t>the sponsor</w:t>
      </w:r>
      <w:r w:rsidR="008D297E">
        <w:t>)</w:t>
      </w:r>
      <w:r w:rsidRPr="00940A89">
        <w:t xml:space="preserve"> to register </w:t>
      </w:r>
      <w:proofErr w:type="spellStart"/>
      <w:r w:rsidR="008D297E" w:rsidRPr="001365F3">
        <w:rPr>
          <w:rFonts w:eastAsia="Calibri"/>
        </w:rPr>
        <w:t>Cablivi</w:t>
      </w:r>
      <w:proofErr w:type="spellEnd"/>
      <w:r w:rsidR="008D297E" w:rsidRPr="001365F3">
        <w:rPr>
          <w:rFonts w:eastAsia="Calibri"/>
        </w:rPr>
        <w:t xml:space="preserve"> </w:t>
      </w:r>
      <w:r w:rsidR="008D297E">
        <w:rPr>
          <w:rFonts w:eastAsia="Calibri"/>
        </w:rPr>
        <w:t>(</w:t>
      </w:r>
      <w:proofErr w:type="spellStart"/>
      <w:r w:rsidR="008D297E" w:rsidRPr="001365F3">
        <w:rPr>
          <w:rFonts w:eastAsia="Calibri"/>
        </w:rPr>
        <w:t>caplacizumab</w:t>
      </w:r>
      <w:proofErr w:type="spellEnd"/>
      <w:r w:rsidR="008D297E">
        <w:rPr>
          <w:rFonts w:eastAsia="Calibri"/>
        </w:rPr>
        <w:t>)</w:t>
      </w:r>
      <w:r w:rsidRPr="00940A89">
        <w:t xml:space="preserve"> </w:t>
      </w:r>
      <w:r w:rsidR="008D297E" w:rsidRPr="002A13E7">
        <w:t>10 mg</w:t>
      </w:r>
      <w:r w:rsidR="008D297E" w:rsidRPr="00940A89">
        <w:t xml:space="preserve"> </w:t>
      </w:r>
      <w:r w:rsidR="008D297E">
        <w:t>p</w:t>
      </w:r>
      <w:r w:rsidR="008D297E" w:rsidRPr="002A13E7">
        <w:t>owder and solvent for solution for injection</w:t>
      </w:r>
      <w:r w:rsidR="008D297E">
        <w:t>,</w:t>
      </w:r>
      <w:r w:rsidR="008D297E" w:rsidRPr="00940A89">
        <w:t xml:space="preserve"> </w:t>
      </w:r>
      <w:r w:rsidRPr="00940A89">
        <w:t>f</w:t>
      </w:r>
      <w:r w:rsidR="008D297E">
        <w:t>or the following proposed indication:</w:t>
      </w:r>
    </w:p>
    <w:p w14:paraId="7E7C2758" w14:textId="77777777" w:rsidR="00A951EF" w:rsidRPr="00A951EF" w:rsidRDefault="00A951EF" w:rsidP="00A951EF">
      <w:pPr>
        <w:ind w:left="720"/>
        <w:rPr>
          <w:i/>
        </w:rPr>
      </w:pPr>
      <w:proofErr w:type="spellStart"/>
      <w:r w:rsidRPr="00A951EF">
        <w:rPr>
          <w:i/>
        </w:rPr>
        <w:t>Cablivi</w:t>
      </w:r>
      <w:proofErr w:type="spellEnd"/>
      <w:r w:rsidRPr="00A951EF">
        <w:rPr>
          <w:i/>
        </w:rPr>
        <w:t xml:space="preserve"> </w:t>
      </w:r>
      <w:proofErr w:type="gramStart"/>
      <w:r w:rsidRPr="00A951EF">
        <w:rPr>
          <w:i/>
        </w:rPr>
        <w:t>is indicated</w:t>
      </w:r>
      <w:proofErr w:type="gramEnd"/>
      <w:r w:rsidRPr="00A951EF">
        <w:rPr>
          <w:i/>
        </w:rPr>
        <w:t xml:space="preserve"> for the treatment of adults experiencing an episode of acquired thrombotic thrombocytopenic purpura (</w:t>
      </w:r>
      <w:proofErr w:type="spellStart"/>
      <w:r w:rsidRPr="00A951EF">
        <w:rPr>
          <w:i/>
        </w:rPr>
        <w:t>aTTP</w:t>
      </w:r>
      <w:proofErr w:type="spellEnd"/>
      <w:r w:rsidRPr="00A951EF">
        <w:rPr>
          <w:i/>
        </w:rPr>
        <w:t>), in conjunction with plasma exchange and immunosuppression.</w:t>
      </w:r>
    </w:p>
    <w:p w14:paraId="7BFE69A1" w14:textId="0870ECC2" w:rsidR="008D297E" w:rsidRDefault="00A951EF" w:rsidP="008D297E">
      <w:r>
        <w:t>A</w:t>
      </w:r>
      <w:r w:rsidR="008D297E">
        <w:t>cquired thrombotic t</w:t>
      </w:r>
      <w:r w:rsidR="00424567">
        <w:t>hrombocytopenic purpura (</w:t>
      </w:r>
      <w:proofErr w:type="spellStart"/>
      <w:r w:rsidR="00424567">
        <w:t>aTTP</w:t>
      </w:r>
      <w:proofErr w:type="spellEnd"/>
      <w:r w:rsidR="00424567">
        <w:t xml:space="preserve">) </w:t>
      </w:r>
      <w:r w:rsidR="008D297E">
        <w:t xml:space="preserve">is a </w:t>
      </w:r>
      <w:r w:rsidR="00397FA2">
        <w:t xml:space="preserve">rare, </w:t>
      </w:r>
      <w:r w:rsidR="008D297E">
        <w:t>life threatening condition in which inhibitory antibodies form against ADAMTS13</w:t>
      </w:r>
      <w:proofErr w:type="gramStart"/>
      <w:r w:rsidR="000868CB">
        <w:t>;</w:t>
      </w:r>
      <w:proofErr w:type="gramEnd"/>
      <w:r w:rsidR="000868CB">
        <w:rPr>
          <w:rStyle w:val="FootnoteReference"/>
        </w:rPr>
        <w:footnoteReference w:id="1"/>
      </w:r>
      <w:r w:rsidR="00B25D51">
        <w:t xml:space="preserve"> a protease that cleaves von </w:t>
      </w:r>
      <w:proofErr w:type="spellStart"/>
      <w:r w:rsidR="00B25D51">
        <w:t>Willebrand</w:t>
      </w:r>
      <w:proofErr w:type="spellEnd"/>
      <w:r w:rsidR="00B25D51">
        <w:t xml:space="preserve"> factor (</w:t>
      </w:r>
      <w:proofErr w:type="spellStart"/>
      <w:r w:rsidR="00B25D51">
        <w:t>vWF</w:t>
      </w:r>
      <w:proofErr w:type="spellEnd"/>
      <w:r w:rsidR="00B25D51">
        <w:t>)</w:t>
      </w:r>
      <w:r w:rsidR="008D297E">
        <w:t>.</w:t>
      </w:r>
      <w:r w:rsidRPr="00A951EF">
        <w:t xml:space="preserve"> </w:t>
      </w:r>
      <w:r>
        <w:t xml:space="preserve">Reduction in ADAMTS13 activity results in lower </w:t>
      </w:r>
      <w:proofErr w:type="spellStart"/>
      <w:r>
        <w:t>vWF</w:t>
      </w:r>
      <w:proofErr w:type="spellEnd"/>
      <w:r>
        <w:t xml:space="preserve"> clearance and the formation of ultra-large </w:t>
      </w:r>
      <w:proofErr w:type="spellStart"/>
      <w:r>
        <w:t>vWF</w:t>
      </w:r>
      <w:proofErr w:type="spellEnd"/>
      <w:r>
        <w:t xml:space="preserve"> (</w:t>
      </w:r>
      <w:proofErr w:type="spellStart"/>
      <w:r>
        <w:t>ULvWF</w:t>
      </w:r>
      <w:proofErr w:type="spellEnd"/>
      <w:r>
        <w:t xml:space="preserve">) </w:t>
      </w:r>
      <w:proofErr w:type="spellStart"/>
      <w:r w:rsidR="00755683">
        <w:t>multimers</w:t>
      </w:r>
      <w:proofErr w:type="spellEnd"/>
      <w:r w:rsidR="00755683">
        <w:t xml:space="preserve"> </w:t>
      </w:r>
      <w:r>
        <w:t>that activate platelet adhesion. Platelet adhesion produces microvascular occlusion with thrombocytopenia, haemolytic anaemia and organ ischemia.</w:t>
      </w:r>
      <w:r w:rsidR="008D297E">
        <w:t xml:space="preserve"> </w:t>
      </w:r>
      <w:proofErr w:type="spellStart"/>
      <w:proofErr w:type="gramStart"/>
      <w:r w:rsidR="008D297E">
        <w:t>aTTP</w:t>
      </w:r>
      <w:proofErr w:type="spellEnd"/>
      <w:proofErr w:type="gramEnd"/>
      <w:r w:rsidR="008D297E">
        <w:t xml:space="preserve"> can be associated with infection, medications</w:t>
      </w:r>
      <w:r w:rsidR="00E23B19">
        <w:t xml:space="preserve"> or</w:t>
      </w:r>
      <w:r w:rsidR="00885504">
        <w:t xml:space="preserve"> </w:t>
      </w:r>
      <w:r w:rsidR="008D297E">
        <w:t>pregnancy</w:t>
      </w:r>
      <w:r w:rsidR="00E23B19">
        <w:t xml:space="preserve">, </w:t>
      </w:r>
      <w:r w:rsidR="008D297E">
        <w:t>but in most cases the cause of an episode is unknown.</w:t>
      </w:r>
    </w:p>
    <w:p w14:paraId="6A274E15" w14:textId="104BE291" w:rsidR="008D297E" w:rsidRDefault="008D297E" w:rsidP="008D297E">
      <w:proofErr w:type="gramStart"/>
      <w:r>
        <w:t xml:space="preserve">Mortality from </w:t>
      </w:r>
      <w:proofErr w:type="spellStart"/>
      <w:r w:rsidR="0041462C">
        <w:t>aTTP</w:t>
      </w:r>
      <w:proofErr w:type="spellEnd"/>
      <w:r w:rsidR="0041462C">
        <w:t xml:space="preserve"> </w:t>
      </w:r>
      <w:r>
        <w:t xml:space="preserve">without treatment is very high, and with existing therapy can </w:t>
      </w:r>
      <w:r w:rsidR="00424567">
        <w:t xml:space="preserve">still </w:t>
      </w:r>
      <w:r>
        <w:t>be up to 20%.</w:t>
      </w:r>
      <w:proofErr w:type="gramEnd"/>
      <w:r>
        <w:t xml:space="preserve"> Most deaths occur within 30 days of diagnosis. </w:t>
      </w:r>
      <w:proofErr w:type="gramStart"/>
      <w:r>
        <w:t>Long term</w:t>
      </w:r>
      <w:proofErr w:type="gramEnd"/>
      <w:r>
        <w:t xml:space="preserve"> sequelae can include ischemic cerebral damage, depression, arterial hypertension and reoccurrence of </w:t>
      </w:r>
      <w:proofErr w:type="spellStart"/>
      <w:r>
        <w:t>aTTP</w:t>
      </w:r>
      <w:proofErr w:type="spellEnd"/>
      <w:r>
        <w:t xml:space="preserve"> within months of the first event.</w:t>
      </w:r>
    </w:p>
    <w:p w14:paraId="00EB5A91" w14:textId="47AC1637" w:rsidR="008D297E" w:rsidRDefault="008D297E" w:rsidP="008D297E">
      <w:r>
        <w:t xml:space="preserve">Standard treatment for </w:t>
      </w:r>
      <w:proofErr w:type="spellStart"/>
      <w:r>
        <w:t>aTTP</w:t>
      </w:r>
      <w:proofErr w:type="spellEnd"/>
      <w:r>
        <w:t xml:space="preserve"> includes plasma exchange (PE) to remove ADAMTS13 antibodies and replenish this enzyme, and corticosteroids and/or rituximab for immunosuppression. </w:t>
      </w:r>
      <w:r w:rsidR="00424567">
        <w:t>At the time this submission was under consideration, there were</w:t>
      </w:r>
      <w:r>
        <w:t xml:space="preserve"> no medications currently specifically registered for the treatment of </w:t>
      </w:r>
      <w:proofErr w:type="spellStart"/>
      <w:r>
        <w:t>aTTP</w:t>
      </w:r>
      <w:proofErr w:type="spellEnd"/>
      <w:r>
        <w:t xml:space="preserve"> in Australia.</w:t>
      </w:r>
    </w:p>
    <w:p w14:paraId="5FFE2578" w14:textId="77777777" w:rsidR="00940A89" w:rsidRDefault="008D297E" w:rsidP="008D297E">
      <w:proofErr w:type="spellStart"/>
      <w:r>
        <w:t>Caplacizumab</w:t>
      </w:r>
      <w:proofErr w:type="spellEnd"/>
      <w:r>
        <w:t xml:space="preserve"> is a humanised bivalent </w:t>
      </w:r>
      <w:proofErr w:type="spellStart"/>
      <w:proofErr w:type="gramStart"/>
      <w:r>
        <w:t>nanobody</w:t>
      </w:r>
      <w:proofErr w:type="spellEnd"/>
      <w:r>
        <w:t xml:space="preserve"> which</w:t>
      </w:r>
      <w:proofErr w:type="gramEnd"/>
      <w:r>
        <w:t xml:space="preserve"> has two binding domains which recognise the A1-domain of </w:t>
      </w:r>
      <w:proofErr w:type="spellStart"/>
      <w:r w:rsidR="00B25D51">
        <w:t>vWF</w:t>
      </w:r>
      <w:proofErr w:type="spellEnd"/>
      <w:r>
        <w:t xml:space="preserve">. Binding of drug to </w:t>
      </w:r>
      <w:proofErr w:type="spellStart"/>
      <w:r>
        <w:t>vWF</w:t>
      </w:r>
      <w:proofErr w:type="spellEnd"/>
      <w:r>
        <w:t xml:space="preserve"> inhibits the interaction between </w:t>
      </w:r>
      <w:proofErr w:type="spellStart"/>
      <w:r>
        <w:t>ULvWF</w:t>
      </w:r>
      <w:proofErr w:type="spellEnd"/>
      <w:r>
        <w:t xml:space="preserve"> </w:t>
      </w:r>
      <w:proofErr w:type="spellStart"/>
      <w:r>
        <w:t>multimers</w:t>
      </w:r>
      <w:proofErr w:type="spellEnd"/>
      <w:r>
        <w:t xml:space="preserve"> and platelets, preventing the microvascular damage typical of </w:t>
      </w:r>
      <w:proofErr w:type="spellStart"/>
      <w:r>
        <w:t>aTTP</w:t>
      </w:r>
      <w:proofErr w:type="spellEnd"/>
      <w:r>
        <w:t xml:space="preserve">. In addition, reduction in </w:t>
      </w:r>
      <w:proofErr w:type="spellStart"/>
      <w:r>
        <w:t>vWF</w:t>
      </w:r>
      <w:proofErr w:type="spellEnd"/>
      <w:r>
        <w:t xml:space="preserve"> deposition leads to a transient reduction in the effectiveness of Factor VIII clotting activity during treatment. </w:t>
      </w:r>
      <w:proofErr w:type="spellStart"/>
      <w:r>
        <w:t>Caplacizumab</w:t>
      </w:r>
      <w:proofErr w:type="spellEnd"/>
      <w:r>
        <w:t xml:space="preserve"> does not terminate the underlying immunological processes producing anti-ADAMTS13 antibodies.</w:t>
      </w:r>
    </w:p>
    <w:p w14:paraId="33F060A9" w14:textId="38727314" w:rsidR="008D297E" w:rsidRDefault="008D297E" w:rsidP="00940A89">
      <w:r>
        <w:rPr>
          <w:rFonts w:eastAsia="Calibri"/>
        </w:rPr>
        <w:lastRenderedPageBreak/>
        <w:t>This submission was evaluated through the Comparable Overseas Regulator pathway A (COR-A</w:t>
      </w:r>
      <w:r w:rsidR="00D924BF">
        <w:rPr>
          <w:rFonts w:eastAsia="Calibri"/>
        </w:rPr>
        <w:t>)</w:t>
      </w:r>
      <w:proofErr w:type="gramStart"/>
      <w:r>
        <w:rPr>
          <w:rFonts w:eastAsia="Calibri"/>
        </w:rPr>
        <w:t>;</w:t>
      </w:r>
      <w:proofErr w:type="gramEnd"/>
      <w:r w:rsidR="00D924BF">
        <w:rPr>
          <w:rStyle w:val="FootnoteReference"/>
          <w:rFonts w:eastAsia="Calibri"/>
        </w:rPr>
        <w:footnoteReference w:id="2"/>
      </w:r>
      <w:r>
        <w:rPr>
          <w:rFonts w:eastAsia="Calibri"/>
        </w:rPr>
        <w:t xml:space="preserve"> </w:t>
      </w:r>
      <w:r w:rsidR="00D924BF">
        <w:rPr>
          <w:rFonts w:eastAsia="Calibri"/>
        </w:rPr>
        <w:t xml:space="preserve">specifically, using assessments from the </w:t>
      </w:r>
      <w:r>
        <w:rPr>
          <w:rFonts w:eastAsia="Calibri"/>
        </w:rPr>
        <w:t>European Medicines Agency (EMA)).</w:t>
      </w:r>
    </w:p>
    <w:p w14:paraId="27B90033" w14:textId="77777777" w:rsidR="008E7846" w:rsidRPr="003F31A2" w:rsidRDefault="00386150" w:rsidP="00BB60B8">
      <w:pPr>
        <w:pStyle w:val="Heading3"/>
      </w:pPr>
      <w:bookmarkStart w:id="15" w:name="_Toc314842485"/>
      <w:bookmarkStart w:id="16" w:name="_Toc247691504"/>
      <w:bookmarkStart w:id="17" w:name="_Toc39569372"/>
      <w:r>
        <w:t>Regulatory s</w:t>
      </w:r>
      <w:r w:rsidR="008E7846">
        <w:t>tatus</w:t>
      </w:r>
      <w:bookmarkEnd w:id="15"/>
      <w:bookmarkEnd w:id="16"/>
      <w:bookmarkEnd w:id="17"/>
    </w:p>
    <w:p w14:paraId="7F495EF8" w14:textId="77777777" w:rsidR="00940A89" w:rsidRDefault="007E27BD" w:rsidP="00940A89">
      <w:pPr>
        <w:rPr>
          <w:rFonts w:eastAsia="Calibri"/>
        </w:rPr>
      </w:pPr>
      <w:bookmarkStart w:id="18" w:name="_Toc247691505"/>
      <w:bookmarkStart w:id="19" w:name="_Toc314842486"/>
      <w:proofErr w:type="spellStart"/>
      <w:r w:rsidRPr="001365F3">
        <w:rPr>
          <w:rFonts w:eastAsia="Calibri"/>
        </w:rPr>
        <w:t>Cablivi</w:t>
      </w:r>
      <w:proofErr w:type="spellEnd"/>
      <w:r w:rsidRPr="001365F3">
        <w:rPr>
          <w:rFonts w:eastAsia="Calibri"/>
        </w:rPr>
        <w:t xml:space="preserve"> </w:t>
      </w:r>
      <w:r>
        <w:rPr>
          <w:rFonts w:eastAsia="Calibri"/>
        </w:rPr>
        <w:t>(</w:t>
      </w:r>
      <w:proofErr w:type="spellStart"/>
      <w:r w:rsidRPr="001365F3">
        <w:rPr>
          <w:rFonts w:eastAsia="Calibri"/>
        </w:rPr>
        <w:t>caplacizumab</w:t>
      </w:r>
      <w:proofErr w:type="spellEnd"/>
      <w:r>
        <w:rPr>
          <w:rFonts w:eastAsia="Calibri"/>
        </w:rPr>
        <w:t xml:space="preserve">) </w:t>
      </w:r>
      <w:proofErr w:type="gramStart"/>
      <w:r>
        <w:rPr>
          <w:rFonts w:eastAsia="Calibri"/>
        </w:rPr>
        <w:t>is considered</w:t>
      </w:r>
      <w:proofErr w:type="gramEnd"/>
      <w:r>
        <w:rPr>
          <w:rFonts w:eastAsia="Calibri"/>
        </w:rPr>
        <w:t xml:space="preserve"> a new biological entity for Australian regulatory purposes.</w:t>
      </w:r>
    </w:p>
    <w:p w14:paraId="3CCD4402" w14:textId="74171522" w:rsidR="00B25D51" w:rsidRDefault="00B25D51" w:rsidP="00940A89">
      <w:r w:rsidRPr="00940A89">
        <w:t>At the time the TGA considered this application, a similar application had been approved</w:t>
      </w:r>
      <w:r>
        <w:t xml:space="preserve"> in the United States (US) and European Union (EU; indications below), and </w:t>
      </w:r>
      <w:r w:rsidRPr="00940A89">
        <w:t>was under co</w:t>
      </w:r>
      <w:r>
        <w:t>nsideration in Canada (submitted</w:t>
      </w:r>
      <w:r w:rsidR="00885504">
        <w:t xml:space="preserve"> </w:t>
      </w:r>
      <w:r w:rsidR="00887296">
        <w:t>22 July 2019</w:t>
      </w:r>
      <w:r w:rsidR="00FC4B40">
        <w:t>)</w:t>
      </w:r>
      <w:r>
        <w:t>.</w:t>
      </w:r>
    </w:p>
    <w:p w14:paraId="29B6DA91" w14:textId="77777777" w:rsidR="00755683" w:rsidRDefault="00755683" w:rsidP="00755683">
      <w:r>
        <w:t>European Medicines Agency (EMA) approved indications (approved 31 August 2018):</w:t>
      </w:r>
    </w:p>
    <w:p w14:paraId="66EBBE58" w14:textId="77777777" w:rsidR="00755683" w:rsidRPr="00755683" w:rsidRDefault="00755683" w:rsidP="00755683">
      <w:pPr>
        <w:ind w:left="720"/>
        <w:rPr>
          <w:i/>
        </w:rPr>
      </w:pPr>
      <w:proofErr w:type="spellStart"/>
      <w:r w:rsidRPr="000D7927">
        <w:rPr>
          <w:i/>
        </w:rPr>
        <w:t>Cablivi</w:t>
      </w:r>
      <w:proofErr w:type="spellEnd"/>
      <w:r w:rsidRPr="000D7927">
        <w:rPr>
          <w:i/>
        </w:rPr>
        <w:t xml:space="preserve"> </w:t>
      </w:r>
      <w:proofErr w:type="gramStart"/>
      <w:r w:rsidRPr="000D7927">
        <w:rPr>
          <w:i/>
        </w:rPr>
        <w:t>is indicated</w:t>
      </w:r>
      <w:proofErr w:type="gramEnd"/>
      <w:r w:rsidRPr="000D7927">
        <w:rPr>
          <w:i/>
        </w:rPr>
        <w:t xml:space="preserve"> for the treatment of adults experiencing an episode of acquired thrombotic thrombocytopenic purpura (</w:t>
      </w:r>
      <w:proofErr w:type="spellStart"/>
      <w:r w:rsidRPr="000D7927">
        <w:rPr>
          <w:i/>
        </w:rPr>
        <w:t>aTTP</w:t>
      </w:r>
      <w:proofErr w:type="spellEnd"/>
      <w:r w:rsidRPr="000D7927">
        <w:rPr>
          <w:i/>
        </w:rPr>
        <w:t>), in conjunction with plasma exchange and immunosuppression.</w:t>
      </w:r>
    </w:p>
    <w:p w14:paraId="7CF235B8" w14:textId="04193E34" w:rsidR="00B25D51" w:rsidRDefault="00D924BF" w:rsidP="00940A89">
      <w:r>
        <w:t xml:space="preserve">US </w:t>
      </w:r>
      <w:r w:rsidR="00755683">
        <w:t>Food and Drug Administration (</w:t>
      </w:r>
      <w:r w:rsidR="00B25D51">
        <w:t>FDA</w:t>
      </w:r>
      <w:r w:rsidR="00755683">
        <w:t>) approved indications</w:t>
      </w:r>
      <w:r w:rsidR="00B25D51">
        <w:t xml:space="preserve"> </w:t>
      </w:r>
      <w:r w:rsidR="00755683">
        <w:t>(a</w:t>
      </w:r>
      <w:r w:rsidR="00FC4B40">
        <w:t xml:space="preserve">pproved </w:t>
      </w:r>
      <w:r w:rsidR="000D7927">
        <w:t>6 February 2019)</w:t>
      </w:r>
      <w:r w:rsidR="00755683">
        <w:t>:</w:t>
      </w:r>
    </w:p>
    <w:p w14:paraId="7303C86E" w14:textId="77777777" w:rsidR="00FC4B40" w:rsidRPr="000D7927" w:rsidRDefault="000D7927" w:rsidP="000D7927">
      <w:pPr>
        <w:ind w:left="720"/>
        <w:rPr>
          <w:i/>
        </w:rPr>
      </w:pPr>
      <w:proofErr w:type="spellStart"/>
      <w:r w:rsidRPr="000D7927">
        <w:rPr>
          <w:i/>
        </w:rPr>
        <w:t>Cablivi</w:t>
      </w:r>
      <w:proofErr w:type="spellEnd"/>
      <w:r w:rsidR="00FC4B40" w:rsidRPr="000D7927">
        <w:rPr>
          <w:i/>
        </w:rPr>
        <w:t xml:space="preserve"> is a von </w:t>
      </w:r>
      <w:proofErr w:type="spellStart"/>
      <w:r w:rsidR="00FC4B40" w:rsidRPr="000D7927">
        <w:rPr>
          <w:i/>
        </w:rPr>
        <w:t>Willebrand</w:t>
      </w:r>
      <w:proofErr w:type="spellEnd"/>
      <w:r w:rsidR="00FC4B40" w:rsidRPr="000D7927">
        <w:rPr>
          <w:i/>
        </w:rPr>
        <w:t xml:space="preserve"> factor (</w:t>
      </w:r>
      <w:proofErr w:type="spellStart"/>
      <w:r w:rsidR="00FC4B40" w:rsidRPr="000D7927">
        <w:rPr>
          <w:i/>
        </w:rPr>
        <w:t>vWF</w:t>
      </w:r>
      <w:proofErr w:type="spellEnd"/>
      <w:r w:rsidR="00FC4B40" w:rsidRPr="000D7927">
        <w:rPr>
          <w:i/>
        </w:rPr>
        <w:t>)-directed antibody fragment indicated for the treatment of adult patients with acquired thrombotic thrombocytopenic purpura (</w:t>
      </w:r>
      <w:proofErr w:type="spellStart"/>
      <w:r w:rsidR="00FC4B40" w:rsidRPr="000D7927">
        <w:rPr>
          <w:i/>
        </w:rPr>
        <w:t>aTTP</w:t>
      </w:r>
      <w:proofErr w:type="spellEnd"/>
      <w:r w:rsidR="00FC4B40" w:rsidRPr="000D7927">
        <w:rPr>
          <w:i/>
        </w:rPr>
        <w:t>), in combination with plasma exchange and immunosuppressive therapy.</w:t>
      </w:r>
    </w:p>
    <w:p w14:paraId="732D1613" w14:textId="77777777" w:rsidR="008E7846" w:rsidRDefault="008E7846" w:rsidP="00BB60B8">
      <w:pPr>
        <w:pStyle w:val="Heading3"/>
      </w:pPr>
      <w:bookmarkStart w:id="20" w:name="_Toc39569373"/>
      <w:r>
        <w:t>Product Information</w:t>
      </w:r>
      <w:bookmarkEnd w:id="18"/>
      <w:bookmarkEnd w:id="19"/>
      <w:bookmarkEnd w:id="20"/>
    </w:p>
    <w:p w14:paraId="23B4C952" w14:textId="77777777" w:rsidR="00940A89" w:rsidRDefault="006136D7" w:rsidP="00940A89">
      <w:bookmarkStart w:id="21" w:name="_Toc247691506"/>
      <w:bookmarkStart w:id="22" w:name="_Toc314842487"/>
      <w:r w:rsidRPr="00940A89">
        <w:t xml:space="preserve">The Product Information (PI) </w:t>
      </w:r>
      <w:r>
        <w:t xml:space="preserve">approved with the </w:t>
      </w:r>
      <w:proofErr w:type="gramStart"/>
      <w:r>
        <w:t xml:space="preserve">submission which is described in </w:t>
      </w:r>
      <w:r w:rsidRPr="00940A89">
        <w:t xml:space="preserve">this </w:t>
      </w:r>
      <w:proofErr w:type="spellStart"/>
      <w:r w:rsidRPr="00940A89">
        <w:t>AusPAR</w:t>
      </w:r>
      <w:proofErr w:type="spellEnd"/>
      <w:proofErr w:type="gram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699C1059" w14:textId="77777777" w:rsidR="00500337" w:rsidRDefault="008D297E" w:rsidP="00500337">
      <w:pPr>
        <w:pStyle w:val="Heading2"/>
      </w:pPr>
      <w:bookmarkStart w:id="23" w:name="_Toc504480011"/>
      <w:bookmarkStart w:id="24" w:name="_Toc39569374"/>
      <w:r>
        <w:t>II. Registration time</w:t>
      </w:r>
      <w:r w:rsidR="00500337">
        <w:t>line</w:t>
      </w:r>
      <w:bookmarkEnd w:id="23"/>
      <w:bookmarkEnd w:id="24"/>
    </w:p>
    <w:p w14:paraId="232C2410" w14:textId="77777777" w:rsidR="00500337" w:rsidRDefault="00755683" w:rsidP="00500337">
      <w:r>
        <w:fldChar w:fldCharType="begin"/>
      </w:r>
      <w:r>
        <w:instrText xml:space="preserve"> REF _Ref36993399 \h </w:instrText>
      </w:r>
      <w:r>
        <w:fldChar w:fldCharType="separate"/>
      </w:r>
      <w:r>
        <w:t xml:space="preserve">Table </w:t>
      </w:r>
      <w:r>
        <w:rPr>
          <w:noProof/>
        </w:rPr>
        <w:t>1</w:t>
      </w:r>
      <w:r>
        <w:fldChar w:fldCharType="end"/>
      </w:r>
      <w:r>
        <w:t xml:space="preserve"> </w:t>
      </w:r>
      <w:r w:rsidR="00500337">
        <w:t xml:space="preserve">captures the key steps and dates for this application and which </w:t>
      </w:r>
      <w:proofErr w:type="gramStart"/>
      <w:r w:rsidR="00500337">
        <w:t xml:space="preserve">are detailed and discussed in this </w:t>
      </w:r>
      <w:proofErr w:type="spellStart"/>
      <w:r w:rsidR="00500337">
        <w:t>AusPAR</w:t>
      </w:r>
      <w:proofErr w:type="spellEnd"/>
      <w:proofErr w:type="gramEnd"/>
      <w:r w:rsidR="00500337">
        <w:t>.</w:t>
      </w:r>
    </w:p>
    <w:p w14:paraId="6F704BB5" w14:textId="34BEAB37" w:rsidR="00500337" w:rsidRDefault="00755683" w:rsidP="004333B0">
      <w:pPr>
        <w:pStyle w:val="TableTitle"/>
      </w:pPr>
      <w:bookmarkStart w:id="25" w:name="_Ref36993399"/>
      <w:r>
        <w:lastRenderedPageBreak/>
        <w:t xml:space="preserve">Table </w:t>
      </w:r>
      <w:fldSimple w:instr=" SEQ Table \* ARABIC ">
        <w:r w:rsidR="000834AD">
          <w:rPr>
            <w:noProof/>
          </w:rPr>
          <w:t>1</w:t>
        </w:r>
      </w:fldSimple>
      <w:bookmarkEnd w:id="25"/>
      <w:r>
        <w:t xml:space="preserve">: </w:t>
      </w:r>
      <w:r w:rsidR="006A58A8" w:rsidRPr="006A58A8">
        <w:t>Timeline f</w:t>
      </w:r>
      <w:r w:rsidR="008D297E">
        <w:t xml:space="preserve">or Submission </w:t>
      </w:r>
      <w:r w:rsidR="008D297E" w:rsidRPr="00C823D5">
        <w:t>PM-2019-02057-1-6</w:t>
      </w:r>
    </w:p>
    <w:tbl>
      <w:tblPr>
        <w:tblStyle w:val="TableTGAblue"/>
        <w:tblW w:w="0" w:type="auto"/>
        <w:tblLook w:val="04A0" w:firstRow="1" w:lastRow="0" w:firstColumn="1" w:lastColumn="0" w:noHBand="0" w:noVBand="1"/>
      </w:tblPr>
      <w:tblGrid>
        <w:gridCol w:w="4249"/>
        <w:gridCol w:w="4235"/>
      </w:tblGrid>
      <w:tr w:rsidR="00500337" w14:paraId="2DC5205F"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2154D0C" w14:textId="77777777" w:rsidR="00500337" w:rsidRDefault="00500337" w:rsidP="004333B0">
            <w:pPr>
              <w:ind w:left="0" w:right="0"/>
            </w:pPr>
            <w:r>
              <w:t>Description</w:t>
            </w:r>
          </w:p>
        </w:tc>
        <w:tc>
          <w:tcPr>
            <w:tcW w:w="4360" w:type="dxa"/>
          </w:tcPr>
          <w:p w14:paraId="4639AD96" w14:textId="77777777" w:rsidR="00500337" w:rsidRDefault="00500337" w:rsidP="004333B0">
            <w:pPr>
              <w:ind w:left="0" w:right="0"/>
            </w:pPr>
            <w:r>
              <w:t>Date</w:t>
            </w:r>
          </w:p>
        </w:tc>
      </w:tr>
      <w:tr w:rsidR="008D297E" w14:paraId="64EE532E" w14:textId="77777777" w:rsidTr="00500337">
        <w:tc>
          <w:tcPr>
            <w:tcW w:w="4360" w:type="dxa"/>
          </w:tcPr>
          <w:p w14:paraId="7E779DEC" w14:textId="77777777" w:rsidR="008D297E" w:rsidRPr="001B7318" w:rsidRDefault="008D297E" w:rsidP="004333B0">
            <w:pPr>
              <w:keepNext/>
              <w:ind w:left="0" w:right="0"/>
            </w:pPr>
            <w:r w:rsidRPr="001B7318">
              <w:t>Designation: Orphan</w:t>
            </w:r>
          </w:p>
        </w:tc>
        <w:tc>
          <w:tcPr>
            <w:tcW w:w="4360" w:type="dxa"/>
          </w:tcPr>
          <w:p w14:paraId="4DF25687" w14:textId="77777777" w:rsidR="008D297E" w:rsidRPr="001B7318" w:rsidRDefault="008D297E" w:rsidP="004333B0">
            <w:pPr>
              <w:keepNext/>
              <w:ind w:left="0" w:right="0"/>
            </w:pPr>
            <w:r w:rsidRPr="001B7318">
              <w:t>29 January 2019</w:t>
            </w:r>
          </w:p>
        </w:tc>
      </w:tr>
      <w:tr w:rsidR="008D297E" w14:paraId="750CAAD3" w14:textId="77777777" w:rsidTr="00500337">
        <w:tc>
          <w:tcPr>
            <w:tcW w:w="4360" w:type="dxa"/>
          </w:tcPr>
          <w:p w14:paraId="25F9F942" w14:textId="77777777" w:rsidR="008D297E" w:rsidRPr="001B7318" w:rsidRDefault="008D297E" w:rsidP="004333B0">
            <w:pPr>
              <w:keepNext/>
              <w:ind w:left="0" w:right="0"/>
            </w:pPr>
            <w:r w:rsidRPr="001B7318">
              <w:t>Submission dossier accepted and first round evaluation commenced</w:t>
            </w:r>
          </w:p>
        </w:tc>
        <w:tc>
          <w:tcPr>
            <w:tcW w:w="4360" w:type="dxa"/>
          </w:tcPr>
          <w:p w14:paraId="01DC21E3" w14:textId="77777777" w:rsidR="008D297E" w:rsidRPr="001B7318" w:rsidRDefault="008D297E" w:rsidP="004333B0">
            <w:pPr>
              <w:keepNext/>
              <w:ind w:left="0" w:right="0"/>
            </w:pPr>
            <w:r w:rsidRPr="001B7318">
              <w:t>1 July 2019</w:t>
            </w:r>
          </w:p>
        </w:tc>
      </w:tr>
      <w:tr w:rsidR="008D297E" w14:paraId="41A0393C" w14:textId="77777777" w:rsidTr="00500337">
        <w:tc>
          <w:tcPr>
            <w:tcW w:w="4360" w:type="dxa"/>
          </w:tcPr>
          <w:p w14:paraId="020244B0" w14:textId="77777777" w:rsidR="008D297E" w:rsidRPr="001B7318" w:rsidRDefault="008D297E" w:rsidP="004333B0">
            <w:pPr>
              <w:keepNext/>
              <w:ind w:left="0" w:right="0"/>
            </w:pPr>
            <w:r w:rsidRPr="001B7318">
              <w:t>First round evaluation completed</w:t>
            </w:r>
          </w:p>
        </w:tc>
        <w:tc>
          <w:tcPr>
            <w:tcW w:w="4360" w:type="dxa"/>
          </w:tcPr>
          <w:p w14:paraId="2C11CADD" w14:textId="77777777" w:rsidR="008D297E" w:rsidRPr="001B7318" w:rsidRDefault="008D297E" w:rsidP="004333B0">
            <w:pPr>
              <w:keepNext/>
              <w:ind w:left="0" w:right="0"/>
            </w:pPr>
            <w:r w:rsidRPr="001B7318">
              <w:t>30 September 2019</w:t>
            </w:r>
          </w:p>
        </w:tc>
      </w:tr>
      <w:tr w:rsidR="008D297E" w14:paraId="43AB71A5" w14:textId="77777777" w:rsidTr="00500337">
        <w:tc>
          <w:tcPr>
            <w:tcW w:w="4360" w:type="dxa"/>
          </w:tcPr>
          <w:p w14:paraId="3AC07F13" w14:textId="77777777" w:rsidR="008D297E" w:rsidRPr="001B7318" w:rsidRDefault="008D297E" w:rsidP="004333B0">
            <w:pPr>
              <w:keepNext/>
              <w:ind w:left="0" w:right="0"/>
            </w:pPr>
            <w:r w:rsidRPr="001B7318">
              <w:t>Sponsor provides responses on questions raised in first round evaluation</w:t>
            </w:r>
          </w:p>
        </w:tc>
        <w:tc>
          <w:tcPr>
            <w:tcW w:w="4360" w:type="dxa"/>
          </w:tcPr>
          <w:p w14:paraId="05D7D24C" w14:textId="77777777" w:rsidR="008D297E" w:rsidRPr="001B7318" w:rsidRDefault="008D297E" w:rsidP="004333B0">
            <w:pPr>
              <w:keepNext/>
              <w:ind w:left="0" w:right="0"/>
            </w:pPr>
            <w:r w:rsidRPr="001B7318">
              <w:t>2 December 2019</w:t>
            </w:r>
          </w:p>
        </w:tc>
      </w:tr>
      <w:tr w:rsidR="008D297E" w14:paraId="72628DD7" w14:textId="77777777" w:rsidTr="00500337">
        <w:tc>
          <w:tcPr>
            <w:tcW w:w="4360" w:type="dxa"/>
          </w:tcPr>
          <w:p w14:paraId="23339E16" w14:textId="77777777" w:rsidR="008D297E" w:rsidRPr="001B7318" w:rsidRDefault="008D297E" w:rsidP="004333B0">
            <w:pPr>
              <w:keepNext/>
              <w:ind w:left="0" w:right="0"/>
            </w:pPr>
            <w:r w:rsidRPr="001B7318">
              <w:t>Second round evaluation completed</w:t>
            </w:r>
          </w:p>
        </w:tc>
        <w:tc>
          <w:tcPr>
            <w:tcW w:w="4360" w:type="dxa"/>
          </w:tcPr>
          <w:p w14:paraId="0E446EFD" w14:textId="77777777" w:rsidR="008D297E" w:rsidRPr="001B7318" w:rsidRDefault="008D297E" w:rsidP="004333B0">
            <w:pPr>
              <w:keepNext/>
              <w:ind w:left="0" w:right="0"/>
            </w:pPr>
            <w:r w:rsidRPr="001B7318">
              <w:t>2 January 2020</w:t>
            </w:r>
          </w:p>
        </w:tc>
      </w:tr>
      <w:tr w:rsidR="008D297E" w14:paraId="3FC94588" w14:textId="77777777" w:rsidTr="00500337">
        <w:tc>
          <w:tcPr>
            <w:tcW w:w="4360" w:type="dxa"/>
          </w:tcPr>
          <w:p w14:paraId="49E85835" w14:textId="77777777" w:rsidR="008D297E" w:rsidRPr="001B7318" w:rsidRDefault="008D297E" w:rsidP="004333B0">
            <w:pPr>
              <w:keepNext/>
              <w:ind w:left="0" w:right="0"/>
            </w:pPr>
            <w:r w:rsidRPr="001B7318">
              <w:t xml:space="preserve">Delegate’s Overall benefit-risk assessment </w:t>
            </w:r>
          </w:p>
        </w:tc>
        <w:tc>
          <w:tcPr>
            <w:tcW w:w="4360" w:type="dxa"/>
          </w:tcPr>
          <w:p w14:paraId="718CC0B1" w14:textId="77777777" w:rsidR="008D297E" w:rsidRPr="001B7318" w:rsidRDefault="008D297E" w:rsidP="004333B0">
            <w:pPr>
              <w:keepNext/>
              <w:ind w:left="0" w:right="0"/>
            </w:pPr>
            <w:r w:rsidRPr="001B7318">
              <w:t>16 January 2020</w:t>
            </w:r>
          </w:p>
        </w:tc>
      </w:tr>
      <w:tr w:rsidR="008D297E" w14:paraId="2E302544" w14:textId="77777777" w:rsidTr="00500337">
        <w:tc>
          <w:tcPr>
            <w:tcW w:w="4360" w:type="dxa"/>
          </w:tcPr>
          <w:p w14:paraId="277D365E" w14:textId="77777777" w:rsidR="008D297E" w:rsidRPr="001B7318" w:rsidRDefault="008D297E" w:rsidP="004333B0">
            <w:pPr>
              <w:keepNext/>
              <w:ind w:left="0" w:right="0"/>
            </w:pPr>
            <w:r w:rsidRPr="001B7318">
              <w:t>Sponsor’s pre-Advisory Committee response</w:t>
            </w:r>
          </w:p>
        </w:tc>
        <w:tc>
          <w:tcPr>
            <w:tcW w:w="4360" w:type="dxa"/>
          </w:tcPr>
          <w:p w14:paraId="099B8453" w14:textId="77777777" w:rsidR="008D297E" w:rsidRPr="001B7318" w:rsidRDefault="008D297E" w:rsidP="004333B0">
            <w:pPr>
              <w:keepNext/>
              <w:ind w:left="0" w:right="0"/>
            </w:pPr>
            <w:r w:rsidRPr="001B7318">
              <w:t>Not applicable</w:t>
            </w:r>
          </w:p>
        </w:tc>
      </w:tr>
      <w:tr w:rsidR="008D297E" w14:paraId="2D877EA6" w14:textId="77777777" w:rsidTr="00500337">
        <w:tc>
          <w:tcPr>
            <w:tcW w:w="4360" w:type="dxa"/>
          </w:tcPr>
          <w:p w14:paraId="081275A0" w14:textId="77777777" w:rsidR="008D297E" w:rsidRPr="001B7318" w:rsidRDefault="008D297E" w:rsidP="004333B0">
            <w:pPr>
              <w:keepNext/>
              <w:ind w:left="0" w:right="0"/>
            </w:pPr>
            <w:r w:rsidRPr="001B7318">
              <w:t>Advisory Committee meeting</w:t>
            </w:r>
          </w:p>
        </w:tc>
        <w:tc>
          <w:tcPr>
            <w:tcW w:w="4360" w:type="dxa"/>
          </w:tcPr>
          <w:p w14:paraId="47373F62" w14:textId="77777777" w:rsidR="008D297E" w:rsidRPr="001B7318" w:rsidRDefault="008D297E" w:rsidP="004333B0">
            <w:pPr>
              <w:keepNext/>
              <w:ind w:left="0" w:right="0"/>
            </w:pPr>
            <w:r w:rsidRPr="001B7318">
              <w:t>Not applicable</w:t>
            </w:r>
          </w:p>
        </w:tc>
      </w:tr>
      <w:tr w:rsidR="008D297E" w14:paraId="551DC314" w14:textId="77777777" w:rsidTr="00500337">
        <w:tc>
          <w:tcPr>
            <w:tcW w:w="4360" w:type="dxa"/>
          </w:tcPr>
          <w:p w14:paraId="42127D4C" w14:textId="77777777" w:rsidR="008D297E" w:rsidRPr="001B7318" w:rsidRDefault="008D297E" w:rsidP="004333B0">
            <w:pPr>
              <w:keepNext/>
              <w:ind w:left="0" w:right="0"/>
            </w:pPr>
            <w:r w:rsidRPr="001B7318">
              <w:t>Registration decision (Outcome)</w:t>
            </w:r>
          </w:p>
        </w:tc>
        <w:tc>
          <w:tcPr>
            <w:tcW w:w="4360" w:type="dxa"/>
          </w:tcPr>
          <w:p w14:paraId="5A5DA207" w14:textId="77777777" w:rsidR="008D297E" w:rsidRPr="001B7318" w:rsidRDefault="008D297E" w:rsidP="004333B0">
            <w:pPr>
              <w:keepNext/>
              <w:ind w:left="0" w:right="0"/>
            </w:pPr>
            <w:r w:rsidRPr="001B7318">
              <w:t>30 January 2020</w:t>
            </w:r>
          </w:p>
        </w:tc>
      </w:tr>
      <w:tr w:rsidR="008D297E" w14:paraId="5D8FD4E3" w14:textId="77777777" w:rsidTr="00500337">
        <w:tc>
          <w:tcPr>
            <w:tcW w:w="4360" w:type="dxa"/>
          </w:tcPr>
          <w:p w14:paraId="71D1BC9D" w14:textId="04D3775C" w:rsidR="008D297E" w:rsidRPr="001B7318" w:rsidRDefault="008D297E" w:rsidP="004333B0">
            <w:pPr>
              <w:keepNext/>
              <w:ind w:left="0" w:right="0"/>
            </w:pPr>
            <w:r w:rsidRPr="001B7318">
              <w:t xml:space="preserve">Completion of administrative activities and registration on </w:t>
            </w:r>
            <w:r w:rsidR="00D924BF">
              <w:t xml:space="preserve">the </w:t>
            </w:r>
            <w:r w:rsidRPr="001B7318">
              <w:t>ARTG</w:t>
            </w:r>
          </w:p>
        </w:tc>
        <w:tc>
          <w:tcPr>
            <w:tcW w:w="4360" w:type="dxa"/>
          </w:tcPr>
          <w:p w14:paraId="163DD7E3" w14:textId="77777777" w:rsidR="008D297E" w:rsidRPr="001B7318" w:rsidRDefault="008D297E" w:rsidP="004333B0">
            <w:pPr>
              <w:keepNext/>
              <w:ind w:left="0" w:right="0"/>
            </w:pPr>
            <w:r w:rsidRPr="001B7318">
              <w:t>5 February 2020</w:t>
            </w:r>
          </w:p>
        </w:tc>
      </w:tr>
      <w:tr w:rsidR="008D297E" w14:paraId="052BC7A8" w14:textId="77777777" w:rsidTr="00500337">
        <w:tc>
          <w:tcPr>
            <w:tcW w:w="4360" w:type="dxa"/>
          </w:tcPr>
          <w:p w14:paraId="71E6F5DC" w14:textId="77777777" w:rsidR="008D297E" w:rsidRPr="001B7318" w:rsidRDefault="008D297E" w:rsidP="004333B0">
            <w:pPr>
              <w:keepNext/>
              <w:ind w:left="0" w:right="0"/>
            </w:pPr>
            <w:r w:rsidRPr="001B7318">
              <w:t>Number of working days from submission dossier acceptance to registration decision*</w:t>
            </w:r>
          </w:p>
        </w:tc>
        <w:tc>
          <w:tcPr>
            <w:tcW w:w="4360" w:type="dxa"/>
          </w:tcPr>
          <w:p w14:paraId="4472DA41" w14:textId="77777777" w:rsidR="008D297E" w:rsidRDefault="008D297E" w:rsidP="004333B0">
            <w:pPr>
              <w:keepNext/>
              <w:ind w:left="0" w:right="0"/>
            </w:pPr>
            <w:r w:rsidRPr="001B7318">
              <w:t>104</w:t>
            </w:r>
          </w:p>
        </w:tc>
      </w:tr>
    </w:tbl>
    <w:p w14:paraId="7B973BEA" w14:textId="77777777" w:rsidR="00500337" w:rsidRDefault="00500337" w:rsidP="00500337">
      <w:pPr>
        <w:pStyle w:val="TableDescription"/>
      </w:pPr>
      <w:r>
        <w:t>*</w:t>
      </w:r>
      <w:r w:rsidR="008D297E" w:rsidRPr="008D297E">
        <w:t xml:space="preserve"> </w:t>
      </w:r>
      <w:r w:rsidR="008D297E" w:rsidRPr="00FC1D26">
        <w:t>The evaluation and decision timeframe for COR-</w:t>
      </w:r>
      <w:proofErr w:type="gramStart"/>
      <w:r w:rsidR="008D297E" w:rsidRPr="00FC1D26">
        <w:t>A</w:t>
      </w:r>
      <w:proofErr w:type="gramEnd"/>
      <w:r w:rsidR="008D297E" w:rsidRPr="00FC1D26">
        <w:t xml:space="preserve"> applications is 120 working days.</w:t>
      </w:r>
    </w:p>
    <w:p w14:paraId="73E26F93" w14:textId="77777777" w:rsidR="008E7846" w:rsidRPr="00792A32" w:rsidRDefault="00456765" w:rsidP="008E7846">
      <w:pPr>
        <w:pStyle w:val="Heading2"/>
      </w:pPr>
      <w:bookmarkStart w:id="26" w:name="_Toc196046504"/>
      <w:bookmarkStart w:id="27" w:name="_Toc247691527"/>
      <w:bookmarkStart w:id="28" w:name="_Toc314842510"/>
      <w:bookmarkStart w:id="29" w:name="_Toc39569375"/>
      <w:bookmarkStart w:id="30" w:name="_Toc163441390"/>
      <w:bookmarkEnd w:id="21"/>
      <w:bookmarkEnd w:id="22"/>
      <w:bookmarkEnd w:id="1"/>
      <w:r>
        <w:t>I</w:t>
      </w:r>
      <w:r w:rsidR="00DA64CB">
        <w:t>I</w:t>
      </w:r>
      <w:r w:rsidR="008E7846">
        <w:t xml:space="preserve">I. </w:t>
      </w:r>
      <w:r w:rsidR="007E27BD">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50DF4613" w14:textId="77777777" w:rsidR="008E7846" w:rsidRDefault="008E7846" w:rsidP="008E7846">
      <w:bookmarkStart w:id="31" w:name="_Toc247691528"/>
      <w:r>
        <w:t xml:space="preserve">The submission was summarised in the following </w:t>
      </w:r>
      <w:r w:rsidRPr="00EF5C48">
        <w:t xml:space="preserve">Delegate’s </w:t>
      </w:r>
      <w:r>
        <w:t>overview</w:t>
      </w:r>
      <w:r w:rsidRPr="00EF5C48">
        <w:t xml:space="preserve"> and recommendation</w:t>
      </w:r>
      <w:r w:rsidR="007E27BD">
        <w:t>s.</w:t>
      </w:r>
    </w:p>
    <w:p w14:paraId="2090217E" w14:textId="77777777" w:rsidR="007E27BD" w:rsidRDefault="007E27BD" w:rsidP="007E27BD">
      <w:r w:rsidRPr="007E27BD">
        <w:t xml:space="preserve">This section is a TGA summary of wording used in </w:t>
      </w:r>
      <w:proofErr w:type="gramStart"/>
      <w:r>
        <w:t xml:space="preserve">the </w:t>
      </w:r>
      <w:r w:rsidRPr="007E27BD">
        <w:t xml:space="preserve">TGA’s </w:t>
      </w:r>
      <w:r>
        <w:t>Delegate’s</w:t>
      </w:r>
      <w:proofErr w:type="gramEnd"/>
      <w:r>
        <w:t xml:space="preserve"> overview</w:t>
      </w:r>
      <w:r w:rsidRPr="007E27BD">
        <w:t>, which discussed numerous aspects of overseas evaluation reports and included some information that was commercial-in-confidence.</w:t>
      </w:r>
    </w:p>
    <w:p w14:paraId="5461A967" w14:textId="77777777" w:rsidR="008E7846" w:rsidRDefault="008E7846" w:rsidP="008E7846">
      <w:pPr>
        <w:pStyle w:val="Heading3"/>
      </w:pPr>
      <w:bookmarkStart w:id="32" w:name="_Toc314842511"/>
      <w:bookmarkStart w:id="33" w:name="_Toc39569376"/>
      <w:r>
        <w:t>Quality</w:t>
      </w:r>
      <w:bookmarkEnd w:id="31"/>
      <w:bookmarkEnd w:id="32"/>
      <w:bookmarkEnd w:id="33"/>
    </w:p>
    <w:p w14:paraId="41ACAAF6" w14:textId="77777777" w:rsidR="00755683" w:rsidRDefault="00755683" w:rsidP="008D297E">
      <w:proofErr w:type="spellStart"/>
      <w:r w:rsidRPr="00755683">
        <w:t>Caplacizumab</w:t>
      </w:r>
      <w:proofErr w:type="spellEnd"/>
      <w:r w:rsidRPr="00755683">
        <w:t xml:space="preserve"> is a sterile, biological, with a single active ingredient. The active is a </w:t>
      </w:r>
      <w:proofErr w:type="spellStart"/>
      <w:r w:rsidRPr="00755683">
        <w:t>nanobody</w:t>
      </w:r>
      <w:proofErr w:type="spellEnd"/>
      <w:r w:rsidRPr="00755683">
        <w:t xml:space="preserve"> protein, consisting of a single domain antibody fragment. It is sterilised by filtration and is for single use. The formulation does not contain any anti-microbial preservatives. The dosage form is a powder for injection, together with sterile diluent water for injection. Following reconstitution, the solution for injection contains </w:t>
      </w:r>
      <w:proofErr w:type="spellStart"/>
      <w:r w:rsidRPr="00755683">
        <w:t>caplacizumab</w:t>
      </w:r>
      <w:proofErr w:type="spellEnd"/>
      <w:r w:rsidRPr="00755683">
        <w:t xml:space="preserve"> 10 mg/</w:t>
      </w:r>
      <w:proofErr w:type="spellStart"/>
      <w:r w:rsidRPr="00755683">
        <w:t>mL.</w:t>
      </w:r>
      <w:proofErr w:type="spellEnd"/>
    </w:p>
    <w:p w14:paraId="18277157" w14:textId="03E5E843" w:rsidR="008D297E" w:rsidRDefault="008D297E" w:rsidP="008D297E">
      <w:r>
        <w:lastRenderedPageBreak/>
        <w:t xml:space="preserve">The </w:t>
      </w:r>
      <w:r w:rsidR="00755683">
        <w:t>quality</w:t>
      </w:r>
      <w:r>
        <w:t xml:space="preserve"> evaluator has raised no objections on quality grounds to the registration of </w:t>
      </w:r>
      <w:proofErr w:type="spellStart"/>
      <w:r>
        <w:t>caplacizumab</w:t>
      </w:r>
      <w:proofErr w:type="spellEnd"/>
      <w:r>
        <w:t>. The evaluator has recommended the following statement be included in the PI and labels</w:t>
      </w:r>
      <w:r w:rsidR="00D924BF">
        <w:t>:</w:t>
      </w:r>
    </w:p>
    <w:p w14:paraId="3C33E581" w14:textId="77777777" w:rsidR="008D297E" w:rsidRPr="00A67DEB" w:rsidRDefault="008D297E" w:rsidP="008D297E">
      <w:pPr>
        <w:ind w:left="720"/>
      </w:pPr>
      <w:r>
        <w:t>‘</w:t>
      </w:r>
      <w:r w:rsidRPr="00A67DEB">
        <w:t xml:space="preserve">Keep </w:t>
      </w:r>
      <w:proofErr w:type="spellStart"/>
      <w:r w:rsidRPr="00A67DEB">
        <w:t>Cablivi</w:t>
      </w:r>
      <w:proofErr w:type="spellEnd"/>
      <w:r w:rsidRPr="00A67DEB">
        <w:t xml:space="preserve"> in the refrigerator at 2°C to 8°C.</w:t>
      </w:r>
    </w:p>
    <w:p w14:paraId="2DF869F8" w14:textId="77777777" w:rsidR="008D297E" w:rsidRPr="00A67DEB" w:rsidRDefault="008D297E" w:rsidP="008D297E">
      <w:pPr>
        <w:ind w:left="720"/>
      </w:pPr>
      <w:r w:rsidRPr="00A67DEB">
        <w:t xml:space="preserve">If necessary, </w:t>
      </w:r>
      <w:proofErr w:type="spellStart"/>
      <w:r w:rsidRPr="00A67DEB">
        <w:t>Cablivi</w:t>
      </w:r>
      <w:proofErr w:type="spellEnd"/>
      <w:r w:rsidRPr="00A67DEB">
        <w:t xml:space="preserve"> may be stored at room temperature up to 25°C for a single period of up to 2 months. Once the product has been taken out of the refrigerator the product should be discarded and must not </w:t>
      </w:r>
      <w:r>
        <w:t>be returned to the refrigerator</w:t>
      </w:r>
      <w:r w:rsidR="00755683">
        <w:t>.</w:t>
      </w:r>
      <w:r>
        <w:t>’</w:t>
      </w:r>
    </w:p>
    <w:p w14:paraId="6245F36F" w14:textId="77777777" w:rsidR="00D924BF" w:rsidRDefault="008D297E" w:rsidP="008D297E">
      <w:pPr>
        <w:rPr>
          <w:rFonts w:asciiTheme="minorHAnsi" w:hAnsiTheme="minorHAnsi"/>
        </w:rPr>
      </w:pPr>
      <w:r>
        <w:rPr>
          <w:rFonts w:asciiTheme="minorHAnsi" w:hAnsiTheme="minorHAnsi"/>
        </w:rPr>
        <w:t xml:space="preserve">The Delegate concurs with the need for this statement but notes that the final sentence </w:t>
      </w:r>
      <w:proofErr w:type="gramStart"/>
      <w:r>
        <w:rPr>
          <w:rFonts w:asciiTheme="minorHAnsi" w:hAnsiTheme="minorHAnsi"/>
        </w:rPr>
        <w:t>should be reworded</w:t>
      </w:r>
      <w:proofErr w:type="gramEnd"/>
      <w:r>
        <w:rPr>
          <w:rFonts w:asciiTheme="minorHAnsi" w:hAnsiTheme="minorHAnsi"/>
        </w:rPr>
        <w:t xml:space="preserve"> to</w:t>
      </w:r>
      <w:r w:rsidR="00D924BF">
        <w:rPr>
          <w:rFonts w:asciiTheme="minorHAnsi" w:hAnsiTheme="minorHAnsi"/>
        </w:rPr>
        <w:t>:</w:t>
      </w:r>
    </w:p>
    <w:p w14:paraId="2E061C59" w14:textId="321FEE62" w:rsidR="00E45619" w:rsidRPr="008D297E" w:rsidRDefault="008D297E" w:rsidP="00885504">
      <w:pPr>
        <w:ind w:left="720" w:firstLine="45"/>
        <w:rPr>
          <w:rFonts w:asciiTheme="minorHAnsi" w:hAnsiTheme="minorHAnsi"/>
        </w:rPr>
      </w:pPr>
      <w:r>
        <w:rPr>
          <w:rFonts w:asciiTheme="minorHAnsi" w:hAnsiTheme="minorHAnsi"/>
        </w:rPr>
        <w:t>‘…</w:t>
      </w:r>
      <w:r w:rsidRPr="008D297E">
        <w:rPr>
          <w:i/>
        </w:rPr>
        <w:t xml:space="preserve">Once the product has been taken out of the refrigerator the product should be discarded </w:t>
      </w:r>
      <w:r w:rsidRPr="008D297E">
        <w:rPr>
          <w:b/>
          <w:i/>
        </w:rPr>
        <w:t>or used</w:t>
      </w:r>
      <w:r w:rsidRPr="008D297E">
        <w:rPr>
          <w:i/>
        </w:rPr>
        <w:t xml:space="preserve">, </w:t>
      </w:r>
      <w:r w:rsidRPr="008D297E">
        <w:rPr>
          <w:b/>
          <w:i/>
        </w:rPr>
        <w:t>but</w:t>
      </w:r>
      <w:r w:rsidRPr="008D297E">
        <w:rPr>
          <w:i/>
        </w:rPr>
        <w:t xml:space="preserve"> must not be returned to the refrigerato</w:t>
      </w:r>
      <w:r w:rsidRPr="00A67DEB">
        <w:t>r</w:t>
      </w:r>
      <w:r>
        <w:t>.’</w:t>
      </w:r>
    </w:p>
    <w:p w14:paraId="3B7A4039" w14:textId="77777777" w:rsidR="008E7846" w:rsidRDefault="008E7846" w:rsidP="008E7846">
      <w:pPr>
        <w:pStyle w:val="Heading3"/>
      </w:pPr>
      <w:bookmarkStart w:id="34" w:name="_Toc314842512"/>
      <w:bookmarkStart w:id="35" w:name="_Toc39569377"/>
      <w:r>
        <w:t>Nonclinical</w:t>
      </w:r>
      <w:bookmarkEnd w:id="34"/>
      <w:bookmarkEnd w:id="35"/>
    </w:p>
    <w:p w14:paraId="5BFEA5E5" w14:textId="77777777" w:rsidR="008D297E" w:rsidRDefault="008D297E" w:rsidP="008D297E">
      <w:r>
        <w:t xml:space="preserve">The </w:t>
      </w:r>
      <w:r w:rsidR="009B3D56">
        <w:t>nonclinical</w:t>
      </w:r>
      <w:r>
        <w:t xml:space="preserve"> evaluator has noted that the information submitted was of satisfactory quality with no major deficiencies.</w:t>
      </w:r>
    </w:p>
    <w:p w14:paraId="532F1E34" w14:textId="77777777" w:rsidR="009B3D56" w:rsidRDefault="009B3D56" w:rsidP="008D297E">
      <w:r>
        <w:t>The following points were summarised from the nonclinical evaluation:</w:t>
      </w:r>
    </w:p>
    <w:p w14:paraId="51A68CD4" w14:textId="77777777" w:rsidR="008D297E" w:rsidRDefault="008D297E" w:rsidP="009B3D56">
      <w:pPr>
        <w:pStyle w:val="ListBullet"/>
      </w:pPr>
      <w:r>
        <w:t xml:space="preserve">The guinea pig and </w:t>
      </w:r>
      <w:proofErr w:type="spellStart"/>
      <w:r>
        <w:t>cynomolgus</w:t>
      </w:r>
      <w:proofErr w:type="spellEnd"/>
      <w:r>
        <w:t xml:space="preserve"> monkey </w:t>
      </w:r>
      <w:proofErr w:type="gramStart"/>
      <w:r>
        <w:t>were identified as pharmacologically relevant species and selected for use in toxicity studies</w:t>
      </w:r>
      <w:proofErr w:type="gramEnd"/>
      <w:r>
        <w:t>.</w:t>
      </w:r>
    </w:p>
    <w:p w14:paraId="7D7575FB" w14:textId="77777777" w:rsidR="008D297E" w:rsidRDefault="009B3D56" w:rsidP="009B3D56">
      <w:pPr>
        <w:pStyle w:val="ListBullet"/>
      </w:pPr>
      <w:r>
        <w:t>The s</w:t>
      </w:r>
      <w:r w:rsidR="008D297E">
        <w:t xml:space="preserve">afety pharmacology assessment incorporated into the general repeat-dose toxicity program and revealed no effect of </w:t>
      </w:r>
      <w:proofErr w:type="spellStart"/>
      <w:r w:rsidR="008D297E">
        <w:t>caplacizumab</w:t>
      </w:r>
      <w:proofErr w:type="spellEnd"/>
      <w:r w:rsidR="008D297E">
        <w:t xml:space="preserve"> on </w:t>
      </w:r>
      <w:r>
        <w:t>central nervous system (</w:t>
      </w:r>
      <w:r w:rsidR="008D297E">
        <w:t>CNS</w:t>
      </w:r>
      <w:r>
        <w:t>)</w:t>
      </w:r>
      <w:r w:rsidR="008D297E">
        <w:t>, cardiovascular or respiratory function.</w:t>
      </w:r>
    </w:p>
    <w:p w14:paraId="1E3C1DA4" w14:textId="77777777" w:rsidR="008D297E" w:rsidRDefault="008D297E" w:rsidP="009B3D56">
      <w:pPr>
        <w:pStyle w:val="ListBullet"/>
      </w:pPr>
      <w:r>
        <w:t xml:space="preserve">Repeat-dose toxicity studies of up to 13 weeks duration were conducted in guinea pigs and up to 26 weeks duration in </w:t>
      </w:r>
      <w:proofErr w:type="spellStart"/>
      <w:r>
        <w:t>cynomolgus</w:t>
      </w:r>
      <w:proofErr w:type="spellEnd"/>
      <w:r>
        <w:t xml:space="preserve"> monkeys using the </w:t>
      </w:r>
      <w:r w:rsidR="009B3D56">
        <w:t>subcutaneous (</w:t>
      </w:r>
      <w:r>
        <w:t>SC</w:t>
      </w:r>
      <w:r w:rsidR="009B3D56">
        <w:t>)</w:t>
      </w:r>
      <w:r>
        <w:t xml:space="preserve"> route, with additional </w:t>
      </w:r>
      <w:proofErr w:type="gramStart"/>
      <w:r>
        <w:t>2 week</w:t>
      </w:r>
      <w:proofErr w:type="gramEnd"/>
      <w:r>
        <w:t xml:space="preserve"> studies by the </w:t>
      </w:r>
      <w:r w:rsidR="009B3D56">
        <w:t>intravenous (</w:t>
      </w:r>
      <w:r>
        <w:t>IV</w:t>
      </w:r>
      <w:r w:rsidR="009B3D56">
        <w:t>)</w:t>
      </w:r>
      <w:r>
        <w:t xml:space="preserve"> route performed in monkeys. The species used, routes covered and duration are appropriate. High to very high multiples of the clinical exposure to </w:t>
      </w:r>
      <w:proofErr w:type="spellStart"/>
      <w:r>
        <w:t>caplacizumab</w:t>
      </w:r>
      <w:proofErr w:type="spellEnd"/>
      <w:r>
        <w:t xml:space="preserve"> </w:t>
      </w:r>
      <w:proofErr w:type="gramStart"/>
      <w:r>
        <w:t>were achieved</w:t>
      </w:r>
      <w:proofErr w:type="gramEnd"/>
      <w:r>
        <w:t xml:space="preserve"> at the upper dose levels used in the key studies. Major findings represented exaggerated pharmacological effects (increased bleeding tendency and secondary alterations in erythrocyte parameters), with no toxicity due to off-target effects apparent.</w:t>
      </w:r>
    </w:p>
    <w:p w14:paraId="0349CF02" w14:textId="77777777" w:rsidR="008D297E" w:rsidRDefault="008D297E" w:rsidP="009B3D56">
      <w:pPr>
        <w:pStyle w:val="ListBullet"/>
      </w:pPr>
      <w:r>
        <w:t xml:space="preserve">No </w:t>
      </w:r>
      <w:proofErr w:type="spellStart"/>
      <w:r>
        <w:t>genotoxicity</w:t>
      </w:r>
      <w:proofErr w:type="spellEnd"/>
      <w:r>
        <w:t xml:space="preserve"> studies </w:t>
      </w:r>
      <w:proofErr w:type="gramStart"/>
      <w:r>
        <w:t>were submitted</w:t>
      </w:r>
      <w:proofErr w:type="gramEnd"/>
      <w:r>
        <w:t xml:space="preserve">, which is acceptable for a protein drug. Carcinogenicity studies </w:t>
      </w:r>
      <w:proofErr w:type="gramStart"/>
      <w:r>
        <w:t>were not performed</w:t>
      </w:r>
      <w:proofErr w:type="gramEnd"/>
      <w:r>
        <w:t>, with no particular cause for concern seen from the general repeat dose toxicity program or from knowledge of the physiological role of the target.</w:t>
      </w:r>
    </w:p>
    <w:p w14:paraId="41973C92" w14:textId="719CD8BC" w:rsidR="008D297E" w:rsidRDefault="008D297E" w:rsidP="009B3D56">
      <w:pPr>
        <w:pStyle w:val="ListBullet"/>
      </w:pPr>
      <w:r>
        <w:t xml:space="preserve">No effects on fertility </w:t>
      </w:r>
      <w:proofErr w:type="gramStart"/>
      <w:r>
        <w:t>are predicted</w:t>
      </w:r>
      <w:proofErr w:type="gramEnd"/>
      <w:r>
        <w:t xml:space="preserve"> based on examination of sperm and male and female reproductive tissues in monkeys (in lieu of functional studies). No adverse effects on </w:t>
      </w:r>
      <w:proofErr w:type="spellStart"/>
      <w:r>
        <w:t>embryofetal</w:t>
      </w:r>
      <w:proofErr w:type="spellEnd"/>
      <w:r>
        <w:t xml:space="preserve"> development </w:t>
      </w:r>
      <w:proofErr w:type="gramStart"/>
      <w:r>
        <w:t>were observed</w:t>
      </w:r>
      <w:proofErr w:type="gramEnd"/>
      <w:r>
        <w:t xml:space="preserve"> with </w:t>
      </w:r>
      <w:proofErr w:type="spellStart"/>
      <w:r>
        <w:t>caplacizumab</w:t>
      </w:r>
      <w:proofErr w:type="spellEnd"/>
      <w:r>
        <w:t xml:space="preserve"> in guinea pigs. Placental transfer was evident. Pregnancy Category B1</w:t>
      </w:r>
      <w:r w:rsidR="00D924BF">
        <w:t>;</w:t>
      </w:r>
      <w:r w:rsidR="009B3D56">
        <w:rPr>
          <w:rStyle w:val="FootnoteReference"/>
        </w:rPr>
        <w:footnoteReference w:id="3"/>
      </w:r>
      <w:r>
        <w:t xml:space="preserve"> as the sponsor </w:t>
      </w:r>
      <w:proofErr w:type="gramStart"/>
      <w:r>
        <w:t>proposes,</w:t>
      </w:r>
      <w:proofErr w:type="gramEnd"/>
      <w:r>
        <w:t xml:space="preserve"> is supported.</w:t>
      </w:r>
    </w:p>
    <w:p w14:paraId="61FB7366" w14:textId="2A58B9A6" w:rsidR="008D297E" w:rsidRDefault="008D297E" w:rsidP="009B3D56">
      <w:pPr>
        <w:pStyle w:val="ListBullet"/>
      </w:pPr>
      <w:r>
        <w:t xml:space="preserve">Injection site reactions (primarily haemorrhage) </w:t>
      </w:r>
      <w:proofErr w:type="gramStart"/>
      <w:r>
        <w:t>were exacerbated</w:t>
      </w:r>
      <w:proofErr w:type="gramEnd"/>
      <w:r>
        <w:t xml:space="preserve"> by </w:t>
      </w:r>
      <w:proofErr w:type="spellStart"/>
      <w:r>
        <w:t>caplacizumab</w:t>
      </w:r>
      <w:proofErr w:type="spellEnd"/>
      <w:r>
        <w:t xml:space="preserve">, consistent with its primary pharmacology. The maximum strength of </w:t>
      </w:r>
      <w:proofErr w:type="spellStart"/>
      <w:r>
        <w:t>caplacizumab</w:t>
      </w:r>
      <w:proofErr w:type="spellEnd"/>
      <w:r>
        <w:t xml:space="preserve"> tested for local tolerability in animals was less than half that to be administered to </w:t>
      </w:r>
      <w:r>
        <w:lastRenderedPageBreak/>
        <w:t>patients. This is not in accordance with the relevant TGA-adopted EMA guideline</w:t>
      </w:r>
      <w:proofErr w:type="gramStart"/>
      <w:r w:rsidR="00D924BF">
        <w:t>;</w:t>
      </w:r>
      <w:proofErr w:type="gramEnd"/>
      <w:r w:rsidR="00FB171C">
        <w:rPr>
          <w:rStyle w:val="FootnoteReference"/>
        </w:rPr>
        <w:footnoteReference w:id="4"/>
      </w:r>
      <w:r>
        <w:t xml:space="preserve"> which recommends testing of the actual clinical strength. This is not considered </w:t>
      </w:r>
      <w:proofErr w:type="gramStart"/>
      <w:r>
        <w:t>to be a</w:t>
      </w:r>
      <w:proofErr w:type="gramEnd"/>
      <w:r>
        <w:t xml:space="preserve"> major deficiency, though, given the expected lack</w:t>
      </w:r>
      <w:r w:rsidR="00FB171C">
        <w:t xml:space="preserve"> of irritancy for a protein (compared with</w:t>
      </w:r>
      <w:r>
        <w:t xml:space="preserve"> a small molecule) and the availability of clinical data to address this concern.</w:t>
      </w:r>
    </w:p>
    <w:p w14:paraId="0686F00B" w14:textId="77777777" w:rsidR="008E7846" w:rsidRPr="0058132E" w:rsidRDefault="008D297E" w:rsidP="008D297E">
      <w:r w:rsidRPr="0058132E">
        <w:t xml:space="preserve">The Delegate concurs with the amendments to the PI proposed by the </w:t>
      </w:r>
      <w:r w:rsidR="00FB171C" w:rsidRPr="0058132E">
        <w:t>nonclinical</w:t>
      </w:r>
      <w:r w:rsidRPr="0058132E">
        <w:t xml:space="preserve"> evaluator.</w:t>
      </w:r>
    </w:p>
    <w:p w14:paraId="01B37D43" w14:textId="77777777" w:rsidR="008E7846" w:rsidRPr="004B2DAA" w:rsidRDefault="008E7846" w:rsidP="008E7846">
      <w:pPr>
        <w:pStyle w:val="Heading3"/>
      </w:pPr>
      <w:bookmarkStart w:id="36" w:name="_Toc247691530"/>
      <w:bookmarkStart w:id="37" w:name="_Toc314842513"/>
      <w:bookmarkStart w:id="38" w:name="_Toc39569378"/>
      <w:r w:rsidRPr="004B2DAA">
        <w:t>Clinical</w:t>
      </w:r>
      <w:bookmarkEnd w:id="36"/>
      <w:bookmarkEnd w:id="37"/>
      <w:bookmarkEnd w:id="38"/>
    </w:p>
    <w:p w14:paraId="5DD92DB5" w14:textId="0B8C5ECD" w:rsidR="004B2DAA" w:rsidRPr="0058132E" w:rsidRDefault="004B3093" w:rsidP="004B3093">
      <w:r w:rsidRPr="004B2DAA">
        <w:t>The</w:t>
      </w:r>
      <w:r w:rsidR="004B2DAA">
        <w:t xml:space="preserve"> clinical dossier </w:t>
      </w:r>
      <w:r w:rsidR="00424567">
        <w:t xml:space="preserve">submitted </w:t>
      </w:r>
      <w:r w:rsidR="004B2DAA">
        <w:t>consisted of four</w:t>
      </w:r>
      <w:r w:rsidRPr="004B2DAA">
        <w:t xml:space="preserve"> Phase I studies, </w:t>
      </w:r>
      <w:r w:rsidR="004653B4">
        <w:t>two Phase II studies and one Phase III study</w:t>
      </w:r>
      <w:r w:rsidR="004653B4" w:rsidRPr="0058132E">
        <w:t>.</w:t>
      </w:r>
      <w:r w:rsidR="0058132E" w:rsidRPr="0058132E">
        <w:t xml:space="preserve"> The studies performed in patients with </w:t>
      </w:r>
      <w:proofErr w:type="spellStart"/>
      <w:r w:rsidR="0058132E" w:rsidRPr="0058132E">
        <w:t>aTTP</w:t>
      </w:r>
      <w:proofErr w:type="spellEnd"/>
      <w:r w:rsidR="0058132E" w:rsidRPr="0058132E">
        <w:t xml:space="preserve"> were </w:t>
      </w:r>
      <w:r w:rsidR="00787882">
        <w:t xml:space="preserve">the </w:t>
      </w:r>
      <w:r w:rsidR="0058132E">
        <w:t xml:space="preserve">Phase II </w:t>
      </w:r>
      <w:r w:rsidR="00CC04AE">
        <w:t>Study ALX</w:t>
      </w:r>
      <w:r w:rsidR="00CC04AE">
        <w:noBreakHyphen/>
        <w:t>0681</w:t>
      </w:r>
      <w:r w:rsidR="00CC04AE">
        <w:noBreakHyphen/>
      </w:r>
      <w:r w:rsidR="0058132E" w:rsidRPr="0058132E">
        <w:t>2.1/10</w:t>
      </w:r>
      <w:r w:rsidR="0058132E">
        <w:t xml:space="preserve"> (</w:t>
      </w:r>
      <w:r w:rsidR="00787882">
        <w:t xml:space="preserve">also known as the </w:t>
      </w:r>
      <w:r w:rsidR="0058132E" w:rsidRPr="0058132E">
        <w:t>TITAN</w:t>
      </w:r>
      <w:r w:rsidR="0058132E">
        <w:t xml:space="preserve"> trial)</w:t>
      </w:r>
      <w:r w:rsidR="0058132E" w:rsidRPr="0058132E">
        <w:t xml:space="preserve"> </w:t>
      </w:r>
      <w:r w:rsidR="00CC04AE" w:rsidRPr="00CC04AE">
        <w:t xml:space="preserve">with </w:t>
      </w:r>
      <w:r w:rsidR="00CC04AE" w:rsidRPr="000E1934">
        <w:t xml:space="preserve">36 patients treated </w:t>
      </w:r>
      <w:r w:rsidR="0058132E" w:rsidRPr="0058132E">
        <w:t xml:space="preserve">and </w:t>
      </w:r>
      <w:r w:rsidR="00787882">
        <w:t xml:space="preserve">the </w:t>
      </w:r>
      <w:r w:rsidR="0058132E">
        <w:t xml:space="preserve">Phase III Study </w:t>
      </w:r>
      <w:r w:rsidR="0058132E" w:rsidRPr="0058132E">
        <w:t>ALX0681-C301</w:t>
      </w:r>
      <w:r w:rsidR="0058132E">
        <w:t xml:space="preserve"> (</w:t>
      </w:r>
      <w:r w:rsidR="00787882">
        <w:t xml:space="preserve">also known as the </w:t>
      </w:r>
      <w:r w:rsidR="0058132E" w:rsidRPr="0058132E">
        <w:t>HERCULES</w:t>
      </w:r>
      <w:r w:rsidR="0058132E">
        <w:t xml:space="preserve"> trial)</w:t>
      </w:r>
      <w:r w:rsidR="00CC04AE">
        <w:t xml:space="preserve"> </w:t>
      </w:r>
      <w:r w:rsidR="000E1934" w:rsidRPr="000E1934">
        <w:t>with 73 patients treated</w:t>
      </w:r>
      <w:r w:rsidR="0058132E" w:rsidRPr="0058132E">
        <w:t>.</w:t>
      </w:r>
    </w:p>
    <w:p w14:paraId="6FBB65B3" w14:textId="77777777" w:rsidR="004151AE" w:rsidRPr="004B2DAA" w:rsidRDefault="004151AE" w:rsidP="004151AE">
      <w:pPr>
        <w:pStyle w:val="Heading4"/>
        <w:rPr>
          <w:szCs w:val="22"/>
        </w:rPr>
      </w:pPr>
      <w:bookmarkStart w:id="39" w:name="_Toc314842514"/>
      <w:r w:rsidRPr="004B2DAA">
        <w:t>Pharmacology</w:t>
      </w:r>
    </w:p>
    <w:p w14:paraId="033978EB" w14:textId="77777777" w:rsidR="004151AE" w:rsidRPr="004B2DAA" w:rsidRDefault="004151AE" w:rsidP="004151AE">
      <w:pPr>
        <w:pStyle w:val="Heading5"/>
      </w:pPr>
      <w:r w:rsidRPr="004B2DAA">
        <w:t>Pharmacokinetics</w:t>
      </w:r>
    </w:p>
    <w:p w14:paraId="4EE090A2" w14:textId="77777777" w:rsidR="0028737D" w:rsidRDefault="004151AE" w:rsidP="004151AE">
      <w:proofErr w:type="spellStart"/>
      <w:r w:rsidRPr="004B2DAA">
        <w:t>Caplacizumab</w:t>
      </w:r>
      <w:proofErr w:type="spellEnd"/>
      <w:r w:rsidRPr="004B2DAA">
        <w:t xml:space="preserve"> is a bivalent antibody fragment (</w:t>
      </w:r>
      <w:proofErr w:type="spellStart"/>
      <w:r w:rsidRPr="004B2DAA">
        <w:t>nanobody</w:t>
      </w:r>
      <w:proofErr w:type="spellEnd"/>
      <w:r w:rsidRPr="004B2DAA">
        <w:t xml:space="preserve">) approximately 28 </w:t>
      </w:r>
      <w:proofErr w:type="spellStart"/>
      <w:r w:rsidRPr="004B2DAA">
        <w:t>kilodalton</w:t>
      </w:r>
      <w:proofErr w:type="spellEnd"/>
      <w:r w:rsidRPr="004B2DAA">
        <w:t xml:space="preserve"> (</w:t>
      </w:r>
      <w:proofErr w:type="spellStart"/>
      <w:r w:rsidRPr="004B2DAA">
        <w:t>kDa</w:t>
      </w:r>
      <w:proofErr w:type="spellEnd"/>
      <w:r w:rsidRPr="004B2DAA">
        <w:t>) consisting of two identical, humanised building blocks (PMP12A2hum1), joined by a tri-alanine linker. The schem</w:t>
      </w:r>
      <w:r w:rsidR="0028737D" w:rsidRPr="004B2DAA">
        <w:t xml:space="preserve">atic structure </w:t>
      </w:r>
      <w:proofErr w:type="gramStart"/>
      <w:r w:rsidR="0028737D" w:rsidRPr="004B2DAA">
        <w:t>is shown</w:t>
      </w:r>
      <w:proofErr w:type="gramEnd"/>
      <w:r w:rsidR="0028737D" w:rsidRPr="004B2DAA">
        <w:t xml:space="preserve"> below in </w:t>
      </w:r>
      <w:r w:rsidR="0028737D" w:rsidRPr="004B2DAA">
        <w:fldChar w:fldCharType="begin"/>
      </w:r>
      <w:r w:rsidR="0028737D" w:rsidRPr="004B2DAA">
        <w:instrText xml:space="preserve"> REF _Ref36995832 \h </w:instrText>
      </w:r>
      <w:r w:rsidR="004B3093" w:rsidRPr="004B2DAA">
        <w:instrText xml:space="preserve"> \* MERGEFORMAT </w:instrText>
      </w:r>
      <w:r w:rsidR="0028737D" w:rsidRPr="004B2DAA">
        <w:fldChar w:fldCharType="separate"/>
      </w:r>
      <w:r w:rsidR="0028737D" w:rsidRPr="004B2DAA">
        <w:t xml:space="preserve">Figure </w:t>
      </w:r>
      <w:r w:rsidR="0028737D" w:rsidRPr="004B2DAA">
        <w:rPr>
          <w:noProof/>
        </w:rPr>
        <w:t>1</w:t>
      </w:r>
      <w:r w:rsidR="0028737D" w:rsidRPr="004B2DAA">
        <w:fldChar w:fldCharType="end"/>
      </w:r>
      <w:r w:rsidR="0028737D" w:rsidRPr="004B2DAA">
        <w:t>.</w:t>
      </w:r>
    </w:p>
    <w:p w14:paraId="181978B7" w14:textId="1E82F557" w:rsidR="0028737D" w:rsidRPr="0033301F" w:rsidRDefault="0028737D" w:rsidP="0028737D">
      <w:pPr>
        <w:pStyle w:val="FigureTitle"/>
      </w:pPr>
      <w:bookmarkStart w:id="40" w:name="_Ref36995832"/>
      <w:r>
        <w:t xml:space="preserve">Figure </w:t>
      </w:r>
      <w:fldSimple w:instr=" SEQ Figure \* ARABIC ">
        <w:r w:rsidR="00127EE1">
          <w:rPr>
            <w:noProof/>
          </w:rPr>
          <w:t>1</w:t>
        </w:r>
      </w:fldSimple>
      <w:bookmarkEnd w:id="40"/>
      <w:r>
        <w:rPr>
          <w:noProof/>
          <w:lang w:eastAsia="en-AU"/>
        </w:rPr>
        <w:drawing>
          <wp:anchor distT="0" distB="0" distL="114300" distR="114300" simplePos="0" relativeHeight="251658240" behindDoc="0" locked="0" layoutInCell="1" allowOverlap="1" wp14:anchorId="4EA99C27" wp14:editId="5BD87562">
            <wp:simplePos x="0" y="0"/>
            <wp:positionH relativeFrom="column">
              <wp:posOffset>0</wp:posOffset>
            </wp:positionH>
            <wp:positionV relativeFrom="paragraph">
              <wp:posOffset>241300</wp:posOffset>
            </wp:positionV>
            <wp:extent cx="4152900" cy="2019300"/>
            <wp:effectExtent l="0" t="0" r="0" b="0"/>
            <wp:wrapTopAndBottom/>
            <wp:docPr id="10" name="Picture 10" descr="Structure of capl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2019300"/>
                    </a:xfrm>
                    <a:prstGeom prst="rect">
                      <a:avLst/>
                    </a:prstGeom>
                    <a:noFill/>
                    <a:ln>
                      <a:noFill/>
                    </a:ln>
                  </pic:spPr>
                </pic:pic>
              </a:graphicData>
            </a:graphic>
          </wp:anchor>
        </w:drawing>
      </w:r>
      <w:r>
        <w:t xml:space="preserve">: </w:t>
      </w:r>
      <w:r>
        <w:rPr>
          <w:noProof/>
          <w:lang w:eastAsia="en-AU"/>
        </w:rPr>
        <w:t>Structure of caplacizumab</w:t>
      </w:r>
    </w:p>
    <w:p w14:paraId="2438B124" w14:textId="77777777" w:rsidR="004151AE" w:rsidRDefault="004151AE" w:rsidP="00BB60B8">
      <w:proofErr w:type="spellStart"/>
      <w:r>
        <w:t>Caplacizumab</w:t>
      </w:r>
      <w:proofErr w:type="spellEnd"/>
      <w:r>
        <w:t xml:space="preserve"> is administered </w:t>
      </w:r>
      <w:r w:rsidR="0028737D">
        <w:t>IV</w:t>
      </w:r>
      <w:r>
        <w:t xml:space="preserve"> for the first daily dose</w:t>
      </w:r>
      <w:r w:rsidR="004653B4">
        <w:t>,</w:t>
      </w:r>
      <w:r>
        <w:t xml:space="preserve"> then </w:t>
      </w:r>
      <w:r w:rsidR="0028737D">
        <w:t xml:space="preserve">SC for subsequent daily doses. </w:t>
      </w:r>
      <w:r>
        <w:t>No study compared bioavai</w:t>
      </w:r>
      <w:r w:rsidR="0028737D">
        <w:t xml:space="preserve">lability between the IV and SC </w:t>
      </w:r>
      <w:r>
        <w:t>routes of administration. Absolute bioavailab</w:t>
      </w:r>
      <w:r w:rsidR="0028737D">
        <w:t xml:space="preserve">ility </w:t>
      </w:r>
      <w:proofErr w:type="gramStart"/>
      <w:r w:rsidR="0028737D">
        <w:t>was estimated</w:t>
      </w:r>
      <w:proofErr w:type="gramEnd"/>
      <w:r w:rsidR="0028737D">
        <w:t xml:space="preserve"> at 0.999%. </w:t>
      </w:r>
      <w:r>
        <w:t xml:space="preserve">Bioequivalence between the initial formulation and the lyophilised formulation proposed for marketing </w:t>
      </w:r>
      <w:proofErr w:type="gramStart"/>
      <w:r>
        <w:t>was demon</w:t>
      </w:r>
      <w:r w:rsidR="0028737D">
        <w:t>strated</w:t>
      </w:r>
      <w:proofErr w:type="gramEnd"/>
      <w:r w:rsidR="0028737D">
        <w:t xml:space="preserve"> in healthy volunteers.</w:t>
      </w:r>
    </w:p>
    <w:p w14:paraId="2DF06F72" w14:textId="77777777" w:rsidR="004151AE" w:rsidRDefault="004151AE" w:rsidP="004653B4">
      <w:proofErr w:type="spellStart"/>
      <w:r>
        <w:t>Caplacizumab</w:t>
      </w:r>
      <w:proofErr w:type="spellEnd"/>
      <w:r>
        <w:t xml:space="preserve"> </w:t>
      </w:r>
      <w:r w:rsidRPr="00271802">
        <w:t xml:space="preserve">is subject to target-mediated drug disposition meaning that its </w:t>
      </w:r>
      <w:r w:rsidR="0028737D">
        <w:t>pharmacokinetics (</w:t>
      </w:r>
      <w:r w:rsidRPr="00271802">
        <w:t>PK</w:t>
      </w:r>
      <w:r w:rsidR="0028737D">
        <w:t>)</w:t>
      </w:r>
      <w:r w:rsidRPr="00271802">
        <w:t xml:space="preserve"> </w:t>
      </w:r>
      <w:proofErr w:type="gramStart"/>
      <w:r w:rsidRPr="00271802">
        <w:t>is influenced</w:t>
      </w:r>
      <w:proofErr w:type="gramEnd"/>
      <w:r w:rsidRPr="00271802">
        <w:t xml:space="preserve"> by the pharmacodynamics (PD).</w:t>
      </w:r>
      <w:r>
        <w:t xml:space="preserve"> </w:t>
      </w:r>
      <w:r w:rsidR="0028737D">
        <w:t xml:space="preserve">The </w:t>
      </w:r>
      <w:r>
        <w:t xml:space="preserve">PK is </w:t>
      </w:r>
      <w:r w:rsidR="0028737D">
        <w:t>highly variable and non-linear.</w:t>
      </w:r>
    </w:p>
    <w:p w14:paraId="7BF0392F" w14:textId="77777777" w:rsidR="004151AE" w:rsidRDefault="0028737D" w:rsidP="004653B4">
      <w:r>
        <w:t>After SC</w:t>
      </w:r>
      <w:r w:rsidR="004151AE" w:rsidRPr="00A44B55">
        <w:t xml:space="preserve"> administration, </w:t>
      </w:r>
      <w:proofErr w:type="spellStart"/>
      <w:r w:rsidR="004151AE" w:rsidRPr="00A44B55">
        <w:t>caplacizumab</w:t>
      </w:r>
      <w:proofErr w:type="spellEnd"/>
      <w:r w:rsidR="004151AE" w:rsidRPr="00A44B55">
        <w:t xml:space="preserve"> </w:t>
      </w:r>
      <w:proofErr w:type="gramStart"/>
      <w:r w:rsidR="004151AE" w:rsidRPr="00A44B55">
        <w:t>is rapidly and almost completely absorbed</w:t>
      </w:r>
      <w:proofErr w:type="gramEnd"/>
      <w:r w:rsidR="004151AE" w:rsidRPr="00A44B55">
        <w:t xml:space="preserve"> (estimated </w:t>
      </w:r>
      <w:r>
        <w:t>fraction absorbed (</w:t>
      </w:r>
      <w:r w:rsidR="004151AE" w:rsidRPr="00A44B55">
        <w:t>F</w:t>
      </w:r>
      <w:r>
        <w:t xml:space="preserve">) </w:t>
      </w:r>
      <w:r w:rsidR="004151AE" w:rsidRPr="00A44B55">
        <w:t>&gt; 0.901) in the systemic circulation. The maximum concentration wa</w:t>
      </w:r>
      <w:r>
        <w:t xml:space="preserve">s observed at 6 to </w:t>
      </w:r>
      <w:r w:rsidR="004151AE" w:rsidRPr="00A44B55">
        <w:t xml:space="preserve">7 hours post-dose and </w:t>
      </w:r>
      <w:proofErr w:type="gramStart"/>
      <w:r w:rsidR="004151AE" w:rsidRPr="00A44B55">
        <w:t>steady-state</w:t>
      </w:r>
      <w:proofErr w:type="gramEnd"/>
      <w:r w:rsidR="004151AE" w:rsidRPr="00A44B55">
        <w:t xml:space="preserve"> was reached following the first administration, with minimal accumulation.</w:t>
      </w:r>
    </w:p>
    <w:p w14:paraId="49CEB8EF" w14:textId="77777777" w:rsidR="004151AE" w:rsidRDefault="0028737D" w:rsidP="004653B4">
      <w:r>
        <w:lastRenderedPageBreak/>
        <w:t>Volume of d</w:t>
      </w:r>
      <w:r w:rsidR="004151AE" w:rsidRPr="003A551A">
        <w:t xml:space="preserve">istribution (V) from the PK/PD model was 3.4 L </w:t>
      </w:r>
      <w:r w:rsidR="004151AE">
        <w:t xml:space="preserve">in healthy volunteers </w:t>
      </w:r>
      <w:r w:rsidR="004151AE" w:rsidRPr="003A551A">
        <w:t xml:space="preserve">and after adjustments </w:t>
      </w:r>
      <w:r w:rsidR="004151AE">
        <w:t xml:space="preserve">to the model </w:t>
      </w:r>
      <w:proofErr w:type="gramStart"/>
      <w:r w:rsidR="004151AE" w:rsidRPr="003A551A">
        <w:t>was estimated</w:t>
      </w:r>
      <w:proofErr w:type="gramEnd"/>
      <w:r w:rsidR="004151AE" w:rsidRPr="003A551A">
        <w:t xml:space="preserve"> at 6.33</w:t>
      </w:r>
      <w:r w:rsidR="008F3E26">
        <w:t xml:space="preserve"> </w:t>
      </w:r>
      <w:r w:rsidR="004151AE" w:rsidRPr="003A551A">
        <w:t xml:space="preserve">L for </w:t>
      </w:r>
      <w:proofErr w:type="spellStart"/>
      <w:r w:rsidR="004151AE" w:rsidRPr="003A551A">
        <w:t>aTTP</w:t>
      </w:r>
      <w:proofErr w:type="spellEnd"/>
      <w:r w:rsidR="004151AE" w:rsidRPr="003A551A">
        <w:t xml:space="preserve"> patients</w:t>
      </w:r>
      <w:r>
        <w:t>.</w:t>
      </w:r>
    </w:p>
    <w:p w14:paraId="1A998237" w14:textId="62E9F433" w:rsidR="004151AE" w:rsidRPr="004B3093" w:rsidRDefault="004151AE" w:rsidP="004653B4">
      <w:r w:rsidRPr="00276287">
        <w:t xml:space="preserve">No elimination studies </w:t>
      </w:r>
      <w:proofErr w:type="gramStart"/>
      <w:r w:rsidRPr="00276287">
        <w:t>have been performed</w:t>
      </w:r>
      <w:proofErr w:type="gramEnd"/>
      <w:r w:rsidRPr="00276287">
        <w:t>. For a protein of this size, renal filtration followed by</w:t>
      </w:r>
      <w:r>
        <w:t xml:space="preserve"> </w:t>
      </w:r>
      <w:r w:rsidRPr="00276287">
        <w:t xml:space="preserve">metabolism in the kidney </w:t>
      </w:r>
      <w:proofErr w:type="gramStart"/>
      <w:r w:rsidRPr="00276287">
        <w:t>is expected</w:t>
      </w:r>
      <w:proofErr w:type="gramEnd"/>
      <w:r w:rsidRPr="00276287">
        <w:t xml:space="preserve"> for free drug. The target bound drug is expected to be </w:t>
      </w:r>
      <w:proofErr w:type="spellStart"/>
      <w:r w:rsidRPr="00276287">
        <w:t>hepatic</w:t>
      </w:r>
      <w:r w:rsidR="00787882">
        <w:t>al</w:t>
      </w:r>
      <w:r w:rsidRPr="00276287">
        <w:t>ly</w:t>
      </w:r>
      <w:proofErr w:type="spellEnd"/>
      <w:r>
        <w:t xml:space="preserve"> </w:t>
      </w:r>
      <w:proofErr w:type="gramStart"/>
      <w:r w:rsidRPr="00276287">
        <w:t>cleared</w:t>
      </w:r>
      <w:proofErr w:type="gramEnd"/>
      <w:r w:rsidRPr="00276287">
        <w:t xml:space="preserve"> as it</w:t>
      </w:r>
      <w:r>
        <w:t xml:space="preserve"> is</w:t>
      </w:r>
      <w:r w:rsidRPr="00276287">
        <w:t xml:space="preserve"> complex</w:t>
      </w:r>
      <w:r>
        <w:t>ed</w:t>
      </w:r>
      <w:r w:rsidRPr="00276287">
        <w:t xml:space="preserve"> with </w:t>
      </w:r>
      <w:proofErr w:type="spellStart"/>
      <w:r w:rsidRPr="00276287">
        <w:t>vWF</w:t>
      </w:r>
      <w:proofErr w:type="spellEnd"/>
      <w:r>
        <w:t>.</w:t>
      </w:r>
    </w:p>
    <w:p w14:paraId="0E254635" w14:textId="77777777" w:rsidR="004151AE" w:rsidRPr="004B3093" w:rsidRDefault="004151AE" w:rsidP="004653B4">
      <w:proofErr w:type="spellStart"/>
      <w:r w:rsidRPr="00276287">
        <w:t>Caplacizumab</w:t>
      </w:r>
      <w:r>
        <w:t>’s</w:t>
      </w:r>
      <w:proofErr w:type="spellEnd"/>
      <w:r w:rsidRPr="00276287">
        <w:t xml:space="preserve"> half-life is concentration and target level dependent. For a 10 mg once daily dose, the</w:t>
      </w:r>
      <w:r>
        <w:t xml:space="preserve"> </w:t>
      </w:r>
      <w:r w:rsidRPr="00276287">
        <w:t xml:space="preserve">half-life </w:t>
      </w:r>
      <w:proofErr w:type="gramStart"/>
      <w:r>
        <w:t>was</w:t>
      </w:r>
      <w:r w:rsidRPr="00276287">
        <w:t xml:space="preserve"> estimated</w:t>
      </w:r>
      <w:proofErr w:type="gramEnd"/>
      <w:r w:rsidRPr="00276287">
        <w:t xml:space="preserve"> at 8 h</w:t>
      </w:r>
      <w:r w:rsidR="004B3093">
        <w:t>ours</w:t>
      </w:r>
      <w:r w:rsidRPr="00276287">
        <w:t xml:space="preserve"> in healthy volunteers and 20 h</w:t>
      </w:r>
      <w:r w:rsidR="004B3093">
        <w:t>ours</w:t>
      </w:r>
      <w:r w:rsidRPr="00276287">
        <w:t xml:space="preserve"> in </w:t>
      </w:r>
      <w:proofErr w:type="spellStart"/>
      <w:r w:rsidRPr="00276287">
        <w:t>aTTP</w:t>
      </w:r>
      <w:proofErr w:type="spellEnd"/>
      <w:r w:rsidRPr="00276287">
        <w:t xml:space="preserve"> patients.</w:t>
      </w:r>
      <w:r>
        <w:t xml:space="preserve"> There was wide inter-individual variation in PK parameters.</w:t>
      </w:r>
    </w:p>
    <w:p w14:paraId="47032B02" w14:textId="77777777" w:rsidR="004151AE" w:rsidRPr="00276287" w:rsidRDefault="004151AE" w:rsidP="004653B4">
      <w:r>
        <w:t>There were no studies in individuals with renal or hepatic impairment and no drug interaction studies.</w:t>
      </w:r>
    </w:p>
    <w:p w14:paraId="5F95B7B4" w14:textId="77777777" w:rsidR="004151AE" w:rsidRPr="00507B0E" w:rsidRDefault="004151AE" w:rsidP="004151AE">
      <w:pPr>
        <w:pStyle w:val="Heading5"/>
      </w:pPr>
      <w:r w:rsidRPr="00507B0E">
        <w:t>Pharmacodynamics</w:t>
      </w:r>
    </w:p>
    <w:p w14:paraId="0DB55547" w14:textId="77777777" w:rsidR="004151AE" w:rsidRDefault="004151AE" w:rsidP="004653B4">
      <w:r w:rsidRPr="00E15890">
        <w:t xml:space="preserve">The PD markers </w:t>
      </w:r>
      <w:r>
        <w:t>assessed</w:t>
      </w:r>
      <w:r w:rsidRPr="00E15890">
        <w:t xml:space="preserve"> in subjects participating in clinical studies were </w:t>
      </w:r>
      <w:proofErr w:type="spellStart"/>
      <w:r w:rsidR="004B3093">
        <w:t>ristocetin</w:t>
      </w:r>
      <w:proofErr w:type="spellEnd"/>
      <w:r w:rsidR="004B3093">
        <w:noBreakHyphen/>
      </w:r>
      <w:r w:rsidR="004B3093" w:rsidRPr="004B3093">
        <w:t xml:space="preserve">induced cofactor activity </w:t>
      </w:r>
      <w:r w:rsidR="004B3093">
        <w:t>(</w:t>
      </w:r>
      <w:r w:rsidRPr="00E15890">
        <w:t>RICO</w:t>
      </w:r>
      <w:r w:rsidR="004B3093">
        <w:t>)</w:t>
      </w:r>
      <w:r w:rsidRPr="00E15890">
        <w:t>/</w:t>
      </w:r>
      <w:r w:rsidR="004B3093" w:rsidRPr="004B3093">
        <w:t xml:space="preserve"> </w:t>
      </w:r>
      <w:proofErr w:type="spellStart"/>
      <w:r w:rsidR="004B3093" w:rsidRPr="004B3093">
        <w:t>ristocetin</w:t>
      </w:r>
      <w:proofErr w:type="spellEnd"/>
      <w:r w:rsidR="004B3093" w:rsidRPr="004B3093">
        <w:t xml:space="preserve">-induced platelet aggregation </w:t>
      </w:r>
      <w:r w:rsidR="004B3093">
        <w:t>(</w:t>
      </w:r>
      <w:r w:rsidRPr="00E15890">
        <w:t>RICA</w:t>
      </w:r>
      <w:r w:rsidR="004B3093">
        <w:t>)</w:t>
      </w:r>
      <w:r w:rsidRPr="00E15890">
        <w:t xml:space="preserve"> and total</w:t>
      </w:r>
      <w:r>
        <w:t xml:space="preserve"> p</w:t>
      </w:r>
      <w:r w:rsidRPr="00DB652B">
        <w:t xml:space="preserve">lasma </w:t>
      </w:r>
      <w:r w:rsidR="004B3093">
        <w:t xml:space="preserve">von </w:t>
      </w:r>
      <w:proofErr w:type="spellStart"/>
      <w:r w:rsidR="004B3093">
        <w:t>Willebrand</w:t>
      </w:r>
      <w:proofErr w:type="spellEnd"/>
      <w:r w:rsidR="004B3093">
        <w:t xml:space="preserve"> factor antigen (</w:t>
      </w:r>
      <w:proofErr w:type="spellStart"/>
      <w:r w:rsidR="004B3093">
        <w:t>v</w:t>
      </w:r>
      <w:r w:rsidRPr="00DB652B">
        <w:t>WF</w:t>
      </w:r>
      <w:proofErr w:type="gramStart"/>
      <w:r w:rsidRPr="00DB652B">
        <w:t>:Ag</w:t>
      </w:r>
      <w:proofErr w:type="spellEnd"/>
      <w:proofErr w:type="gramEnd"/>
      <w:r w:rsidRPr="00DB652B">
        <w:t>)</w:t>
      </w:r>
      <w:r w:rsidR="004B3093">
        <w:t>.</w:t>
      </w:r>
    </w:p>
    <w:p w14:paraId="009532F4" w14:textId="7511F886" w:rsidR="004151AE" w:rsidRDefault="004151AE" w:rsidP="004653B4">
      <w:proofErr w:type="spellStart"/>
      <w:proofErr w:type="gramStart"/>
      <w:r>
        <w:t>vWF:</w:t>
      </w:r>
      <w:proofErr w:type="gramEnd"/>
      <w:r>
        <w:t>Ag</w:t>
      </w:r>
      <w:proofErr w:type="spellEnd"/>
      <w:r>
        <w:t xml:space="preserve"> measures the quantity of </w:t>
      </w:r>
      <w:proofErr w:type="spellStart"/>
      <w:r>
        <w:t>v</w:t>
      </w:r>
      <w:r w:rsidRPr="00DB652B">
        <w:t>WF</w:t>
      </w:r>
      <w:proofErr w:type="spellEnd"/>
      <w:r w:rsidRPr="00DB652B">
        <w:t xml:space="preserve"> protein in the plasma. </w:t>
      </w:r>
      <w:r w:rsidRPr="002F717D">
        <w:t xml:space="preserve">Testing methods have evolved over time, and most testing </w:t>
      </w:r>
      <w:proofErr w:type="gramStart"/>
      <w:r w:rsidRPr="002F717D">
        <w:t>is now done</w:t>
      </w:r>
      <w:proofErr w:type="gramEnd"/>
      <w:r w:rsidRPr="002F717D">
        <w:t xml:space="preserve"> using an enzyme-linked immunosorbent assay (E</w:t>
      </w:r>
      <w:r w:rsidR="000E1934">
        <w:t xml:space="preserve">LISA)-based method on </w:t>
      </w:r>
      <w:proofErr w:type="spellStart"/>
      <w:r w:rsidR="000E1934">
        <w:t>microtitre</w:t>
      </w:r>
      <w:proofErr w:type="spellEnd"/>
      <w:r w:rsidRPr="002F717D">
        <w:t xml:space="preserve"> plates or by other automated methods using latex bea</w:t>
      </w:r>
      <w:r w:rsidR="004B3093">
        <w:t xml:space="preserve">ds coated with antibodies to </w:t>
      </w:r>
      <w:proofErr w:type="spellStart"/>
      <w:r w:rsidR="004B3093">
        <w:t>v</w:t>
      </w:r>
      <w:r w:rsidRPr="002F717D">
        <w:t>WF</w:t>
      </w:r>
      <w:proofErr w:type="spellEnd"/>
      <w:r w:rsidRPr="002F717D">
        <w:t xml:space="preserve"> and p</w:t>
      </w:r>
      <w:r w:rsidR="004B3093">
        <w:t xml:space="preserve">atient plasma as the source of </w:t>
      </w:r>
      <w:proofErr w:type="spellStart"/>
      <w:r w:rsidR="004B3093">
        <w:t>v</w:t>
      </w:r>
      <w:r w:rsidRPr="002F717D">
        <w:t>WF</w:t>
      </w:r>
      <w:proofErr w:type="spellEnd"/>
      <w:r>
        <w:t>.</w:t>
      </w:r>
      <w:r w:rsidRPr="002F717D">
        <w:t xml:space="preserve"> </w:t>
      </w:r>
      <w:r>
        <w:t xml:space="preserve">The mean plasma level of </w:t>
      </w:r>
      <w:proofErr w:type="spellStart"/>
      <w:r>
        <w:t>vWF</w:t>
      </w:r>
      <w:proofErr w:type="gramStart"/>
      <w:r>
        <w:t>:Ag</w:t>
      </w:r>
      <w:proofErr w:type="spellEnd"/>
      <w:proofErr w:type="gramEnd"/>
      <w:r>
        <w:t xml:space="preserve"> is elevated in the </w:t>
      </w:r>
      <w:proofErr w:type="spellStart"/>
      <w:r>
        <w:t>aTTP</w:t>
      </w:r>
      <w:proofErr w:type="spellEnd"/>
      <w:r>
        <w:t xml:space="preserve"> population. Th</w:t>
      </w:r>
      <w:r w:rsidR="004B3093">
        <w:t>ere is a broad distribution at B</w:t>
      </w:r>
      <w:r>
        <w:t xml:space="preserve">aseline in all different populations studied, with most values between 50% and 200%. On repeated administration of </w:t>
      </w:r>
      <w:proofErr w:type="spellStart"/>
      <w:r>
        <w:t>caplacizumab</w:t>
      </w:r>
      <w:proofErr w:type="spellEnd"/>
      <w:r>
        <w:t xml:space="preserve">, a transient decrease in </w:t>
      </w:r>
      <w:proofErr w:type="spellStart"/>
      <w:r>
        <w:t>vWF</w:t>
      </w:r>
      <w:proofErr w:type="gramStart"/>
      <w:r>
        <w:t>:Ag</w:t>
      </w:r>
      <w:proofErr w:type="spellEnd"/>
      <w:proofErr w:type="gramEnd"/>
      <w:r>
        <w:t xml:space="preserve"> levels was observed in all clinical studies with target levels returning to </w:t>
      </w:r>
      <w:r w:rsidR="00787882">
        <w:t>B</w:t>
      </w:r>
      <w:r>
        <w:t>aseline within 7 days after treatment cessation.</w:t>
      </w:r>
    </w:p>
    <w:p w14:paraId="76D069EB" w14:textId="77777777" w:rsidR="004151AE" w:rsidRPr="004653B4" w:rsidRDefault="004B3093" w:rsidP="004653B4">
      <w:r w:rsidRPr="004653B4">
        <w:t>RICO</w:t>
      </w:r>
      <w:r w:rsidR="004151AE" w:rsidRPr="004653B4">
        <w:t xml:space="preserve"> is a </w:t>
      </w:r>
      <w:r w:rsidRPr="004653B4">
        <w:t>functional</w:t>
      </w:r>
      <w:r w:rsidR="004151AE" w:rsidRPr="004653B4">
        <w:t xml:space="preserve"> </w:t>
      </w:r>
      <w:proofErr w:type="gramStart"/>
      <w:r w:rsidR="004151AE" w:rsidRPr="004653B4">
        <w:t>assay which</w:t>
      </w:r>
      <w:proofErr w:type="gramEnd"/>
      <w:r w:rsidR="004151AE" w:rsidRPr="004653B4">
        <w:t xml:space="preserve"> assess</w:t>
      </w:r>
      <w:r w:rsidR="004653B4" w:rsidRPr="004653B4">
        <w:t>es</w:t>
      </w:r>
      <w:r w:rsidR="004151AE" w:rsidRPr="004653B4">
        <w:t xml:space="preserve"> the ability of </w:t>
      </w:r>
      <w:proofErr w:type="spellStart"/>
      <w:r w:rsidR="004151AE" w:rsidRPr="004653B4">
        <w:t>vWF</w:t>
      </w:r>
      <w:proofErr w:type="spellEnd"/>
      <w:r w:rsidR="004151AE" w:rsidRPr="004653B4">
        <w:t xml:space="preserve"> to bind to platelet membrane receptor </w:t>
      </w:r>
      <w:r w:rsidRPr="004653B4">
        <w:t>glycoprotein 1b (</w:t>
      </w:r>
      <w:r w:rsidR="004151AE" w:rsidRPr="004653B4">
        <w:t>GP1b</w:t>
      </w:r>
      <w:r w:rsidRPr="004653B4">
        <w:t>)</w:t>
      </w:r>
      <w:r w:rsidR="004151AE" w:rsidRPr="004653B4">
        <w:t xml:space="preserve">. </w:t>
      </w:r>
      <w:r w:rsidRPr="004653B4">
        <w:t>RIPA</w:t>
      </w:r>
      <w:r w:rsidR="004151AE" w:rsidRPr="004653B4">
        <w:t xml:space="preserve"> tests aggregation of the patient's platelets in the patient's plasma (platelet-rich plasma) at low concentrations of </w:t>
      </w:r>
      <w:proofErr w:type="spellStart"/>
      <w:r w:rsidR="004151AE" w:rsidRPr="004653B4">
        <w:t>risto</w:t>
      </w:r>
      <w:r w:rsidRPr="004653B4">
        <w:t>cetin</w:t>
      </w:r>
      <w:proofErr w:type="spellEnd"/>
      <w:r w:rsidRPr="004653B4">
        <w:t xml:space="preserve">, and it does not measure </w:t>
      </w:r>
      <w:proofErr w:type="spellStart"/>
      <w:r w:rsidRPr="004653B4">
        <w:t>v</w:t>
      </w:r>
      <w:r w:rsidR="004151AE" w:rsidRPr="004653B4">
        <w:t>WF</w:t>
      </w:r>
      <w:proofErr w:type="spellEnd"/>
      <w:r w:rsidR="004151AE" w:rsidRPr="004653B4">
        <w:t xml:space="preserve"> activity. Full inhibition of </w:t>
      </w:r>
      <w:proofErr w:type="spellStart"/>
      <w:r w:rsidR="004151AE" w:rsidRPr="004653B4">
        <w:t>vWF</w:t>
      </w:r>
      <w:proofErr w:type="spellEnd"/>
      <w:r w:rsidR="004151AE" w:rsidRPr="004653B4">
        <w:t xml:space="preserve"> mediated platelet aggregation by </w:t>
      </w:r>
      <w:proofErr w:type="spellStart"/>
      <w:r w:rsidR="004151AE" w:rsidRPr="004653B4">
        <w:t>caplacizumab</w:t>
      </w:r>
      <w:proofErr w:type="spellEnd"/>
      <w:r w:rsidR="004151AE" w:rsidRPr="004653B4">
        <w:t xml:space="preserve"> </w:t>
      </w:r>
      <w:proofErr w:type="gramStart"/>
      <w:r w:rsidR="004151AE" w:rsidRPr="004653B4">
        <w:t>is indicated</w:t>
      </w:r>
      <w:proofErr w:type="gramEnd"/>
      <w:r w:rsidR="004151AE" w:rsidRPr="004653B4">
        <w:t xml:space="preserve"> by RIPA and RICO levels below 10% and 20%, respectively. All clinical studies with </w:t>
      </w:r>
      <w:proofErr w:type="spellStart"/>
      <w:r w:rsidR="004151AE" w:rsidRPr="004653B4">
        <w:t>caplacizumab</w:t>
      </w:r>
      <w:proofErr w:type="spellEnd"/>
      <w:r w:rsidR="004151AE" w:rsidRPr="004653B4">
        <w:t xml:space="preserve"> demonstrated rapid decreases in RIPA and/or RICO levels after the start of the treatment, with recovery to baseline levels within a few days of discontinuation. The proposed 10 mg daily dose of </w:t>
      </w:r>
      <w:proofErr w:type="spellStart"/>
      <w:r w:rsidR="004151AE" w:rsidRPr="004653B4">
        <w:t>caplacizumab</w:t>
      </w:r>
      <w:proofErr w:type="spellEnd"/>
      <w:r w:rsidR="004151AE" w:rsidRPr="004653B4">
        <w:t xml:space="preserve"> in </w:t>
      </w:r>
      <w:r w:rsidR="004653B4" w:rsidRPr="004653B4">
        <w:t xml:space="preserve">patients with </w:t>
      </w:r>
      <w:proofErr w:type="spellStart"/>
      <w:r w:rsidR="004653B4" w:rsidRPr="004653B4">
        <w:t>aTTP</w:t>
      </w:r>
      <w:proofErr w:type="spellEnd"/>
      <w:r w:rsidR="004653B4" w:rsidRPr="004653B4">
        <w:t xml:space="preserve"> tested in Studies</w:t>
      </w:r>
      <w:r w:rsidR="004151AE" w:rsidRPr="004653B4">
        <w:t xml:space="preserve"> ALX-0681-2.1/10 </w:t>
      </w:r>
      <w:r w:rsidR="0058132E">
        <w:t>(</w:t>
      </w:r>
      <w:r w:rsidR="0058132E" w:rsidRPr="0058132E">
        <w:t>TITAN</w:t>
      </w:r>
      <w:r w:rsidR="0058132E">
        <w:t xml:space="preserve"> trial)</w:t>
      </w:r>
      <w:r w:rsidR="0058132E" w:rsidRPr="0058132E">
        <w:t xml:space="preserve"> </w:t>
      </w:r>
      <w:r w:rsidR="004151AE" w:rsidRPr="004653B4">
        <w:t xml:space="preserve">and ALX0681-C301 </w:t>
      </w:r>
      <w:r w:rsidR="0058132E">
        <w:t xml:space="preserve">(HERCULES trial) </w:t>
      </w:r>
      <w:r w:rsidR="004151AE" w:rsidRPr="004653B4">
        <w:t xml:space="preserve">elicited full inhibition of </w:t>
      </w:r>
      <w:proofErr w:type="spellStart"/>
      <w:r w:rsidR="004151AE" w:rsidRPr="004653B4">
        <w:t>vWF</w:t>
      </w:r>
      <w:proofErr w:type="spellEnd"/>
      <w:r w:rsidR="004151AE" w:rsidRPr="004653B4">
        <w:t xml:space="preserve">-mediated platelet aggregation, as evidenced by RICO levels of &lt; </w:t>
      </w:r>
      <w:proofErr w:type="gramStart"/>
      <w:r w:rsidR="004151AE" w:rsidRPr="004653B4">
        <w:t>20%</w:t>
      </w:r>
      <w:proofErr w:type="gramEnd"/>
      <w:r w:rsidR="004151AE" w:rsidRPr="004653B4">
        <w:t xml:space="preserve"> t</w:t>
      </w:r>
      <w:r w:rsidR="0058132E">
        <w:t>hroughout the treatment period.</w:t>
      </w:r>
    </w:p>
    <w:p w14:paraId="347C4DD1" w14:textId="77777777" w:rsidR="004151AE" w:rsidRDefault="004151AE" w:rsidP="0058132E">
      <w:r>
        <w:t xml:space="preserve">The level of characterisation and validation of the clinical anti-drug antibody (ADA) assay evolved during the clinical development process. Treatment-emerging antibodies </w:t>
      </w:r>
      <w:proofErr w:type="gramStart"/>
      <w:r>
        <w:t>were detected</w:t>
      </w:r>
      <w:proofErr w:type="gramEnd"/>
      <w:r>
        <w:t xml:space="preserve"> in 9% of the subjects in the </w:t>
      </w:r>
      <w:proofErr w:type="spellStart"/>
      <w:r w:rsidR="0058132E">
        <w:t>a</w:t>
      </w:r>
      <w:r>
        <w:t>TTP</w:t>
      </w:r>
      <w:proofErr w:type="spellEnd"/>
      <w:r>
        <w:t xml:space="preserve"> study. ADA </w:t>
      </w:r>
      <w:proofErr w:type="gramStart"/>
      <w:r>
        <w:t>was not tested</w:t>
      </w:r>
      <w:proofErr w:type="gramEnd"/>
      <w:r>
        <w:t xml:space="preserve"> as a covariate in the PK/PD model, but individual PK/PD parameters were estimated for all actively treated </w:t>
      </w:r>
      <w:proofErr w:type="spellStart"/>
      <w:r w:rsidR="0058132E">
        <w:t>a</w:t>
      </w:r>
      <w:r>
        <w:t>TTP</w:t>
      </w:r>
      <w:proofErr w:type="spellEnd"/>
      <w:r>
        <w:t xml:space="preserve"> patients with and without </w:t>
      </w:r>
      <w:r w:rsidR="0058132E">
        <w:t>pre-existing antibody (</w:t>
      </w:r>
      <w:r>
        <w:t>pre-Ab</w:t>
      </w:r>
      <w:r w:rsidR="0058132E">
        <w:t>)</w:t>
      </w:r>
      <w:r>
        <w:t xml:space="preserve"> and drug-induced </w:t>
      </w:r>
      <w:r w:rsidR="0058132E">
        <w:t>ADA. The s</w:t>
      </w:r>
      <w:r>
        <w:t>ponsor proposed that visual inspection of data did not</w:t>
      </w:r>
      <w:r w:rsidR="0058132E">
        <w:t xml:space="preserve"> suggest an effect of treatment</w:t>
      </w:r>
      <w:r w:rsidR="0058132E">
        <w:noBreakHyphen/>
      </w:r>
      <w:r>
        <w:t xml:space="preserve">emergent ADA on </w:t>
      </w:r>
      <w:proofErr w:type="spellStart"/>
      <w:r>
        <w:t>caplacizumab</w:t>
      </w:r>
      <w:proofErr w:type="spellEnd"/>
      <w:r>
        <w:t xml:space="preserve"> PK.</w:t>
      </w:r>
    </w:p>
    <w:p w14:paraId="1FC20A18" w14:textId="77777777" w:rsidR="004151AE" w:rsidRDefault="0058132E" w:rsidP="0058132E">
      <w:r>
        <w:t>Pre-Abs</w:t>
      </w:r>
      <w:r w:rsidR="004151AE">
        <w:t xml:space="preserve"> binding </w:t>
      </w:r>
      <w:proofErr w:type="spellStart"/>
      <w:r w:rsidR="004151AE">
        <w:t>caplacizumab</w:t>
      </w:r>
      <w:proofErr w:type="spellEnd"/>
      <w:r w:rsidR="004151AE">
        <w:t xml:space="preserve"> were observed during clinical studies and during evaluation of commercially available human samples. The prevalence of these pre-Ab</w:t>
      </w:r>
      <w:r>
        <w:t>s</w:t>
      </w:r>
      <w:r w:rsidR="004151AE">
        <w:t xml:space="preserve"> varied between 4% and 63%. In </w:t>
      </w:r>
      <w:proofErr w:type="spellStart"/>
      <w:r w:rsidR="004151AE">
        <w:t>aTTP</w:t>
      </w:r>
      <w:proofErr w:type="spellEnd"/>
      <w:r w:rsidR="004151AE">
        <w:t xml:space="preserve"> patients, </w:t>
      </w:r>
      <w:r>
        <w:t>pre-Abs</w:t>
      </w:r>
      <w:r w:rsidR="004151AE">
        <w:t xml:space="preserve"> </w:t>
      </w:r>
      <w:proofErr w:type="gramStart"/>
      <w:r w:rsidR="004151AE">
        <w:t>can be produced</w:t>
      </w:r>
      <w:proofErr w:type="gramEnd"/>
      <w:r w:rsidR="004151AE">
        <w:t xml:space="preserve"> by the patient or can originate from donor plasma during plasma exchange. No influence of these </w:t>
      </w:r>
      <w:r>
        <w:t>pre-Abs on PD</w:t>
      </w:r>
      <w:r w:rsidR="004151AE">
        <w:t xml:space="preserve">, clinical efficacy or safety </w:t>
      </w:r>
      <w:proofErr w:type="gramStart"/>
      <w:r w:rsidR="004151AE">
        <w:t>was found</w:t>
      </w:r>
      <w:proofErr w:type="gramEnd"/>
      <w:r w:rsidR="004151AE">
        <w:t>.</w:t>
      </w:r>
    </w:p>
    <w:p w14:paraId="7209F2EA" w14:textId="77777777" w:rsidR="004151AE" w:rsidRDefault="004151AE" w:rsidP="0058132E">
      <w:r>
        <w:t xml:space="preserve">In the pivotal study </w:t>
      </w:r>
      <w:r w:rsidR="0058132E">
        <w:t>pre-Abs</w:t>
      </w:r>
      <w:r>
        <w:t xml:space="preserve"> were detected at a similar prevalence in both </w:t>
      </w:r>
      <w:proofErr w:type="spellStart"/>
      <w:r>
        <w:t>caplacizu</w:t>
      </w:r>
      <w:r w:rsidR="0058132E">
        <w:t>mab</w:t>
      </w:r>
      <w:proofErr w:type="spellEnd"/>
      <w:r w:rsidR="0058132E">
        <w:t xml:space="preserve"> treated-subjects (56.7%, 55out of </w:t>
      </w:r>
      <w:r>
        <w:t>97) and in placebo-treated subjects (</w:t>
      </w:r>
      <w:r w:rsidR="0058132E">
        <w:t>double blind p</w:t>
      </w:r>
      <w:r>
        <w:t>eriod</w:t>
      </w:r>
      <w:r w:rsidR="0058132E">
        <w:t xml:space="preserve">; 63.0%, 46 out of </w:t>
      </w:r>
      <w:r>
        <w:t xml:space="preserve">73). In this study, drug-induced </w:t>
      </w:r>
      <w:r w:rsidR="0058132E">
        <w:t>treatment-emergent (</w:t>
      </w:r>
      <w:r>
        <w:t>TE</w:t>
      </w:r>
      <w:r w:rsidR="0058132E">
        <w:t>)</w:t>
      </w:r>
      <w:r>
        <w:t xml:space="preserve"> ADA </w:t>
      </w:r>
      <w:r w:rsidR="00CC04AE">
        <w:t xml:space="preserve">responses </w:t>
      </w:r>
      <w:proofErr w:type="gramStart"/>
      <w:r w:rsidR="00CC04AE">
        <w:t>were noted</w:t>
      </w:r>
      <w:proofErr w:type="gramEnd"/>
      <w:r w:rsidR="00CC04AE">
        <w:t xml:space="preserve"> in 3.1% (3 out of </w:t>
      </w:r>
      <w:r>
        <w:t xml:space="preserve">97) of the </w:t>
      </w:r>
      <w:proofErr w:type="spellStart"/>
      <w:r>
        <w:t>caplacizumab</w:t>
      </w:r>
      <w:proofErr w:type="spellEnd"/>
      <w:r>
        <w:t>-</w:t>
      </w:r>
      <w:r w:rsidR="00CC04AE">
        <w:t xml:space="preserve">treated subjects and in </w:t>
      </w:r>
      <w:r w:rsidR="00CC04AE">
        <w:lastRenderedPageBreak/>
        <w:t xml:space="preserve">1.4% (1 out of </w:t>
      </w:r>
      <w:r>
        <w:t xml:space="preserve">73) of the placebo treated subjects. Using the alternative and functional </w:t>
      </w:r>
      <w:r w:rsidR="00CC04AE">
        <w:t>neutralising antibody (</w:t>
      </w:r>
      <w:r>
        <w:t>N</w:t>
      </w:r>
      <w:r w:rsidR="00CC04AE">
        <w:t>a</w:t>
      </w:r>
      <w:r>
        <w:t>b</w:t>
      </w:r>
      <w:r w:rsidR="00CC04AE">
        <w:t>)</w:t>
      </w:r>
      <w:r>
        <w:t xml:space="preserve"> assay, TE </w:t>
      </w:r>
      <w:proofErr w:type="spellStart"/>
      <w:r>
        <w:t>NAb</w:t>
      </w:r>
      <w:proofErr w:type="spellEnd"/>
      <w:r>
        <w:t xml:space="preserve"> were detected in 4.1% (4</w:t>
      </w:r>
      <w:r w:rsidR="00CC04AE">
        <w:t xml:space="preserve"> out of 97) and 2.1% (2 out of </w:t>
      </w:r>
      <w:r>
        <w:t xml:space="preserve">97), respectively, of the subjects treated with </w:t>
      </w:r>
      <w:proofErr w:type="spellStart"/>
      <w:r>
        <w:t>caplacizumab</w:t>
      </w:r>
      <w:proofErr w:type="spellEnd"/>
      <w:r>
        <w:t>. In subjects treated</w:t>
      </w:r>
      <w:r w:rsidRPr="00195B9A">
        <w:t xml:space="preserve"> </w:t>
      </w:r>
      <w:r w:rsidR="00CC04AE">
        <w:t xml:space="preserve">with placebo (double blind period), 1.4% (1 out of 73) and 0% (0 out of </w:t>
      </w:r>
      <w:r>
        <w:t xml:space="preserve">73) tested positive for TE </w:t>
      </w:r>
      <w:proofErr w:type="spellStart"/>
      <w:r>
        <w:t>NAb</w:t>
      </w:r>
      <w:proofErr w:type="spellEnd"/>
      <w:r>
        <w:t xml:space="preserve"> using the alternative and functional assay, respectively.</w:t>
      </w:r>
    </w:p>
    <w:p w14:paraId="02B8DDB1" w14:textId="789ABC68" w:rsidR="004151AE" w:rsidRDefault="00CC04AE" w:rsidP="0058132E">
      <w:r>
        <w:t>In the</w:t>
      </w:r>
      <w:r w:rsidR="004151AE">
        <w:t xml:space="preserve"> clinical report</w:t>
      </w:r>
      <w:r w:rsidR="00397FA2">
        <w:t>,</w:t>
      </w:r>
      <w:r w:rsidR="004151AE">
        <w:t xml:space="preserve"> it </w:t>
      </w:r>
      <w:proofErr w:type="gramStart"/>
      <w:r w:rsidR="004151AE">
        <w:t>was noted</w:t>
      </w:r>
      <w:proofErr w:type="gramEnd"/>
      <w:r w:rsidR="004151AE">
        <w:t xml:space="preserve"> that </w:t>
      </w:r>
      <w:proofErr w:type="spellStart"/>
      <w:r w:rsidR="004151AE">
        <w:t>vWF</w:t>
      </w:r>
      <w:proofErr w:type="spellEnd"/>
      <w:r w:rsidR="004151AE">
        <w:t xml:space="preserve"> is also a carrier </w:t>
      </w:r>
      <w:r>
        <w:t xml:space="preserve">and stabiliser for coagulation Factor VIII. </w:t>
      </w:r>
      <w:proofErr w:type="spellStart"/>
      <w:proofErr w:type="gramStart"/>
      <w:r>
        <w:t>v</w:t>
      </w:r>
      <w:r w:rsidR="004151AE">
        <w:t>WF</w:t>
      </w:r>
      <w:proofErr w:type="spellEnd"/>
      <w:proofErr w:type="gramEnd"/>
      <w:r w:rsidR="004151AE">
        <w:t xml:space="preserve"> mak</w:t>
      </w:r>
      <w:r>
        <w:t>es a non-covalent complex with F</w:t>
      </w:r>
      <w:r w:rsidR="004151AE">
        <w:t xml:space="preserve">actor VIII preventing it from proteolytic degradation and prolonged its half-life by fivefold. Referring to the TITAN </w:t>
      </w:r>
      <w:r>
        <w:t>trial</w:t>
      </w:r>
      <w:r w:rsidR="004151AE">
        <w:t xml:space="preserve">, </w:t>
      </w:r>
      <w:r>
        <w:t>it was</w:t>
      </w:r>
      <w:r w:rsidR="004151AE">
        <w:t xml:space="preserve"> also noted that the level of F</w:t>
      </w:r>
      <w:r>
        <w:t xml:space="preserve">actor </w:t>
      </w:r>
      <w:r w:rsidR="004151AE">
        <w:t>VIII</w:t>
      </w:r>
      <w:proofErr w:type="gramStart"/>
      <w:r w:rsidR="004151AE">
        <w:t>:C</w:t>
      </w:r>
      <w:proofErr w:type="gramEnd"/>
      <w:r w:rsidR="004151AE">
        <w:t xml:space="preserve"> was clearly lower </w:t>
      </w:r>
      <w:r>
        <w:t xml:space="preserve">in patients given </w:t>
      </w:r>
      <w:proofErr w:type="spellStart"/>
      <w:r>
        <w:t>caplacizumab</w:t>
      </w:r>
      <w:proofErr w:type="spellEnd"/>
      <w:r>
        <w:t xml:space="preserve"> </w:t>
      </w:r>
      <w:r w:rsidR="004151AE">
        <w:t xml:space="preserve">than in those given placebo by Day 1 and was maintained for the duration of </w:t>
      </w:r>
      <w:proofErr w:type="spellStart"/>
      <w:r w:rsidR="004151AE" w:rsidRPr="003F7AE6">
        <w:t>caplacizumab</w:t>
      </w:r>
      <w:proofErr w:type="spellEnd"/>
      <w:r w:rsidR="004151AE">
        <w:t xml:space="preserve"> treatment among available data. The </w:t>
      </w:r>
      <w:proofErr w:type="spellStart"/>
      <w:r w:rsidR="004151AE" w:rsidRPr="003F7AE6">
        <w:t>caplacizumab</w:t>
      </w:r>
      <w:proofErr w:type="spellEnd"/>
      <w:r w:rsidR="004151AE" w:rsidRPr="003F7AE6">
        <w:t xml:space="preserve"> </w:t>
      </w:r>
      <w:r>
        <w:t>and p</w:t>
      </w:r>
      <w:r w:rsidR="004151AE">
        <w:t>lacebo F</w:t>
      </w:r>
      <w:r>
        <w:t>actor </w:t>
      </w:r>
      <w:r w:rsidR="004151AE">
        <w:t>VIII</w:t>
      </w:r>
      <w:proofErr w:type="gramStart"/>
      <w:r w:rsidR="004151AE">
        <w:t>:C</w:t>
      </w:r>
      <w:proofErr w:type="gramEnd"/>
      <w:r w:rsidR="004151AE">
        <w:t xml:space="preserve"> levels were similar 7 days after treatment discontinuation and similarly decreased until 12 months follow-up. Factor VIII binding capacity </w:t>
      </w:r>
      <w:proofErr w:type="gramStart"/>
      <w:r w:rsidR="004151AE">
        <w:t>was affected</w:t>
      </w:r>
      <w:proofErr w:type="gramEnd"/>
      <w:r w:rsidR="00397FA2">
        <w:t>,</w:t>
      </w:r>
      <w:r w:rsidR="004151AE">
        <w:t xml:space="preserve"> reflecting a decrease of </w:t>
      </w:r>
      <w:proofErr w:type="spellStart"/>
      <w:r w:rsidR="004151AE">
        <w:t>vWF</w:t>
      </w:r>
      <w:proofErr w:type="spellEnd"/>
      <w:r w:rsidR="004151AE">
        <w:t xml:space="preserve"> activity by </w:t>
      </w:r>
      <w:proofErr w:type="spellStart"/>
      <w:r w:rsidR="004151AE" w:rsidRPr="003F7AE6">
        <w:t>caplacizumab</w:t>
      </w:r>
      <w:proofErr w:type="spellEnd"/>
      <w:r w:rsidR="004151AE">
        <w:t>; however, these results should be discussed according to F</w:t>
      </w:r>
      <w:r>
        <w:t xml:space="preserve">actor </w:t>
      </w:r>
      <w:r w:rsidR="004151AE">
        <w:t>VIII levels and safety</w:t>
      </w:r>
      <w:r>
        <w:t xml:space="preserve"> results (especially bleeding).</w:t>
      </w:r>
    </w:p>
    <w:p w14:paraId="091D8B52" w14:textId="2E7D9299" w:rsidR="004151AE" w:rsidRPr="004151AE" w:rsidRDefault="004151AE" w:rsidP="0058132E">
      <w:r>
        <w:t>Additionally</w:t>
      </w:r>
      <w:r w:rsidR="00CC04AE">
        <w:t>,</w:t>
      </w:r>
      <w:r>
        <w:t xml:space="preserve"> significantly lower </w:t>
      </w:r>
      <w:proofErr w:type="spellStart"/>
      <w:r>
        <w:t>vWF:Ag</w:t>
      </w:r>
      <w:proofErr w:type="spellEnd"/>
      <w:r>
        <w:t xml:space="preserve"> and </w:t>
      </w:r>
      <w:r w:rsidR="00CC04AE">
        <w:t>v</w:t>
      </w:r>
      <w:r w:rsidR="00CC04AE" w:rsidRPr="00CC04AE">
        <w:t xml:space="preserve">on </w:t>
      </w:r>
      <w:proofErr w:type="spellStart"/>
      <w:r w:rsidR="00CC04AE" w:rsidRPr="00CC04AE">
        <w:t>Willebrand</w:t>
      </w:r>
      <w:proofErr w:type="spellEnd"/>
      <w:r w:rsidR="00CC04AE" w:rsidRPr="00CC04AE">
        <w:t xml:space="preserve"> </w:t>
      </w:r>
      <w:proofErr w:type="spellStart"/>
      <w:r w:rsidR="00CC04AE" w:rsidRPr="00CC04AE">
        <w:t>ristocetin</w:t>
      </w:r>
      <w:proofErr w:type="spellEnd"/>
      <w:r w:rsidR="00CC04AE" w:rsidRPr="00CC04AE">
        <w:t xml:space="preserve"> cofactor </w:t>
      </w:r>
      <w:r w:rsidR="00CC04AE">
        <w:t>(</w:t>
      </w:r>
      <w:proofErr w:type="spellStart"/>
      <w:r w:rsidR="00CC04AE">
        <w:t>vWF:</w:t>
      </w:r>
      <w:r>
        <w:t>RCo</w:t>
      </w:r>
      <w:proofErr w:type="spellEnd"/>
      <w:r w:rsidR="00CC04AE">
        <w:t>)</w:t>
      </w:r>
      <w:r>
        <w:t xml:space="preserve"> levels have been showed in patients given </w:t>
      </w:r>
      <w:proofErr w:type="spellStart"/>
      <w:r w:rsidRPr="003A551A">
        <w:t>caplacizumab</w:t>
      </w:r>
      <w:proofErr w:type="spellEnd"/>
      <w:r w:rsidRPr="003A551A">
        <w:t xml:space="preserve"> </w:t>
      </w:r>
      <w:r>
        <w:t xml:space="preserve">compared to placebo demonstrating that </w:t>
      </w:r>
      <w:proofErr w:type="spellStart"/>
      <w:r w:rsidRPr="003A551A">
        <w:t>caplacizumab</w:t>
      </w:r>
      <w:proofErr w:type="spellEnd"/>
      <w:r w:rsidRPr="003A551A">
        <w:t xml:space="preserve"> </w:t>
      </w:r>
      <w:r>
        <w:t xml:space="preserve">decreased </w:t>
      </w:r>
      <w:proofErr w:type="spellStart"/>
      <w:r>
        <w:t>vWF</w:t>
      </w:r>
      <w:proofErr w:type="spellEnd"/>
      <w:r>
        <w:t xml:space="preserve"> rat</w:t>
      </w:r>
      <w:r w:rsidR="00CC04AE">
        <w:t xml:space="preserve">e and activity in </w:t>
      </w:r>
      <w:proofErr w:type="spellStart"/>
      <w:r w:rsidR="00CC04AE">
        <w:t>caplacizumab</w:t>
      </w:r>
      <w:proofErr w:type="spellEnd"/>
      <w:r w:rsidR="00CC04AE">
        <w:t xml:space="preserve"> </w:t>
      </w:r>
      <w:r>
        <w:t xml:space="preserve">treated subjects plasma. However, these PD parameters increased rapidly after discontinuation of treatment: 40% increase after 3 days stopping and reached the placebo level at </w:t>
      </w:r>
      <w:r w:rsidR="00787882">
        <w:t xml:space="preserve">the </w:t>
      </w:r>
      <w:proofErr w:type="gramStart"/>
      <w:r>
        <w:t>one</w:t>
      </w:r>
      <w:r w:rsidR="00787882">
        <w:t> </w:t>
      </w:r>
      <w:r>
        <w:t>month</w:t>
      </w:r>
      <w:proofErr w:type="gramEnd"/>
      <w:r>
        <w:t xml:space="preserve"> follow-up. </w:t>
      </w:r>
      <w:r w:rsidR="00CC04AE">
        <w:t xml:space="preserve">It </w:t>
      </w:r>
      <w:proofErr w:type="gramStart"/>
      <w:r w:rsidR="00CC04AE">
        <w:t>was</w:t>
      </w:r>
      <w:r>
        <w:t xml:space="preserve"> considered</w:t>
      </w:r>
      <w:proofErr w:type="gramEnd"/>
      <w:r>
        <w:t xml:space="preserve"> that further studies are needed to assess the impact of a fast elevation of </w:t>
      </w:r>
      <w:proofErr w:type="spellStart"/>
      <w:r>
        <w:t>vWF</w:t>
      </w:r>
      <w:proofErr w:type="spellEnd"/>
      <w:r>
        <w:t xml:space="preserve"> activity on clinical symptomatology. They </w:t>
      </w:r>
      <w:proofErr w:type="gramStart"/>
      <w:r>
        <w:t>should be especially correlated</w:t>
      </w:r>
      <w:proofErr w:type="gramEnd"/>
      <w:r>
        <w:t xml:space="preserve"> with secondary efficacy endpoints: complete remissions, exacerbations and relapses.</w:t>
      </w:r>
    </w:p>
    <w:p w14:paraId="4D768F39" w14:textId="77777777" w:rsidR="004151AE" w:rsidRDefault="004151AE" w:rsidP="004151AE">
      <w:pPr>
        <w:pStyle w:val="Heading5"/>
      </w:pPr>
      <w:r>
        <w:t>Efficacy</w:t>
      </w:r>
    </w:p>
    <w:p w14:paraId="586164A6" w14:textId="77777777" w:rsidR="004151AE" w:rsidRPr="004151AE" w:rsidRDefault="004151AE" w:rsidP="004151AE">
      <w:pPr>
        <w:rPr>
          <w:rFonts w:asciiTheme="minorHAnsi" w:hAnsiTheme="minorHAnsi"/>
        </w:rPr>
      </w:pPr>
      <w:r>
        <w:rPr>
          <w:rFonts w:asciiTheme="minorHAnsi" w:hAnsiTheme="minorHAnsi"/>
        </w:rPr>
        <w:t>The clinical evaluation comprises integrated su</w:t>
      </w:r>
      <w:r w:rsidR="00CC04AE">
        <w:rPr>
          <w:rFonts w:asciiTheme="minorHAnsi" w:hAnsiTheme="minorHAnsi"/>
        </w:rPr>
        <w:t>mmaries of safety and efficacy.</w:t>
      </w:r>
    </w:p>
    <w:p w14:paraId="2B5F14E4" w14:textId="77777777" w:rsidR="004151AE" w:rsidRPr="004151AE" w:rsidRDefault="004151AE" w:rsidP="004151AE">
      <w:pPr>
        <w:rPr>
          <w:rFonts w:asciiTheme="minorHAnsi" w:hAnsiTheme="minorHAnsi"/>
        </w:rPr>
      </w:pPr>
      <w:r>
        <w:rPr>
          <w:rFonts w:asciiTheme="minorHAnsi" w:hAnsiTheme="minorHAnsi"/>
        </w:rPr>
        <w:t xml:space="preserve">There were two clinical trials reviewed, </w:t>
      </w:r>
      <w:r w:rsidR="00CC04AE">
        <w:rPr>
          <w:rFonts w:asciiTheme="minorHAnsi" w:hAnsiTheme="minorHAnsi"/>
        </w:rPr>
        <w:t xml:space="preserve">Study </w:t>
      </w:r>
      <w:r>
        <w:rPr>
          <w:rFonts w:asciiTheme="minorHAnsi" w:hAnsiTheme="minorHAnsi"/>
        </w:rPr>
        <w:t>ALX-0681-2.1</w:t>
      </w:r>
      <w:r w:rsidR="00CC04AE">
        <w:rPr>
          <w:rFonts w:asciiTheme="minorHAnsi" w:hAnsiTheme="minorHAnsi"/>
        </w:rPr>
        <w:t>0</w:t>
      </w:r>
      <w:r>
        <w:rPr>
          <w:rFonts w:asciiTheme="minorHAnsi" w:hAnsiTheme="minorHAnsi"/>
        </w:rPr>
        <w:t xml:space="preserve"> (TITAN</w:t>
      </w:r>
      <w:r w:rsidR="00CC04AE">
        <w:rPr>
          <w:rFonts w:asciiTheme="minorHAnsi" w:hAnsiTheme="minorHAnsi"/>
        </w:rPr>
        <w:t xml:space="preserve"> trial) and Study ALX</w:t>
      </w:r>
      <w:r w:rsidR="00CC04AE">
        <w:rPr>
          <w:rFonts w:asciiTheme="minorHAnsi" w:hAnsiTheme="minorHAnsi"/>
        </w:rPr>
        <w:noBreakHyphen/>
        <w:t>0681-C301 (HERCULES trial).</w:t>
      </w:r>
    </w:p>
    <w:p w14:paraId="79B12779" w14:textId="77777777" w:rsidR="004151AE" w:rsidRPr="00EF7BE6" w:rsidRDefault="000E1934" w:rsidP="004151AE">
      <w:pPr>
        <w:pStyle w:val="Heading6"/>
      </w:pPr>
      <w:r w:rsidRPr="000E1934">
        <w:t>Study ALX-0681-2.10 (TITAN trial)</w:t>
      </w:r>
    </w:p>
    <w:p w14:paraId="1C443316" w14:textId="7B61BC41" w:rsidR="004151AE" w:rsidRDefault="000E1934" w:rsidP="004151AE">
      <w:r>
        <w:t>The TITAN trial was a P</w:t>
      </w:r>
      <w:r w:rsidR="004151AE">
        <w:t xml:space="preserve">hase II, single blind study in which patients </w:t>
      </w:r>
      <w:proofErr w:type="gramStart"/>
      <w:r w:rsidR="004151AE">
        <w:t>were randomised</w:t>
      </w:r>
      <w:proofErr w:type="gramEnd"/>
      <w:r w:rsidR="004151AE">
        <w:t xml:space="preserve"> to standard care or standard care</w:t>
      </w:r>
      <w:r>
        <w:t xml:space="preserve"> </w:t>
      </w:r>
      <w:r w:rsidR="004151AE">
        <w:t>+</w:t>
      </w:r>
      <w:r>
        <w:t xml:space="preserve"> </w:t>
      </w:r>
      <w:proofErr w:type="spellStart"/>
      <w:r w:rsidR="004151AE">
        <w:t>caplacizumab</w:t>
      </w:r>
      <w:proofErr w:type="spellEnd"/>
      <w:r w:rsidR="004151AE">
        <w:t>. Stand</w:t>
      </w:r>
      <w:r>
        <w:t xml:space="preserve">ard care </w:t>
      </w:r>
      <w:proofErr w:type="gramStart"/>
      <w:r>
        <w:t>was determined</w:t>
      </w:r>
      <w:proofErr w:type="gramEnd"/>
      <w:r>
        <w:t xml:space="preserve"> by the i</w:t>
      </w:r>
      <w:r w:rsidR="004151AE">
        <w:t xml:space="preserve">nvestigator at each site, and could include daily PE but could also include adjunctive immunosuppression (corticosteroids/rituximab), vincristine or </w:t>
      </w:r>
      <w:proofErr w:type="spellStart"/>
      <w:r w:rsidR="004151AE">
        <w:t>cyclosporin</w:t>
      </w:r>
      <w:proofErr w:type="spellEnd"/>
      <w:r w:rsidR="004151AE">
        <w:t xml:space="preserve">, or supportive transfusion. Treatment </w:t>
      </w:r>
      <w:proofErr w:type="gramStart"/>
      <w:r w:rsidR="004151AE">
        <w:t>was continued</w:t>
      </w:r>
      <w:proofErr w:type="gramEnd"/>
      <w:r w:rsidR="004151AE">
        <w:t xml:space="preserve"> for 30 days, with P</w:t>
      </w:r>
      <w:r w:rsidR="00397FA2">
        <w:t>E tapered as determined by the i</w:t>
      </w:r>
      <w:r w:rsidR="004151AE">
        <w:t>nvestigator, and then patients were followed for 12 months.</w:t>
      </w:r>
    </w:p>
    <w:p w14:paraId="7F689CA5" w14:textId="209E3266" w:rsidR="000E1934" w:rsidRDefault="000E1934" w:rsidP="00BB60B8">
      <w:pPr>
        <w:pStyle w:val="FigureTitle"/>
        <w:keepLines/>
      </w:pPr>
      <w:r>
        <w:t xml:space="preserve">Figure </w:t>
      </w:r>
      <w:fldSimple w:instr=" SEQ Figure \* ARABIC ">
        <w:r w:rsidR="00127EE1">
          <w:rPr>
            <w:noProof/>
          </w:rPr>
          <w:t>2</w:t>
        </w:r>
      </w:fldSimple>
      <w:r>
        <w:t xml:space="preserve">: </w:t>
      </w:r>
      <w:r w:rsidRPr="000E1934">
        <w:t>Overview of the design and study periods</w:t>
      </w:r>
      <w:r>
        <w:t xml:space="preserve"> of the TITAN trial</w:t>
      </w:r>
    </w:p>
    <w:p w14:paraId="6B4E54FC" w14:textId="77777777" w:rsidR="004151AE" w:rsidRDefault="000E1934" w:rsidP="00BB60B8">
      <w:pPr>
        <w:rPr>
          <w:rFonts w:asciiTheme="minorHAnsi" w:hAnsiTheme="minorHAnsi"/>
        </w:rPr>
      </w:pPr>
      <w:r>
        <w:rPr>
          <w:noProof/>
          <w:lang w:eastAsia="en-AU"/>
        </w:rPr>
        <w:drawing>
          <wp:inline distT="0" distB="0" distL="0" distR="0" wp14:anchorId="44A2BDD2" wp14:editId="325902EC">
            <wp:extent cx="5400040" cy="2336165"/>
            <wp:effectExtent l="0" t="0" r="0" b="6985"/>
            <wp:docPr id="1" name="Picture 1" descr="Overview of the design and study periods of the TITAN trial. 1: Subjects were randomized prior to the start of PE treatment. After the approval and implementation of Clinical Study Protocol Version 12.0, a subject could be randomised after an initial PE session, in which case the next PE session was designated as the first PE on study. 2: Daily PE treatment period. 3: PE tapering: optional, per local standard site practice. 4: Study drug treatment period: covers the period from the date of first study drug administration till the date of the last study drug administration. The treatment period incorporates a period of variable duration during which PE was administered and a 30 day post-PE period, starting from the date of the last PE. 5 FU period: covers the period from the date of the last study drug administration till the date of the 12 month FU visit. The FU period incorporates the ‘one month FU period’ (from the date of last study drug administration until the date of the one month FU visit) and the ‘after one month FU period’ (from the date of the 1 month FU visit until the date of the 12 month FU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336165"/>
                    </a:xfrm>
                    <a:prstGeom prst="rect">
                      <a:avLst/>
                    </a:prstGeom>
                  </pic:spPr>
                </pic:pic>
              </a:graphicData>
            </a:graphic>
          </wp:inline>
        </w:drawing>
      </w:r>
    </w:p>
    <w:p w14:paraId="417017C7" w14:textId="590564B1" w:rsidR="000E1934" w:rsidRDefault="000E1934" w:rsidP="00BB60B8">
      <w:pPr>
        <w:pStyle w:val="TableDescription"/>
      </w:pPr>
      <w:proofErr w:type="gramStart"/>
      <w:r w:rsidRPr="000E1934">
        <w:lastRenderedPageBreak/>
        <w:t>1</w:t>
      </w:r>
      <w:proofErr w:type="gramEnd"/>
      <w:r>
        <w:t>: Subjects were randomis</w:t>
      </w:r>
      <w:r w:rsidRPr="000E1934">
        <w:t>ed prior to the start of PE treatment. After the approval and implementa</w:t>
      </w:r>
      <w:r>
        <w:t xml:space="preserve">tion of Clinical Study Protocol </w:t>
      </w:r>
      <w:r w:rsidRPr="000E1934">
        <w:t>Version 1</w:t>
      </w:r>
      <w:r>
        <w:t xml:space="preserve">2.0, a subject </w:t>
      </w:r>
      <w:proofErr w:type="gramStart"/>
      <w:r>
        <w:t>could be randomis</w:t>
      </w:r>
      <w:r w:rsidRPr="000E1934">
        <w:t>ed</w:t>
      </w:r>
      <w:proofErr w:type="gramEnd"/>
      <w:r w:rsidRPr="000E1934">
        <w:t xml:space="preserve"> after an initial PE session, in which case the next P</w:t>
      </w:r>
      <w:r>
        <w:t xml:space="preserve">E session was designated as the first PE on study. </w:t>
      </w:r>
      <w:proofErr w:type="gramStart"/>
      <w:r>
        <w:t>2</w:t>
      </w:r>
      <w:proofErr w:type="gramEnd"/>
      <w:r>
        <w:t xml:space="preserve">: Daily PE treatment period. </w:t>
      </w:r>
      <w:proofErr w:type="gramStart"/>
      <w:r w:rsidRPr="000E1934">
        <w:t>3</w:t>
      </w:r>
      <w:proofErr w:type="gramEnd"/>
      <w:r>
        <w:t>:</w:t>
      </w:r>
      <w:r w:rsidRPr="000E1934">
        <w:t xml:space="preserve"> PE tapering: optional, pe</w:t>
      </w:r>
      <w:r>
        <w:t xml:space="preserve">r local standard site practice. </w:t>
      </w:r>
      <w:proofErr w:type="gramStart"/>
      <w:r w:rsidRPr="000E1934">
        <w:t>4</w:t>
      </w:r>
      <w:proofErr w:type="gramEnd"/>
      <w:r>
        <w:t>:</w:t>
      </w:r>
      <w:r w:rsidRPr="000E1934">
        <w:t xml:space="preserve"> Study drug treatment period: covers the period from the date of first study drug administration </w:t>
      </w:r>
      <w:r>
        <w:t xml:space="preserve">till the date of the last study </w:t>
      </w:r>
      <w:r w:rsidRPr="000E1934">
        <w:t xml:space="preserve">drug administration. The treatment period incorporates a period of variable duration during </w:t>
      </w:r>
      <w:r>
        <w:t xml:space="preserve">which PE was administered and a </w:t>
      </w:r>
      <w:r w:rsidRPr="000E1934">
        <w:t>30</w:t>
      </w:r>
      <w:r>
        <w:t xml:space="preserve"> </w:t>
      </w:r>
      <w:r w:rsidRPr="000E1934">
        <w:t>day post-PE period, startin</w:t>
      </w:r>
      <w:r>
        <w:t xml:space="preserve">g from the date of the last PE. </w:t>
      </w:r>
      <w:proofErr w:type="gramStart"/>
      <w:r w:rsidRPr="000E1934">
        <w:t>5</w:t>
      </w:r>
      <w:proofErr w:type="gramEnd"/>
      <w:r w:rsidRPr="000E1934">
        <w:t xml:space="preserve"> FU period: covers the period from the date of the last study drug administration till the date o</w:t>
      </w:r>
      <w:r>
        <w:t>f the 12 month FU visit. The FU period incorporates the ‘one month FU period’</w:t>
      </w:r>
      <w:r w:rsidRPr="000E1934">
        <w:t xml:space="preserve"> (from the date of last study drug administration </w:t>
      </w:r>
      <w:r>
        <w:t xml:space="preserve">until the date of the one month FU visit) and the ‘after one month FU period’ (from the date of the 1 </w:t>
      </w:r>
      <w:r w:rsidRPr="000E1934">
        <w:t>month FU</w:t>
      </w:r>
      <w:r>
        <w:t xml:space="preserve"> visit until the date of the 12 </w:t>
      </w:r>
      <w:r w:rsidR="00397FA2">
        <w:t xml:space="preserve">month FU visit). </w:t>
      </w:r>
      <w:r w:rsidRPr="000E1934">
        <w:t xml:space="preserve">Abbreviations: </w:t>
      </w:r>
      <w:proofErr w:type="spellStart"/>
      <w:r w:rsidRPr="000E1934">
        <w:t>aTTP</w:t>
      </w:r>
      <w:proofErr w:type="spellEnd"/>
      <w:r w:rsidRPr="000E1934">
        <w:t xml:space="preserve"> = acquired thrombotic thrombocytopenia purpura; PE = plasma exchange; FU = follow-up</w:t>
      </w:r>
      <w:r>
        <w:t>.</w:t>
      </w:r>
    </w:p>
    <w:p w14:paraId="044D178C" w14:textId="77777777" w:rsidR="004151AE" w:rsidRDefault="004151AE" w:rsidP="004151AE">
      <w:r>
        <w:t>The primary e</w:t>
      </w:r>
      <w:r w:rsidR="000E1934">
        <w:t xml:space="preserve">ndpoint was the time to recovery of </w:t>
      </w:r>
      <w:r>
        <w:t>platelets of &gt;</w:t>
      </w:r>
      <w:r w:rsidR="000E1934">
        <w:t xml:space="preserve"> </w:t>
      </w:r>
      <w:r>
        <w:t xml:space="preserve">150 000/µL, confirmed at 48 hours after the first recording of a platelet level exceeding this value and </w:t>
      </w:r>
      <w:r w:rsidR="000E1934">
        <w:t>l</w:t>
      </w:r>
      <w:r w:rsidR="000E1934" w:rsidRPr="000E1934">
        <w:t xml:space="preserve">actate dehydrogenase </w:t>
      </w:r>
      <w:r w:rsidR="000E1934">
        <w:t>(</w:t>
      </w:r>
      <w:r>
        <w:t>LDH</w:t>
      </w:r>
      <w:r w:rsidR="000E1934">
        <w:t xml:space="preserve">) </w:t>
      </w:r>
      <w:r>
        <w:t>&lt;</w:t>
      </w:r>
      <w:r w:rsidR="000E1934">
        <w:t xml:space="preserve"> </w:t>
      </w:r>
      <w:r>
        <w:t xml:space="preserve">2 times </w:t>
      </w:r>
      <w:r w:rsidR="000E1934">
        <w:t>the upper limit of normal (</w:t>
      </w:r>
      <w:r>
        <w:t>ULN</w:t>
      </w:r>
      <w:r w:rsidR="000E1934">
        <w:t>)</w:t>
      </w:r>
      <w:r>
        <w:t>.</w:t>
      </w:r>
    </w:p>
    <w:p w14:paraId="1C8CF8B4" w14:textId="4C01FDA0" w:rsidR="00557A1B" w:rsidRDefault="00557A1B" w:rsidP="00FF3FF9">
      <w:pPr>
        <w:pStyle w:val="FigureTitle"/>
      </w:pPr>
      <w:r>
        <w:t xml:space="preserve">Figure </w:t>
      </w:r>
      <w:fldSimple w:instr=" SEQ Figure \* ARABIC ">
        <w:r w:rsidR="00397FA2">
          <w:rPr>
            <w:noProof/>
          </w:rPr>
          <w:t>3</w:t>
        </w:r>
      </w:fldSimple>
      <w:r>
        <w:t>:</w:t>
      </w:r>
      <w:r w:rsidRPr="00C1053B">
        <w:t xml:space="preserve"> Time to platelet recovery in </w:t>
      </w:r>
      <w:r>
        <w:t xml:space="preserve">the </w:t>
      </w:r>
      <w:r w:rsidRPr="00C1053B">
        <w:t>TITAN</w:t>
      </w:r>
      <w:r>
        <w:t xml:space="preserve"> trial, intent to treat population</w:t>
      </w:r>
    </w:p>
    <w:p w14:paraId="672DD69F" w14:textId="77777777" w:rsidR="004151AE" w:rsidRDefault="00557A1B" w:rsidP="004151AE">
      <w:pPr>
        <w:spacing w:before="0" w:after="0" w:line="240" w:lineRule="auto"/>
        <w:rPr>
          <w:rFonts w:asciiTheme="minorHAnsi" w:hAnsiTheme="minorHAnsi"/>
        </w:rPr>
      </w:pPr>
      <w:r>
        <w:rPr>
          <w:noProof/>
          <w:lang w:eastAsia="en-AU"/>
        </w:rPr>
        <w:drawing>
          <wp:inline distT="0" distB="0" distL="0" distR="0" wp14:anchorId="1BD1E536" wp14:editId="3F9F78D2">
            <wp:extent cx="5400040" cy="2979420"/>
            <wp:effectExtent l="0" t="0" r="0" b="0"/>
            <wp:docPr id="2" name="Picture 2" descr="Time to platelet recovery in the TITAN trial,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979420"/>
                    </a:xfrm>
                    <a:prstGeom prst="rect">
                      <a:avLst/>
                    </a:prstGeom>
                  </pic:spPr>
                </pic:pic>
              </a:graphicData>
            </a:graphic>
          </wp:inline>
        </w:drawing>
      </w:r>
    </w:p>
    <w:p w14:paraId="648F8BAB" w14:textId="77777777" w:rsidR="004151AE" w:rsidRDefault="00557A1B" w:rsidP="00557A1B">
      <w:pPr>
        <w:pStyle w:val="TableDescription"/>
      </w:pPr>
      <w:r w:rsidRPr="00557A1B">
        <w:t xml:space="preserve">Censored observations </w:t>
      </w:r>
      <w:proofErr w:type="gramStart"/>
      <w:r w:rsidRPr="00557A1B">
        <w:t>are represented</w:t>
      </w:r>
      <w:proofErr w:type="gramEnd"/>
      <w:r w:rsidRPr="00557A1B">
        <w:t xml:space="preserve"> as dots. Any subject still at risk at 30 days </w:t>
      </w:r>
      <w:proofErr w:type="gramStart"/>
      <w:r w:rsidRPr="00557A1B">
        <w:t>was censored</w:t>
      </w:r>
      <w:proofErr w:type="gramEnd"/>
      <w:r w:rsidRPr="00557A1B">
        <w:t xml:space="preserve"> at 30 days.</w:t>
      </w:r>
    </w:p>
    <w:p w14:paraId="71EE0D43" w14:textId="77777777" w:rsidR="004151AE" w:rsidRDefault="004151AE" w:rsidP="004151AE">
      <w:r>
        <w:t xml:space="preserve">The median time to platelet recovery for </w:t>
      </w:r>
      <w:proofErr w:type="spellStart"/>
      <w:r>
        <w:t>caplacizumab</w:t>
      </w:r>
      <w:proofErr w:type="spellEnd"/>
      <w:r>
        <w:t xml:space="preserve"> treated patients was 2.44 days, compared to 4.31 days for those receiving standard care</w:t>
      </w:r>
      <w:r w:rsidR="00557A1B">
        <w:t>,</w:t>
      </w:r>
      <w:r>
        <w:t xml:space="preserve"> with this difference being statistically significant at p</w:t>
      </w:r>
      <w:r w:rsidR="00557A1B">
        <w:t xml:space="preserve"> </w:t>
      </w:r>
      <w:r>
        <w:t>=</w:t>
      </w:r>
      <w:r w:rsidR="00557A1B">
        <w:t xml:space="preserve"> </w:t>
      </w:r>
      <w:r>
        <w:t>0.05.</w:t>
      </w:r>
    </w:p>
    <w:p w14:paraId="547FC3FE" w14:textId="77777777" w:rsidR="004151AE" w:rsidRPr="00EF7BE6" w:rsidRDefault="00557A1B" w:rsidP="004151AE">
      <w:pPr>
        <w:pStyle w:val="Heading6"/>
      </w:pPr>
      <w:r w:rsidRPr="00557A1B">
        <w:t>Study ALX 0681-C301 (HERCULES trial)</w:t>
      </w:r>
    </w:p>
    <w:p w14:paraId="448EBC78" w14:textId="04199886" w:rsidR="004151AE" w:rsidRPr="00C1053B" w:rsidRDefault="00557A1B" w:rsidP="004151AE">
      <w:r>
        <w:t>This was the pivotal P</w:t>
      </w:r>
      <w:r w:rsidR="004151AE">
        <w:t xml:space="preserve">hase III trial for </w:t>
      </w:r>
      <w:proofErr w:type="spellStart"/>
      <w:r w:rsidR="004151AE">
        <w:t>caplacizumab</w:t>
      </w:r>
      <w:proofErr w:type="spellEnd"/>
      <w:r w:rsidR="004151AE">
        <w:t xml:space="preserve">, and was a </w:t>
      </w:r>
      <w:proofErr w:type="gramStart"/>
      <w:r w:rsidR="004151AE">
        <w:t>double-blind</w:t>
      </w:r>
      <w:proofErr w:type="gramEnd"/>
      <w:r w:rsidR="004151AE">
        <w:t>, placebo controlled trial in patients experien</w:t>
      </w:r>
      <w:r>
        <w:t xml:space="preserve">cing an acute episode of </w:t>
      </w:r>
      <w:proofErr w:type="spellStart"/>
      <w:r>
        <w:t>a</w:t>
      </w:r>
      <w:r w:rsidR="00787882">
        <w:t>T</w:t>
      </w:r>
      <w:r>
        <w:t>T</w:t>
      </w:r>
      <w:r w:rsidR="00787882">
        <w:t>P</w:t>
      </w:r>
      <w:proofErr w:type="spellEnd"/>
      <w:r>
        <w:t xml:space="preserve">. </w:t>
      </w:r>
      <w:r w:rsidR="004151AE">
        <w:t>Patients (n</w:t>
      </w:r>
      <w:r>
        <w:t xml:space="preserve"> </w:t>
      </w:r>
      <w:r w:rsidR="004151AE">
        <w:t>=</w:t>
      </w:r>
      <w:r>
        <w:t xml:space="preserve"> </w:t>
      </w:r>
      <w:r w:rsidR="004151AE">
        <w:t>145) were randomised 1:1 to receive standard care or standard care</w:t>
      </w:r>
      <w:r w:rsidR="00DC65C4">
        <w:t xml:space="preserve"> </w:t>
      </w:r>
      <w:r w:rsidR="004151AE">
        <w:t>+</w:t>
      </w:r>
      <w:r w:rsidR="00DC65C4">
        <w:t xml:space="preserve"> </w:t>
      </w:r>
      <w:proofErr w:type="spellStart"/>
      <w:r w:rsidR="004151AE">
        <w:t>caplacizumab</w:t>
      </w:r>
      <w:proofErr w:type="spellEnd"/>
      <w:r w:rsidR="004151AE">
        <w:t xml:space="preserve">. All patients started PE prior to randomisation, and </w:t>
      </w:r>
      <w:proofErr w:type="spellStart"/>
      <w:r w:rsidR="004151AE">
        <w:t>caplacizumab</w:t>
      </w:r>
      <w:proofErr w:type="spellEnd"/>
      <w:r w:rsidR="004151AE">
        <w:t xml:space="preserve"> was continued (in the active arm) for 30 days with the potential for risk-guided continuation for up to another 28 days wi</w:t>
      </w:r>
      <w:r>
        <w:t>th optimised immunosuppression.</w:t>
      </w:r>
    </w:p>
    <w:p w14:paraId="32E10F3A" w14:textId="2684DE73" w:rsidR="004151AE" w:rsidRDefault="00FF3FF9" w:rsidP="00FF3FF9">
      <w:pPr>
        <w:pStyle w:val="FigureTitle"/>
      </w:pPr>
      <w:r>
        <w:lastRenderedPageBreak/>
        <w:t xml:space="preserve">Figure </w:t>
      </w:r>
      <w:fldSimple w:instr=" SEQ Figure \* ARABIC ">
        <w:r w:rsidR="00127EE1">
          <w:rPr>
            <w:noProof/>
          </w:rPr>
          <w:t>4</w:t>
        </w:r>
      </w:fldSimple>
      <w:r>
        <w:t xml:space="preserve">: </w:t>
      </w:r>
      <w:r w:rsidRPr="00FF3FF9">
        <w:t>Overview of the design and study periods of</w:t>
      </w:r>
      <w:r>
        <w:t xml:space="preserve"> the HERCULES trial</w:t>
      </w:r>
    </w:p>
    <w:p w14:paraId="7F11F06B" w14:textId="77777777" w:rsidR="004151AE" w:rsidRPr="00557A1B" w:rsidRDefault="00557A1B" w:rsidP="00557A1B">
      <w:pPr>
        <w:spacing w:before="0" w:after="0" w:line="240" w:lineRule="auto"/>
        <w:rPr>
          <w:rFonts w:asciiTheme="minorHAnsi" w:hAnsiTheme="minorHAnsi"/>
          <w:b/>
        </w:rPr>
      </w:pPr>
      <w:r>
        <w:rPr>
          <w:noProof/>
          <w:lang w:eastAsia="en-AU"/>
        </w:rPr>
        <w:drawing>
          <wp:inline distT="0" distB="0" distL="0" distR="0" wp14:anchorId="1B929E97" wp14:editId="2465B79E">
            <wp:extent cx="5400040" cy="3751580"/>
            <wp:effectExtent l="0" t="0" r="0" b="1270"/>
            <wp:docPr id="3" name="Picture 3" descr="Overview of the design and study periods of the HERCULES trial. After confirmation of eligibility to study participation and after the start of PE treatment, adult subjects&#10;were randomised 1:1 to receive caplacizumab or placebo in addition to standard therapy. The overall study period encompassed 2 periods: a study drug treatment period (daily PE period followed by a post-daily PE period (30 days after last PE)) and a 4 week follow-up period. In case of a recurrence during the study treatment period (post daily PE), requiring re-initiation of daily PE, subjects received open-label caplacizumab together with daily PE, irrespective of what the initial treatment allocation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751580"/>
                    </a:xfrm>
                    <a:prstGeom prst="rect">
                      <a:avLst/>
                    </a:prstGeom>
                  </pic:spPr>
                </pic:pic>
              </a:graphicData>
            </a:graphic>
          </wp:inline>
        </w:drawing>
      </w:r>
    </w:p>
    <w:p w14:paraId="6E413C98" w14:textId="77777777" w:rsidR="004151AE" w:rsidRPr="0044221B" w:rsidRDefault="004151AE" w:rsidP="004151AE">
      <w:r>
        <w:t xml:space="preserve">The </w:t>
      </w:r>
      <w:r w:rsidR="00DC65C4">
        <w:t xml:space="preserve">primary endpoint </w:t>
      </w:r>
      <w:r>
        <w:t xml:space="preserve">of </w:t>
      </w:r>
      <w:r w:rsidR="00DC65C4">
        <w:t xml:space="preserve">the </w:t>
      </w:r>
      <w:r>
        <w:t xml:space="preserve">HERCULES </w:t>
      </w:r>
      <w:r w:rsidR="00DC65C4">
        <w:t xml:space="preserve">trial </w:t>
      </w:r>
      <w:r>
        <w:t>was the restoration of a normal platelet count. Secondary endpoints included:</w:t>
      </w:r>
    </w:p>
    <w:p w14:paraId="57BE79A5" w14:textId="77777777" w:rsidR="00FF3FF9" w:rsidRPr="00FF3FF9" w:rsidRDefault="00FF3FF9" w:rsidP="00DC65C4">
      <w:pPr>
        <w:pStyle w:val="ListBullet"/>
      </w:pPr>
      <w:r w:rsidRPr="00FF3FF9">
        <w:t xml:space="preserve">Proportion of subjects with </w:t>
      </w:r>
      <w:r w:rsidR="00DC65C4">
        <w:t>thrombotic thrombocytopenic purpura (</w:t>
      </w:r>
      <w:r w:rsidRPr="00FF3FF9">
        <w:t>TTP</w:t>
      </w:r>
      <w:r w:rsidR="00DC65C4">
        <w:t>)</w:t>
      </w:r>
      <w:r w:rsidRPr="00FF3FF9">
        <w:t>-related death, a recurrence of TTP, or at least one treatment</w:t>
      </w:r>
      <w:r w:rsidR="00961EDC">
        <w:t xml:space="preserve"> </w:t>
      </w:r>
      <w:r w:rsidRPr="00FF3FF9">
        <w:t>emergent</w:t>
      </w:r>
      <w:r w:rsidR="00961EDC">
        <w:t xml:space="preserve"> </w:t>
      </w:r>
      <w:r w:rsidR="00DC65C4">
        <w:t>major thromboembolic event (for example</w:t>
      </w:r>
      <w:r w:rsidRPr="00FF3FF9">
        <w:t>, myocardial infarc</w:t>
      </w:r>
      <w:r w:rsidR="00DC65C4">
        <w:t xml:space="preserve">tion, cerebrovascular accident, </w:t>
      </w:r>
      <w:r w:rsidRPr="00FF3FF9">
        <w:t xml:space="preserve">pulmonary embolism or deep venous thrombosis) during </w:t>
      </w:r>
      <w:r w:rsidR="00DC65C4">
        <w:t xml:space="preserve">the </w:t>
      </w:r>
      <w:proofErr w:type="gramStart"/>
      <w:r w:rsidR="00DC65C4">
        <w:t>study drug treatment period</w:t>
      </w:r>
      <w:proofErr w:type="gramEnd"/>
      <w:r w:rsidR="00DC65C4">
        <w:t xml:space="preserve"> </w:t>
      </w:r>
      <w:r w:rsidRPr="00FF3FF9">
        <w:t>(including extensions).</w:t>
      </w:r>
    </w:p>
    <w:p w14:paraId="414D9478" w14:textId="77777777" w:rsidR="00FF3FF9" w:rsidRPr="00FF3FF9" w:rsidRDefault="00FF3FF9" w:rsidP="00DC65C4">
      <w:pPr>
        <w:pStyle w:val="ListBullet"/>
      </w:pPr>
      <w:r w:rsidRPr="00FF3FF9">
        <w:t xml:space="preserve">Proportion of subjects with a recurrence of TTP in the </w:t>
      </w:r>
      <w:r w:rsidR="00DC65C4" w:rsidRPr="00FF3FF9">
        <w:t xml:space="preserve">overall study period </w:t>
      </w:r>
      <w:r w:rsidR="00DC65C4">
        <w:t xml:space="preserve">(including </w:t>
      </w:r>
      <w:proofErr w:type="gramStart"/>
      <w:r w:rsidR="00DC65C4">
        <w:t>4 </w:t>
      </w:r>
      <w:r w:rsidRPr="00FF3FF9">
        <w:t>we</w:t>
      </w:r>
      <w:r w:rsidR="00DC65C4">
        <w:t>ek</w:t>
      </w:r>
      <w:proofErr w:type="gramEnd"/>
      <w:r w:rsidR="00DC65C4">
        <w:t xml:space="preserve"> follow-up </w:t>
      </w:r>
      <w:r w:rsidRPr="00FF3FF9">
        <w:t>period).</w:t>
      </w:r>
    </w:p>
    <w:p w14:paraId="58459E27" w14:textId="059C2FA2" w:rsidR="00FF3FF9" w:rsidRPr="00FF3FF9" w:rsidRDefault="00FF3FF9" w:rsidP="00DC65C4">
      <w:pPr>
        <w:pStyle w:val="ListBullet"/>
      </w:pPr>
      <w:r w:rsidRPr="00FF3FF9">
        <w:t>Proportion of subjects with refractory TTP, defined as absence of plate</w:t>
      </w:r>
      <w:r w:rsidR="00DC65C4">
        <w:t xml:space="preserve">let count doubling after 4 days </w:t>
      </w:r>
      <w:r w:rsidRPr="00FF3FF9">
        <w:t xml:space="preserve">of standard treatment, and </w:t>
      </w:r>
      <w:r w:rsidR="00787882">
        <w:t>lactate dehydrogenase (</w:t>
      </w:r>
      <w:r w:rsidRPr="00FF3FF9">
        <w:t>LDH</w:t>
      </w:r>
      <w:r w:rsidR="00787882">
        <w:t>)</w:t>
      </w:r>
      <w:r w:rsidRPr="00FF3FF9">
        <w:t xml:space="preserve"> &gt; </w:t>
      </w:r>
      <w:r w:rsidR="00DC65C4">
        <w:t>ULN</w:t>
      </w:r>
      <w:r w:rsidRPr="00FF3FF9">
        <w:t>.</w:t>
      </w:r>
    </w:p>
    <w:p w14:paraId="01D120DA" w14:textId="77777777" w:rsidR="00FF3FF9" w:rsidRPr="00FF3FF9" w:rsidRDefault="00DC65C4" w:rsidP="00DC65C4">
      <w:pPr>
        <w:pStyle w:val="ListBullet"/>
      </w:pPr>
      <w:r>
        <w:t>Time to normalis</w:t>
      </w:r>
      <w:r w:rsidR="00FF3FF9" w:rsidRPr="00FF3FF9">
        <w:t>ation of all 3 of the following organ damage marker levels:</w:t>
      </w:r>
    </w:p>
    <w:p w14:paraId="4EE60723" w14:textId="175182F8" w:rsidR="004151AE" w:rsidRPr="002F0B18" w:rsidRDefault="00FF3FF9" w:rsidP="002F0B18">
      <w:pPr>
        <w:pStyle w:val="ListBullet2"/>
      </w:pPr>
      <w:r w:rsidRPr="00FF3FF9">
        <w:t xml:space="preserve">Time to LDH </w:t>
      </w:r>
      <w:r w:rsidR="00BB60B8">
        <w:sym w:font="Symbol" w:char="F0A3"/>
      </w:r>
      <w:r w:rsidRPr="00FF3FF9">
        <w:t xml:space="preserve"> 1 x ULN, and </w:t>
      </w:r>
      <w:r w:rsidR="00DC65C4" w:rsidRPr="00DC65C4">
        <w:t xml:space="preserve">cardiac troponin I </w:t>
      </w:r>
      <w:r w:rsidR="00DC65C4">
        <w:t>(</w:t>
      </w:r>
      <w:proofErr w:type="spellStart"/>
      <w:r w:rsidRPr="00FF3FF9">
        <w:t>cTnI</w:t>
      </w:r>
      <w:proofErr w:type="spellEnd"/>
      <w:r w:rsidR="00DC65C4">
        <w:t>)</w:t>
      </w:r>
      <w:r w:rsidRPr="00FF3FF9">
        <w:t xml:space="preserve"> </w:t>
      </w:r>
      <w:r w:rsidR="00BB60B8">
        <w:sym w:font="Symbol" w:char="F0A3"/>
      </w:r>
      <w:r w:rsidRPr="00FF3FF9">
        <w:t xml:space="preserve"> 1 x ULN, and serum creatinine </w:t>
      </w:r>
      <w:r w:rsidR="00BB60B8">
        <w:sym w:font="Symbol" w:char="F0A3"/>
      </w:r>
      <w:r w:rsidRPr="00FF3FF9">
        <w:t xml:space="preserve"> 1 x ULN</w:t>
      </w:r>
      <w:r w:rsidR="00DC65C4">
        <w:t>.</w:t>
      </w:r>
    </w:p>
    <w:p w14:paraId="69ACAF8B" w14:textId="4323DE8D" w:rsidR="004151AE" w:rsidRDefault="00DC65C4" w:rsidP="002F0B18">
      <w:pPr>
        <w:pStyle w:val="FigureTitle"/>
      </w:pPr>
      <w:bookmarkStart w:id="41" w:name="_Ref37879029"/>
      <w:r>
        <w:lastRenderedPageBreak/>
        <w:t xml:space="preserve">Figure </w:t>
      </w:r>
      <w:fldSimple w:instr=" SEQ Figure \* ARABIC ">
        <w:r w:rsidR="00127EE1">
          <w:rPr>
            <w:noProof/>
          </w:rPr>
          <w:t>5</w:t>
        </w:r>
      </w:fldSimple>
      <w:bookmarkEnd w:id="41"/>
      <w:r>
        <w:t xml:space="preserve">: </w:t>
      </w:r>
      <w:r w:rsidRPr="00C1053B">
        <w:t xml:space="preserve">Time to platelet </w:t>
      </w:r>
      <w:r>
        <w:t>response</w:t>
      </w:r>
      <w:r w:rsidRPr="00C1053B">
        <w:t xml:space="preserve"> in </w:t>
      </w:r>
      <w:r>
        <w:t>the HERCULES trial, intent to treat population</w:t>
      </w:r>
    </w:p>
    <w:p w14:paraId="20D75292" w14:textId="77777777" w:rsidR="002F0B18" w:rsidRPr="002F0B18" w:rsidRDefault="002F0B18" w:rsidP="002F0B18">
      <w:r>
        <w:rPr>
          <w:noProof/>
          <w:lang w:eastAsia="en-AU"/>
        </w:rPr>
        <w:drawing>
          <wp:inline distT="0" distB="0" distL="0" distR="0" wp14:anchorId="4D21DCD3" wp14:editId="27216E89">
            <wp:extent cx="5400040" cy="3089910"/>
            <wp:effectExtent l="0" t="0" r="0" b="0"/>
            <wp:docPr id="13" name="Picture 13" descr="Time to platelet response in the HERCULES trial,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89910"/>
                    </a:xfrm>
                    <a:prstGeom prst="rect">
                      <a:avLst/>
                    </a:prstGeom>
                  </pic:spPr>
                </pic:pic>
              </a:graphicData>
            </a:graphic>
          </wp:inline>
        </w:drawing>
      </w:r>
    </w:p>
    <w:p w14:paraId="7F87742A" w14:textId="77777777" w:rsidR="004151AE" w:rsidRDefault="004151AE" w:rsidP="002F0B18">
      <w:r>
        <w:t xml:space="preserve">The time to confirmed platelet response was significantly shorter in the </w:t>
      </w:r>
      <w:proofErr w:type="spellStart"/>
      <w:r>
        <w:t>caplacizumab</w:t>
      </w:r>
      <w:proofErr w:type="spellEnd"/>
      <w:r>
        <w:t xml:space="preserve"> (p</w:t>
      </w:r>
      <w:r w:rsidR="002F0B18">
        <w:t> </w:t>
      </w:r>
      <w:r>
        <w:t>=</w:t>
      </w:r>
      <w:r w:rsidR="002F0B18">
        <w:t> </w:t>
      </w:r>
      <w:r>
        <w:t xml:space="preserve">0.0099) than in the standard care arm, although only a difference in median time to response </w:t>
      </w:r>
      <w:r w:rsidR="002F0B18">
        <w:t>of 0.19 days (2.69 versus</w:t>
      </w:r>
      <w:r>
        <w:t xml:space="preserve"> 2.88 days</w:t>
      </w:r>
      <w:r w:rsidR="002F0B18">
        <w:t>,</w:t>
      </w:r>
      <w:r>
        <w:t xml:space="preserve"> respectively).</w:t>
      </w:r>
    </w:p>
    <w:p w14:paraId="0A807A41" w14:textId="32786174" w:rsidR="002F0B18" w:rsidRDefault="002F0B18" w:rsidP="002F0B18">
      <w:pPr>
        <w:pStyle w:val="TableTitle"/>
      </w:pPr>
      <w:r>
        <w:t xml:space="preserve">Table </w:t>
      </w:r>
      <w:fldSimple w:instr=" SEQ Table \* ARABIC ">
        <w:r w:rsidR="000834AD">
          <w:rPr>
            <w:noProof/>
          </w:rPr>
          <w:t>2</w:t>
        </w:r>
      </w:fldSimple>
      <w:r>
        <w:t xml:space="preserve">: </w:t>
      </w:r>
      <w:r w:rsidRPr="004E72EA">
        <w:t xml:space="preserve">Percentage of subjects with TTP-related death, a recurrence of TTP, or at least one treatment-emergent major thromboembolic event during </w:t>
      </w:r>
      <w:r>
        <w:t>the HERCULES trial</w:t>
      </w:r>
    </w:p>
    <w:p w14:paraId="7DDEC0FD" w14:textId="77777777" w:rsidR="004151AE" w:rsidRDefault="002F0B18" w:rsidP="004151AE">
      <w:pPr>
        <w:spacing w:before="0" w:after="0" w:line="240" w:lineRule="auto"/>
        <w:rPr>
          <w:rFonts w:asciiTheme="minorHAnsi" w:hAnsiTheme="minorHAnsi"/>
        </w:rPr>
      </w:pPr>
      <w:r>
        <w:rPr>
          <w:noProof/>
          <w:lang w:eastAsia="en-AU"/>
        </w:rPr>
        <w:drawing>
          <wp:inline distT="0" distB="0" distL="0" distR="0" wp14:anchorId="489A361E" wp14:editId="5F1AE727">
            <wp:extent cx="5400040" cy="1670685"/>
            <wp:effectExtent l="0" t="0" r="0" b="5715"/>
            <wp:docPr id="14" name="Picture 14" descr="Percentage of subjects with TTP-related death, a recurrence of TTP, or at least one treatment-emergent major thromboembolic event during the HERCULE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670685"/>
                    </a:xfrm>
                    <a:prstGeom prst="rect">
                      <a:avLst/>
                    </a:prstGeom>
                  </pic:spPr>
                </pic:pic>
              </a:graphicData>
            </a:graphic>
          </wp:inline>
        </w:drawing>
      </w:r>
    </w:p>
    <w:p w14:paraId="659E9EA5" w14:textId="77777777" w:rsidR="004151AE" w:rsidRDefault="004151AE" w:rsidP="004151AE">
      <w:r>
        <w:t xml:space="preserve">There was a significantly lower rate of the composite endpoint of death, recurrence or thromboembolic events in the </w:t>
      </w:r>
      <w:proofErr w:type="spellStart"/>
      <w:r>
        <w:t>caplacizumab</w:t>
      </w:r>
      <w:proofErr w:type="spellEnd"/>
      <w:r>
        <w:t xml:space="preserve"> arm than in the standard care arm of HERCULES </w:t>
      </w:r>
      <w:r w:rsidR="002F0B18">
        <w:t xml:space="preserve">trial </w:t>
      </w:r>
      <w:r>
        <w:t>(p</w:t>
      </w:r>
      <w:r w:rsidR="002F0B18">
        <w:t xml:space="preserve"> </w:t>
      </w:r>
      <w:r>
        <w:t>=</w:t>
      </w:r>
      <w:r w:rsidR="002F0B18">
        <w:t xml:space="preserve"> </w:t>
      </w:r>
      <w:r>
        <w:t xml:space="preserve">0.001). This </w:t>
      </w:r>
      <w:proofErr w:type="gramStart"/>
      <w:r>
        <w:t>is mainly driven</w:t>
      </w:r>
      <w:proofErr w:type="gramEnd"/>
      <w:r>
        <w:t xml:space="preserve"> by the difference in the number of recur</w:t>
      </w:r>
      <w:r w:rsidR="002F0B18">
        <w:t xml:space="preserve">rence/exacerbations of </w:t>
      </w:r>
      <w:proofErr w:type="spellStart"/>
      <w:r w:rsidR="002F0B18">
        <w:t>aTTP</w:t>
      </w:r>
      <w:proofErr w:type="spellEnd"/>
      <w:r w:rsidR="002F0B18">
        <w:t xml:space="preserve">, for example 38.4% versus </w:t>
      </w:r>
      <w:r>
        <w:t xml:space="preserve">4.2% in the standard care and </w:t>
      </w:r>
      <w:proofErr w:type="spellStart"/>
      <w:r>
        <w:t>caplacizumab</w:t>
      </w:r>
      <w:proofErr w:type="spellEnd"/>
      <w:r>
        <w:t xml:space="preserve"> arms</w:t>
      </w:r>
      <w:r w:rsidR="002F0B18">
        <w:t>,</w:t>
      </w:r>
      <w:r>
        <w:t xml:space="preserve"> respectively.</w:t>
      </w:r>
    </w:p>
    <w:p w14:paraId="11392026" w14:textId="77777777" w:rsidR="004151AE" w:rsidRDefault="004151AE" w:rsidP="004151AE">
      <w:r>
        <w:t>Overall</w:t>
      </w:r>
      <w:r w:rsidR="002F0B18">
        <w:t>,</w:t>
      </w:r>
      <w:r>
        <w:t xml:space="preserve"> 38% of standard care patients and 13% of </w:t>
      </w:r>
      <w:proofErr w:type="spellStart"/>
      <w:r>
        <w:t>caplacizumab</w:t>
      </w:r>
      <w:proofErr w:type="spellEnd"/>
      <w:r>
        <w:t xml:space="preserve"> patients suffered a recurrence or exacerbation of </w:t>
      </w:r>
      <w:proofErr w:type="spellStart"/>
      <w:r>
        <w:t>aTTP</w:t>
      </w:r>
      <w:proofErr w:type="spellEnd"/>
      <w:r>
        <w:t xml:space="preserve"> (p</w:t>
      </w:r>
      <w:r w:rsidR="002F0B18">
        <w:t xml:space="preserve"> </w:t>
      </w:r>
      <w:r>
        <w:t>=</w:t>
      </w:r>
      <w:r w:rsidR="002F0B18">
        <w:t xml:space="preserve"> </w:t>
      </w:r>
      <w:r>
        <w:t xml:space="preserve">0.0004). In the standard care arm, all events occurred during the double-blind treatment phase of </w:t>
      </w:r>
      <w:r w:rsidR="002F0B18">
        <w:t xml:space="preserve">the </w:t>
      </w:r>
      <w:r>
        <w:t>HERCULES</w:t>
      </w:r>
      <w:r w:rsidR="002F0B18">
        <w:t xml:space="preserve"> trial</w:t>
      </w:r>
      <w:r>
        <w:t xml:space="preserve">. In the </w:t>
      </w:r>
      <w:proofErr w:type="spellStart"/>
      <w:r>
        <w:t>caplacizumab</w:t>
      </w:r>
      <w:proofErr w:type="spellEnd"/>
      <w:r>
        <w:t xml:space="preserve"> arm, </w:t>
      </w:r>
      <w:proofErr w:type="gramStart"/>
      <w:r>
        <w:t>3</w:t>
      </w:r>
      <w:proofErr w:type="gramEnd"/>
      <w:r>
        <w:t xml:space="preserve"> events occurred during double blind treatment and 6 occurred during follow-up. All of these </w:t>
      </w:r>
      <w:proofErr w:type="gramStart"/>
      <w:r>
        <w:t>6</w:t>
      </w:r>
      <w:proofErr w:type="gramEnd"/>
      <w:r>
        <w:t xml:space="preserve"> patients had ADAMTS13 levels &lt;</w:t>
      </w:r>
      <w:r w:rsidR="002F0B18">
        <w:t xml:space="preserve"> </w:t>
      </w:r>
      <w:r>
        <w:t>10% when treatment was discontinued.</w:t>
      </w:r>
    </w:p>
    <w:p w14:paraId="5792FD1D" w14:textId="77777777" w:rsidR="004151AE" w:rsidRDefault="004151AE" w:rsidP="004151AE">
      <w:r>
        <w:t>Refractoriness to treatment was defined as failure to achieve a doubling of platelet levels after 4 days of treatment and LDH</w:t>
      </w:r>
      <w:r w:rsidR="002F0B18">
        <w:t xml:space="preserve"> </w:t>
      </w:r>
      <w:r>
        <w:t>&gt;</w:t>
      </w:r>
      <w:r w:rsidR="002F0B18">
        <w:t xml:space="preserve"> </w:t>
      </w:r>
      <w:r>
        <w:t xml:space="preserve">ULN. This occurred in </w:t>
      </w:r>
      <w:proofErr w:type="gramStart"/>
      <w:r>
        <w:t>3</w:t>
      </w:r>
      <w:proofErr w:type="gramEnd"/>
      <w:r>
        <w:t xml:space="preserve"> patients in the standard care arm and 0 patients in the </w:t>
      </w:r>
      <w:proofErr w:type="spellStart"/>
      <w:r>
        <w:t>caplacizumab</w:t>
      </w:r>
      <w:proofErr w:type="spellEnd"/>
      <w:r>
        <w:t xml:space="preserve"> arm (p</w:t>
      </w:r>
      <w:r w:rsidR="002F0B18">
        <w:t xml:space="preserve"> </w:t>
      </w:r>
      <w:r>
        <w:t>=</w:t>
      </w:r>
      <w:r w:rsidR="002F0B18">
        <w:t xml:space="preserve"> 0.0572).</w:t>
      </w:r>
    </w:p>
    <w:p w14:paraId="3D051AED" w14:textId="77383ECB" w:rsidR="004151AE" w:rsidRPr="004151AE" w:rsidRDefault="004151AE" w:rsidP="004151AE">
      <w:r>
        <w:lastRenderedPageBreak/>
        <w:t xml:space="preserve">Median time to normalisation of markers of organ damage was shorter in the </w:t>
      </w:r>
      <w:proofErr w:type="spellStart"/>
      <w:r>
        <w:t>caplacizumab</w:t>
      </w:r>
      <w:proofErr w:type="spellEnd"/>
      <w:r>
        <w:t xml:space="preserve"> arm than the standard care arm of </w:t>
      </w:r>
      <w:r w:rsidR="00397FA2">
        <w:t xml:space="preserve">the </w:t>
      </w:r>
      <w:r>
        <w:t>HERCULES</w:t>
      </w:r>
      <w:r w:rsidR="00397FA2">
        <w:t xml:space="preserve"> trial</w:t>
      </w:r>
      <w:r>
        <w:t>, being 2.86 and 3.36 days respectively.</w:t>
      </w:r>
    </w:p>
    <w:p w14:paraId="07E6C454" w14:textId="77777777" w:rsidR="004151AE" w:rsidRDefault="004151AE" w:rsidP="004151AE">
      <w:pPr>
        <w:pStyle w:val="Heading5"/>
      </w:pPr>
      <w:r>
        <w:t>Safety</w:t>
      </w:r>
    </w:p>
    <w:p w14:paraId="3B066FE8" w14:textId="77777777" w:rsidR="006A7195" w:rsidRPr="006A7195" w:rsidRDefault="006A7195" w:rsidP="006A7195">
      <w:r>
        <w:rPr>
          <w:noProof/>
          <w:lang w:eastAsia="en-AU"/>
        </w:rPr>
        <w:t>Treatment emergent adverse events (TEAEs) were reported more frequently in the standard care than the caplacizumab arm.</w:t>
      </w:r>
    </w:p>
    <w:p w14:paraId="00FFE343" w14:textId="4EA65E4B" w:rsidR="006A7195" w:rsidRPr="006A7195" w:rsidRDefault="006A7195" w:rsidP="006A7195">
      <w:pPr>
        <w:pStyle w:val="TableTitle"/>
      </w:pPr>
      <w:r>
        <w:t xml:space="preserve">Table </w:t>
      </w:r>
      <w:fldSimple w:instr=" SEQ Table \* ARABIC ">
        <w:r w:rsidR="000834AD">
          <w:rPr>
            <w:noProof/>
          </w:rPr>
          <w:t>3</w:t>
        </w:r>
      </w:fldSimple>
      <w:r>
        <w:t xml:space="preserve">: </w:t>
      </w:r>
      <w:r w:rsidRPr="00FF4BA0">
        <w:rPr>
          <w:noProof/>
          <w:lang w:eastAsia="en-AU"/>
        </w:rPr>
        <w:t>Summary of tre</w:t>
      </w:r>
      <w:r w:rsidR="00885504">
        <w:rPr>
          <w:noProof/>
          <w:lang w:eastAsia="en-AU"/>
        </w:rPr>
        <w:t>atment emergency adverse events</w:t>
      </w:r>
      <w:r w:rsidRPr="00FF4BA0">
        <w:rPr>
          <w:noProof/>
          <w:lang w:eastAsia="en-AU"/>
        </w:rPr>
        <w:t xml:space="preserve"> in </w:t>
      </w:r>
      <w:r>
        <w:rPr>
          <w:noProof/>
          <w:lang w:eastAsia="en-AU"/>
        </w:rPr>
        <w:t>the</w:t>
      </w:r>
      <w:r w:rsidRPr="00FF4BA0">
        <w:rPr>
          <w:noProof/>
          <w:lang w:eastAsia="en-AU"/>
        </w:rPr>
        <w:t xml:space="preserve"> </w:t>
      </w:r>
      <w:r>
        <w:rPr>
          <w:noProof/>
          <w:lang w:eastAsia="en-AU"/>
        </w:rPr>
        <w:t xml:space="preserve">pivotal </w:t>
      </w:r>
      <w:r w:rsidRPr="00FF4BA0">
        <w:rPr>
          <w:noProof/>
          <w:lang w:eastAsia="en-AU"/>
        </w:rPr>
        <w:t>HERCULES</w:t>
      </w:r>
      <w:r>
        <w:rPr>
          <w:noProof/>
          <w:lang w:eastAsia="en-AU"/>
        </w:rPr>
        <w:t xml:space="preserve"> trial</w:t>
      </w:r>
    </w:p>
    <w:p w14:paraId="73BE3BDB" w14:textId="77777777" w:rsidR="004151AE" w:rsidRPr="006A7195" w:rsidRDefault="006A7195" w:rsidP="006A7195">
      <w:pPr>
        <w:spacing w:before="0" w:after="0" w:line="240" w:lineRule="auto"/>
        <w:rPr>
          <w:rFonts w:asciiTheme="minorHAnsi" w:hAnsiTheme="minorHAnsi"/>
          <w:noProof/>
          <w:lang w:eastAsia="en-AU"/>
        </w:rPr>
      </w:pPr>
      <w:r w:rsidRPr="006A7195">
        <w:rPr>
          <w:rFonts w:asciiTheme="minorHAnsi" w:hAnsiTheme="minorHAnsi"/>
          <w:noProof/>
          <w:lang w:eastAsia="en-AU"/>
        </w:rPr>
        <w:drawing>
          <wp:inline distT="0" distB="0" distL="0" distR="0" wp14:anchorId="19DA5F83" wp14:editId="4F64CF6C">
            <wp:extent cx="5400040" cy="2403647"/>
            <wp:effectExtent l="0" t="0" r="0" b="0"/>
            <wp:docPr id="18" name="Picture 18" descr="Summary of treatment emergency adverse events in the pivotal HERCULE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403647"/>
                    </a:xfrm>
                    <a:prstGeom prst="rect">
                      <a:avLst/>
                    </a:prstGeom>
                    <a:noFill/>
                    <a:ln>
                      <a:noFill/>
                    </a:ln>
                  </pic:spPr>
                </pic:pic>
              </a:graphicData>
            </a:graphic>
          </wp:inline>
        </w:drawing>
      </w:r>
    </w:p>
    <w:p w14:paraId="640B3B71" w14:textId="4B468169" w:rsidR="004151AE" w:rsidRDefault="00CE7128" w:rsidP="006A7195">
      <w:pPr>
        <w:rPr>
          <w:noProof/>
          <w:lang w:eastAsia="en-AU"/>
        </w:rPr>
      </w:pPr>
      <w:r w:rsidRPr="00127EE1">
        <w:rPr>
          <w:noProof/>
          <w:lang w:eastAsia="en-AU"/>
        </w:rPr>
        <w:t>The s</w:t>
      </w:r>
      <w:r w:rsidR="004151AE" w:rsidRPr="00127EE1">
        <w:rPr>
          <w:noProof/>
          <w:lang w:eastAsia="en-AU"/>
        </w:rPr>
        <w:t>ponsor provided an integrated summar</w:t>
      </w:r>
      <w:r w:rsidRPr="00127EE1">
        <w:rPr>
          <w:noProof/>
          <w:lang w:eastAsia="en-AU"/>
        </w:rPr>
        <w:t>y of safety based on all exposure</w:t>
      </w:r>
      <w:r w:rsidR="004151AE" w:rsidRPr="00127EE1">
        <w:rPr>
          <w:noProof/>
          <w:lang w:eastAsia="en-AU"/>
        </w:rPr>
        <w:t xml:space="preserve"> in a</w:t>
      </w:r>
      <w:r w:rsidR="001A4083">
        <w:rPr>
          <w:noProof/>
          <w:lang w:eastAsia="en-AU"/>
        </w:rPr>
        <w:t>TTP</w:t>
      </w:r>
      <w:r w:rsidR="004151AE" w:rsidRPr="00127EE1">
        <w:rPr>
          <w:noProof/>
          <w:lang w:eastAsia="en-AU"/>
        </w:rPr>
        <w:t xml:space="preserve"> patients. The most commonly experienced adv</w:t>
      </w:r>
      <w:r w:rsidR="00127EE1">
        <w:rPr>
          <w:noProof/>
          <w:lang w:eastAsia="en-AU"/>
        </w:rPr>
        <w:t xml:space="preserve">erse events are indicated below in </w:t>
      </w:r>
      <w:r w:rsidR="00127EE1">
        <w:rPr>
          <w:noProof/>
          <w:lang w:eastAsia="en-AU"/>
        </w:rPr>
        <w:fldChar w:fldCharType="begin"/>
      </w:r>
      <w:r w:rsidR="00127EE1">
        <w:rPr>
          <w:noProof/>
          <w:lang w:eastAsia="en-AU"/>
        </w:rPr>
        <w:instrText xml:space="preserve"> REF _Ref37921872 \h </w:instrText>
      </w:r>
      <w:r w:rsidR="00127EE1">
        <w:rPr>
          <w:noProof/>
          <w:lang w:eastAsia="en-AU"/>
        </w:rPr>
      </w:r>
      <w:r w:rsidR="00127EE1">
        <w:rPr>
          <w:noProof/>
          <w:lang w:eastAsia="en-AU"/>
        </w:rPr>
        <w:fldChar w:fldCharType="separate"/>
      </w:r>
      <w:r w:rsidR="00127EE1">
        <w:t xml:space="preserve">Figure </w:t>
      </w:r>
      <w:r w:rsidR="00127EE1">
        <w:rPr>
          <w:noProof/>
        </w:rPr>
        <w:t>6</w:t>
      </w:r>
      <w:r w:rsidR="00127EE1">
        <w:rPr>
          <w:noProof/>
          <w:lang w:eastAsia="en-AU"/>
        </w:rPr>
        <w:fldChar w:fldCharType="end"/>
      </w:r>
      <w:r w:rsidR="00127EE1">
        <w:rPr>
          <w:noProof/>
          <w:lang w:eastAsia="en-AU"/>
        </w:rPr>
        <w:t>.</w:t>
      </w:r>
    </w:p>
    <w:p w14:paraId="0DAE236F" w14:textId="616E0FDA" w:rsidR="00127EE1" w:rsidRDefault="00127EE1" w:rsidP="00127EE1">
      <w:pPr>
        <w:pStyle w:val="FigureTitle"/>
        <w:rPr>
          <w:noProof/>
          <w:lang w:eastAsia="en-AU"/>
        </w:rPr>
      </w:pPr>
      <w:bookmarkStart w:id="42" w:name="_Ref37921872"/>
      <w:r>
        <w:t xml:space="preserve">Figure </w:t>
      </w:r>
      <w:fldSimple w:instr=" SEQ Figure \* ARABIC ">
        <w:r>
          <w:rPr>
            <w:noProof/>
          </w:rPr>
          <w:t>6</w:t>
        </w:r>
      </w:fldSimple>
      <w:bookmarkEnd w:id="42"/>
      <w:r>
        <w:t xml:space="preserve">: </w:t>
      </w:r>
      <w:r>
        <w:rPr>
          <w:noProof/>
          <w:lang w:eastAsia="en-AU"/>
        </w:rPr>
        <w:t>Treatment emergent adverse events</w:t>
      </w:r>
      <w:r w:rsidRPr="00117B64">
        <w:rPr>
          <w:noProof/>
          <w:lang w:eastAsia="en-AU"/>
        </w:rPr>
        <w:t xml:space="preserve"> experienced by at least 5% of patients</w:t>
      </w:r>
    </w:p>
    <w:p w14:paraId="1DF43F3C" w14:textId="1176DB84" w:rsidR="004151AE" w:rsidRDefault="00127EE1" w:rsidP="00127EE1">
      <w:pPr>
        <w:rPr>
          <w:noProof/>
          <w:lang w:eastAsia="en-AU"/>
        </w:rPr>
      </w:pPr>
      <w:r>
        <w:rPr>
          <w:noProof/>
          <w:lang w:eastAsia="en-AU"/>
        </w:rPr>
        <w:drawing>
          <wp:inline distT="0" distB="0" distL="0" distR="0" wp14:anchorId="17D00F87" wp14:editId="0FD26B82">
            <wp:extent cx="5400040" cy="2711450"/>
            <wp:effectExtent l="0" t="0" r="0" b="0"/>
            <wp:docPr id="4" name="Picture 4" descr="Treatment emergent adverse events experienced by at least 5%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711450"/>
                    </a:xfrm>
                    <a:prstGeom prst="rect">
                      <a:avLst/>
                    </a:prstGeom>
                  </pic:spPr>
                </pic:pic>
              </a:graphicData>
            </a:graphic>
          </wp:inline>
        </w:drawing>
      </w:r>
    </w:p>
    <w:p w14:paraId="05E84C2E" w14:textId="4DEC683B" w:rsidR="004151AE" w:rsidRDefault="004151AE" w:rsidP="004151AE">
      <w:r>
        <w:t xml:space="preserve">Significant </w:t>
      </w:r>
      <w:proofErr w:type="gramStart"/>
      <w:r>
        <w:t>TEAEs which were more</w:t>
      </w:r>
      <w:proofErr w:type="gramEnd"/>
      <w:r>
        <w:t xml:space="preserve"> frequen</w:t>
      </w:r>
      <w:r w:rsidR="000834AD">
        <w:t xml:space="preserve">t in </w:t>
      </w:r>
      <w:proofErr w:type="spellStart"/>
      <w:r w:rsidR="000834AD">
        <w:t>caplacizumab</w:t>
      </w:r>
      <w:proofErr w:type="spellEnd"/>
      <w:r w:rsidR="000834AD">
        <w:t xml:space="preserve"> than standard </w:t>
      </w:r>
      <w:r>
        <w:t>care pati</w:t>
      </w:r>
      <w:r w:rsidR="000834AD">
        <w:t>ents included epistaxis (22.6 versus 1.8%), contusion (8.5 versus</w:t>
      </w:r>
      <w:r>
        <w:t xml:space="preserve"> 2.7</w:t>
      </w:r>
      <w:r w:rsidR="000834AD">
        <w:t>%) and gingival bleeding (9.4 versus</w:t>
      </w:r>
      <w:r>
        <w:t xml:space="preserve"> 0%).</w:t>
      </w:r>
    </w:p>
    <w:p w14:paraId="3BBF26ED" w14:textId="77777777" w:rsidR="004151AE" w:rsidRDefault="004151AE" w:rsidP="004151AE">
      <w:r>
        <w:t xml:space="preserve">Study drug discontinuation due to TEAEs occurred in 6.6% of </w:t>
      </w:r>
      <w:proofErr w:type="spellStart"/>
      <w:r>
        <w:t>caplacizumab</w:t>
      </w:r>
      <w:proofErr w:type="spellEnd"/>
      <w:r>
        <w:t xml:space="preserve"> and 10% of standard care patients.</w:t>
      </w:r>
    </w:p>
    <w:p w14:paraId="2F451E00" w14:textId="6779799F" w:rsidR="004151AE" w:rsidRDefault="000834AD" w:rsidP="004151AE">
      <w:r>
        <w:lastRenderedPageBreak/>
        <w:t>Six</w:t>
      </w:r>
      <w:r w:rsidR="004151AE">
        <w:t xml:space="preserve"> patients in the </w:t>
      </w:r>
      <w:proofErr w:type="spellStart"/>
      <w:r w:rsidR="004151AE">
        <w:t>aTTP</w:t>
      </w:r>
      <w:proofErr w:type="spellEnd"/>
      <w:r w:rsidR="004151AE">
        <w:t xml:space="preserve"> safety population died; </w:t>
      </w:r>
      <w:proofErr w:type="gramStart"/>
      <w:r w:rsidR="004151AE">
        <w:t>5</w:t>
      </w:r>
      <w:proofErr w:type="gramEnd"/>
      <w:r w:rsidR="004151AE">
        <w:t xml:space="preserve"> in the standard care and 1 in the </w:t>
      </w:r>
      <w:proofErr w:type="spellStart"/>
      <w:r w:rsidR="004151AE">
        <w:t>caplacizumab</w:t>
      </w:r>
      <w:proofErr w:type="spellEnd"/>
      <w:r w:rsidR="004151AE">
        <w:t xml:space="preserve"> group. The </w:t>
      </w:r>
      <w:proofErr w:type="spellStart"/>
      <w:r w:rsidR="004151AE">
        <w:t>caplacizumab</w:t>
      </w:r>
      <w:proofErr w:type="spellEnd"/>
      <w:r w:rsidR="004151AE">
        <w:t xml:space="preserve"> treated patient died of cerebral ischemia 6 days after their last dose of study drug, which </w:t>
      </w:r>
      <w:proofErr w:type="gramStart"/>
      <w:r w:rsidR="004151AE">
        <w:t>was not considered</w:t>
      </w:r>
      <w:proofErr w:type="gramEnd"/>
      <w:r w:rsidR="004151AE">
        <w:t xml:space="preserve"> related</w:t>
      </w:r>
      <w:r>
        <w:t xml:space="preserve"> to therapy.</w:t>
      </w:r>
    </w:p>
    <w:p w14:paraId="099CBFEB" w14:textId="34C2E184" w:rsidR="00456765" w:rsidRPr="00456765" w:rsidRDefault="004151AE" w:rsidP="004151AE">
      <w:r>
        <w:t xml:space="preserve">Two patients experienced serious bleeding related </w:t>
      </w:r>
      <w:proofErr w:type="gramStart"/>
      <w:r>
        <w:t>TEAEs which</w:t>
      </w:r>
      <w:proofErr w:type="gramEnd"/>
      <w:r>
        <w:t xml:space="preserve"> were considered at least potentia</w:t>
      </w:r>
      <w:r w:rsidR="000834AD">
        <w:t xml:space="preserve">lly related to </w:t>
      </w:r>
      <w:proofErr w:type="spellStart"/>
      <w:r w:rsidR="000834AD">
        <w:t>caplacizumab</w:t>
      </w:r>
      <w:proofErr w:type="spellEnd"/>
      <w:r w:rsidR="000834AD">
        <w:t xml:space="preserve"> for example,</w:t>
      </w:r>
      <w:r>
        <w:t xml:space="preserve"> subarachnoid haemorrhage and uterine bleeding.</w:t>
      </w:r>
    </w:p>
    <w:p w14:paraId="5D7B4CA6" w14:textId="77777777" w:rsidR="008E7846" w:rsidRDefault="00386150" w:rsidP="007B6132">
      <w:pPr>
        <w:pStyle w:val="Heading3"/>
        <w:rPr>
          <w:lang w:eastAsia="en-AU"/>
        </w:rPr>
      </w:pPr>
      <w:bookmarkStart w:id="43" w:name="_Toc39569379"/>
      <w:r>
        <w:rPr>
          <w:lang w:eastAsia="en-AU"/>
        </w:rPr>
        <w:t>Risk m</w:t>
      </w:r>
      <w:r w:rsidR="008E7846">
        <w:rPr>
          <w:lang w:eastAsia="en-AU"/>
        </w:rPr>
        <w:t xml:space="preserve">anagement </w:t>
      </w:r>
      <w:r>
        <w:rPr>
          <w:lang w:eastAsia="en-AU"/>
        </w:rPr>
        <w:t>p</w:t>
      </w:r>
      <w:r w:rsidR="008E7846">
        <w:rPr>
          <w:lang w:eastAsia="en-AU"/>
        </w:rPr>
        <w:t>lan</w:t>
      </w:r>
      <w:bookmarkEnd w:id="39"/>
      <w:bookmarkEnd w:id="43"/>
    </w:p>
    <w:p w14:paraId="5E385192" w14:textId="28B6EFA2" w:rsidR="008E7846" w:rsidRDefault="000834AD" w:rsidP="004151AE">
      <w:pPr>
        <w:pStyle w:val="ListBullet"/>
      </w:pPr>
      <w:r>
        <w:t>The sponsor</w:t>
      </w:r>
      <w:r w:rsidR="004151AE" w:rsidRPr="004151AE">
        <w:t xml:space="preserve"> has submitted approved </w:t>
      </w:r>
      <w:r>
        <w:t>European Union-Risk Management Plan (EU</w:t>
      </w:r>
      <w:r>
        <w:noBreakHyphen/>
      </w:r>
      <w:r w:rsidR="004151AE" w:rsidRPr="004151AE">
        <w:t>RMP</w:t>
      </w:r>
      <w:r>
        <w:t>)</w:t>
      </w:r>
      <w:r w:rsidR="004151AE" w:rsidRPr="004151AE">
        <w:t xml:space="preserve"> version 1.0 (dated 31 August 2018; </w:t>
      </w:r>
      <w:r>
        <w:t>data lock point (</w:t>
      </w:r>
      <w:r w:rsidR="004151AE" w:rsidRPr="004151AE">
        <w:t>DLP</w:t>
      </w:r>
      <w:r>
        <w:t>)</w:t>
      </w:r>
      <w:r w:rsidR="004151AE" w:rsidRPr="004151AE">
        <w:t xml:space="preserve"> 6 March 2018) and </w:t>
      </w:r>
      <w:r>
        <w:t>Australian specific Annex (</w:t>
      </w:r>
      <w:r w:rsidR="004151AE" w:rsidRPr="004151AE">
        <w:t>ASA</w:t>
      </w:r>
      <w:r>
        <w:t>)</w:t>
      </w:r>
      <w:r w:rsidR="004151AE" w:rsidRPr="004151AE">
        <w:t xml:space="preserve"> version 1.0 (dated 29 May 2019) in support of this application.</w:t>
      </w:r>
    </w:p>
    <w:p w14:paraId="319E4301" w14:textId="0A013886" w:rsidR="004151AE" w:rsidRDefault="004151AE" w:rsidP="004151AE">
      <w:pPr>
        <w:pStyle w:val="ListBullet"/>
      </w:pPr>
      <w:r w:rsidRPr="003B15D6">
        <w:t xml:space="preserve">The proposed summary of safety concerns and their associated risk monitoring and mitigation strategies </w:t>
      </w:r>
      <w:proofErr w:type="gramStart"/>
      <w:r w:rsidRPr="003B15D6">
        <w:t>are summari</w:t>
      </w:r>
      <w:r w:rsidR="000834AD">
        <w:t>sed</w:t>
      </w:r>
      <w:proofErr w:type="gramEnd"/>
      <w:r w:rsidR="000834AD">
        <w:t xml:space="preserve"> below in </w:t>
      </w:r>
      <w:r w:rsidR="000834AD">
        <w:fldChar w:fldCharType="begin"/>
      </w:r>
      <w:r w:rsidR="000834AD">
        <w:instrText xml:space="preserve"> REF _Ref37878556 \h </w:instrText>
      </w:r>
      <w:r w:rsidR="000834AD">
        <w:fldChar w:fldCharType="separate"/>
      </w:r>
      <w:r w:rsidR="000834AD">
        <w:t xml:space="preserve">Table </w:t>
      </w:r>
      <w:r w:rsidR="000834AD">
        <w:rPr>
          <w:noProof/>
        </w:rPr>
        <w:t>4</w:t>
      </w:r>
      <w:r w:rsidR="000834AD">
        <w:fldChar w:fldCharType="end"/>
      </w:r>
      <w:r w:rsidR="000834AD">
        <w:t>.</w:t>
      </w:r>
      <w:r>
        <w:rPr>
          <w:rStyle w:val="FootnoteReference"/>
          <w:lang w:eastAsia="en-AU"/>
        </w:rPr>
        <w:footnoteReference w:id="5"/>
      </w:r>
    </w:p>
    <w:p w14:paraId="46B5E091" w14:textId="652DF051" w:rsidR="000834AD" w:rsidRPr="003B15D6" w:rsidRDefault="000834AD" w:rsidP="000834AD">
      <w:pPr>
        <w:pStyle w:val="TableTitle"/>
      </w:pPr>
      <w:bookmarkStart w:id="44" w:name="_Ref37878556"/>
      <w:r>
        <w:t xml:space="preserve">Table </w:t>
      </w:r>
      <w:fldSimple w:instr=" SEQ Table \* ARABIC ">
        <w:r w:rsidR="00397FA2">
          <w:rPr>
            <w:noProof/>
          </w:rPr>
          <w:t>4</w:t>
        </w:r>
      </w:fldSimple>
      <w:bookmarkEnd w:id="44"/>
      <w:r>
        <w:t>: Summary of safety concerns</w:t>
      </w:r>
    </w:p>
    <w:tbl>
      <w:tblPr>
        <w:tblStyle w:val="TableTGAblue"/>
        <w:tblW w:w="5000" w:type="pct"/>
        <w:tblLook w:val="04A0" w:firstRow="1" w:lastRow="0" w:firstColumn="1" w:lastColumn="0" w:noHBand="0" w:noVBand="1"/>
      </w:tblPr>
      <w:tblGrid>
        <w:gridCol w:w="1327"/>
        <w:gridCol w:w="2891"/>
        <w:gridCol w:w="945"/>
        <w:gridCol w:w="1188"/>
        <w:gridCol w:w="945"/>
        <w:gridCol w:w="1188"/>
      </w:tblGrid>
      <w:tr w:rsidR="004151AE" w:rsidRPr="000834AD" w14:paraId="288EEFF8" w14:textId="77777777" w:rsidTr="00BB60B8">
        <w:trPr>
          <w:cnfStyle w:val="100000000000" w:firstRow="1" w:lastRow="0" w:firstColumn="0" w:lastColumn="0" w:oddVBand="0" w:evenVBand="0" w:oddHBand="0" w:evenHBand="0" w:firstRowFirstColumn="0" w:firstRowLastColumn="0" w:lastRowFirstColumn="0" w:lastRowLastColumn="0"/>
          <w:trHeight w:val="131"/>
        </w:trPr>
        <w:tc>
          <w:tcPr>
            <w:tcW w:w="3024" w:type="pct"/>
            <w:gridSpan w:val="2"/>
            <w:vMerge w:val="restart"/>
          </w:tcPr>
          <w:p w14:paraId="1F7D4599" w14:textId="77777777" w:rsidR="004151AE" w:rsidRPr="000834AD" w:rsidRDefault="004151AE" w:rsidP="000834AD">
            <w:pPr>
              <w:pStyle w:val="Tabletext"/>
              <w:ind w:left="0" w:right="0"/>
              <w:rPr>
                <w:sz w:val="20"/>
                <w:szCs w:val="20"/>
              </w:rPr>
            </w:pPr>
            <w:r w:rsidRPr="000834AD">
              <w:rPr>
                <w:sz w:val="20"/>
                <w:szCs w:val="20"/>
              </w:rPr>
              <w:t>Summary of safety concerns</w:t>
            </w:r>
          </w:p>
        </w:tc>
        <w:tc>
          <w:tcPr>
            <w:tcW w:w="988" w:type="pct"/>
            <w:gridSpan w:val="2"/>
            <w:tcBorders>
              <w:bottom w:val="single" w:sz="4" w:space="0" w:color="auto"/>
            </w:tcBorders>
          </w:tcPr>
          <w:p w14:paraId="23E3B5F5" w14:textId="77777777" w:rsidR="004151AE" w:rsidRPr="000834AD" w:rsidRDefault="004151AE" w:rsidP="000834AD">
            <w:pPr>
              <w:pStyle w:val="Tabletext"/>
              <w:ind w:left="0" w:right="0"/>
              <w:rPr>
                <w:sz w:val="20"/>
                <w:szCs w:val="20"/>
              </w:rPr>
            </w:pPr>
            <w:r w:rsidRPr="000834AD">
              <w:rPr>
                <w:sz w:val="20"/>
                <w:szCs w:val="20"/>
              </w:rPr>
              <w:t>Pharmacovigilance</w:t>
            </w:r>
          </w:p>
        </w:tc>
        <w:tc>
          <w:tcPr>
            <w:tcW w:w="988" w:type="pct"/>
            <w:gridSpan w:val="2"/>
            <w:tcBorders>
              <w:bottom w:val="single" w:sz="4" w:space="0" w:color="auto"/>
            </w:tcBorders>
          </w:tcPr>
          <w:p w14:paraId="71C83465" w14:textId="47E56DEC" w:rsidR="004151AE" w:rsidRPr="000834AD" w:rsidRDefault="00397FA2" w:rsidP="000834AD">
            <w:pPr>
              <w:pStyle w:val="Tabletext"/>
              <w:ind w:left="0" w:right="0"/>
              <w:rPr>
                <w:sz w:val="20"/>
                <w:szCs w:val="20"/>
              </w:rPr>
            </w:pPr>
            <w:r>
              <w:rPr>
                <w:sz w:val="20"/>
                <w:szCs w:val="20"/>
              </w:rPr>
              <w:t>Risk m</w:t>
            </w:r>
            <w:r w:rsidR="004151AE" w:rsidRPr="000834AD">
              <w:rPr>
                <w:sz w:val="20"/>
                <w:szCs w:val="20"/>
              </w:rPr>
              <w:t>inimisation</w:t>
            </w:r>
          </w:p>
        </w:tc>
      </w:tr>
      <w:tr w:rsidR="004151AE" w:rsidRPr="000834AD" w14:paraId="11F65841" w14:textId="77777777" w:rsidTr="00BB60B8">
        <w:trPr>
          <w:trHeight w:val="150"/>
        </w:trPr>
        <w:tc>
          <w:tcPr>
            <w:tcW w:w="3024" w:type="pct"/>
            <w:gridSpan w:val="2"/>
            <w:vMerge/>
            <w:tcBorders>
              <w:right w:val="single" w:sz="4" w:space="0" w:color="auto"/>
            </w:tcBorders>
          </w:tcPr>
          <w:p w14:paraId="0E98B884" w14:textId="77777777" w:rsidR="004151AE" w:rsidRPr="000834AD" w:rsidRDefault="004151AE" w:rsidP="000834AD">
            <w:pPr>
              <w:pStyle w:val="Tabletext"/>
              <w:ind w:left="0" w:right="0"/>
              <w:rPr>
                <w:b/>
                <w:sz w:val="20"/>
                <w:szCs w:val="20"/>
              </w:rPr>
            </w:pPr>
          </w:p>
        </w:tc>
        <w:tc>
          <w:tcPr>
            <w:tcW w:w="449" w:type="pct"/>
            <w:tcBorders>
              <w:top w:val="single" w:sz="4" w:space="0" w:color="auto"/>
              <w:left w:val="single" w:sz="4" w:space="0" w:color="auto"/>
              <w:right w:val="single" w:sz="4" w:space="0" w:color="auto"/>
            </w:tcBorders>
            <w:shd w:val="clear" w:color="auto" w:fill="006DA7"/>
          </w:tcPr>
          <w:p w14:paraId="13EB5501" w14:textId="77777777" w:rsidR="004151AE" w:rsidRPr="00BB60B8" w:rsidRDefault="004151AE" w:rsidP="000834AD">
            <w:pPr>
              <w:pStyle w:val="Tabletext"/>
              <w:ind w:left="0" w:right="0"/>
              <w:rPr>
                <w:b/>
                <w:color w:val="FFFFFF" w:themeColor="background1"/>
                <w:sz w:val="20"/>
                <w:szCs w:val="20"/>
              </w:rPr>
            </w:pPr>
            <w:r w:rsidRPr="00BB60B8">
              <w:rPr>
                <w:b/>
                <w:color w:val="FFFFFF" w:themeColor="background1"/>
                <w:sz w:val="20"/>
                <w:szCs w:val="20"/>
              </w:rPr>
              <w:t>Routine</w:t>
            </w:r>
          </w:p>
        </w:tc>
        <w:tc>
          <w:tcPr>
            <w:tcW w:w="539" w:type="pct"/>
            <w:tcBorders>
              <w:top w:val="single" w:sz="4" w:space="0" w:color="auto"/>
              <w:left w:val="single" w:sz="4" w:space="0" w:color="auto"/>
              <w:right w:val="single" w:sz="4" w:space="0" w:color="auto"/>
            </w:tcBorders>
            <w:shd w:val="clear" w:color="auto" w:fill="006DA7"/>
          </w:tcPr>
          <w:p w14:paraId="4628D1EB" w14:textId="77777777" w:rsidR="004151AE" w:rsidRPr="00BB60B8" w:rsidRDefault="004151AE" w:rsidP="000834AD">
            <w:pPr>
              <w:pStyle w:val="Tabletext"/>
              <w:ind w:left="0" w:right="0"/>
              <w:rPr>
                <w:b/>
                <w:color w:val="FFFFFF" w:themeColor="background1"/>
                <w:sz w:val="20"/>
                <w:szCs w:val="20"/>
              </w:rPr>
            </w:pPr>
            <w:r w:rsidRPr="00BB60B8">
              <w:rPr>
                <w:b/>
                <w:color w:val="FFFFFF" w:themeColor="background1"/>
                <w:sz w:val="20"/>
                <w:szCs w:val="20"/>
              </w:rPr>
              <w:t>Additional</w:t>
            </w:r>
          </w:p>
        </w:tc>
        <w:tc>
          <w:tcPr>
            <w:tcW w:w="435" w:type="pct"/>
            <w:tcBorders>
              <w:top w:val="single" w:sz="4" w:space="0" w:color="auto"/>
              <w:left w:val="single" w:sz="4" w:space="0" w:color="auto"/>
              <w:right w:val="single" w:sz="4" w:space="0" w:color="auto"/>
            </w:tcBorders>
            <w:shd w:val="clear" w:color="auto" w:fill="006DA7"/>
          </w:tcPr>
          <w:p w14:paraId="2709F3F2" w14:textId="77777777" w:rsidR="004151AE" w:rsidRPr="00BB60B8" w:rsidRDefault="004151AE" w:rsidP="000834AD">
            <w:pPr>
              <w:pStyle w:val="Tabletext"/>
              <w:ind w:left="0" w:right="0"/>
              <w:rPr>
                <w:b/>
                <w:color w:val="FFFFFF" w:themeColor="background1"/>
                <w:sz w:val="20"/>
                <w:szCs w:val="20"/>
              </w:rPr>
            </w:pPr>
            <w:r w:rsidRPr="00BB60B8">
              <w:rPr>
                <w:b/>
                <w:color w:val="FFFFFF" w:themeColor="background1"/>
                <w:sz w:val="20"/>
                <w:szCs w:val="20"/>
              </w:rPr>
              <w:t>Routine</w:t>
            </w:r>
          </w:p>
        </w:tc>
        <w:tc>
          <w:tcPr>
            <w:tcW w:w="553" w:type="pct"/>
            <w:tcBorders>
              <w:top w:val="single" w:sz="4" w:space="0" w:color="auto"/>
              <w:left w:val="single" w:sz="4" w:space="0" w:color="auto"/>
            </w:tcBorders>
            <w:shd w:val="clear" w:color="auto" w:fill="006DA7"/>
          </w:tcPr>
          <w:p w14:paraId="43E06102" w14:textId="77777777" w:rsidR="004151AE" w:rsidRPr="00BB60B8" w:rsidRDefault="004151AE" w:rsidP="000834AD">
            <w:pPr>
              <w:pStyle w:val="Tabletext"/>
              <w:ind w:left="0" w:right="0"/>
              <w:rPr>
                <w:b/>
                <w:color w:val="FFFFFF" w:themeColor="background1"/>
                <w:sz w:val="20"/>
                <w:szCs w:val="20"/>
              </w:rPr>
            </w:pPr>
            <w:r w:rsidRPr="00BB60B8">
              <w:rPr>
                <w:b/>
                <w:color w:val="FFFFFF" w:themeColor="background1"/>
                <w:sz w:val="20"/>
                <w:szCs w:val="20"/>
              </w:rPr>
              <w:t>Additional</w:t>
            </w:r>
          </w:p>
        </w:tc>
      </w:tr>
      <w:tr w:rsidR="004151AE" w:rsidRPr="000834AD" w14:paraId="172117EA" w14:textId="77777777" w:rsidTr="000834AD">
        <w:trPr>
          <w:trHeight w:val="789"/>
        </w:trPr>
        <w:tc>
          <w:tcPr>
            <w:tcW w:w="701" w:type="pct"/>
          </w:tcPr>
          <w:p w14:paraId="32A476E1" w14:textId="77777777" w:rsidR="004151AE" w:rsidRPr="000834AD" w:rsidRDefault="004151AE" w:rsidP="000834AD">
            <w:pPr>
              <w:pStyle w:val="Tabletext"/>
              <w:ind w:left="0" w:right="0"/>
              <w:rPr>
                <w:b/>
                <w:sz w:val="20"/>
                <w:szCs w:val="20"/>
              </w:rPr>
            </w:pPr>
            <w:r w:rsidRPr="000834AD">
              <w:rPr>
                <w:b/>
                <w:sz w:val="20"/>
                <w:szCs w:val="20"/>
              </w:rPr>
              <w:t>Important identified risks</w:t>
            </w:r>
          </w:p>
        </w:tc>
        <w:tc>
          <w:tcPr>
            <w:tcW w:w="2323" w:type="pct"/>
          </w:tcPr>
          <w:p w14:paraId="6A71513B" w14:textId="77777777" w:rsidR="004151AE" w:rsidRPr="000834AD" w:rsidRDefault="004151AE" w:rsidP="000834AD">
            <w:pPr>
              <w:pStyle w:val="Tabletext"/>
              <w:ind w:left="0" w:right="0"/>
              <w:rPr>
                <w:sz w:val="20"/>
                <w:szCs w:val="20"/>
              </w:rPr>
            </w:pPr>
            <w:r w:rsidRPr="000834AD">
              <w:rPr>
                <w:sz w:val="20"/>
                <w:szCs w:val="20"/>
              </w:rPr>
              <w:t>Bleeding</w:t>
            </w:r>
          </w:p>
        </w:tc>
        <w:tc>
          <w:tcPr>
            <w:tcW w:w="449" w:type="pct"/>
          </w:tcPr>
          <w:p w14:paraId="184626D1" w14:textId="77777777" w:rsidR="004151AE" w:rsidRPr="000834AD" w:rsidRDefault="004151AE" w:rsidP="000834AD">
            <w:pPr>
              <w:pStyle w:val="Tabletext"/>
              <w:ind w:left="0" w:right="0"/>
              <w:jc w:val="center"/>
              <w:rPr>
                <w:sz w:val="20"/>
                <w:szCs w:val="20"/>
              </w:rPr>
            </w:pPr>
            <w:r w:rsidRPr="000834AD">
              <w:rPr>
                <w:sz w:val="20"/>
                <w:szCs w:val="20"/>
              </w:rPr>
              <w:sym w:font="Wingdings" w:char="F0FC"/>
            </w:r>
            <w:r w:rsidRPr="000834AD">
              <w:rPr>
                <w:sz w:val="20"/>
                <w:szCs w:val="20"/>
              </w:rPr>
              <w:t>*</w:t>
            </w:r>
          </w:p>
        </w:tc>
        <w:tc>
          <w:tcPr>
            <w:tcW w:w="539" w:type="pct"/>
          </w:tcPr>
          <w:p w14:paraId="564BE65B" w14:textId="77777777" w:rsidR="004151AE" w:rsidRPr="000834AD" w:rsidRDefault="004151AE" w:rsidP="000834AD">
            <w:pPr>
              <w:pStyle w:val="Tabletext"/>
              <w:ind w:left="0" w:right="0"/>
              <w:jc w:val="center"/>
              <w:rPr>
                <w:sz w:val="20"/>
                <w:szCs w:val="20"/>
              </w:rPr>
            </w:pPr>
            <w:r w:rsidRPr="000834AD">
              <w:rPr>
                <w:sz w:val="20"/>
                <w:szCs w:val="20"/>
              </w:rPr>
              <w:t>–</w:t>
            </w:r>
          </w:p>
        </w:tc>
        <w:tc>
          <w:tcPr>
            <w:tcW w:w="435" w:type="pct"/>
          </w:tcPr>
          <w:p w14:paraId="38D1275F"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53" w:type="pct"/>
          </w:tcPr>
          <w:p w14:paraId="4AE03A15" w14:textId="77777777" w:rsidR="004151AE" w:rsidRPr="000834AD" w:rsidRDefault="004151AE" w:rsidP="000834AD">
            <w:pPr>
              <w:pStyle w:val="Tabletext"/>
              <w:ind w:left="0" w:right="0"/>
              <w:jc w:val="center"/>
              <w:rPr>
                <w:sz w:val="20"/>
                <w:szCs w:val="20"/>
              </w:rPr>
            </w:pPr>
            <w:r w:rsidRPr="000834AD">
              <w:rPr>
                <w:sz w:val="20"/>
                <w:szCs w:val="20"/>
              </w:rPr>
              <w:sym w:font="Wingdings" w:char="F0FC"/>
            </w:r>
            <w:r w:rsidRPr="000834AD">
              <w:rPr>
                <w:sz w:val="20"/>
                <w:szCs w:val="20"/>
              </w:rPr>
              <w:t xml:space="preserve"> ‡</w:t>
            </w:r>
          </w:p>
        </w:tc>
      </w:tr>
      <w:tr w:rsidR="004151AE" w:rsidRPr="000834AD" w14:paraId="25EF9302" w14:textId="77777777" w:rsidTr="000834AD">
        <w:trPr>
          <w:trHeight w:val="789"/>
        </w:trPr>
        <w:tc>
          <w:tcPr>
            <w:tcW w:w="701" w:type="pct"/>
          </w:tcPr>
          <w:p w14:paraId="6B9F2F24" w14:textId="77777777" w:rsidR="004151AE" w:rsidRPr="000834AD" w:rsidRDefault="004151AE" w:rsidP="000834AD">
            <w:pPr>
              <w:pStyle w:val="Tabletext"/>
              <w:ind w:left="0" w:right="0"/>
              <w:rPr>
                <w:b/>
                <w:sz w:val="20"/>
                <w:szCs w:val="20"/>
              </w:rPr>
            </w:pPr>
            <w:r w:rsidRPr="000834AD">
              <w:rPr>
                <w:b/>
                <w:sz w:val="20"/>
                <w:szCs w:val="20"/>
              </w:rPr>
              <w:t>Important potential risks</w:t>
            </w:r>
          </w:p>
        </w:tc>
        <w:tc>
          <w:tcPr>
            <w:tcW w:w="2323" w:type="pct"/>
          </w:tcPr>
          <w:p w14:paraId="54E06EB0" w14:textId="77777777" w:rsidR="004151AE" w:rsidRPr="000834AD" w:rsidRDefault="004151AE" w:rsidP="000834AD">
            <w:pPr>
              <w:pStyle w:val="Tabletext"/>
              <w:ind w:left="0" w:right="0"/>
              <w:rPr>
                <w:sz w:val="20"/>
                <w:szCs w:val="20"/>
              </w:rPr>
            </w:pPr>
            <w:r w:rsidRPr="000834AD">
              <w:rPr>
                <w:sz w:val="20"/>
                <w:szCs w:val="20"/>
              </w:rPr>
              <w:t>Serious hypersensitivity reactions</w:t>
            </w:r>
          </w:p>
        </w:tc>
        <w:tc>
          <w:tcPr>
            <w:tcW w:w="449" w:type="pct"/>
          </w:tcPr>
          <w:p w14:paraId="41034475" w14:textId="17F7F2E3" w:rsidR="004151AE" w:rsidRPr="000834AD" w:rsidRDefault="004151AE" w:rsidP="00B223EF">
            <w:pPr>
              <w:pStyle w:val="Tabletext"/>
              <w:ind w:left="0" w:right="0"/>
              <w:jc w:val="center"/>
              <w:rPr>
                <w:sz w:val="20"/>
                <w:szCs w:val="20"/>
              </w:rPr>
            </w:pPr>
            <w:r w:rsidRPr="000834AD">
              <w:rPr>
                <w:sz w:val="20"/>
                <w:szCs w:val="20"/>
              </w:rPr>
              <w:sym w:font="Wingdings" w:char="F0FC"/>
            </w:r>
            <w:r w:rsidRPr="000834AD">
              <w:rPr>
                <w:sz w:val="20"/>
                <w:szCs w:val="20"/>
              </w:rPr>
              <w:t>* †</w:t>
            </w:r>
          </w:p>
        </w:tc>
        <w:tc>
          <w:tcPr>
            <w:tcW w:w="539" w:type="pct"/>
          </w:tcPr>
          <w:p w14:paraId="35661346" w14:textId="77777777" w:rsidR="004151AE" w:rsidRPr="000834AD" w:rsidRDefault="004151AE" w:rsidP="000834AD">
            <w:pPr>
              <w:pStyle w:val="Tabletext"/>
              <w:ind w:left="0" w:right="0"/>
              <w:jc w:val="center"/>
              <w:rPr>
                <w:sz w:val="20"/>
                <w:szCs w:val="20"/>
              </w:rPr>
            </w:pPr>
            <w:r w:rsidRPr="000834AD">
              <w:rPr>
                <w:sz w:val="20"/>
                <w:szCs w:val="20"/>
              </w:rPr>
              <w:t>–</w:t>
            </w:r>
          </w:p>
        </w:tc>
        <w:tc>
          <w:tcPr>
            <w:tcW w:w="435" w:type="pct"/>
          </w:tcPr>
          <w:p w14:paraId="27FE24F2"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53" w:type="pct"/>
          </w:tcPr>
          <w:p w14:paraId="5BDC1A73" w14:textId="77777777" w:rsidR="004151AE" w:rsidRPr="000834AD" w:rsidRDefault="004151AE" w:rsidP="000834AD">
            <w:pPr>
              <w:pStyle w:val="Tabletext"/>
              <w:ind w:left="0" w:right="0"/>
              <w:jc w:val="center"/>
              <w:rPr>
                <w:sz w:val="20"/>
                <w:szCs w:val="20"/>
              </w:rPr>
            </w:pPr>
            <w:r w:rsidRPr="000834AD">
              <w:rPr>
                <w:sz w:val="20"/>
                <w:szCs w:val="20"/>
              </w:rPr>
              <w:t>–</w:t>
            </w:r>
          </w:p>
        </w:tc>
      </w:tr>
      <w:tr w:rsidR="004151AE" w:rsidRPr="000834AD" w14:paraId="166272EC" w14:textId="77777777" w:rsidTr="000834AD">
        <w:trPr>
          <w:trHeight w:val="178"/>
        </w:trPr>
        <w:tc>
          <w:tcPr>
            <w:tcW w:w="701" w:type="pct"/>
            <w:vMerge w:val="restart"/>
          </w:tcPr>
          <w:p w14:paraId="72E77669" w14:textId="77777777" w:rsidR="004151AE" w:rsidRPr="000834AD" w:rsidRDefault="004151AE" w:rsidP="000834AD">
            <w:pPr>
              <w:pStyle w:val="Tabletext"/>
              <w:ind w:left="0" w:right="0"/>
              <w:rPr>
                <w:b/>
                <w:sz w:val="20"/>
                <w:szCs w:val="20"/>
              </w:rPr>
            </w:pPr>
            <w:r w:rsidRPr="000834AD">
              <w:rPr>
                <w:b/>
                <w:sz w:val="20"/>
                <w:szCs w:val="20"/>
              </w:rPr>
              <w:t>Missing information</w:t>
            </w:r>
          </w:p>
        </w:tc>
        <w:tc>
          <w:tcPr>
            <w:tcW w:w="2323" w:type="pct"/>
          </w:tcPr>
          <w:p w14:paraId="34B68D4F" w14:textId="77777777" w:rsidR="004151AE" w:rsidRPr="000834AD" w:rsidRDefault="004151AE" w:rsidP="000834AD">
            <w:pPr>
              <w:pStyle w:val="Tabletext"/>
              <w:ind w:left="0" w:right="0"/>
              <w:rPr>
                <w:sz w:val="20"/>
                <w:szCs w:val="20"/>
              </w:rPr>
            </w:pPr>
            <w:r w:rsidRPr="000834AD">
              <w:rPr>
                <w:sz w:val="20"/>
                <w:szCs w:val="20"/>
              </w:rPr>
              <w:t>Use in pregnancy and lactation</w:t>
            </w:r>
          </w:p>
        </w:tc>
        <w:tc>
          <w:tcPr>
            <w:tcW w:w="449" w:type="pct"/>
          </w:tcPr>
          <w:p w14:paraId="5A57F095" w14:textId="77777777" w:rsidR="004151AE" w:rsidRPr="000834AD" w:rsidRDefault="004151AE" w:rsidP="000834AD">
            <w:pPr>
              <w:pStyle w:val="Tabletext"/>
              <w:ind w:left="0" w:right="0"/>
              <w:jc w:val="center"/>
              <w:rPr>
                <w:sz w:val="20"/>
                <w:szCs w:val="20"/>
              </w:rPr>
            </w:pPr>
            <w:r w:rsidRPr="000834AD">
              <w:rPr>
                <w:sz w:val="20"/>
                <w:szCs w:val="20"/>
              </w:rPr>
              <w:sym w:font="Wingdings" w:char="F0FC"/>
            </w:r>
            <w:r w:rsidRPr="000834AD">
              <w:rPr>
                <w:sz w:val="20"/>
                <w:szCs w:val="20"/>
              </w:rPr>
              <w:t xml:space="preserve"> *</w:t>
            </w:r>
          </w:p>
        </w:tc>
        <w:tc>
          <w:tcPr>
            <w:tcW w:w="539" w:type="pct"/>
          </w:tcPr>
          <w:p w14:paraId="7AB558A5" w14:textId="77777777" w:rsidR="004151AE" w:rsidRPr="000834AD" w:rsidRDefault="004151AE" w:rsidP="000834AD">
            <w:pPr>
              <w:pStyle w:val="Tabletext"/>
              <w:ind w:left="0" w:right="0"/>
              <w:jc w:val="center"/>
              <w:rPr>
                <w:sz w:val="20"/>
                <w:szCs w:val="20"/>
              </w:rPr>
            </w:pPr>
            <w:r w:rsidRPr="000834AD">
              <w:rPr>
                <w:sz w:val="20"/>
                <w:szCs w:val="20"/>
              </w:rPr>
              <w:t>–</w:t>
            </w:r>
          </w:p>
        </w:tc>
        <w:tc>
          <w:tcPr>
            <w:tcW w:w="435" w:type="pct"/>
          </w:tcPr>
          <w:p w14:paraId="1A16ADF3"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53" w:type="pct"/>
          </w:tcPr>
          <w:p w14:paraId="731C0E6D" w14:textId="77777777" w:rsidR="004151AE" w:rsidRPr="000834AD" w:rsidRDefault="004151AE" w:rsidP="000834AD">
            <w:pPr>
              <w:pStyle w:val="Tabletext"/>
              <w:ind w:left="0" w:right="0"/>
              <w:jc w:val="center"/>
              <w:rPr>
                <w:sz w:val="20"/>
                <w:szCs w:val="20"/>
              </w:rPr>
            </w:pPr>
            <w:r w:rsidRPr="000834AD">
              <w:rPr>
                <w:sz w:val="20"/>
                <w:szCs w:val="20"/>
              </w:rPr>
              <w:t>–</w:t>
            </w:r>
          </w:p>
        </w:tc>
      </w:tr>
      <w:tr w:rsidR="004151AE" w:rsidRPr="000834AD" w14:paraId="1F0E446E" w14:textId="77777777" w:rsidTr="000834AD">
        <w:trPr>
          <w:trHeight w:val="103"/>
        </w:trPr>
        <w:tc>
          <w:tcPr>
            <w:tcW w:w="701" w:type="pct"/>
            <w:vMerge/>
          </w:tcPr>
          <w:p w14:paraId="59DF7D02" w14:textId="77777777" w:rsidR="004151AE" w:rsidRPr="000834AD" w:rsidRDefault="004151AE" w:rsidP="000834AD">
            <w:pPr>
              <w:pStyle w:val="Tabletext"/>
              <w:ind w:left="0" w:right="0"/>
              <w:rPr>
                <w:sz w:val="20"/>
                <w:szCs w:val="20"/>
              </w:rPr>
            </w:pPr>
          </w:p>
        </w:tc>
        <w:tc>
          <w:tcPr>
            <w:tcW w:w="2323" w:type="pct"/>
          </w:tcPr>
          <w:p w14:paraId="6DCB952F" w14:textId="77777777" w:rsidR="004151AE" w:rsidRPr="000834AD" w:rsidRDefault="004151AE" w:rsidP="000834AD">
            <w:pPr>
              <w:pStyle w:val="Tabletext"/>
              <w:ind w:left="0" w:right="0"/>
              <w:rPr>
                <w:sz w:val="20"/>
                <w:szCs w:val="20"/>
              </w:rPr>
            </w:pPr>
            <w:r w:rsidRPr="000834AD">
              <w:rPr>
                <w:sz w:val="20"/>
                <w:szCs w:val="20"/>
              </w:rPr>
              <w:t>Use in patients with severe hepatic impairment</w:t>
            </w:r>
          </w:p>
        </w:tc>
        <w:tc>
          <w:tcPr>
            <w:tcW w:w="449" w:type="pct"/>
          </w:tcPr>
          <w:p w14:paraId="362715A6"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39" w:type="pct"/>
          </w:tcPr>
          <w:p w14:paraId="14765899" w14:textId="77777777" w:rsidR="004151AE" w:rsidRPr="000834AD" w:rsidRDefault="004151AE" w:rsidP="000834AD">
            <w:pPr>
              <w:pStyle w:val="Tabletext"/>
              <w:ind w:left="0" w:right="0"/>
              <w:jc w:val="center"/>
              <w:rPr>
                <w:sz w:val="20"/>
                <w:szCs w:val="20"/>
              </w:rPr>
            </w:pPr>
          </w:p>
        </w:tc>
        <w:tc>
          <w:tcPr>
            <w:tcW w:w="435" w:type="pct"/>
          </w:tcPr>
          <w:p w14:paraId="1B31B083"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53" w:type="pct"/>
          </w:tcPr>
          <w:p w14:paraId="5C4D5DA4" w14:textId="77777777" w:rsidR="004151AE" w:rsidRPr="000834AD" w:rsidRDefault="004151AE" w:rsidP="000834AD">
            <w:pPr>
              <w:pStyle w:val="Tabletext"/>
              <w:ind w:left="0" w:right="0"/>
              <w:jc w:val="center"/>
              <w:rPr>
                <w:sz w:val="20"/>
                <w:szCs w:val="20"/>
              </w:rPr>
            </w:pPr>
            <w:r w:rsidRPr="000834AD">
              <w:rPr>
                <w:sz w:val="20"/>
                <w:szCs w:val="20"/>
              </w:rPr>
              <w:t>–</w:t>
            </w:r>
          </w:p>
        </w:tc>
      </w:tr>
      <w:tr w:rsidR="004151AE" w:rsidRPr="000834AD" w14:paraId="750D893B" w14:textId="77777777" w:rsidTr="000834AD">
        <w:trPr>
          <w:trHeight w:val="140"/>
        </w:trPr>
        <w:tc>
          <w:tcPr>
            <w:tcW w:w="701" w:type="pct"/>
            <w:vMerge/>
          </w:tcPr>
          <w:p w14:paraId="0164005D" w14:textId="77777777" w:rsidR="004151AE" w:rsidRPr="000834AD" w:rsidRDefault="004151AE" w:rsidP="000834AD">
            <w:pPr>
              <w:pStyle w:val="Tabletext"/>
              <w:ind w:left="0" w:right="0"/>
              <w:rPr>
                <w:sz w:val="20"/>
                <w:szCs w:val="20"/>
              </w:rPr>
            </w:pPr>
          </w:p>
        </w:tc>
        <w:tc>
          <w:tcPr>
            <w:tcW w:w="2323" w:type="pct"/>
          </w:tcPr>
          <w:p w14:paraId="746E9F70" w14:textId="77777777" w:rsidR="004151AE" w:rsidRPr="000834AD" w:rsidRDefault="004151AE" w:rsidP="000834AD">
            <w:pPr>
              <w:pStyle w:val="Tabletext"/>
              <w:ind w:left="0" w:right="0"/>
              <w:rPr>
                <w:sz w:val="20"/>
                <w:szCs w:val="20"/>
              </w:rPr>
            </w:pPr>
            <w:r w:rsidRPr="000834AD">
              <w:rPr>
                <w:sz w:val="20"/>
                <w:szCs w:val="20"/>
              </w:rPr>
              <w:t>Long term exposure, including immunogenicity</w:t>
            </w:r>
          </w:p>
        </w:tc>
        <w:tc>
          <w:tcPr>
            <w:tcW w:w="449" w:type="pct"/>
          </w:tcPr>
          <w:p w14:paraId="52E7799C" w14:textId="77777777" w:rsidR="004151AE" w:rsidRPr="000834AD" w:rsidRDefault="004151AE" w:rsidP="000834AD">
            <w:pPr>
              <w:pStyle w:val="Tabletext"/>
              <w:ind w:left="0" w:right="0"/>
              <w:jc w:val="center"/>
              <w:rPr>
                <w:sz w:val="20"/>
                <w:szCs w:val="20"/>
              </w:rPr>
            </w:pPr>
            <w:r w:rsidRPr="000834AD">
              <w:rPr>
                <w:sz w:val="20"/>
                <w:szCs w:val="20"/>
              </w:rPr>
              <w:sym w:font="Wingdings" w:char="F0FC"/>
            </w:r>
            <w:r w:rsidRPr="000834AD">
              <w:rPr>
                <w:sz w:val="20"/>
                <w:szCs w:val="20"/>
              </w:rPr>
              <w:t xml:space="preserve"> †</w:t>
            </w:r>
          </w:p>
        </w:tc>
        <w:tc>
          <w:tcPr>
            <w:tcW w:w="539" w:type="pct"/>
          </w:tcPr>
          <w:p w14:paraId="153126AC" w14:textId="77777777" w:rsidR="004151AE" w:rsidRPr="000834AD" w:rsidRDefault="004151AE" w:rsidP="000834AD">
            <w:pPr>
              <w:pStyle w:val="Tabletext"/>
              <w:ind w:left="0" w:right="0"/>
              <w:jc w:val="center"/>
              <w:rPr>
                <w:sz w:val="20"/>
                <w:szCs w:val="20"/>
              </w:rPr>
            </w:pPr>
            <w:r w:rsidRPr="000834AD">
              <w:rPr>
                <w:sz w:val="20"/>
                <w:szCs w:val="20"/>
              </w:rPr>
              <w:t>–</w:t>
            </w:r>
          </w:p>
        </w:tc>
        <w:tc>
          <w:tcPr>
            <w:tcW w:w="435" w:type="pct"/>
          </w:tcPr>
          <w:p w14:paraId="19A55586" w14:textId="77777777" w:rsidR="004151AE" w:rsidRPr="000834AD" w:rsidRDefault="004151AE" w:rsidP="000834AD">
            <w:pPr>
              <w:pStyle w:val="Tabletext"/>
              <w:ind w:left="0" w:right="0"/>
              <w:jc w:val="center"/>
              <w:rPr>
                <w:sz w:val="20"/>
                <w:szCs w:val="20"/>
              </w:rPr>
            </w:pPr>
            <w:r w:rsidRPr="000834AD">
              <w:rPr>
                <w:sz w:val="20"/>
                <w:szCs w:val="20"/>
              </w:rPr>
              <w:sym w:font="Wingdings" w:char="F0FC"/>
            </w:r>
          </w:p>
        </w:tc>
        <w:tc>
          <w:tcPr>
            <w:tcW w:w="553" w:type="pct"/>
          </w:tcPr>
          <w:p w14:paraId="76CEC2A1" w14:textId="77777777" w:rsidR="004151AE" w:rsidRPr="000834AD" w:rsidRDefault="004151AE" w:rsidP="000834AD">
            <w:pPr>
              <w:pStyle w:val="Tabletext"/>
              <w:ind w:left="0" w:right="0"/>
              <w:jc w:val="center"/>
              <w:rPr>
                <w:sz w:val="20"/>
                <w:szCs w:val="20"/>
              </w:rPr>
            </w:pPr>
            <w:r w:rsidRPr="000834AD">
              <w:rPr>
                <w:sz w:val="20"/>
                <w:szCs w:val="20"/>
              </w:rPr>
              <w:t>–</w:t>
            </w:r>
          </w:p>
        </w:tc>
      </w:tr>
    </w:tbl>
    <w:p w14:paraId="23568842" w14:textId="77777777" w:rsidR="004151AE" w:rsidRDefault="004151AE" w:rsidP="004151AE">
      <w:pPr>
        <w:pStyle w:val="TableDescription"/>
      </w:pPr>
      <w:r w:rsidRPr="003B15D6">
        <w:t>* Follow-up questionnaire</w:t>
      </w:r>
      <w:r>
        <w:t xml:space="preserve">. </w:t>
      </w:r>
      <w:r w:rsidRPr="003B15D6">
        <w:rPr>
          <w:rFonts w:asciiTheme="majorHAnsi" w:hAnsiTheme="majorHAnsi"/>
        </w:rPr>
        <w:t>†</w:t>
      </w:r>
      <w:r>
        <w:rPr>
          <w:rFonts w:asciiTheme="majorHAnsi" w:hAnsiTheme="majorHAnsi"/>
        </w:rPr>
        <w:t xml:space="preserve"> </w:t>
      </w:r>
      <w:r w:rsidRPr="003B15D6">
        <w:t>Clinical trial</w:t>
      </w:r>
      <w:r>
        <w:t xml:space="preserve">. </w:t>
      </w:r>
      <w:r w:rsidRPr="003B15D6">
        <w:t>‡ Patient alert card</w:t>
      </w:r>
      <w:r>
        <w:t>.</w:t>
      </w:r>
    </w:p>
    <w:p w14:paraId="68493D76" w14:textId="77882AC4" w:rsidR="004151AE" w:rsidRDefault="004151AE" w:rsidP="000834AD">
      <w:r>
        <w:t xml:space="preserve">The RMP evaluator has noted that </w:t>
      </w:r>
      <w:r w:rsidR="000834AD">
        <w:t xml:space="preserve">Study </w:t>
      </w:r>
      <w:r>
        <w:t xml:space="preserve">ALX0681-C302 </w:t>
      </w:r>
      <w:proofErr w:type="gramStart"/>
      <w:r>
        <w:t>will be completed</w:t>
      </w:r>
      <w:proofErr w:type="gramEnd"/>
      <w:r>
        <w:t xml:space="preserve"> in 2022 and recommends that this be made a</w:t>
      </w:r>
      <w:r w:rsidR="000834AD">
        <w:t xml:space="preserve">vailable for assessment by </w:t>
      </w:r>
      <w:r w:rsidR="001A4083">
        <w:t xml:space="preserve">the </w:t>
      </w:r>
      <w:r w:rsidR="000834AD">
        <w:t>TGA.</w:t>
      </w:r>
    </w:p>
    <w:p w14:paraId="5CC7D585" w14:textId="0A9EDBD8" w:rsidR="004151AE" w:rsidRDefault="004151AE" w:rsidP="000834AD">
      <w:r>
        <w:lastRenderedPageBreak/>
        <w:t xml:space="preserve">The RMP evaluator has noted that a </w:t>
      </w:r>
      <w:r w:rsidR="001A4083">
        <w:t>P</w:t>
      </w:r>
      <w:r w:rsidR="00127A56">
        <w:t xml:space="preserve">atient </w:t>
      </w:r>
      <w:r w:rsidR="001A4083">
        <w:t>A</w:t>
      </w:r>
      <w:r w:rsidR="00127A56">
        <w:t xml:space="preserve">lert </w:t>
      </w:r>
      <w:r w:rsidR="001A4083">
        <w:t>C</w:t>
      </w:r>
      <w:r w:rsidR="00127A56">
        <w:t xml:space="preserve">ard </w:t>
      </w:r>
      <w:r>
        <w:t xml:space="preserve">could be considered advising to correct haemostasis with </w:t>
      </w:r>
      <w:proofErr w:type="spellStart"/>
      <w:r>
        <w:t>vWF</w:t>
      </w:r>
      <w:proofErr w:type="spellEnd"/>
      <w:r>
        <w:t xml:space="preserve"> in an </w:t>
      </w:r>
      <w:proofErr w:type="gramStart"/>
      <w:r>
        <w:t>emergency situation</w:t>
      </w:r>
      <w:proofErr w:type="gramEnd"/>
      <w:r>
        <w:t xml:space="preserve">. However, </w:t>
      </w:r>
      <w:proofErr w:type="spellStart"/>
      <w:r>
        <w:t>vWF</w:t>
      </w:r>
      <w:proofErr w:type="spellEnd"/>
      <w:r>
        <w:t xml:space="preserve"> </w:t>
      </w:r>
      <w:proofErr w:type="gramStart"/>
      <w:r>
        <w:t>is only registered</w:t>
      </w:r>
      <w:proofErr w:type="gramEnd"/>
      <w:r>
        <w:t xml:space="preserve"> in Australia as part of a fixed combination product with Factor VIII.</w:t>
      </w:r>
    </w:p>
    <w:p w14:paraId="7957409B" w14:textId="77777777" w:rsidR="008E7846" w:rsidRDefault="00AA0ED0" w:rsidP="008E7846">
      <w:pPr>
        <w:pStyle w:val="Heading3"/>
      </w:pPr>
      <w:bookmarkStart w:id="45" w:name="_Toc247691531"/>
      <w:bookmarkStart w:id="46" w:name="_Toc314842515"/>
      <w:bookmarkStart w:id="47" w:name="_Toc39569380"/>
      <w:bookmarkStart w:id="48" w:name="_Toc196046505"/>
      <w:bookmarkStart w:id="49" w:name="_Toc196046949"/>
      <w:r>
        <w:t>Risk-benefit a</w:t>
      </w:r>
      <w:r w:rsidR="008E7846">
        <w:t>nalysis</w:t>
      </w:r>
      <w:bookmarkEnd w:id="45"/>
      <w:bookmarkEnd w:id="46"/>
      <w:bookmarkEnd w:id="47"/>
    </w:p>
    <w:p w14:paraId="23566CBA" w14:textId="0BAC400B" w:rsidR="00D23139" w:rsidRDefault="000834AD" w:rsidP="00D23139">
      <w:pPr>
        <w:pStyle w:val="Heading4"/>
      </w:pPr>
      <w:r>
        <w:t>Delegate’s considerations</w:t>
      </w:r>
    </w:p>
    <w:p w14:paraId="4595DD22" w14:textId="60A1D6FF" w:rsidR="004151AE" w:rsidRDefault="004151AE" w:rsidP="00B223EF">
      <w:r>
        <w:t xml:space="preserve">The EMA </w:t>
      </w:r>
      <w:r w:rsidR="000834AD">
        <w:t xml:space="preserve">has noted that data from </w:t>
      </w:r>
      <w:r w:rsidR="00127A56">
        <w:t xml:space="preserve">the </w:t>
      </w:r>
      <w:r w:rsidR="000834AD">
        <w:t xml:space="preserve">TITAN </w:t>
      </w:r>
      <w:r w:rsidR="00127A56">
        <w:t xml:space="preserve">trial </w:t>
      </w:r>
      <w:r w:rsidR="000834AD">
        <w:t>‘</w:t>
      </w:r>
      <w:r>
        <w:t xml:space="preserve">were not considered adequate to be reflected in the </w:t>
      </w:r>
      <w:r w:rsidR="001A4083">
        <w:t>P</w:t>
      </w:r>
      <w:r>
        <w:t xml:space="preserve">roduct </w:t>
      </w:r>
      <w:r w:rsidR="001A4083">
        <w:t>I</w:t>
      </w:r>
      <w:r>
        <w:t>nformation due to many limitations with r</w:t>
      </w:r>
      <w:r w:rsidR="000834AD">
        <w:t>egards the conduct of the study’</w:t>
      </w:r>
      <w:r>
        <w:t>.</w:t>
      </w:r>
      <w:r w:rsidR="000834AD">
        <w:rPr>
          <w:rStyle w:val="FootnoteReference"/>
        </w:rPr>
        <w:footnoteReference w:id="6"/>
      </w:r>
      <w:r>
        <w:t xml:space="preserve"> Methodological issues included several amendments to the protocol, and 75</w:t>
      </w:r>
      <w:r w:rsidR="001A4083">
        <w:t> </w:t>
      </w:r>
      <w:r>
        <w:t xml:space="preserve">patients </w:t>
      </w:r>
      <w:proofErr w:type="gramStart"/>
      <w:r>
        <w:t>being randomised</w:t>
      </w:r>
      <w:proofErr w:type="gramEnd"/>
      <w:r>
        <w:t xml:space="preserve"> without follow-up. The Delegate has therefore based </w:t>
      </w:r>
      <w:r w:rsidR="00127A56">
        <w:t>their</w:t>
      </w:r>
      <w:r>
        <w:t xml:space="preserve"> views regarding efficacy on </w:t>
      </w:r>
      <w:r w:rsidR="00127A56">
        <w:t xml:space="preserve">the </w:t>
      </w:r>
      <w:r>
        <w:t>HERCULES</w:t>
      </w:r>
      <w:r w:rsidR="00127A56">
        <w:t xml:space="preserve"> trial</w:t>
      </w:r>
      <w:r>
        <w:t>.</w:t>
      </w:r>
    </w:p>
    <w:p w14:paraId="215138B8" w14:textId="598EA561" w:rsidR="004151AE" w:rsidRDefault="00127A56" w:rsidP="004151AE">
      <w:r>
        <w:t xml:space="preserve">The </w:t>
      </w:r>
      <w:r w:rsidR="004151AE">
        <w:t xml:space="preserve">HERCULES </w:t>
      </w:r>
      <w:r>
        <w:t xml:space="preserve">trial </w:t>
      </w:r>
      <w:r w:rsidR="004151AE">
        <w:t xml:space="preserve">provides evidence of a shortening of the time required to achieve a confirmed platelet response in </w:t>
      </w:r>
      <w:proofErr w:type="spellStart"/>
      <w:r w:rsidR="004151AE">
        <w:t>caplacizumab</w:t>
      </w:r>
      <w:proofErr w:type="spellEnd"/>
      <w:r w:rsidR="004151AE">
        <w:t xml:space="preserve"> treated patients compared to those who received standard care. </w:t>
      </w:r>
      <w:r>
        <w:t xml:space="preserve">It </w:t>
      </w:r>
      <w:proofErr w:type="gramStart"/>
      <w:r>
        <w:t>was</w:t>
      </w:r>
      <w:r w:rsidR="004151AE">
        <w:t xml:space="preserve"> noted</w:t>
      </w:r>
      <w:proofErr w:type="gramEnd"/>
      <w:r w:rsidR="004151AE">
        <w:t xml:space="preserve"> that while the difference in the median-time to platelet response was relatively small between the two arms, this is not indicative of therapeutic response. This is because, as </w:t>
      </w:r>
      <w:r>
        <w:fldChar w:fldCharType="begin"/>
      </w:r>
      <w:r>
        <w:instrText xml:space="preserve"> REF _Ref37879029 \h </w:instrText>
      </w:r>
      <w:r>
        <w:fldChar w:fldCharType="separate"/>
      </w:r>
      <w:r>
        <w:t xml:space="preserve">Figure </w:t>
      </w:r>
      <w:r>
        <w:rPr>
          <w:noProof/>
        </w:rPr>
        <w:t>5</w:t>
      </w:r>
      <w:r>
        <w:fldChar w:fldCharType="end"/>
      </w:r>
      <w:r w:rsidR="00A25053">
        <w:t xml:space="preserve"> (above)</w:t>
      </w:r>
      <w:r>
        <w:t xml:space="preserve"> </w:t>
      </w:r>
      <w:r w:rsidR="004151AE">
        <w:t xml:space="preserve">demonstrates, approximately 50% of patients achieved similar platelet response rates whether treated with </w:t>
      </w:r>
      <w:proofErr w:type="spellStart"/>
      <w:r w:rsidR="004151AE">
        <w:t>caplacizumab</w:t>
      </w:r>
      <w:proofErr w:type="spellEnd"/>
      <w:r w:rsidR="004151AE">
        <w:t xml:space="preserve"> or standard care. The </w:t>
      </w:r>
      <w:proofErr w:type="gramStart"/>
      <w:r w:rsidR="004151AE">
        <w:t xml:space="preserve">difference in the two arms is therefore driven by the remaining patients, who achieved more markedly shorter platelet response rates on </w:t>
      </w:r>
      <w:proofErr w:type="spellStart"/>
      <w:r w:rsidR="004151AE">
        <w:t>caplacizumab</w:t>
      </w:r>
      <w:proofErr w:type="spellEnd"/>
      <w:r w:rsidR="004151AE">
        <w:t xml:space="preserve"> than with standard care</w:t>
      </w:r>
      <w:proofErr w:type="gramEnd"/>
      <w:r w:rsidR="004151AE">
        <w:t>. Since the majority of deaths occur in this stage of therapy, the Delegate concurs tha</w:t>
      </w:r>
      <w:r>
        <w:t>t this is a significant effect.</w:t>
      </w:r>
    </w:p>
    <w:p w14:paraId="43F9BCBE" w14:textId="7284BFC0" w:rsidR="004151AE" w:rsidRDefault="004151AE" w:rsidP="004151AE">
      <w:r>
        <w:t xml:space="preserve">The Delegate notes that the late separation of the </w:t>
      </w:r>
      <w:r w:rsidR="00127A56">
        <w:t>Kaplan Meier</w:t>
      </w:r>
      <w:r>
        <w:t xml:space="preserve"> curves in </w:t>
      </w:r>
      <w:r w:rsidR="00127A56">
        <w:t xml:space="preserve">the </w:t>
      </w:r>
      <w:r>
        <w:t>HERCULES</w:t>
      </w:r>
      <w:r w:rsidR="00127A56">
        <w:t xml:space="preserve"> trial</w:t>
      </w:r>
      <w:r>
        <w:t xml:space="preserve"> means that it would ideally be possible to avoid using </w:t>
      </w:r>
      <w:proofErr w:type="spellStart"/>
      <w:r>
        <w:t>caplacizumab</w:t>
      </w:r>
      <w:proofErr w:type="spellEnd"/>
      <w:r>
        <w:t xml:space="preserve">, which has potential toxicity, unless needed in ‘late’ non-responders to standard care. The effectiveness of </w:t>
      </w:r>
      <w:proofErr w:type="spellStart"/>
      <w:r>
        <w:t>caplacizumab</w:t>
      </w:r>
      <w:proofErr w:type="spellEnd"/>
      <w:r>
        <w:t xml:space="preserve"> commenced in a </w:t>
      </w:r>
      <w:proofErr w:type="spellStart"/>
      <w:proofErr w:type="gramStart"/>
      <w:r>
        <w:t>non responder</w:t>
      </w:r>
      <w:proofErr w:type="spellEnd"/>
      <w:proofErr w:type="gramEnd"/>
      <w:r>
        <w:t xml:space="preserve"> population cannot be extrapolated from the HERCULES </w:t>
      </w:r>
      <w:r w:rsidR="00127A56">
        <w:t xml:space="preserve">trial </w:t>
      </w:r>
      <w:r>
        <w:t>data but may be useful in optimising use of this medication.</w:t>
      </w:r>
    </w:p>
    <w:p w14:paraId="5ECA8CF4" w14:textId="26E0A0BF" w:rsidR="004151AE" w:rsidRDefault="004151AE" w:rsidP="004151AE">
      <w:r>
        <w:t xml:space="preserve">Treatment with </w:t>
      </w:r>
      <w:proofErr w:type="spellStart"/>
      <w:r>
        <w:t>caplacizumab</w:t>
      </w:r>
      <w:proofErr w:type="spellEnd"/>
      <w:r>
        <w:t xml:space="preserve"> resulted in an apparent reduction in deaths compared to stand</w:t>
      </w:r>
      <w:r w:rsidR="00127A56">
        <w:t xml:space="preserve">ard care, which occurred in </w:t>
      </w:r>
      <w:proofErr w:type="gramStart"/>
      <w:r w:rsidR="00127A56">
        <w:t>3</w:t>
      </w:r>
      <w:proofErr w:type="gramEnd"/>
      <w:r w:rsidR="00127A56">
        <w:t xml:space="preserve"> versus</w:t>
      </w:r>
      <w:r>
        <w:t xml:space="preserve"> 0 patients in each arm of </w:t>
      </w:r>
      <w:r w:rsidR="00127A56">
        <w:t xml:space="preserve">the </w:t>
      </w:r>
      <w:r>
        <w:t>HERCULES</w:t>
      </w:r>
      <w:r w:rsidR="00127A56">
        <w:t xml:space="preserve"> trial,</w:t>
      </w:r>
      <w:r>
        <w:t xml:space="preserve"> respectively. There is also superiority for </w:t>
      </w:r>
      <w:proofErr w:type="spellStart"/>
      <w:r>
        <w:t>caplacizumab</w:t>
      </w:r>
      <w:proofErr w:type="spellEnd"/>
      <w:r>
        <w:t xml:space="preserve"> in the time to normalisation of key tis</w:t>
      </w:r>
      <w:r w:rsidR="00127A56">
        <w:t>sue markers of ischemic damage.</w:t>
      </w:r>
    </w:p>
    <w:p w14:paraId="1B8E54DE" w14:textId="2BCCB62A" w:rsidR="004151AE" w:rsidRDefault="004151AE" w:rsidP="004151AE">
      <w:r>
        <w:t xml:space="preserve">The most common adverse reactions from </w:t>
      </w:r>
      <w:proofErr w:type="spellStart"/>
      <w:r>
        <w:t>caplacizumab</w:t>
      </w:r>
      <w:proofErr w:type="spellEnd"/>
      <w:r>
        <w:t xml:space="preserve"> relate to bleeding. This is </w:t>
      </w:r>
      <w:proofErr w:type="gramStart"/>
      <w:r>
        <w:t>not unexpected</w:t>
      </w:r>
      <w:proofErr w:type="gramEnd"/>
      <w:r>
        <w:t xml:space="preserve"> given the anti-coagulant mechanism of </w:t>
      </w:r>
      <w:proofErr w:type="spellStart"/>
      <w:r>
        <w:t>caplacizumab</w:t>
      </w:r>
      <w:proofErr w:type="spellEnd"/>
      <w:r>
        <w:t xml:space="preserve">. </w:t>
      </w:r>
      <w:r w:rsidR="00127A56">
        <w:t xml:space="preserve">It </w:t>
      </w:r>
      <w:proofErr w:type="gramStart"/>
      <w:r w:rsidR="00127A56">
        <w:t>was</w:t>
      </w:r>
      <w:r>
        <w:t xml:space="preserve"> noted</w:t>
      </w:r>
      <w:proofErr w:type="gramEnd"/>
      <w:r>
        <w:t xml:space="preserve"> that, if necessary, </w:t>
      </w:r>
      <w:proofErr w:type="spellStart"/>
      <w:r>
        <w:t>vWF</w:t>
      </w:r>
      <w:proofErr w:type="spellEnd"/>
      <w:r>
        <w:t xml:space="preserve"> could be used to correct haemostasis and has included this as a warning in the </w:t>
      </w:r>
      <w:r w:rsidR="00127A56">
        <w:t>PI</w:t>
      </w:r>
      <w:r>
        <w:t xml:space="preserve">. The Delegate notes the RMP evaluators concerns about a pure </w:t>
      </w:r>
      <w:proofErr w:type="spellStart"/>
      <w:r>
        <w:t>vWF</w:t>
      </w:r>
      <w:proofErr w:type="spellEnd"/>
      <w:r>
        <w:t xml:space="preserve"> factor not being available in Australia but feels this remains useful information in th</w:t>
      </w:r>
      <w:r w:rsidR="00127A56">
        <w:t>e context of expert management.</w:t>
      </w:r>
    </w:p>
    <w:p w14:paraId="3E5A9586" w14:textId="77777777" w:rsidR="004151AE" w:rsidRDefault="004151AE" w:rsidP="00127A56">
      <w:r>
        <w:t>The Delegate notes that the standard care was an appropriate comparator for the Australian context.</w:t>
      </w:r>
    </w:p>
    <w:p w14:paraId="34271D75" w14:textId="21B6C3D2" w:rsidR="004151AE" w:rsidRDefault="00A25053" w:rsidP="00127A56">
      <w:r>
        <w:t>It was noted</w:t>
      </w:r>
      <w:r w:rsidR="004151AE">
        <w:t xml:space="preserve"> a post-hoc analysis of </w:t>
      </w:r>
      <w:r>
        <w:t xml:space="preserve">the </w:t>
      </w:r>
      <w:r w:rsidR="004151AE">
        <w:t xml:space="preserve">TITAN </w:t>
      </w:r>
      <w:r>
        <w:t xml:space="preserve">trial </w:t>
      </w:r>
      <w:r w:rsidR="004151AE">
        <w:t xml:space="preserve">indicated that the majority of those who relapsed in either the </w:t>
      </w:r>
      <w:proofErr w:type="spellStart"/>
      <w:r w:rsidR="004151AE">
        <w:t>caplacizumab</w:t>
      </w:r>
      <w:proofErr w:type="spellEnd"/>
      <w:r w:rsidR="004151AE">
        <w:t xml:space="preserve"> or standard-care arms had ADAMTS13 levels &lt;</w:t>
      </w:r>
      <w:r w:rsidR="00127A56">
        <w:t xml:space="preserve"> </w:t>
      </w:r>
      <w:proofErr w:type="gramStart"/>
      <w:r w:rsidR="004151AE">
        <w:t>10%</w:t>
      </w:r>
      <w:proofErr w:type="gramEnd"/>
      <w:r w:rsidR="004151AE">
        <w:t xml:space="preserve"> at the time of relapse. This suggests that the underlying immunopathology of </w:t>
      </w:r>
      <w:proofErr w:type="spellStart"/>
      <w:r w:rsidR="004151AE">
        <w:t>aTTP</w:t>
      </w:r>
      <w:proofErr w:type="spellEnd"/>
      <w:r w:rsidR="004151AE">
        <w:t xml:space="preserve"> may be still ongoing after treatment ceases, and that it may be worth testing for this prior to ceasing therapy. The Delegate feels that appropriate advice </w:t>
      </w:r>
      <w:proofErr w:type="gramStart"/>
      <w:r w:rsidR="004151AE">
        <w:t>should be provided</w:t>
      </w:r>
      <w:proofErr w:type="gramEnd"/>
      <w:r w:rsidR="004151AE">
        <w:t xml:space="preserve"> in the Dosage and Administration section of the PI.</w:t>
      </w:r>
    </w:p>
    <w:p w14:paraId="5BA1DAEF" w14:textId="00387228" w:rsidR="00456765" w:rsidRPr="00456765" w:rsidRDefault="004151AE" w:rsidP="00127A56">
      <w:r>
        <w:lastRenderedPageBreak/>
        <w:t xml:space="preserve">The Delegate agrees that a </w:t>
      </w:r>
      <w:r w:rsidR="001A4083">
        <w:t>P</w:t>
      </w:r>
      <w:r>
        <w:t xml:space="preserve">atient </w:t>
      </w:r>
      <w:r w:rsidR="001A4083">
        <w:t>A</w:t>
      </w:r>
      <w:r>
        <w:t xml:space="preserve">lert </w:t>
      </w:r>
      <w:r w:rsidR="001A4083">
        <w:t>C</w:t>
      </w:r>
      <w:r>
        <w:t>ar</w:t>
      </w:r>
      <w:r w:rsidR="00127A56">
        <w:t>d may be useful, and notes the s</w:t>
      </w:r>
      <w:r>
        <w:t>ponsor intends to provide this. However</w:t>
      </w:r>
      <w:r w:rsidR="00127A56">
        <w:t>,</w:t>
      </w:r>
      <w:r>
        <w:t xml:space="preserve"> the primary requirement for safety is that patients </w:t>
      </w:r>
      <w:proofErr w:type="gramStart"/>
      <w:r>
        <w:t>are closely monitored</w:t>
      </w:r>
      <w:proofErr w:type="gramEnd"/>
      <w:r>
        <w:t xml:space="preserve"> for bleeding episodes while on </w:t>
      </w:r>
      <w:proofErr w:type="spellStart"/>
      <w:r>
        <w:t>caplacizumab</w:t>
      </w:r>
      <w:proofErr w:type="spellEnd"/>
      <w:r>
        <w:t xml:space="preserve">. Specific advice </w:t>
      </w:r>
      <w:proofErr w:type="gramStart"/>
      <w:r>
        <w:t>should be provided</w:t>
      </w:r>
      <w:proofErr w:type="gramEnd"/>
      <w:r>
        <w:t xml:space="preserve"> prominently in the </w:t>
      </w:r>
      <w:r w:rsidR="00127A56">
        <w:t>PI</w:t>
      </w:r>
      <w:r>
        <w:t xml:space="preserve"> to this effect.</w:t>
      </w:r>
    </w:p>
    <w:p w14:paraId="6B58DCF6" w14:textId="77777777" w:rsidR="00D23139" w:rsidRDefault="00D23139" w:rsidP="00D23139">
      <w:pPr>
        <w:pStyle w:val="Heading4"/>
      </w:pPr>
      <w:r w:rsidRPr="00D23139">
        <w:t>Proposed action</w:t>
      </w:r>
    </w:p>
    <w:p w14:paraId="6772F810" w14:textId="784030C6" w:rsidR="004151AE" w:rsidRDefault="004151AE" w:rsidP="00127A56">
      <w:r>
        <w:t xml:space="preserve">The Delegate intends to include </w:t>
      </w:r>
      <w:proofErr w:type="spellStart"/>
      <w:r>
        <w:t>caplacizumab</w:t>
      </w:r>
      <w:proofErr w:type="spellEnd"/>
      <w:r>
        <w:t xml:space="preserve"> in the Australian Register of Therapeutic Goods </w:t>
      </w:r>
      <w:r w:rsidR="00127A56">
        <w:t xml:space="preserve">(ARTG) </w:t>
      </w:r>
      <w:r>
        <w:t>with the indication:</w:t>
      </w:r>
    </w:p>
    <w:p w14:paraId="55F90CBE" w14:textId="100FF90B" w:rsidR="004151AE" w:rsidRPr="00127A56" w:rsidRDefault="004151AE" w:rsidP="00127A56">
      <w:pPr>
        <w:ind w:left="720"/>
        <w:rPr>
          <w:i/>
        </w:rPr>
      </w:pPr>
      <w:proofErr w:type="spellStart"/>
      <w:r w:rsidRPr="00127A56">
        <w:rPr>
          <w:i/>
        </w:rPr>
        <w:t>Cablivi</w:t>
      </w:r>
      <w:proofErr w:type="spellEnd"/>
      <w:r w:rsidRPr="00127A56">
        <w:rPr>
          <w:i/>
        </w:rPr>
        <w:t xml:space="preserve"> </w:t>
      </w:r>
      <w:proofErr w:type="gramStart"/>
      <w:r w:rsidRPr="00127A56">
        <w:rPr>
          <w:i/>
        </w:rPr>
        <w:t>is indicated</w:t>
      </w:r>
      <w:proofErr w:type="gramEnd"/>
      <w:r w:rsidRPr="00127A56">
        <w:rPr>
          <w:i/>
        </w:rPr>
        <w:t xml:space="preserve"> for the treatment of adults experiencing an episode of acquired thrombotic thrombocytopenia purpura (</w:t>
      </w:r>
      <w:proofErr w:type="spellStart"/>
      <w:r w:rsidRPr="00127A56">
        <w:rPr>
          <w:i/>
        </w:rPr>
        <w:t>aTTP</w:t>
      </w:r>
      <w:proofErr w:type="spellEnd"/>
      <w:r w:rsidRPr="00127A56">
        <w:rPr>
          <w:i/>
        </w:rPr>
        <w:t>), in conjunction with plasma exchange and immunosuppression.</w:t>
      </w:r>
    </w:p>
    <w:p w14:paraId="70B16433" w14:textId="082D3B67" w:rsidR="004151AE" w:rsidRDefault="004151AE" w:rsidP="00127A56">
      <w:r>
        <w:t xml:space="preserve">A condition of </w:t>
      </w:r>
      <w:r w:rsidR="00127A56">
        <w:t>this registration will be that S</w:t>
      </w:r>
      <w:r>
        <w:t xml:space="preserve">tudy ALX0681-C302 </w:t>
      </w:r>
      <w:proofErr w:type="gramStart"/>
      <w:r>
        <w:t>is provided</w:t>
      </w:r>
      <w:proofErr w:type="gramEnd"/>
      <w:r>
        <w:t xml:space="preserve"> to TGA no later than it is submitted for evaluation t</w:t>
      </w:r>
      <w:r w:rsidR="00127A56">
        <w:t>o EMA, US FDA or Health Canada.</w:t>
      </w:r>
    </w:p>
    <w:p w14:paraId="0FD412FE" w14:textId="60E57E97" w:rsidR="004151AE" w:rsidRDefault="004151AE" w:rsidP="00127A56">
      <w:r>
        <w:t xml:space="preserve">The </w:t>
      </w:r>
      <w:r w:rsidR="00127A56">
        <w:t xml:space="preserve">PI to </w:t>
      </w:r>
      <w:proofErr w:type="gramStart"/>
      <w:r w:rsidR="00127A56">
        <w:t>be</w:t>
      </w:r>
      <w:r>
        <w:t xml:space="preserve"> approved</w:t>
      </w:r>
      <w:proofErr w:type="gramEnd"/>
      <w:r>
        <w:t xml:space="preserve"> with </w:t>
      </w:r>
      <w:proofErr w:type="spellStart"/>
      <w:r>
        <w:t>caplacizumab</w:t>
      </w:r>
      <w:proofErr w:type="spellEnd"/>
      <w:r>
        <w:t xml:space="preserve"> will be ame</w:t>
      </w:r>
      <w:r w:rsidR="00127A56">
        <w:t>nded from that previously provided by the s</w:t>
      </w:r>
      <w:r>
        <w:t>ponsor</w:t>
      </w:r>
      <w:r w:rsidR="00127A56">
        <w:t xml:space="preserve"> as follows:</w:t>
      </w:r>
    </w:p>
    <w:p w14:paraId="728F2DF6" w14:textId="156B959A" w:rsidR="004151AE" w:rsidRDefault="004151AE" w:rsidP="00127A56">
      <w:pPr>
        <w:pStyle w:val="Numberbullet0"/>
      </w:pPr>
      <w:r>
        <w:t xml:space="preserve">The Clinical Trials section will remove all reference to </w:t>
      </w:r>
      <w:r w:rsidR="001A4083">
        <w:t xml:space="preserve">the </w:t>
      </w:r>
      <w:r>
        <w:t>TITAN</w:t>
      </w:r>
      <w:r w:rsidR="001A4083">
        <w:t xml:space="preserve"> trial</w:t>
      </w:r>
      <w:r>
        <w:t xml:space="preserve"> and report the findings of </w:t>
      </w:r>
      <w:r w:rsidR="001A4083">
        <w:t xml:space="preserve">the </w:t>
      </w:r>
      <w:r>
        <w:t>HERCULES</w:t>
      </w:r>
      <w:r w:rsidR="001A4083">
        <w:t xml:space="preserve"> trial</w:t>
      </w:r>
      <w:r>
        <w:t xml:space="preserve">. The description of this trial in the US </w:t>
      </w:r>
      <w:r w:rsidR="006B1444">
        <w:t>Prescribing Information</w:t>
      </w:r>
      <w:r>
        <w:t xml:space="preserve"> </w:t>
      </w:r>
      <w:proofErr w:type="gramStart"/>
      <w:r>
        <w:t>will be closely adhered</w:t>
      </w:r>
      <w:proofErr w:type="gramEnd"/>
      <w:r>
        <w:t xml:space="preserve"> to.</w:t>
      </w:r>
      <w:r w:rsidR="006B1444">
        <w:rPr>
          <w:rStyle w:val="FootnoteReference"/>
        </w:rPr>
        <w:footnoteReference w:id="7"/>
      </w:r>
    </w:p>
    <w:p w14:paraId="1C63B435" w14:textId="1F763BB8" w:rsidR="004151AE" w:rsidRPr="00F34595" w:rsidRDefault="004151AE" w:rsidP="00127A56">
      <w:pPr>
        <w:pStyle w:val="Numberbullet0"/>
      </w:pPr>
      <w:r>
        <w:t xml:space="preserve">Section 4.8 will include a brief description of </w:t>
      </w:r>
      <w:r w:rsidR="001A4083">
        <w:t xml:space="preserve">the </w:t>
      </w:r>
      <w:r>
        <w:t>TITAN</w:t>
      </w:r>
      <w:r w:rsidR="001A4083">
        <w:t xml:space="preserve"> trial</w:t>
      </w:r>
      <w:r>
        <w:t>, without efficacy results, to contextualise the safety data as b</w:t>
      </w:r>
      <w:r w:rsidR="006B1444">
        <w:t>eing a summary of two studies.</w:t>
      </w:r>
    </w:p>
    <w:p w14:paraId="1A87F3E6" w14:textId="17610501" w:rsidR="004151AE" w:rsidRPr="006B1444" w:rsidRDefault="004151AE" w:rsidP="006B1444">
      <w:pPr>
        <w:pStyle w:val="Numberbullet0"/>
      </w:pPr>
      <w:r>
        <w:t xml:space="preserve">The special warnings section on bleeding will include as the first paragraph the statement from the US </w:t>
      </w:r>
      <w:r w:rsidR="006B1444">
        <w:t>Prescribing Information</w:t>
      </w:r>
      <w:r>
        <w:t xml:space="preserve"> (omit</w:t>
      </w:r>
      <w:r w:rsidR="006B1444">
        <w:t>ting reference to S</w:t>
      </w:r>
      <w:r w:rsidR="00127A56">
        <w:t>ection 6.1):</w:t>
      </w:r>
    </w:p>
    <w:p w14:paraId="5FAA9543" w14:textId="4FCC6F3F" w:rsidR="006B1444" w:rsidRDefault="006B1444" w:rsidP="00A25053">
      <w:pPr>
        <w:ind w:left="720"/>
      </w:pPr>
      <w:r>
        <w:t>‘</w:t>
      </w:r>
      <w:proofErr w:type="spellStart"/>
      <w:r w:rsidRPr="006B1444">
        <w:t>Cablivi</w:t>
      </w:r>
      <w:proofErr w:type="spellEnd"/>
      <w:r w:rsidRPr="006B1444">
        <w:t xml:space="preserve"> increases the risk of bleedi</w:t>
      </w:r>
      <w:r>
        <w:t>ng (see Adverse Reactions (6.1))</w:t>
      </w:r>
      <w:r w:rsidRPr="006B1444">
        <w:t xml:space="preserve">. In clinical studies, severe bleeding adverse reactions of epistaxis, gingival bleeding, upper gastrointestinal </w:t>
      </w:r>
      <w:proofErr w:type="spellStart"/>
      <w:r w:rsidRPr="006B1444">
        <w:t>hemorrhage</w:t>
      </w:r>
      <w:proofErr w:type="spellEnd"/>
      <w:r w:rsidRPr="006B1444">
        <w:t xml:space="preserve">, and </w:t>
      </w:r>
      <w:proofErr w:type="spellStart"/>
      <w:r w:rsidRPr="006B1444">
        <w:t>metrorrhagia</w:t>
      </w:r>
      <w:proofErr w:type="spellEnd"/>
      <w:r w:rsidRPr="006B1444">
        <w:t xml:space="preserve"> </w:t>
      </w:r>
      <w:proofErr w:type="gramStart"/>
      <w:r w:rsidRPr="006B1444">
        <w:t>were each reported</w:t>
      </w:r>
      <w:proofErr w:type="gramEnd"/>
      <w:r w:rsidRPr="006B1444">
        <w:t xml:space="preserve"> in 1% of subjects. Overall, bleeding events occurred in approximately 58% of patients on </w:t>
      </w:r>
      <w:proofErr w:type="spellStart"/>
      <w:r w:rsidRPr="006B1444">
        <w:t>Cablivi</w:t>
      </w:r>
      <w:proofErr w:type="spellEnd"/>
      <w:r w:rsidRPr="006B1444">
        <w:t xml:space="preserve"> versus 43% of patients on placebo.</w:t>
      </w:r>
      <w:r>
        <w:t>’</w:t>
      </w:r>
    </w:p>
    <w:p w14:paraId="0029BB5F" w14:textId="2295960F" w:rsidR="00456765" w:rsidRPr="00456765" w:rsidRDefault="004151AE" w:rsidP="006B1444">
      <w:r>
        <w:t>T</w:t>
      </w:r>
      <w:r w:rsidR="00127A56">
        <w:t>he s</w:t>
      </w:r>
      <w:r>
        <w:t xml:space="preserve">ponsor </w:t>
      </w:r>
      <w:proofErr w:type="gramStart"/>
      <w:r>
        <w:t>is requested</w:t>
      </w:r>
      <w:proofErr w:type="gramEnd"/>
      <w:r>
        <w:t xml:space="preserve"> to assist with these amendments by providing an updated </w:t>
      </w:r>
      <w:r w:rsidR="00127A56">
        <w:t>PI</w:t>
      </w:r>
      <w:r>
        <w:t xml:space="preserve"> document.</w:t>
      </w:r>
    </w:p>
    <w:p w14:paraId="5C05CA02" w14:textId="24431129" w:rsidR="008E7846" w:rsidRDefault="008E7846" w:rsidP="008E7846">
      <w:pPr>
        <w:pStyle w:val="Heading4"/>
      </w:pPr>
      <w:r>
        <w:t xml:space="preserve">Advisory Committee </w:t>
      </w:r>
      <w:r w:rsidR="00B223EF">
        <w:t>c</w:t>
      </w:r>
      <w:r>
        <w:t>onsiderations</w:t>
      </w:r>
      <w:r w:rsidR="00456765">
        <w:rPr>
          <w:rStyle w:val="FootnoteReference"/>
        </w:rPr>
        <w:footnoteReference w:id="8"/>
      </w:r>
    </w:p>
    <w:p w14:paraId="652385CB" w14:textId="77777777" w:rsidR="00456765" w:rsidRPr="00A322B3" w:rsidRDefault="00456765" w:rsidP="008E7846">
      <w:r>
        <w:rPr>
          <w:bCs/>
        </w:rPr>
        <w:t>The Delegate did not refer this application to the Advisory Committee on Medicines (ACM) for advice.</w:t>
      </w:r>
    </w:p>
    <w:p w14:paraId="1ED0A785" w14:textId="77777777" w:rsidR="008E7846" w:rsidRPr="002E238E" w:rsidRDefault="008E7846" w:rsidP="008E7846">
      <w:pPr>
        <w:pStyle w:val="Heading3"/>
      </w:pPr>
      <w:bookmarkStart w:id="50" w:name="_Toc247691532"/>
      <w:bookmarkStart w:id="51" w:name="_Toc314842516"/>
      <w:bookmarkStart w:id="52" w:name="_Toc39569381"/>
      <w:bookmarkEnd w:id="30"/>
      <w:bookmarkEnd w:id="48"/>
      <w:bookmarkEnd w:id="49"/>
      <w:r>
        <w:lastRenderedPageBreak/>
        <w:t>Outcome</w:t>
      </w:r>
      <w:bookmarkEnd w:id="50"/>
      <w:bookmarkEnd w:id="51"/>
      <w:bookmarkEnd w:id="52"/>
    </w:p>
    <w:p w14:paraId="45B76CF0" w14:textId="77777777" w:rsidR="00D23139" w:rsidRPr="00D23139" w:rsidRDefault="00D23139" w:rsidP="00D23139">
      <w:bookmarkStart w:id="53" w:name="_Toc247691533"/>
      <w:bookmarkStart w:id="54" w:name="_Toc314842517"/>
      <w:r w:rsidRPr="00D23139">
        <w:t>Based on a review of quality, safety and efficacy, TG</w:t>
      </w:r>
      <w:r w:rsidR="008D297E">
        <w:t xml:space="preserve">A approved the registration of </w:t>
      </w:r>
      <w:proofErr w:type="spellStart"/>
      <w:r w:rsidR="008D297E" w:rsidRPr="001365F3">
        <w:rPr>
          <w:rFonts w:eastAsia="Calibri"/>
        </w:rPr>
        <w:t>Cablivi</w:t>
      </w:r>
      <w:proofErr w:type="spellEnd"/>
      <w:r w:rsidR="008D297E" w:rsidRPr="001365F3">
        <w:rPr>
          <w:rFonts w:eastAsia="Calibri"/>
        </w:rPr>
        <w:t xml:space="preserve"> </w:t>
      </w:r>
      <w:r w:rsidR="008D297E">
        <w:rPr>
          <w:rFonts w:eastAsia="Calibri"/>
        </w:rPr>
        <w:t>(</w:t>
      </w:r>
      <w:proofErr w:type="spellStart"/>
      <w:r w:rsidR="008D297E" w:rsidRPr="001365F3">
        <w:rPr>
          <w:rFonts w:eastAsia="Calibri"/>
        </w:rPr>
        <w:t>caplacizumab</w:t>
      </w:r>
      <w:proofErr w:type="spellEnd"/>
      <w:r w:rsidR="008D297E">
        <w:rPr>
          <w:rFonts w:eastAsia="Calibri"/>
        </w:rPr>
        <w:t>)</w:t>
      </w:r>
      <w:r w:rsidR="008D297E" w:rsidRPr="00940A89">
        <w:t xml:space="preserve"> </w:t>
      </w:r>
      <w:r w:rsidR="008D297E" w:rsidRPr="002A13E7">
        <w:t>10 mg</w:t>
      </w:r>
      <w:r w:rsidR="008D297E" w:rsidRPr="00940A89">
        <w:t xml:space="preserve"> </w:t>
      </w:r>
      <w:r w:rsidR="008D297E">
        <w:t>p</w:t>
      </w:r>
      <w:r w:rsidR="008D297E" w:rsidRPr="002A13E7">
        <w:t>owder and solvent for solution for injection</w:t>
      </w:r>
      <w:r w:rsidRPr="00D23139">
        <w:t xml:space="preserve">, indicated </w:t>
      </w:r>
      <w:proofErr w:type="gramStart"/>
      <w:r w:rsidRPr="00D23139">
        <w:t>for</w:t>
      </w:r>
      <w:proofErr w:type="gramEnd"/>
      <w:r w:rsidRPr="00D23139">
        <w:t>:</w:t>
      </w:r>
    </w:p>
    <w:p w14:paraId="28DB01F0" w14:textId="77777777" w:rsidR="00D23139" w:rsidRPr="00D23139" w:rsidRDefault="008D297E" w:rsidP="008D297E">
      <w:pPr>
        <w:ind w:left="720"/>
      </w:pPr>
      <w:proofErr w:type="spellStart"/>
      <w:r w:rsidRPr="00C823D5">
        <w:rPr>
          <w:rFonts w:eastAsia="MS Mincho"/>
          <w:i/>
          <w:lang w:eastAsia="ja-JP"/>
        </w:rPr>
        <w:t>Cablivi</w:t>
      </w:r>
      <w:proofErr w:type="spellEnd"/>
      <w:r w:rsidRPr="00C823D5">
        <w:rPr>
          <w:rFonts w:eastAsia="MS Mincho"/>
          <w:i/>
          <w:lang w:eastAsia="ja-JP"/>
        </w:rPr>
        <w:t xml:space="preserve"> </w:t>
      </w:r>
      <w:proofErr w:type="gramStart"/>
      <w:r w:rsidRPr="00C823D5">
        <w:rPr>
          <w:rFonts w:eastAsia="MS Mincho"/>
          <w:i/>
          <w:lang w:eastAsia="ja-JP"/>
        </w:rPr>
        <w:t>is indicated</w:t>
      </w:r>
      <w:proofErr w:type="gramEnd"/>
      <w:r w:rsidRPr="00C823D5">
        <w:rPr>
          <w:rFonts w:eastAsia="MS Mincho"/>
          <w:i/>
          <w:lang w:eastAsia="ja-JP"/>
        </w:rPr>
        <w:t xml:space="preserve"> for the treatment of adults experiencing an episode of acquired thrombotic thrombocytopenic purpura (</w:t>
      </w:r>
      <w:proofErr w:type="spellStart"/>
      <w:r w:rsidRPr="00C823D5">
        <w:rPr>
          <w:rFonts w:eastAsia="MS Mincho"/>
          <w:i/>
          <w:lang w:eastAsia="ja-JP"/>
        </w:rPr>
        <w:t>aTTP</w:t>
      </w:r>
      <w:proofErr w:type="spellEnd"/>
      <w:r w:rsidRPr="00C823D5">
        <w:rPr>
          <w:rFonts w:eastAsia="MS Mincho"/>
          <w:i/>
          <w:lang w:eastAsia="ja-JP"/>
        </w:rPr>
        <w:t>), in conjunction with plasma exchange and immunosuppression.</w:t>
      </w:r>
    </w:p>
    <w:p w14:paraId="74E62A5A" w14:textId="77777777" w:rsidR="00D23139" w:rsidRPr="00D23139" w:rsidRDefault="00D23139" w:rsidP="00D23139">
      <w:pPr>
        <w:pStyle w:val="Heading4"/>
      </w:pPr>
      <w:r w:rsidRPr="00D23139">
        <w:t>Specific conditions of registration applying to these goods</w:t>
      </w:r>
    </w:p>
    <w:p w14:paraId="3CF3BA8D" w14:textId="204B1B50" w:rsidR="008D297E" w:rsidRPr="00A31DEF" w:rsidRDefault="008D297E" w:rsidP="008D297E">
      <w:pPr>
        <w:pStyle w:val="ListBullet"/>
      </w:pPr>
      <w:proofErr w:type="spellStart"/>
      <w:r w:rsidRPr="00A31DEF">
        <w:t>Cablivi</w:t>
      </w:r>
      <w:proofErr w:type="spellEnd"/>
      <w:r w:rsidRPr="00A31DEF">
        <w:t xml:space="preserve"> (</w:t>
      </w:r>
      <w:proofErr w:type="spellStart"/>
      <w:r w:rsidRPr="00A31DEF">
        <w:t>caplacizumab</w:t>
      </w:r>
      <w:proofErr w:type="spellEnd"/>
      <w:r w:rsidRPr="00A31DEF">
        <w:t xml:space="preserve">) is to be included in the Black Triangle Scheme. The PI and </w:t>
      </w:r>
      <w:r>
        <w:t>Consumer Medicines Information (</w:t>
      </w:r>
      <w:r w:rsidRPr="00A31DEF">
        <w:t>CMI</w:t>
      </w:r>
      <w:r>
        <w:t>)</w:t>
      </w:r>
      <w:r w:rsidRPr="00A31DEF">
        <w:t xml:space="preserve"> for </w:t>
      </w:r>
      <w:proofErr w:type="spellStart"/>
      <w:r w:rsidRPr="00A31DEF">
        <w:t>Cablivi</w:t>
      </w:r>
      <w:proofErr w:type="spellEnd"/>
      <w:r w:rsidRPr="00A31DEF">
        <w:t xml:space="preserve"> must include the black triangle symbol and mandatory accompanying text for five years, which starts from the date that the sponsor notifies the TGA of supply of the product.</w:t>
      </w:r>
    </w:p>
    <w:p w14:paraId="6D4896CD" w14:textId="098ECA85" w:rsidR="008D297E" w:rsidRDefault="00A25053" w:rsidP="008D297E">
      <w:pPr>
        <w:pStyle w:val="ListBullet"/>
      </w:pPr>
      <w:r>
        <w:t>Batch release testing and</w:t>
      </w:r>
      <w:r w:rsidR="008D297E">
        <w:t xml:space="preserve"> compliance with Certified Product Details (CPD)</w:t>
      </w:r>
    </w:p>
    <w:p w14:paraId="14CE1FAD" w14:textId="6C39868E" w:rsidR="008D297E" w:rsidRDefault="008D297E" w:rsidP="008D297E">
      <w:pPr>
        <w:pStyle w:val="ListBullet2"/>
      </w:pPr>
      <w:r>
        <w:t xml:space="preserve">It is a condition of registration that all batches of </w:t>
      </w:r>
      <w:proofErr w:type="spellStart"/>
      <w:r>
        <w:t>Cablivi</w:t>
      </w:r>
      <w:proofErr w:type="spellEnd"/>
      <w:r>
        <w:t xml:space="preserve"> (</w:t>
      </w:r>
      <w:proofErr w:type="spellStart"/>
      <w:r>
        <w:t>caplacizumab</w:t>
      </w:r>
      <w:proofErr w:type="spellEnd"/>
      <w:r>
        <w:t xml:space="preserve">) imported into Australia must comply with the product details and specifications approved during evaluation and detailed in the </w:t>
      </w:r>
      <w:r w:rsidR="006B1444">
        <w:t>CPD</w:t>
      </w:r>
      <w:r>
        <w:t>.</w:t>
      </w:r>
    </w:p>
    <w:p w14:paraId="42A1E439" w14:textId="18A42070" w:rsidR="008D297E" w:rsidRDefault="008D297E" w:rsidP="008D297E">
      <w:pPr>
        <w:pStyle w:val="ListBullet2"/>
      </w:pPr>
      <w:r>
        <w:t xml:space="preserve">It is a condition of registration that each batch of </w:t>
      </w:r>
      <w:proofErr w:type="spellStart"/>
      <w:r>
        <w:t>Cablivi</w:t>
      </w:r>
      <w:proofErr w:type="spellEnd"/>
      <w:r>
        <w:t xml:space="preserve"> (</w:t>
      </w:r>
      <w:proofErr w:type="spellStart"/>
      <w:r>
        <w:t>caplacizumab</w:t>
      </w:r>
      <w:proofErr w:type="spellEnd"/>
      <w:r>
        <w:t xml:space="preserve">) imported into Australia </w:t>
      </w:r>
      <w:proofErr w:type="gramStart"/>
      <w:r>
        <w:t>is not released</w:t>
      </w:r>
      <w:proofErr w:type="gramEnd"/>
      <w:r>
        <w:t xml:space="preserve"> for sale until samples and/or the manufacturer’s release data have been assessed and endorsed for release by the TGA Laboratories Branch. Outcomes of laboratory testing are published biannually in the TGA Database of Laboratory Testing Results </w:t>
      </w:r>
      <w:hyperlink r:id="rId22" w:history="1">
        <w:r w:rsidRPr="00B223EF">
          <w:rPr>
            <w:rStyle w:val="Hyperlink"/>
          </w:rPr>
          <w:t>http://www.tga.gov.au/ws-labs-index</w:t>
        </w:r>
      </w:hyperlink>
    </w:p>
    <w:p w14:paraId="57BD3745" w14:textId="6C70EAD6" w:rsidR="008D297E" w:rsidRDefault="008D297E" w:rsidP="008D297E">
      <w:pPr>
        <w:pStyle w:val="ListBullet2"/>
      </w:pPr>
      <w:r>
        <w:t xml:space="preserve">The sponsor should be prepared to provide product samples, reference materials and documentary evidence as defined by the TGA Laboratories branch. The sponsor must contact </w:t>
      </w:r>
      <w:hyperlink r:id="rId23" w:history="1">
        <w:r w:rsidRPr="00B223EF">
          <w:rPr>
            <w:rStyle w:val="Hyperlink"/>
          </w:rPr>
          <w:t>Biochemistry.Testing@health.gov.au</w:t>
        </w:r>
      </w:hyperlink>
      <w:r>
        <w:t xml:space="preserve"> for specific material requirements related to the batch release testing/assessment of the product. More information on TGA testing of biological medicines is available at </w:t>
      </w:r>
      <w:hyperlink r:id="rId24" w:history="1">
        <w:r w:rsidRPr="00A26D31">
          <w:rPr>
            <w:rStyle w:val="Hyperlink"/>
          </w:rPr>
          <w:t>https://www.tga.gov.au/publication/testing-biological-medicines</w:t>
        </w:r>
      </w:hyperlink>
      <w:r>
        <w:t>.</w:t>
      </w:r>
    </w:p>
    <w:p w14:paraId="10FE46BC" w14:textId="5C6FFC4D" w:rsidR="008D297E" w:rsidRDefault="008D297E" w:rsidP="008D297E">
      <w:pPr>
        <w:pStyle w:val="ListBullet2"/>
        <w:numPr>
          <w:ilvl w:val="0"/>
          <w:numId w:val="0"/>
        </w:numPr>
        <w:ind w:left="850"/>
      </w:pPr>
      <w:r>
        <w:t xml:space="preserve">This batch release condition will be reviewed and may be modified </w:t>
      </w:r>
      <w:proofErr w:type="gramStart"/>
      <w:r>
        <w:t>on the basis of</w:t>
      </w:r>
      <w:proofErr w:type="gramEnd"/>
      <w:r>
        <w:t xml:space="preserve"> actual batch quality and consistency. This condition remai</w:t>
      </w:r>
      <w:r w:rsidR="006B1444">
        <w:t xml:space="preserve">ns in place until the sponsor </w:t>
      </w:r>
      <w:proofErr w:type="gramStart"/>
      <w:r w:rsidR="006B1444">
        <w:t>is</w:t>
      </w:r>
      <w:r>
        <w:t xml:space="preserve"> notified</w:t>
      </w:r>
      <w:proofErr w:type="gramEnd"/>
      <w:r>
        <w:t xml:space="preserve"> in writing of any variation.</w:t>
      </w:r>
    </w:p>
    <w:p w14:paraId="05EC46A9" w14:textId="77777777" w:rsidR="008D297E" w:rsidRDefault="008D297E" w:rsidP="008D297E">
      <w:pPr>
        <w:pStyle w:val="ListBullet"/>
        <w:numPr>
          <w:ilvl w:val="0"/>
          <w:numId w:val="0"/>
        </w:numPr>
        <w:ind w:left="360"/>
      </w:pPr>
      <w:r>
        <w:t>Certified Product Details</w:t>
      </w:r>
    </w:p>
    <w:p w14:paraId="545F62E3" w14:textId="2118A006" w:rsidR="008D297E" w:rsidRDefault="008D297E" w:rsidP="008D297E">
      <w:pPr>
        <w:pStyle w:val="ListBullet"/>
        <w:numPr>
          <w:ilvl w:val="0"/>
          <w:numId w:val="0"/>
        </w:numPr>
        <w:ind w:left="360"/>
      </w:pPr>
      <w:r>
        <w:t>The CP</w:t>
      </w:r>
      <w:r w:rsidR="006B1444">
        <w:t>D</w:t>
      </w:r>
      <w:r>
        <w:t>, as described in Guidance 7: Certified Product Details of the Australian Regulatory Guidelines for Prescription Medicines (ARGPM) [</w:t>
      </w:r>
      <w:hyperlink r:id="rId25" w:history="1">
        <w:r w:rsidR="00A26D31" w:rsidRPr="00A26D31">
          <w:rPr>
            <w:color w:val="0000FF"/>
            <w:u w:val="single"/>
          </w:rPr>
          <w:t>https://www.tga.gov.au/guidance-7-certified-product-details</w:t>
        </w:r>
      </w:hyperlink>
      <w:r>
        <w:t xml:space="preserve">], in PDF format, for the above products </w:t>
      </w:r>
      <w:proofErr w:type="gramStart"/>
      <w:r>
        <w:t>should be provided</w:t>
      </w:r>
      <w:proofErr w:type="gramEnd"/>
      <w:r>
        <w:t xml:space="preserve"> upon registration of these therapeutic goods. In addition, an updated CPD should be provided when changes to finished product specifications and test methods </w:t>
      </w:r>
      <w:proofErr w:type="gramStart"/>
      <w:r>
        <w:t>are approved</w:t>
      </w:r>
      <w:proofErr w:type="gramEnd"/>
      <w:r>
        <w:t xml:space="preserve"> in a Category 3 application or notified through a self-assessable change.</w:t>
      </w:r>
    </w:p>
    <w:p w14:paraId="6A617FB8" w14:textId="090C9788" w:rsidR="008D297E" w:rsidRDefault="008D297E" w:rsidP="008D297E">
      <w:pPr>
        <w:pStyle w:val="ListBullet"/>
        <w:numPr>
          <w:ilvl w:val="0"/>
          <w:numId w:val="0"/>
        </w:numPr>
        <w:ind w:left="360"/>
      </w:pPr>
      <w:r>
        <w:t xml:space="preserve">CPDs </w:t>
      </w:r>
      <w:proofErr w:type="gramStart"/>
      <w:r>
        <w:t>should be emailed</w:t>
      </w:r>
      <w:proofErr w:type="gramEnd"/>
      <w:r>
        <w:t xml:space="preserve"> to </w:t>
      </w:r>
      <w:hyperlink r:id="rId26" w:history="1">
        <w:r w:rsidRPr="00A26D31">
          <w:rPr>
            <w:rStyle w:val="Hyperlink"/>
          </w:rPr>
          <w:t>Biochemistry.Testing@health.gov.au</w:t>
        </w:r>
      </w:hyperlink>
      <w:r>
        <w:t xml:space="preserve"> as a single PDF document.</w:t>
      </w:r>
    </w:p>
    <w:p w14:paraId="396DAD35" w14:textId="12845E72" w:rsidR="008D297E" w:rsidRDefault="008D297E" w:rsidP="008D297E">
      <w:pPr>
        <w:pStyle w:val="ListBullet"/>
      </w:pPr>
      <w:r>
        <w:t xml:space="preserve">A condition of this registration will be that Study ALX0681-C302 </w:t>
      </w:r>
      <w:proofErr w:type="gramStart"/>
      <w:r>
        <w:t>is provided</w:t>
      </w:r>
      <w:proofErr w:type="gramEnd"/>
      <w:r>
        <w:t xml:space="preserve"> to TGA no later than it is submitted for evaluation to </w:t>
      </w:r>
      <w:r w:rsidR="006B1444">
        <w:t>EMA</w:t>
      </w:r>
      <w:r>
        <w:t xml:space="preserve">, </w:t>
      </w:r>
      <w:r w:rsidR="006B1444">
        <w:t>US</w:t>
      </w:r>
      <w:r>
        <w:t xml:space="preserve"> </w:t>
      </w:r>
      <w:r w:rsidR="006B1444">
        <w:t>FDA</w:t>
      </w:r>
      <w:r>
        <w:t xml:space="preserve"> or Health Canada.</w:t>
      </w:r>
    </w:p>
    <w:p w14:paraId="3F9A8B4B" w14:textId="0DB65C67" w:rsidR="008D297E" w:rsidRDefault="008D297E" w:rsidP="008D297E">
      <w:pPr>
        <w:pStyle w:val="ListBullet"/>
      </w:pPr>
      <w:r>
        <w:t xml:space="preserve">The </w:t>
      </w:r>
      <w:proofErr w:type="spellStart"/>
      <w:r>
        <w:t>Cablivi</w:t>
      </w:r>
      <w:proofErr w:type="spellEnd"/>
      <w:r>
        <w:t xml:space="preserve"> </w:t>
      </w:r>
      <w:r w:rsidR="006B1444">
        <w:t>EU-RMP</w:t>
      </w:r>
      <w:r>
        <w:t xml:space="preserve"> (version 1.0, dated 31 August 2018, </w:t>
      </w:r>
      <w:r w:rsidR="006B1444">
        <w:t>DLP</w:t>
      </w:r>
      <w:r>
        <w:t xml:space="preserve"> 6 March 2018), with </w:t>
      </w:r>
      <w:r w:rsidR="006B1444">
        <w:t>ASA</w:t>
      </w:r>
      <w:r>
        <w:t xml:space="preserve"> (version 1.0, dated 29 May 2019), included with submission PM-2019-02057-1-6, and any subsequent revisions, as agreed with the TGA will be implemented in Australia.</w:t>
      </w:r>
    </w:p>
    <w:p w14:paraId="26DE8933" w14:textId="77777777" w:rsidR="008D297E" w:rsidRDefault="008D297E" w:rsidP="008D297E">
      <w:pPr>
        <w:pStyle w:val="ListBullet"/>
        <w:numPr>
          <w:ilvl w:val="0"/>
          <w:numId w:val="0"/>
        </w:numPr>
        <w:ind w:left="360"/>
      </w:pPr>
      <w:r>
        <w:lastRenderedPageBreak/>
        <w:t>An obligatory component of risk management plans is routine pharmacovigilance. Routine pharmacovigilance includes the submission of periodic safety update reports (PSURs).</w:t>
      </w:r>
    </w:p>
    <w:p w14:paraId="424231E9" w14:textId="77777777" w:rsidR="008D297E" w:rsidRDefault="008D297E" w:rsidP="008D297E">
      <w:pPr>
        <w:pStyle w:val="ListBullet"/>
        <w:numPr>
          <w:ilvl w:val="0"/>
          <w:numId w:val="0"/>
        </w:numPr>
        <w:ind w:left="360"/>
      </w:pPr>
      <w:r>
        <w:t xml:space="preserve">Reports are to </w:t>
      </w:r>
      <w:proofErr w:type="gramStart"/>
      <w:r>
        <w:t>be provided</w:t>
      </w:r>
      <w:proofErr w:type="gramEnd"/>
      <w:r>
        <w:t xml:space="preserve"> in line with the current published list of EU reference dates and frequency of submission of PSURs until the period covered by such reports is not less than three years from the date of this approval letter.</w:t>
      </w:r>
    </w:p>
    <w:p w14:paraId="00817CF5" w14:textId="77777777" w:rsidR="009752A5" w:rsidRDefault="008D297E" w:rsidP="008D297E">
      <w:pPr>
        <w:pStyle w:val="ListBullet"/>
        <w:numPr>
          <w:ilvl w:val="0"/>
          <w:numId w:val="0"/>
        </w:numPr>
        <w:ind w:left="360"/>
      </w:pPr>
      <w:r>
        <w:t xml:space="preserve">The reports are </w:t>
      </w:r>
      <w:proofErr w:type="gramStart"/>
      <w:r>
        <w:t>to at least meet</w:t>
      </w:r>
      <w:proofErr w:type="gramEnd"/>
      <w:r>
        <w:t xml:space="preserve">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2A37728" w14:textId="77777777" w:rsidR="008E7846" w:rsidRDefault="00A80B5B" w:rsidP="00D23139">
      <w:pPr>
        <w:pStyle w:val="Heading2"/>
      </w:pPr>
      <w:bookmarkStart w:id="55" w:name="_Toc39569382"/>
      <w:r>
        <w:t xml:space="preserve">Attachment 1. </w:t>
      </w:r>
      <w:r w:rsidR="008E7846">
        <w:t>Pr</w:t>
      </w:r>
      <w:bookmarkStart w:id="56" w:name="_GoBack"/>
      <w:bookmarkEnd w:id="56"/>
      <w:r w:rsidR="008E7846">
        <w:t xml:space="preserve">oduct </w:t>
      </w:r>
      <w:r w:rsidR="00AA0ED0">
        <w:t>I</w:t>
      </w:r>
      <w:r w:rsidR="008E7846">
        <w:t>nformation</w:t>
      </w:r>
      <w:bookmarkEnd w:id="53"/>
      <w:bookmarkEnd w:id="54"/>
      <w:bookmarkEnd w:id="55"/>
    </w:p>
    <w:p w14:paraId="5A40A8F6" w14:textId="2CC08AB2" w:rsidR="00770CAC" w:rsidRPr="006B1444" w:rsidRDefault="006136D7" w:rsidP="006B1444">
      <w:pPr>
        <w:rPr>
          <w:color w:val="000000"/>
          <w:lang w:eastAsia="en-AU"/>
        </w:rPr>
      </w:pPr>
      <w:r w:rsidRPr="002B3624">
        <w:t xml:space="preserve">The </w:t>
      </w:r>
      <w:r>
        <w:t>PI</w:t>
      </w:r>
      <w:r w:rsidRPr="002B3624">
        <w:t xml:space="preserve"> for </w:t>
      </w:r>
      <w:proofErr w:type="spellStart"/>
      <w:r w:rsidR="004151AE">
        <w:t>Cablivi</w:t>
      </w:r>
      <w:proofErr w:type="spellEnd"/>
      <w:r w:rsidRPr="002B3624">
        <w:t xml:space="preserve"> </w:t>
      </w:r>
      <w:r>
        <w:t xml:space="preserve">approved with the </w:t>
      </w:r>
      <w:proofErr w:type="gramStart"/>
      <w:r>
        <w:t xml:space="preserve">submission which is described in </w:t>
      </w:r>
      <w:r w:rsidRPr="002B3624">
        <w:t xml:space="preserve">this </w:t>
      </w:r>
      <w:proofErr w:type="spellStart"/>
      <w:r w:rsidRPr="002B3624">
        <w:t>AusPAR</w:t>
      </w:r>
      <w:proofErr w:type="spellEnd"/>
      <w:proofErr w:type="gram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4151AE">
        <w:t>&gt;.</w:t>
      </w:r>
    </w:p>
    <w:p w14:paraId="7D9ECC51" w14:textId="77777777" w:rsidR="00291957" w:rsidRDefault="00291957" w:rsidP="00291957">
      <w:pPr>
        <w:rPr>
          <w:lang w:eastAsia="ja-JP"/>
        </w:rPr>
      </w:pPr>
    </w:p>
    <w:p w14:paraId="50112F4B"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58512FE" w14:textId="77777777" w:rsidTr="00A05FA4">
        <w:trPr>
          <w:trHeight w:hRule="exact" w:val="704"/>
        </w:trPr>
        <w:tc>
          <w:tcPr>
            <w:tcW w:w="9175" w:type="dxa"/>
          </w:tcPr>
          <w:p w14:paraId="3E50316E" w14:textId="77777777" w:rsidR="001C32CD" w:rsidRPr="00487162" w:rsidRDefault="001C32CD" w:rsidP="00A05FA4">
            <w:pPr>
              <w:pStyle w:val="TGASignoff"/>
            </w:pPr>
            <w:r w:rsidRPr="00487162">
              <w:lastRenderedPageBreak/>
              <w:t>Therapeutic Goods Administration</w:t>
            </w:r>
          </w:p>
        </w:tc>
      </w:tr>
      <w:tr w:rsidR="001C32CD" w:rsidRPr="004C239D" w14:paraId="549A6FF2" w14:textId="77777777" w:rsidTr="00A05FA4">
        <w:trPr>
          <w:trHeight w:val="1221"/>
        </w:trPr>
        <w:tc>
          <w:tcPr>
            <w:tcW w:w="9175" w:type="dxa"/>
            <w:tcMar>
              <w:top w:w="28" w:type="dxa"/>
            </w:tcMar>
          </w:tcPr>
          <w:p w14:paraId="7D365F6E" w14:textId="77777777" w:rsidR="001C32CD" w:rsidRPr="00487162" w:rsidRDefault="001C32CD" w:rsidP="00A05FA4">
            <w:pPr>
              <w:pStyle w:val="Address"/>
            </w:pPr>
            <w:r w:rsidRPr="00487162">
              <w:t>PO Box 100 Woden ACT 2606 Australia</w:t>
            </w:r>
          </w:p>
          <w:p w14:paraId="29F7F1E7"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Pr="00487162">
              <w:t xml:space="preserve">  Phone: 1800 020 653  Fax: 02 6232 8605</w:t>
            </w:r>
          </w:p>
          <w:p w14:paraId="2807F6F9" w14:textId="77777777" w:rsidR="001C32CD" w:rsidRPr="004C239D" w:rsidRDefault="00B223EF"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43C56750"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694FEB" w16cid:durableId="224AE4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7A93A" w14:textId="77777777" w:rsidR="00B223EF" w:rsidRDefault="00B223EF" w:rsidP="00C40A36">
      <w:pPr>
        <w:spacing w:after="0"/>
      </w:pPr>
      <w:r>
        <w:separator/>
      </w:r>
    </w:p>
  </w:endnote>
  <w:endnote w:type="continuationSeparator" w:id="0">
    <w:p w14:paraId="39FC6B1B" w14:textId="77777777" w:rsidR="00B223EF" w:rsidRDefault="00B223E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223EF" w:rsidRPr="00487162" w14:paraId="1C556D29" w14:textId="77777777" w:rsidTr="00DB750B">
      <w:trPr>
        <w:trHeight w:val="269"/>
      </w:trPr>
      <w:tc>
        <w:tcPr>
          <w:tcW w:w="7371" w:type="dxa"/>
          <w:tcMar>
            <w:top w:w="142" w:type="dxa"/>
            <w:bottom w:w="0" w:type="dxa"/>
          </w:tcMar>
        </w:tcPr>
        <w:p w14:paraId="0CB4E076" w14:textId="423B1CB9" w:rsidR="00B223EF" w:rsidRPr="00487162" w:rsidRDefault="00B223EF" w:rsidP="00885504">
          <w:pPr>
            <w:pStyle w:val="Footer"/>
          </w:pPr>
          <w:proofErr w:type="spellStart"/>
          <w:r w:rsidRPr="00487162">
            <w:t>AusPA</w:t>
          </w:r>
          <w:r>
            <w:t>R</w:t>
          </w:r>
          <w:proofErr w:type="spellEnd"/>
          <w:r>
            <w:t xml:space="preserve"> - </w:t>
          </w:r>
          <w:r w:rsidRPr="00C823D5">
            <w:t xml:space="preserve">CABLIVI - </w:t>
          </w:r>
          <w:proofErr w:type="spellStart"/>
          <w:r w:rsidRPr="00C823D5">
            <w:t>caplacizumab</w:t>
          </w:r>
          <w:proofErr w:type="spellEnd"/>
          <w:r w:rsidRPr="00C823D5">
            <w:t xml:space="preserve"> - Sanofi-Aventis Australia Pty Ltd - PM-2019-02057-1-6</w:t>
          </w:r>
          <w:r>
            <w:br/>
            <w:t>FINAL 5 May 2020</w:t>
          </w:r>
        </w:p>
      </w:tc>
      <w:tc>
        <w:tcPr>
          <w:tcW w:w="1490" w:type="dxa"/>
          <w:tcMar>
            <w:top w:w="142" w:type="dxa"/>
            <w:bottom w:w="0" w:type="dxa"/>
          </w:tcMar>
        </w:tcPr>
        <w:p w14:paraId="1213CABD" w14:textId="1FE7333E" w:rsidR="00B223EF" w:rsidRPr="00487162" w:rsidRDefault="00B223EF" w:rsidP="00DB750B">
          <w:pPr>
            <w:pStyle w:val="Footer"/>
            <w:jc w:val="right"/>
          </w:pPr>
          <w:r w:rsidRPr="00487162">
            <w:t xml:space="preserve">Page </w:t>
          </w:r>
          <w:r>
            <w:fldChar w:fldCharType="begin"/>
          </w:r>
          <w:r>
            <w:instrText xml:space="preserve"> PAGE  \* Arabic </w:instrText>
          </w:r>
          <w:r>
            <w:fldChar w:fldCharType="separate"/>
          </w:r>
          <w:r w:rsidR="00A26D31">
            <w:rPr>
              <w:noProof/>
            </w:rPr>
            <w:t>22</w:t>
          </w:r>
          <w:r>
            <w:fldChar w:fldCharType="end"/>
          </w:r>
          <w:r w:rsidRPr="00487162">
            <w:t xml:space="preserve"> of </w:t>
          </w:r>
          <w:fldSimple w:instr=" NUMPAGES  \* Arabic ">
            <w:r w:rsidR="00A26D31">
              <w:rPr>
                <w:noProof/>
              </w:rPr>
              <w:t>23</w:t>
            </w:r>
          </w:fldSimple>
        </w:p>
      </w:tc>
    </w:tr>
  </w:tbl>
  <w:p w14:paraId="14496FBA" w14:textId="77777777" w:rsidR="00B223EF" w:rsidRDefault="00B223E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223EF" w:rsidRPr="00487162" w14:paraId="339CEE64" w14:textId="77777777" w:rsidTr="00E45619">
      <w:trPr>
        <w:trHeight w:val="269"/>
      </w:trPr>
      <w:tc>
        <w:tcPr>
          <w:tcW w:w="4519" w:type="dxa"/>
          <w:tcBorders>
            <w:top w:val="single" w:sz="4" w:space="0" w:color="auto"/>
          </w:tcBorders>
          <w:tcMar>
            <w:top w:w="142" w:type="dxa"/>
            <w:bottom w:w="0" w:type="dxa"/>
          </w:tcMar>
        </w:tcPr>
        <w:p w14:paraId="245BB5C3" w14:textId="77777777" w:rsidR="00B223EF" w:rsidRPr="00487162" w:rsidRDefault="00B223EF" w:rsidP="00FE1DEE">
          <w:pPr>
            <w:pStyle w:val="Footer"/>
          </w:pPr>
          <w:r w:rsidRPr="00487162">
            <w:t>Document title, Part #, Section # - Section title</w:t>
          </w:r>
        </w:p>
        <w:p w14:paraId="6D58C60A" w14:textId="77777777" w:rsidR="00B223EF" w:rsidRPr="00487162" w:rsidRDefault="00B223EF" w:rsidP="00FE1DEE">
          <w:pPr>
            <w:pStyle w:val="Footer"/>
          </w:pPr>
          <w:r w:rsidRPr="00487162">
            <w:t>V1.0 October 2010</w:t>
          </w:r>
        </w:p>
      </w:tc>
      <w:tc>
        <w:tcPr>
          <w:tcW w:w="4342" w:type="dxa"/>
          <w:tcBorders>
            <w:top w:val="single" w:sz="4" w:space="0" w:color="auto"/>
          </w:tcBorders>
          <w:tcMar>
            <w:top w:w="142" w:type="dxa"/>
            <w:bottom w:w="0" w:type="dxa"/>
          </w:tcMar>
        </w:tcPr>
        <w:p w14:paraId="01B2636D" w14:textId="77777777" w:rsidR="00B223EF" w:rsidRPr="00487162" w:rsidRDefault="00B223E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26724919" w14:textId="77777777" w:rsidR="00B223EF" w:rsidRDefault="00B22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B22C" w14:textId="77777777" w:rsidR="00B223EF" w:rsidRPr="001C32CD" w:rsidRDefault="00B223E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223EF" w14:paraId="429E1979" w14:textId="77777777" w:rsidTr="0010601F">
      <w:trPr>
        <w:trHeight w:val="108"/>
      </w:trPr>
      <w:tc>
        <w:tcPr>
          <w:tcW w:w="8875" w:type="dxa"/>
          <w:gridSpan w:val="2"/>
          <w:tcBorders>
            <w:bottom w:val="single" w:sz="4" w:space="0" w:color="auto"/>
          </w:tcBorders>
          <w:tcMar>
            <w:right w:w="284" w:type="dxa"/>
          </w:tcMar>
        </w:tcPr>
        <w:p w14:paraId="3CA1FEA9" w14:textId="77777777" w:rsidR="00B223EF" w:rsidRDefault="00B223EF" w:rsidP="006E08B3">
          <w:pPr>
            <w:pStyle w:val="Heading3"/>
          </w:pPr>
          <w:r>
            <w:t>Copyright</w:t>
          </w:r>
        </w:p>
        <w:p w14:paraId="2DB36021" w14:textId="77777777" w:rsidR="00B223EF" w:rsidRDefault="00B223EF" w:rsidP="006E08B3">
          <w:r>
            <w:rPr>
              <w:rFonts w:cs="Arial"/>
            </w:rPr>
            <w:t>©</w:t>
          </w:r>
          <w:r>
            <w:t xml:space="preserve"> Commonwealth of Australia [add year]</w:t>
          </w:r>
        </w:p>
        <w:p w14:paraId="557B9772" w14:textId="77777777" w:rsidR="00B223EF" w:rsidRDefault="00B223EF" w:rsidP="006E08B3"/>
        <w:p w14:paraId="016DD8DE" w14:textId="77777777" w:rsidR="00B223EF" w:rsidRDefault="00B223E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E257810" w14:textId="77777777" w:rsidR="00B223EF" w:rsidRDefault="00B223EF" w:rsidP="006E08B3"/>
        <w:p w14:paraId="2E7BFF97" w14:textId="77777777" w:rsidR="00B223EF" w:rsidRDefault="00B223EF" w:rsidP="006E08B3">
          <w:pPr>
            <w:pStyle w:val="Heading3"/>
          </w:pPr>
          <w:r>
            <w:t>Confidentiality</w:t>
          </w:r>
        </w:p>
        <w:p w14:paraId="660919F2" w14:textId="77777777" w:rsidR="00B223EF" w:rsidRDefault="00B223EF"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06354DCE" w14:textId="77777777" w:rsidR="00B223EF" w:rsidRDefault="00B223EF" w:rsidP="006E08B3"/>
        <w:p w14:paraId="45F69919" w14:textId="77777777" w:rsidR="00B223EF" w:rsidRDefault="00B223EF"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205C35F1" w14:textId="77777777" w:rsidR="00B223EF" w:rsidRDefault="00B223EF" w:rsidP="006E08B3"/>
        <w:p w14:paraId="0C8E1A92" w14:textId="77777777" w:rsidR="00B223EF" w:rsidRDefault="00B223EF"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w:t>
          </w:r>
          <w:proofErr w:type="spellStart"/>
          <w:r>
            <w:t>ib</w:t>
          </w:r>
          <w:proofErr w:type="spellEnd"/>
          <w:r>
            <w:t xml:space="preserve"> the submission coversheet.</w:t>
          </w:r>
        </w:p>
      </w:tc>
    </w:tr>
    <w:tr w:rsidR="00B223EF" w14:paraId="176B94D2" w14:textId="77777777" w:rsidTr="0010601F">
      <w:trPr>
        <w:trHeight w:val="417"/>
      </w:trPr>
      <w:tc>
        <w:tcPr>
          <w:tcW w:w="4519" w:type="dxa"/>
          <w:tcBorders>
            <w:top w:val="single" w:sz="4" w:space="0" w:color="auto"/>
          </w:tcBorders>
          <w:tcMar>
            <w:top w:w="142" w:type="dxa"/>
            <w:bottom w:w="0" w:type="dxa"/>
          </w:tcMar>
        </w:tcPr>
        <w:p w14:paraId="464406E8" w14:textId="77777777" w:rsidR="00B223EF" w:rsidRDefault="00B223EF" w:rsidP="006E08B3">
          <w:r>
            <w:t>Document title, Part #, Section # - Section title</w:t>
          </w:r>
        </w:p>
        <w:p w14:paraId="3AC9C4DA" w14:textId="77777777" w:rsidR="00B223EF" w:rsidRDefault="00B223EF" w:rsidP="006E08B3">
          <w:r>
            <w:t>V1.0 October 2010</w:t>
          </w:r>
        </w:p>
      </w:tc>
      <w:tc>
        <w:tcPr>
          <w:tcW w:w="4356" w:type="dxa"/>
          <w:tcBorders>
            <w:top w:val="single" w:sz="4" w:space="0" w:color="auto"/>
          </w:tcBorders>
          <w:tcMar>
            <w:top w:w="142" w:type="dxa"/>
            <w:bottom w:w="0" w:type="dxa"/>
          </w:tcMar>
        </w:tcPr>
        <w:p w14:paraId="6991BF7A" w14:textId="77777777" w:rsidR="00B223EF" w:rsidRDefault="00B223E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15390C8A" w14:textId="77777777" w:rsidR="00B223EF" w:rsidRDefault="00B223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3F839" w14:textId="77777777" w:rsidR="00B223EF" w:rsidRDefault="00B223EF" w:rsidP="00C40A36">
      <w:pPr>
        <w:spacing w:after="0"/>
      </w:pPr>
      <w:r>
        <w:separator/>
      </w:r>
    </w:p>
  </w:footnote>
  <w:footnote w:type="continuationSeparator" w:id="0">
    <w:p w14:paraId="01C619A9" w14:textId="77777777" w:rsidR="00B223EF" w:rsidRDefault="00B223EF" w:rsidP="00C40A36">
      <w:pPr>
        <w:spacing w:after="0"/>
      </w:pPr>
      <w:r>
        <w:continuationSeparator/>
      </w:r>
    </w:p>
  </w:footnote>
  <w:footnote w:id="1">
    <w:p w14:paraId="370CC0D6" w14:textId="4A0336E8" w:rsidR="00B223EF" w:rsidRPr="00885504" w:rsidRDefault="00B223EF">
      <w:pPr>
        <w:pStyle w:val="FootnoteText"/>
        <w:rPr>
          <w:lang w:val="en-US"/>
        </w:rPr>
      </w:pPr>
      <w:r>
        <w:rPr>
          <w:rStyle w:val="FootnoteReference"/>
        </w:rPr>
        <w:footnoteRef/>
      </w:r>
      <w:r>
        <w:t xml:space="preserve"> </w:t>
      </w:r>
      <w:r>
        <w:rPr>
          <w:lang w:val="en-US"/>
        </w:rPr>
        <w:t xml:space="preserve">ADAMTS13; </w:t>
      </w:r>
      <w:r w:rsidRPr="00B25D51">
        <w:t xml:space="preserve">a </w:t>
      </w:r>
      <w:proofErr w:type="spellStart"/>
      <w:r w:rsidRPr="00B25D51">
        <w:t>disintegrin</w:t>
      </w:r>
      <w:proofErr w:type="spellEnd"/>
      <w:r w:rsidRPr="00B25D51">
        <w:t xml:space="preserve"> and metalloproteinase with a thrombospondin type </w:t>
      </w:r>
      <w:proofErr w:type="gramStart"/>
      <w:r w:rsidRPr="00B25D51">
        <w:t>1</w:t>
      </w:r>
      <w:proofErr w:type="gramEnd"/>
      <w:r w:rsidRPr="00B25D51">
        <w:t xml:space="preserve"> motif, member 13</w:t>
      </w:r>
      <w:r>
        <w:t>.</w:t>
      </w:r>
    </w:p>
  </w:footnote>
  <w:footnote w:id="2">
    <w:p w14:paraId="71095613" w14:textId="6211B02D" w:rsidR="00B223EF" w:rsidRDefault="00B223EF" w:rsidP="00D924BF">
      <w:pPr>
        <w:pStyle w:val="FootnoteText"/>
      </w:pPr>
      <w:r>
        <w:rPr>
          <w:rStyle w:val="FootnoteReference"/>
        </w:rPr>
        <w:footnoteRef/>
      </w:r>
      <w:r>
        <w:t xml:space="preserve"> </w:t>
      </w:r>
      <w:r w:rsidRPr="00D924BF">
        <w:t xml:space="preserve">The TGA makes use of assessments from comparable overseas regulators (CORs), where possible, in the regulation of prescription medicines. </w:t>
      </w:r>
      <w:r>
        <w:t>Under the COR-A pathway, the TGA regulatory decision will be based on a critical review of the COR assessment reports and an evaluation of the Australian label, Product Information (PI) and where required, the Risk Management Plan (RMP). The evaluation and decision timeframe for COR-</w:t>
      </w:r>
      <w:proofErr w:type="gramStart"/>
      <w:r>
        <w:t>A</w:t>
      </w:r>
      <w:proofErr w:type="gramEnd"/>
      <w:r>
        <w:t xml:space="preserve"> applications is 120 working days.</w:t>
      </w:r>
    </w:p>
    <w:p w14:paraId="06911758" w14:textId="04EC8667" w:rsidR="00B223EF" w:rsidRPr="00D924BF" w:rsidRDefault="00B223EF" w:rsidP="00D924BF">
      <w:pPr>
        <w:pStyle w:val="FootnoteText"/>
      </w:pPr>
      <w:r>
        <w:t>To meet this significantly shortened timeframe, the application must meet specific requirements. Key considerations for COR-A include: identical medicine and manufacturing to that approved by the COR, with evidence of compliance with Good Manufacturing Practice (GMP); the full overseas marketing approval for the medicine is no older than 1 year; and, aside from the label, PI and RMP (where required), no additional evaluation of Australian specific data is required.</w:t>
      </w:r>
    </w:p>
  </w:footnote>
  <w:footnote w:id="3">
    <w:p w14:paraId="756320D8" w14:textId="77777777" w:rsidR="00B223EF" w:rsidRDefault="00B223EF" w:rsidP="009B3D56">
      <w:pPr>
        <w:pStyle w:val="FootnoteText"/>
      </w:pPr>
      <w:r>
        <w:rPr>
          <w:rStyle w:val="FootnoteReference"/>
        </w:rPr>
        <w:footnoteRef/>
      </w:r>
      <w:r>
        <w:t xml:space="preserve"> Australian Pregnancy Category B1: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6EFF142" w14:textId="77777777" w:rsidR="00B223EF" w:rsidRDefault="00B223EF" w:rsidP="009B3D56">
      <w:pPr>
        <w:pStyle w:val="FootnoteText"/>
      </w:pPr>
      <w:r>
        <w:t xml:space="preserve">Studies in animals have not shown evidence of an increased occurrence of </w:t>
      </w:r>
      <w:proofErr w:type="spellStart"/>
      <w:r>
        <w:t>fetal</w:t>
      </w:r>
      <w:proofErr w:type="spellEnd"/>
      <w:r>
        <w:t xml:space="preserve"> damage.</w:t>
      </w:r>
    </w:p>
  </w:footnote>
  <w:footnote w:id="4">
    <w:p w14:paraId="6E07554E" w14:textId="77777777" w:rsidR="00B223EF" w:rsidRDefault="00B223EF">
      <w:pPr>
        <w:pStyle w:val="FootnoteText"/>
      </w:pPr>
      <w:r>
        <w:rPr>
          <w:rStyle w:val="FootnoteReference"/>
        </w:rPr>
        <w:footnoteRef/>
      </w:r>
      <w:r>
        <w:t xml:space="preserve"> EMA, </w:t>
      </w:r>
      <w:r w:rsidRPr="00FB171C">
        <w:t>Committee for Medicinal Products for Human Use (CHMP)</w:t>
      </w:r>
      <w:r>
        <w:t xml:space="preserve">, </w:t>
      </w:r>
      <w:r w:rsidRPr="00FB171C">
        <w:t>Guideline on non-clinical local tolerance testing of medicinal products</w:t>
      </w:r>
      <w:r>
        <w:t xml:space="preserve">, </w:t>
      </w:r>
      <w:r w:rsidRPr="00FB171C">
        <w:t>EMA/CHMP/SWP/2145/2000 Rev. 1</w:t>
      </w:r>
      <w:r>
        <w:t xml:space="preserve">, </w:t>
      </w:r>
      <w:r w:rsidRPr="00FB171C">
        <w:t>22 October 2015</w:t>
      </w:r>
      <w:r>
        <w:t>.</w:t>
      </w:r>
    </w:p>
  </w:footnote>
  <w:footnote w:id="5">
    <w:p w14:paraId="2A607392" w14:textId="77777777" w:rsidR="00B223EF" w:rsidRDefault="00B223EF" w:rsidP="004151AE">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13E609C" w14:textId="77777777" w:rsidR="00B223EF" w:rsidRDefault="00B223EF" w:rsidP="004151AE">
      <w:pPr>
        <w:pStyle w:val="FootnoteText"/>
      </w:pPr>
      <w:r w:rsidRPr="00F12492">
        <w:rPr>
          <w:i/>
        </w:rPr>
        <w:t>Routine pharmacovigilance</w:t>
      </w:r>
      <w:r>
        <w:t xml:space="preserve"> practices involve the following activities:</w:t>
      </w:r>
    </w:p>
    <w:p w14:paraId="610D1FD4" w14:textId="77777777" w:rsidR="00B223EF" w:rsidRDefault="00B223EF" w:rsidP="004151AE">
      <w:pPr>
        <w:pStyle w:val="FootnoteText"/>
        <w:numPr>
          <w:ilvl w:val="0"/>
          <w:numId w:val="28"/>
        </w:numPr>
      </w:pPr>
      <w:r>
        <w:t>All suspected adverse reactions that are reported to the personnel of the company are collected and collated in an accessible manner;</w:t>
      </w:r>
    </w:p>
    <w:p w14:paraId="4F8AFC14" w14:textId="77777777" w:rsidR="00B223EF" w:rsidRDefault="00B223EF" w:rsidP="004151AE">
      <w:pPr>
        <w:pStyle w:val="FootnoteText"/>
        <w:numPr>
          <w:ilvl w:val="0"/>
          <w:numId w:val="28"/>
        </w:numPr>
      </w:pPr>
      <w:r>
        <w:t>Reporting to regulatory authorities;</w:t>
      </w:r>
    </w:p>
    <w:p w14:paraId="21F572F8" w14:textId="77777777" w:rsidR="00B223EF" w:rsidRDefault="00B223EF" w:rsidP="004151AE">
      <w:pPr>
        <w:pStyle w:val="FootnoteText"/>
        <w:numPr>
          <w:ilvl w:val="0"/>
          <w:numId w:val="28"/>
        </w:numPr>
      </w:pPr>
      <w:r>
        <w:t>Continuous monitoring of the safety profiles of approved products including signal detection and updating of labelling;</w:t>
      </w:r>
    </w:p>
    <w:p w14:paraId="6048568E" w14:textId="77777777" w:rsidR="00B223EF" w:rsidRDefault="00B223EF" w:rsidP="004151AE">
      <w:pPr>
        <w:pStyle w:val="FootnoteText"/>
        <w:numPr>
          <w:ilvl w:val="0"/>
          <w:numId w:val="28"/>
        </w:numPr>
      </w:pPr>
      <w:r>
        <w:t>Submission of PSURs;</w:t>
      </w:r>
    </w:p>
    <w:p w14:paraId="522D63D8" w14:textId="77777777" w:rsidR="00B223EF" w:rsidRPr="00F12492" w:rsidRDefault="00B223EF" w:rsidP="004151AE">
      <w:pPr>
        <w:pStyle w:val="FootnoteText"/>
        <w:numPr>
          <w:ilvl w:val="0"/>
          <w:numId w:val="28"/>
        </w:numPr>
        <w:rPr>
          <w:lang w:val="en-US"/>
        </w:rPr>
      </w:pPr>
      <w:r>
        <w:t>Meeting other local regulatory agency requirements.</w:t>
      </w:r>
    </w:p>
  </w:footnote>
  <w:footnote w:id="6">
    <w:p w14:paraId="64EC0E43" w14:textId="59DB4FFA" w:rsidR="00B223EF" w:rsidRDefault="00B223EF">
      <w:pPr>
        <w:pStyle w:val="FootnoteText"/>
      </w:pPr>
      <w:r>
        <w:rPr>
          <w:rStyle w:val="FootnoteReference"/>
        </w:rPr>
        <w:footnoteRef/>
      </w:r>
      <w:r>
        <w:t xml:space="preserve"> European Medicines Agency, European Public Assessment Report (EPAR) for </w:t>
      </w:r>
      <w:proofErr w:type="spellStart"/>
      <w:r>
        <w:t>Cablivi</w:t>
      </w:r>
      <w:proofErr w:type="spellEnd"/>
      <w:r>
        <w:t>, 28 June 2018. Available from the EMA website.</w:t>
      </w:r>
    </w:p>
  </w:footnote>
  <w:footnote w:id="7">
    <w:p w14:paraId="7359F56F" w14:textId="10A1F50B" w:rsidR="00B223EF" w:rsidRDefault="00B223EF">
      <w:pPr>
        <w:pStyle w:val="FootnoteText"/>
      </w:pPr>
      <w:r>
        <w:rPr>
          <w:rStyle w:val="FootnoteReference"/>
        </w:rPr>
        <w:footnoteRef/>
      </w:r>
      <w:r>
        <w:t xml:space="preserve"> FDA Prescribing Information for </w:t>
      </w:r>
      <w:proofErr w:type="spellStart"/>
      <w:r>
        <w:t>Cablivi</w:t>
      </w:r>
      <w:proofErr w:type="spellEnd"/>
      <w:r>
        <w:t>. February 2019. Available from the FDA website.</w:t>
      </w:r>
    </w:p>
  </w:footnote>
  <w:footnote w:id="8">
    <w:p w14:paraId="325C42A4" w14:textId="77777777" w:rsidR="00B223EF" w:rsidRDefault="00B223E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8755A02" w14:textId="77777777" w:rsidR="00B223EF" w:rsidRPr="00456765" w:rsidRDefault="00B223EF" w:rsidP="00456765">
      <w:pPr>
        <w:pStyle w:val="FootnoteText"/>
        <w:rPr>
          <w:lang w:val="en-US"/>
        </w:rPr>
      </w:pPr>
      <w:r>
        <w:t xml:space="preserve">The Committee </w:t>
      </w:r>
      <w:proofErr w:type="gramStart"/>
      <w:r>
        <w:t>is established</w:t>
      </w:r>
      <w:proofErr w:type="gramEnd"/>
      <w:r>
        <w:t xml:space="preserve"> under Regulation 35 of the </w:t>
      </w:r>
      <w:r w:rsidRPr="00B223EF">
        <w:rPr>
          <w:i/>
        </w:rPr>
        <w:t>Therapeutic Goods Regulations 1990</w:t>
      </w:r>
      <w:r>
        <w:t xml:space="preserve">.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4CD1" w14:textId="77777777" w:rsidR="00B223EF" w:rsidRDefault="00B223E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99DE" w14:textId="77777777" w:rsidR="00B223EF" w:rsidRDefault="00B223EF">
    <w:pPr>
      <w:rPr>
        <w:noProof/>
        <w:lang w:eastAsia="en-AU"/>
      </w:rPr>
    </w:pPr>
    <w:r w:rsidRPr="00347824">
      <w:rPr>
        <w:noProof/>
        <w:lang w:eastAsia="en-AU"/>
      </w:rPr>
      <w:drawing>
        <wp:anchor distT="0" distB="0" distL="114300" distR="114300" simplePos="0" relativeHeight="251659264" behindDoc="1" locked="0" layoutInCell="1" allowOverlap="1" wp14:anchorId="7C9F584A" wp14:editId="080AF769">
          <wp:simplePos x="0" y="0"/>
          <wp:positionH relativeFrom="column">
            <wp:posOffset>-1089660</wp:posOffset>
          </wp:positionH>
          <wp:positionV relativeFrom="paragraph">
            <wp:posOffset>-585470</wp:posOffset>
          </wp:positionV>
          <wp:extent cx="7572375" cy="10706100"/>
          <wp:effectExtent l="19050" t="0" r="0" b="0"/>
          <wp:wrapNone/>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8ECC5FF" w14:textId="0950D6C0" w:rsidR="00B223EF" w:rsidRDefault="00B223EF"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ADC2" w14:textId="77777777" w:rsidR="00B223EF" w:rsidRDefault="00B223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4F0A" w14:textId="77777777" w:rsidR="00B223EF" w:rsidRDefault="00B223E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ABD2" w14:textId="77777777" w:rsidR="00B223EF" w:rsidRDefault="00B223E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9C6A" w14:textId="77777777" w:rsidR="00B223EF" w:rsidRDefault="00B223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B7B14" w14:textId="77777777" w:rsidR="00B223EF" w:rsidRDefault="00B223E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13C1" w14:textId="77777777" w:rsidR="00B223EF" w:rsidRDefault="00B223EF" w:rsidP="006E08B3">
    <w:r>
      <w:t>Therapeutic Goods Administration</w:t>
    </w:r>
  </w:p>
  <w:p w14:paraId="4286D1D1" w14:textId="77777777" w:rsidR="00B223EF" w:rsidRDefault="00B223E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2ADEFA0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264A71"/>
    <w:multiLevelType w:val="hybridMultilevel"/>
    <w:tmpl w:val="DC8694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9"/>
  </w:num>
  <w:num w:numId="29">
    <w:abstractNumId w:val="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5"/>
  <w:activeWritingStyle w:appName="MSWord" w:lang="en-AU"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E1"/>
    <w:rsid w:val="00002031"/>
    <w:rsid w:val="00004734"/>
    <w:rsid w:val="00006B22"/>
    <w:rsid w:val="0001276A"/>
    <w:rsid w:val="000246AE"/>
    <w:rsid w:val="00025C67"/>
    <w:rsid w:val="00044772"/>
    <w:rsid w:val="0004541C"/>
    <w:rsid w:val="0005559E"/>
    <w:rsid w:val="000604D6"/>
    <w:rsid w:val="000734D8"/>
    <w:rsid w:val="00077775"/>
    <w:rsid w:val="000834AD"/>
    <w:rsid w:val="000868CB"/>
    <w:rsid w:val="00090471"/>
    <w:rsid w:val="00090FDE"/>
    <w:rsid w:val="00096AA7"/>
    <w:rsid w:val="000A3AED"/>
    <w:rsid w:val="000B3532"/>
    <w:rsid w:val="000B3A75"/>
    <w:rsid w:val="000C00C2"/>
    <w:rsid w:val="000C690F"/>
    <w:rsid w:val="000D1295"/>
    <w:rsid w:val="000D391B"/>
    <w:rsid w:val="000D3D6D"/>
    <w:rsid w:val="000D4FC7"/>
    <w:rsid w:val="000D7927"/>
    <w:rsid w:val="000E1934"/>
    <w:rsid w:val="000E6196"/>
    <w:rsid w:val="000F4869"/>
    <w:rsid w:val="000F5B42"/>
    <w:rsid w:val="000F6E6F"/>
    <w:rsid w:val="0010601F"/>
    <w:rsid w:val="0010788A"/>
    <w:rsid w:val="00107A31"/>
    <w:rsid w:val="00110EA5"/>
    <w:rsid w:val="00112F56"/>
    <w:rsid w:val="00124ACD"/>
    <w:rsid w:val="00125318"/>
    <w:rsid w:val="00127A56"/>
    <w:rsid w:val="00127EE1"/>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37C5"/>
    <w:rsid w:val="001843C6"/>
    <w:rsid w:val="001850E0"/>
    <w:rsid w:val="00193CC4"/>
    <w:rsid w:val="001A03AF"/>
    <w:rsid w:val="001A2158"/>
    <w:rsid w:val="001A4083"/>
    <w:rsid w:val="001A525F"/>
    <w:rsid w:val="001B09F9"/>
    <w:rsid w:val="001B5C90"/>
    <w:rsid w:val="001B6448"/>
    <w:rsid w:val="001C32CD"/>
    <w:rsid w:val="001D2984"/>
    <w:rsid w:val="001E07CF"/>
    <w:rsid w:val="001E11BE"/>
    <w:rsid w:val="001E59F1"/>
    <w:rsid w:val="001F2CEE"/>
    <w:rsid w:val="001F49EB"/>
    <w:rsid w:val="001F6CBA"/>
    <w:rsid w:val="00201D4E"/>
    <w:rsid w:val="002076C9"/>
    <w:rsid w:val="00220B8A"/>
    <w:rsid w:val="002257F3"/>
    <w:rsid w:val="00233456"/>
    <w:rsid w:val="002339A5"/>
    <w:rsid w:val="002566B0"/>
    <w:rsid w:val="00257848"/>
    <w:rsid w:val="002578E8"/>
    <w:rsid w:val="0027084A"/>
    <w:rsid w:val="00280265"/>
    <w:rsid w:val="00286434"/>
    <w:rsid w:val="00286C59"/>
    <w:rsid w:val="0028737D"/>
    <w:rsid w:val="00291957"/>
    <w:rsid w:val="002942D1"/>
    <w:rsid w:val="0029501A"/>
    <w:rsid w:val="002A3721"/>
    <w:rsid w:val="002B1638"/>
    <w:rsid w:val="002B3624"/>
    <w:rsid w:val="002D0952"/>
    <w:rsid w:val="002E40B3"/>
    <w:rsid w:val="002E4C9A"/>
    <w:rsid w:val="002F0B18"/>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81F46"/>
    <w:rsid w:val="00383221"/>
    <w:rsid w:val="00386150"/>
    <w:rsid w:val="003874CE"/>
    <w:rsid w:val="00390900"/>
    <w:rsid w:val="00397FA2"/>
    <w:rsid w:val="003A7F6C"/>
    <w:rsid w:val="003B4D60"/>
    <w:rsid w:val="003B7E39"/>
    <w:rsid w:val="003C58DC"/>
    <w:rsid w:val="003D1E62"/>
    <w:rsid w:val="003E0B99"/>
    <w:rsid w:val="003E2486"/>
    <w:rsid w:val="003E3208"/>
    <w:rsid w:val="003F0B04"/>
    <w:rsid w:val="0040134E"/>
    <w:rsid w:val="0041462C"/>
    <w:rsid w:val="004151AE"/>
    <w:rsid w:val="00424567"/>
    <w:rsid w:val="004333B0"/>
    <w:rsid w:val="004334C7"/>
    <w:rsid w:val="00440A2D"/>
    <w:rsid w:val="00441C3F"/>
    <w:rsid w:val="00444D1A"/>
    <w:rsid w:val="0045186A"/>
    <w:rsid w:val="004564A7"/>
    <w:rsid w:val="00456765"/>
    <w:rsid w:val="004617BF"/>
    <w:rsid w:val="00463658"/>
    <w:rsid w:val="004637A0"/>
    <w:rsid w:val="004653B4"/>
    <w:rsid w:val="004722CC"/>
    <w:rsid w:val="00490483"/>
    <w:rsid w:val="004936E4"/>
    <w:rsid w:val="00494E60"/>
    <w:rsid w:val="00497487"/>
    <w:rsid w:val="004A2771"/>
    <w:rsid w:val="004A6189"/>
    <w:rsid w:val="004A7390"/>
    <w:rsid w:val="004B2DAA"/>
    <w:rsid w:val="004B3093"/>
    <w:rsid w:val="004B7B76"/>
    <w:rsid w:val="004C239D"/>
    <w:rsid w:val="004C2DCA"/>
    <w:rsid w:val="004C61D2"/>
    <w:rsid w:val="004D2094"/>
    <w:rsid w:val="004F0C4A"/>
    <w:rsid w:val="004F0F38"/>
    <w:rsid w:val="004F47D6"/>
    <w:rsid w:val="00500337"/>
    <w:rsid w:val="00501921"/>
    <w:rsid w:val="00530354"/>
    <w:rsid w:val="0053625B"/>
    <w:rsid w:val="005427EE"/>
    <w:rsid w:val="005434C6"/>
    <w:rsid w:val="00543B39"/>
    <w:rsid w:val="00545D63"/>
    <w:rsid w:val="00546154"/>
    <w:rsid w:val="00550096"/>
    <w:rsid w:val="00555280"/>
    <w:rsid w:val="00557A1B"/>
    <w:rsid w:val="00557FF9"/>
    <w:rsid w:val="00562327"/>
    <w:rsid w:val="005711D5"/>
    <w:rsid w:val="00576378"/>
    <w:rsid w:val="00576A3A"/>
    <w:rsid w:val="00577130"/>
    <w:rsid w:val="00577945"/>
    <w:rsid w:val="00577E38"/>
    <w:rsid w:val="0058132E"/>
    <w:rsid w:val="00585322"/>
    <w:rsid w:val="005857C6"/>
    <w:rsid w:val="00592F6E"/>
    <w:rsid w:val="00593AD1"/>
    <w:rsid w:val="005A68B6"/>
    <w:rsid w:val="005C5570"/>
    <w:rsid w:val="005C79A4"/>
    <w:rsid w:val="005D5442"/>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A7195"/>
    <w:rsid w:val="006B1444"/>
    <w:rsid w:val="006C3E2A"/>
    <w:rsid w:val="006C642F"/>
    <w:rsid w:val="006D03E5"/>
    <w:rsid w:val="006D4E02"/>
    <w:rsid w:val="006D5D3E"/>
    <w:rsid w:val="006E08B3"/>
    <w:rsid w:val="006F17AC"/>
    <w:rsid w:val="006F25B8"/>
    <w:rsid w:val="006F572E"/>
    <w:rsid w:val="007046D6"/>
    <w:rsid w:val="00705DB0"/>
    <w:rsid w:val="00722B57"/>
    <w:rsid w:val="00730F8A"/>
    <w:rsid w:val="00735A8C"/>
    <w:rsid w:val="0074253D"/>
    <w:rsid w:val="0074429B"/>
    <w:rsid w:val="00755683"/>
    <w:rsid w:val="007615BC"/>
    <w:rsid w:val="00762F05"/>
    <w:rsid w:val="007652FF"/>
    <w:rsid w:val="00770CAC"/>
    <w:rsid w:val="00770EF1"/>
    <w:rsid w:val="00773EF7"/>
    <w:rsid w:val="00774E1D"/>
    <w:rsid w:val="007765D8"/>
    <w:rsid w:val="0077675A"/>
    <w:rsid w:val="00780355"/>
    <w:rsid w:val="007819FD"/>
    <w:rsid w:val="00785717"/>
    <w:rsid w:val="00785721"/>
    <w:rsid w:val="00787882"/>
    <w:rsid w:val="00793A59"/>
    <w:rsid w:val="007A46F5"/>
    <w:rsid w:val="007A6505"/>
    <w:rsid w:val="007B6132"/>
    <w:rsid w:val="007B6E9F"/>
    <w:rsid w:val="007C1216"/>
    <w:rsid w:val="007C1AF7"/>
    <w:rsid w:val="007C6B9B"/>
    <w:rsid w:val="007E27BD"/>
    <w:rsid w:val="007F14C5"/>
    <w:rsid w:val="00805D27"/>
    <w:rsid w:val="00806DCB"/>
    <w:rsid w:val="00821776"/>
    <w:rsid w:val="008321F5"/>
    <w:rsid w:val="00832369"/>
    <w:rsid w:val="00834660"/>
    <w:rsid w:val="00836BC2"/>
    <w:rsid w:val="0085156D"/>
    <w:rsid w:val="00852B28"/>
    <w:rsid w:val="0085641B"/>
    <w:rsid w:val="00857136"/>
    <w:rsid w:val="00875A6B"/>
    <w:rsid w:val="00885504"/>
    <w:rsid w:val="00885B11"/>
    <w:rsid w:val="00886D15"/>
    <w:rsid w:val="00887296"/>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297E"/>
    <w:rsid w:val="008E7846"/>
    <w:rsid w:val="008F02E5"/>
    <w:rsid w:val="008F1CCC"/>
    <w:rsid w:val="008F2967"/>
    <w:rsid w:val="008F3E26"/>
    <w:rsid w:val="008F6943"/>
    <w:rsid w:val="00902A21"/>
    <w:rsid w:val="0091523F"/>
    <w:rsid w:val="00920330"/>
    <w:rsid w:val="009219D7"/>
    <w:rsid w:val="00922D53"/>
    <w:rsid w:val="00923B70"/>
    <w:rsid w:val="00924482"/>
    <w:rsid w:val="00930237"/>
    <w:rsid w:val="00937C17"/>
    <w:rsid w:val="00940A89"/>
    <w:rsid w:val="00941F77"/>
    <w:rsid w:val="00946EA5"/>
    <w:rsid w:val="00960520"/>
    <w:rsid w:val="00961EDC"/>
    <w:rsid w:val="00963C08"/>
    <w:rsid w:val="009645A3"/>
    <w:rsid w:val="009752A5"/>
    <w:rsid w:val="0098585A"/>
    <w:rsid w:val="009A4CED"/>
    <w:rsid w:val="009A690D"/>
    <w:rsid w:val="009B1D12"/>
    <w:rsid w:val="009B3D56"/>
    <w:rsid w:val="009B416B"/>
    <w:rsid w:val="009C4BD5"/>
    <w:rsid w:val="009D7B77"/>
    <w:rsid w:val="009E0BB0"/>
    <w:rsid w:val="009E38E2"/>
    <w:rsid w:val="009E3FBB"/>
    <w:rsid w:val="009F7353"/>
    <w:rsid w:val="00A04F85"/>
    <w:rsid w:val="00A05FA4"/>
    <w:rsid w:val="00A102E4"/>
    <w:rsid w:val="00A1219C"/>
    <w:rsid w:val="00A12C42"/>
    <w:rsid w:val="00A14DF7"/>
    <w:rsid w:val="00A22D57"/>
    <w:rsid w:val="00A25053"/>
    <w:rsid w:val="00A26D31"/>
    <w:rsid w:val="00A3246D"/>
    <w:rsid w:val="00A36FA7"/>
    <w:rsid w:val="00A44DDB"/>
    <w:rsid w:val="00A475B7"/>
    <w:rsid w:val="00A47AF7"/>
    <w:rsid w:val="00A47C3E"/>
    <w:rsid w:val="00A50226"/>
    <w:rsid w:val="00A60BAD"/>
    <w:rsid w:val="00A77F87"/>
    <w:rsid w:val="00A80B5B"/>
    <w:rsid w:val="00A84E36"/>
    <w:rsid w:val="00A951EF"/>
    <w:rsid w:val="00A964D1"/>
    <w:rsid w:val="00AA0ED0"/>
    <w:rsid w:val="00AA11EA"/>
    <w:rsid w:val="00AC2B40"/>
    <w:rsid w:val="00AC2BB2"/>
    <w:rsid w:val="00AC2C3C"/>
    <w:rsid w:val="00AC512D"/>
    <w:rsid w:val="00AD0083"/>
    <w:rsid w:val="00AD3935"/>
    <w:rsid w:val="00AE65EB"/>
    <w:rsid w:val="00AE67A7"/>
    <w:rsid w:val="00AE69E1"/>
    <w:rsid w:val="00AF1D94"/>
    <w:rsid w:val="00AF60C5"/>
    <w:rsid w:val="00B009C6"/>
    <w:rsid w:val="00B01548"/>
    <w:rsid w:val="00B130C5"/>
    <w:rsid w:val="00B13EBD"/>
    <w:rsid w:val="00B21D29"/>
    <w:rsid w:val="00B223EF"/>
    <w:rsid w:val="00B25034"/>
    <w:rsid w:val="00B25D51"/>
    <w:rsid w:val="00B33588"/>
    <w:rsid w:val="00B33863"/>
    <w:rsid w:val="00B37D17"/>
    <w:rsid w:val="00B4175E"/>
    <w:rsid w:val="00B41C85"/>
    <w:rsid w:val="00B452CE"/>
    <w:rsid w:val="00B54C25"/>
    <w:rsid w:val="00B76B91"/>
    <w:rsid w:val="00B77EB1"/>
    <w:rsid w:val="00B811C6"/>
    <w:rsid w:val="00B855B0"/>
    <w:rsid w:val="00B92E08"/>
    <w:rsid w:val="00BA4447"/>
    <w:rsid w:val="00BB60B8"/>
    <w:rsid w:val="00BC622A"/>
    <w:rsid w:val="00BD75AC"/>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E24"/>
    <w:rsid w:val="00C6316B"/>
    <w:rsid w:val="00C634A9"/>
    <w:rsid w:val="00C64586"/>
    <w:rsid w:val="00C70D53"/>
    <w:rsid w:val="00C73D0B"/>
    <w:rsid w:val="00C74F5C"/>
    <w:rsid w:val="00C772FF"/>
    <w:rsid w:val="00C80137"/>
    <w:rsid w:val="00C801AF"/>
    <w:rsid w:val="00C80256"/>
    <w:rsid w:val="00C823D5"/>
    <w:rsid w:val="00C94CD4"/>
    <w:rsid w:val="00C9747E"/>
    <w:rsid w:val="00CB6BC0"/>
    <w:rsid w:val="00CC04AE"/>
    <w:rsid w:val="00CC1B7C"/>
    <w:rsid w:val="00CC727F"/>
    <w:rsid w:val="00CE7128"/>
    <w:rsid w:val="00CF15C3"/>
    <w:rsid w:val="00CF2B6F"/>
    <w:rsid w:val="00CF2F3E"/>
    <w:rsid w:val="00CF58B6"/>
    <w:rsid w:val="00D0062D"/>
    <w:rsid w:val="00D017ED"/>
    <w:rsid w:val="00D040D3"/>
    <w:rsid w:val="00D04C65"/>
    <w:rsid w:val="00D153D8"/>
    <w:rsid w:val="00D201D2"/>
    <w:rsid w:val="00D224FE"/>
    <w:rsid w:val="00D23139"/>
    <w:rsid w:val="00D425BB"/>
    <w:rsid w:val="00D453FA"/>
    <w:rsid w:val="00D6493E"/>
    <w:rsid w:val="00D7195D"/>
    <w:rsid w:val="00D7301E"/>
    <w:rsid w:val="00D83AE1"/>
    <w:rsid w:val="00D855D4"/>
    <w:rsid w:val="00D902C9"/>
    <w:rsid w:val="00D924BF"/>
    <w:rsid w:val="00D93466"/>
    <w:rsid w:val="00DA1124"/>
    <w:rsid w:val="00DA64CB"/>
    <w:rsid w:val="00DB06B8"/>
    <w:rsid w:val="00DB6124"/>
    <w:rsid w:val="00DB750B"/>
    <w:rsid w:val="00DB75B7"/>
    <w:rsid w:val="00DC0A2F"/>
    <w:rsid w:val="00DC1948"/>
    <w:rsid w:val="00DC65C4"/>
    <w:rsid w:val="00DC6E02"/>
    <w:rsid w:val="00DD28CD"/>
    <w:rsid w:val="00DE02AE"/>
    <w:rsid w:val="00DE39D1"/>
    <w:rsid w:val="00DF1D7F"/>
    <w:rsid w:val="00DF4BE4"/>
    <w:rsid w:val="00E02382"/>
    <w:rsid w:val="00E02FB4"/>
    <w:rsid w:val="00E13FC7"/>
    <w:rsid w:val="00E20571"/>
    <w:rsid w:val="00E21904"/>
    <w:rsid w:val="00E235F7"/>
    <w:rsid w:val="00E23659"/>
    <w:rsid w:val="00E239D4"/>
    <w:rsid w:val="00E23B19"/>
    <w:rsid w:val="00E26130"/>
    <w:rsid w:val="00E3471A"/>
    <w:rsid w:val="00E40B22"/>
    <w:rsid w:val="00E43DED"/>
    <w:rsid w:val="00E44ED1"/>
    <w:rsid w:val="00E45619"/>
    <w:rsid w:val="00E4588F"/>
    <w:rsid w:val="00E46DA3"/>
    <w:rsid w:val="00E51BB1"/>
    <w:rsid w:val="00E55CB0"/>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069"/>
    <w:rsid w:val="00FA5B82"/>
    <w:rsid w:val="00FA639E"/>
    <w:rsid w:val="00FB171C"/>
    <w:rsid w:val="00FC1FCA"/>
    <w:rsid w:val="00FC25E4"/>
    <w:rsid w:val="00FC4B40"/>
    <w:rsid w:val="00FC4EF7"/>
    <w:rsid w:val="00FD0824"/>
    <w:rsid w:val="00FD119B"/>
    <w:rsid w:val="00FD1EDC"/>
    <w:rsid w:val="00FD1F01"/>
    <w:rsid w:val="00FE1DEE"/>
    <w:rsid w:val="00FF2126"/>
    <w:rsid w:val="00FF3FF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18C464"/>
  <w15:docId w15:val="{E7D5C42A-9438-46E4-8795-4B16EAE9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93CC4"/>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93CC4"/>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193CC4"/>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193CC4"/>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193CC4"/>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4151AE"/>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4151A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151A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4151AE"/>
    <w:pPr>
      <w:numPr>
        <w:numId w:val="30"/>
      </w:numPr>
      <w:spacing w:after="180"/>
      <w:ind w:left="426" w:hanging="284"/>
    </w:pPr>
    <w:rPr>
      <w:kern w:val="2"/>
    </w:rPr>
  </w:style>
  <w:style w:type="character" w:customStyle="1" w:styleId="TabletextChar">
    <w:name w:val="Table text Char"/>
    <w:basedOn w:val="StandardChar"/>
    <w:link w:val="Tabletext"/>
    <w:rsid w:val="004151AE"/>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4151AE"/>
    <w:rPr>
      <w:rFonts w:ascii="Cambria" w:eastAsia="Times New Roman" w:hAnsi="Cambria" w:cs="Times New Roman"/>
      <w:snapToGrid w:val="0"/>
      <w:kern w:val="2"/>
      <w:sz w:val="23"/>
      <w:szCs w:val="24"/>
    </w:rPr>
  </w:style>
  <w:style w:type="character" w:styleId="Emphasis">
    <w:name w:val="Emphasis"/>
    <w:basedOn w:val="DefaultParagraphFont"/>
    <w:uiPriority w:val="20"/>
    <w:qFormat/>
    <w:rsid w:val="00381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189768">
      <w:bodyDiv w:val="1"/>
      <w:marLeft w:val="0"/>
      <w:marRight w:val="0"/>
      <w:marTop w:val="0"/>
      <w:marBottom w:val="0"/>
      <w:divBdr>
        <w:top w:val="none" w:sz="0" w:space="0" w:color="auto"/>
        <w:left w:val="none" w:sz="0" w:space="0" w:color="auto"/>
        <w:bottom w:val="none" w:sz="0" w:space="0" w:color="auto"/>
        <w:right w:val="none" w:sz="0" w:space="0" w:color="auto"/>
      </w:divBdr>
      <w:divsChild>
        <w:div w:id="118455786">
          <w:marLeft w:val="0"/>
          <w:marRight w:val="0"/>
          <w:marTop w:val="0"/>
          <w:marBottom w:val="0"/>
          <w:divBdr>
            <w:top w:val="none" w:sz="0" w:space="0" w:color="auto"/>
            <w:left w:val="none" w:sz="0" w:space="0" w:color="auto"/>
            <w:bottom w:val="none" w:sz="0" w:space="0" w:color="auto"/>
            <w:right w:val="none" w:sz="0" w:space="0" w:color="auto"/>
          </w:divBdr>
          <w:divsChild>
            <w:div w:id="1404720371">
              <w:marLeft w:val="0"/>
              <w:marRight w:val="0"/>
              <w:marTop w:val="0"/>
              <w:marBottom w:val="0"/>
              <w:divBdr>
                <w:top w:val="none" w:sz="0" w:space="0" w:color="auto"/>
                <w:left w:val="none" w:sz="0" w:space="0" w:color="auto"/>
                <w:bottom w:val="none" w:sz="0" w:space="0" w:color="auto"/>
                <w:right w:val="none" w:sz="0" w:space="0" w:color="auto"/>
              </w:divBdr>
              <w:divsChild>
                <w:div w:id="932206050">
                  <w:marLeft w:val="0"/>
                  <w:marRight w:val="0"/>
                  <w:marTop w:val="0"/>
                  <w:marBottom w:val="0"/>
                  <w:divBdr>
                    <w:top w:val="none" w:sz="0" w:space="0" w:color="auto"/>
                    <w:left w:val="none" w:sz="0" w:space="0" w:color="auto"/>
                    <w:bottom w:val="none" w:sz="0" w:space="0" w:color="auto"/>
                    <w:right w:val="none" w:sz="0" w:space="0" w:color="auto"/>
                  </w:divBdr>
                  <w:divsChild>
                    <w:div w:id="1677027270">
                      <w:marLeft w:val="0"/>
                      <w:marRight w:val="0"/>
                      <w:marTop w:val="0"/>
                      <w:marBottom w:val="0"/>
                      <w:divBdr>
                        <w:top w:val="none" w:sz="0" w:space="0" w:color="auto"/>
                        <w:left w:val="none" w:sz="0" w:space="0" w:color="auto"/>
                        <w:bottom w:val="none" w:sz="0" w:space="0" w:color="auto"/>
                        <w:right w:val="none" w:sz="0" w:space="0" w:color="auto"/>
                      </w:divBdr>
                      <w:divsChild>
                        <w:div w:id="267081763">
                          <w:marLeft w:val="0"/>
                          <w:marRight w:val="0"/>
                          <w:marTop w:val="0"/>
                          <w:marBottom w:val="0"/>
                          <w:divBdr>
                            <w:top w:val="none" w:sz="0" w:space="0" w:color="auto"/>
                            <w:left w:val="none" w:sz="0" w:space="0" w:color="auto"/>
                            <w:bottom w:val="none" w:sz="0" w:space="0" w:color="auto"/>
                            <w:right w:val="none" w:sz="0" w:space="0" w:color="auto"/>
                          </w:divBdr>
                          <w:divsChild>
                            <w:div w:id="1187016188">
                              <w:marLeft w:val="0"/>
                              <w:marRight w:val="0"/>
                              <w:marTop w:val="0"/>
                              <w:marBottom w:val="0"/>
                              <w:divBdr>
                                <w:top w:val="none" w:sz="0" w:space="0" w:color="auto"/>
                                <w:left w:val="none" w:sz="0" w:space="0" w:color="auto"/>
                                <w:bottom w:val="none" w:sz="0" w:space="0" w:color="auto"/>
                                <w:right w:val="none" w:sz="0" w:space="0" w:color="auto"/>
                              </w:divBdr>
                              <w:divsChild>
                                <w:div w:id="1789854488">
                                  <w:marLeft w:val="0"/>
                                  <w:marRight w:val="0"/>
                                  <w:marTop w:val="0"/>
                                  <w:marBottom w:val="0"/>
                                  <w:divBdr>
                                    <w:top w:val="none" w:sz="0" w:space="0" w:color="auto"/>
                                    <w:left w:val="none" w:sz="0" w:space="0" w:color="auto"/>
                                    <w:bottom w:val="none" w:sz="0" w:space="0" w:color="auto"/>
                                    <w:right w:val="none" w:sz="0" w:space="0" w:color="auto"/>
                                  </w:divBdr>
                                  <w:divsChild>
                                    <w:div w:id="536436198">
                                      <w:marLeft w:val="0"/>
                                      <w:marRight w:val="0"/>
                                      <w:marTop w:val="0"/>
                                      <w:marBottom w:val="0"/>
                                      <w:divBdr>
                                        <w:top w:val="none" w:sz="0" w:space="0" w:color="auto"/>
                                        <w:left w:val="none" w:sz="0" w:space="0" w:color="auto"/>
                                        <w:bottom w:val="none" w:sz="0" w:space="0" w:color="auto"/>
                                        <w:right w:val="none" w:sz="0" w:space="0" w:color="auto"/>
                                      </w:divBdr>
                                      <w:divsChild>
                                        <w:div w:id="29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294099">
      <w:bodyDiv w:val="1"/>
      <w:marLeft w:val="0"/>
      <w:marRight w:val="0"/>
      <w:marTop w:val="0"/>
      <w:marBottom w:val="0"/>
      <w:divBdr>
        <w:top w:val="none" w:sz="0" w:space="0" w:color="auto"/>
        <w:left w:val="none" w:sz="0" w:space="0" w:color="auto"/>
        <w:bottom w:val="none" w:sz="0" w:space="0" w:color="auto"/>
        <w:right w:val="none" w:sz="0" w:space="0" w:color="auto"/>
      </w:divBdr>
      <w:divsChild>
        <w:div w:id="1154443854">
          <w:marLeft w:val="0"/>
          <w:marRight w:val="0"/>
          <w:marTop w:val="0"/>
          <w:marBottom w:val="0"/>
          <w:divBdr>
            <w:top w:val="none" w:sz="0" w:space="0" w:color="auto"/>
            <w:left w:val="none" w:sz="0" w:space="0" w:color="auto"/>
            <w:bottom w:val="none" w:sz="0" w:space="0" w:color="auto"/>
            <w:right w:val="none" w:sz="0" w:space="0" w:color="auto"/>
          </w:divBdr>
          <w:divsChild>
            <w:div w:id="1687712201">
              <w:marLeft w:val="0"/>
              <w:marRight w:val="0"/>
              <w:marTop w:val="0"/>
              <w:marBottom w:val="0"/>
              <w:divBdr>
                <w:top w:val="none" w:sz="0" w:space="0" w:color="auto"/>
                <w:left w:val="none" w:sz="0" w:space="0" w:color="auto"/>
                <w:bottom w:val="none" w:sz="0" w:space="0" w:color="auto"/>
                <w:right w:val="none" w:sz="0" w:space="0" w:color="auto"/>
              </w:divBdr>
              <w:divsChild>
                <w:div w:id="2003383953">
                  <w:marLeft w:val="0"/>
                  <w:marRight w:val="0"/>
                  <w:marTop w:val="0"/>
                  <w:marBottom w:val="0"/>
                  <w:divBdr>
                    <w:top w:val="none" w:sz="0" w:space="0" w:color="auto"/>
                    <w:left w:val="none" w:sz="0" w:space="0" w:color="auto"/>
                    <w:bottom w:val="none" w:sz="0" w:space="0" w:color="auto"/>
                    <w:right w:val="none" w:sz="0" w:space="0" w:color="auto"/>
                  </w:divBdr>
                  <w:divsChild>
                    <w:div w:id="267852531">
                      <w:marLeft w:val="0"/>
                      <w:marRight w:val="0"/>
                      <w:marTop w:val="0"/>
                      <w:marBottom w:val="0"/>
                      <w:divBdr>
                        <w:top w:val="none" w:sz="0" w:space="0" w:color="auto"/>
                        <w:left w:val="none" w:sz="0" w:space="0" w:color="auto"/>
                        <w:bottom w:val="none" w:sz="0" w:space="0" w:color="auto"/>
                        <w:right w:val="none" w:sz="0" w:space="0" w:color="auto"/>
                      </w:divBdr>
                      <w:divsChild>
                        <w:div w:id="352459294">
                          <w:marLeft w:val="0"/>
                          <w:marRight w:val="0"/>
                          <w:marTop w:val="0"/>
                          <w:marBottom w:val="0"/>
                          <w:divBdr>
                            <w:top w:val="none" w:sz="0" w:space="0" w:color="auto"/>
                            <w:left w:val="none" w:sz="0" w:space="0" w:color="auto"/>
                            <w:bottom w:val="none" w:sz="0" w:space="0" w:color="auto"/>
                            <w:right w:val="none" w:sz="0" w:space="0" w:color="auto"/>
                          </w:divBdr>
                          <w:divsChild>
                            <w:div w:id="714886684">
                              <w:marLeft w:val="0"/>
                              <w:marRight w:val="0"/>
                              <w:marTop w:val="0"/>
                              <w:marBottom w:val="0"/>
                              <w:divBdr>
                                <w:top w:val="none" w:sz="0" w:space="0" w:color="auto"/>
                                <w:left w:val="none" w:sz="0" w:space="0" w:color="auto"/>
                                <w:bottom w:val="none" w:sz="0" w:space="0" w:color="auto"/>
                                <w:right w:val="none" w:sz="0" w:space="0" w:color="auto"/>
                              </w:divBdr>
                              <w:divsChild>
                                <w:div w:id="357581152">
                                  <w:marLeft w:val="0"/>
                                  <w:marRight w:val="0"/>
                                  <w:marTop w:val="0"/>
                                  <w:marBottom w:val="0"/>
                                  <w:divBdr>
                                    <w:top w:val="none" w:sz="0" w:space="0" w:color="auto"/>
                                    <w:left w:val="none" w:sz="0" w:space="0" w:color="auto"/>
                                    <w:bottom w:val="none" w:sz="0" w:space="0" w:color="auto"/>
                                    <w:right w:val="none" w:sz="0" w:space="0" w:color="auto"/>
                                  </w:divBdr>
                                  <w:divsChild>
                                    <w:div w:id="1614827719">
                                      <w:marLeft w:val="0"/>
                                      <w:marRight w:val="0"/>
                                      <w:marTop w:val="0"/>
                                      <w:marBottom w:val="0"/>
                                      <w:divBdr>
                                        <w:top w:val="none" w:sz="0" w:space="0" w:color="auto"/>
                                        <w:left w:val="none" w:sz="0" w:space="0" w:color="auto"/>
                                        <w:bottom w:val="none" w:sz="0" w:space="0" w:color="auto"/>
                                        <w:right w:val="none" w:sz="0" w:space="0" w:color="auto"/>
                                      </w:divBdr>
                                      <w:divsChild>
                                        <w:div w:id="6238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hyperlink" Target="mailto:Biochemistry.Testing@health.gov.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tga.gov.au/guidance-7-certified-product-details" TargetMode="External"/><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eader" Target="header4.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ga.gov.au/publication/testing-biological-medicines" TargetMode="External"/><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Biochemistry.Testing@health.gov.au" TargetMode="External"/><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emf"/><Relationship Id="rId22" Type="http://schemas.openxmlformats.org/officeDocument/2006/relationships/hyperlink" Target="http://www.tga.gov.au/ws-labs-index" TargetMode="External"/><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7268\t0QINSOC.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962CE-4386-4845-A80C-2216C48E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t0QINSOC.DOTX</Template>
  <TotalTime>24</TotalTime>
  <Pages>23</Pages>
  <Words>6290</Words>
  <Characters>35859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Australian Public Assessment Report for Caplacizumab</vt:lpstr>
    </vt:vector>
  </TitlesOfParts>
  <Company>Department of Health Therapeutic Goods Administration</Company>
  <LinksUpToDate>false</LinksUpToDate>
  <CharactersWithSpaces>42065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Caplacizumab</dc:title>
  <dc:subject>prescription medicine regulation</dc:subject>
  <dc:creator>Therapeutic Goods Administration</dc:creator>
  <cp:keywords>AusPARs</cp:keywords>
  <cp:lastPrinted>2019-08-14T04:30:00Z</cp:lastPrinted>
  <dcterms:created xsi:type="dcterms:W3CDTF">2020-04-27T12:44:00Z</dcterms:created>
  <dcterms:modified xsi:type="dcterms:W3CDTF">2020-05-12T06:53:00Z</dcterms:modified>
  <cp:category/>
</cp:coreProperties>
</file>