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C2E6" w14:textId="0511B701" w:rsidR="00E756B9" w:rsidRPr="00CB1EA2" w:rsidRDefault="00E756B9" w:rsidP="00E756B9">
      <w:pPr>
        <w:rPr>
          <w:rFonts w:ascii="Wingdings 3" w:hAnsi="Wingdings 3"/>
          <w:lang w:val="en-AU"/>
        </w:rPr>
      </w:pPr>
      <w:r w:rsidRPr="00CB1EA2">
        <w:rPr>
          <w:rFonts w:ascii="SimSun" w:eastAsia="SimSun" w:hAnsi="SimSun" w:cs="Arial"/>
          <w:color w:val="auto"/>
          <w:sz w:val="40"/>
          <w:lang w:val="en-AU"/>
        </w:rPr>
        <w:t>▼</w:t>
      </w:r>
      <w:r w:rsidRPr="00CB1EA2">
        <w:rPr>
          <w:lang w:val="en-AU"/>
        </w:rPr>
        <w:t xml:space="preserve">This medicinal product is subject to additional monitoring in Australia. This will allow quick identification of new safety information. Healthcare professionals </w:t>
      </w:r>
      <w:proofErr w:type="gramStart"/>
      <w:r w:rsidRPr="00CB1EA2">
        <w:rPr>
          <w:lang w:val="en-AU"/>
        </w:rPr>
        <w:t>are asked</w:t>
      </w:r>
      <w:proofErr w:type="gramEnd"/>
      <w:r w:rsidRPr="00CB1EA2">
        <w:rPr>
          <w:lang w:val="en-AU"/>
        </w:rPr>
        <w:t xml:space="preserve"> to report any suspected adverse events at </w:t>
      </w:r>
      <w:hyperlink r:id="rId11" w:history="1">
        <w:r w:rsidRPr="00614370">
          <w:rPr>
            <w:rStyle w:val="Hyperlink"/>
            <w:lang w:val="en-AU"/>
          </w:rPr>
          <w:t>www.tga.gov.au/reporting-problems</w:t>
        </w:r>
      </w:hyperlink>
    </w:p>
    <w:p w14:paraId="7D3ED235" w14:textId="10A3DFFD" w:rsidR="004032BD" w:rsidRPr="00CB1EA2" w:rsidRDefault="00D86276" w:rsidP="00024098">
      <w:pPr>
        <w:pStyle w:val="Heading1"/>
        <w:keepNext w:val="0"/>
        <w:pageBreakBefore w:val="0"/>
        <w:numPr>
          <w:ilvl w:val="0"/>
          <w:numId w:val="0"/>
        </w:numPr>
        <w:spacing w:after="240"/>
        <w:rPr>
          <w:rFonts w:eastAsia="SimSun"/>
          <w:lang w:val="en-AU"/>
        </w:rPr>
      </w:pPr>
      <w:r w:rsidRPr="00CB1EA2">
        <w:rPr>
          <w:rFonts w:eastAsia="SimSun"/>
          <w:lang w:val="en-AU"/>
        </w:rPr>
        <w:t xml:space="preserve">Australian </w:t>
      </w:r>
      <w:r w:rsidR="000257A8" w:rsidRPr="00CB1EA2">
        <w:rPr>
          <w:rFonts w:eastAsia="SimSun"/>
          <w:lang w:val="en-AU"/>
        </w:rPr>
        <w:t>P</w:t>
      </w:r>
      <w:r w:rsidRPr="00CB1EA2">
        <w:rPr>
          <w:rFonts w:eastAsia="SimSun"/>
          <w:lang w:val="en-AU"/>
        </w:rPr>
        <w:t xml:space="preserve">roduct </w:t>
      </w:r>
      <w:r w:rsidR="004032BD" w:rsidRPr="00CB1EA2">
        <w:rPr>
          <w:rFonts w:eastAsia="SimSun"/>
          <w:lang w:val="en-AU"/>
        </w:rPr>
        <w:t>I</w:t>
      </w:r>
      <w:r w:rsidRPr="00CB1EA2">
        <w:rPr>
          <w:rFonts w:eastAsia="SimSun"/>
          <w:lang w:val="en-AU"/>
        </w:rPr>
        <w:t>nformation</w:t>
      </w:r>
      <w:r w:rsidR="004032BD" w:rsidRPr="00CB1EA2">
        <w:rPr>
          <w:rFonts w:eastAsia="SimSun"/>
          <w:lang w:val="en-AU"/>
        </w:rPr>
        <w:t xml:space="preserve"> –</w:t>
      </w:r>
      <w:r w:rsidR="00E53688" w:rsidRPr="00CB1EA2">
        <w:rPr>
          <w:rFonts w:eastAsia="SimSun"/>
          <w:lang w:val="en-AU"/>
        </w:rPr>
        <w:t xml:space="preserve"> </w:t>
      </w:r>
      <w:r w:rsidR="00E756B9" w:rsidRPr="00CB1EA2">
        <w:rPr>
          <w:rFonts w:eastAsia="SimSun"/>
          <w:lang w:val="en-AU"/>
        </w:rPr>
        <w:t>CABLIVI (CAPLACIZUMAB)</w:t>
      </w:r>
    </w:p>
    <w:p w14:paraId="6E1347BE" w14:textId="794E8397" w:rsidR="001A3992" w:rsidRPr="00CB1EA2" w:rsidRDefault="001A3992" w:rsidP="0069033B">
      <w:pPr>
        <w:pStyle w:val="Heading1"/>
        <w:pageBreakBefore w:val="0"/>
        <w:rPr>
          <w:lang w:val="en-AU"/>
        </w:rPr>
      </w:pPr>
      <w:r w:rsidRPr="00CB1EA2">
        <w:rPr>
          <w:lang w:val="en-AU"/>
        </w:rPr>
        <w:t>Name of the medicine</w:t>
      </w:r>
    </w:p>
    <w:p w14:paraId="74B4340A" w14:textId="77777777" w:rsidR="00292D82" w:rsidRPr="00CB1EA2" w:rsidRDefault="0089077B" w:rsidP="00E67B48">
      <w:pPr>
        <w:rPr>
          <w:lang w:val="en-AU"/>
        </w:rPr>
      </w:pPr>
      <w:r w:rsidRPr="00CB1EA2">
        <w:rPr>
          <w:lang w:val="en-AU"/>
        </w:rPr>
        <w:t>C</w:t>
      </w:r>
      <w:r w:rsidR="00E756B9" w:rsidRPr="00CB1EA2">
        <w:rPr>
          <w:lang w:val="en-AU"/>
        </w:rPr>
        <w:t>aplacizumab</w:t>
      </w:r>
    </w:p>
    <w:p w14:paraId="403D52C0" w14:textId="3A502ED9" w:rsidR="001A3992" w:rsidRPr="00CB1EA2" w:rsidRDefault="001A3992" w:rsidP="0069033B">
      <w:pPr>
        <w:pStyle w:val="Heading1"/>
        <w:pageBreakBefore w:val="0"/>
        <w:rPr>
          <w:lang w:val="en-AU"/>
        </w:rPr>
      </w:pPr>
      <w:r w:rsidRPr="00CB1EA2">
        <w:rPr>
          <w:lang w:val="en-AU"/>
        </w:rPr>
        <w:t>Qualitative and quantitative composition</w:t>
      </w:r>
    </w:p>
    <w:p w14:paraId="0B9C77FB" w14:textId="77777777" w:rsidR="008133D0" w:rsidRPr="00CB1EA2" w:rsidRDefault="008133D0" w:rsidP="00E756B9">
      <w:pPr>
        <w:rPr>
          <w:lang w:val="en-AU"/>
        </w:rPr>
      </w:pPr>
      <w:r w:rsidRPr="00CB1EA2">
        <w:rPr>
          <w:lang w:val="en-AU"/>
        </w:rPr>
        <w:t>Each vial of powder contains 10 mg of caplacizumab*.</w:t>
      </w:r>
    </w:p>
    <w:p w14:paraId="0CB37EB3" w14:textId="77777777" w:rsidR="008133D0" w:rsidRPr="00CB1EA2" w:rsidRDefault="008133D0" w:rsidP="00E756B9">
      <w:pPr>
        <w:rPr>
          <w:lang w:val="en-AU"/>
        </w:rPr>
      </w:pPr>
      <w:r w:rsidRPr="00CB1EA2">
        <w:rPr>
          <w:lang w:val="en-AU"/>
        </w:rPr>
        <w:t>Each pre-filled syringe of solvent contains 1 mL of water for injections.</w:t>
      </w:r>
    </w:p>
    <w:p w14:paraId="5D105A70" w14:textId="77777777" w:rsidR="008133D0" w:rsidRPr="00CB1EA2" w:rsidRDefault="008133D0" w:rsidP="00E756B9">
      <w:pPr>
        <w:rPr>
          <w:lang w:val="en-AU"/>
        </w:rPr>
      </w:pPr>
      <w:r w:rsidRPr="00CB1EA2">
        <w:rPr>
          <w:lang w:val="en-AU"/>
        </w:rPr>
        <w:t xml:space="preserve">* Caplacizumab is a humanised bivalent Nanobody produced in </w:t>
      </w:r>
      <w:r w:rsidRPr="00CB1EA2">
        <w:rPr>
          <w:i/>
          <w:lang w:val="en-AU"/>
        </w:rPr>
        <w:t>Escherichia coli</w:t>
      </w:r>
      <w:r w:rsidRPr="00CB1EA2">
        <w:rPr>
          <w:lang w:val="en-AU"/>
        </w:rPr>
        <w:t xml:space="preserve"> by recombinant DNA technology.</w:t>
      </w:r>
    </w:p>
    <w:p w14:paraId="576A6A7B" w14:textId="542D570D" w:rsidR="000E1A58" w:rsidRPr="00CB1EA2" w:rsidRDefault="008133D0" w:rsidP="00E756B9">
      <w:pPr>
        <w:rPr>
          <w:lang w:val="en-AU"/>
        </w:rPr>
      </w:pPr>
      <w:r w:rsidRPr="00CB1EA2">
        <w:rPr>
          <w:lang w:val="en-AU"/>
        </w:rPr>
        <w:t>For th</w:t>
      </w:r>
      <w:r w:rsidR="00735B15" w:rsidRPr="00CB1EA2">
        <w:rPr>
          <w:lang w:val="en-AU"/>
        </w:rPr>
        <w:t>e full list of excipients, see S</w:t>
      </w:r>
      <w:r w:rsidRPr="00CB1EA2">
        <w:rPr>
          <w:lang w:val="en-AU"/>
        </w:rPr>
        <w:t xml:space="preserve">ection </w:t>
      </w:r>
      <w:r w:rsidR="00F4343A" w:rsidRPr="00CB1EA2">
        <w:rPr>
          <w:rStyle w:val="Reference"/>
          <w:lang w:val="en-AU"/>
        </w:rPr>
        <w:fldChar w:fldCharType="begin"/>
      </w:r>
      <w:r w:rsidR="00F4343A" w:rsidRPr="00CB1EA2">
        <w:rPr>
          <w:rStyle w:val="Reference"/>
          <w:lang w:val="en-AU"/>
        </w:rPr>
        <w:instrText xml:space="preserve"> REF _Ref525053360 \r  \* MERGEFORMAT </w:instrText>
      </w:r>
      <w:r w:rsidR="00F4343A" w:rsidRPr="00CB1EA2">
        <w:rPr>
          <w:rStyle w:val="Reference"/>
          <w:lang w:val="en-AU"/>
        </w:rPr>
        <w:fldChar w:fldCharType="separate"/>
      </w:r>
      <w:r w:rsidR="007F0F04">
        <w:rPr>
          <w:rStyle w:val="Reference"/>
          <w:lang w:val="en-AU"/>
        </w:rPr>
        <w:t>6.1</w:t>
      </w:r>
      <w:r w:rsidR="00F4343A" w:rsidRPr="00CB1EA2">
        <w:rPr>
          <w:rStyle w:val="Reference"/>
          <w:lang w:val="en-AU"/>
        </w:rPr>
        <w:fldChar w:fldCharType="end"/>
      </w:r>
      <w:r w:rsidR="0074667C" w:rsidRPr="00CB1EA2">
        <w:rPr>
          <w:rFonts w:ascii="Cambria" w:hAnsi="Cambria"/>
          <w:lang w:val="en-AU"/>
        </w:rPr>
        <w:t xml:space="preserve"> </w:t>
      </w:r>
      <w:r w:rsidR="0074667C" w:rsidRPr="00285A68">
        <w:rPr>
          <w:lang w:val="en-AU"/>
        </w:rPr>
        <w:t>List of excipients.</w:t>
      </w:r>
    </w:p>
    <w:p w14:paraId="2883CAD3" w14:textId="2561DC56" w:rsidR="001A3992" w:rsidRPr="00CB1EA2" w:rsidRDefault="001A3992" w:rsidP="0069033B">
      <w:pPr>
        <w:pStyle w:val="Heading1"/>
        <w:pageBreakBefore w:val="0"/>
        <w:rPr>
          <w:lang w:val="en-AU"/>
        </w:rPr>
      </w:pPr>
      <w:r w:rsidRPr="00CB1EA2">
        <w:rPr>
          <w:lang w:val="en-AU"/>
        </w:rPr>
        <w:t>Pharmaceutical form</w:t>
      </w:r>
    </w:p>
    <w:p w14:paraId="6308C7D5" w14:textId="77777777" w:rsidR="00E756B9" w:rsidRPr="00CB1EA2" w:rsidRDefault="00E756B9" w:rsidP="00E756B9">
      <w:pPr>
        <w:rPr>
          <w:lang w:val="en-AU"/>
        </w:rPr>
      </w:pPr>
      <w:r w:rsidRPr="00CB1EA2">
        <w:rPr>
          <w:lang w:val="en-AU"/>
        </w:rPr>
        <w:t>Powder and solvent for solution for injection.</w:t>
      </w:r>
    </w:p>
    <w:p w14:paraId="62E725A5" w14:textId="77777777" w:rsidR="00E756B9" w:rsidRPr="00CB1EA2" w:rsidRDefault="00E756B9" w:rsidP="00E756B9">
      <w:pPr>
        <w:rPr>
          <w:lang w:val="en-AU"/>
        </w:rPr>
      </w:pPr>
      <w:r w:rsidRPr="00CB1EA2">
        <w:rPr>
          <w:lang w:val="en-AU"/>
        </w:rPr>
        <w:t>White lyophilised powder.</w:t>
      </w:r>
    </w:p>
    <w:p w14:paraId="589C2107" w14:textId="77777777" w:rsidR="00AE5799" w:rsidRPr="00CB1EA2" w:rsidRDefault="00E756B9" w:rsidP="00E756B9">
      <w:pPr>
        <w:rPr>
          <w:lang w:val="en-AU"/>
        </w:rPr>
      </w:pPr>
      <w:r w:rsidRPr="00CB1EA2">
        <w:rPr>
          <w:lang w:val="en-AU"/>
        </w:rPr>
        <w:t>The solvent is a clear, colourless liquid.</w:t>
      </w:r>
    </w:p>
    <w:p w14:paraId="78ABED92" w14:textId="1ADB94F9" w:rsidR="001A3992" w:rsidRPr="00CB1EA2" w:rsidRDefault="001A3992" w:rsidP="0069033B">
      <w:pPr>
        <w:pStyle w:val="Heading1"/>
        <w:pageBreakBefore w:val="0"/>
        <w:rPr>
          <w:lang w:val="en-AU"/>
        </w:rPr>
      </w:pPr>
      <w:r w:rsidRPr="00CB1EA2">
        <w:rPr>
          <w:lang w:val="en-AU"/>
        </w:rPr>
        <w:t>Clinical particulars</w:t>
      </w:r>
    </w:p>
    <w:p w14:paraId="76C5E6AF" w14:textId="78567ED2" w:rsidR="001A3992" w:rsidRPr="00CB1EA2" w:rsidRDefault="001A3992" w:rsidP="0069033B">
      <w:pPr>
        <w:pStyle w:val="Heading2"/>
        <w:rPr>
          <w:lang w:val="en-AU"/>
        </w:rPr>
      </w:pPr>
      <w:r w:rsidRPr="00CB1EA2">
        <w:rPr>
          <w:lang w:val="en-AU"/>
        </w:rPr>
        <w:t>Therapeutic indications</w:t>
      </w:r>
    </w:p>
    <w:p w14:paraId="212FB01A" w14:textId="77777777" w:rsidR="00292D82" w:rsidRPr="00CB1EA2" w:rsidRDefault="0036782A" w:rsidP="00F4343A">
      <w:pPr>
        <w:rPr>
          <w:lang w:val="en-AU"/>
        </w:rPr>
      </w:pPr>
      <w:r w:rsidRPr="00CB1EA2">
        <w:rPr>
          <w:lang w:val="en-AU"/>
        </w:rPr>
        <w:t xml:space="preserve">Cablivi </w:t>
      </w:r>
      <w:proofErr w:type="gramStart"/>
      <w:r w:rsidRPr="00CB1EA2">
        <w:rPr>
          <w:lang w:val="en-AU"/>
        </w:rPr>
        <w:t>is indicated</w:t>
      </w:r>
      <w:proofErr w:type="gramEnd"/>
      <w:r w:rsidRPr="00CB1EA2">
        <w:rPr>
          <w:lang w:val="en-AU"/>
        </w:rPr>
        <w:t xml:space="preserve"> for the treatment of adults experiencing an episode of acquired thrombotic thrombocytopenic purpura (aTTP), in conjunction with plasma exchange and immunosuppression.</w:t>
      </w:r>
    </w:p>
    <w:p w14:paraId="3D8397E8" w14:textId="61E57AE4" w:rsidR="001A3992" w:rsidRPr="00CB1EA2" w:rsidRDefault="001A3992" w:rsidP="0069033B">
      <w:pPr>
        <w:pStyle w:val="Heading2"/>
        <w:rPr>
          <w:lang w:val="en-AU"/>
        </w:rPr>
      </w:pPr>
      <w:r w:rsidRPr="00CB1EA2">
        <w:rPr>
          <w:lang w:val="en-AU"/>
        </w:rPr>
        <w:lastRenderedPageBreak/>
        <w:t>Dose and method of administration</w:t>
      </w:r>
    </w:p>
    <w:p w14:paraId="7C677D8A" w14:textId="77777777" w:rsidR="0036782A" w:rsidRPr="00CB1EA2" w:rsidRDefault="0036782A" w:rsidP="0036782A">
      <w:pPr>
        <w:rPr>
          <w:lang w:val="en-AU"/>
        </w:rPr>
      </w:pPr>
      <w:r w:rsidRPr="00CB1EA2">
        <w:rPr>
          <w:lang w:val="en-AU"/>
        </w:rPr>
        <w:t xml:space="preserve">Treatment with Cablivi </w:t>
      </w:r>
      <w:proofErr w:type="gramStart"/>
      <w:r w:rsidRPr="00CB1EA2">
        <w:rPr>
          <w:lang w:val="en-AU"/>
        </w:rPr>
        <w:t>should be initiated and supervised by physicians experienced in the management of patients with thrombotic microangiopathies</w:t>
      </w:r>
      <w:proofErr w:type="gramEnd"/>
      <w:r w:rsidRPr="00CB1EA2">
        <w:rPr>
          <w:lang w:val="en-AU"/>
        </w:rPr>
        <w:t>.</w:t>
      </w:r>
    </w:p>
    <w:p w14:paraId="2948044E" w14:textId="039D9830" w:rsidR="0036782A" w:rsidRPr="00CB1EA2" w:rsidRDefault="0036782A" w:rsidP="003B45A1">
      <w:pPr>
        <w:pStyle w:val="Heading3"/>
        <w:numPr>
          <w:ilvl w:val="0"/>
          <w:numId w:val="0"/>
        </w:numPr>
        <w:rPr>
          <w:lang w:val="en-AU"/>
        </w:rPr>
      </w:pPr>
      <w:r w:rsidRPr="00CB1EA2">
        <w:rPr>
          <w:lang w:val="en-AU"/>
        </w:rPr>
        <w:t>Posology</w:t>
      </w:r>
    </w:p>
    <w:p w14:paraId="4AD9F0D6" w14:textId="32CDC85F" w:rsidR="0036782A" w:rsidRPr="00CB1EA2" w:rsidRDefault="0036782A" w:rsidP="003B45A1">
      <w:pPr>
        <w:pStyle w:val="Heading4"/>
        <w:numPr>
          <w:ilvl w:val="0"/>
          <w:numId w:val="0"/>
        </w:numPr>
        <w:rPr>
          <w:lang w:val="en-AU"/>
        </w:rPr>
      </w:pPr>
      <w:r w:rsidRPr="00CB1EA2">
        <w:rPr>
          <w:lang w:val="en-AU"/>
        </w:rPr>
        <w:t>First dose</w:t>
      </w:r>
    </w:p>
    <w:p w14:paraId="25F92D0B" w14:textId="77777777" w:rsidR="0036782A" w:rsidRPr="00CB1EA2" w:rsidRDefault="0036782A" w:rsidP="0036782A">
      <w:pPr>
        <w:rPr>
          <w:lang w:val="en-AU"/>
        </w:rPr>
      </w:pPr>
      <w:r w:rsidRPr="00CB1EA2">
        <w:rPr>
          <w:lang w:val="en-AU"/>
        </w:rPr>
        <w:t>Intravenous injection of 10 mg of caplacizumab prior to plasma exchange.</w:t>
      </w:r>
    </w:p>
    <w:p w14:paraId="6341B6AA" w14:textId="2EEE5048" w:rsidR="0036782A" w:rsidRPr="00CB1EA2" w:rsidRDefault="0036782A" w:rsidP="00043E9F">
      <w:pPr>
        <w:pStyle w:val="Heading4"/>
        <w:numPr>
          <w:ilvl w:val="0"/>
          <w:numId w:val="0"/>
        </w:numPr>
        <w:rPr>
          <w:lang w:val="en-AU"/>
        </w:rPr>
      </w:pPr>
      <w:r w:rsidRPr="00CB1EA2">
        <w:rPr>
          <w:lang w:val="en-AU"/>
        </w:rPr>
        <w:t>Subsequent doses</w:t>
      </w:r>
    </w:p>
    <w:p w14:paraId="6B099662" w14:textId="77777777" w:rsidR="0036782A" w:rsidRPr="00CB1EA2" w:rsidRDefault="0036782A" w:rsidP="0036782A">
      <w:pPr>
        <w:rPr>
          <w:lang w:val="en-AU"/>
        </w:rPr>
      </w:pPr>
      <w:r w:rsidRPr="00CB1EA2">
        <w:rPr>
          <w:lang w:val="en-AU"/>
        </w:rPr>
        <w:t>Daily subcutaneous administration of 10 mg of caplacizumab after completion of each plasma exchange for the duration of daily plasma exchange treatment, followed by daily subcutaneous injection of 10 mg of caplacizumab for 30 days after stopping daily plasma exchange treatment.</w:t>
      </w:r>
    </w:p>
    <w:p w14:paraId="69DB2CC1" w14:textId="6BE40A0E" w:rsidR="0036782A" w:rsidRPr="00CB1EA2" w:rsidRDefault="0036782A" w:rsidP="0036782A">
      <w:pPr>
        <w:rPr>
          <w:lang w:val="en-AU"/>
        </w:rPr>
      </w:pPr>
      <w:r w:rsidRPr="00CB1EA2">
        <w:rPr>
          <w:lang w:val="en-AU"/>
        </w:rPr>
        <w:t xml:space="preserve">If at the end of this period there is evidence of unresolved immunological disease, it is recommended to optimise the </w:t>
      </w:r>
      <w:r w:rsidR="00610658" w:rsidRPr="00CB1EA2">
        <w:rPr>
          <w:lang w:val="en-AU"/>
        </w:rPr>
        <w:t>immunosuppression</w:t>
      </w:r>
      <w:r w:rsidRPr="00CB1EA2">
        <w:rPr>
          <w:lang w:val="en-AU"/>
        </w:rPr>
        <w:t xml:space="preserve"> regimen and continue daily subcutaneous administration of 10 mg of caplacizumab until the signs of underlying immunological disease are resolved (e.g. sustained normalisation of ADAMTS13 activity level).</w:t>
      </w:r>
    </w:p>
    <w:p w14:paraId="1850CB65" w14:textId="77777777" w:rsidR="0036782A" w:rsidRPr="00CB1EA2" w:rsidRDefault="0036782A" w:rsidP="0036782A">
      <w:pPr>
        <w:rPr>
          <w:lang w:val="en-AU"/>
        </w:rPr>
      </w:pPr>
      <w:r w:rsidRPr="00CB1EA2">
        <w:rPr>
          <w:lang w:val="en-AU"/>
        </w:rPr>
        <w:t>In the clinical development program, caplacizumab has been administered daily for up to 65 days. No data on re-treatment with caplacizumab are available.</w:t>
      </w:r>
    </w:p>
    <w:p w14:paraId="6E97AF04" w14:textId="5AA0FCF3" w:rsidR="0036782A" w:rsidRPr="00CB1EA2" w:rsidRDefault="0036782A" w:rsidP="00043E9F">
      <w:pPr>
        <w:pStyle w:val="Heading4"/>
        <w:numPr>
          <w:ilvl w:val="0"/>
          <w:numId w:val="0"/>
        </w:numPr>
        <w:rPr>
          <w:lang w:val="en-AU"/>
        </w:rPr>
      </w:pPr>
      <w:r w:rsidRPr="00CB1EA2">
        <w:rPr>
          <w:lang w:val="en-AU"/>
        </w:rPr>
        <w:t>Missed dose</w:t>
      </w:r>
    </w:p>
    <w:p w14:paraId="4C2217AD" w14:textId="77777777" w:rsidR="0036782A" w:rsidRPr="00CB1EA2" w:rsidRDefault="0036782A" w:rsidP="0036782A">
      <w:pPr>
        <w:rPr>
          <w:lang w:val="en-AU"/>
        </w:rPr>
      </w:pPr>
      <w:r w:rsidRPr="00CB1EA2">
        <w:rPr>
          <w:lang w:val="en-AU"/>
        </w:rPr>
        <w:t xml:space="preserve">If a dose of Cablivi </w:t>
      </w:r>
      <w:proofErr w:type="gramStart"/>
      <w:r w:rsidRPr="00CB1EA2">
        <w:rPr>
          <w:lang w:val="en-AU"/>
        </w:rPr>
        <w:t>is missed</w:t>
      </w:r>
      <w:proofErr w:type="gramEnd"/>
      <w:r w:rsidRPr="00CB1EA2">
        <w:rPr>
          <w:lang w:val="en-AU"/>
        </w:rPr>
        <w:t>, it can be administered within 12 hours. If more than 12 hours have passed since the dose was to have been given, the missed dose should NOT be administered and the next dose should be administered per the usual dosing schedule.</w:t>
      </w:r>
    </w:p>
    <w:p w14:paraId="52F31EFD" w14:textId="2D93C931" w:rsidR="0036782A" w:rsidRPr="00CB1EA2" w:rsidRDefault="0036782A" w:rsidP="00043E9F">
      <w:pPr>
        <w:pStyle w:val="Heading4"/>
        <w:numPr>
          <w:ilvl w:val="0"/>
          <w:numId w:val="0"/>
        </w:numPr>
        <w:rPr>
          <w:lang w:val="en-AU"/>
        </w:rPr>
      </w:pPr>
      <w:r w:rsidRPr="00CB1EA2">
        <w:rPr>
          <w:lang w:val="en-AU"/>
        </w:rPr>
        <w:t>Special populations</w:t>
      </w:r>
    </w:p>
    <w:p w14:paraId="53F8B344" w14:textId="009705BB" w:rsidR="0036782A" w:rsidRPr="00CB1EA2" w:rsidRDefault="0036782A" w:rsidP="00043E9F">
      <w:pPr>
        <w:pStyle w:val="Heading5"/>
        <w:numPr>
          <w:ilvl w:val="0"/>
          <w:numId w:val="0"/>
        </w:numPr>
        <w:rPr>
          <w:lang w:val="en-AU"/>
        </w:rPr>
      </w:pPr>
      <w:r w:rsidRPr="00CB1EA2">
        <w:rPr>
          <w:lang w:val="en-AU"/>
        </w:rPr>
        <w:t>Renal impairment</w:t>
      </w:r>
    </w:p>
    <w:p w14:paraId="07020C00" w14:textId="5FCDCBCF" w:rsidR="004F0E4A" w:rsidRPr="00CB1EA2" w:rsidRDefault="0036782A" w:rsidP="0036782A">
      <w:pPr>
        <w:rPr>
          <w:lang w:val="en-AU"/>
        </w:rPr>
      </w:pPr>
      <w:r w:rsidRPr="00CB1EA2">
        <w:rPr>
          <w:lang w:val="en-AU"/>
        </w:rPr>
        <w:t>No dose adjustment is necessary for patie</w:t>
      </w:r>
      <w:r w:rsidR="00735B15" w:rsidRPr="00CB1EA2">
        <w:rPr>
          <w:lang w:val="en-AU"/>
        </w:rPr>
        <w:t>nts with renal impairment (see S</w:t>
      </w:r>
      <w:r w:rsidRPr="00CB1EA2">
        <w:rPr>
          <w:lang w:val="en-AU"/>
        </w:rPr>
        <w:t xml:space="preserve">ection </w:t>
      </w:r>
      <w:r w:rsidR="00F4343A" w:rsidRPr="00CB1EA2">
        <w:rPr>
          <w:rStyle w:val="Reference"/>
          <w:lang w:val="en-AU"/>
        </w:rPr>
        <w:fldChar w:fldCharType="begin"/>
      </w:r>
      <w:r w:rsidR="00F4343A" w:rsidRPr="00CB1EA2">
        <w:rPr>
          <w:rStyle w:val="Reference"/>
          <w:lang w:val="en-AU"/>
        </w:rPr>
        <w:instrText xml:space="preserve"> REF _Ref525053791 \r \h  \* MERGEFORMAT </w:instrText>
      </w:r>
      <w:r w:rsidR="00F4343A" w:rsidRPr="00CB1EA2">
        <w:rPr>
          <w:rStyle w:val="Reference"/>
          <w:lang w:val="en-AU"/>
        </w:rPr>
      </w:r>
      <w:r w:rsidR="00F4343A" w:rsidRPr="00CB1EA2">
        <w:rPr>
          <w:rStyle w:val="Reference"/>
          <w:lang w:val="en-AU"/>
        </w:rPr>
        <w:fldChar w:fldCharType="separate"/>
      </w:r>
      <w:r w:rsidR="007F0F04">
        <w:rPr>
          <w:rStyle w:val="Reference"/>
          <w:lang w:val="en-AU"/>
        </w:rPr>
        <w:t>5.2</w:t>
      </w:r>
      <w:r w:rsidR="00F4343A" w:rsidRPr="00CB1EA2">
        <w:rPr>
          <w:rStyle w:val="Reference"/>
          <w:lang w:val="en-AU"/>
        </w:rPr>
        <w:fldChar w:fldCharType="end"/>
      </w:r>
      <w:r w:rsidRPr="00CB1EA2">
        <w:rPr>
          <w:lang w:val="en-AU"/>
        </w:rPr>
        <w:t>).</w:t>
      </w:r>
    </w:p>
    <w:p w14:paraId="74931CBC" w14:textId="3DDEA306" w:rsidR="0036782A" w:rsidRPr="00CB1EA2" w:rsidRDefault="0036782A" w:rsidP="00043E9F">
      <w:pPr>
        <w:pStyle w:val="Heading5"/>
        <w:numPr>
          <w:ilvl w:val="0"/>
          <w:numId w:val="0"/>
        </w:numPr>
        <w:rPr>
          <w:lang w:val="en-AU"/>
        </w:rPr>
      </w:pPr>
      <w:r w:rsidRPr="00CB1EA2">
        <w:rPr>
          <w:lang w:val="en-AU"/>
        </w:rPr>
        <w:t>Hepatic impairment</w:t>
      </w:r>
    </w:p>
    <w:p w14:paraId="4AC2561A" w14:textId="6C9619CB" w:rsidR="0036782A" w:rsidRPr="00CB1EA2" w:rsidRDefault="0036782A" w:rsidP="0036782A">
      <w:pPr>
        <w:rPr>
          <w:lang w:val="en-AU"/>
        </w:rPr>
      </w:pPr>
      <w:r w:rsidRPr="00CB1EA2">
        <w:rPr>
          <w:lang w:val="en-AU"/>
        </w:rPr>
        <w:t>No dose adjustment is necessary for patient</w:t>
      </w:r>
      <w:r w:rsidR="00735B15" w:rsidRPr="00CB1EA2">
        <w:rPr>
          <w:lang w:val="en-AU"/>
        </w:rPr>
        <w:t>s with hepatic impairment (see S</w:t>
      </w:r>
      <w:r w:rsidRPr="00CB1EA2">
        <w:rPr>
          <w:lang w:val="en-AU"/>
        </w:rPr>
        <w:t xml:space="preserve">ection </w:t>
      </w:r>
      <w:r w:rsidR="00F4343A" w:rsidRPr="00CB1EA2">
        <w:rPr>
          <w:rStyle w:val="Reference"/>
          <w:lang w:val="en-AU"/>
        </w:rPr>
        <w:fldChar w:fldCharType="begin"/>
      </w:r>
      <w:r w:rsidR="00F4343A" w:rsidRPr="00CB1EA2">
        <w:rPr>
          <w:rStyle w:val="Reference"/>
          <w:lang w:val="en-AU"/>
        </w:rPr>
        <w:instrText xml:space="preserve"> REF _Ref525053791 \r \h  \* MERGEFORMAT </w:instrText>
      </w:r>
      <w:r w:rsidR="00F4343A" w:rsidRPr="00CB1EA2">
        <w:rPr>
          <w:rStyle w:val="Reference"/>
          <w:lang w:val="en-AU"/>
        </w:rPr>
      </w:r>
      <w:r w:rsidR="00F4343A" w:rsidRPr="00CB1EA2">
        <w:rPr>
          <w:rStyle w:val="Reference"/>
          <w:lang w:val="en-AU"/>
        </w:rPr>
        <w:fldChar w:fldCharType="separate"/>
      </w:r>
      <w:r w:rsidR="007F0F04">
        <w:rPr>
          <w:rStyle w:val="Reference"/>
          <w:lang w:val="en-AU"/>
        </w:rPr>
        <w:t>5.2</w:t>
      </w:r>
      <w:r w:rsidR="00F4343A" w:rsidRPr="00CB1EA2">
        <w:rPr>
          <w:rStyle w:val="Reference"/>
          <w:lang w:val="en-AU"/>
        </w:rPr>
        <w:fldChar w:fldCharType="end"/>
      </w:r>
      <w:r w:rsidRPr="00CB1EA2">
        <w:rPr>
          <w:lang w:val="en-AU"/>
        </w:rPr>
        <w:t>). See section 4.4 for special considerations in patients with severe hepatic impairment.</w:t>
      </w:r>
    </w:p>
    <w:p w14:paraId="1C6DFC63" w14:textId="1ABDEADF" w:rsidR="0036782A" w:rsidRPr="00CB1EA2" w:rsidRDefault="0036782A" w:rsidP="00043E9F">
      <w:pPr>
        <w:pStyle w:val="Heading5"/>
        <w:numPr>
          <w:ilvl w:val="0"/>
          <w:numId w:val="0"/>
        </w:numPr>
        <w:rPr>
          <w:lang w:val="en-AU"/>
        </w:rPr>
      </w:pPr>
      <w:r w:rsidRPr="00CB1EA2">
        <w:rPr>
          <w:lang w:val="en-AU"/>
        </w:rPr>
        <w:lastRenderedPageBreak/>
        <w:t>Elderly</w:t>
      </w:r>
    </w:p>
    <w:p w14:paraId="42782CBE" w14:textId="62EBCCBE" w:rsidR="0036782A" w:rsidRPr="00CB1EA2" w:rsidRDefault="0036782A" w:rsidP="0036782A">
      <w:pPr>
        <w:rPr>
          <w:lang w:val="en-AU"/>
        </w:rPr>
      </w:pPr>
      <w:r w:rsidRPr="00CB1EA2">
        <w:rPr>
          <w:lang w:val="en-AU"/>
        </w:rPr>
        <w:t xml:space="preserve">While experience with the use of </w:t>
      </w:r>
      <w:proofErr w:type="spellStart"/>
      <w:r w:rsidRPr="00CB1EA2">
        <w:rPr>
          <w:lang w:val="en-AU"/>
        </w:rPr>
        <w:t>caplacizumab</w:t>
      </w:r>
      <w:proofErr w:type="spellEnd"/>
      <w:r w:rsidRPr="00CB1EA2">
        <w:rPr>
          <w:lang w:val="en-AU"/>
        </w:rPr>
        <w:t xml:space="preserve"> in the elderly is limited, there is no evidence to suggest that dose adjustment or special precautions </w:t>
      </w:r>
      <w:proofErr w:type="gramStart"/>
      <w:r w:rsidRPr="00CB1EA2">
        <w:rPr>
          <w:lang w:val="en-AU"/>
        </w:rPr>
        <w:t>are ne</w:t>
      </w:r>
      <w:r w:rsidR="00735B15" w:rsidRPr="00CB1EA2">
        <w:rPr>
          <w:lang w:val="en-AU"/>
        </w:rPr>
        <w:t>eded</w:t>
      </w:r>
      <w:proofErr w:type="gramEnd"/>
      <w:r w:rsidR="00735B15" w:rsidRPr="00CB1EA2">
        <w:rPr>
          <w:lang w:val="en-AU"/>
        </w:rPr>
        <w:t xml:space="preserve"> for elderly patients (see S</w:t>
      </w:r>
      <w:r w:rsidRPr="00CB1EA2">
        <w:rPr>
          <w:lang w:val="en-AU"/>
        </w:rPr>
        <w:t xml:space="preserve">ection </w:t>
      </w:r>
      <w:r w:rsidR="00F4343A" w:rsidRPr="00CB1EA2">
        <w:rPr>
          <w:rStyle w:val="TblFigFootnoteReference"/>
          <w:color w:val="0000FF"/>
          <w:lang w:val="en-AU"/>
        </w:rPr>
        <w:fldChar w:fldCharType="begin"/>
      </w:r>
      <w:r w:rsidR="00F4343A" w:rsidRPr="00CB1EA2">
        <w:rPr>
          <w:rStyle w:val="TblFigFootnoteReference"/>
          <w:color w:val="0000FF"/>
          <w:lang w:val="en-AU"/>
        </w:rPr>
        <w:instrText xml:space="preserve"> REF _Ref525053791 \r \h  \* MERGEFORMAT </w:instrText>
      </w:r>
      <w:r w:rsidR="00F4343A" w:rsidRPr="00CB1EA2">
        <w:rPr>
          <w:rStyle w:val="TblFigFootnoteReference"/>
          <w:color w:val="0000FF"/>
          <w:lang w:val="en-AU"/>
        </w:rPr>
      </w:r>
      <w:r w:rsidR="00F4343A" w:rsidRPr="00CB1EA2">
        <w:rPr>
          <w:rStyle w:val="TblFigFootnoteReference"/>
          <w:color w:val="0000FF"/>
          <w:lang w:val="en-AU"/>
        </w:rPr>
        <w:fldChar w:fldCharType="separate"/>
      </w:r>
      <w:r w:rsidR="007F0F04" w:rsidRPr="007F0F04">
        <w:rPr>
          <w:rStyle w:val="Reference"/>
        </w:rPr>
        <w:t>5.2</w:t>
      </w:r>
      <w:r w:rsidR="00F4343A" w:rsidRPr="00CB1EA2">
        <w:rPr>
          <w:rStyle w:val="TblFigFootnoteReference"/>
          <w:color w:val="0000FF"/>
          <w:lang w:val="en-AU"/>
        </w:rPr>
        <w:fldChar w:fldCharType="end"/>
      </w:r>
      <w:r w:rsidRPr="00CB1EA2">
        <w:rPr>
          <w:lang w:val="en-AU"/>
        </w:rPr>
        <w:t>).</w:t>
      </w:r>
    </w:p>
    <w:p w14:paraId="17595981" w14:textId="4826EBF2" w:rsidR="0036782A" w:rsidRPr="00CB1EA2" w:rsidRDefault="0036782A" w:rsidP="00043E9F">
      <w:pPr>
        <w:pStyle w:val="Heading5"/>
        <w:numPr>
          <w:ilvl w:val="0"/>
          <w:numId w:val="0"/>
        </w:numPr>
        <w:rPr>
          <w:lang w:val="en-AU"/>
        </w:rPr>
      </w:pPr>
      <w:r w:rsidRPr="00CB1EA2">
        <w:rPr>
          <w:lang w:val="en-AU"/>
        </w:rPr>
        <w:t>Paediatric population</w:t>
      </w:r>
    </w:p>
    <w:p w14:paraId="59CB7397" w14:textId="77777777" w:rsidR="0036782A" w:rsidRPr="00CB1EA2" w:rsidRDefault="0036782A" w:rsidP="0036782A">
      <w:pPr>
        <w:rPr>
          <w:lang w:val="en-AU"/>
        </w:rPr>
      </w:pPr>
      <w:r w:rsidRPr="00CB1EA2">
        <w:rPr>
          <w:lang w:val="en-AU"/>
        </w:rPr>
        <w:t xml:space="preserve">The safety and efficacy of caplacizumab in the paediatric population </w:t>
      </w:r>
      <w:proofErr w:type="gramStart"/>
      <w:r w:rsidRPr="00CB1EA2">
        <w:rPr>
          <w:lang w:val="en-AU"/>
        </w:rPr>
        <w:t>have not yet been established</w:t>
      </w:r>
      <w:proofErr w:type="gramEnd"/>
      <w:r w:rsidRPr="00CB1EA2">
        <w:rPr>
          <w:lang w:val="en-AU"/>
        </w:rPr>
        <w:t>. No data are available.</w:t>
      </w:r>
    </w:p>
    <w:p w14:paraId="6D1E5DDD" w14:textId="55821C91" w:rsidR="0036782A" w:rsidRPr="00CB1EA2" w:rsidRDefault="0036782A" w:rsidP="003B45A1">
      <w:pPr>
        <w:pStyle w:val="Heading3"/>
        <w:numPr>
          <w:ilvl w:val="0"/>
          <w:numId w:val="0"/>
        </w:numPr>
        <w:rPr>
          <w:lang w:val="en-AU"/>
        </w:rPr>
      </w:pPr>
      <w:r w:rsidRPr="00CB1EA2">
        <w:rPr>
          <w:lang w:val="en-AU"/>
        </w:rPr>
        <w:t>Method of administration</w:t>
      </w:r>
    </w:p>
    <w:p w14:paraId="4103EAB6" w14:textId="77777777" w:rsidR="0036782A" w:rsidRPr="00CB1EA2" w:rsidRDefault="0036782A" w:rsidP="0073140E">
      <w:pPr>
        <w:rPr>
          <w:lang w:val="en-AU"/>
        </w:rPr>
      </w:pPr>
      <w:r w:rsidRPr="00CB1EA2">
        <w:rPr>
          <w:lang w:val="en-AU"/>
        </w:rPr>
        <w:t xml:space="preserve">The first dose of Cablivi is to </w:t>
      </w:r>
      <w:proofErr w:type="gramStart"/>
      <w:r w:rsidRPr="00CB1EA2">
        <w:rPr>
          <w:lang w:val="en-AU"/>
        </w:rPr>
        <w:t>be administered</w:t>
      </w:r>
      <w:proofErr w:type="gramEnd"/>
      <w:r w:rsidRPr="00CB1EA2">
        <w:rPr>
          <w:lang w:val="en-AU"/>
        </w:rPr>
        <w:t xml:space="preserve"> as an intravenous injection. Subsequent doses are to be administered via subcutaneous injection in the abdomen.</w:t>
      </w:r>
    </w:p>
    <w:p w14:paraId="4E5012AC" w14:textId="77777777" w:rsidR="0036782A" w:rsidRPr="00CB1EA2" w:rsidRDefault="0036782A" w:rsidP="0073140E">
      <w:pPr>
        <w:rPr>
          <w:lang w:val="en-AU"/>
        </w:rPr>
      </w:pPr>
      <w:r w:rsidRPr="00CB1EA2">
        <w:rPr>
          <w:lang w:val="en-AU"/>
        </w:rPr>
        <w:t>Injections into the area around the navel should be avoided and consecutive injections should not be administered in the same abdominal quadrant.</w:t>
      </w:r>
    </w:p>
    <w:p w14:paraId="70E9200E" w14:textId="77777777" w:rsidR="0036782A" w:rsidRPr="00CB1EA2" w:rsidRDefault="0036782A" w:rsidP="0073140E">
      <w:pPr>
        <w:rPr>
          <w:lang w:val="en-AU"/>
        </w:rPr>
      </w:pPr>
      <w:r w:rsidRPr="00CB1EA2">
        <w:rPr>
          <w:lang w:val="en-AU"/>
        </w:rPr>
        <w:t>Patients or caregivers may inject the medicinal product after proper training in the subcutaneous injection technique.</w:t>
      </w:r>
    </w:p>
    <w:p w14:paraId="3A7FB58B" w14:textId="4BDA78D0" w:rsidR="0073140E" w:rsidRPr="00CB1EA2" w:rsidRDefault="0073140E" w:rsidP="0073140E">
      <w:pPr>
        <w:rPr>
          <w:lang w:val="en-AU"/>
        </w:rPr>
      </w:pPr>
      <w:r w:rsidRPr="00CB1EA2">
        <w:rPr>
          <w:lang w:val="en-AU"/>
        </w:rPr>
        <w:t xml:space="preserve">For both intravenous and </w:t>
      </w:r>
      <w:r w:rsidR="00B37843" w:rsidRPr="00CB1EA2">
        <w:rPr>
          <w:lang w:val="en-AU"/>
        </w:rPr>
        <w:t>subcutaneous</w:t>
      </w:r>
      <w:r w:rsidRPr="00CB1EA2">
        <w:rPr>
          <w:lang w:val="en-AU"/>
        </w:rPr>
        <w:t xml:space="preserve"> administration, reconstitute the powder contained in the vial using the vial adapter and all solvent in the pre-filled syringe. The solvent should be added slowly and mixed gently to avoid foaming of the solution. Allow the vial with connected syringe to stand on a surface for</w:t>
      </w:r>
      <w:r w:rsidR="00614370">
        <w:rPr>
          <w:lang w:val="en-AU"/>
        </w:rPr>
        <w:t xml:space="preserve"> 5 minutes at room temperature.</w:t>
      </w:r>
    </w:p>
    <w:p w14:paraId="50646418" w14:textId="7141432E" w:rsidR="0073140E" w:rsidRPr="00CB1EA2" w:rsidRDefault="0073140E" w:rsidP="0073140E">
      <w:pPr>
        <w:rPr>
          <w:lang w:val="en-AU"/>
        </w:rPr>
      </w:pPr>
      <w:r w:rsidRPr="00CB1EA2">
        <w:rPr>
          <w:lang w:val="en-AU"/>
        </w:rPr>
        <w:t xml:space="preserve">The reconstituted solution is clear, colourless, or slightly yellowish. It must be visually inspected for particulate matter. Do not use </w:t>
      </w:r>
      <w:proofErr w:type="gramStart"/>
      <w:r w:rsidRPr="00CB1EA2">
        <w:rPr>
          <w:lang w:val="en-AU"/>
        </w:rPr>
        <w:t>so</w:t>
      </w:r>
      <w:r w:rsidR="00614370">
        <w:rPr>
          <w:lang w:val="en-AU"/>
        </w:rPr>
        <w:t>lution exhibiting</w:t>
      </w:r>
      <w:proofErr w:type="gramEnd"/>
      <w:r w:rsidR="00614370">
        <w:rPr>
          <w:lang w:val="en-AU"/>
        </w:rPr>
        <w:t xml:space="preserve"> particulates.</w:t>
      </w:r>
    </w:p>
    <w:p w14:paraId="3660DB50" w14:textId="334728AB" w:rsidR="0073140E" w:rsidRPr="00CB1EA2" w:rsidRDefault="0073140E" w:rsidP="0073140E">
      <w:pPr>
        <w:rPr>
          <w:color w:val="auto"/>
          <w:lang w:val="en-AU"/>
        </w:rPr>
      </w:pPr>
      <w:r w:rsidRPr="00CB1EA2">
        <w:rPr>
          <w:color w:val="auto"/>
          <w:lang w:val="en-AU"/>
        </w:rPr>
        <w:t>Transfer the entire volume of the reconstituted solution back to the glass syringe and immediately administer the ent</w:t>
      </w:r>
      <w:r w:rsidR="00735B15" w:rsidRPr="00CB1EA2">
        <w:rPr>
          <w:color w:val="auto"/>
          <w:lang w:val="en-AU"/>
        </w:rPr>
        <w:t>ire volume of the syringe (see S</w:t>
      </w:r>
      <w:r w:rsidRPr="00CB1EA2">
        <w:rPr>
          <w:color w:val="auto"/>
          <w:lang w:val="en-AU"/>
        </w:rPr>
        <w:t xml:space="preserve">ection </w:t>
      </w:r>
      <w:r w:rsidR="00F4343A" w:rsidRPr="00CB1EA2">
        <w:rPr>
          <w:rStyle w:val="Reference"/>
          <w:color w:val="auto"/>
          <w:lang w:val="en-AU"/>
        </w:rPr>
        <w:fldChar w:fldCharType="begin"/>
      </w:r>
      <w:r w:rsidR="00F4343A" w:rsidRPr="00CB1EA2">
        <w:rPr>
          <w:rStyle w:val="Reference"/>
          <w:color w:val="auto"/>
          <w:lang w:val="en-AU"/>
        </w:rPr>
        <w:instrText xml:space="preserve"> REF _Ref525053970 \r \h  \* MERGEFORMAT </w:instrText>
      </w:r>
      <w:r w:rsidR="00F4343A" w:rsidRPr="00CB1EA2">
        <w:rPr>
          <w:rStyle w:val="Reference"/>
          <w:color w:val="auto"/>
          <w:lang w:val="en-AU"/>
        </w:rPr>
      </w:r>
      <w:r w:rsidR="00F4343A" w:rsidRPr="00CB1EA2">
        <w:rPr>
          <w:rStyle w:val="Reference"/>
          <w:color w:val="auto"/>
          <w:lang w:val="en-AU"/>
        </w:rPr>
        <w:fldChar w:fldCharType="separate"/>
      </w:r>
      <w:r w:rsidR="007F0F04">
        <w:rPr>
          <w:rStyle w:val="Reference"/>
          <w:color w:val="auto"/>
          <w:lang w:val="en-AU"/>
        </w:rPr>
        <w:t>6.3</w:t>
      </w:r>
      <w:r w:rsidR="00F4343A" w:rsidRPr="00CB1EA2">
        <w:rPr>
          <w:rStyle w:val="Reference"/>
          <w:color w:val="auto"/>
          <w:lang w:val="en-AU"/>
        </w:rPr>
        <w:fldChar w:fldCharType="end"/>
      </w:r>
      <w:r w:rsidR="00614370">
        <w:rPr>
          <w:color w:val="auto"/>
          <w:lang w:val="en-AU"/>
        </w:rPr>
        <w:t>).</w:t>
      </w:r>
    </w:p>
    <w:p w14:paraId="3CCA69CC" w14:textId="1619E66E" w:rsidR="0073140E" w:rsidRPr="00CB1EA2" w:rsidRDefault="0073140E" w:rsidP="0073140E">
      <w:pPr>
        <w:rPr>
          <w:color w:val="auto"/>
          <w:lang w:val="en-AU"/>
        </w:rPr>
      </w:pPr>
      <w:r w:rsidRPr="00CB1EA2">
        <w:rPr>
          <w:color w:val="auto"/>
          <w:lang w:val="en-AU"/>
        </w:rPr>
        <w:t xml:space="preserve">Cablivi is for single use </w:t>
      </w:r>
      <w:r w:rsidR="00E97C1C" w:rsidRPr="00CB1EA2">
        <w:rPr>
          <w:color w:val="auto"/>
          <w:lang w:val="en-AU"/>
        </w:rPr>
        <w:t xml:space="preserve">in one patient </w:t>
      </w:r>
      <w:r w:rsidRPr="00CB1EA2">
        <w:rPr>
          <w:color w:val="auto"/>
          <w:lang w:val="en-AU"/>
        </w:rPr>
        <w:t xml:space="preserve">only. </w:t>
      </w:r>
      <w:r w:rsidR="00E97C1C" w:rsidRPr="00CB1EA2">
        <w:rPr>
          <w:color w:val="auto"/>
          <w:lang w:val="en-AU"/>
        </w:rPr>
        <w:t>Discard any residue.</w:t>
      </w:r>
    </w:p>
    <w:p w14:paraId="3C4999DE" w14:textId="5578F81A" w:rsidR="001A3992" w:rsidRPr="00CB1EA2" w:rsidRDefault="001A3992" w:rsidP="0073140E">
      <w:pPr>
        <w:pStyle w:val="Heading2"/>
        <w:rPr>
          <w:lang w:val="en-AU"/>
        </w:rPr>
      </w:pPr>
      <w:r w:rsidRPr="00CB1EA2">
        <w:rPr>
          <w:lang w:val="en-AU"/>
        </w:rPr>
        <w:t>Contraindications</w:t>
      </w:r>
    </w:p>
    <w:p w14:paraId="6EA09C8F" w14:textId="2B163D64" w:rsidR="0036782A" w:rsidRPr="00CB1EA2" w:rsidRDefault="0036782A" w:rsidP="0036782A">
      <w:pPr>
        <w:rPr>
          <w:lang w:val="en-AU"/>
        </w:rPr>
      </w:pPr>
      <w:r w:rsidRPr="00CB1EA2">
        <w:rPr>
          <w:lang w:val="en-AU"/>
        </w:rPr>
        <w:t>Hypersensitivity to the active substance or to a</w:t>
      </w:r>
      <w:r w:rsidR="00735B15" w:rsidRPr="00CB1EA2">
        <w:rPr>
          <w:lang w:val="en-AU"/>
        </w:rPr>
        <w:t>ny of the excipients listed in S</w:t>
      </w:r>
      <w:r w:rsidRPr="00CB1EA2">
        <w:rPr>
          <w:lang w:val="en-AU"/>
        </w:rPr>
        <w:t xml:space="preserve">ection </w:t>
      </w:r>
      <w:r w:rsidR="00F4343A" w:rsidRPr="00CB1EA2">
        <w:rPr>
          <w:rStyle w:val="Reference"/>
          <w:lang w:val="en-AU"/>
        </w:rPr>
        <w:fldChar w:fldCharType="begin"/>
      </w:r>
      <w:r w:rsidR="00F4343A" w:rsidRPr="00CB1EA2">
        <w:rPr>
          <w:rStyle w:val="Reference"/>
          <w:lang w:val="en-AU"/>
        </w:rPr>
        <w:instrText xml:space="preserve"> REF _Ref525053360 \r \h  \* MERGEFORMAT </w:instrText>
      </w:r>
      <w:r w:rsidR="00F4343A" w:rsidRPr="00CB1EA2">
        <w:rPr>
          <w:rStyle w:val="Reference"/>
          <w:lang w:val="en-AU"/>
        </w:rPr>
      </w:r>
      <w:r w:rsidR="00F4343A" w:rsidRPr="00CB1EA2">
        <w:rPr>
          <w:rStyle w:val="Reference"/>
          <w:lang w:val="en-AU"/>
        </w:rPr>
        <w:fldChar w:fldCharType="separate"/>
      </w:r>
      <w:r w:rsidR="007F0F04">
        <w:rPr>
          <w:rStyle w:val="Reference"/>
          <w:lang w:val="en-AU"/>
        </w:rPr>
        <w:t>6.1</w:t>
      </w:r>
      <w:r w:rsidR="00F4343A" w:rsidRPr="00CB1EA2">
        <w:rPr>
          <w:rStyle w:val="Reference"/>
          <w:lang w:val="en-AU"/>
        </w:rPr>
        <w:fldChar w:fldCharType="end"/>
      </w:r>
      <w:r w:rsidRPr="00CB1EA2">
        <w:rPr>
          <w:lang w:val="en-AU"/>
        </w:rPr>
        <w:t>.</w:t>
      </w:r>
    </w:p>
    <w:p w14:paraId="22A2FBA8" w14:textId="4A0A6067" w:rsidR="001A3992" w:rsidRPr="00CB1EA2" w:rsidRDefault="00E74A56" w:rsidP="0069033B">
      <w:pPr>
        <w:pStyle w:val="Heading2"/>
        <w:rPr>
          <w:lang w:val="en-AU"/>
        </w:rPr>
      </w:pPr>
      <w:bookmarkStart w:id="0" w:name="_Ref525054089"/>
      <w:r w:rsidRPr="00CB1EA2">
        <w:rPr>
          <w:lang w:val="en-AU"/>
        </w:rPr>
        <w:lastRenderedPageBreak/>
        <w:t>Special warnings and p</w:t>
      </w:r>
      <w:r w:rsidR="001A3992" w:rsidRPr="00CB1EA2">
        <w:rPr>
          <w:lang w:val="en-AU"/>
        </w:rPr>
        <w:t xml:space="preserve">recautions </w:t>
      </w:r>
      <w:r w:rsidRPr="00CB1EA2">
        <w:rPr>
          <w:lang w:val="en-AU"/>
        </w:rPr>
        <w:t>for use</w:t>
      </w:r>
      <w:bookmarkEnd w:id="0"/>
    </w:p>
    <w:p w14:paraId="619D3079" w14:textId="6D93D227" w:rsidR="0036782A" w:rsidRPr="00CB1EA2" w:rsidRDefault="0036782A" w:rsidP="00043E9F">
      <w:pPr>
        <w:pStyle w:val="Heading3"/>
        <w:numPr>
          <w:ilvl w:val="0"/>
          <w:numId w:val="0"/>
        </w:numPr>
        <w:rPr>
          <w:lang w:val="en-AU"/>
        </w:rPr>
      </w:pPr>
      <w:bookmarkStart w:id="1" w:name="_Hlk21439436"/>
      <w:r w:rsidRPr="00CB1EA2">
        <w:rPr>
          <w:lang w:val="en-AU"/>
        </w:rPr>
        <w:t>Bleeding</w:t>
      </w:r>
    </w:p>
    <w:p w14:paraId="64E41935" w14:textId="037F0C25" w:rsidR="007F5407" w:rsidRPr="00CB1EA2" w:rsidRDefault="007F5407" w:rsidP="007F5407">
      <w:pPr>
        <w:rPr>
          <w:color w:val="auto"/>
          <w:lang w:val="en-AU"/>
        </w:rPr>
      </w:pPr>
      <w:r w:rsidRPr="00CB1EA2">
        <w:rPr>
          <w:color w:val="auto"/>
          <w:lang w:val="en-AU"/>
        </w:rPr>
        <w:t xml:space="preserve">Cablivi increases the risk of bleeding. In clinical studies, severe bleeding adverse reactions of epistaxis, gingival bleeding, upper gastrointestinal </w:t>
      </w:r>
      <w:r w:rsidR="00CB1EA2" w:rsidRPr="00CB1EA2">
        <w:rPr>
          <w:color w:val="auto"/>
          <w:lang w:val="en-AU"/>
        </w:rPr>
        <w:t>haemorrhage</w:t>
      </w:r>
      <w:r w:rsidRPr="00CB1EA2">
        <w:rPr>
          <w:color w:val="auto"/>
          <w:lang w:val="en-AU"/>
        </w:rPr>
        <w:t>, and metrorrhagia were each reported in 1% of subjects. Overall, bleeding events occurred in approximately 58% of patients on CABLIVI versus 43% of patients on placebo.</w:t>
      </w:r>
    </w:p>
    <w:p w14:paraId="665986FE" w14:textId="3BCA6690" w:rsidR="0036782A" w:rsidRPr="00CB1EA2" w:rsidRDefault="0036782A" w:rsidP="00043E9F">
      <w:pPr>
        <w:pStyle w:val="Heading4"/>
        <w:numPr>
          <w:ilvl w:val="0"/>
          <w:numId w:val="0"/>
        </w:numPr>
        <w:rPr>
          <w:lang w:val="en-AU"/>
        </w:rPr>
      </w:pPr>
      <w:r w:rsidRPr="00CB1EA2">
        <w:rPr>
          <w:lang w:val="en-AU"/>
        </w:rPr>
        <w:t>Active clinically significant bleeding</w:t>
      </w:r>
    </w:p>
    <w:p w14:paraId="139CB3D7" w14:textId="5BD336DC" w:rsidR="0036782A" w:rsidRPr="00CB1EA2" w:rsidRDefault="0036782A" w:rsidP="0036782A">
      <w:pPr>
        <w:rPr>
          <w:lang w:val="en-AU"/>
        </w:rPr>
      </w:pPr>
      <w:r w:rsidRPr="00CB1EA2">
        <w:rPr>
          <w:lang w:val="en-AU"/>
        </w:rPr>
        <w:t xml:space="preserve">In case of active, clinically significant bleeding, treatment with Cablivi </w:t>
      </w:r>
      <w:proofErr w:type="gramStart"/>
      <w:r w:rsidRPr="00CB1EA2">
        <w:rPr>
          <w:lang w:val="en-AU"/>
        </w:rPr>
        <w:t>should be interrupted</w:t>
      </w:r>
      <w:proofErr w:type="gramEnd"/>
      <w:r w:rsidRPr="00CB1EA2">
        <w:rPr>
          <w:lang w:val="en-AU"/>
        </w:rPr>
        <w:t>. If needed, the use of von Willebrand Factor</w:t>
      </w:r>
      <w:r w:rsidR="0061574B" w:rsidRPr="00CB1EA2">
        <w:rPr>
          <w:lang w:val="en-AU"/>
        </w:rPr>
        <w:t>-containing</w:t>
      </w:r>
      <w:r w:rsidRPr="00CB1EA2">
        <w:rPr>
          <w:lang w:val="en-AU"/>
        </w:rPr>
        <w:t xml:space="preserve"> concentrate could be considered to correct h</w:t>
      </w:r>
      <w:r w:rsidR="008B7872" w:rsidRPr="00CB1EA2">
        <w:rPr>
          <w:lang w:val="en-AU"/>
        </w:rPr>
        <w:t>a</w:t>
      </w:r>
      <w:r w:rsidRPr="00CB1EA2">
        <w:rPr>
          <w:lang w:val="en-AU"/>
        </w:rPr>
        <w:t xml:space="preserve">emostasis. </w:t>
      </w:r>
      <w:bookmarkEnd w:id="1"/>
      <w:r w:rsidRPr="00CB1EA2">
        <w:rPr>
          <w:lang w:val="en-AU"/>
        </w:rPr>
        <w:t>Cablivi should only be restarted upon the advice of a physician experienced in the management of thrombotic microangiopathies.</w:t>
      </w:r>
    </w:p>
    <w:p w14:paraId="7DABF25A" w14:textId="5972C0A6" w:rsidR="004F0E4A" w:rsidRPr="00CB1EA2" w:rsidRDefault="0036782A" w:rsidP="006C4F94">
      <w:pPr>
        <w:pStyle w:val="Heading4"/>
        <w:numPr>
          <w:ilvl w:val="0"/>
          <w:numId w:val="0"/>
        </w:numPr>
        <w:rPr>
          <w:lang w:val="en-AU"/>
        </w:rPr>
      </w:pPr>
      <w:r w:rsidRPr="00CB1EA2">
        <w:rPr>
          <w:lang w:val="en-AU"/>
        </w:rPr>
        <w:t>Increased risk of bleeding</w:t>
      </w:r>
    </w:p>
    <w:p w14:paraId="487D7030" w14:textId="4438F840" w:rsidR="0036782A" w:rsidRPr="00CB1EA2" w:rsidRDefault="0036782A" w:rsidP="006C4F94">
      <w:pPr>
        <w:pStyle w:val="Heading5"/>
        <w:numPr>
          <w:ilvl w:val="0"/>
          <w:numId w:val="0"/>
        </w:numPr>
        <w:rPr>
          <w:lang w:val="en-AU"/>
        </w:rPr>
      </w:pPr>
      <w:r w:rsidRPr="00CB1EA2">
        <w:rPr>
          <w:lang w:val="en-AU"/>
        </w:rPr>
        <w:t>In the setting of concomitant use of oral anticoagulants or high dose heparin</w:t>
      </w:r>
    </w:p>
    <w:p w14:paraId="0F45C745" w14:textId="77777777" w:rsidR="0036782A" w:rsidRPr="00CB1EA2" w:rsidRDefault="0036782A" w:rsidP="0036782A">
      <w:pPr>
        <w:rPr>
          <w:lang w:val="en-AU"/>
        </w:rPr>
      </w:pPr>
      <w:r w:rsidRPr="00CB1EA2">
        <w:rPr>
          <w:lang w:val="en-AU"/>
        </w:rPr>
        <w:t>Due to a potential increased risk of bleeding, initiation or continuation of treatment with oral anticoagulants or high dose heparin requires a benefit/risk assessment and close clinical monitoring.</w:t>
      </w:r>
    </w:p>
    <w:p w14:paraId="02FA4FC7" w14:textId="20EBB3D9" w:rsidR="0036782A" w:rsidRPr="00CB1EA2" w:rsidRDefault="0036782A" w:rsidP="006C4F94">
      <w:pPr>
        <w:pStyle w:val="Heading5"/>
        <w:numPr>
          <w:ilvl w:val="0"/>
          <w:numId w:val="0"/>
        </w:numPr>
        <w:rPr>
          <w:lang w:val="en-AU"/>
        </w:rPr>
      </w:pPr>
      <w:r w:rsidRPr="00CB1EA2">
        <w:rPr>
          <w:lang w:val="en-AU"/>
        </w:rPr>
        <w:t>In the setting of concomitant use of anti-platelet agents and / or low molecular weight heparin (LMWH)</w:t>
      </w:r>
    </w:p>
    <w:p w14:paraId="57D33120" w14:textId="77777777" w:rsidR="0036782A" w:rsidRPr="00CB1EA2" w:rsidRDefault="0036782A" w:rsidP="0036782A">
      <w:pPr>
        <w:rPr>
          <w:lang w:val="en-AU"/>
        </w:rPr>
      </w:pPr>
      <w:r w:rsidRPr="00CB1EA2">
        <w:rPr>
          <w:lang w:val="en-AU"/>
        </w:rPr>
        <w:t>While no increased risk of bleeding was observed in clinical trials, concomitant treatment with anti-platelet agents and / or LMWH requires a benefit/risk assessment and close clinical monitoring.</w:t>
      </w:r>
    </w:p>
    <w:p w14:paraId="5C107C6E" w14:textId="267A3EC3" w:rsidR="0036782A" w:rsidRPr="00CB1EA2" w:rsidRDefault="0036782A" w:rsidP="006C4F94">
      <w:pPr>
        <w:pStyle w:val="Heading5"/>
        <w:numPr>
          <w:ilvl w:val="0"/>
          <w:numId w:val="0"/>
        </w:numPr>
        <w:rPr>
          <w:lang w:val="en-AU"/>
        </w:rPr>
      </w:pPr>
      <w:r w:rsidRPr="00CB1EA2">
        <w:rPr>
          <w:lang w:val="en-AU"/>
        </w:rPr>
        <w:t>In patients with coagulopathies</w:t>
      </w:r>
    </w:p>
    <w:p w14:paraId="7F8276B4" w14:textId="3A608CF5" w:rsidR="0036782A" w:rsidRPr="00CB1EA2" w:rsidRDefault="0036782A" w:rsidP="0036782A">
      <w:pPr>
        <w:rPr>
          <w:lang w:val="en-AU"/>
        </w:rPr>
      </w:pPr>
      <w:r w:rsidRPr="00CB1EA2">
        <w:rPr>
          <w:lang w:val="en-AU"/>
        </w:rPr>
        <w:t xml:space="preserve">Due to a potential increased risk of bleeding, use of Cablivi in patients with underlying coagulopathies (e.g. </w:t>
      </w:r>
      <w:r w:rsidR="00997E6F" w:rsidRPr="00CB1EA2">
        <w:rPr>
          <w:lang w:val="en-AU"/>
        </w:rPr>
        <w:t>haemophilia</w:t>
      </w:r>
      <w:r w:rsidRPr="00CB1EA2">
        <w:rPr>
          <w:lang w:val="en-AU"/>
        </w:rPr>
        <w:t xml:space="preserve">, other coagulation factor deficiencies) is to </w:t>
      </w:r>
      <w:proofErr w:type="gramStart"/>
      <w:r w:rsidRPr="00CB1EA2">
        <w:rPr>
          <w:lang w:val="en-AU"/>
        </w:rPr>
        <w:t>be accompanied</w:t>
      </w:r>
      <w:proofErr w:type="gramEnd"/>
      <w:r w:rsidRPr="00CB1EA2">
        <w:rPr>
          <w:lang w:val="en-AU"/>
        </w:rPr>
        <w:t xml:space="preserve"> by close clinical monitoring.</w:t>
      </w:r>
    </w:p>
    <w:p w14:paraId="4B10C310" w14:textId="3D3AF084" w:rsidR="0036782A" w:rsidRPr="00CB1EA2" w:rsidRDefault="0036782A" w:rsidP="006C4F94">
      <w:pPr>
        <w:pStyle w:val="Heading5"/>
        <w:numPr>
          <w:ilvl w:val="0"/>
          <w:numId w:val="0"/>
        </w:numPr>
        <w:rPr>
          <w:lang w:val="en-AU"/>
        </w:rPr>
      </w:pPr>
      <w:r w:rsidRPr="00CB1EA2">
        <w:rPr>
          <w:lang w:val="en-AU"/>
        </w:rPr>
        <w:t>In patients undergoing surgery</w:t>
      </w:r>
    </w:p>
    <w:p w14:paraId="5D181766" w14:textId="77777777" w:rsidR="0036782A" w:rsidRPr="00CB1EA2" w:rsidRDefault="0036782A" w:rsidP="0036782A">
      <w:pPr>
        <w:rPr>
          <w:lang w:val="en-AU"/>
        </w:rPr>
      </w:pPr>
      <w:r w:rsidRPr="00CB1EA2">
        <w:rPr>
          <w:lang w:val="en-AU"/>
        </w:rPr>
        <w:t xml:space="preserve">If a patient is to undergo elective surgery or a dental procedure, the patient should be advised to inform the physician or dentist that they are using </w:t>
      </w:r>
      <w:proofErr w:type="gramStart"/>
      <w:r w:rsidRPr="00CB1EA2">
        <w:rPr>
          <w:lang w:val="en-AU"/>
        </w:rPr>
        <w:t>Cablivi,</w:t>
      </w:r>
      <w:proofErr w:type="gramEnd"/>
      <w:r w:rsidRPr="00CB1EA2">
        <w:rPr>
          <w:lang w:val="en-AU"/>
        </w:rPr>
        <w:t xml:space="preserve"> and treatment should be stopped at </w:t>
      </w:r>
      <w:r w:rsidRPr="00CB1EA2">
        <w:rPr>
          <w:lang w:val="en-AU"/>
        </w:rPr>
        <w:lastRenderedPageBreak/>
        <w:t>least 7 days before the planned intervention. The patient should also notify the physician who supervises the treatment with Cablivi about the planned procedure.</w:t>
      </w:r>
    </w:p>
    <w:p w14:paraId="0046950D" w14:textId="64CB6C86" w:rsidR="0036782A" w:rsidRPr="00CB1EA2" w:rsidRDefault="0036782A" w:rsidP="0036782A">
      <w:pPr>
        <w:rPr>
          <w:lang w:val="en-AU"/>
        </w:rPr>
      </w:pPr>
      <w:r w:rsidRPr="00CB1EA2">
        <w:rPr>
          <w:lang w:val="en-AU"/>
        </w:rPr>
        <w:t>If emergency surgery is needed, the use of von Willebrand Factor concentrate could be c</w:t>
      </w:r>
      <w:r w:rsidR="006C4F94" w:rsidRPr="00CB1EA2">
        <w:rPr>
          <w:lang w:val="en-AU"/>
        </w:rPr>
        <w:t xml:space="preserve">onsidered to correct </w:t>
      </w:r>
      <w:r w:rsidR="00997E6F" w:rsidRPr="00CB1EA2">
        <w:rPr>
          <w:lang w:val="en-AU"/>
        </w:rPr>
        <w:t>haemostasis</w:t>
      </w:r>
      <w:r w:rsidR="006C4F94" w:rsidRPr="00CB1EA2">
        <w:rPr>
          <w:lang w:val="en-AU"/>
        </w:rPr>
        <w:t>.</w:t>
      </w:r>
    </w:p>
    <w:p w14:paraId="2ED0C3E7" w14:textId="3CCCF626" w:rsidR="0036782A" w:rsidRPr="00CB1EA2" w:rsidRDefault="0036782A" w:rsidP="00043E9F">
      <w:pPr>
        <w:pStyle w:val="Heading3"/>
        <w:numPr>
          <w:ilvl w:val="0"/>
          <w:numId w:val="0"/>
        </w:numPr>
        <w:rPr>
          <w:lang w:val="en-AU"/>
        </w:rPr>
      </w:pPr>
      <w:r w:rsidRPr="00CB1EA2">
        <w:rPr>
          <w:lang w:val="en-AU"/>
        </w:rPr>
        <w:t>Severe hepatic impairment</w:t>
      </w:r>
    </w:p>
    <w:p w14:paraId="19F846E5" w14:textId="77777777" w:rsidR="0036782A" w:rsidRPr="00CB1EA2" w:rsidRDefault="0036782A" w:rsidP="0036782A">
      <w:pPr>
        <w:rPr>
          <w:lang w:val="en-AU"/>
        </w:rPr>
      </w:pPr>
      <w:r w:rsidRPr="00CB1EA2">
        <w:rPr>
          <w:lang w:val="en-AU"/>
        </w:rPr>
        <w:t xml:space="preserve">No formal study with caplacizumab </w:t>
      </w:r>
      <w:proofErr w:type="gramStart"/>
      <w:r w:rsidRPr="00CB1EA2">
        <w:rPr>
          <w:lang w:val="en-AU"/>
        </w:rPr>
        <w:t>has been conducted</w:t>
      </w:r>
      <w:proofErr w:type="gramEnd"/>
      <w:r w:rsidRPr="00CB1EA2">
        <w:rPr>
          <w:lang w:val="en-AU"/>
        </w:rPr>
        <w:t xml:space="preserve"> in patients with severe acute or chronic hepatic impairment and no data regarding the use of caplacizumab in these populations are available. Use of Cablivi in this population requires a benefit/risk assessment and close clinical monitoring.</w:t>
      </w:r>
    </w:p>
    <w:p w14:paraId="64C4761D" w14:textId="4D784034" w:rsidR="001A3992" w:rsidRPr="00CB1EA2" w:rsidRDefault="001A3992" w:rsidP="006C4F94">
      <w:pPr>
        <w:pStyle w:val="Heading3"/>
        <w:numPr>
          <w:ilvl w:val="0"/>
          <w:numId w:val="0"/>
        </w:numPr>
        <w:rPr>
          <w:lang w:val="en-AU"/>
        </w:rPr>
      </w:pPr>
      <w:r w:rsidRPr="00CB1EA2">
        <w:rPr>
          <w:lang w:val="en-AU"/>
        </w:rPr>
        <w:t>Use in the elderly</w:t>
      </w:r>
    </w:p>
    <w:p w14:paraId="5FF415D8" w14:textId="73645E96" w:rsidR="006C4F94" w:rsidRPr="00CB1EA2" w:rsidRDefault="006C4F94" w:rsidP="006C4F94">
      <w:pPr>
        <w:rPr>
          <w:lang w:val="en-AU"/>
        </w:rPr>
      </w:pPr>
      <w:r w:rsidRPr="00CB1EA2">
        <w:rPr>
          <w:lang w:val="en-AU"/>
        </w:rPr>
        <w:t xml:space="preserve">While experience with the use of caplacizumab in the elderly is limited, there is no evidence to suggest that dose adjustment or special precautions </w:t>
      </w:r>
      <w:proofErr w:type="gramStart"/>
      <w:r w:rsidRPr="00CB1EA2">
        <w:rPr>
          <w:lang w:val="en-AU"/>
        </w:rPr>
        <w:t>are ne</w:t>
      </w:r>
      <w:r w:rsidR="00735B15" w:rsidRPr="00CB1EA2">
        <w:rPr>
          <w:lang w:val="en-AU"/>
        </w:rPr>
        <w:t>eded</w:t>
      </w:r>
      <w:proofErr w:type="gramEnd"/>
      <w:r w:rsidR="00735B15" w:rsidRPr="00CB1EA2">
        <w:rPr>
          <w:lang w:val="en-AU"/>
        </w:rPr>
        <w:t xml:space="preserve"> for elderly patients (see S</w:t>
      </w:r>
      <w:r w:rsidRPr="00CB1EA2">
        <w:rPr>
          <w:lang w:val="en-AU"/>
        </w:rPr>
        <w:t xml:space="preserve">ection </w:t>
      </w:r>
      <w:r w:rsidR="00F4343A" w:rsidRPr="00CB1EA2">
        <w:rPr>
          <w:rStyle w:val="Reference"/>
          <w:lang w:val="en-AU"/>
        </w:rPr>
        <w:fldChar w:fldCharType="begin"/>
      </w:r>
      <w:r w:rsidR="00F4343A" w:rsidRPr="00CB1EA2">
        <w:rPr>
          <w:rStyle w:val="Reference"/>
          <w:lang w:val="en-AU"/>
        </w:rPr>
        <w:instrText xml:space="preserve"> REF _Ref525053791 \r \h  \* MERGEFORMAT </w:instrText>
      </w:r>
      <w:r w:rsidR="00F4343A" w:rsidRPr="00CB1EA2">
        <w:rPr>
          <w:rStyle w:val="Reference"/>
          <w:lang w:val="en-AU"/>
        </w:rPr>
      </w:r>
      <w:r w:rsidR="00F4343A" w:rsidRPr="00CB1EA2">
        <w:rPr>
          <w:rStyle w:val="Reference"/>
          <w:lang w:val="en-AU"/>
        </w:rPr>
        <w:fldChar w:fldCharType="separate"/>
      </w:r>
      <w:r w:rsidR="007F0F04">
        <w:rPr>
          <w:rStyle w:val="Reference"/>
          <w:lang w:val="en-AU"/>
        </w:rPr>
        <w:t>5.2</w:t>
      </w:r>
      <w:r w:rsidR="00F4343A" w:rsidRPr="00CB1EA2">
        <w:rPr>
          <w:rStyle w:val="Reference"/>
          <w:lang w:val="en-AU"/>
        </w:rPr>
        <w:fldChar w:fldCharType="end"/>
      </w:r>
      <w:r w:rsidRPr="00CB1EA2">
        <w:rPr>
          <w:lang w:val="en-AU"/>
        </w:rPr>
        <w:t>).</w:t>
      </w:r>
    </w:p>
    <w:p w14:paraId="31F6DB1B" w14:textId="047B5834" w:rsidR="001A3992" w:rsidRPr="00CB1EA2" w:rsidRDefault="001A3992" w:rsidP="006C4F94">
      <w:pPr>
        <w:pStyle w:val="Heading3"/>
        <w:numPr>
          <w:ilvl w:val="0"/>
          <w:numId w:val="0"/>
        </w:numPr>
        <w:rPr>
          <w:lang w:val="en-AU"/>
        </w:rPr>
      </w:pPr>
      <w:r w:rsidRPr="00CB1EA2">
        <w:rPr>
          <w:lang w:val="en-AU"/>
        </w:rPr>
        <w:t>Paediatric use</w:t>
      </w:r>
    </w:p>
    <w:p w14:paraId="66407A44" w14:textId="77777777" w:rsidR="006C4F94" w:rsidRPr="00CB1EA2" w:rsidRDefault="006C4F94" w:rsidP="006C4F94">
      <w:pPr>
        <w:rPr>
          <w:lang w:val="en-AU"/>
        </w:rPr>
      </w:pPr>
      <w:r w:rsidRPr="00CB1EA2">
        <w:rPr>
          <w:lang w:val="en-AU"/>
        </w:rPr>
        <w:t xml:space="preserve">The safety and efficacy of caplacizumab in the paediatric population </w:t>
      </w:r>
      <w:proofErr w:type="gramStart"/>
      <w:r w:rsidRPr="00CB1EA2">
        <w:rPr>
          <w:lang w:val="en-AU"/>
        </w:rPr>
        <w:t>have not yet been established</w:t>
      </w:r>
      <w:proofErr w:type="gramEnd"/>
      <w:r w:rsidRPr="00CB1EA2">
        <w:rPr>
          <w:lang w:val="en-AU"/>
        </w:rPr>
        <w:t>. No data are available.</w:t>
      </w:r>
    </w:p>
    <w:p w14:paraId="529F6C47" w14:textId="679C867B" w:rsidR="001A3992" w:rsidRPr="00CB1EA2" w:rsidRDefault="001A3992" w:rsidP="006C4F94">
      <w:pPr>
        <w:pStyle w:val="Heading3"/>
        <w:numPr>
          <w:ilvl w:val="0"/>
          <w:numId w:val="0"/>
        </w:numPr>
        <w:rPr>
          <w:lang w:val="en-AU"/>
        </w:rPr>
      </w:pPr>
      <w:r w:rsidRPr="00CB1EA2">
        <w:rPr>
          <w:lang w:val="en-AU"/>
        </w:rPr>
        <w:t>Effects on laboratory tests</w:t>
      </w:r>
    </w:p>
    <w:p w14:paraId="4909B702" w14:textId="77777777" w:rsidR="00A62F6D" w:rsidRPr="00CB1EA2" w:rsidRDefault="006C4F94" w:rsidP="00744556">
      <w:pPr>
        <w:rPr>
          <w:lang w:val="en-AU"/>
        </w:rPr>
      </w:pPr>
      <w:r w:rsidRPr="00CB1EA2">
        <w:rPr>
          <w:lang w:val="en-AU"/>
        </w:rPr>
        <w:t>No data available.</w:t>
      </w:r>
    </w:p>
    <w:p w14:paraId="14BEB20E" w14:textId="774BAA3B" w:rsidR="001A3992" w:rsidRPr="00CB1EA2" w:rsidRDefault="001A3992" w:rsidP="005B3EB9">
      <w:pPr>
        <w:pStyle w:val="Heading2"/>
        <w:rPr>
          <w:lang w:val="en-AU"/>
        </w:rPr>
      </w:pPr>
      <w:r w:rsidRPr="00CB1EA2">
        <w:rPr>
          <w:lang w:val="en-AU"/>
        </w:rPr>
        <w:t>Interactions with other medicines and other forms of interactions</w:t>
      </w:r>
    </w:p>
    <w:p w14:paraId="72C16CE5" w14:textId="312341BB" w:rsidR="00BC364A" w:rsidRPr="00CB1EA2" w:rsidRDefault="005B3EB9" w:rsidP="005B3EB9">
      <w:pPr>
        <w:rPr>
          <w:lang w:val="en-AU"/>
        </w:rPr>
      </w:pPr>
      <w:r w:rsidRPr="00CB1EA2">
        <w:rPr>
          <w:lang w:val="en-AU"/>
        </w:rPr>
        <w:t xml:space="preserve">No interaction studies evaluating use of caplacizumab with oral anticoagulants (e.g. vitamin K antagonists, direct oral anticoagulants [DOAC] such as thrombin inhibitors or factor </w:t>
      </w:r>
      <w:proofErr w:type="spellStart"/>
      <w:r w:rsidRPr="00CB1EA2">
        <w:rPr>
          <w:lang w:val="en-AU"/>
        </w:rPr>
        <w:t>Xa</w:t>
      </w:r>
      <w:proofErr w:type="spellEnd"/>
      <w:r w:rsidRPr="00CB1EA2">
        <w:rPr>
          <w:lang w:val="en-AU"/>
        </w:rPr>
        <w:t xml:space="preserve"> inhibitors) or high dose heparin h</w:t>
      </w:r>
      <w:r w:rsidR="00F4343A" w:rsidRPr="00CB1EA2">
        <w:rPr>
          <w:lang w:val="en-AU"/>
        </w:rPr>
        <w:t xml:space="preserve">ave been performed (See Section </w:t>
      </w:r>
      <w:r w:rsidR="00F4343A" w:rsidRPr="00CB1EA2">
        <w:rPr>
          <w:color w:val="0000FF"/>
          <w:lang w:val="en-AU"/>
        </w:rPr>
        <w:fldChar w:fldCharType="begin"/>
      </w:r>
      <w:r w:rsidR="00F4343A" w:rsidRPr="00CB1EA2">
        <w:rPr>
          <w:color w:val="0000FF"/>
          <w:lang w:val="en-AU"/>
        </w:rPr>
        <w:instrText xml:space="preserve"> REF _Ref525054089 \r \h  \* MERGEFORMAT </w:instrText>
      </w:r>
      <w:r w:rsidR="00F4343A" w:rsidRPr="00CB1EA2">
        <w:rPr>
          <w:color w:val="0000FF"/>
          <w:lang w:val="en-AU"/>
        </w:rPr>
      </w:r>
      <w:r w:rsidR="00F4343A" w:rsidRPr="00CB1EA2">
        <w:rPr>
          <w:color w:val="0000FF"/>
          <w:lang w:val="en-AU"/>
        </w:rPr>
        <w:fldChar w:fldCharType="separate"/>
      </w:r>
      <w:r w:rsidR="007F0F04">
        <w:rPr>
          <w:color w:val="0000FF"/>
          <w:lang w:val="en-AU"/>
        </w:rPr>
        <w:t>4.4</w:t>
      </w:r>
      <w:r w:rsidR="00F4343A" w:rsidRPr="00CB1EA2">
        <w:rPr>
          <w:color w:val="0000FF"/>
          <w:lang w:val="en-AU"/>
        </w:rPr>
        <w:fldChar w:fldCharType="end"/>
      </w:r>
      <w:r w:rsidRPr="00CB1EA2">
        <w:rPr>
          <w:lang w:val="en-AU"/>
        </w:rPr>
        <w:t xml:space="preserve"> </w:t>
      </w:r>
      <w:r w:rsidRPr="00CB1EA2">
        <w:rPr>
          <w:i/>
          <w:iCs/>
          <w:lang w:val="en-AU"/>
        </w:rPr>
        <w:t>In the setting of concomitant use of oral anticoagulants or high dose heparin).</w:t>
      </w:r>
    </w:p>
    <w:p w14:paraId="017B74AC" w14:textId="1F81712C" w:rsidR="001A3992" w:rsidRPr="00CB1EA2" w:rsidRDefault="001A3992" w:rsidP="005B3EB9">
      <w:pPr>
        <w:pStyle w:val="Heading2"/>
        <w:rPr>
          <w:lang w:val="en-AU"/>
        </w:rPr>
      </w:pPr>
      <w:r w:rsidRPr="00CB1EA2">
        <w:rPr>
          <w:lang w:val="en-AU"/>
        </w:rPr>
        <w:t>Fertility, pregnancy and lactation</w:t>
      </w:r>
    </w:p>
    <w:p w14:paraId="7837981D" w14:textId="2406837C" w:rsidR="001A3992" w:rsidRPr="00CB1EA2" w:rsidRDefault="001A3992" w:rsidP="005B3EB9">
      <w:pPr>
        <w:pStyle w:val="Heading3"/>
        <w:numPr>
          <w:ilvl w:val="0"/>
          <w:numId w:val="0"/>
        </w:numPr>
        <w:rPr>
          <w:lang w:val="en-AU"/>
        </w:rPr>
      </w:pPr>
      <w:r w:rsidRPr="00CB1EA2">
        <w:rPr>
          <w:lang w:val="en-AU"/>
        </w:rPr>
        <w:t>Effects on fertility</w:t>
      </w:r>
    </w:p>
    <w:p w14:paraId="07D38222" w14:textId="3C019479" w:rsidR="000911AA" w:rsidRPr="00CB1EA2" w:rsidRDefault="005B3EB9" w:rsidP="005B3EB9">
      <w:pPr>
        <w:rPr>
          <w:lang w:val="en-AU"/>
        </w:rPr>
      </w:pPr>
      <w:r w:rsidRPr="00CB1EA2">
        <w:rPr>
          <w:lang w:val="en-AU"/>
        </w:rPr>
        <w:t xml:space="preserve">The effects of caplacizumab on fertility in humans are unknown. </w:t>
      </w:r>
      <w:r w:rsidR="00C261D0" w:rsidRPr="00CB1EA2">
        <w:rPr>
          <w:lang w:val="en-AU"/>
        </w:rPr>
        <w:t xml:space="preserve">No effects on sperm or male or female reproductive tissues to suggest impairment of fertility were observed in cynomolgus </w:t>
      </w:r>
      <w:r w:rsidR="00C261D0" w:rsidRPr="00CB1EA2">
        <w:rPr>
          <w:lang w:val="en-AU"/>
        </w:rPr>
        <w:lastRenderedPageBreak/>
        <w:t>monkeys receiving caplacizumab at subcutaneous doses up to 40 mg/kg/day</w:t>
      </w:r>
      <w:r w:rsidR="00C261D0" w:rsidRPr="00CB1EA2">
        <w:rPr>
          <w:color w:val="auto"/>
          <w:lang w:val="en-AU"/>
        </w:rPr>
        <w:t xml:space="preserve">, </w:t>
      </w:r>
      <w:r w:rsidR="00054226" w:rsidRPr="00CB1EA2">
        <w:rPr>
          <w:color w:val="auto"/>
          <w:lang w:val="en-AU"/>
        </w:rPr>
        <w:t xml:space="preserve">yielding almost 40 times the plasma AUC </w:t>
      </w:r>
      <w:r w:rsidR="00C261D0" w:rsidRPr="00CB1EA2">
        <w:rPr>
          <w:color w:val="auto"/>
          <w:lang w:val="en-AU"/>
        </w:rPr>
        <w:t>in patients at the maximum recommended clinical dose of 10 </w:t>
      </w:r>
      <w:r w:rsidR="00C261D0" w:rsidRPr="00CB1EA2">
        <w:rPr>
          <w:lang w:val="en-AU"/>
        </w:rPr>
        <w:t>mg/day. Functional fertility studies have not been performed with caplacizumab in animals.</w:t>
      </w:r>
    </w:p>
    <w:p w14:paraId="5833F917" w14:textId="5F6F74DE" w:rsidR="001A3992" w:rsidRPr="00CB1EA2" w:rsidRDefault="001A3992" w:rsidP="005B3EB9">
      <w:pPr>
        <w:pStyle w:val="Heading3"/>
        <w:numPr>
          <w:ilvl w:val="0"/>
          <w:numId w:val="0"/>
        </w:numPr>
        <w:rPr>
          <w:lang w:val="en-AU"/>
        </w:rPr>
      </w:pPr>
      <w:r w:rsidRPr="00CB1EA2">
        <w:rPr>
          <w:lang w:val="en-AU"/>
        </w:rPr>
        <w:t xml:space="preserve">Use in pregnancy </w:t>
      </w:r>
      <w:r w:rsidR="00940E59" w:rsidRPr="00CB1EA2">
        <w:rPr>
          <w:lang w:val="en-AU"/>
        </w:rPr>
        <w:t xml:space="preserve">(Category </w:t>
      </w:r>
      <w:r w:rsidR="00AF5AAE" w:rsidRPr="00CB1EA2">
        <w:rPr>
          <w:lang w:val="en-AU"/>
        </w:rPr>
        <w:t>B1</w:t>
      </w:r>
      <w:r w:rsidR="00940E59" w:rsidRPr="00CB1EA2">
        <w:rPr>
          <w:lang w:val="en-AU"/>
        </w:rPr>
        <w:t>)</w:t>
      </w:r>
    </w:p>
    <w:p w14:paraId="36F2498E" w14:textId="4E76006A" w:rsidR="00054226" w:rsidRPr="00CB1EA2" w:rsidRDefault="00C261D0" w:rsidP="00CB1EA2">
      <w:pPr>
        <w:rPr>
          <w:color w:val="auto"/>
          <w:lang w:val="en-AU"/>
        </w:rPr>
      </w:pPr>
      <w:r w:rsidRPr="00CB1EA2">
        <w:rPr>
          <w:lang w:val="en-AU"/>
        </w:rPr>
        <w:t xml:space="preserve">There are no adequate and well-controlled studies with Cablivi in pregnant women. No adverse effects on </w:t>
      </w:r>
      <w:r w:rsidRPr="00CB1EA2">
        <w:rPr>
          <w:color w:val="auto"/>
          <w:lang w:val="en-AU"/>
        </w:rPr>
        <w:t xml:space="preserve">embryofetal development were observed with caplacizumab in guinea pigs at intramuscular doses up to </w:t>
      </w:r>
      <w:r w:rsidR="00054226" w:rsidRPr="00CB1EA2">
        <w:rPr>
          <w:color w:val="auto"/>
          <w:lang w:val="en-AU"/>
        </w:rPr>
        <w:t xml:space="preserve">20 </w:t>
      </w:r>
      <w:r w:rsidRPr="00CB1EA2">
        <w:rPr>
          <w:color w:val="auto"/>
          <w:lang w:val="en-AU"/>
        </w:rPr>
        <w:t xml:space="preserve">mg/kg/day, yielding </w:t>
      </w:r>
      <w:r w:rsidR="00054226" w:rsidRPr="00CB1EA2">
        <w:rPr>
          <w:color w:val="auto"/>
          <w:lang w:val="en-AU"/>
        </w:rPr>
        <w:t>50</w:t>
      </w:r>
      <w:r w:rsidR="0010727A" w:rsidRPr="00CB1EA2">
        <w:rPr>
          <w:color w:val="auto"/>
          <w:lang w:val="en-AU"/>
        </w:rPr>
        <w:t xml:space="preserve"> times the plasma AUC </w:t>
      </w:r>
      <w:r w:rsidRPr="00CB1EA2">
        <w:rPr>
          <w:color w:val="auto"/>
          <w:lang w:val="en-AU"/>
        </w:rPr>
        <w:t xml:space="preserve">in patients at the maximum recommended clinical dose. Limited placental transfer of caplacizumab </w:t>
      </w:r>
      <w:proofErr w:type="gramStart"/>
      <w:r w:rsidRPr="00CB1EA2">
        <w:rPr>
          <w:color w:val="auto"/>
          <w:lang w:val="en-AU"/>
        </w:rPr>
        <w:t>was shown</w:t>
      </w:r>
      <w:proofErr w:type="gramEnd"/>
      <w:r w:rsidRPr="00CB1EA2">
        <w:rPr>
          <w:color w:val="auto"/>
          <w:lang w:val="en-AU"/>
        </w:rPr>
        <w:t xml:space="preserve"> in</w:t>
      </w:r>
      <w:r w:rsidR="00614370">
        <w:rPr>
          <w:color w:val="auto"/>
          <w:lang w:val="en-AU"/>
        </w:rPr>
        <w:t xml:space="preserve"> guinea pigs.</w:t>
      </w:r>
    </w:p>
    <w:p w14:paraId="416452EA" w14:textId="2DE3E948" w:rsidR="00BC364A" w:rsidRPr="00CB1EA2" w:rsidRDefault="00F919E7" w:rsidP="005B3EB9">
      <w:pPr>
        <w:rPr>
          <w:lang w:val="en-AU"/>
        </w:rPr>
      </w:pPr>
      <w:r w:rsidRPr="00CB1EA2">
        <w:rPr>
          <w:lang w:val="en-AU"/>
        </w:rPr>
        <w:t xml:space="preserve">Cablivi </w:t>
      </w:r>
      <w:proofErr w:type="gramStart"/>
      <w:r w:rsidRPr="00CB1EA2">
        <w:rPr>
          <w:lang w:val="en-AU"/>
        </w:rPr>
        <w:t>should be used</w:t>
      </w:r>
      <w:proofErr w:type="gramEnd"/>
      <w:r w:rsidRPr="00CB1EA2">
        <w:rPr>
          <w:lang w:val="en-AU"/>
        </w:rPr>
        <w:t xml:space="preserve"> during pregnancy only if the potential benefits to the mother outweigh the potential risks,</w:t>
      </w:r>
      <w:r w:rsidR="00614370">
        <w:rPr>
          <w:lang w:val="en-AU"/>
        </w:rPr>
        <w:t xml:space="preserve"> including those to the fetus. </w:t>
      </w:r>
      <w:r w:rsidRPr="00CB1EA2">
        <w:rPr>
          <w:lang w:val="en-AU"/>
        </w:rPr>
        <w:t>All patients receiving Cablivi, including pregnant w</w:t>
      </w:r>
      <w:r w:rsidR="00614370">
        <w:rPr>
          <w:lang w:val="en-AU"/>
        </w:rPr>
        <w:t xml:space="preserve">omen, are at risk of bleeding. </w:t>
      </w:r>
      <w:r w:rsidRPr="00CB1EA2">
        <w:rPr>
          <w:lang w:val="en-AU"/>
        </w:rPr>
        <w:t>Monitor pregnant women and neonates for any evidence of excessive bleeding.</w:t>
      </w:r>
    </w:p>
    <w:p w14:paraId="40CDB645" w14:textId="2F6B4FFA" w:rsidR="001A3992" w:rsidRPr="00CB1EA2" w:rsidRDefault="001A3992" w:rsidP="005B3EB9">
      <w:pPr>
        <w:pStyle w:val="Heading3"/>
        <w:numPr>
          <w:ilvl w:val="0"/>
          <w:numId w:val="0"/>
        </w:numPr>
        <w:rPr>
          <w:lang w:val="en-AU"/>
        </w:rPr>
      </w:pPr>
      <w:r w:rsidRPr="00CB1EA2">
        <w:rPr>
          <w:lang w:val="en-AU"/>
        </w:rPr>
        <w:t>Use in lactation</w:t>
      </w:r>
    </w:p>
    <w:p w14:paraId="2ED6580C" w14:textId="6EBDE3EF" w:rsidR="005B3EB9" w:rsidRPr="00CB1EA2" w:rsidRDefault="005B3EB9" w:rsidP="005B3EB9">
      <w:pPr>
        <w:rPr>
          <w:lang w:val="en-AU"/>
        </w:rPr>
      </w:pPr>
      <w:r w:rsidRPr="00CB1EA2">
        <w:rPr>
          <w:lang w:val="en-AU"/>
        </w:rPr>
        <w:t>There are no data on the use of caplacizumab in breastfeeding women. It is unknown whether caplacizumab is excreted in human milk. A risk t</w:t>
      </w:r>
      <w:r w:rsidR="00614370">
        <w:rPr>
          <w:lang w:val="en-AU"/>
        </w:rPr>
        <w:t xml:space="preserve">o the child </w:t>
      </w:r>
      <w:proofErr w:type="gramStart"/>
      <w:r w:rsidR="00614370">
        <w:rPr>
          <w:lang w:val="en-AU"/>
        </w:rPr>
        <w:t>cannot be excluded</w:t>
      </w:r>
      <w:proofErr w:type="gramEnd"/>
      <w:r w:rsidR="00614370">
        <w:rPr>
          <w:lang w:val="en-AU"/>
        </w:rPr>
        <w:t>.</w:t>
      </w:r>
    </w:p>
    <w:p w14:paraId="6FFC9C2C" w14:textId="77777777" w:rsidR="00477BD3" w:rsidRPr="00CB1EA2" w:rsidRDefault="005B3EB9" w:rsidP="005B3EB9">
      <w:pPr>
        <w:rPr>
          <w:lang w:val="en-AU"/>
        </w:rPr>
      </w:pPr>
      <w:r w:rsidRPr="00CB1EA2">
        <w:rPr>
          <w:lang w:val="en-AU"/>
        </w:rPr>
        <w:t xml:space="preserve">A decision </w:t>
      </w:r>
      <w:proofErr w:type="gramStart"/>
      <w:r w:rsidRPr="00CB1EA2">
        <w:rPr>
          <w:lang w:val="en-AU"/>
        </w:rPr>
        <w:t>must be made</w:t>
      </w:r>
      <w:proofErr w:type="gramEnd"/>
      <w:r w:rsidRPr="00CB1EA2">
        <w:rPr>
          <w:lang w:val="en-AU"/>
        </w:rPr>
        <w:t xml:space="preserve"> whether to discontinue breastfeeding or to abstain/discontinue from therapy, taking into account the benefit of breastfeeding for the child and the benefit of therapy for the woman.</w:t>
      </w:r>
    </w:p>
    <w:p w14:paraId="49003FB1" w14:textId="598A3CF8" w:rsidR="001A3992" w:rsidRPr="00CB1EA2" w:rsidRDefault="001A3992" w:rsidP="005B3EB9">
      <w:pPr>
        <w:pStyle w:val="Heading2"/>
        <w:rPr>
          <w:lang w:val="en-AU"/>
        </w:rPr>
      </w:pPr>
      <w:r w:rsidRPr="00CB1EA2">
        <w:rPr>
          <w:lang w:val="en-AU"/>
        </w:rPr>
        <w:t>Effects on ability to drive and use machines</w:t>
      </w:r>
    </w:p>
    <w:p w14:paraId="29983EF2" w14:textId="77777777" w:rsidR="00744556" w:rsidRPr="00CB1EA2" w:rsidRDefault="005B3EB9" w:rsidP="005B3EB9">
      <w:pPr>
        <w:rPr>
          <w:lang w:val="en-AU"/>
        </w:rPr>
      </w:pPr>
      <w:r w:rsidRPr="00CB1EA2">
        <w:rPr>
          <w:lang w:val="en-AU"/>
        </w:rPr>
        <w:t>Cablivi has no or negligible influence on the ability to drive and use machines.</w:t>
      </w:r>
    </w:p>
    <w:p w14:paraId="50B394FE" w14:textId="3C0560CE" w:rsidR="001A3992" w:rsidRPr="00CB1EA2" w:rsidRDefault="001A3992" w:rsidP="00B809E6">
      <w:pPr>
        <w:pStyle w:val="Heading2"/>
        <w:rPr>
          <w:lang w:val="en-AU"/>
        </w:rPr>
      </w:pPr>
      <w:r w:rsidRPr="00CB1EA2">
        <w:rPr>
          <w:lang w:val="en-AU"/>
        </w:rPr>
        <w:t>Adverse effects (Undesirable effects)</w:t>
      </w:r>
    </w:p>
    <w:p w14:paraId="1467AE44" w14:textId="0A1D2E48" w:rsidR="00C92C9D" w:rsidRPr="00CB1EA2" w:rsidRDefault="00C92C9D" w:rsidP="00B809E6">
      <w:pPr>
        <w:pStyle w:val="Heading3"/>
        <w:numPr>
          <w:ilvl w:val="0"/>
          <w:numId w:val="0"/>
        </w:numPr>
        <w:rPr>
          <w:lang w:val="en-AU"/>
        </w:rPr>
      </w:pPr>
      <w:r w:rsidRPr="00CB1EA2">
        <w:rPr>
          <w:lang w:val="en-AU"/>
        </w:rPr>
        <w:t>Summary of the safety profile</w:t>
      </w:r>
    </w:p>
    <w:p w14:paraId="6FA43EAB" w14:textId="65754A89" w:rsidR="00291BAA" w:rsidRPr="00CB1EA2" w:rsidRDefault="00291BAA" w:rsidP="00B809E6">
      <w:pPr>
        <w:rPr>
          <w:lang w:val="en-AU"/>
        </w:rPr>
      </w:pPr>
      <w:r w:rsidRPr="00CB1EA2">
        <w:rPr>
          <w:lang w:val="en-AU"/>
        </w:rPr>
        <w:t>The safety of C</w:t>
      </w:r>
      <w:r w:rsidR="006167DB" w:rsidRPr="00CB1EA2">
        <w:rPr>
          <w:lang w:val="en-AU"/>
        </w:rPr>
        <w:t>ablivi</w:t>
      </w:r>
      <w:r w:rsidRPr="00CB1EA2">
        <w:rPr>
          <w:lang w:val="en-AU"/>
        </w:rPr>
        <w:t xml:space="preserve"> </w:t>
      </w:r>
      <w:proofErr w:type="gramStart"/>
      <w:r w:rsidRPr="00CB1EA2">
        <w:rPr>
          <w:lang w:val="en-AU"/>
        </w:rPr>
        <w:t>was evaluated</w:t>
      </w:r>
      <w:proofErr w:type="gramEnd"/>
      <w:r w:rsidRPr="00CB1EA2">
        <w:rPr>
          <w:lang w:val="en-AU"/>
        </w:rPr>
        <w:t xml:space="preserve"> in two placebo-controlled clinical studies (HERCULES, in which 71 patients received C</w:t>
      </w:r>
      <w:r w:rsidR="006167DB" w:rsidRPr="00CB1EA2">
        <w:rPr>
          <w:lang w:val="en-AU"/>
        </w:rPr>
        <w:t>ablivi</w:t>
      </w:r>
      <w:r w:rsidRPr="00CB1EA2">
        <w:rPr>
          <w:lang w:val="en-AU"/>
        </w:rPr>
        <w:t>; and TITAN, in which 35 patients received C</w:t>
      </w:r>
      <w:r w:rsidR="006167DB" w:rsidRPr="00CB1EA2">
        <w:rPr>
          <w:lang w:val="en-AU"/>
        </w:rPr>
        <w:t>ablivi</w:t>
      </w:r>
      <w:r w:rsidRPr="00CB1EA2">
        <w:rPr>
          <w:lang w:val="en-AU"/>
        </w:rPr>
        <w:t>). The data described below reflect exposure to C</w:t>
      </w:r>
      <w:r w:rsidR="006167DB" w:rsidRPr="00CB1EA2">
        <w:rPr>
          <w:lang w:val="en-AU"/>
        </w:rPr>
        <w:t>ablivi</w:t>
      </w:r>
      <w:r w:rsidRPr="00CB1EA2">
        <w:rPr>
          <w:lang w:val="en-AU"/>
        </w:rPr>
        <w:t xml:space="preserve"> during the blinded periods of both studies, which include 106 patients with aTTP who received at least one dose, age 18 to 79 years, of whom 69% were female and 73% were </w:t>
      </w:r>
      <w:r w:rsidR="00EA3BA3">
        <w:rPr>
          <w:lang w:val="en-AU"/>
        </w:rPr>
        <w:t>Caucasian</w:t>
      </w:r>
      <w:r w:rsidRPr="00CB1EA2">
        <w:rPr>
          <w:lang w:val="en-AU"/>
        </w:rPr>
        <w:t>. The median treatment duration with C</w:t>
      </w:r>
      <w:r w:rsidR="006167DB" w:rsidRPr="00CB1EA2">
        <w:rPr>
          <w:lang w:val="en-AU"/>
        </w:rPr>
        <w:t>ablivi</w:t>
      </w:r>
      <w:r w:rsidRPr="00CB1EA2">
        <w:rPr>
          <w:lang w:val="en-AU"/>
        </w:rPr>
        <w:t xml:space="preserve"> was 35 days (range 1-77 days)</w:t>
      </w:r>
      <w:r w:rsidR="006167DB" w:rsidRPr="00CB1EA2">
        <w:rPr>
          <w:lang w:val="en-AU"/>
        </w:rPr>
        <w:t>.</w:t>
      </w:r>
    </w:p>
    <w:p w14:paraId="68951FF2" w14:textId="73FE9176" w:rsidR="00C92C9D" w:rsidRPr="00CB1EA2" w:rsidRDefault="00C92C9D" w:rsidP="00B809E6">
      <w:pPr>
        <w:rPr>
          <w:lang w:val="en-AU"/>
        </w:rPr>
      </w:pPr>
      <w:r w:rsidRPr="00CB1EA2">
        <w:rPr>
          <w:lang w:val="en-AU"/>
        </w:rPr>
        <w:lastRenderedPageBreak/>
        <w:t xml:space="preserve">The most frequent adverse reactions in clinical trials were epistaxis, headache and gingival bleeding. The most common serious </w:t>
      </w:r>
      <w:r w:rsidR="00614370">
        <w:rPr>
          <w:lang w:val="en-AU"/>
        </w:rPr>
        <w:t>adverse reaction was epistaxis.</w:t>
      </w:r>
    </w:p>
    <w:p w14:paraId="3BF77E6D" w14:textId="10CEB99C" w:rsidR="00C92C9D" w:rsidRPr="00CB1EA2" w:rsidRDefault="00C92C9D" w:rsidP="00DF0EDC">
      <w:pPr>
        <w:pStyle w:val="Heading3"/>
        <w:numPr>
          <w:ilvl w:val="0"/>
          <w:numId w:val="0"/>
        </w:numPr>
        <w:rPr>
          <w:lang w:val="en-AU"/>
        </w:rPr>
      </w:pPr>
      <w:r w:rsidRPr="00CB1EA2">
        <w:rPr>
          <w:lang w:val="en-AU"/>
        </w:rPr>
        <w:t>Tabulated list of adverse reactions</w:t>
      </w:r>
    </w:p>
    <w:p w14:paraId="20B9EA93" w14:textId="3CDDB215" w:rsidR="00C92C9D" w:rsidRPr="00CB1EA2" w:rsidRDefault="00445C04" w:rsidP="00DF0EDC">
      <w:pPr>
        <w:rPr>
          <w:lang w:val="en-AU"/>
        </w:rPr>
      </w:pPr>
      <w:r w:rsidRPr="00CB1EA2">
        <w:rPr>
          <w:color w:val="auto"/>
          <w:lang w:val="en-AU"/>
        </w:rPr>
        <w:t>Adverse reactions that occurred in ≥</w:t>
      </w:r>
      <w:proofErr w:type="gramStart"/>
      <w:r w:rsidRPr="00CB1EA2">
        <w:rPr>
          <w:color w:val="auto"/>
          <w:lang w:val="en-AU"/>
        </w:rPr>
        <w:t>2%</w:t>
      </w:r>
      <w:proofErr w:type="gramEnd"/>
      <w:r w:rsidRPr="00CB1EA2">
        <w:rPr>
          <w:color w:val="auto"/>
          <w:lang w:val="en-AU"/>
        </w:rPr>
        <w:t xml:space="preserve"> of patients treated with C</w:t>
      </w:r>
      <w:r w:rsidR="009761F1" w:rsidRPr="00CB1EA2">
        <w:rPr>
          <w:color w:val="auto"/>
          <w:lang w:val="en-AU"/>
        </w:rPr>
        <w:t>ablivi</w:t>
      </w:r>
      <w:r w:rsidRPr="00CB1EA2">
        <w:rPr>
          <w:color w:val="auto"/>
          <w:lang w:val="en-AU"/>
        </w:rPr>
        <w:t xml:space="preserve"> and more frequently than in those treated with placebo across the pooled data from the two trials are summarized in Table 1.  </w:t>
      </w:r>
      <w:r w:rsidR="00C92C9D" w:rsidRPr="00CB1EA2">
        <w:rPr>
          <w:color w:val="auto"/>
          <w:lang w:val="en-AU"/>
        </w:rPr>
        <w:t xml:space="preserve">Adverse reactions are </w:t>
      </w:r>
      <w:r w:rsidRPr="00CB1EA2">
        <w:rPr>
          <w:color w:val="auto"/>
          <w:lang w:val="en-AU"/>
        </w:rPr>
        <w:t xml:space="preserve">also </w:t>
      </w:r>
      <w:r w:rsidR="00C92C9D" w:rsidRPr="00CB1EA2">
        <w:rPr>
          <w:color w:val="auto"/>
          <w:lang w:val="en-AU"/>
        </w:rPr>
        <w:t>liste</w:t>
      </w:r>
      <w:r w:rsidR="00FF44FD" w:rsidRPr="00CB1EA2">
        <w:rPr>
          <w:color w:val="auto"/>
          <w:lang w:val="en-AU"/>
        </w:rPr>
        <w:t xml:space="preserve">d </w:t>
      </w:r>
      <w:r w:rsidR="00C92C9D" w:rsidRPr="00CB1EA2">
        <w:rPr>
          <w:color w:val="auto"/>
          <w:lang w:val="en-AU"/>
        </w:rPr>
        <w:t xml:space="preserve">by MedDRA system organ class and by frequency. Frequencies are defined as follows: very common (≥ 1/10); common (≥ 1/100 to &lt; 1/10); uncommon (≥ 1/1,000 to &lt; 1/100); rare (≥ 1/10,000 to </w:t>
      </w:r>
      <w:r w:rsidR="00C92C9D" w:rsidRPr="00CB1EA2">
        <w:rPr>
          <w:lang w:val="en-AU"/>
        </w:rPr>
        <w:t>&lt; 1/1,000); very rare (&lt; 1/10,000), not known (cannot be estimated from the available data).</w:t>
      </w:r>
    </w:p>
    <w:p w14:paraId="17781EB1" w14:textId="76B58CE8" w:rsidR="00445C04" w:rsidRPr="00CB1EA2" w:rsidRDefault="00416DEA" w:rsidP="00FF44FD">
      <w:pPr>
        <w:pStyle w:val="Caption"/>
        <w:tabs>
          <w:tab w:val="center" w:pos="4734"/>
          <w:tab w:val="right" w:pos="9469"/>
        </w:tabs>
        <w:jc w:val="left"/>
        <w:rPr>
          <w:lang w:val="en-AU"/>
        </w:rPr>
      </w:pPr>
      <w:r w:rsidRPr="00CB1EA2">
        <w:rPr>
          <w:lang w:val="en-AU"/>
        </w:rPr>
        <w:tab/>
      </w:r>
      <w:bookmarkStart w:id="2" w:name="_Ref25563043"/>
      <w:bookmarkStart w:id="3" w:name="_Toc25563733"/>
      <w:r w:rsidR="00445C04" w:rsidRPr="00CB1EA2">
        <w:rPr>
          <w:lang w:val="en-AU"/>
        </w:rPr>
        <w:t>Table </w:t>
      </w:r>
      <w:bookmarkEnd w:id="2"/>
      <w:r w:rsidR="00445C04" w:rsidRPr="00CB1EA2">
        <w:rPr>
          <w:lang w:val="en-AU"/>
        </w:rPr>
        <w:t xml:space="preserve">1 ­ Adverse Reactions in </w:t>
      </w:r>
      <w:r w:rsidR="00C85887" w:rsidRPr="00C85887">
        <w:rPr>
          <w:b w:val="0"/>
          <w:lang w:val="en-AU"/>
        </w:rPr>
        <w:sym w:font="Symbol" w:char="F0B3"/>
      </w:r>
      <w:r w:rsidR="00445C04" w:rsidRPr="00CB1EA2">
        <w:rPr>
          <w:lang w:val="en-AU"/>
        </w:rPr>
        <w:t xml:space="preserve"> 2% of patients treated with </w:t>
      </w:r>
      <w:proofErr w:type="spellStart"/>
      <w:r w:rsidR="00445C04" w:rsidRPr="00CB1EA2">
        <w:rPr>
          <w:lang w:val="en-AU"/>
        </w:rPr>
        <w:t>caplacizumab</w:t>
      </w:r>
      <w:proofErr w:type="spellEnd"/>
      <w:r w:rsidR="00445C04" w:rsidRPr="00CB1EA2">
        <w:rPr>
          <w:lang w:val="en-AU"/>
        </w:rPr>
        <w:t xml:space="preserve"> and more frequent than placebo during the blinded periods of the Phase</w:t>
      </w:r>
      <w:bookmarkStart w:id="4" w:name="_GoBack"/>
      <w:bookmarkEnd w:id="4"/>
      <w:r w:rsidR="00445C04" w:rsidRPr="00CB1EA2">
        <w:rPr>
          <w:lang w:val="en-AU"/>
        </w:rPr>
        <w:t xml:space="preserve"> II and III </w:t>
      </w:r>
      <w:proofErr w:type="spellStart"/>
      <w:r w:rsidR="00445C04" w:rsidRPr="00CB1EA2">
        <w:rPr>
          <w:lang w:val="en-AU"/>
        </w:rPr>
        <w:t>aTTP</w:t>
      </w:r>
      <w:proofErr w:type="spellEnd"/>
      <w:r w:rsidR="00445C04" w:rsidRPr="00CB1EA2">
        <w:rPr>
          <w:lang w:val="en-AU"/>
        </w:rPr>
        <w:t xml:space="preserve"> studies (Safety Population)</w:t>
      </w:r>
      <w:bookmarkEnd w:id="3"/>
    </w:p>
    <w:tbl>
      <w:tblPr>
        <w:tblW w:w="0" w:type="auto"/>
        <w:jc w:val="center"/>
        <w:tblBorders>
          <w:top w:val="single" w:sz="2" w:space="0" w:color="000000"/>
        </w:tblBorders>
        <w:tblLook w:val="04A0" w:firstRow="1" w:lastRow="0" w:firstColumn="1" w:lastColumn="0" w:noHBand="0" w:noVBand="1"/>
      </w:tblPr>
      <w:tblGrid>
        <w:gridCol w:w="2799"/>
        <w:gridCol w:w="1698"/>
        <w:gridCol w:w="1747"/>
        <w:gridCol w:w="2295"/>
      </w:tblGrid>
      <w:tr w:rsidR="00FF44FD" w:rsidRPr="00CB1EA2" w14:paraId="5F061863" w14:textId="77777777" w:rsidTr="0006616F">
        <w:trPr>
          <w:cantSplit/>
          <w:tblHeader/>
          <w:jc w:val="center"/>
        </w:trPr>
        <w:tc>
          <w:tcPr>
            <w:tcW w:w="2799" w:type="dxa"/>
            <w:tcBorders>
              <w:top w:val="single" w:sz="4" w:space="0" w:color="000000"/>
              <w:bottom w:val="single" w:sz="4" w:space="0" w:color="000000"/>
            </w:tcBorders>
            <w:shd w:val="clear" w:color="auto" w:fill="auto"/>
          </w:tcPr>
          <w:p w14:paraId="763E36A0"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 xml:space="preserve">Adverse reaction </w:t>
            </w:r>
          </w:p>
        </w:tc>
        <w:tc>
          <w:tcPr>
            <w:tcW w:w="1698" w:type="dxa"/>
            <w:tcBorders>
              <w:top w:val="single" w:sz="4" w:space="0" w:color="000000"/>
              <w:bottom w:val="single" w:sz="4" w:space="0" w:color="000000"/>
            </w:tcBorders>
            <w:shd w:val="clear" w:color="auto" w:fill="auto"/>
          </w:tcPr>
          <w:p w14:paraId="4BC29F85"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Caplacizumab</w:t>
            </w:r>
          </w:p>
          <w:p w14:paraId="046E93DA"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(N=106)</w:t>
            </w:r>
          </w:p>
          <w:p w14:paraId="212AC034"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n (%)</w:t>
            </w:r>
          </w:p>
        </w:tc>
        <w:tc>
          <w:tcPr>
            <w:tcW w:w="1747" w:type="dxa"/>
            <w:tcBorders>
              <w:top w:val="single" w:sz="4" w:space="0" w:color="000000"/>
              <w:bottom w:val="single" w:sz="4" w:space="0" w:color="000000"/>
            </w:tcBorders>
            <w:shd w:val="clear" w:color="auto" w:fill="auto"/>
          </w:tcPr>
          <w:p w14:paraId="001C529A"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Placebo</w:t>
            </w:r>
          </w:p>
          <w:p w14:paraId="59998AE7"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(N=110)</w:t>
            </w:r>
          </w:p>
          <w:p w14:paraId="72729928"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n (%)</w:t>
            </w:r>
          </w:p>
        </w:tc>
        <w:tc>
          <w:tcPr>
            <w:tcW w:w="2295" w:type="dxa"/>
            <w:tcBorders>
              <w:top w:val="single" w:sz="4" w:space="0" w:color="000000"/>
              <w:bottom w:val="single" w:sz="4" w:space="0" w:color="000000"/>
            </w:tcBorders>
            <w:shd w:val="clear" w:color="auto" w:fill="auto"/>
          </w:tcPr>
          <w:p w14:paraId="316A8892" w14:textId="77777777" w:rsidR="00445C04" w:rsidRPr="00CB1EA2" w:rsidRDefault="00445C04" w:rsidP="00445C04">
            <w:pPr>
              <w:spacing w:before="60" w:after="60"/>
              <w:jc w:val="center"/>
              <w:rPr>
                <w:rFonts w:ascii="Arial" w:eastAsia="MS Gothic" w:hAnsi="Arial" w:cs="Arial"/>
                <w:b/>
                <w:noProof/>
                <w:color w:val="auto"/>
                <w:sz w:val="20"/>
                <w:szCs w:val="20"/>
                <w:lang w:val="en-AU"/>
              </w:rPr>
            </w:pPr>
            <w:r w:rsidRPr="00CB1EA2">
              <w:rPr>
                <w:rFonts w:ascii="Arial" w:eastAsia="MS Gothic" w:hAnsi="Arial" w:cs="Arial"/>
                <w:b/>
                <w:noProof/>
                <w:color w:val="auto"/>
                <w:sz w:val="20"/>
                <w:szCs w:val="20"/>
                <w:lang w:val="en-AU"/>
              </w:rPr>
              <w:t>Frequency category</w:t>
            </w:r>
          </w:p>
        </w:tc>
      </w:tr>
      <w:tr w:rsidR="00FF44FD" w:rsidRPr="00CB1EA2" w14:paraId="7A42D59B" w14:textId="77777777" w:rsidTr="0006616F">
        <w:trPr>
          <w:cantSplit/>
          <w:jc w:val="center"/>
        </w:trPr>
        <w:tc>
          <w:tcPr>
            <w:tcW w:w="6244" w:type="dxa"/>
            <w:gridSpan w:val="3"/>
            <w:shd w:val="clear" w:color="auto" w:fill="auto"/>
          </w:tcPr>
          <w:p w14:paraId="07E27585"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Gastrointestinal disorders</w:t>
            </w:r>
          </w:p>
        </w:tc>
        <w:tc>
          <w:tcPr>
            <w:tcW w:w="2295" w:type="dxa"/>
            <w:tcBorders>
              <w:top w:val="single" w:sz="4" w:space="0" w:color="000000"/>
            </w:tcBorders>
            <w:shd w:val="clear" w:color="auto" w:fill="auto"/>
          </w:tcPr>
          <w:p w14:paraId="15C323D8"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5C529A53" w14:textId="77777777" w:rsidTr="0006616F">
        <w:trPr>
          <w:cantSplit/>
          <w:jc w:val="center"/>
        </w:trPr>
        <w:tc>
          <w:tcPr>
            <w:tcW w:w="2799" w:type="dxa"/>
            <w:shd w:val="clear" w:color="auto" w:fill="auto"/>
          </w:tcPr>
          <w:p w14:paraId="710987BA"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Gingival bleeding</w:t>
            </w:r>
          </w:p>
        </w:tc>
        <w:tc>
          <w:tcPr>
            <w:tcW w:w="1698" w:type="dxa"/>
            <w:shd w:val="clear" w:color="auto" w:fill="auto"/>
          </w:tcPr>
          <w:p w14:paraId="15A8E47B"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17 (16)</w:t>
            </w:r>
          </w:p>
        </w:tc>
        <w:tc>
          <w:tcPr>
            <w:tcW w:w="1747" w:type="dxa"/>
            <w:shd w:val="clear" w:color="auto" w:fill="auto"/>
          </w:tcPr>
          <w:p w14:paraId="0B520A8B"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3 (3)</w:t>
            </w:r>
          </w:p>
        </w:tc>
        <w:tc>
          <w:tcPr>
            <w:tcW w:w="2295" w:type="dxa"/>
            <w:shd w:val="clear" w:color="auto" w:fill="auto"/>
          </w:tcPr>
          <w:p w14:paraId="656B3163"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78C7C0DA" w14:textId="77777777" w:rsidTr="0006616F">
        <w:trPr>
          <w:cantSplit/>
          <w:jc w:val="center"/>
        </w:trPr>
        <w:tc>
          <w:tcPr>
            <w:tcW w:w="2799" w:type="dxa"/>
            <w:shd w:val="clear" w:color="auto" w:fill="auto"/>
          </w:tcPr>
          <w:p w14:paraId="67F7498D" w14:textId="0DA72382"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 xml:space="preserve">Rectal </w:t>
            </w:r>
            <w:r w:rsidR="00842632" w:rsidRPr="00CB1EA2">
              <w:rPr>
                <w:rFonts w:ascii="Arial Narrow" w:eastAsia="MS Gothic" w:hAnsi="Arial Narrow"/>
                <w:color w:val="auto"/>
                <w:sz w:val="20"/>
                <w:szCs w:val="20"/>
                <w:lang w:val="en-AU"/>
              </w:rPr>
              <w:t>haemorrhage</w:t>
            </w:r>
          </w:p>
        </w:tc>
        <w:tc>
          <w:tcPr>
            <w:tcW w:w="1698" w:type="dxa"/>
            <w:shd w:val="clear" w:color="auto" w:fill="auto"/>
          </w:tcPr>
          <w:p w14:paraId="14CD998A"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4 (4)</w:t>
            </w:r>
          </w:p>
        </w:tc>
        <w:tc>
          <w:tcPr>
            <w:tcW w:w="1747" w:type="dxa"/>
            <w:shd w:val="clear" w:color="auto" w:fill="auto"/>
          </w:tcPr>
          <w:p w14:paraId="2E880B84"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0 (0)</w:t>
            </w:r>
          </w:p>
        </w:tc>
        <w:tc>
          <w:tcPr>
            <w:tcW w:w="2295" w:type="dxa"/>
            <w:shd w:val="clear" w:color="auto" w:fill="auto"/>
          </w:tcPr>
          <w:p w14:paraId="342E8C43"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3B935207" w14:textId="77777777" w:rsidTr="0006616F">
        <w:trPr>
          <w:cantSplit/>
          <w:jc w:val="center"/>
        </w:trPr>
        <w:tc>
          <w:tcPr>
            <w:tcW w:w="2799" w:type="dxa"/>
            <w:shd w:val="clear" w:color="auto" w:fill="auto"/>
          </w:tcPr>
          <w:p w14:paraId="223E5539" w14:textId="212B950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Abdominal wall h</w:t>
            </w:r>
            <w:r w:rsidR="00EA3BA3">
              <w:rPr>
                <w:rFonts w:ascii="Arial Narrow" w:eastAsia="MS Gothic" w:hAnsi="Arial Narrow"/>
                <w:color w:val="auto"/>
                <w:sz w:val="20"/>
                <w:szCs w:val="20"/>
                <w:lang w:val="en-AU"/>
              </w:rPr>
              <w:t>a</w:t>
            </w:r>
            <w:r w:rsidRPr="00CB1EA2">
              <w:rPr>
                <w:rFonts w:ascii="Arial Narrow" w:eastAsia="MS Gothic" w:hAnsi="Arial Narrow"/>
                <w:color w:val="auto"/>
                <w:sz w:val="20"/>
                <w:szCs w:val="20"/>
                <w:lang w:val="en-AU"/>
              </w:rPr>
              <w:t>ematoma</w:t>
            </w:r>
          </w:p>
        </w:tc>
        <w:tc>
          <w:tcPr>
            <w:tcW w:w="1698" w:type="dxa"/>
            <w:shd w:val="clear" w:color="auto" w:fill="auto"/>
          </w:tcPr>
          <w:p w14:paraId="4C582015"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3 (3)</w:t>
            </w:r>
          </w:p>
        </w:tc>
        <w:tc>
          <w:tcPr>
            <w:tcW w:w="1747" w:type="dxa"/>
            <w:shd w:val="clear" w:color="auto" w:fill="auto"/>
          </w:tcPr>
          <w:p w14:paraId="6BD39E3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 (1)</w:t>
            </w:r>
          </w:p>
        </w:tc>
        <w:tc>
          <w:tcPr>
            <w:tcW w:w="2295" w:type="dxa"/>
            <w:shd w:val="clear" w:color="auto" w:fill="auto"/>
          </w:tcPr>
          <w:p w14:paraId="3068B277"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297495E5" w14:textId="77777777" w:rsidTr="0006616F">
        <w:trPr>
          <w:cantSplit/>
          <w:jc w:val="center"/>
        </w:trPr>
        <w:tc>
          <w:tcPr>
            <w:tcW w:w="6244" w:type="dxa"/>
            <w:gridSpan w:val="3"/>
            <w:shd w:val="clear" w:color="auto" w:fill="auto"/>
          </w:tcPr>
          <w:p w14:paraId="1DBEA55F"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General disorders and administration site conditions</w:t>
            </w:r>
          </w:p>
        </w:tc>
        <w:tc>
          <w:tcPr>
            <w:tcW w:w="2295" w:type="dxa"/>
            <w:shd w:val="clear" w:color="auto" w:fill="auto"/>
          </w:tcPr>
          <w:p w14:paraId="35DAE449"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6C0297BF" w14:textId="77777777" w:rsidTr="0006616F">
        <w:trPr>
          <w:cantSplit/>
          <w:jc w:val="center"/>
        </w:trPr>
        <w:tc>
          <w:tcPr>
            <w:tcW w:w="2799" w:type="dxa"/>
            <w:shd w:val="clear" w:color="auto" w:fill="auto"/>
          </w:tcPr>
          <w:p w14:paraId="78A72FB4"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Fatigue</w:t>
            </w:r>
          </w:p>
        </w:tc>
        <w:tc>
          <w:tcPr>
            <w:tcW w:w="1698" w:type="dxa"/>
            <w:shd w:val="clear" w:color="auto" w:fill="auto"/>
          </w:tcPr>
          <w:p w14:paraId="40DE1177"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16 (15)</w:t>
            </w:r>
          </w:p>
        </w:tc>
        <w:tc>
          <w:tcPr>
            <w:tcW w:w="1747" w:type="dxa"/>
            <w:shd w:val="clear" w:color="auto" w:fill="auto"/>
          </w:tcPr>
          <w:p w14:paraId="2250CC7D"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10 (9)</w:t>
            </w:r>
          </w:p>
        </w:tc>
        <w:tc>
          <w:tcPr>
            <w:tcW w:w="2295" w:type="dxa"/>
            <w:shd w:val="clear" w:color="auto" w:fill="auto"/>
          </w:tcPr>
          <w:p w14:paraId="10C18B1D"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0CBF48E1" w14:textId="77777777" w:rsidTr="0006616F">
        <w:trPr>
          <w:cantSplit/>
          <w:jc w:val="center"/>
        </w:trPr>
        <w:tc>
          <w:tcPr>
            <w:tcW w:w="2799" w:type="dxa"/>
            <w:shd w:val="clear" w:color="auto" w:fill="auto"/>
          </w:tcPr>
          <w:p w14:paraId="3A846DC7"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Pyrexia</w:t>
            </w:r>
          </w:p>
        </w:tc>
        <w:tc>
          <w:tcPr>
            <w:tcW w:w="1698" w:type="dxa"/>
            <w:shd w:val="clear" w:color="auto" w:fill="auto"/>
          </w:tcPr>
          <w:p w14:paraId="05743AA5"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14 (13)</w:t>
            </w:r>
          </w:p>
        </w:tc>
        <w:tc>
          <w:tcPr>
            <w:tcW w:w="1747" w:type="dxa"/>
            <w:shd w:val="clear" w:color="auto" w:fill="auto"/>
          </w:tcPr>
          <w:p w14:paraId="56FA8D2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12 (11)</w:t>
            </w:r>
          </w:p>
        </w:tc>
        <w:tc>
          <w:tcPr>
            <w:tcW w:w="2295" w:type="dxa"/>
            <w:shd w:val="clear" w:color="auto" w:fill="auto"/>
          </w:tcPr>
          <w:p w14:paraId="650505E0"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4A83431C" w14:textId="77777777" w:rsidTr="0006616F">
        <w:trPr>
          <w:cantSplit/>
          <w:jc w:val="center"/>
        </w:trPr>
        <w:tc>
          <w:tcPr>
            <w:tcW w:w="2799" w:type="dxa"/>
            <w:shd w:val="clear" w:color="auto" w:fill="auto"/>
          </w:tcPr>
          <w:p w14:paraId="215BA5CC" w14:textId="0722468D"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 xml:space="preserve">Injection site </w:t>
            </w:r>
            <w:r w:rsidR="00842632" w:rsidRPr="00CB1EA2">
              <w:rPr>
                <w:rFonts w:ascii="Arial Narrow" w:eastAsia="MS Gothic" w:hAnsi="Arial Narrow"/>
                <w:color w:val="auto"/>
                <w:sz w:val="20"/>
                <w:szCs w:val="20"/>
                <w:lang w:val="en-AU"/>
              </w:rPr>
              <w:t>haemorrhage</w:t>
            </w:r>
          </w:p>
        </w:tc>
        <w:tc>
          <w:tcPr>
            <w:tcW w:w="1698" w:type="dxa"/>
            <w:shd w:val="clear" w:color="auto" w:fill="auto"/>
          </w:tcPr>
          <w:p w14:paraId="53F45694"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6 (6)</w:t>
            </w:r>
          </w:p>
        </w:tc>
        <w:tc>
          <w:tcPr>
            <w:tcW w:w="1747" w:type="dxa"/>
            <w:shd w:val="clear" w:color="auto" w:fill="auto"/>
          </w:tcPr>
          <w:p w14:paraId="5FAA52F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 (1)</w:t>
            </w:r>
          </w:p>
        </w:tc>
        <w:tc>
          <w:tcPr>
            <w:tcW w:w="2295" w:type="dxa"/>
            <w:shd w:val="clear" w:color="auto" w:fill="auto"/>
          </w:tcPr>
          <w:p w14:paraId="243CC5F6"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0FC8F483" w14:textId="77777777" w:rsidTr="0006616F">
        <w:trPr>
          <w:cantSplit/>
          <w:jc w:val="center"/>
        </w:trPr>
        <w:tc>
          <w:tcPr>
            <w:tcW w:w="2799" w:type="dxa"/>
            <w:shd w:val="clear" w:color="auto" w:fill="auto"/>
          </w:tcPr>
          <w:p w14:paraId="28B273B9"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Injection site pruritus</w:t>
            </w:r>
          </w:p>
        </w:tc>
        <w:tc>
          <w:tcPr>
            <w:tcW w:w="1698" w:type="dxa"/>
            <w:shd w:val="clear" w:color="auto" w:fill="auto"/>
          </w:tcPr>
          <w:p w14:paraId="610E3EE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3 (3)</w:t>
            </w:r>
          </w:p>
        </w:tc>
        <w:tc>
          <w:tcPr>
            <w:tcW w:w="1747" w:type="dxa"/>
            <w:shd w:val="clear" w:color="auto" w:fill="auto"/>
          </w:tcPr>
          <w:p w14:paraId="7A90BED8"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0 (0)</w:t>
            </w:r>
          </w:p>
        </w:tc>
        <w:tc>
          <w:tcPr>
            <w:tcW w:w="2295" w:type="dxa"/>
            <w:shd w:val="clear" w:color="auto" w:fill="auto"/>
          </w:tcPr>
          <w:p w14:paraId="1DF65FE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1F942BB6" w14:textId="77777777" w:rsidTr="0006616F">
        <w:trPr>
          <w:cantSplit/>
          <w:jc w:val="center"/>
        </w:trPr>
        <w:tc>
          <w:tcPr>
            <w:tcW w:w="6244" w:type="dxa"/>
            <w:gridSpan w:val="3"/>
            <w:shd w:val="clear" w:color="auto" w:fill="auto"/>
          </w:tcPr>
          <w:p w14:paraId="2B58FACA"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Musculoskeletal and connective tissue disorders</w:t>
            </w:r>
          </w:p>
        </w:tc>
        <w:tc>
          <w:tcPr>
            <w:tcW w:w="2295" w:type="dxa"/>
            <w:shd w:val="clear" w:color="auto" w:fill="auto"/>
          </w:tcPr>
          <w:p w14:paraId="0F99EFE0"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5D016408" w14:textId="77777777" w:rsidTr="0006616F">
        <w:trPr>
          <w:cantSplit/>
          <w:jc w:val="center"/>
        </w:trPr>
        <w:tc>
          <w:tcPr>
            <w:tcW w:w="2799" w:type="dxa"/>
            <w:shd w:val="clear" w:color="auto" w:fill="auto"/>
          </w:tcPr>
          <w:p w14:paraId="125D9599"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 xml:space="preserve">Myalgia </w:t>
            </w:r>
          </w:p>
        </w:tc>
        <w:tc>
          <w:tcPr>
            <w:tcW w:w="1698" w:type="dxa"/>
            <w:shd w:val="clear" w:color="auto" w:fill="auto"/>
          </w:tcPr>
          <w:p w14:paraId="2B40D61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6 (6)</w:t>
            </w:r>
          </w:p>
        </w:tc>
        <w:tc>
          <w:tcPr>
            <w:tcW w:w="1747" w:type="dxa"/>
            <w:shd w:val="clear" w:color="auto" w:fill="auto"/>
          </w:tcPr>
          <w:p w14:paraId="71610897"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2 (2)</w:t>
            </w:r>
          </w:p>
        </w:tc>
        <w:tc>
          <w:tcPr>
            <w:tcW w:w="2295" w:type="dxa"/>
            <w:shd w:val="clear" w:color="auto" w:fill="auto"/>
          </w:tcPr>
          <w:p w14:paraId="32936E76"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274194F4" w14:textId="77777777" w:rsidTr="0006616F">
        <w:trPr>
          <w:cantSplit/>
          <w:jc w:val="center"/>
        </w:trPr>
        <w:tc>
          <w:tcPr>
            <w:tcW w:w="6244" w:type="dxa"/>
            <w:gridSpan w:val="3"/>
            <w:shd w:val="clear" w:color="auto" w:fill="auto"/>
          </w:tcPr>
          <w:p w14:paraId="19676578"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Nervous system disorders</w:t>
            </w:r>
          </w:p>
        </w:tc>
        <w:tc>
          <w:tcPr>
            <w:tcW w:w="2295" w:type="dxa"/>
            <w:shd w:val="clear" w:color="auto" w:fill="auto"/>
          </w:tcPr>
          <w:p w14:paraId="2EAC68EA"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45A47C1A" w14:textId="77777777" w:rsidTr="0006616F">
        <w:trPr>
          <w:cantSplit/>
          <w:jc w:val="center"/>
        </w:trPr>
        <w:tc>
          <w:tcPr>
            <w:tcW w:w="2799" w:type="dxa"/>
            <w:shd w:val="clear" w:color="auto" w:fill="auto"/>
          </w:tcPr>
          <w:p w14:paraId="19FC141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Headache</w:t>
            </w:r>
          </w:p>
        </w:tc>
        <w:tc>
          <w:tcPr>
            <w:tcW w:w="1698" w:type="dxa"/>
            <w:shd w:val="clear" w:color="auto" w:fill="auto"/>
          </w:tcPr>
          <w:p w14:paraId="769C23E0"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22 (21)</w:t>
            </w:r>
          </w:p>
        </w:tc>
        <w:tc>
          <w:tcPr>
            <w:tcW w:w="1747" w:type="dxa"/>
            <w:shd w:val="clear" w:color="auto" w:fill="auto"/>
          </w:tcPr>
          <w:p w14:paraId="5F1940EF"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15 (14)</w:t>
            </w:r>
          </w:p>
        </w:tc>
        <w:tc>
          <w:tcPr>
            <w:tcW w:w="2295" w:type="dxa"/>
            <w:shd w:val="clear" w:color="auto" w:fill="auto"/>
          </w:tcPr>
          <w:p w14:paraId="66DCF4B4"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0F8B04F0" w14:textId="77777777" w:rsidTr="0006616F">
        <w:trPr>
          <w:cantSplit/>
          <w:jc w:val="center"/>
        </w:trPr>
        <w:tc>
          <w:tcPr>
            <w:tcW w:w="6244" w:type="dxa"/>
            <w:gridSpan w:val="3"/>
            <w:shd w:val="clear" w:color="auto" w:fill="auto"/>
          </w:tcPr>
          <w:p w14:paraId="5239BBB3"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Renal and urinary disorders</w:t>
            </w:r>
          </w:p>
        </w:tc>
        <w:tc>
          <w:tcPr>
            <w:tcW w:w="2295" w:type="dxa"/>
            <w:shd w:val="clear" w:color="auto" w:fill="auto"/>
          </w:tcPr>
          <w:p w14:paraId="0BE29C18"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472CE163" w14:textId="77777777" w:rsidTr="0006616F">
        <w:trPr>
          <w:cantSplit/>
          <w:jc w:val="center"/>
        </w:trPr>
        <w:tc>
          <w:tcPr>
            <w:tcW w:w="2799" w:type="dxa"/>
            <w:shd w:val="clear" w:color="auto" w:fill="auto"/>
          </w:tcPr>
          <w:p w14:paraId="634911D9" w14:textId="0039C7FB" w:rsidR="00445C04" w:rsidRPr="00CB1EA2" w:rsidRDefault="00842632"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Haematuria</w:t>
            </w:r>
          </w:p>
        </w:tc>
        <w:tc>
          <w:tcPr>
            <w:tcW w:w="1698" w:type="dxa"/>
            <w:shd w:val="clear" w:color="auto" w:fill="auto"/>
          </w:tcPr>
          <w:p w14:paraId="053EA78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4 (4)</w:t>
            </w:r>
          </w:p>
        </w:tc>
        <w:tc>
          <w:tcPr>
            <w:tcW w:w="1747" w:type="dxa"/>
            <w:shd w:val="clear" w:color="auto" w:fill="auto"/>
          </w:tcPr>
          <w:p w14:paraId="4FAE670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3 (3)</w:t>
            </w:r>
          </w:p>
        </w:tc>
        <w:tc>
          <w:tcPr>
            <w:tcW w:w="2295" w:type="dxa"/>
            <w:shd w:val="clear" w:color="auto" w:fill="auto"/>
          </w:tcPr>
          <w:p w14:paraId="70B4123F"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7AEDA57F" w14:textId="77777777" w:rsidTr="0006616F">
        <w:trPr>
          <w:cantSplit/>
          <w:jc w:val="center"/>
        </w:trPr>
        <w:tc>
          <w:tcPr>
            <w:tcW w:w="6244" w:type="dxa"/>
            <w:gridSpan w:val="3"/>
            <w:shd w:val="clear" w:color="auto" w:fill="auto"/>
          </w:tcPr>
          <w:p w14:paraId="1FCF7F63"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Reproductive system and breast disorders</w:t>
            </w:r>
          </w:p>
        </w:tc>
        <w:tc>
          <w:tcPr>
            <w:tcW w:w="2295" w:type="dxa"/>
            <w:shd w:val="clear" w:color="auto" w:fill="auto"/>
          </w:tcPr>
          <w:p w14:paraId="7656CC6F"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1EA458E2" w14:textId="77777777" w:rsidTr="0006616F">
        <w:trPr>
          <w:cantSplit/>
          <w:jc w:val="center"/>
        </w:trPr>
        <w:tc>
          <w:tcPr>
            <w:tcW w:w="2799" w:type="dxa"/>
            <w:shd w:val="clear" w:color="auto" w:fill="auto"/>
          </w:tcPr>
          <w:p w14:paraId="09F2FDFD" w14:textId="303BCEB5"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 xml:space="preserve">Vaginal </w:t>
            </w:r>
            <w:r w:rsidR="00842632" w:rsidRPr="00CB1EA2">
              <w:rPr>
                <w:rFonts w:ascii="Arial Narrow" w:eastAsia="MS Gothic" w:hAnsi="Arial Narrow"/>
                <w:color w:val="auto"/>
                <w:sz w:val="20"/>
                <w:szCs w:val="20"/>
                <w:lang w:val="en-AU"/>
              </w:rPr>
              <w:t>haemorrhage</w:t>
            </w:r>
          </w:p>
        </w:tc>
        <w:tc>
          <w:tcPr>
            <w:tcW w:w="1698" w:type="dxa"/>
            <w:shd w:val="clear" w:color="auto" w:fill="auto"/>
          </w:tcPr>
          <w:p w14:paraId="4A068855"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5 (5)</w:t>
            </w:r>
          </w:p>
        </w:tc>
        <w:tc>
          <w:tcPr>
            <w:tcW w:w="1747" w:type="dxa"/>
            <w:shd w:val="clear" w:color="auto" w:fill="auto"/>
          </w:tcPr>
          <w:p w14:paraId="77A91245"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2 (2)</w:t>
            </w:r>
          </w:p>
        </w:tc>
        <w:tc>
          <w:tcPr>
            <w:tcW w:w="2295" w:type="dxa"/>
            <w:shd w:val="clear" w:color="auto" w:fill="auto"/>
          </w:tcPr>
          <w:p w14:paraId="2C2EE8C3"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74C96A68" w14:textId="77777777" w:rsidTr="0006616F">
        <w:trPr>
          <w:cantSplit/>
          <w:jc w:val="center"/>
        </w:trPr>
        <w:tc>
          <w:tcPr>
            <w:tcW w:w="2799" w:type="dxa"/>
            <w:shd w:val="clear" w:color="auto" w:fill="auto"/>
          </w:tcPr>
          <w:p w14:paraId="21F299FD"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Menorrhagia</w:t>
            </w:r>
          </w:p>
        </w:tc>
        <w:tc>
          <w:tcPr>
            <w:tcW w:w="1698" w:type="dxa"/>
            <w:shd w:val="clear" w:color="auto" w:fill="auto"/>
          </w:tcPr>
          <w:p w14:paraId="730A481D"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4 (4)</w:t>
            </w:r>
          </w:p>
        </w:tc>
        <w:tc>
          <w:tcPr>
            <w:tcW w:w="1747" w:type="dxa"/>
            <w:shd w:val="clear" w:color="auto" w:fill="auto"/>
          </w:tcPr>
          <w:p w14:paraId="6C7D6C21"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 (1)</w:t>
            </w:r>
          </w:p>
        </w:tc>
        <w:tc>
          <w:tcPr>
            <w:tcW w:w="2295" w:type="dxa"/>
            <w:shd w:val="clear" w:color="auto" w:fill="auto"/>
          </w:tcPr>
          <w:p w14:paraId="22AA27E6"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330520BA" w14:textId="77777777" w:rsidTr="0006616F">
        <w:trPr>
          <w:cantSplit/>
          <w:jc w:val="center"/>
        </w:trPr>
        <w:tc>
          <w:tcPr>
            <w:tcW w:w="6244" w:type="dxa"/>
            <w:gridSpan w:val="3"/>
            <w:shd w:val="clear" w:color="auto" w:fill="auto"/>
          </w:tcPr>
          <w:p w14:paraId="6E041F66"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Respiratory, thoracic and mediastinal disorders</w:t>
            </w:r>
          </w:p>
        </w:tc>
        <w:tc>
          <w:tcPr>
            <w:tcW w:w="2295" w:type="dxa"/>
            <w:shd w:val="clear" w:color="auto" w:fill="auto"/>
          </w:tcPr>
          <w:p w14:paraId="2F358391"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434C8BAE" w14:textId="77777777" w:rsidTr="0006616F">
        <w:trPr>
          <w:cantSplit/>
          <w:jc w:val="center"/>
        </w:trPr>
        <w:tc>
          <w:tcPr>
            <w:tcW w:w="2799" w:type="dxa"/>
            <w:shd w:val="clear" w:color="auto" w:fill="auto"/>
          </w:tcPr>
          <w:p w14:paraId="66C54B3F"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Epistaxis</w:t>
            </w:r>
          </w:p>
        </w:tc>
        <w:tc>
          <w:tcPr>
            <w:tcW w:w="1698" w:type="dxa"/>
            <w:shd w:val="clear" w:color="auto" w:fill="auto"/>
          </w:tcPr>
          <w:p w14:paraId="39E49B42"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31 (29)</w:t>
            </w:r>
          </w:p>
        </w:tc>
        <w:tc>
          <w:tcPr>
            <w:tcW w:w="1747" w:type="dxa"/>
            <w:shd w:val="clear" w:color="auto" w:fill="auto"/>
          </w:tcPr>
          <w:p w14:paraId="122517F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6 (6)</w:t>
            </w:r>
          </w:p>
        </w:tc>
        <w:tc>
          <w:tcPr>
            <w:tcW w:w="2295" w:type="dxa"/>
            <w:shd w:val="clear" w:color="auto" w:fill="auto"/>
          </w:tcPr>
          <w:p w14:paraId="3415CC54"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578E5F17" w14:textId="77777777" w:rsidTr="0006616F">
        <w:trPr>
          <w:cantSplit/>
          <w:jc w:val="center"/>
        </w:trPr>
        <w:tc>
          <w:tcPr>
            <w:tcW w:w="2799" w:type="dxa"/>
            <w:shd w:val="clear" w:color="auto" w:fill="auto"/>
          </w:tcPr>
          <w:p w14:paraId="6A9771E4" w14:textId="2C8C9700" w:rsidR="00445C04" w:rsidRPr="00CB1EA2" w:rsidRDefault="00842632"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lastRenderedPageBreak/>
              <w:t>Dyspnoea</w:t>
            </w:r>
          </w:p>
        </w:tc>
        <w:tc>
          <w:tcPr>
            <w:tcW w:w="1698" w:type="dxa"/>
            <w:shd w:val="clear" w:color="auto" w:fill="auto"/>
          </w:tcPr>
          <w:p w14:paraId="4EF9364E"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10 (9)</w:t>
            </w:r>
          </w:p>
        </w:tc>
        <w:tc>
          <w:tcPr>
            <w:tcW w:w="1747" w:type="dxa"/>
            <w:shd w:val="clear" w:color="auto" w:fill="auto"/>
          </w:tcPr>
          <w:p w14:paraId="49A53F8D"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5 (5)</w:t>
            </w:r>
          </w:p>
        </w:tc>
        <w:tc>
          <w:tcPr>
            <w:tcW w:w="2295" w:type="dxa"/>
            <w:shd w:val="clear" w:color="auto" w:fill="auto"/>
          </w:tcPr>
          <w:p w14:paraId="6383EFAB"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Common</w:t>
            </w:r>
          </w:p>
        </w:tc>
      </w:tr>
      <w:tr w:rsidR="00FF44FD" w:rsidRPr="00CB1EA2" w14:paraId="4CFABD79" w14:textId="77777777" w:rsidTr="0006616F">
        <w:trPr>
          <w:cantSplit/>
          <w:jc w:val="center"/>
        </w:trPr>
        <w:tc>
          <w:tcPr>
            <w:tcW w:w="6244" w:type="dxa"/>
            <w:gridSpan w:val="3"/>
            <w:shd w:val="clear" w:color="auto" w:fill="auto"/>
          </w:tcPr>
          <w:p w14:paraId="0BE2EBBF" w14:textId="77777777" w:rsidR="00445C04" w:rsidRPr="00CB1EA2" w:rsidRDefault="00445C04" w:rsidP="00445C04">
            <w:pPr>
              <w:spacing w:before="60" w:after="60"/>
              <w:rPr>
                <w:rFonts w:ascii="Arial Narrow" w:eastAsia="MS Gothic" w:hAnsi="Arial Narrow"/>
                <w:i/>
                <w:color w:val="auto"/>
                <w:sz w:val="20"/>
                <w:szCs w:val="20"/>
                <w:lang w:val="en-AU"/>
              </w:rPr>
            </w:pPr>
            <w:r w:rsidRPr="00CB1EA2">
              <w:rPr>
                <w:rFonts w:ascii="Arial Narrow" w:eastAsia="MS Gothic" w:hAnsi="Arial Narrow"/>
                <w:i/>
                <w:color w:val="auto"/>
                <w:sz w:val="20"/>
                <w:szCs w:val="20"/>
                <w:lang w:val="en-AU"/>
              </w:rPr>
              <w:t>Skin and subcutaneous tissue disorders</w:t>
            </w:r>
          </w:p>
        </w:tc>
        <w:tc>
          <w:tcPr>
            <w:tcW w:w="2295" w:type="dxa"/>
            <w:shd w:val="clear" w:color="auto" w:fill="auto"/>
          </w:tcPr>
          <w:p w14:paraId="1B7AB191" w14:textId="77777777" w:rsidR="00445C04" w:rsidRPr="00CB1EA2" w:rsidRDefault="00445C04" w:rsidP="00445C04">
            <w:pPr>
              <w:spacing w:before="60" w:after="60"/>
              <w:jc w:val="center"/>
              <w:rPr>
                <w:rFonts w:ascii="Arial Narrow" w:eastAsia="MS Gothic" w:hAnsi="Arial Narrow"/>
                <w:color w:val="auto"/>
                <w:sz w:val="20"/>
                <w:szCs w:val="20"/>
                <w:lang w:val="en-AU"/>
              </w:rPr>
            </w:pPr>
          </w:p>
        </w:tc>
      </w:tr>
      <w:tr w:rsidR="00FF44FD" w:rsidRPr="00CB1EA2" w14:paraId="22CFF636" w14:textId="77777777" w:rsidTr="0006616F">
        <w:trPr>
          <w:cantSplit/>
          <w:jc w:val="center"/>
        </w:trPr>
        <w:tc>
          <w:tcPr>
            <w:tcW w:w="2799" w:type="dxa"/>
            <w:tcBorders>
              <w:bottom w:val="single" w:sz="12" w:space="0" w:color="auto"/>
            </w:tcBorders>
            <w:shd w:val="clear" w:color="auto" w:fill="auto"/>
          </w:tcPr>
          <w:p w14:paraId="4A43B4D5"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Urticaria *</w:t>
            </w:r>
          </w:p>
        </w:tc>
        <w:tc>
          <w:tcPr>
            <w:tcW w:w="1698" w:type="dxa"/>
            <w:tcBorders>
              <w:bottom w:val="single" w:sz="12" w:space="0" w:color="auto"/>
            </w:tcBorders>
            <w:shd w:val="clear" w:color="auto" w:fill="auto"/>
          </w:tcPr>
          <w:p w14:paraId="227D1C1C"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15 (14)</w:t>
            </w:r>
          </w:p>
        </w:tc>
        <w:tc>
          <w:tcPr>
            <w:tcW w:w="1747" w:type="dxa"/>
            <w:tcBorders>
              <w:bottom w:val="single" w:sz="12" w:space="0" w:color="auto"/>
            </w:tcBorders>
            <w:shd w:val="clear" w:color="auto" w:fill="auto"/>
          </w:tcPr>
          <w:p w14:paraId="34AC11A6"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7 (6)</w:t>
            </w:r>
          </w:p>
        </w:tc>
        <w:tc>
          <w:tcPr>
            <w:tcW w:w="2295" w:type="dxa"/>
            <w:tcBorders>
              <w:bottom w:val="single" w:sz="12" w:space="0" w:color="auto"/>
            </w:tcBorders>
            <w:shd w:val="clear" w:color="auto" w:fill="auto"/>
          </w:tcPr>
          <w:p w14:paraId="482DDEFA" w14:textId="77777777" w:rsidR="00445C04" w:rsidRPr="00CB1EA2" w:rsidRDefault="00445C04" w:rsidP="00445C04">
            <w:pPr>
              <w:spacing w:before="60" w:after="60"/>
              <w:jc w:val="center"/>
              <w:rPr>
                <w:rFonts w:ascii="Arial Narrow" w:eastAsia="MS Gothic" w:hAnsi="Arial Narrow"/>
                <w:color w:val="auto"/>
                <w:sz w:val="20"/>
                <w:szCs w:val="20"/>
                <w:lang w:val="en-AU"/>
              </w:rPr>
            </w:pPr>
            <w:r w:rsidRPr="00CB1EA2">
              <w:rPr>
                <w:rFonts w:ascii="Arial Narrow" w:eastAsia="MS Gothic" w:hAnsi="Arial Narrow"/>
                <w:color w:val="auto"/>
                <w:sz w:val="20"/>
                <w:szCs w:val="20"/>
                <w:lang w:val="en-AU"/>
              </w:rPr>
              <w:t>Very common</w:t>
            </w:r>
          </w:p>
        </w:tc>
      </w:tr>
      <w:tr w:rsidR="00FF44FD" w:rsidRPr="00CB1EA2" w14:paraId="73A88138" w14:textId="77777777" w:rsidTr="0006616F">
        <w:trPr>
          <w:cantSplit/>
          <w:jc w:val="center"/>
        </w:trPr>
        <w:tc>
          <w:tcPr>
            <w:tcW w:w="8539" w:type="dxa"/>
            <w:gridSpan w:val="4"/>
            <w:tcBorders>
              <w:top w:val="single" w:sz="12" w:space="0" w:color="auto"/>
            </w:tcBorders>
            <w:shd w:val="clear" w:color="auto" w:fill="auto"/>
          </w:tcPr>
          <w:p w14:paraId="1F2543D8" w14:textId="77777777" w:rsidR="00445C04" w:rsidRPr="00CB1EA2" w:rsidRDefault="00445C04" w:rsidP="00445C04">
            <w:pPr>
              <w:keepLines/>
              <w:adjustRightInd w:val="0"/>
              <w:snapToGrid w:val="0"/>
              <w:spacing w:before="20" w:after="20"/>
              <w:rPr>
                <w:rFonts w:ascii="Arial Narrow" w:eastAsia="MS Gothic" w:hAnsi="Arial Narrow"/>
                <w:color w:val="auto"/>
                <w:sz w:val="18"/>
                <w:szCs w:val="20"/>
                <w:lang w:val="en-AU"/>
              </w:rPr>
            </w:pPr>
            <w:r w:rsidRPr="00CB1EA2">
              <w:rPr>
                <w:rFonts w:ascii="Arial Narrow" w:eastAsia="MS Gothic" w:hAnsi="Arial Narrow"/>
                <w:color w:val="auto"/>
                <w:sz w:val="18"/>
                <w:szCs w:val="20"/>
                <w:lang w:val="en-AU"/>
              </w:rPr>
              <w:t>*Urticaria: was observed primarily during the plasma exchange period</w:t>
            </w:r>
          </w:p>
        </w:tc>
      </w:tr>
    </w:tbl>
    <w:p w14:paraId="0CE7BAAC" w14:textId="1D35C8C1" w:rsidR="00445C04" w:rsidRPr="00CB1EA2" w:rsidRDefault="00445C04" w:rsidP="00445C04">
      <w:pPr>
        <w:rPr>
          <w:color w:val="auto"/>
          <w:lang w:val="en-AU"/>
        </w:rPr>
      </w:pPr>
      <w:r w:rsidRPr="00CB1EA2">
        <w:rPr>
          <w:color w:val="auto"/>
          <w:lang w:val="en-AU"/>
        </w:rPr>
        <w:t xml:space="preserve">One case of subarachnoid </w:t>
      </w:r>
      <w:r w:rsidR="00842632" w:rsidRPr="00CB1EA2">
        <w:rPr>
          <w:color w:val="auto"/>
          <w:lang w:val="en-AU"/>
        </w:rPr>
        <w:t>haemorrhage</w:t>
      </w:r>
      <w:r w:rsidRPr="00CB1EA2">
        <w:rPr>
          <w:color w:val="auto"/>
          <w:lang w:val="en-AU"/>
        </w:rPr>
        <w:t xml:space="preserve"> was observed in each study, which could have been related to TTP or treatment.</w:t>
      </w:r>
    </w:p>
    <w:p w14:paraId="511A7400" w14:textId="6D2335AF" w:rsidR="00B809E6" w:rsidRPr="00CB1EA2" w:rsidRDefault="00B809E6" w:rsidP="00DB7A61">
      <w:pPr>
        <w:pStyle w:val="Heading3"/>
        <w:numPr>
          <w:ilvl w:val="0"/>
          <w:numId w:val="0"/>
        </w:numPr>
        <w:rPr>
          <w:lang w:val="en-AU"/>
        </w:rPr>
      </w:pPr>
      <w:r w:rsidRPr="00CB1EA2">
        <w:rPr>
          <w:lang w:val="en-AU"/>
        </w:rPr>
        <w:t>Description of selected adverse reactions</w:t>
      </w:r>
    </w:p>
    <w:p w14:paraId="7EE0F7EB" w14:textId="2428D979" w:rsidR="00B809E6" w:rsidRPr="00CB1EA2" w:rsidRDefault="00B809E6" w:rsidP="00DF0EDC">
      <w:pPr>
        <w:pStyle w:val="Heading4"/>
        <w:numPr>
          <w:ilvl w:val="0"/>
          <w:numId w:val="0"/>
        </w:numPr>
        <w:rPr>
          <w:lang w:val="en-AU"/>
        </w:rPr>
      </w:pPr>
      <w:r w:rsidRPr="00CB1EA2">
        <w:rPr>
          <w:lang w:val="en-AU"/>
        </w:rPr>
        <w:t>Bleeding</w:t>
      </w:r>
    </w:p>
    <w:p w14:paraId="1793DCFF" w14:textId="6DD6773B" w:rsidR="00B809E6" w:rsidRPr="00CB1EA2" w:rsidRDefault="00B809E6" w:rsidP="00DF0EDC">
      <w:pPr>
        <w:rPr>
          <w:lang w:val="en-AU"/>
        </w:rPr>
      </w:pPr>
      <w:r w:rsidRPr="00CB1EA2">
        <w:rPr>
          <w:lang w:val="en-AU"/>
        </w:rPr>
        <w:t>In clinical studies, bleeding events occurred in different body systems, independent of treatment duration. Although in some cases these events were serious and required medical attention, most were self-limited and all resolved. In case of active clinically significant bleeding, consi</w:t>
      </w:r>
      <w:r w:rsidR="00F4343A" w:rsidRPr="00CB1EA2">
        <w:rPr>
          <w:lang w:val="en-AU"/>
        </w:rPr>
        <w:t>der actions outlined in</w:t>
      </w:r>
      <w:r w:rsidRPr="00CB1EA2">
        <w:rPr>
          <w:lang w:val="en-AU"/>
        </w:rPr>
        <w:t xml:space="preserve"> </w:t>
      </w:r>
      <w:r w:rsidR="00F4343A" w:rsidRPr="00CB1EA2">
        <w:rPr>
          <w:lang w:val="en-AU"/>
        </w:rPr>
        <w:t xml:space="preserve">Section </w:t>
      </w:r>
      <w:r w:rsidR="00F4343A" w:rsidRPr="00CB1EA2">
        <w:rPr>
          <w:color w:val="0000FF"/>
          <w:lang w:val="en-AU"/>
        </w:rPr>
        <w:fldChar w:fldCharType="begin"/>
      </w:r>
      <w:r w:rsidR="00F4343A" w:rsidRPr="00CB1EA2">
        <w:rPr>
          <w:color w:val="0000FF"/>
          <w:lang w:val="en-AU"/>
        </w:rPr>
        <w:instrText xml:space="preserve"> REF _Ref525054089 \r \h  \* MERGEFORMAT </w:instrText>
      </w:r>
      <w:r w:rsidR="00F4343A" w:rsidRPr="00CB1EA2">
        <w:rPr>
          <w:color w:val="0000FF"/>
          <w:lang w:val="en-AU"/>
        </w:rPr>
      </w:r>
      <w:r w:rsidR="00F4343A" w:rsidRPr="00CB1EA2">
        <w:rPr>
          <w:color w:val="0000FF"/>
          <w:lang w:val="en-AU"/>
        </w:rPr>
        <w:fldChar w:fldCharType="separate"/>
      </w:r>
      <w:r w:rsidR="007F0F04">
        <w:rPr>
          <w:color w:val="0000FF"/>
          <w:lang w:val="en-AU"/>
        </w:rPr>
        <w:t>4.4</w:t>
      </w:r>
      <w:r w:rsidR="00F4343A" w:rsidRPr="00CB1EA2">
        <w:rPr>
          <w:color w:val="0000FF"/>
          <w:lang w:val="en-AU"/>
        </w:rPr>
        <w:fldChar w:fldCharType="end"/>
      </w:r>
      <w:r w:rsidRPr="00CB1EA2">
        <w:rPr>
          <w:lang w:val="en-AU"/>
        </w:rPr>
        <w:t xml:space="preserve"> and </w:t>
      </w:r>
      <w:r w:rsidR="00F4343A" w:rsidRPr="00CB1EA2">
        <w:rPr>
          <w:lang w:val="en-AU"/>
        </w:rPr>
        <w:t xml:space="preserve">Section </w:t>
      </w:r>
      <w:r w:rsidR="00F4343A" w:rsidRPr="00CB1EA2">
        <w:rPr>
          <w:color w:val="0000FF"/>
          <w:lang w:val="en-AU"/>
        </w:rPr>
        <w:fldChar w:fldCharType="begin"/>
      </w:r>
      <w:r w:rsidR="00F4343A" w:rsidRPr="00CB1EA2">
        <w:rPr>
          <w:color w:val="0000FF"/>
          <w:lang w:val="en-AU"/>
        </w:rPr>
        <w:instrText xml:space="preserve"> REF _Ref525054268 \r \h  \* MERGEFORMAT </w:instrText>
      </w:r>
      <w:r w:rsidR="00F4343A" w:rsidRPr="00CB1EA2">
        <w:rPr>
          <w:color w:val="0000FF"/>
          <w:lang w:val="en-AU"/>
        </w:rPr>
      </w:r>
      <w:r w:rsidR="00F4343A" w:rsidRPr="00CB1EA2">
        <w:rPr>
          <w:color w:val="0000FF"/>
          <w:lang w:val="en-AU"/>
        </w:rPr>
        <w:fldChar w:fldCharType="separate"/>
      </w:r>
      <w:r w:rsidR="007F0F04">
        <w:rPr>
          <w:color w:val="0000FF"/>
          <w:lang w:val="en-AU"/>
        </w:rPr>
        <w:t>4.9</w:t>
      </w:r>
      <w:r w:rsidR="00F4343A" w:rsidRPr="00CB1EA2">
        <w:rPr>
          <w:color w:val="0000FF"/>
          <w:lang w:val="en-AU"/>
        </w:rPr>
        <w:fldChar w:fldCharType="end"/>
      </w:r>
      <w:r w:rsidR="00614370">
        <w:rPr>
          <w:lang w:val="en-AU"/>
        </w:rPr>
        <w:t>.</w:t>
      </w:r>
    </w:p>
    <w:p w14:paraId="1E91E866" w14:textId="2A18132E" w:rsidR="00B809E6" w:rsidRPr="00CB1EA2" w:rsidRDefault="00B809E6" w:rsidP="00DF0EDC">
      <w:pPr>
        <w:pStyle w:val="Heading3"/>
        <w:numPr>
          <w:ilvl w:val="0"/>
          <w:numId w:val="0"/>
        </w:numPr>
        <w:rPr>
          <w:lang w:val="en-AU"/>
        </w:rPr>
      </w:pPr>
      <w:r w:rsidRPr="00CB1EA2">
        <w:rPr>
          <w:lang w:val="en-AU"/>
        </w:rPr>
        <w:t>Reporting suspected adverse effects</w:t>
      </w:r>
    </w:p>
    <w:p w14:paraId="5E8D48A6" w14:textId="3AF59D2E" w:rsidR="00B809E6" w:rsidRPr="00CB1EA2" w:rsidRDefault="00B809E6" w:rsidP="00DF0EDC">
      <w:pPr>
        <w:rPr>
          <w:color w:val="auto"/>
          <w:lang w:val="en-AU"/>
        </w:rPr>
      </w:pPr>
      <w:r w:rsidRPr="00CB1EA2">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CB1EA2">
          <w:rPr>
            <w:color w:val="auto"/>
            <w:lang w:val="en-AU"/>
          </w:rPr>
          <w:t>www.tga.gov.au/reporting-problems</w:t>
        </w:r>
      </w:hyperlink>
      <w:r w:rsidRPr="00CB1EA2">
        <w:rPr>
          <w:color w:val="auto"/>
          <w:lang w:val="en-AU"/>
        </w:rPr>
        <w:t xml:space="preserve"> (Australia).</w:t>
      </w:r>
    </w:p>
    <w:p w14:paraId="58F083A4" w14:textId="29B6B3AE" w:rsidR="001A3992" w:rsidRPr="00CB1EA2" w:rsidRDefault="001A3992" w:rsidP="00DB7A61">
      <w:pPr>
        <w:pStyle w:val="Heading2"/>
        <w:rPr>
          <w:lang w:val="en-AU"/>
        </w:rPr>
      </w:pPr>
      <w:bookmarkStart w:id="5" w:name="_Ref525054268"/>
      <w:r w:rsidRPr="00CB1EA2">
        <w:rPr>
          <w:lang w:val="en-AU"/>
        </w:rPr>
        <w:t>Overdose</w:t>
      </w:r>
      <w:bookmarkEnd w:id="5"/>
    </w:p>
    <w:p w14:paraId="1DF70D69" w14:textId="26D4F991" w:rsidR="00B809E6" w:rsidRPr="00CB1EA2" w:rsidRDefault="00B809E6" w:rsidP="0087606C">
      <w:pPr>
        <w:rPr>
          <w:lang w:val="en-AU"/>
        </w:rPr>
      </w:pPr>
      <w:r w:rsidRPr="00CB1EA2">
        <w:rPr>
          <w:lang w:val="en-AU"/>
        </w:rPr>
        <w:t>In the case of overdose, based on the pharmacological action of caplacizumab, there is the potential for an increased risk of bleeding.  Close monitoring of signs and symp</w:t>
      </w:r>
      <w:r w:rsidR="00F4343A" w:rsidRPr="00CB1EA2">
        <w:rPr>
          <w:lang w:val="en-AU"/>
        </w:rPr>
        <w:t xml:space="preserve">toms of bleeding </w:t>
      </w:r>
      <w:proofErr w:type="gramStart"/>
      <w:r w:rsidR="00F4343A" w:rsidRPr="00CB1EA2">
        <w:rPr>
          <w:lang w:val="en-AU"/>
        </w:rPr>
        <w:t>is recommended</w:t>
      </w:r>
      <w:proofErr w:type="gramEnd"/>
      <w:r w:rsidRPr="00CB1EA2">
        <w:rPr>
          <w:lang w:val="en-AU"/>
        </w:rPr>
        <w:t xml:space="preserve"> (see </w:t>
      </w:r>
      <w:r w:rsidR="00F4343A" w:rsidRPr="00CB1EA2">
        <w:rPr>
          <w:lang w:val="en-AU"/>
        </w:rPr>
        <w:t xml:space="preserve">Section </w:t>
      </w:r>
      <w:r w:rsidR="00F4343A" w:rsidRPr="00CB1EA2">
        <w:rPr>
          <w:color w:val="0000FF"/>
          <w:lang w:val="en-AU"/>
        </w:rPr>
        <w:fldChar w:fldCharType="begin"/>
      </w:r>
      <w:r w:rsidR="00F4343A" w:rsidRPr="00CB1EA2">
        <w:rPr>
          <w:color w:val="0000FF"/>
          <w:lang w:val="en-AU"/>
        </w:rPr>
        <w:instrText xml:space="preserve"> REF _Ref525054089 \r \h  \* MERGEFORMAT </w:instrText>
      </w:r>
      <w:r w:rsidR="00F4343A" w:rsidRPr="00CB1EA2">
        <w:rPr>
          <w:color w:val="0000FF"/>
          <w:lang w:val="en-AU"/>
        </w:rPr>
      </w:r>
      <w:r w:rsidR="00F4343A" w:rsidRPr="00CB1EA2">
        <w:rPr>
          <w:color w:val="0000FF"/>
          <w:lang w:val="en-AU"/>
        </w:rPr>
        <w:fldChar w:fldCharType="separate"/>
      </w:r>
      <w:r w:rsidR="007F0F04">
        <w:rPr>
          <w:color w:val="0000FF"/>
          <w:lang w:val="en-AU"/>
        </w:rPr>
        <w:t>4.4</w:t>
      </w:r>
      <w:r w:rsidR="00F4343A" w:rsidRPr="00CB1EA2">
        <w:rPr>
          <w:color w:val="0000FF"/>
          <w:lang w:val="en-AU"/>
        </w:rPr>
        <w:fldChar w:fldCharType="end"/>
      </w:r>
      <w:r w:rsidRPr="00CB1EA2">
        <w:rPr>
          <w:lang w:val="en-AU"/>
        </w:rPr>
        <w:t>).</w:t>
      </w:r>
    </w:p>
    <w:p w14:paraId="29CA3F07" w14:textId="77777777" w:rsidR="009E4A3A" w:rsidRPr="00CB1EA2" w:rsidRDefault="009E4A3A" w:rsidP="0087606C">
      <w:pPr>
        <w:rPr>
          <w:color w:val="auto"/>
          <w:lang w:val="en-AU"/>
        </w:rPr>
      </w:pPr>
      <w:r w:rsidRPr="00CB1EA2">
        <w:rPr>
          <w:color w:val="auto"/>
          <w:lang w:val="en-AU"/>
        </w:rPr>
        <w:t>For general advice on overdose management, contact the Poisons Information Centre, telephone number 13 11 26 (Australia) or the National Poisons Centre, 0800 POISON or 0800 764 766 (New Zealand).</w:t>
      </w:r>
    </w:p>
    <w:p w14:paraId="1B6A8206" w14:textId="2D4EDC80" w:rsidR="001A3992" w:rsidRPr="00CB1EA2" w:rsidRDefault="001A3992" w:rsidP="00B37843">
      <w:pPr>
        <w:pStyle w:val="Heading1"/>
        <w:pageBreakBefore w:val="0"/>
        <w:rPr>
          <w:lang w:val="en-AU"/>
        </w:rPr>
      </w:pPr>
      <w:r w:rsidRPr="00CB1EA2">
        <w:rPr>
          <w:lang w:val="en-AU"/>
        </w:rPr>
        <w:lastRenderedPageBreak/>
        <w:t>Pharmacological properties</w:t>
      </w:r>
    </w:p>
    <w:p w14:paraId="600AEB55" w14:textId="6336F914" w:rsidR="001A3992" w:rsidRPr="00CB1EA2" w:rsidRDefault="001A3992" w:rsidP="0087606C">
      <w:pPr>
        <w:pStyle w:val="Heading2"/>
        <w:rPr>
          <w:lang w:val="en-AU"/>
        </w:rPr>
      </w:pPr>
      <w:r w:rsidRPr="00CB1EA2">
        <w:rPr>
          <w:lang w:val="en-AU"/>
        </w:rPr>
        <w:t>Pharmacodynamic properties</w:t>
      </w:r>
    </w:p>
    <w:p w14:paraId="1DF2FCD7" w14:textId="77777777" w:rsidR="006300D9" w:rsidRPr="00CB1EA2" w:rsidRDefault="006300D9" w:rsidP="006300D9">
      <w:pPr>
        <w:rPr>
          <w:lang w:val="en-AU"/>
        </w:rPr>
      </w:pPr>
      <w:r w:rsidRPr="00CB1EA2">
        <w:rPr>
          <w:lang w:val="en-AU"/>
        </w:rPr>
        <w:t xml:space="preserve">Pharmacotherapeutic group: </w:t>
      </w:r>
      <w:r w:rsidR="0087606C" w:rsidRPr="00CB1EA2">
        <w:rPr>
          <w:lang w:val="en-AU"/>
        </w:rPr>
        <w:t>Other antithrombotic agents</w:t>
      </w:r>
      <w:r w:rsidRPr="00CB1EA2">
        <w:rPr>
          <w:lang w:val="en-AU"/>
        </w:rPr>
        <w:t xml:space="preserve">, ATC code: </w:t>
      </w:r>
      <w:r w:rsidR="0087606C" w:rsidRPr="00CB1EA2">
        <w:rPr>
          <w:lang w:val="en-AU"/>
        </w:rPr>
        <w:t>B01AX07</w:t>
      </w:r>
    </w:p>
    <w:p w14:paraId="0DDA793C" w14:textId="2F7F4F67" w:rsidR="0024632F" w:rsidRPr="00CB1EA2" w:rsidRDefault="0024632F" w:rsidP="0087606C">
      <w:pPr>
        <w:pStyle w:val="Heading3"/>
        <w:numPr>
          <w:ilvl w:val="0"/>
          <w:numId w:val="0"/>
        </w:numPr>
        <w:rPr>
          <w:lang w:val="en-AU"/>
        </w:rPr>
      </w:pPr>
      <w:r w:rsidRPr="00CB1EA2">
        <w:rPr>
          <w:lang w:val="en-AU"/>
        </w:rPr>
        <w:t>Mechanism of action</w:t>
      </w:r>
    </w:p>
    <w:p w14:paraId="11699DF5" w14:textId="3CF6C423" w:rsidR="0087606C" w:rsidRPr="00CB1EA2" w:rsidRDefault="0087606C" w:rsidP="0087606C">
      <w:pPr>
        <w:rPr>
          <w:lang w:val="en-AU"/>
        </w:rPr>
      </w:pPr>
      <w:r w:rsidRPr="00CB1EA2">
        <w:rPr>
          <w:lang w:val="en-AU"/>
        </w:rPr>
        <w:t xml:space="preserve">Caplacizumab is a humanised bivalent </w:t>
      </w:r>
      <w:r w:rsidR="00C261D0" w:rsidRPr="00CB1EA2">
        <w:rPr>
          <w:lang w:val="en-AU"/>
        </w:rPr>
        <w:t>n</w:t>
      </w:r>
      <w:r w:rsidRPr="00CB1EA2">
        <w:rPr>
          <w:lang w:val="en-AU"/>
        </w:rPr>
        <w:t xml:space="preserve">anobody that consists of two identical humanised building blocks (PMP12A2hum1), genetically linked by a three-alanine linker, targeting the A1-domain of von Willebrand </w:t>
      </w:r>
      <w:r w:rsidR="00285A68">
        <w:rPr>
          <w:lang w:val="en-AU"/>
        </w:rPr>
        <w:t>F</w:t>
      </w:r>
      <w:r w:rsidRPr="00CB1EA2">
        <w:rPr>
          <w:lang w:val="en-AU"/>
        </w:rPr>
        <w:t xml:space="preserve">actor and inhibiting the interaction between von Willebrand </w:t>
      </w:r>
      <w:r w:rsidR="00285A68">
        <w:rPr>
          <w:lang w:val="en-AU"/>
        </w:rPr>
        <w:t>F</w:t>
      </w:r>
      <w:r w:rsidRPr="00CB1EA2">
        <w:rPr>
          <w:lang w:val="en-AU"/>
        </w:rPr>
        <w:t xml:space="preserve">actor and platelets. As such, </w:t>
      </w:r>
      <w:proofErr w:type="spellStart"/>
      <w:r w:rsidRPr="00CB1EA2">
        <w:rPr>
          <w:lang w:val="en-AU"/>
        </w:rPr>
        <w:t>caplacizumab</w:t>
      </w:r>
      <w:proofErr w:type="spellEnd"/>
      <w:r w:rsidRPr="00CB1EA2">
        <w:rPr>
          <w:lang w:val="en-AU"/>
        </w:rPr>
        <w:t xml:space="preserve"> prevents the </w:t>
      </w:r>
      <w:proofErr w:type="spellStart"/>
      <w:r w:rsidRPr="00CB1EA2">
        <w:rPr>
          <w:lang w:val="en-AU"/>
        </w:rPr>
        <w:t>ultralarge</w:t>
      </w:r>
      <w:proofErr w:type="spellEnd"/>
      <w:r w:rsidRPr="00CB1EA2">
        <w:rPr>
          <w:lang w:val="en-AU"/>
        </w:rPr>
        <w:t xml:space="preserve"> von </w:t>
      </w:r>
      <w:proofErr w:type="spellStart"/>
      <w:r w:rsidRPr="00CB1EA2">
        <w:rPr>
          <w:lang w:val="en-AU"/>
        </w:rPr>
        <w:t>Willebrand</w:t>
      </w:r>
      <w:proofErr w:type="spellEnd"/>
      <w:r w:rsidRPr="00CB1EA2">
        <w:rPr>
          <w:lang w:val="en-AU"/>
        </w:rPr>
        <w:t xml:space="preserve"> </w:t>
      </w:r>
      <w:r w:rsidR="00285A68">
        <w:rPr>
          <w:lang w:val="en-AU"/>
        </w:rPr>
        <w:t>F</w:t>
      </w:r>
      <w:r w:rsidRPr="00CB1EA2">
        <w:rPr>
          <w:lang w:val="en-AU"/>
        </w:rPr>
        <w:t xml:space="preserve">actor-mediated platelet adhesion, which is characteristic of aTTP. It also affects the disposition of von Willebrand </w:t>
      </w:r>
      <w:r w:rsidR="00285A68">
        <w:rPr>
          <w:lang w:val="en-AU"/>
        </w:rPr>
        <w:t>F</w:t>
      </w:r>
      <w:r w:rsidRPr="00CB1EA2">
        <w:rPr>
          <w:lang w:val="en-AU"/>
        </w:rPr>
        <w:t xml:space="preserve">actor, leading to transient reductions of total von Willebrand </w:t>
      </w:r>
      <w:r w:rsidR="00285A68">
        <w:rPr>
          <w:lang w:val="en-AU"/>
        </w:rPr>
        <w:t>F</w:t>
      </w:r>
      <w:r w:rsidRPr="00CB1EA2">
        <w:rPr>
          <w:lang w:val="en-AU"/>
        </w:rPr>
        <w:t>actor antigen levels and to concomitant reduction of factor VIII:C levels during treatment.</w:t>
      </w:r>
    </w:p>
    <w:p w14:paraId="1BDD8B76" w14:textId="7F116418" w:rsidR="0087606C" w:rsidRPr="00CB1EA2" w:rsidRDefault="0087606C" w:rsidP="0087606C">
      <w:pPr>
        <w:pStyle w:val="Heading3"/>
        <w:numPr>
          <w:ilvl w:val="0"/>
          <w:numId w:val="0"/>
        </w:numPr>
        <w:rPr>
          <w:lang w:val="en-AU"/>
        </w:rPr>
      </w:pPr>
      <w:proofErr w:type="spellStart"/>
      <w:r w:rsidRPr="00CB1EA2">
        <w:rPr>
          <w:lang w:val="en-AU"/>
        </w:rPr>
        <w:t>Pharmacodynamic</w:t>
      </w:r>
      <w:proofErr w:type="spellEnd"/>
      <w:r w:rsidRPr="00CB1EA2">
        <w:rPr>
          <w:lang w:val="en-AU"/>
        </w:rPr>
        <w:t xml:space="preserve"> effects</w:t>
      </w:r>
    </w:p>
    <w:p w14:paraId="1D3BDDF9" w14:textId="54A3F156" w:rsidR="0087606C" w:rsidRPr="00CB1EA2" w:rsidRDefault="0087606C" w:rsidP="0087606C">
      <w:pPr>
        <w:pStyle w:val="Heading4"/>
        <w:numPr>
          <w:ilvl w:val="0"/>
          <w:numId w:val="0"/>
        </w:numPr>
        <w:rPr>
          <w:lang w:val="en-AU"/>
        </w:rPr>
      </w:pPr>
      <w:r w:rsidRPr="00CB1EA2">
        <w:rPr>
          <w:lang w:val="en-AU"/>
        </w:rPr>
        <w:t>Target inhibition</w:t>
      </w:r>
    </w:p>
    <w:p w14:paraId="1CBF6476" w14:textId="3EE8B750" w:rsidR="0087606C" w:rsidRPr="00CB1EA2" w:rsidRDefault="0087606C" w:rsidP="0087606C">
      <w:pPr>
        <w:rPr>
          <w:lang w:val="en-AU"/>
        </w:rPr>
      </w:pPr>
      <w:r w:rsidRPr="00CB1EA2">
        <w:rPr>
          <w:lang w:val="en-AU"/>
        </w:rPr>
        <w:t xml:space="preserve">The pharmacologic effect of caplacizumab on target inhibition </w:t>
      </w:r>
      <w:proofErr w:type="gramStart"/>
      <w:r w:rsidRPr="00CB1EA2">
        <w:rPr>
          <w:lang w:val="en-AU"/>
        </w:rPr>
        <w:t>was assessed</w:t>
      </w:r>
      <w:proofErr w:type="gramEnd"/>
      <w:r w:rsidRPr="00CB1EA2">
        <w:rPr>
          <w:lang w:val="en-AU"/>
        </w:rPr>
        <w:t xml:space="preserve"> using two biomarkers for von Willebrand </w:t>
      </w:r>
      <w:r w:rsidR="00285A68">
        <w:rPr>
          <w:lang w:val="en-AU"/>
        </w:rPr>
        <w:t>F</w:t>
      </w:r>
      <w:r w:rsidRPr="00CB1EA2">
        <w:rPr>
          <w:lang w:val="en-AU"/>
        </w:rPr>
        <w:t xml:space="preserve">actor activity; ristocetin-induced platelet aggregation (RIPA) and ristocetin cofactor (RICO). Full inhibition of von Willebrand </w:t>
      </w:r>
      <w:r w:rsidR="00285A68">
        <w:rPr>
          <w:lang w:val="en-AU"/>
        </w:rPr>
        <w:t>F</w:t>
      </w:r>
      <w:r w:rsidRPr="00CB1EA2">
        <w:rPr>
          <w:lang w:val="en-AU"/>
        </w:rPr>
        <w:t xml:space="preserve">actor-mediated platelet aggregation by caplacizumab is indicated by RIPA and RICO levels dropping below 10% and 20%, respectively. All clinical studies with caplacizumab demonstrated rapid decreases in RIPA and/or RICO levels after the start of the treatment, with recovery to baseline levels within 7 days of discontinuation. The 10 mg subcutaneous dose in patients with aTTP elicited full inhibition of von Willebrand </w:t>
      </w:r>
      <w:r w:rsidR="00285A68">
        <w:rPr>
          <w:lang w:val="en-AU"/>
        </w:rPr>
        <w:t>F</w:t>
      </w:r>
      <w:r w:rsidRPr="00CB1EA2">
        <w:rPr>
          <w:lang w:val="en-AU"/>
        </w:rPr>
        <w:t>actor-mediated platelet aggregation, as evidenced by RICO levels of &lt; 20% throughout the treatment period.</w:t>
      </w:r>
    </w:p>
    <w:p w14:paraId="757DD5E3" w14:textId="535A1823" w:rsidR="0087606C" w:rsidRPr="00CB1EA2" w:rsidRDefault="0087606C" w:rsidP="0087606C">
      <w:pPr>
        <w:pStyle w:val="Heading4"/>
        <w:numPr>
          <w:ilvl w:val="0"/>
          <w:numId w:val="0"/>
        </w:numPr>
        <w:rPr>
          <w:lang w:val="en-AU"/>
        </w:rPr>
      </w:pPr>
      <w:r w:rsidRPr="00CB1EA2">
        <w:rPr>
          <w:lang w:val="en-AU"/>
        </w:rPr>
        <w:t>Target disposition</w:t>
      </w:r>
    </w:p>
    <w:p w14:paraId="77834931" w14:textId="75EB406A" w:rsidR="0087606C" w:rsidRPr="00CB1EA2" w:rsidRDefault="0087606C" w:rsidP="0087606C">
      <w:pPr>
        <w:rPr>
          <w:b/>
          <w:lang w:val="en-AU"/>
        </w:rPr>
      </w:pPr>
      <w:r w:rsidRPr="00CB1EA2">
        <w:rPr>
          <w:lang w:val="en-AU"/>
        </w:rPr>
        <w:t xml:space="preserve">The pharmacologic effect of caplacizumab on target disposition was measured using von Willebrand </w:t>
      </w:r>
      <w:r w:rsidR="00285A68">
        <w:rPr>
          <w:lang w:val="en-AU"/>
        </w:rPr>
        <w:t>F</w:t>
      </w:r>
      <w:r w:rsidRPr="00CB1EA2">
        <w:rPr>
          <w:lang w:val="en-AU"/>
        </w:rPr>
        <w:t xml:space="preserve">actor antigen and factor VIII clotting activity (factor VIII:C) as biomarkers. Upon repeated administration of caplacizumab, a decrease of 30-50% in von Willebrand </w:t>
      </w:r>
      <w:r w:rsidR="00285A68">
        <w:rPr>
          <w:lang w:val="en-AU"/>
        </w:rPr>
        <w:t>F</w:t>
      </w:r>
      <w:r w:rsidRPr="00CB1EA2">
        <w:rPr>
          <w:lang w:val="en-AU"/>
        </w:rPr>
        <w:t xml:space="preserve">actor antigen levels was observed in clinical studies, reaching a maximum within 1-2 days of treatment. Because von Willebrand </w:t>
      </w:r>
      <w:r w:rsidR="00285A68">
        <w:rPr>
          <w:lang w:val="en-AU"/>
        </w:rPr>
        <w:t>F</w:t>
      </w:r>
      <w:r w:rsidRPr="00CB1EA2">
        <w:rPr>
          <w:lang w:val="en-AU"/>
        </w:rPr>
        <w:t xml:space="preserve">actor acts as a carrier for factor VIII, reduced von Willebrand </w:t>
      </w:r>
      <w:r w:rsidR="00285A68">
        <w:rPr>
          <w:lang w:val="en-AU"/>
        </w:rPr>
        <w:t>F</w:t>
      </w:r>
      <w:r w:rsidRPr="00CB1EA2">
        <w:rPr>
          <w:lang w:val="en-AU"/>
        </w:rPr>
        <w:t xml:space="preserve">actor antigen levels resulted in a similar reduction in factor VIII:C levels. The reduced von Willebrand </w:t>
      </w:r>
      <w:r w:rsidR="00285A68">
        <w:rPr>
          <w:lang w:val="en-AU"/>
        </w:rPr>
        <w:t>F</w:t>
      </w:r>
      <w:r w:rsidRPr="00CB1EA2">
        <w:rPr>
          <w:lang w:val="en-AU"/>
        </w:rPr>
        <w:t>actor antigen and FVIII:C levels were transient and returned to baseline upon cessation of treatment.</w:t>
      </w:r>
    </w:p>
    <w:p w14:paraId="029BD404" w14:textId="38DACECD" w:rsidR="001A3992" w:rsidRPr="00CB1EA2" w:rsidRDefault="001A3992" w:rsidP="0087606C">
      <w:pPr>
        <w:pStyle w:val="Heading3"/>
        <w:numPr>
          <w:ilvl w:val="0"/>
          <w:numId w:val="0"/>
        </w:numPr>
        <w:rPr>
          <w:lang w:val="en-AU"/>
        </w:rPr>
      </w:pPr>
      <w:r w:rsidRPr="00CB1EA2">
        <w:rPr>
          <w:lang w:val="en-AU"/>
        </w:rPr>
        <w:lastRenderedPageBreak/>
        <w:t>Clinical trials</w:t>
      </w:r>
    </w:p>
    <w:p w14:paraId="121B4561" w14:textId="74EEE42E" w:rsidR="00291BAA" w:rsidRPr="00CB1EA2" w:rsidRDefault="00DD2B8C" w:rsidP="00CB1EA2">
      <w:pPr>
        <w:rPr>
          <w:lang w:val="en-AU"/>
        </w:rPr>
      </w:pPr>
      <w:r w:rsidRPr="00CB1EA2">
        <w:rPr>
          <w:lang w:val="en-AU"/>
        </w:rPr>
        <w:t>The efficacy and safety of caplacizumab in adults experiencing an episode of aTTP</w:t>
      </w:r>
      <w:r w:rsidR="00291BAA" w:rsidRPr="00CB1EA2">
        <w:rPr>
          <w:lang w:val="en-AU"/>
        </w:rPr>
        <w:t xml:space="preserve"> was established in a pivotal multicentre, randomised, </w:t>
      </w:r>
      <w:proofErr w:type="gramStart"/>
      <w:r w:rsidR="00291BAA" w:rsidRPr="00CB1EA2">
        <w:rPr>
          <w:lang w:val="en-AU"/>
        </w:rPr>
        <w:t>double-blind</w:t>
      </w:r>
      <w:proofErr w:type="gramEnd"/>
      <w:r w:rsidR="00291BAA" w:rsidRPr="00CB1EA2">
        <w:rPr>
          <w:lang w:val="en-AU"/>
        </w:rPr>
        <w:t>, placebo-controlled trial ALX0681-C301 (HERCULES).</w:t>
      </w:r>
    </w:p>
    <w:p w14:paraId="2C1F0CA7" w14:textId="7FAAD125" w:rsidR="00DD2B8C" w:rsidRPr="00CB1EA2" w:rsidRDefault="00DD2B8C" w:rsidP="00DD2B8C">
      <w:pPr>
        <w:pStyle w:val="Heading4"/>
        <w:numPr>
          <w:ilvl w:val="0"/>
          <w:numId w:val="0"/>
        </w:numPr>
        <w:rPr>
          <w:lang w:val="en-AU"/>
        </w:rPr>
      </w:pPr>
      <w:r w:rsidRPr="00CB1EA2">
        <w:rPr>
          <w:lang w:val="en-AU"/>
        </w:rPr>
        <w:t>Efficacy</w:t>
      </w:r>
    </w:p>
    <w:p w14:paraId="3E353D2F" w14:textId="70F467B5" w:rsidR="00DD2B8C" w:rsidRPr="00CB1EA2" w:rsidRDefault="00DD2B8C" w:rsidP="00DD2B8C">
      <w:pPr>
        <w:pStyle w:val="Heading5"/>
        <w:numPr>
          <w:ilvl w:val="0"/>
          <w:numId w:val="0"/>
        </w:numPr>
        <w:rPr>
          <w:lang w:val="en-AU"/>
        </w:rPr>
      </w:pPr>
      <w:r w:rsidRPr="00CB1EA2">
        <w:rPr>
          <w:lang w:val="en-AU"/>
        </w:rPr>
        <w:t>Study ALX0681-C301</w:t>
      </w:r>
    </w:p>
    <w:p w14:paraId="1B78F7BD" w14:textId="76E04A82" w:rsidR="00DD2B8C" w:rsidRPr="00CB1EA2" w:rsidRDefault="00DD2B8C" w:rsidP="00B37843">
      <w:pPr>
        <w:rPr>
          <w:lang w:val="en-AU"/>
        </w:rPr>
      </w:pPr>
      <w:r w:rsidRPr="00CB1EA2">
        <w:rPr>
          <w:lang w:val="en-AU"/>
        </w:rPr>
        <w:t xml:space="preserve">In this </w:t>
      </w:r>
      <w:proofErr w:type="gramStart"/>
      <w:r w:rsidRPr="00CB1EA2">
        <w:rPr>
          <w:lang w:val="en-AU"/>
        </w:rPr>
        <w:t>double-blind</w:t>
      </w:r>
      <w:proofErr w:type="gramEnd"/>
      <w:r w:rsidRPr="00CB1EA2">
        <w:rPr>
          <w:lang w:val="en-AU"/>
        </w:rPr>
        <w:t xml:space="preserve">, placebo-controlled study, patients with an episode of aTTP were randomised 1:1 to receive either caplacizumab or placebo in addition to daily plasma exchange and immunosuppression. Patients received a single intravenous bolus injection of 10 mg caplacizumab or placebo prior to the first plasma exchange on study. This was followed by daily subcutaneous injections of 10 mg caplacizumab or placebo after completion of each plasma exchange for the duration of the daily plasma exchange period and for 30 days thereafter. If at the end of this treatment period there was evidence of persistent underlying disease activity (indicative of an imminent risk for recurrence), treatment could be extended weekly for a maximum of 4 weeks, together with optimisation of immunosuppression. If a recurrence occurred while on study drug treatment, patients </w:t>
      </w:r>
      <w:proofErr w:type="gramStart"/>
      <w:r w:rsidRPr="00CB1EA2">
        <w:rPr>
          <w:lang w:val="en-AU"/>
        </w:rPr>
        <w:t>were switched</w:t>
      </w:r>
      <w:proofErr w:type="gramEnd"/>
      <w:r w:rsidRPr="00CB1EA2">
        <w:rPr>
          <w:lang w:val="en-AU"/>
        </w:rPr>
        <w:t xml:space="preserve"> to open-label caplacizumab. They were again treated for the duration of daily plasma exchange and for 30 days thereafter. If at the end of this treatment period there </w:t>
      </w:r>
      <w:r w:rsidR="00CB1EA2">
        <w:rPr>
          <w:lang w:val="en-AU"/>
        </w:rPr>
        <w:t>w</w:t>
      </w:r>
      <w:r w:rsidRPr="00CB1EA2">
        <w:rPr>
          <w:lang w:val="en-AU"/>
        </w:rPr>
        <w:t>as evidence of ongoing underlying disease, open-label treatment with caplacizumab could be extended weekly for a maximum of 4 weeks, together with optimisation of immunosuppression. Patients were followed for 1 month after discontinuation of treatment. In case of recurrence during the follow up period (i.e. after all study drug treatment had been stopped), there was no re-initiation of study drug and the recurrence was to be treated according to the standard of care.</w:t>
      </w:r>
    </w:p>
    <w:p w14:paraId="0AC4C1F7" w14:textId="77777777" w:rsidR="00DD2B8C" w:rsidRPr="00CB1EA2" w:rsidRDefault="00DD2B8C" w:rsidP="00B37843">
      <w:pPr>
        <w:rPr>
          <w:lang w:val="en-AU"/>
        </w:rPr>
      </w:pPr>
      <w:r w:rsidRPr="00CB1EA2">
        <w:rPr>
          <w:lang w:val="en-AU"/>
        </w:rPr>
        <w:t>In this study, 145 patients experiencing an episode of aTTP were rando</w:t>
      </w:r>
      <w:r w:rsidR="003B31EC" w:rsidRPr="00CB1EA2">
        <w:rPr>
          <w:lang w:val="en-AU"/>
        </w:rPr>
        <w:t>mised (72 to caplacizumab and</w:t>
      </w:r>
      <w:r w:rsidRPr="00CB1EA2">
        <w:rPr>
          <w:lang w:val="en-AU"/>
        </w:rPr>
        <w:t xml:space="preserve"> 73</w:t>
      </w:r>
      <w:r w:rsidR="003B31EC" w:rsidRPr="00CB1EA2">
        <w:rPr>
          <w:lang w:val="en-AU"/>
        </w:rPr>
        <w:t xml:space="preserve"> to</w:t>
      </w:r>
      <w:r w:rsidRPr="00CB1EA2">
        <w:rPr>
          <w:lang w:val="en-AU"/>
        </w:rPr>
        <w:t xml:space="preserve"> placebo). Patient age ranged from 18 to 79 years, with a mean of 46 years. Half of the patients were experiencing their first episode of aTTP. Baseline disease characteristics were typical of aTTP.</w:t>
      </w:r>
    </w:p>
    <w:p w14:paraId="3951CBF7" w14:textId="01119661" w:rsidR="00DD2B8C" w:rsidRPr="00CB1EA2" w:rsidRDefault="00DD2B8C" w:rsidP="00DD2B8C">
      <w:pPr>
        <w:rPr>
          <w:lang w:val="en-AU"/>
        </w:rPr>
      </w:pPr>
      <w:r w:rsidRPr="00CB1EA2">
        <w:rPr>
          <w:lang w:val="en-AU"/>
        </w:rPr>
        <w:t>The median treatment duration with caplacizumab in the doubl</w:t>
      </w:r>
      <w:r w:rsidR="00842632" w:rsidRPr="00CB1EA2">
        <w:rPr>
          <w:lang w:val="en-AU"/>
        </w:rPr>
        <w:t>e-</w:t>
      </w:r>
      <w:r w:rsidRPr="00CB1EA2">
        <w:rPr>
          <w:lang w:val="en-AU"/>
        </w:rPr>
        <w:t>blind period was 35 days.</w:t>
      </w:r>
    </w:p>
    <w:p w14:paraId="120A9528" w14:textId="77777777" w:rsidR="00DD2B8C" w:rsidRPr="00CB1EA2" w:rsidRDefault="00DD2B8C" w:rsidP="00DD2B8C">
      <w:pPr>
        <w:rPr>
          <w:lang w:val="en-AU"/>
        </w:rPr>
      </w:pPr>
      <w:r w:rsidRPr="00CB1EA2">
        <w:rPr>
          <w:lang w:val="en-AU"/>
        </w:rPr>
        <w:t>Treatment with caplacizumab resulted in a statistically significant reduction in time to platelet count response (p&lt;0.01). Patients treated with caplacizumab were 1.55 times more likely to achieve platelet count response at any given time point, compared to patients treated with placebo.</w:t>
      </w:r>
    </w:p>
    <w:p w14:paraId="3B08CB84" w14:textId="77777777" w:rsidR="00DD2B8C" w:rsidRPr="00CB1EA2" w:rsidRDefault="00DD2B8C" w:rsidP="00DD2B8C">
      <w:pPr>
        <w:rPr>
          <w:lang w:val="en-AU"/>
        </w:rPr>
      </w:pPr>
      <w:r w:rsidRPr="00CB1EA2">
        <w:rPr>
          <w:lang w:val="en-AU"/>
        </w:rPr>
        <w:t xml:space="preserve">Treatment with caplacizumab resulted in a 74% reduction in the composite endpoint of the percentage of patients with aTTP-related death (0/72; placebo 3/73), exacerbation of aTTP (3/72; placebo 28/73), or at least one major thromboembolic event during study drug treatment (6/72; </w:t>
      </w:r>
      <w:r w:rsidRPr="00CB1EA2">
        <w:rPr>
          <w:lang w:val="en-AU"/>
        </w:rPr>
        <w:lastRenderedPageBreak/>
        <w:t>placebo 6/73) (p&lt;0.0001). There were no deaths in the caplacizumab group and 3 deaths in the placebo group during the study drug treatment period.</w:t>
      </w:r>
    </w:p>
    <w:p w14:paraId="5B745254" w14:textId="1AC2A54A" w:rsidR="00DD2B8C" w:rsidRPr="00CB1EA2" w:rsidRDefault="00DD2B8C" w:rsidP="00DD2B8C">
      <w:pPr>
        <w:rPr>
          <w:lang w:val="en-AU"/>
        </w:rPr>
      </w:pPr>
      <w:r w:rsidRPr="00CB1EA2">
        <w:rPr>
          <w:lang w:val="en-AU"/>
        </w:rPr>
        <w:t>The proportion of patients with a recurrence of aTTP (exacerbation or relapse) in the overall study period (including the 28 day follow-up after discontinuation of study drug treatment) was 67% lower in the caplacizumab group (9/72; relapse: 6/72) compared to the placebo group (28/73; relapse 0/73) (p&lt;0.001).</w:t>
      </w:r>
    </w:p>
    <w:p w14:paraId="18875661" w14:textId="77777777" w:rsidR="00DD2B8C" w:rsidRPr="00CB1EA2" w:rsidRDefault="00DD2B8C" w:rsidP="00DD2B8C">
      <w:pPr>
        <w:rPr>
          <w:lang w:val="en-AU"/>
        </w:rPr>
      </w:pPr>
      <w:r w:rsidRPr="00CB1EA2">
        <w:rPr>
          <w:lang w:val="en-AU"/>
        </w:rPr>
        <w:t>No patients treated with caplacizumab (0/72) were refractory to treatment (defined as absence of platelet count doubling after 4 days of standard treatment and elevated LDH) compared to three patients treated with placebo (3/73).</w:t>
      </w:r>
    </w:p>
    <w:p w14:paraId="0BB391DD" w14:textId="533EFB00" w:rsidR="002B3D6B" w:rsidRPr="00CB1EA2" w:rsidRDefault="00DD2B8C" w:rsidP="00997E6F">
      <w:pPr>
        <w:rPr>
          <w:rFonts w:ascii="Arial" w:eastAsia="MS Gothic" w:hAnsi="Arial" w:cs="Arial"/>
          <w:b/>
          <w:bCs/>
          <w:color w:val="auto"/>
          <w:sz w:val="20"/>
          <w:szCs w:val="20"/>
          <w:lang w:val="en-AU"/>
        </w:rPr>
      </w:pPr>
      <w:r w:rsidRPr="00CB1EA2">
        <w:rPr>
          <w:lang w:val="en-AU"/>
        </w:rPr>
        <w:t>Treatment with caplacizumab reduced the mean number of days of plasma exchange, the volume of plasma used, the mean length of Intensive Care Unit stay and the mean length of hospitalization during the study drug treatment period.</w:t>
      </w:r>
    </w:p>
    <w:p w14:paraId="59DA406E" w14:textId="244031B2" w:rsidR="00B37843" w:rsidRPr="00CB1EA2" w:rsidRDefault="00B37843" w:rsidP="00B37843">
      <w:pPr>
        <w:pStyle w:val="Caption"/>
        <w:rPr>
          <w:lang w:val="en-AU"/>
        </w:rPr>
      </w:pPr>
      <w:r w:rsidRPr="00CB1EA2">
        <w:rPr>
          <w:lang w:val="en-AU"/>
        </w:rPr>
        <w:t>Table </w:t>
      </w:r>
      <w:r w:rsidRPr="00CB1EA2">
        <w:rPr>
          <w:lang w:val="en-AU"/>
        </w:rPr>
        <w:fldChar w:fldCharType="begin"/>
      </w:r>
      <w:r w:rsidRPr="00CB1EA2">
        <w:rPr>
          <w:lang w:val="en-AU"/>
        </w:rPr>
        <w:instrText xml:space="preserve"> SEQ Table \* ARABIC </w:instrText>
      </w:r>
      <w:r w:rsidRPr="00CB1EA2">
        <w:rPr>
          <w:lang w:val="en-AU"/>
        </w:rPr>
        <w:fldChar w:fldCharType="separate"/>
      </w:r>
      <w:r w:rsidR="007F0F04">
        <w:rPr>
          <w:noProof/>
          <w:lang w:val="en-AU"/>
        </w:rPr>
        <w:t>1</w:t>
      </w:r>
      <w:r w:rsidRPr="00CB1EA2">
        <w:rPr>
          <w:lang w:val="en-AU"/>
        </w:rPr>
        <w:fldChar w:fldCharType="end"/>
      </w:r>
      <w:r w:rsidRPr="00CB1EA2">
        <w:rPr>
          <w:lang w:val="en-AU"/>
        </w:rPr>
        <w:t xml:space="preserve"> ­ </w:t>
      </w:r>
      <w:r w:rsidR="00FE19A2" w:rsidRPr="00CB1EA2">
        <w:rPr>
          <w:lang w:val="en-AU"/>
        </w:rPr>
        <w:t>Changes in plasma exchange treatment and hospitalisations observed with caplacizumab in the HERCULES Study</w:t>
      </w:r>
    </w:p>
    <w:tbl>
      <w:tblPr>
        <w:tblW w:w="9700" w:type="dxa"/>
        <w:jc w:val="center"/>
        <w:tblBorders>
          <w:top w:val="single" w:sz="2" w:space="0" w:color="000000"/>
        </w:tblBorders>
        <w:tblLook w:val="0000" w:firstRow="0" w:lastRow="0" w:firstColumn="0" w:lastColumn="0" w:noHBand="0" w:noVBand="0"/>
      </w:tblPr>
      <w:tblGrid>
        <w:gridCol w:w="4590"/>
        <w:gridCol w:w="1790"/>
        <w:gridCol w:w="1700"/>
        <w:gridCol w:w="1620"/>
      </w:tblGrid>
      <w:tr w:rsidR="00DD2B8C" w:rsidRPr="00CB1EA2" w14:paraId="0170AD31" w14:textId="77777777" w:rsidTr="00DD2B8C">
        <w:trPr>
          <w:cantSplit/>
          <w:trHeight w:val="340"/>
          <w:tblHeader/>
          <w:jc w:val="center"/>
        </w:trPr>
        <w:tc>
          <w:tcPr>
            <w:tcW w:w="4590" w:type="dxa"/>
            <w:tcBorders>
              <w:top w:val="single" w:sz="4" w:space="0" w:color="000000"/>
              <w:bottom w:val="single" w:sz="4" w:space="0" w:color="000000"/>
            </w:tcBorders>
            <w:shd w:val="clear" w:color="auto" w:fill="auto"/>
          </w:tcPr>
          <w:p w14:paraId="24E6A337" w14:textId="77777777" w:rsidR="00DD2B8C" w:rsidRPr="00CB1EA2" w:rsidRDefault="00DD2B8C" w:rsidP="00DD2B8C">
            <w:pPr>
              <w:pStyle w:val="TblHeadingCenter"/>
              <w:rPr>
                <w:lang w:val="en-AU"/>
              </w:rPr>
            </w:pPr>
          </w:p>
        </w:tc>
        <w:tc>
          <w:tcPr>
            <w:tcW w:w="1790" w:type="dxa"/>
            <w:tcBorders>
              <w:top w:val="single" w:sz="4" w:space="0" w:color="000000"/>
              <w:bottom w:val="single" w:sz="4" w:space="0" w:color="000000"/>
            </w:tcBorders>
            <w:shd w:val="clear" w:color="auto" w:fill="auto"/>
          </w:tcPr>
          <w:p w14:paraId="3F1033FF" w14:textId="77777777" w:rsidR="00DD2B8C" w:rsidRPr="00CB1EA2" w:rsidRDefault="00DD2B8C" w:rsidP="00DD2B8C">
            <w:pPr>
              <w:pStyle w:val="TblHeadingCenter"/>
              <w:rPr>
                <w:lang w:val="en-AU"/>
              </w:rPr>
            </w:pPr>
          </w:p>
        </w:tc>
        <w:tc>
          <w:tcPr>
            <w:tcW w:w="1700" w:type="dxa"/>
            <w:tcBorders>
              <w:top w:val="single" w:sz="4" w:space="0" w:color="000000"/>
              <w:bottom w:val="single" w:sz="4" w:space="0" w:color="000000"/>
            </w:tcBorders>
            <w:shd w:val="clear" w:color="auto" w:fill="auto"/>
          </w:tcPr>
          <w:p w14:paraId="6BA78E42" w14:textId="77777777" w:rsidR="00DD2B8C" w:rsidRPr="00CB1EA2" w:rsidRDefault="00DD2B8C" w:rsidP="00DD2B8C">
            <w:pPr>
              <w:pStyle w:val="TblHeadingCenter"/>
              <w:rPr>
                <w:lang w:val="en-AU"/>
              </w:rPr>
            </w:pPr>
            <w:r w:rsidRPr="00CB1EA2">
              <w:rPr>
                <w:lang w:val="en-AU"/>
              </w:rPr>
              <w:t>Placebo</w:t>
            </w:r>
          </w:p>
        </w:tc>
        <w:tc>
          <w:tcPr>
            <w:tcW w:w="1620" w:type="dxa"/>
            <w:tcBorders>
              <w:top w:val="single" w:sz="4" w:space="0" w:color="000000"/>
              <w:bottom w:val="single" w:sz="4" w:space="0" w:color="000000"/>
            </w:tcBorders>
            <w:shd w:val="clear" w:color="auto" w:fill="auto"/>
          </w:tcPr>
          <w:p w14:paraId="160964E7" w14:textId="77777777" w:rsidR="00DD2B8C" w:rsidRPr="00CB1EA2" w:rsidRDefault="00DD2B8C" w:rsidP="00DD2B8C">
            <w:pPr>
              <w:pStyle w:val="TblHeadingCenter"/>
              <w:rPr>
                <w:lang w:val="en-AU"/>
              </w:rPr>
            </w:pPr>
            <w:r w:rsidRPr="00CB1EA2">
              <w:rPr>
                <w:lang w:val="en-AU"/>
              </w:rPr>
              <w:t>Caplacizumab</w:t>
            </w:r>
          </w:p>
        </w:tc>
      </w:tr>
      <w:tr w:rsidR="00DD2B8C" w:rsidRPr="00CB1EA2" w14:paraId="4768589A" w14:textId="77777777" w:rsidTr="00DD2B8C">
        <w:trPr>
          <w:cantSplit/>
          <w:trHeight w:val="340"/>
          <w:jc w:val="center"/>
        </w:trPr>
        <w:tc>
          <w:tcPr>
            <w:tcW w:w="4590" w:type="dxa"/>
            <w:tcBorders>
              <w:top w:val="single" w:sz="4" w:space="0" w:color="000000"/>
            </w:tcBorders>
            <w:shd w:val="clear" w:color="auto" w:fill="auto"/>
          </w:tcPr>
          <w:p w14:paraId="5AB0D7E9" w14:textId="77777777" w:rsidR="00DD2B8C" w:rsidRPr="00CB1EA2" w:rsidRDefault="00DD2B8C" w:rsidP="00DD2B8C">
            <w:pPr>
              <w:pStyle w:val="TblTextCenter"/>
              <w:rPr>
                <w:lang w:val="en-AU"/>
              </w:rPr>
            </w:pPr>
            <w:r w:rsidRPr="00CB1EA2">
              <w:rPr>
                <w:lang w:val="en-AU"/>
              </w:rPr>
              <w:t>Number of days of Plasma Exchange (days)</w:t>
            </w:r>
          </w:p>
        </w:tc>
        <w:tc>
          <w:tcPr>
            <w:tcW w:w="1790" w:type="dxa"/>
            <w:tcBorders>
              <w:top w:val="single" w:sz="4" w:space="0" w:color="000000"/>
            </w:tcBorders>
            <w:shd w:val="clear" w:color="auto" w:fill="auto"/>
          </w:tcPr>
          <w:p w14:paraId="4D57FECE" w14:textId="77777777" w:rsidR="00DD2B8C" w:rsidRPr="00CB1EA2" w:rsidRDefault="00DD2B8C" w:rsidP="00DD2B8C">
            <w:pPr>
              <w:pStyle w:val="TblTextCenter"/>
              <w:rPr>
                <w:lang w:val="en-AU"/>
              </w:rPr>
            </w:pPr>
            <w:r w:rsidRPr="00CB1EA2">
              <w:rPr>
                <w:lang w:val="en-AU"/>
              </w:rPr>
              <w:t>N</w:t>
            </w:r>
          </w:p>
          <w:p w14:paraId="43D6FF20" w14:textId="77777777" w:rsidR="00DD2B8C" w:rsidRPr="00CB1EA2" w:rsidRDefault="00DD2B8C" w:rsidP="00DD2B8C">
            <w:pPr>
              <w:pStyle w:val="TblTextCenter"/>
              <w:rPr>
                <w:lang w:val="en-AU"/>
              </w:rPr>
            </w:pPr>
            <w:r w:rsidRPr="00CB1EA2">
              <w:rPr>
                <w:lang w:val="en-AU"/>
              </w:rPr>
              <w:t>Mean (SE)</w:t>
            </w:r>
          </w:p>
        </w:tc>
        <w:tc>
          <w:tcPr>
            <w:tcW w:w="1700" w:type="dxa"/>
            <w:tcBorders>
              <w:top w:val="single" w:sz="4" w:space="0" w:color="000000"/>
            </w:tcBorders>
            <w:shd w:val="clear" w:color="auto" w:fill="auto"/>
          </w:tcPr>
          <w:p w14:paraId="2A0643BF" w14:textId="77777777" w:rsidR="00DD2B8C" w:rsidRPr="00CB1EA2" w:rsidRDefault="00DD2B8C" w:rsidP="00DD2B8C">
            <w:pPr>
              <w:pStyle w:val="TblTextCenter"/>
              <w:rPr>
                <w:lang w:val="en-AU"/>
              </w:rPr>
            </w:pPr>
            <w:r w:rsidRPr="00CB1EA2">
              <w:rPr>
                <w:lang w:val="en-AU"/>
              </w:rPr>
              <w:t>73</w:t>
            </w:r>
          </w:p>
          <w:p w14:paraId="4D61B70D" w14:textId="77777777" w:rsidR="00DD2B8C" w:rsidRPr="00CB1EA2" w:rsidRDefault="00DD2B8C" w:rsidP="00DD2B8C">
            <w:pPr>
              <w:pStyle w:val="TblTextCenter"/>
              <w:rPr>
                <w:lang w:val="en-AU"/>
              </w:rPr>
            </w:pPr>
            <w:r w:rsidRPr="00CB1EA2">
              <w:rPr>
                <w:lang w:val="en-AU"/>
              </w:rPr>
              <w:t>9.4 (0.81)</w:t>
            </w:r>
          </w:p>
        </w:tc>
        <w:tc>
          <w:tcPr>
            <w:tcW w:w="1620" w:type="dxa"/>
            <w:tcBorders>
              <w:top w:val="single" w:sz="4" w:space="0" w:color="000000"/>
            </w:tcBorders>
            <w:shd w:val="clear" w:color="auto" w:fill="auto"/>
          </w:tcPr>
          <w:p w14:paraId="38B83E32" w14:textId="77777777" w:rsidR="00DD2B8C" w:rsidRPr="00CB1EA2" w:rsidRDefault="00DD2B8C" w:rsidP="00DD2B8C">
            <w:pPr>
              <w:pStyle w:val="TblTextCenter"/>
              <w:rPr>
                <w:lang w:val="en-AU"/>
              </w:rPr>
            </w:pPr>
            <w:r w:rsidRPr="00CB1EA2">
              <w:rPr>
                <w:lang w:val="en-AU"/>
              </w:rPr>
              <w:t>71</w:t>
            </w:r>
          </w:p>
          <w:p w14:paraId="0F36E127" w14:textId="77777777" w:rsidR="00DD2B8C" w:rsidRPr="00CB1EA2" w:rsidRDefault="00DD2B8C" w:rsidP="00DD2B8C">
            <w:pPr>
              <w:pStyle w:val="TblTextCenter"/>
              <w:rPr>
                <w:lang w:val="en-AU"/>
              </w:rPr>
            </w:pPr>
            <w:r w:rsidRPr="00CB1EA2">
              <w:rPr>
                <w:lang w:val="en-AU"/>
              </w:rPr>
              <w:t>5.8 (0.51)</w:t>
            </w:r>
          </w:p>
        </w:tc>
      </w:tr>
      <w:tr w:rsidR="00DD2B8C" w:rsidRPr="00CB1EA2" w14:paraId="5593DF22" w14:textId="77777777" w:rsidTr="00DD2B8C">
        <w:trPr>
          <w:cantSplit/>
          <w:trHeight w:val="340"/>
          <w:jc w:val="center"/>
        </w:trPr>
        <w:tc>
          <w:tcPr>
            <w:tcW w:w="4590" w:type="dxa"/>
            <w:shd w:val="clear" w:color="auto" w:fill="auto"/>
          </w:tcPr>
          <w:p w14:paraId="091BF812" w14:textId="77777777" w:rsidR="00DD2B8C" w:rsidRPr="00CB1EA2" w:rsidRDefault="00DD2B8C" w:rsidP="00DD2B8C">
            <w:pPr>
              <w:pStyle w:val="TblTextCenter"/>
              <w:rPr>
                <w:lang w:val="en-AU"/>
              </w:rPr>
            </w:pPr>
            <w:r w:rsidRPr="00CB1EA2">
              <w:rPr>
                <w:lang w:val="en-AU"/>
              </w:rPr>
              <w:t>Total volume of plasma used (litre)</w:t>
            </w:r>
          </w:p>
        </w:tc>
        <w:tc>
          <w:tcPr>
            <w:tcW w:w="1790" w:type="dxa"/>
            <w:shd w:val="clear" w:color="auto" w:fill="auto"/>
          </w:tcPr>
          <w:p w14:paraId="11088224" w14:textId="77777777" w:rsidR="00DD2B8C" w:rsidRPr="00CB1EA2" w:rsidRDefault="00DD2B8C" w:rsidP="00DD2B8C">
            <w:pPr>
              <w:pStyle w:val="TblTextCenter"/>
              <w:rPr>
                <w:lang w:val="en-AU"/>
              </w:rPr>
            </w:pPr>
            <w:r w:rsidRPr="00CB1EA2">
              <w:rPr>
                <w:lang w:val="en-AU"/>
              </w:rPr>
              <w:t>N</w:t>
            </w:r>
          </w:p>
          <w:p w14:paraId="0E754A04" w14:textId="77777777" w:rsidR="00DD2B8C" w:rsidRPr="00CB1EA2" w:rsidRDefault="00DD2B8C" w:rsidP="00DD2B8C">
            <w:pPr>
              <w:pStyle w:val="TblTextCenter"/>
              <w:rPr>
                <w:lang w:val="en-AU"/>
              </w:rPr>
            </w:pPr>
            <w:r w:rsidRPr="00CB1EA2">
              <w:rPr>
                <w:lang w:val="en-AU"/>
              </w:rPr>
              <w:t>Mean (SE)</w:t>
            </w:r>
          </w:p>
        </w:tc>
        <w:tc>
          <w:tcPr>
            <w:tcW w:w="1700" w:type="dxa"/>
            <w:shd w:val="clear" w:color="auto" w:fill="auto"/>
          </w:tcPr>
          <w:p w14:paraId="44A53200" w14:textId="77777777" w:rsidR="00DD2B8C" w:rsidRPr="00CB1EA2" w:rsidRDefault="00DD2B8C" w:rsidP="00DD2B8C">
            <w:pPr>
              <w:pStyle w:val="TblTextCenter"/>
              <w:rPr>
                <w:lang w:val="en-AU"/>
              </w:rPr>
            </w:pPr>
            <w:r w:rsidRPr="00CB1EA2">
              <w:rPr>
                <w:lang w:val="en-AU"/>
              </w:rPr>
              <w:t>73</w:t>
            </w:r>
          </w:p>
          <w:p w14:paraId="107C0CD5" w14:textId="77777777" w:rsidR="00DD2B8C" w:rsidRPr="00CB1EA2" w:rsidRDefault="00DD2B8C" w:rsidP="00DD2B8C">
            <w:pPr>
              <w:pStyle w:val="TblTextCenter"/>
              <w:rPr>
                <w:lang w:val="en-AU"/>
              </w:rPr>
            </w:pPr>
            <w:r w:rsidRPr="00CB1EA2">
              <w:rPr>
                <w:lang w:val="en-AU"/>
              </w:rPr>
              <w:t>35.93 (4.17)</w:t>
            </w:r>
          </w:p>
        </w:tc>
        <w:tc>
          <w:tcPr>
            <w:tcW w:w="1620" w:type="dxa"/>
            <w:shd w:val="clear" w:color="auto" w:fill="auto"/>
          </w:tcPr>
          <w:p w14:paraId="02051143" w14:textId="77777777" w:rsidR="00DD2B8C" w:rsidRPr="00CB1EA2" w:rsidRDefault="00DD2B8C" w:rsidP="00DD2B8C">
            <w:pPr>
              <w:pStyle w:val="TblTextCenter"/>
              <w:rPr>
                <w:lang w:val="en-AU"/>
              </w:rPr>
            </w:pPr>
            <w:r w:rsidRPr="00CB1EA2">
              <w:rPr>
                <w:lang w:val="en-AU"/>
              </w:rPr>
              <w:t>71</w:t>
            </w:r>
          </w:p>
          <w:p w14:paraId="1773EE91" w14:textId="77777777" w:rsidR="00DD2B8C" w:rsidRPr="00CB1EA2" w:rsidRDefault="00DD2B8C" w:rsidP="00DD2B8C">
            <w:pPr>
              <w:pStyle w:val="TblTextCenter"/>
              <w:rPr>
                <w:lang w:val="en-AU"/>
              </w:rPr>
            </w:pPr>
            <w:r w:rsidRPr="00CB1EA2">
              <w:rPr>
                <w:lang w:val="en-AU"/>
              </w:rPr>
              <w:t>21.33 (1.62)</w:t>
            </w:r>
          </w:p>
        </w:tc>
      </w:tr>
      <w:tr w:rsidR="00DD2B8C" w:rsidRPr="00CB1EA2" w14:paraId="132637AD" w14:textId="77777777" w:rsidTr="00DD2B8C">
        <w:trPr>
          <w:cantSplit/>
          <w:trHeight w:val="340"/>
          <w:jc w:val="center"/>
        </w:trPr>
        <w:tc>
          <w:tcPr>
            <w:tcW w:w="4590" w:type="dxa"/>
            <w:shd w:val="clear" w:color="auto" w:fill="auto"/>
          </w:tcPr>
          <w:p w14:paraId="24E3FD82" w14:textId="77777777" w:rsidR="00DD2B8C" w:rsidRPr="00CB1EA2" w:rsidRDefault="00DD2B8C" w:rsidP="00DD2B8C">
            <w:pPr>
              <w:pStyle w:val="TblTextCenter"/>
              <w:rPr>
                <w:lang w:val="en-AU"/>
              </w:rPr>
            </w:pPr>
            <w:r w:rsidRPr="00CB1EA2">
              <w:rPr>
                <w:lang w:val="en-AU"/>
              </w:rPr>
              <w:t>Length of hospitalisation (days)</w:t>
            </w:r>
          </w:p>
        </w:tc>
        <w:tc>
          <w:tcPr>
            <w:tcW w:w="1790" w:type="dxa"/>
            <w:shd w:val="clear" w:color="auto" w:fill="auto"/>
          </w:tcPr>
          <w:p w14:paraId="59813C1E" w14:textId="77777777" w:rsidR="00DD2B8C" w:rsidRPr="00CB1EA2" w:rsidRDefault="00DD2B8C" w:rsidP="00DD2B8C">
            <w:pPr>
              <w:pStyle w:val="TblTextCenter"/>
              <w:rPr>
                <w:lang w:val="en-AU"/>
              </w:rPr>
            </w:pPr>
            <w:r w:rsidRPr="00CB1EA2">
              <w:rPr>
                <w:lang w:val="en-AU"/>
              </w:rPr>
              <w:t>N</w:t>
            </w:r>
          </w:p>
          <w:p w14:paraId="4DEC2736" w14:textId="77777777" w:rsidR="00DD2B8C" w:rsidRPr="00CB1EA2" w:rsidRDefault="00DD2B8C" w:rsidP="00DD2B8C">
            <w:pPr>
              <w:pStyle w:val="TblTextCenter"/>
              <w:rPr>
                <w:lang w:val="en-AU"/>
              </w:rPr>
            </w:pPr>
            <w:r w:rsidRPr="00CB1EA2">
              <w:rPr>
                <w:lang w:val="en-AU"/>
              </w:rPr>
              <w:t>Mean (SE)</w:t>
            </w:r>
          </w:p>
        </w:tc>
        <w:tc>
          <w:tcPr>
            <w:tcW w:w="1700" w:type="dxa"/>
            <w:shd w:val="clear" w:color="auto" w:fill="auto"/>
          </w:tcPr>
          <w:p w14:paraId="77A91410" w14:textId="77777777" w:rsidR="00DD2B8C" w:rsidRPr="00CB1EA2" w:rsidRDefault="00DD2B8C" w:rsidP="00DD2B8C">
            <w:pPr>
              <w:pStyle w:val="TblTextCenter"/>
              <w:rPr>
                <w:lang w:val="en-AU"/>
              </w:rPr>
            </w:pPr>
            <w:r w:rsidRPr="00CB1EA2">
              <w:rPr>
                <w:lang w:val="en-AU"/>
              </w:rPr>
              <w:t>73</w:t>
            </w:r>
          </w:p>
          <w:p w14:paraId="2C7394A9" w14:textId="77777777" w:rsidR="00DD2B8C" w:rsidRPr="00CB1EA2" w:rsidRDefault="00DD2B8C" w:rsidP="00DD2B8C">
            <w:pPr>
              <w:pStyle w:val="TblTextCenter"/>
              <w:rPr>
                <w:lang w:val="en-AU"/>
              </w:rPr>
            </w:pPr>
            <w:r w:rsidRPr="00CB1EA2">
              <w:rPr>
                <w:lang w:val="en-AU"/>
              </w:rPr>
              <w:t>14.4 (1.22)</w:t>
            </w:r>
          </w:p>
        </w:tc>
        <w:tc>
          <w:tcPr>
            <w:tcW w:w="1620" w:type="dxa"/>
            <w:shd w:val="clear" w:color="auto" w:fill="auto"/>
          </w:tcPr>
          <w:p w14:paraId="691AF221" w14:textId="77777777" w:rsidR="00DD2B8C" w:rsidRPr="00CB1EA2" w:rsidRDefault="00DD2B8C" w:rsidP="00DD2B8C">
            <w:pPr>
              <w:pStyle w:val="TblTextCenter"/>
              <w:rPr>
                <w:lang w:val="en-AU"/>
              </w:rPr>
            </w:pPr>
            <w:r w:rsidRPr="00CB1EA2">
              <w:rPr>
                <w:lang w:val="en-AU"/>
              </w:rPr>
              <w:t>71</w:t>
            </w:r>
          </w:p>
          <w:p w14:paraId="49C7DAEB" w14:textId="77777777" w:rsidR="00DD2B8C" w:rsidRPr="00CB1EA2" w:rsidRDefault="00DD2B8C" w:rsidP="00DD2B8C">
            <w:pPr>
              <w:pStyle w:val="TblTextCenter"/>
              <w:rPr>
                <w:lang w:val="en-AU"/>
              </w:rPr>
            </w:pPr>
            <w:r w:rsidRPr="00CB1EA2">
              <w:rPr>
                <w:lang w:val="en-AU"/>
              </w:rPr>
              <w:t>9.9 (0.70)</w:t>
            </w:r>
          </w:p>
        </w:tc>
      </w:tr>
      <w:tr w:rsidR="00DD2B8C" w:rsidRPr="00CB1EA2" w14:paraId="0EF60B43" w14:textId="77777777" w:rsidTr="00DD2B8C">
        <w:trPr>
          <w:cantSplit/>
          <w:trHeight w:val="340"/>
          <w:jc w:val="center"/>
        </w:trPr>
        <w:tc>
          <w:tcPr>
            <w:tcW w:w="4590" w:type="dxa"/>
            <w:tcBorders>
              <w:bottom w:val="single" w:sz="12" w:space="0" w:color="auto"/>
            </w:tcBorders>
            <w:shd w:val="clear" w:color="auto" w:fill="auto"/>
          </w:tcPr>
          <w:p w14:paraId="3C329435" w14:textId="77777777" w:rsidR="00DD2B8C" w:rsidRPr="00CB1EA2" w:rsidRDefault="00DD2B8C" w:rsidP="00DD2B8C">
            <w:pPr>
              <w:pStyle w:val="TblTextCenter"/>
              <w:rPr>
                <w:lang w:val="en-AU"/>
              </w:rPr>
            </w:pPr>
            <w:r w:rsidRPr="00CB1EA2">
              <w:rPr>
                <w:lang w:val="en-AU"/>
              </w:rPr>
              <w:t>Number of days in ICU</w:t>
            </w:r>
          </w:p>
        </w:tc>
        <w:tc>
          <w:tcPr>
            <w:tcW w:w="1790" w:type="dxa"/>
            <w:tcBorders>
              <w:bottom w:val="single" w:sz="12" w:space="0" w:color="auto"/>
            </w:tcBorders>
            <w:shd w:val="clear" w:color="auto" w:fill="auto"/>
          </w:tcPr>
          <w:p w14:paraId="7B6C7D1B" w14:textId="77777777" w:rsidR="00DD2B8C" w:rsidRPr="00CB1EA2" w:rsidRDefault="00DD2B8C" w:rsidP="00DD2B8C">
            <w:pPr>
              <w:pStyle w:val="TblTextCenter"/>
              <w:rPr>
                <w:lang w:val="en-AU"/>
              </w:rPr>
            </w:pPr>
            <w:r w:rsidRPr="00CB1EA2">
              <w:rPr>
                <w:lang w:val="en-AU"/>
              </w:rPr>
              <w:t>N</w:t>
            </w:r>
          </w:p>
          <w:p w14:paraId="0C087C6F" w14:textId="77777777" w:rsidR="00DD2B8C" w:rsidRPr="00CB1EA2" w:rsidRDefault="00DD2B8C" w:rsidP="00DD2B8C">
            <w:pPr>
              <w:pStyle w:val="TblTextCenter"/>
              <w:rPr>
                <w:lang w:val="en-AU"/>
              </w:rPr>
            </w:pPr>
            <w:r w:rsidRPr="00CB1EA2">
              <w:rPr>
                <w:lang w:val="en-AU"/>
              </w:rPr>
              <w:t>Mean (SE)</w:t>
            </w:r>
          </w:p>
        </w:tc>
        <w:tc>
          <w:tcPr>
            <w:tcW w:w="1700" w:type="dxa"/>
            <w:tcBorders>
              <w:bottom w:val="single" w:sz="12" w:space="0" w:color="auto"/>
            </w:tcBorders>
            <w:shd w:val="clear" w:color="auto" w:fill="auto"/>
          </w:tcPr>
          <w:p w14:paraId="3C9A591C" w14:textId="77777777" w:rsidR="00DD2B8C" w:rsidRPr="00CB1EA2" w:rsidRDefault="00DD2B8C" w:rsidP="00DD2B8C">
            <w:pPr>
              <w:pStyle w:val="TblTextCenter"/>
              <w:rPr>
                <w:lang w:val="en-AU"/>
              </w:rPr>
            </w:pPr>
            <w:r w:rsidRPr="00CB1EA2">
              <w:rPr>
                <w:lang w:val="en-AU"/>
              </w:rPr>
              <w:t>27</w:t>
            </w:r>
          </w:p>
          <w:p w14:paraId="08595626" w14:textId="77777777" w:rsidR="00DD2B8C" w:rsidRPr="00CB1EA2" w:rsidRDefault="00DD2B8C" w:rsidP="00DD2B8C">
            <w:pPr>
              <w:pStyle w:val="TblTextCenter"/>
              <w:rPr>
                <w:lang w:val="en-AU"/>
              </w:rPr>
            </w:pPr>
            <w:r w:rsidRPr="00CB1EA2">
              <w:rPr>
                <w:lang w:val="en-AU"/>
              </w:rPr>
              <w:t>9.7 (2.12)</w:t>
            </w:r>
          </w:p>
        </w:tc>
        <w:tc>
          <w:tcPr>
            <w:tcW w:w="1620" w:type="dxa"/>
            <w:tcBorders>
              <w:bottom w:val="single" w:sz="12" w:space="0" w:color="auto"/>
            </w:tcBorders>
            <w:shd w:val="clear" w:color="auto" w:fill="auto"/>
          </w:tcPr>
          <w:p w14:paraId="664AB483" w14:textId="77777777" w:rsidR="00DD2B8C" w:rsidRPr="00CB1EA2" w:rsidRDefault="00DD2B8C" w:rsidP="00DD2B8C">
            <w:pPr>
              <w:pStyle w:val="TblTextCenter"/>
              <w:rPr>
                <w:lang w:val="en-AU"/>
              </w:rPr>
            </w:pPr>
            <w:r w:rsidRPr="00CB1EA2">
              <w:rPr>
                <w:lang w:val="en-AU"/>
              </w:rPr>
              <w:t>28</w:t>
            </w:r>
          </w:p>
          <w:p w14:paraId="5AFBF515" w14:textId="77777777" w:rsidR="00DD2B8C" w:rsidRPr="00CB1EA2" w:rsidRDefault="00DD2B8C" w:rsidP="00DD2B8C">
            <w:pPr>
              <w:pStyle w:val="TblTextCenter"/>
              <w:rPr>
                <w:lang w:val="en-AU"/>
              </w:rPr>
            </w:pPr>
            <w:r w:rsidRPr="00CB1EA2">
              <w:rPr>
                <w:lang w:val="en-AU"/>
              </w:rPr>
              <w:t>3.4 (0.40)</w:t>
            </w:r>
          </w:p>
        </w:tc>
      </w:tr>
      <w:tr w:rsidR="00DD2B8C" w:rsidRPr="00CB1EA2" w14:paraId="6C771358" w14:textId="77777777" w:rsidTr="00DD2B8C">
        <w:trPr>
          <w:cantSplit/>
          <w:trHeight w:val="340"/>
          <w:jc w:val="center"/>
        </w:trPr>
        <w:tc>
          <w:tcPr>
            <w:tcW w:w="9700" w:type="dxa"/>
            <w:gridSpan w:val="4"/>
            <w:tcBorders>
              <w:top w:val="single" w:sz="12" w:space="0" w:color="auto"/>
            </w:tcBorders>
            <w:shd w:val="clear" w:color="auto" w:fill="auto"/>
          </w:tcPr>
          <w:p w14:paraId="101ABAA5" w14:textId="77777777" w:rsidR="00DD2B8C" w:rsidRPr="00CB1EA2" w:rsidRDefault="00DD2B8C" w:rsidP="00DD2B8C">
            <w:pPr>
              <w:pStyle w:val="TblFigFootnote"/>
              <w:rPr>
                <w:lang w:val="en-AU"/>
              </w:rPr>
            </w:pPr>
            <w:r w:rsidRPr="00CB1EA2">
              <w:rPr>
                <w:lang w:val="en-AU"/>
              </w:rPr>
              <w:t>N: number of patients evaluated; SE: Standard Error; ICU: Intensive Care Unit</w:t>
            </w:r>
          </w:p>
        </w:tc>
      </w:tr>
    </w:tbl>
    <w:p w14:paraId="16D41DCE" w14:textId="590379F7" w:rsidR="00DD2B8C" w:rsidRPr="00CB1EA2" w:rsidRDefault="00DD2B8C" w:rsidP="003B31EC">
      <w:pPr>
        <w:pStyle w:val="Heading4"/>
        <w:numPr>
          <w:ilvl w:val="0"/>
          <w:numId w:val="0"/>
        </w:numPr>
        <w:rPr>
          <w:lang w:val="en-AU"/>
        </w:rPr>
      </w:pPr>
      <w:r w:rsidRPr="00CB1EA2">
        <w:rPr>
          <w:lang w:val="en-AU"/>
        </w:rPr>
        <w:t>Immunogenicity</w:t>
      </w:r>
    </w:p>
    <w:p w14:paraId="628826A0" w14:textId="77777777" w:rsidR="00DD2B8C" w:rsidRPr="00CB1EA2" w:rsidRDefault="00DD2B8C" w:rsidP="003B31EC">
      <w:pPr>
        <w:rPr>
          <w:lang w:val="en-AU"/>
        </w:rPr>
      </w:pPr>
      <w:r w:rsidRPr="00CB1EA2">
        <w:rPr>
          <w:lang w:val="en-AU"/>
        </w:rPr>
        <w:t>In clinical studies, up to 9% of patients developed treatment-emergent anti-drug antibodies (ADA). No impact on clinical efficacy was observed and no serious adverse events were found to be associated with these ADA responses.</w:t>
      </w:r>
    </w:p>
    <w:p w14:paraId="1C3EAA35" w14:textId="0953AAFF" w:rsidR="001A3992" w:rsidRPr="00CB1EA2" w:rsidRDefault="001A3992" w:rsidP="003B31EC">
      <w:pPr>
        <w:pStyle w:val="Heading2"/>
        <w:rPr>
          <w:lang w:val="en-AU"/>
        </w:rPr>
      </w:pPr>
      <w:bookmarkStart w:id="6" w:name="_Ref525053791"/>
      <w:r w:rsidRPr="00CB1EA2">
        <w:rPr>
          <w:lang w:val="en-AU"/>
        </w:rPr>
        <w:t>Pharmacokinetic properties</w:t>
      </w:r>
      <w:bookmarkEnd w:id="6"/>
    </w:p>
    <w:p w14:paraId="2B14842E" w14:textId="77777777" w:rsidR="003B31EC" w:rsidRPr="00CB1EA2" w:rsidRDefault="003B31EC" w:rsidP="003B31EC">
      <w:pPr>
        <w:rPr>
          <w:lang w:val="en-AU"/>
        </w:rPr>
      </w:pPr>
      <w:r w:rsidRPr="00CB1EA2">
        <w:rPr>
          <w:lang w:val="en-AU"/>
        </w:rPr>
        <w:t xml:space="preserve">The pharmacokinetics of caplacizumab </w:t>
      </w:r>
      <w:proofErr w:type="gramStart"/>
      <w:r w:rsidRPr="00CB1EA2">
        <w:rPr>
          <w:lang w:val="en-AU"/>
        </w:rPr>
        <w:t>have been investigated</w:t>
      </w:r>
      <w:proofErr w:type="gramEnd"/>
      <w:r w:rsidRPr="00CB1EA2">
        <w:rPr>
          <w:lang w:val="en-AU"/>
        </w:rPr>
        <w:t xml:space="preserve"> in healthy subjects after single intravenous infusions and after single and repeated subcutaneous injections. Pharmacokinetics in </w:t>
      </w:r>
      <w:r w:rsidRPr="00CB1EA2">
        <w:rPr>
          <w:lang w:val="en-AU"/>
        </w:rPr>
        <w:lastRenderedPageBreak/>
        <w:t>patients with aTTP were investigated upon single intravenous and repeated subcutaneous injections.</w:t>
      </w:r>
    </w:p>
    <w:p w14:paraId="4D1F92C8" w14:textId="622E3CD2" w:rsidR="003B31EC" w:rsidRPr="00CB1EA2" w:rsidRDefault="003B31EC" w:rsidP="003B31EC">
      <w:pPr>
        <w:rPr>
          <w:lang w:val="en-AU"/>
        </w:rPr>
      </w:pPr>
      <w:r w:rsidRPr="00CB1EA2">
        <w:rPr>
          <w:lang w:val="en-AU"/>
        </w:rPr>
        <w:t xml:space="preserve">Pharmacokinetics of caplacizumab appear as non-dose proportional, as characterized by target-mediated disposition. In healthy </w:t>
      </w:r>
      <w:proofErr w:type="gramStart"/>
      <w:r w:rsidRPr="00CB1EA2">
        <w:rPr>
          <w:lang w:val="en-AU"/>
        </w:rPr>
        <w:t>volunteers</w:t>
      </w:r>
      <w:proofErr w:type="gramEnd"/>
      <w:r w:rsidRPr="00CB1EA2">
        <w:rPr>
          <w:lang w:val="en-AU"/>
        </w:rPr>
        <w:t xml:space="preserve"> receiving 10 mg caplacizumab </w:t>
      </w:r>
      <w:r w:rsidR="00245969" w:rsidRPr="00CB1EA2">
        <w:rPr>
          <w:lang w:val="en-AU"/>
        </w:rPr>
        <w:t>subcutaneously</w:t>
      </w:r>
      <w:r w:rsidRPr="00CB1EA2">
        <w:rPr>
          <w:lang w:val="en-AU"/>
        </w:rPr>
        <w:t xml:space="preserve"> once daily, the maximum concentration was observed at 6-7 hours post-dose and steady-state was reached following the first administration, with minimal accumulation.</w:t>
      </w:r>
    </w:p>
    <w:p w14:paraId="4F4ED3BA" w14:textId="7891E162" w:rsidR="0024632F" w:rsidRPr="00CB1EA2" w:rsidRDefault="0024632F" w:rsidP="003B31EC">
      <w:pPr>
        <w:pStyle w:val="Heading3"/>
        <w:numPr>
          <w:ilvl w:val="0"/>
          <w:numId w:val="0"/>
        </w:numPr>
        <w:rPr>
          <w:lang w:val="en-AU"/>
        </w:rPr>
      </w:pPr>
      <w:r w:rsidRPr="00CB1EA2">
        <w:rPr>
          <w:lang w:val="en-AU"/>
        </w:rPr>
        <w:t>Absorption</w:t>
      </w:r>
    </w:p>
    <w:p w14:paraId="1E1D74F1" w14:textId="77777777" w:rsidR="003B31EC" w:rsidRPr="00CB1EA2" w:rsidRDefault="003B31EC" w:rsidP="003B31EC">
      <w:pPr>
        <w:rPr>
          <w:lang w:val="en-AU"/>
        </w:rPr>
      </w:pPr>
      <w:r w:rsidRPr="00CB1EA2">
        <w:rPr>
          <w:lang w:val="en-AU"/>
        </w:rPr>
        <w:t>After subcutaneous administration, caplacizumab is rapidly and almost completely absorbed (estimated F&gt; 0.901) in the systemic circulation.</w:t>
      </w:r>
    </w:p>
    <w:p w14:paraId="6B1C0A61" w14:textId="07C9983D" w:rsidR="0024632F" w:rsidRPr="00CB1EA2" w:rsidRDefault="0024632F" w:rsidP="003B31EC">
      <w:pPr>
        <w:pStyle w:val="Heading3"/>
        <w:numPr>
          <w:ilvl w:val="0"/>
          <w:numId w:val="0"/>
        </w:numPr>
        <w:rPr>
          <w:lang w:val="en-AU"/>
        </w:rPr>
      </w:pPr>
      <w:r w:rsidRPr="00CB1EA2">
        <w:rPr>
          <w:lang w:val="en-AU"/>
        </w:rPr>
        <w:t>Distribution</w:t>
      </w:r>
    </w:p>
    <w:p w14:paraId="2DC71A5C" w14:textId="77777777" w:rsidR="003B31EC" w:rsidRPr="00CB1EA2" w:rsidRDefault="003B31EC" w:rsidP="003B31EC">
      <w:pPr>
        <w:rPr>
          <w:lang w:val="en-AU"/>
        </w:rPr>
      </w:pPr>
      <w:r w:rsidRPr="00CB1EA2">
        <w:rPr>
          <w:lang w:val="en-AU"/>
        </w:rPr>
        <w:t xml:space="preserve">After absorption, caplacizumab binds to the target and distributes to well </w:t>
      </w:r>
      <w:proofErr w:type="gramStart"/>
      <w:r w:rsidRPr="00CB1EA2">
        <w:rPr>
          <w:lang w:val="en-AU"/>
        </w:rPr>
        <w:t>perfused</w:t>
      </w:r>
      <w:proofErr w:type="gramEnd"/>
      <w:r w:rsidRPr="00CB1EA2">
        <w:rPr>
          <w:lang w:val="en-AU"/>
        </w:rPr>
        <w:t xml:space="preserve"> organs. In patients with aTTP the central volume of distribution was estimated at 6.33 L.</w:t>
      </w:r>
    </w:p>
    <w:p w14:paraId="4A4AFD49" w14:textId="05AB386B" w:rsidR="0024632F" w:rsidRPr="00CB1EA2" w:rsidRDefault="003B31EC" w:rsidP="003B31EC">
      <w:pPr>
        <w:pStyle w:val="Heading3"/>
        <w:numPr>
          <w:ilvl w:val="0"/>
          <w:numId w:val="0"/>
        </w:numPr>
        <w:rPr>
          <w:lang w:val="en-AU"/>
        </w:rPr>
      </w:pPr>
      <w:r w:rsidRPr="00CB1EA2">
        <w:rPr>
          <w:lang w:val="en-AU"/>
        </w:rPr>
        <w:t xml:space="preserve">Biotransformation / </w:t>
      </w:r>
      <w:r w:rsidR="0024632F" w:rsidRPr="00CB1EA2">
        <w:rPr>
          <w:lang w:val="en-AU"/>
        </w:rPr>
        <w:t>E</w:t>
      </w:r>
      <w:r w:rsidRPr="00CB1EA2">
        <w:rPr>
          <w:lang w:val="en-AU"/>
        </w:rPr>
        <w:t>limination</w:t>
      </w:r>
    </w:p>
    <w:p w14:paraId="39E3A666" w14:textId="3514F1BD" w:rsidR="003B31EC" w:rsidRPr="00CB1EA2" w:rsidRDefault="003B31EC" w:rsidP="003B31EC">
      <w:pPr>
        <w:rPr>
          <w:lang w:val="en-AU"/>
        </w:rPr>
      </w:pPr>
      <w:r w:rsidRPr="00CB1EA2">
        <w:rPr>
          <w:lang w:val="en-AU"/>
        </w:rPr>
        <w:t xml:space="preserve">The pharmacokinetics of caplacizumab depend on the expression of the target von Willebrand </w:t>
      </w:r>
      <w:r w:rsidR="00285A68">
        <w:rPr>
          <w:lang w:val="en-AU"/>
        </w:rPr>
        <w:t>F</w:t>
      </w:r>
      <w:r w:rsidRPr="00CB1EA2">
        <w:rPr>
          <w:lang w:val="en-AU"/>
        </w:rPr>
        <w:t xml:space="preserve">actor. Higher levels of von Willebrand </w:t>
      </w:r>
      <w:r w:rsidR="00285A68">
        <w:rPr>
          <w:lang w:val="en-AU"/>
        </w:rPr>
        <w:t>F</w:t>
      </w:r>
      <w:r w:rsidRPr="00CB1EA2">
        <w:rPr>
          <w:lang w:val="en-AU"/>
        </w:rPr>
        <w:t>actor antigen, such as in patients with aTTP, increase the fraction of drug-target complex retained in the circulation. The t</w:t>
      </w:r>
      <w:r w:rsidRPr="00CB1EA2">
        <w:rPr>
          <w:vertAlign w:val="subscript"/>
          <w:lang w:val="en-AU"/>
        </w:rPr>
        <w:t xml:space="preserve">1/2 </w:t>
      </w:r>
      <w:r w:rsidRPr="00CB1EA2">
        <w:rPr>
          <w:lang w:val="en-AU"/>
        </w:rPr>
        <w:t>of caplacizumab is, therefore, concentration- and target level-dependent. Target-bound caplacizumab is assumed to be catabolised within the liver, whereas unbound caplacizumab is assumed to be renally cleared.</w:t>
      </w:r>
    </w:p>
    <w:p w14:paraId="6D735877" w14:textId="3E5BBC9E" w:rsidR="003B31EC" w:rsidRPr="00CB1EA2" w:rsidRDefault="003B31EC" w:rsidP="003B31EC">
      <w:pPr>
        <w:pStyle w:val="Heading3"/>
        <w:numPr>
          <w:ilvl w:val="0"/>
          <w:numId w:val="0"/>
        </w:numPr>
        <w:rPr>
          <w:lang w:val="en-AU"/>
        </w:rPr>
      </w:pPr>
      <w:r w:rsidRPr="00CB1EA2">
        <w:rPr>
          <w:lang w:val="en-AU"/>
        </w:rPr>
        <w:t>Characteristics in specific groups</w:t>
      </w:r>
    </w:p>
    <w:p w14:paraId="7D15BD05" w14:textId="77777777" w:rsidR="003B31EC" w:rsidRPr="00CB1EA2" w:rsidRDefault="003B31EC" w:rsidP="003B31EC">
      <w:pPr>
        <w:rPr>
          <w:lang w:val="en-AU"/>
        </w:rPr>
      </w:pPr>
      <w:r w:rsidRPr="00CB1EA2">
        <w:rPr>
          <w:lang w:val="en-AU"/>
        </w:rPr>
        <w:t>The pharmacokinetics of caplacizumab were determined using a population pharmacokinetic analysis on pooled pharmacokinetic data. Body weight was allometrically included in the model. Differences in the different subpopulations were investigated. In studied populations; gender, age, blood group and race did not affect the pharmacokinetics of caplacizumab.</w:t>
      </w:r>
    </w:p>
    <w:p w14:paraId="46016952" w14:textId="72DD85BC" w:rsidR="003B31EC" w:rsidRPr="00CB1EA2" w:rsidRDefault="003B31EC" w:rsidP="003B31EC">
      <w:pPr>
        <w:pStyle w:val="Heading4"/>
        <w:numPr>
          <w:ilvl w:val="0"/>
          <w:numId w:val="0"/>
        </w:numPr>
        <w:rPr>
          <w:lang w:val="en-AU"/>
        </w:rPr>
      </w:pPr>
      <w:r w:rsidRPr="00CB1EA2">
        <w:rPr>
          <w:lang w:val="en-AU"/>
        </w:rPr>
        <w:t>Renal or hepatic impairment</w:t>
      </w:r>
    </w:p>
    <w:p w14:paraId="3F32360C" w14:textId="77777777" w:rsidR="00194D6E" w:rsidRPr="00CB1EA2" w:rsidRDefault="003B31EC" w:rsidP="003B31EC">
      <w:pPr>
        <w:rPr>
          <w:lang w:val="en-AU"/>
        </w:rPr>
      </w:pPr>
      <w:r w:rsidRPr="00CB1EA2">
        <w:rPr>
          <w:lang w:val="en-AU"/>
        </w:rPr>
        <w:t xml:space="preserve">No formal study of the effect of hepatic or renal impairment on the pharmacokinetics of caplacizumab </w:t>
      </w:r>
      <w:proofErr w:type="gramStart"/>
      <w:r w:rsidRPr="00CB1EA2">
        <w:rPr>
          <w:lang w:val="en-AU"/>
        </w:rPr>
        <w:t>has been conducted</w:t>
      </w:r>
      <w:proofErr w:type="gramEnd"/>
      <w:r w:rsidRPr="00CB1EA2">
        <w:rPr>
          <w:lang w:val="en-AU"/>
        </w:rPr>
        <w:t>. In the population PK/PD model, renal function (CRCL) had a statistically significant effect resulting in limited increase in predicted exposure (</w:t>
      </w:r>
      <w:proofErr w:type="spellStart"/>
      <w:r w:rsidRPr="00CB1EA2">
        <w:rPr>
          <w:lang w:val="en-AU"/>
        </w:rPr>
        <w:t>AUCss</w:t>
      </w:r>
      <w:proofErr w:type="spellEnd"/>
      <w:r w:rsidRPr="00CB1EA2">
        <w:rPr>
          <w:lang w:val="en-AU"/>
        </w:rPr>
        <w:t>) in severe renal impairment. In the clinical studies of patients with TTP, those with renal impairment did not show additional risk of adverse events.</w:t>
      </w:r>
    </w:p>
    <w:p w14:paraId="04503A3D" w14:textId="77F403B2" w:rsidR="001A3992" w:rsidRPr="00CB1EA2" w:rsidRDefault="001A3992" w:rsidP="003B31EC">
      <w:pPr>
        <w:pStyle w:val="Heading2"/>
        <w:rPr>
          <w:lang w:val="en-AU"/>
        </w:rPr>
      </w:pPr>
      <w:bookmarkStart w:id="7" w:name="_Ref525054132"/>
      <w:r w:rsidRPr="00CB1EA2">
        <w:rPr>
          <w:lang w:val="en-AU"/>
        </w:rPr>
        <w:lastRenderedPageBreak/>
        <w:t>Preclinical safety data</w:t>
      </w:r>
      <w:bookmarkEnd w:id="7"/>
      <w:r w:rsidR="005E54E8" w:rsidRPr="00CB1EA2">
        <w:rPr>
          <w:lang w:val="en-AU"/>
        </w:rPr>
        <w:fldChar w:fldCharType="begin"/>
      </w:r>
      <w:r w:rsidR="005E54E8" w:rsidRPr="00CB1EA2">
        <w:rPr>
          <w:lang w:val="en-AU"/>
        </w:rPr>
        <w:instrText xml:space="preserve"> DOCVARIABLE VAULT_ND_d09e8c39-da24-400e-9a5c-358d56084b09 \* MERGEFORMAT </w:instrText>
      </w:r>
      <w:r w:rsidR="005E54E8" w:rsidRPr="00CB1EA2">
        <w:rPr>
          <w:lang w:val="en-AU"/>
        </w:rPr>
        <w:fldChar w:fldCharType="separate"/>
      </w:r>
      <w:r w:rsidR="007F0F04">
        <w:rPr>
          <w:lang w:val="en-AU"/>
        </w:rPr>
        <w:t xml:space="preserve"> </w:t>
      </w:r>
      <w:r w:rsidR="005E54E8" w:rsidRPr="00CB1EA2">
        <w:rPr>
          <w:lang w:val="en-AU"/>
        </w:rPr>
        <w:fldChar w:fldCharType="end"/>
      </w:r>
    </w:p>
    <w:p w14:paraId="679C9D42" w14:textId="777DE6DF" w:rsidR="001A3992" w:rsidRPr="00CB1EA2" w:rsidRDefault="001A3992" w:rsidP="00750F22">
      <w:pPr>
        <w:pStyle w:val="Heading3"/>
        <w:numPr>
          <w:ilvl w:val="0"/>
          <w:numId w:val="0"/>
        </w:numPr>
        <w:rPr>
          <w:lang w:val="en-AU"/>
        </w:rPr>
      </w:pPr>
      <w:proofErr w:type="spellStart"/>
      <w:r w:rsidRPr="00CB1EA2">
        <w:rPr>
          <w:lang w:val="en-AU"/>
        </w:rPr>
        <w:t>Genotoxicity</w:t>
      </w:r>
      <w:proofErr w:type="spellEnd"/>
    </w:p>
    <w:p w14:paraId="7E49C9A9" w14:textId="1CE7643E" w:rsidR="00BC364A" w:rsidRPr="00CB1EA2" w:rsidRDefault="00750F22" w:rsidP="00BC364A">
      <w:pPr>
        <w:spacing w:before="120"/>
        <w:rPr>
          <w:lang w:val="en-AU"/>
        </w:rPr>
      </w:pPr>
      <w:r w:rsidRPr="00CB1EA2">
        <w:rPr>
          <w:lang w:val="en-AU"/>
        </w:rPr>
        <w:t xml:space="preserve">No studies </w:t>
      </w:r>
      <w:proofErr w:type="gramStart"/>
      <w:r w:rsidRPr="00CB1EA2">
        <w:rPr>
          <w:lang w:val="en-AU"/>
        </w:rPr>
        <w:t>have been performed</w:t>
      </w:r>
      <w:proofErr w:type="gramEnd"/>
      <w:r w:rsidRPr="00CB1EA2">
        <w:rPr>
          <w:lang w:val="en-AU"/>
        </w:rPr>
        <w:t xml:space="preserve"> to evaluate the </w:t>
      </w:r>
      <w:r w:rsidR="007203DF" w:rsidRPr="00CB1EA2">
        <w:rPr>
          <w:lang w:val="en-AU"/>
        </w:rPr>
        <w:t>genotoxic</w:t>
      </w:r>
      <w:r w:rsidRPr="00CB1EA2">
        <w:rPr>
          <w:lang w:val="en-AU"/>
        </w:rPr>
        <w:t xml:space="preserve"> potential of caplacizumab</w:t>
      </w:r>
      <w:r w:rsidR="0006616F" w:rsidRPr="00CB1EA2">
        <w:rPr>
          <w:lang w:val="en-AU"/>
        </w:rPr>
        <w:t>.</w:t>
      </w:r>
      <w:r w:rsidR="007203DF" w:rsidRPr="00CB1EA2">
        <w:rPr>
          <w:lang w:val="en-AU"/>
        </w:rPr>
        <w:t xml:space="preserve"> As a large protein molecule, caplacizumab is not expected to interact with DNA or other chromosomal material.</w:t>
      </w:r>
    </w:p>
    <w:p w14:paraId="6FCA4CAE" w14:textId="67E3031D" w:rsidR="001A3992" w:rsidRPr="00CB1EA2" w:rsidRDefault="001A3992" w:rsidP="00750F22">
      <w:pPr>
        <w:pStyle w:val="Heading3"/>
        <w:numPr>
          <w:ilvl w:val="0"/>
          <w:numId w:val="0"/>
        </w:numPr>
        <w:rPr>
          <w:lang w:val="en-AU"/>
        </w:rPr>
      </w:pPr>
      <w:r w:rsidRPr="00CB1EA2">
        <w:rPr>
          <w:lang w:val="en-AU"/>
        </w:rPr>
        <w:t>Carcinogenicity</w:t>
      </w:r>
    </w:p>
    <w:p w14:paraId="3EECABD1" w14:textId="1D49F01F" w:rsidR="00750F22" w:rsidRPr="00CB1EA2" w:rsidRDefault="007203DF" w:rsidP="0006616F">
      <w:pPr>
        <w:spacing w:before="120"/>
        <w:rPr>
          <w:lang w:val="en-AU"/>
        </w:rPr>
      </w:pPr>
      <w:r w:rsidRPr="00CB1EA2">
        <w:rPr>
          <w:lang w:val="en-AU"/>
        </w:rPr>
        <w:t xml:space="preserve">No carcinogenicity studies </w:t>
      </w:r>
      <w:proofErr w:type="gramStart"/>
      <w:r w:rsidRPr="00CB1EA2">
        <w:rPr>
          <w:lang w:val="en-AU"/>
        </w:rPr>
        <w:t>have been conducted</w:t>
      </w:r>
      <w:proofErr w:type="gramEnd"/>
      <w:r w:rsidRPr="00CB1EA2">
        <w:rPr>
          <w:lang w:val="en-AU"/>
        </w:rPr>
        <w:t xml:space="preserve"> with caplacizumab. Based </w:t>
      </w:r>
      <w:proofErr w:type="gramStart"/>
      <w:r w:rsidRPr="00CB1EA2">
        <w:rPr>
          <w:lang w:val="en-AU"/>
        </w:rPr>
        <w:t>on findings from general toxicity studies with the drug in animals</w:t>
      </w:r>
      <w:proofErr w:type="gramEnd"/>
      <w:r w:rsidRPr="00CB1EA2">
        <w:rPr>
          <w:lang w:val="en-AU"/>
        </w:rPr>
        <w:t xml:space="preserve"> and considering its mechanism of action, no particular concern for carcinogenicity in patients treated with Cablivi is held.</w:t>
      </w:r>
    </w:p>
    <w:p w14:paraId="18884D77" w14:textId="238B1FE6" w:rsidR="001A3992" w:rsidRPr="00CB1EA2" w:rsidRDefault="001A3992" w:rsidP="0069033B">
      <w:pPr>
        <w:pStyle w:val="Heading1"/>
        <w:pageBreakBefore w:val="0"/>
        <w:rPr>
          <w:lang w:val="en-AU"/>
        </w:rPr>
      </w:pPr>
      <w:r w:rsidRPr="00CB1EA2">
        <w:rPr>
          <w:lang w:val="en-AU"/>
        </w:rPr>
        <w:t>Pharmaceutical particulars</w:t>
      </w:r>
    </w:p>
    <w:p w14:paraId="40108E38" w14:textId="1EED3A80" w:rsidR="001A3992" w:rsidRPr="00CB1EA2" w:rsidRDefault="001A3992" w:rsidP="00750F22">
      <w:pPr>
        <w:pStyle w:val="Heading2"/>
        <w:rPr>
          <w:lang w:val="en-AU"/>
        </w:rPr>
      </w:pPr>
      <w:bookmarkStart w:id="8" w:name="_Ref525053360"/>
      <w:r w:rsidRPr="00CB1EA2">
        <w:rPr>
          <w:lang w:val="en-AU"/>
        </w:rPr>
        <w:t>List of excipients</w:t>
      </w:r>
      <w:bookmarkEnd w:id="8"/>
    </w:p>
    <w:p w14:paraId="562CD8D4" w14:textId="33422FB2" w:rsidR="00750F22" w:rsidRPr="00CB1EA2" w:rsidRDefault="00750F22" w:rsidP="00750F22">
      <w:pPr>
        <w:pStyle w:val="Heading3"/>
        <w:numPr>
          <w:ilvl w:val="0"/>
          <w:numId w:val="0"/>
        </w:numPr>
        <w:rPr>
          <w:lang w:val="en-AU"/>
        </w:rPr>
      </w:pPr>
      <w:r w:rsidRPr="00CB1EA2">
        <w:rPr>
          <w:lang w:val="en-AU"/>
        </w:rPr>
        <w:t>Powder</w:t>
      </w:r>
    </w:p>
    <w:p w14:paraId="118718BB" w14:textId="77777777" w:rsidR="00750F22" w:rsidRPr="00CB1EA2" w:rsidRDefault="00750F22" w:rsidP="00750F22">
      <w:pPr>
        <w:rPr>
          <w:lang w:val="en-AU"/>
        </w:rPr>
      </w:pPr>
      <w:r w:rsidRPr="00CB1EA2">
        <w:rPr>
          <w:lang w:val="en-AU"/>
        </w:rPr>
        <w:t>Sucrose</w:t>
      </w:r>
    </w:p>
    <w:p w14:paraId="06CC7E00" w14:textId="049EF674" w:rsidR="00750F22" w:rsidRPr="00CB1EA2" w:rsidRDefault="00614370" w:rsidP="00750F22">
      <w:pPr>
        <w:rPr>
          <w:lang w:val="en-AU"/>
        </w:rPr>
      </w:pPr>
      <w:r>
        <w:rPr>
          <w:lang w:val="en-AU"/>
        </w:rPr>
        <w:t>Citric acid</w:t>
      </w:r>
    </w:p>
    <w:p w14:paraId="6E0A8516" w14:textId="29BDCEB9" w:rsidR="00750F22" w:rsidRPr="00CB1EA2" w:rsidRDefault="000B723D" w:rsidP="00750F22">
      <w:pPr>
        <w:rPr>
          <w:lang w:val="en-AU"/>
        </w:rPr>
      </w:pPr>
      <w:r w:rsidRPr="00CB1EA2">
        <w:rPr>
          <w:lang w:val="en-AU"/>
        </w:rPr>
        <w:t>S</w:t>
      </w:r>
      <w:r w:rsidR="00750F22" w:rsidRPr="00CB1EA2">
        <w:rPr>
          <w:lang w:val="en-AU"/>
        </w:rPr>
        <w:t>odium citrate dihydrate</w:t>
      </w:r>
    </w:p>
    <w:p w14:paraId="24A09AF3" w14:textId="77777777" w:rsidR="00750F22" w:rsidRPr="00CB1EA2" w:rsidRDefault="00750F22" w:rsidP="00750F22">
      <w:pPr>
        <w:rPr>
          <w:lang w:val="en-AU"/>
        </w:rPr>
      </w:pPr>
      <w:r w:rsidRPr="00CB1EA2">
        <w:rPr>
          <w:lang w:val="en-AU"/>
        </w:rPr>
        <w:t>Polysorbate 80</w:t>
      </w:r>
    </w:p>
    <w:p w14:paraId="40651CCA" w14:textId="275C48CD" w:rsidR="00750F22" w:rsidRPr="00CB1EA2" w:rsidRDefault="00750F22" w:rsidP="00750F22">
      <w:pPr>
        <w:pStyle w:val="Heading3"/>
        <w:numPr>
          <w:ilvl w:val="0"/>
          <w:numId w:val="0"/>
        </w:numPr>
        <w:rPr>
          <w:lang w:val="en-AU"/>
        </w:rPr>
      </w:pPr>
      <w:r w:rsidRPr="00CB1EA2">
        <w:rPr>
          <w:lang w:val="en-AU"/>
        </w:rPr>
        <w:t>Solvent</w:t>
      </w:r>
    </w:p>
    <w:p w14:paraId="020E5A49" w14:textId="77777777" w:rsidR="00466BF1" w:rsidRPr="00CB1EA2" w:rsidRDefault="00750F22" w:rsidP="00750F22">
      <w:pPr>
        <w:rPr>
          <w:lang w:val="en-AU"/>
        </w:rPr>
      </w:pPr>
      <w:r w:rsidRPr="00CB1EA2">
        <w:rPr>
          <w:lang w:val="en-AU"/>
        </w:rPr>
        <w:t>Water for injections</w:t>
      </w:r>
    </w:p>
    <w:p w14:paraId="7BAA6162" w14:textId="5B92CA56" w:rsidR="001A3992" w:rsidRPr="00CB1EA2" w:rsidRDefault="001A3992" w:rsidP="00750F22">
      <w:pPr>
        <w:pStyle w:val="Heading2"/>
        <w:rPr>
          <w:lang w:val="en-AU"/>
        </w:rPr>
      </w:pPr>
      <w:r w:rsidRPr="00CB1EA2">
        <w:rPr>
          <w:lang w:val="en-AU"/>
        </w:rPr>
        <w:t>Incompatibilities</w:t>
      </w:r>
    </w:p>
    <w:p w14:paraId="5266D5A7" w14:textId="77777777" w:rsidR="00750F22" w:rsidRPr="00CB1EA2" w:rsidRDefault="00750F22" w:rsidP="00750F22">
      <w:pPr>
        <w:rPr>
          <w:lang w:val="en-AU"/>
        </w:rPr>
      </w:pPr>
      <w:r w:rsidRPr="00CB1EA2">
        <w:rPr>
          <w:lang w:val="en-AU"/>
        </w:rPr>
        <w:t xml:space="preserve">Incompatibilities </w:t>
      </w:r>
      <w:proofErr w:type="gramStart"/>
      <w:r w:rsidRPr="00CB1EA2">
        <w:rPr>
          <w:lang w:val="en-AU"/>
        </w:rPr>
        <w:t>were either not assessed or not identified as part of the registration of this medicine</w:t>
      </w:r>
      <w:proofErr w:type="gramEnd"/>
      <w:r w:rsidRPr="00CB1EA2">
        <w:rPr>
          <w:lang w:val="en-AU"/>
        </w:rPr>
        <w:t>.</w:t>
      </w:r>
    </w:p>
    <w:p w14:paraId="4E1F4B8C" w14:textId="08B8C513" w:rsidR="001A3992" w:rsidRPr="00CB1EA2" w:rsidRDefault="001A3992" w:rsidP="00750F22">
      <w:pPr>
        <w:pStyle w:val="Heading2"/>
        <w:rPr>
          <w:lang w:val="en-AU"/>
        </w:rPr>
      </w:pPr>
      <w:bookmarkStart w:id="9" w:name="_Ref525053970"/>
      <w:r w:rsidRPr="00CB1EA2">
        <w:rPr>
          <w:lang w:val="en-AU"/>
        </w:rPr>
        <w:t>Shelf life</w:t>
      </w:r>
      <w:bookmarkEnd w:id="9"/>
    </w:p>
    <w:p w14:paraId="21A21892" w14:textId="77777777" w:rsidR="00BA1ABB" w:rsidRPr="00CB1EA2" w:rsidRDefault="0024632F" w:rsidP="00750F22">
      <w:pPr>
        <w:rPr>
          <w:color w:val="auto"/>
          <w:lang w:val="en-AU"/>
        </w:rPr>
      </w:pPr>
      <w:r w:rsidRPr="00CB1EA2">
        <w:rPr>
          <w:color w:val="auto"/>
          <w:lang w:val="en-AU"/>
        </w:rPr>
        <w:t xml:space="preserve">In Australia, information on the shelf life </w:t>
      </w:r>
      <w:proofErr w:type="gramStart"/>
      <w:r w:rsidRPr="00CB1EA2">
        <w:rPr>
          <w:color w:val="auto"/>
          <w:lang w:val="en-AU"/>
        </w:rPr>
        <w:t>can be found</w:t>
      </w:r>
      <w:proofErr w:type="gramEnd"/>
      <w:r w:rsidRPr="00CB1EA2">
        <w:rPr>
          <w:color w:val="auto"/>
          <w:lang w:val="en-AU"/>
        </w:rPr>
        <w:t xml:space="preserve"> on the public summary of the Australian Register of Therapeutic Goods (ARTG). The expiry date can be found on the packaging.</w:t>
      </w:r>
    </w:p>
    <w:p w14:paraId="180F0E50" w14:textId="024F49DB" w:rsidR="00750F22" w:rsidRPr="00CB1EA2" w:rsidRDefault="00750F22" w:rsidP="00750F22">
      <w:pPr>
        <w:pStyle w:val="Heading3"/>
        <w:numPr>
          <w:ilvl w:val="0"/>
          <w:numId w:val="0"/>
        </w:numPr>
        <w:rPr>
          <w:lang w:val="en-AU"/>
        </w:rPr>
      </w:pPr>
      <w:r w:rsidRPr="00CB1EA2">
        <w:rPr>
          <w:lang w:val="en-AU"/>
        </w:rPr>
        <w:lastRenderedPageBreak/>
        <w:t>Reconstituted solution</w:t>
      </w:r>
    </w:p>
    <w:p w14:paraId="14A4D347" w14:textId="77777777" w:rsidR="00750F22" w:rsidRPr="00CB1EA2" w:rsidRDefault="00750F22" w:rsidP="00750F22">
      <w:pPr>
        <w:rPr>
          <w:lang w:val="en-AU"/>
        </w:rPr>
      </w:pPr>
      <w:r w:rsidRPr="00CB1EA2">
        <w:rPr>
          <w:lang w:val="en-AU"/>
        </w:rPr>
        <w:t xml:space="preserve">Chemical and physical in-use stability </w:t>
      </w:r>
      <w:proofErr w:type="gramStart"/>
      <w:r w:rsidRPr="00CB1EA2">
        <w:rPr>
          <w:lang w:val="en-AU"/>
        </w:rPr>
        <w:t>has been demonstrated</w:t>
      </w:r>
      <w:proofErr w:type="gramEnd"/>
      <w:r w:rsidRPr="00CB1EA2">
        <w:rPr>
          <w:lang w:val="en-AU"/>
        </w:rPr>
        <w:t xml:space="preserve"> for 4 hours at 25°C.</w:t>
      </w:r>
    </w:p>
    <w:p w14:paraId="124A17D3" w14:textId="77777777" w:rsidR="00750F22" w:rsidRPr="00CB1EA2" w:rsidRDefault="00750F22" w:rsidP="00750F22">
      <w:pPr>
        <w:rPr>
          <w:lang w:val="en-AU"/>
        </w:rPr>
      </w:pPr>
      <w:r w:rsidRPr="00CB1EA2">
        <w:rPr>
          <w:lang w:val="en-AU"/>
        </w:rPr>
        <w:t>From a microbiological point of view, unless the method of reconstitution precludes the risk of microbial contamination, the product should be used immediately.</w:t>
      </w:r>
    </w:p>
    <w:p w14:paraId="44EC2EC4" w14:textId="30C3BD73" w:rsidR="001A3992" w:rsidRPr="00CB1EA2" w:rsidRDefault="001A3992" w:rsidP="00750F22">
      <w:pPr>
        <w:pStyle w:val="Heading2"/>
        <w:rPr>
          <w:lang w:val="en-AU"/>
        </w:rPr>
      </w:pPr>
      <w:r w:rsidRPr="00CB1EA2">
        <w:rPr>
          <w:lang w:val="en-AU"/>
        </w:rPr>
        <w:t>Special precautions for storage</w:t>
      </w:r>
    </w:p>
    <w:p w14:paraId="5DB3D5E4" w14:textId="5AC89E24" w:rsidR="000E2BF0" w:rsidRPr="00CB1EA2" w:rsidRDefault="000E2BF0" w:rsidP="00750F22">
      <w:pPr>
        <w:rPr>
          <w:lang w:val="en-AU"/>
        </w:rPr>
      </w:pPr>
      <w:r w:rsidRPr="00CB1EA2">
        <w:rPr>
          <w:lang w:val="en-AU"/>
        </w:rPr>
        <w:t>Keep Cablivi in the refrigerator at 2°C to 8°C.</w:t>
      </w:r>
    </w:p>
    <w:p w14:paraId="5D67B8B2" w14:textId="7FC13943" w:rsidR="000E2BF0" w:rsidRPr="00CB1EA2" w:rsidRDefault="000E2BF0" w:rsidP="00750F22">
      <w:pPr>
        <w:rPr>
          <w:lang w:val="en-AU"/>
        </w:rPr>
      </w:pPr>
      <w:r w:rsidRPr="00CB1EA2">
        <w:rPr>
          <w:lang w:val="en-AU"/>
        </w:rPr>
        <w:t xml:space="preserve">If necessary, Cablivi may be stored at room temperature up to 25°C for a single period of up to 2 months. Once the product has been taken out of the refrigerator the product should be discarded </w:t>
      </w:r>
      <w:r w:rsidR="00A13495" w:rsidRPr="00CB1EA2">
        <w:rPr>
          <w:lang w:val="en-AU"/>
        </w:rPr>
        <w:t xml:space="preserve">or used, but </w:t>
      </w:r>
      <w:r w:rsidRPr="00CB1EA2">
        <w:rPr>
          <w:lang w:val="en-AU"/>
        </w:rPr>
        <w:t>must not be returned to the refrigerator.</w:t>
      </w:r>
    </w:p>
    <w:p w14:paraId="5ADAAAD8" w14:textId="3AB02DA6" w:rsidR="00750F22" w:rsidRPr="00CB1EA2" w:rsidRDefault="00750F22" w:rsidP="00750F22">
      <w:pPr>
        <w:rPr>
          <w:lang w:val="en-AU"/>
        </w:rPr>
      </w:pPr>
      <w:r w:rsidRPr="00CB1EA2">
        <w:rPr>
          <w:lang w:val="en-AU"/>
        </w:rPr>
        <w:t>For storage conditions of the reconstitut</w:t>
      </w:r>
      <w:r w:rsidR="00735B15" w:rsidRPr="00CB1EA2">
        <w:rPr>
          <w:lang w:val="en-AU"/>
        </w:rPr>
        <w:t xml:space="preserve">ed medicinal product, see Section </w:t>
      </w:r>
      <w:r w:rsidR="00735B15" w:rsidRPr="00CB1EA2">
        <w:rPr>
          <w:color w:val="0000FF"/>
          <w:lang w:val="en-AU"/>
        </w:rPr>
        <w:fldChar w:fldCharType="begin"/>
      </w:r>
      <w:r w:rsidR="00735B15" w:rsidRPr="00CB1EA2">
        <w:rPr>
          <w:color w:val="0000FF"/>
          <w:lang w:val="en-AU"/>
        </w:rPr>
        <w:instrText xml:space="preserve"> REF _Ref525053970 \r \h  \* MERGEFORMAT </w:instrText>
      </w:r>
      <w:r w:rsidR="00735B15" w:rsidRPr="00CB1EA2">
        <w:rPr>
          <w:color w:val="0000FF"/>
          <w:lang w:val="en-AU"/>
        </w:rPr>
      </w:r>
      <w:r w:rsidR="00735B15" w:rsidRPr="00CB1EA2">
        <w:rPr>
          <w:color w:val="0000FF"/>
          <w:lang w:val="en-AU"/>
        </w:rPr>
        <w:fldChar w:fldCharType="separate"/>
      </w:r>
      <w:r w:rsidR="007F0F04">
        <w:rPr>
          <w:color w:val="0000FF"/>
          <w:lang w:val="en-AU"/>
        </w:rPr>
        <w:t>6.3</w:t>
      </w:r>
      <w:r w:rsidR="00735B15" w:rsidRPr="00CB1EA2">
        <w:rPr>
          <w:color w:val="0000FF"/>
          <w:lang w:val="en-AU"/>
        </w:rPr>
        <w:fldChar w:fldCharType="end"/>
      </w:r>
      <w:r w:rsidRPr="00CB1EA2">
        <w:rPr>
          <w:lang w:val="en-AU"/>
        </w:rPr>
        <w:t>.</w:t>
      </w:r>
    </w:p>
    <w:p w14:paraId="11D8FEE2" w14:textId="5DB5ED56" w:rsidR="001A3992" w:rsidRPr="00CB1EA2" w:rsidRDefault="001A3992" w:rsidP="00750F22">
      <w:pPr>
        <w:pStyle w:val="Heading2"/>
        <w:rPr>
          <w:lang w:val="en-AU"/>
        </w:rPr>
      </w:pPr>
      <w:r w:rsidRPr="00CB1EA2">
        <w:rPr>
          <w:lang w:val="en-AU"/>
        </w:rPr>
        <w:t>Nature and contents of container</w:t>
      </w:r>
    </w:p>
    <w:p w14:paraId="4CB6D27B" w14:textId="3FDAEFC0" w:rsidR="00750F22" w:rsidRPr="00CB1EA2" w:rsidRDefault="00750F22" w:rsidP="00750F22">
      <w:pPr>
        <w:pStyle w:val="Heading3"/>
        <w:numPr>
          <w:ilvl w:val="0"/>
          <w:numId w:val="0"/>
        </w:numPr>
        <w:rPr>
          <w:snapToGrid w:val="0"/>
          <w:lang w:val="en-AU"/>
        </w:rPr>
      </w:pPr>
      <w:r w:rsidRPr="00CB1EA2">
        <w:rPr>
          <w:snapToGrid w:val="0"/>
          <w:lang w:val="en-AU"/>
        </w:rPr>
        <w:t>Powder</w:t>
      </w:r>
    </w:p>
    <w:p w14:paraId="1CB5A33C" w14:textId="77777777" w:rsidR="00750F22" w:rsidRPr="00CB1EA2" w:rsidRDefault="00750F22" w:rsidP="00750F22">
      <w:pPr>
        <w:rPr>
          <w:snapToGrid w:val="0"/>
          <w:lang w:val="en-AU"/>
        </w:rPr>
      </w:pPr>
      <w:r w:rsidRPr="00CB1EA2">
        <w:rPr>
          <w:snapToGrid w:val="0"/>
          <w:lang w:val="en-AU"/>
        </w:rPr>
        <w:t>Vial (type I glass) with a stopper (butyl rubber), a seal (polypropylene) and a cap (polypropylene), containing 10 mg of caplacizumab.</w:t>
      </w:r>
    </w:p>
    <w:p w14:paraId="7F43F382" w14:textId="6C93B3F4" w:rsidR="00750F22" w:rsidRPr="00CB1EA2" w:rsidRDefault="00750F22" w:rsidP="00750F22">
      <w:pPr>
        <w:pStyle w:val="Heading3"/>
        <w:numPr>
          <w:ilvl w:val="0"/>
          <w:numId w:val="0"/>
        </w:numPr>
        <w:rPr>
          <w:snapToGrid w:val="0"/>
          <w:lang w:val="en-AU"/>
        </w:rPr>
      </w:pPr>
      <w:r w:rsidRPr="00CB1EA2">
        <w:rPr>
          <w:snapToGrid w:val="0"/>
          <w:lang w:val="en-AU"/>
        </w:rPr>
        <w:t>Solvent</w:t>
      </w:r>
    </w:p>
    <w:p w14:paraId="6CE1C3B3" w14:textId="77777777" w:rsidR="00750F22" w:rsidRPr="00CB1EA2" w:rsidRDefault="00750F22" w:rsidP="00750F22">
      <w:pPr>
        <w:rPr>
          <w:snapToGrid w:val="0"/>
          <w:lang w:val="en-AU"/>
        </w:rPr>
      </w:pPr>
      <w:r w:rsidRPr="00CB1EA2">
        <w:rPr>
          <w:snapToGrid w:val="0"/>
          <w:lang w:val="en-AU"/>
        </w:rPr>
        <w:t xml:space="preserve">Pre-filled syringe (type I glass cartridge closed with a </w:t>
      </w:r>
      <w:proofErr w:type="spellStart"/>
      <w:r w:rsidRPr="00CB1EA2">
        <w:rPr>
          <w:snapToGrid w:val="0"/>
          <w:lang w:val="en-AU"/>
        </w:rPr>
        <w:t>bromobutyl</w:t>
      </w:r>
      <w:proofErr w:type="spellEnd"/>
      <w:r w:rsidRPr="00CB1EA2">
        <w:rPr>
          <w:snapToGrid w:val="0"/>
          <w:lang w:val="en-AU"/>
        </w:rPr>
        <w:t xml:space="preserve"> rubber stopper) with 1 mL of water for injections.</w:t>
      </w:r>
    </w:p>
    <w:p w14:paraId="2C1DA570" w14:textId="13A67985" w:rsidR="00750F22" w:rsidRPr="00CB1EA2" w:rsidRDefault="00750F22" w:rsidP="00750F22">
      <w:pPr>
        <w:pStyle w:val="Heading3"/>
        <w:numPr>
          <w:ilvl w:val="0"/>
          <w:numId w:val="0"/>
        </w:numPr>
        <w:rPr>
          <w:snapToGrid w:val="0"/>
          <w:lang w:val="en-AU"/>
        </w:rPr>
      </w:pPr>
      <w:r w:rsidRPr="00CB1EA2">
        <w:rPr>
          <w:snapToGrid w:val="0"/>
          <w:lang w:val="en-AU"/>
        </w:rPr>
        <w:t>Pack size</w:t>
      </w:r>
    </w:p>
    <w:p w14:paraId="330D3136" w14:textId="1A207550" w:rsidR="00D52DEA" w:rsidRPr="00CB1EA2" w:rsidRDefault="00D52DEA" w:rsidP="00D52DEA">
      <w:pPr>
        <w:rPr>
          <w:lang w:val="en-AU"/>
        </w:rPr>
      </w:pPr>
      <w:r w:rsidRPr="00CB1EA2">
        <w:rPr>
          <w:lang w:val="en-AU"/>
        </w:rPr>
        <w:t>Single pack containing 1 vial with powder, 1 pre-filled syringe with solvent, 1 vial adapter, 1 hypodermic needle (30 gauge) and 2 alcohol swabs.</w:t>
      </w:r>
    </w:p>
    <w:p w14:paraId="21A0335B" w14:textId="39C41BAA" w:rsidR="00D52DEA" w:rsidRPr="00CB1EA2" w:rsidRDefault="00D52DEA" w:rsidP="00D52DEA">
      <w:pPr>
        <w:rPr>
          <w:highlight w:val="yellow"/>
          <w:lang w:val="en-AU"/>
        </w:rPr>
      </w:pPr>
      <w:r w:rsidRPr="00CB1EA2">
        <w:rPr>
          <w:lang w:val="en-AU"/>
        </w:rPr>
        <w:t>Multidose pack containing 7 vials with powder, 7 pre-filled syringes with solvent, 7 vial adapters, 7 hypodermic needles (30 gauge) and 14 alcohol swabs.</w:t>
      </w:r>
    </w:p>
    <w:p w14:paraId="382A2AC2" w14:textId="412AA36B" w:rsidR="00BE6931" w:rsidRPr="00CB1EA2" w:rsidRDefault="00BE6931" w:rsidP="00DD18DF">
      <w:pPr>
        <w:pStyle w:val="ListBulletLevel1"/>
        <w:numPr>
          <w:ilvl w:val="0"/>
          <w:numId w:val="0"/>
        </w:numPr>
        <w:rPr>
          <w:snapToGrid w:val="0"/>
          <w:lang w:val="en-AU"/>
        </w:rPr>
      </w:pPr>
      <w:r w:rsidRPr="00CB1EA2">
        <w:rPr>
          <w:lang w:val="en-AU"/>
        </w:rPr>
        <w:t>Not all pack sizes may be marketed.</w:t>
      </w:r>
    </w:p>
    <w:p w14:paraId="7B2C3AEA" w14:textId="4F6DA96F" w:rsidR="001A3992" w:rsidRPr="00CB1EA2" w:rsidRDefault="001A3992" w:rsidP="0073140E">
      <w:pPr>
        <w:pStyle w:val="Heading2"/>
        <w:rPr>
          <w:lang w:val="en-AU"/>
        </w:rPr>
      </w:pPr>
      <w:r w:rsidRPr="00CB1EA2">
        <w:rPr>
          <w:lang w:val="en-AU"/>
        </w:rPr>
        <w:lastRenderedPageBreak/>
        <w:t>Special precautions for disposal</w:t>
      </w:r>
    </w:p>
    <w:p w14:paraId="6ADD2E86" w14:textId="21B11448" w:rsidR="0073140E" w:rsidRPr="00CB1EA2" w:rsidRDefault="0073140E" w:rsidP="0073140E">
      <w:pPr>
        <w:rPr>
          <w:lang w:val="en-AU"/>
        </w:rPr>
      </w:pPr>
      <w:r w:rsidRPr="00CB1EA2">
        <w:rPr>
          <w:lang w:val="en-AU"/>
        </w:rPr>
        <w:t>Any unused medicine should be disposed of by taking to your local pharmacy. The syringe and needle cap should be dis</w:t>
      </w:r>
      <w:r w:rsidR="00614370">
        <w:rPr>
          <w:lang w:val="en-AU"/>
        </w:rPr>
        <w:t>posed of in a sharps container.</w:t>
      </w:r>
    </w:p>
    <w:p w14:paraId="424EACE9" w14:textId="0660AE4A" w:rsidR="001A3992" w:rsidRPr="00CB1EA2" w:rsidRDefault="001A3992" w:rsidP="0073140E">
      <w:pPr>
        <w:pStyle w:val="Heading2"/>
        <w:rPr>
          <w:lang w:val="en-AU"/>
        </w:rPr>
      </w:pPr>
      <w:r w:rsidRPr="00CB1EA2">
        <w:rPr>
          <w:lang w:val="en-AU"/>
        </w:rPr>
        <w:t>Physicochemical properties</w:t>
      </w:r>
    </w:p>
    <w:p w14:paraId="5F4C4594" w14:textId="645E5537" w:rsidR="0024632F" w:rsidRPr="00CB1EA2" w:rsidRDefault="0024632F" w:rsidP="00E67B48">
      <w:pPr>
        <w:pStyle w:val="Heading3"/>
        <w:numPr>
          <w:ilvl w:val="0"/>
          <w:numId w:val="0"/>
        </w:numPr>
        <w:rPr>
          <w:lang w:val="en-AU"/>
        </w:rPr>
      </w:pPr>
      <w:r w:rsidRPr="00CB1EA2">
        <w:rPr>
          <w:lang w:val="en-AU"/>
        </w:rPr>
        <w:t>Chemical structure</w:t>
      </w:r>
    </w:p>
    <w:p w14:paraId="0C161DEE" w14:textId="77777777" w:rsidR="003B77B7" w:rsidRPr="00CB1EA2" w:rsidRDefault="003B77B7" w:rsidP="0089077B">
      <w:pPr>
        <w:rPr>
          <w:color w:val="auto"/>
          <w:lang w:val="en-AU"/>
        </w:rPr>
      </w:pPr>
      <w:r w:rsidRPr="00CB1EA2">
        <w:rPr>
          <w:color w:val="auto"/>
          <w:lang w:val="en-AU"/>
        </w:rPr>
        <w:t xml:space="preserve">ALX-0081 is a sequence optimized bivalent Nanobody produced in </w:t>
      </w:r>
      <w:r w:rsidRPr="00CB1EA2">
        <w:rPr>
          <w:i/>
          <w:color w:val="auto"/>
          <w:lang w:val="en-AU"/>
        </w:rPr>
        <w:t>E. coli</w:t>
      </w:r>
      <w:r w:rsidRPr="00CB1EA2">
        <w:rPr>
          <w:color w:val="auto"/>
          <w:lang w:val="en-AU"/>
        </w:rPr>
        <w:t xml:space="preserve"> that consists of two identical humanized building blocks (denominated PMP12A2h1) that </w:t>
      </w:r>
      <w:proofErr w:type="gramStart"/>
      <w:r w:rsidRPr="00CB1EA2">
        <w:rPr>
          <w:color w:val="auto"/>
          <w:lang w:val="en-AU"/>
        </w:rPr>
        <w:t>are genetically linked</w:t>
      </w:r>
      <w:proofErr w:type="gramEnd"/>
      <w:r w:rsidRPr="00CB1EA2">
        <w:rPr>
          <w:color w:val="auto"/>
          <w:lang w:val="en-AU"/>
        </w:rPr>
        <w:t xml:space="preserve"> by a tri-alanine linker.</w:t>
      </w:r>
    </w:p>
    <w:p w14:paraId="1B8E5282" w14:textId="4F276752" w:rsidR="0006616F" w:rsidRPr="00CB1EA2" w:rsidRDefault="003B77B7" w:rsidP="00BC2275">
      <w:pPr>
        <w:rPr>
          <w:rFonts w:ascii="Arial" w:eastAsia="MS Gothic" w:hAnsi="Arial" w:cs="Arial"/>
          <w:b/>
          <w:bCs/>
          <w:color w:val="auto"/>
          <w:sz w:val="20"/>
          <w:szCs w:val="20"/>
          <w:lang w:val="en-AU"/>
        </w:rPr>
      </w:pPr>
      <w:r w:rsidRPr="00CB1EA2">
        <w:rPr>
          <w:color w:val="auto"/>
          <w:lang w:val="en-AU"/>
        </w:rPr>
        <w:t>ALX-0081 consists of 259 amino acids and has a molecular weight of 27876 Dalton. A sche</w:t>
      </w:r>
      <w:r w:rsidR="00550DA5" w:rsidRPr="00CB1EA2">
        <w:rPr>
          <w:color w:val="auto"/>
          <w:lang w:val="en-AU"/>
        </w:rPr>
        <w:t xml:space="preserve">matic representation </w:t>
      </w:r>
      <w:proofErr w:type="gramStart"/>
      <w:r w:rsidR="00550DA5" w:rsidRPr="00CB1EA2">
        <w:rPr>
          <w:color w:val="auto"/>
          <w:lang w:val="en-AU"/>
        </w:rPr>
        <w:t>is shown</w:t>
      </w:r>
      <w:proofErr w:type="gramEnd"/>
      <w:r w:rsidR="00550DA5" w:rsidRPr="00CB1EA2">
        <w:rPr>
          <w:color w:val="auto"/>
          <w:lang w:val="en-AU"/>
        </w:rPr>
        <w:t xml:space="preserve"> in</w:t>
      </w:r>
      <w:r w:rsidR="00BC2275" w:rsidRPr="00CB1EA2">
        <w:rPr>
          <w:color w:val="auto"/>
          <w:lang w:val="en-AU"/>
        </w:rPr>
        <w:t xml:space="preserve"> </w:t>
      </w:r>
      <w:r w:rsidR="00BC2275" w:rsidRPr="00CB1EA2">
        <w:rPr>
          <w:color w:val="0000FF"/>
          <w:lang w:val="en-AU"/>
        </w:rPr>
        <w:fldChar w:fldCharType="begin"/>
      </w:r>
      <w:r w:rsidR="00BC2275" w:rsidRPr="00CB1EA2">
        <w:rPr>
          <w:color w:val="0000FF"/>
          <w:lang w:val="en-AU"/>
        </w:rPr>
        <w:instrText xml:space="preserve"> REF _Ref30662440 \h  \* MERGEFORMAT </w:instrText>
      </w:r>
      <w:r w:rsidR="00BC2275" w:rsidRPr="00CB1EA2">
        <w:rPr>
          <w:color w:val="0000FF"/>
          <w:lang w:val="en-AU"/>
        </w:rPr>
      </w:r>
      <w:r w:rsidR="00BC2275" w:rsidRPr="00CB1EA2">
        <w:rPr>
          <w:color w:val="0000FF"/>
          <w:lang w:val="en-AU"/>
        </w:rPr>
        <w:fldChar w:fldCharType="separate"/>
      </w:r>
      <w:r w:rsidR="007F0F04" w:rsidRPr="007F0F04">
        <w:rPr>
          <w:color w:val="0000FF"/>
          <w:lang w:val="en-AU"/>
        </w:rPr>
        <w:t>Figure 1</w:t>
      </w:r>
      <w:r w:rsidR="00BC2275" w:rsidRPr="00CB1EA2">
        <w:rPr>
          <w:color w:val="0000FF"/>
          <w:lang w:val="en-AU"/>
        </w:rPr>
        <w:fldChar w:fldCharType="end"/>
      </w:r>
      <w:r w:rsidR="00BC2275" w:rsidRPr="00CB1EA2">
        <w:rPr>
          <w:color w:val="0000FF"/>
          <w:lang w:val="en-AU"/>
        </w:rPr>
        <w:t>.</w:t>
      </w:r>
      <w:bookmarkStart w:id="10" w:name="_Ref525556036"/>
    </w:p>
    <w:p w14:paraId="4C40C773" w14:textId="50EFB3C7" w:rsidR="00F06C3A" w:rsidRPr="00CB1EA2" w:rsidRDefault="0069033B" w:rsidP="00F06C3A">
      <w:pPr>
        <w:pStyle w:val="Caption"/>
        <w:rPr>
          <w:lang w:val="en-AU"/>
        </w:rPr>
      </w:pPr>
      <w:bookmarkStart w:id="11" w:name="_Ref30662440"/>
      <w:r w:rsidRPr="00CB1EA2">
        <w:rPr>
          <w:lang w:val="en-AU"/>
        </w:rPr>
        <w:t>Figure </w:t>
      </w:r>
      <w:r w:rsidRPr="00CB1EA2">
        <w:rPr>
          <w:lang w:val="en-AU"/>
        </w:rPr>
        <w:fldChar w:fldCharType="begin"/>
      </w:r>
      <w:r w:rsidRPr="00CB1EA2">
        <w:rPr>
          <w:lang w:val="en-AU"/>
        </w:rPr>
        <w:instrText xml:space="preserve"> SEQ Figure \* ARABIC </w:instrText>
      </w:r>
      <w:r w:rsidRPr="00CB1EA2">
        <w:rPr>
          <w:lang w:val="en-AU"/>
        </w:rPr>
        <w:fldChar w:fldCharType="separate"/>
      </w:r>
      <w:r w:rsidR="007F0F04">
        <w:rPr>
          <w:noProof/>
          <w:lang w:val="en-AU"/>
        </w:rPr>
        <w:t>1</w:t>
      </w:r>
      <w:r w:rsidRPr="00CB1EA2">
        <w:rPr>
          <w:lang w:val="en-AU"/>
        </w:rPr>
        <w:fldChar w:fldCharType="end"/>
      </w:r>
      <w:bookmarkEnd w:id="10"/>
      <w:bookmarkEnd w:id="11"/>
      <w:r w:rsidRPr="00CB1EA2">
        <w:rPr>
          <w:lang w:val="en-AU"/>
        </w:rPr>
        <w:t xml:space="preserve"> ­ Schematic structure of ALX-0081</w:t>
      </w:r>
    </w:p>
    <w:p w14:paraId="3FCF3144" w14:textId="77777777" w:rsidR="0006616F" w:rsidRPr="00CB1EA2" w:rsidRDefault="0006616F" w:rsidP="0006616F">
      <w:pPr>
        <w:jc w:val="center"/>
        <w:rPr>
          <w:color w:val="auto"/>
          <w:lang w:val="en-AU"/>
        </w:rPr>
      </w:pPr>
      <w:r w:rsidRPr="00CB1EA2">
        <w:rPr>
          <w:noProof/>
          <w:color w:val="auto"/>
          <w:lang w:val="en-AU" w:eastAsia="en-AU"/>
        </w:rPr>
        <w:drawing>
          <wp:inline distT="0" distB="0" distL="0" distR="0" wp14:anchorId="1369A889" wp14:editId="57734977">
            <wp:extent cx="4584700" cy="2341411"/>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5621" cy="2346988"/>
                    </a:xfrm>
                    <a:prstGeom prst="rect">
                      <a:avLst/>
                    </a:prstGeom>
                    <a:noFill/>
                    <a:ln>
                      <a:noFill/>
                    </a:ln>
                  </pic:spPr>
                </pic:pic>
              </a:graphicData>
            </a:graphic>
          </wp:inline>
        </w:drawing>
      </w:r>
    </w:p>
    <w:p w14:paraId="175EDA6B" w14:textId="7CD62ED2" w:rsidR="00F06C3A" w:rsidRPr="00CB1EA2" w:rsidRDefault="00F06C3A" w:rsidP="00F06C3A">
      <w:pPr>
        <w:rPr>
          <w:color w:val="auto"/>
          <w:lang w:val="en-AU"/>
        </w:rPr>
      </w:pPr>
      <w:r w:rsidRPr="00CB1EA2">
        <w:rPr>
          <w:color w:val="auto"/>
          <w:lang w:val="en-AU"/>
        </w:rPr>
        <w:t>CDR-loops are colo</w:t>
      </w:r>
      <w:r w:rsidR="00034380" w:rsidRPr="00CB1EA2">
        <w:rPr>
          <w:color w:val="auto"/>
          <w:lang w:val="en-AU"/>
        </w:rPr>
        <w:t>u</w:t>
      </w:r>
      <w:r w:rsidRPr="00CB1EA2">
        <w:rPr>
          <w:color w:val="auto"/>
          <w:lang w:val="en-AU"/>
        </w:rPr>
        <w:t>red as follow: CDR1 in green, CDR2 in cyan and CDR3 in blue. Red and purple residues refer to hallmark residues which are different for a VHH compared to a human VH.  CDR: Complementarity Determining Region</w:t>
      </w:r>
    </w:p>
    <w:p w14:paraId="70991EDB" w14:textId="5BAD716B" w:rsidR="0024632F" w:rsidRPr="00CB1EA2" w:rsidRDefault="0024632F" w:rsidP="00E67B48">
      <w:pPr>
        <w:pStyle w:val="Heading3"/>
        <w:numPr>
          <w:ilvl w:val="0"/>
          <w:numId w:val="0"/>
        </w:numPr>
        <w:rPr>
          <w:lang w:val="en-AU"/>
        </w:rPr>
      </w:pPr>
      <w:r w:rsidRPr="00CB1EA2">
        <w:rPr>
          <w:lang w:val="en-AU"/>
        </w:rPr>
        <w:t>CAS number</w:t>
      </w:r>
    </w:p>
    <w:p w14:paraId="3D41AA59" w14:textId="77777777" w:rsidR="001A3992" w:rsidRPr="00CB1EA2" w:rsidRDefault="00E67B48" w:rsidP="00E67B48">
      <w:pPr>
        <w:rPr>
          <w:color w:val="auto"/>
          <w:lang w:val="en-AU"/>
        </w:rPr>
      </w:pPr>
      <w:r w:rsidRPr="00CB1EA2">
        <w:rPr>
          <w:color w:val="auto"/>
          <w:lang w:val="en-AU"/>
        </w:rPr>
        <w:t>915810-67-2</w:t>
      </w:r>
    </w:p>
    <w:p w14:paraId="4159C18D" w14:textId="13C7B067" w:rsidR="001A3992" w:rsidRPr="00CB1EA2" w:rsidRDefault="001A3992" w:rsidP="0069033B">
      <w:pPr>
        <w:pStyle w:val="Heading1"/>
        <w:pageBreakBefore w:val="0"/>
        <w:rPr>
          <w:lang w:val="en-AU"/>
        </w:rPr>
      </w:pPr>
      <w:r w:rsidRPr="00CB1EA2">
        <w:rPr>
          <w:lang w:val="en-AU"/>
        </w:rPr>
        <w:lastRenderedPageBreak/>
        <w:t>Medicine schedule (Poisons Standard)</w:t>
      </w:r>
    </w:p>
    <w:p w14:paraId="2B63161D" w14:textId="77777777" w:rsidR="00E67B48" w:rsidRPr="00CB1EA2" w:rsidRDefault="00E67B48" w:rsidP="00E67B48">
      <w:pPr>
        <w:rPr>
          <w:lang w:val="en-AU"/>
        </w:rPr>
      </w:pPr>
      <w:r w:rsidRPr="00CB1EA2">
        <w:rPr>
          <w:lang w:val="en-AU"/>
        </w:rPr>
        <w:t>Schedule 4 (Prescription Only Medicine)</w:t>
      </w:r>
    </w:p>
    <w:p w14:paraId="135432DA" w14:textId="35F2201A" w:rsidR="001A3992" w:rsidRPr="00CB1EA2" w:rsidRDefault="001A3992" w:rsidP="0069033B">
      <w:pPr>
        <w:pStyle w:val="Heading1"/>
        <w:pageBreakBefore w:val="0"/>
        <w:rPr>
          <w:lang w:val="en-AU"/>
        </w:rPr>
      </w:pPr>
      <w:r w:rsidRPr="00CB1EA2">
        <w:rPr>
          <w:lang w:val="en-AU"/>
        </w:rPr>
        <w:t>Sponsor</w:t>
      </w:r>
    </w:p>
    <w:p w14:paraId="202F8048" w14:textId="77777777" w:rsidR="0069033B" w:rsidRPr="00CB1EA2" w:rsidRDefault="0069033B" w:rsidP="0069033B">
      <w:pPr>
        <w:rPr>
          <w:lang w:val="en-AU"/>
        </w:rPr>
      </w:pPr>
      <w:proofErr w:type="spellStart"/>
      <w:proofErr w:type="gramStart"/>
      <w:r w:rsidRPr="00CB1EA2">
        <w:rPr>
          <w:lang w:val="en-AU"/>
        </w:rPr>
        <w:t>sanofi-aventis</w:t>
      </w:r>
      <w:proofErr w:type="spellEnd"/>
      <w:proofErr w:type="gramEnd"/>
      <w:r w:rsidRPr="00CB1EA2">
        <w:rPr>
          <w:lang w:val="en-AU"/>
        </w:rPr>
        <w:t xml:space="preserve"> </w:t>
      </w:r>
      <w:proofErr w:type="spellStart"/>
      <w:r w:rsidRPr="00CB1EA2">
        <w:rPr>
          <w:lang w:val="en-AU"/>
        </w:rPr>
        <w:t>pty</w:t>
      </w:r>
      <w:proofErr w:type="spellEnd"/>
      <w:r w:rsidRPr="00CB1EA2">
        <w:rPr>
          <w:lang w:val="en-AU"/>
        </w:rPr>
        <w:t xml:space="preserve"> ltd</w:t>
      </w:r>
    </w:p>
    <w:p w14:paraId="59590EA4" w14:textId="77777777" w:rsidR="0069033B" w:rsidRPr="00CB1EA2" w:rsidRDefault="0069033B" w:rsidP="0069033B">
      <w:pPr>
        <w:rPr>
          <w:lang w:val="en-AU"/>
        </w:rPr>
      </w:pPr>
      <w:r w:rsidRPr="00CB1EA2">
        <w:rPr>
          <w:lang w:val="en-AU"/>
        </w:rPr>
        <w:t>12-24 Talavera Road</w:t>
      </w:r>
      <w:r w:rsidRPr="00CB1EA2">
        <w:rPr>
          <w:lang w:val="en-AU"/>
        </w:rPr>
        <w:br/>
        <w:t>Macquarie Park NSW 2113</w:t>
      </w:r>
      <w:r w:rsidRPr="00CB1EA2">
        <w:rPr>
          <w:lang w:val="en-AU"/>
        </w:rPr>
        <w:br/>
        <w:t>Australia</w:t>
      </w:r>
    </w:p>
    <w:p w14:paraId="4893842B" w14:textId="77777777" w:rsidR="00024098" w:rsidRPr="00CB1EA2" w:rsidRDefault="0069033B" w:rsidP="0069033B">
      <w:pPr>
        <w:rPr>
          <w:lang w:val="en-AU"/>
        </w:rPr>
      </w:pPr>
      <w:r w:rsidRPr="00CB1EA2">
        <w:rPr>
          <w:lang w:val="en-AU"/>
        </w:rPr>
        <w:t>Tel: 1800 818 806</w:t>
      </w:r>
    </w:p>
    <w:p w14:paraId="5E423040" w14:textId="75B50F56" w:rsidR="001A3992" w:rsidRDefault="00614370" w:rsidP="0069033B">
      <w:pPr>
        <w:pStyle w:val="Heading1"/>
        <w:pageBreakBefore w:val="0"/>
        <w:rPr>
          <w:lang w:val="en-AU"/>
        </w:rPr>
      </w:pPr>
      <w:r>
        <w:rPr>
          <w:lang w:val="en-AU"/>
        </w:rPr>
        <w:t>Date of first approval</w:t>
      </w:r>
    </w:p>
    <w:p w14:paraId="32F01B03" w14:textId="5C926597" w:rsidR="00CB1EA2" w:rsidRPr="00CB1EA2" w:rsidRDefault="00DA0DD6" w:rsidP="00CB1EA2">
      <w:pPr>
        <w:rPr>
          <w:lang w:val="en-AU"/>
        </w:rPr>
      </w:pPr>
      <w:r>
        <w:rPr>
          <w:lang w:val="en-AU"/>
        </w:rPr>
        <w:t>05 February</w:t>
      </w:r>
      <w:r w:rsidR="006F6A37">
        <w:rPr>
          <w:lang w:val="en-AU"/>
        </w:rPr>
        <w:t xml:space="preserve"> 2020</w:t>
      </w:r>
    </w:p>
    <w:p w14:paraId="75E686B7" w14:textId="646AAA30" w:rsidR="001A3992" w:rsidRDefault="001A3992" w:rsidP="00614370">
      <w:pPr>
        <w:pStyle w:val="Heading1"/>
        <w:pageBreakBefore w:val="0"/>
        <w:spacing w:after="1000"/>
        <w:rPr>
          <w:lang w:val="en-AU"/>
        </w:rPr>
      </w:pPr>
      <w:r w:rsidRPr="00CB1EA2">
        <w:rPr>
          <w:lang w:val="en-AU"/>
        </w:rPr>
        <w:t>Date of revision</w:t>
      </w:r>
    </w:p>
    <w:p w14:paraId="766B2F1B" w14:textId="5221DD46" w:rsidR="001A3992" w:rsidRPr="00CB1EA2" w:rsidRDefault="001A3992" w:rsidP="001A3992">
      <w:pPr>
        <w:pStyle w:val="Heading2"/>
        <w:numPr>
          <w:ilvl w:val="0"/>
          <w:numId w:val="0"/>
        </w:numPr>
        <w:spacing w:before="0" w:after="120"/>
        <w:rPr>
          <w:lang w:val="en-AU"/>
        </w:rPr>
      </w:pPr>
      <w:r w:rsidRPr="00CB1EA2">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CB1EA2" w14:paraId="2A3FBBEB"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8FB254F" w14:textId="77777777" w:rsidR="00ED0937" w:rsidRPr="00CB1EA2" w:rsidRDefault="00ED0937" w:rsidP="004D0FD8">
            <w:pPr>
              <w:rPr>
                <w:sz w:val="20"/>
                <w:lang w:val="en-AU"/>
              </w:rPr>
            </w:pPr>
            <w:r w:rsidRPr="00CB1EA2">
              <w:rPr>
                <w:sz w:val="20"/>
                <w:lang w:val="en-AU"/>
              </w:rPr>
              <w:t>Section Changed</w:t>
            </w:r>
          </w:p>
        </w:tc>
        <w:tc>
          <w:tcPr>
            <w:tcW w:w="7858" w:type="dxa"/>
            <w:shd w:val="clear" w:color="auto" w:fill="F2F2F2" w:themeFill="background1" w:themeFillShade="F2"/>
            <w:vAlign w:val="center"/>
          </w:tcPr>
          <w:p w14:paraId="25D2FCFA" w14:textId="77777777" w:rsidR="00ED0937" w:rsidRPr="00CB1EA2" w:rsidRDefault="00ED0937" w:rsidP="004D0FD8">
            <w:pPr>
              <w:cnfStyle w:val="100000000000" w:firstRow="1" w:lastRow="0" w:firstColumn="0" w:lastColumn="0" w:oddVBand="0" w:evenVBand="0" w:oddHBand="0" w:evenHBand="0" w:firstRowFirstColumn="0" w:firstRowLastColumn="0" w:lastRowFirstColumn="0" w:lastRowLastColumn="0"/>
              <w:rPr>
                <w:sz w:val="20"/>
                <w:lang w:val="en-AU"/>
              </w:rPr>
            </w:pPr>
            <w:r w:rsidRPr="00CB1EA2">
              <w:rPr>
                <w:sz w:val="20"/>
                <w:lang w:val="en-AU"/>
              </w:rPr>
              <w:t>Summary of new information</w:t>
            </w:r>
          </w:p>
        </w:tc>
      </w:tr>
      <w:tr w:rsidR="00ED0937" w:rsidRPr="00CB1EA2" w14:paraId="37D6AA4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6A18E994" w14:textId="77777777" w:rsidR="00ED0937" w:rsidRPr="00CB1EA2" w:rsidRDefault="00ED0937" w:rsidP="004D0FD8">
            <w:pPr>
              <w:rPr>
                <w:lang w:val="en-AU"/>
              </w:rPr>
            </w:pPr>
          </w:p>
        </w:tc>
        <w:tc>
          <w:tcPr>
            <w:tcW w:w="7858" w:type="dxa"/>
            <w:vAlign w:val="center"/>
          </w:tcPr>
          <w:p w14:paraId="58C5D058" w14:textId="77777777" w:rsidR="00ED0937" w:rsidRPr="00CB1EA2"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CB1EA2" w14:paraId="64B9E140"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414FCF6B" w14:textId="77777777" w:rsidR="00ED0937" w:rsidRPr="00CB1EA2" w:rsidRDefault="00ED0937" w:rsidP="004D0FD8">
            <w:pPr>
              <w:rPr>
                <w:lang w:val="en-AU"/>
              </w:rPr>
            </w:pPr>
          </w:p>
        </w:tc>
        <w:tc>
          <w:tcPr>
            <w:tcW w:w="7858" w:type="dxa"/>
            <w:vAlign w:val="center"/>
          </w:tcPr>
          <w:p w14:paraId="2DD52359" w14:textId="77777777" w:rsidR="00ED0937" w:rsidRPr="00CB1EA2"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CB1EA2" w14:paraId="1F205F71"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4A033EDF" w14:textId="77777777" w:rsidR="00ED0937" w:rsidRPr="00CB1EA2" w:rsidRDefault="00ED0937" w:rsidP="004D0FD8">
            <w:pPr>
              <w:rPr>
                <w:lang w:val="en-AU"/>
              </w:rPr>
            </w:pPr>
          </w:p>
        </w:tc>
        <w:tc>
          <w:tcPr>
            <w:tcW w:w="7858" w:type="dxa"/>
            <w:vAlign w:val="center"/>
          </w:tcPr>
          <w:p w14:paraId="798FDD0E" w14:textId="77777777" w:rsidR="00ED0937" w:rsidRPr="00CB1EA2"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bl>
    <w:p w14:paraId="17978301" w14:textId="77777777" w:rsidR="00960CD5" w:rsidRPr="00CB1EA2" w:rsidRDefault="00960CD5" w:rsidP="00614370">
      <w:pPr>
        <w:spacing w:after="120"/>
        <w:rPr>
          <w:lang w:val="en-AU"/>
        </w:rPr>
      </w:pPr>
    </w:p>
    <w:sectPr w:rsidR="00960CD5" w:rsidRPr="00CB1EA2" w:rsidSect="0089077B">
      <w:headerReference w:type="even" r:id="rId14"/>
      <w:headerReference w:type="default" r:id="rId15"/>
      <w:footerReference w:type="even" r:id="rId16"/>
      <w:footerReference w:type="default" r:id="rId17"/>
      <w:headerReference w:type="first" r:id="rId18"/>
      <w:footerReference w:type="first" r:id="rId19"/>
      <w:pgSz w:w="11906" w:h="16838"/>
      <w:pgMar w:top="1814" w:right="850" w:bottom="2154" w:left="158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7BA4" w14:textId="77777777" w:rsidR="00963A5D" w:rsidRDefault="00963A5D" w:rsidP="001A3992">
      <w:r>
        <w:separator/>
      </w:r>
    </w:p>
  </w:endnote>
  <w:endnote w:type="continuationSeparator" w:id="0">
    <w:p w14:paraId="04AB5C97" w14:textId="77777777" w:rsidR="00963A5D" w:rsidRDefault="00963A5D" w:rsidP="001A3992">
      <w:r>
        <w:continuationSeparator/>
      </w:r>
    </w:p>
  </w:endnote>
  <w:endnote w:type="continuationNotice" w:id="1">
    <w:p w14:paraId="053D814F" w14:textId="77777777" w:rsidR="00963A5D" w:rsidRDefault="00963A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619F" w14:textId="77777777" w:rsidR="00810938" w:rsidRDefault="00810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1D62" w14:textId="77777777" w:rsidR="00963A5D" w:rsidRDefault="00963A5D">
    <w:pPr>
      <w:pStyle w:val="Footer"/>
    </w:pPr>
  </w:p>
  <w:p w14:paraId="300939A1" w14:textId="17DB2122" w:rsidR="00963A5D" w:rsidRPr="00CB1EA2" w:rsidRDefault="00963A5D" w:rsidP="006B49F1">
    <w:pPr>
      <w:pStyle w:val="Footer"/>
    </w:pPr>
    <w:r>
      <w:br/>
      <w:t xml:space="preserve">Property of </w:t>
    </w:r>
    <w:r w:rsidR="00810938">
      <w:t>the Sanofi group</w:t>
    </w:r>
  </w:p>
  <w:p w14:paraId="6CF4A73C" w14:textId="6BBF7A49" w:rsidR="00963A5D" w:rsidRDefault="00963A5D">
    <w:pPr>
      <w:pStyle w:val="Footer"/>
    </w:pPr>
    <w:proofErr w:type="gramStart"/>
    <w:r w:rsidRPr="00CB1EA2">
      <w:t>cablivi-ccdsv1-piv1-</w:t>
    </w:r>
    <w:r w:rsidR="00DA0DD6">
      <w:t>05feb</w:t>
    </w:r>
    <w:r w:rsidR="006F6A37">
      <w:t>20</w:t>
    </w:r>
    <w:proofErr w:type="gramEnd"/>
    <w:r>
      <w:tab/>
    </w:r>
    <w:sdt>
      <w:sdtPr>
        <w:id w:val="957912498"/>
        <w:docPartObj>
          <w:docPartGallery w:val="Page Numbers (Bottom of Page)"/>
          <w:docPartUnique/>
        </w:docPartObj>
      </w:sdtPr>
      <w:sdtEndPr/>
      <w:sdtContent>
        <w:sdt>
          <w:sdtPr>
            <w:id w:val="72550187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C8588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5887">
              <w:rPr>
                <w:b/>
                <w:bCs/>
                <w:noProof/>
              </w:rPr>
              <w:t>16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4CA1" w14:textId="77777777" w:rsidR="00810938" w:rsidRDefault="00810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5A7FA" w14:textId="77777777" w:rsidR="00963A5D" w:rsidRDefault="00963A5D" w:rsidP="001A3992">
      <w:r>
        <w:separator/>
      </w:r>
    </w:p>
  </w:footnote>
  <w:footnote w:type="continuationSeparator" w:id="0">
    <w:p w14:paraId="714D9CBD" w14:textId="77777777" w:rsidR="00963A5D" w:rsidRDefault="00963A5D" w:rsidP="001A3992">
      <w:r>
        <w:continuationSeparator/>
      </w:r>
    </w:p>
  </w:footnote>
  <w:footnote w:type="continuationNotice" w:id="1">
    <w:p w14:paraId="40CBBDCB" w14:textId="77777777" w:rsidR="00963A5D" w:rsidRDefault="00963A5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A6C5" w14:textId="77777777" w:rsidR="00810938" w:rsidRDefault="00810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614370" w14:paraId="531FDF29" w14:textId="77777777" w:rsidTr="00614370">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2E321A18" w14:textId="4118F9F9" w:rsidR="00614370" w:rsidRDefault="00614370" w:rsidP="00614370">
          <w:pPr>
            <w:spacing w:after="240"/>
            <w:rPr>
              <w:rFonts w:eastAsia="Cambria"/>
              <w:color w:val="auto"/>
              <w:sz w:val="22"/>
              <w:szCs w:val="22"/>
              <w:lang w:val="en-AU"/>
            </w:rPr>
          </w:pPr>
          <w:r>
            <w:rPr>
              <w:b/>
              <w:sz w:val="20"/>
              <w:szCs w:val="20"/>
            </w:rPr>
            <w:t xml:space="preserve">Attachment 1: Product information for </w:t>
          </w:r>
          <w:proofErr w:type="spellStart"/>
          <w:r w:rsidRPr="00614370">
            <w:rPr>
              <w:b/>
              <w:sz w:val="20"/>
              <w:szCs w:val="20"/>
            </w:rPr>
            <w:t>AusPAR</w:t>
          </w:r>
          <w:proofErr w:type="spellEnd"/>
          <w:r w:rsidRPr="00614370">
            <w:rPr>
              <w:b/>
              <w:sz w:val="20"/>
              <w:szCs w:val="20"/>
            </w:rPr>
            <w:t xml:space="preserve"> - CABLIVI - </w:t>
          </w:r>
          <w:proofErr w:type="spellStart"/>
          <w:r w:rsidRPr="00614370">
            <w:rPr>
              <w:b/>
              <w:sz w:val="20"/>
              <w:szCs w:val="20"/>
            </w:rPr>
            <w:t>caplacizumab</w:t>
          </w:r>
          <w:proofErr w:type="spellEnd"/>
          <w:r w:rsidRPr="00614370">
            <w:rPr>
              <w:b/>
              <w:sz w:val="20"/>
              <w:szCs w:val="20"/>
            </w:rPr>
            <w:t xml:space="preserve"> - Sanofi-Aventis Australia Pty Ltd - PM-2019-02057-1-6</w:t>
          </w:r>
          <w:r>
            <w:rPr>
              <w:b/>
              <w:sz w:val="20"/>
              <w:szCs w:val="20"/>
            </w:rPr>
            <w:t xml:space="preserve"> </w:t>
          </w:r>
          <w:r w:rsidRPr="00614370">
            <w:rPr>
              <w:b/>
              <w:sz w:val="20"/>
              <w:szCs w:val="20"/>
            </w:rPr>
            <w:t>FINAL 5 May 2020</w:t>
          </w:r>
          <w:r>
            <w:rPr>
              <w:b/>
              <w:sz w:val="20"/>
              <w:szCs w:val="20"/>
            </w:rPr>
            <w:t xml:space="preserve">. </w:t>
          </w:r>
          <w:r>
            <w:rPr>
              <w:b/>
              <w:sz w:val="18"/>
              <w:szCs w:val="18"/>
            </w:rPr>
            <w:t xml:space="preserve">This is the Product Information that </w:t>
          </w:r>
          <w:proofErr w:type="gramStart"/>
          <w:r>
            <w:rPr>
              <w:b/>
              <w:sz w:val="18"/>
              <w:szCs w:val="18"/>
            </w:rPr>
            <w:t>was approved</w:t>
          </w:r>
          <w:proofErr w:type="gramEnd"/>
          <w:r>
            <w:rPr>
              <w:b/>
              <w:sz w:val="18"/>
              <w:szCs w:val="18"/>
            </w:rPr>
            <w:t xml:space="preserve"> with the submission described in this </w:t>
          </w:r>
          <w:proofErr w:type="spellStart"/>
          <w:r>
            <w:rPr>
              <w:b/>
              <w:sz w:val="18"/>
              <w:szCs w:val="18"/>
            </w:rPr>
            <w:t>AusPAR</w:t>
          </w:r>
          <w:proofErr w:type="spellEnd"/>
          <w:r>
            <w:rPr>
              <w:b/>
              <w:sz w:val="18"/>
              <w:szCs w:val="18"/>
            </w:rPr>
            <w:t xml:space="preserve">. It </w:t>
          </w:r>
          <w:proofErr w:type="gramStart"/>
          <w:r>
            <w:rPr>
              <w:b/>
              <w:sz w:val="18"/>
              <w:szCs w:val="18"/>
            </w:rPr>
            <w:t>may have been superseded</w:t>
          </w:r>
          <w:proofErr w:type="gramEnd"/>
          <w:r>
            <w:rPr>
              <w:b/>
              <w:sz w:val="18"/>
              <w:szCs w:val="18"/>
            </w:rPr>
            <w:t>. For the most recent PI, please refer to the TGA website at &lt;</w:t>
          </w:r>
          <w:hyperlink r:id="rId1" w:history="1">
            <w:r>
              <w:rPr>
                <w:rStyle w:val="Hyperlink"/>
                <w:sz w:val="18"/>
                <w:szCs w:val="18"/>
              </w:rPr>
              <w:t>https://www.tga.gov.au/product-information-pi</w:t>
            </w:r>
          </w:hyperlink>
          <w:r w:rsidRPr="00614370">
            <w:rPr>
              <w:rStyle w:val="Hyperlink"/>
              <w:b/>
              <w:color w:val="000000" w:themeColor="text1"/>
              <w:sz w:val="18"/>
              <w:szCs w:val="18"/>
              <w:u w:val="none"/>
            </w:rPr>
            <w:t>&gt;</w:t>
          </w:r>
        </w:p>
      </w:tc>
    </w:tr>
  </w:tbl>
  <w:p w14:paraId="30A8D859" w14:textId="77777777" w:rsidR="00614370" w:rsidRDefault="00614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ECAE" w14:textId="77777777" w:rsidR="00810938" w:rsidRDefault="00810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36FCE004"/>
    <w:lvl w:ilvl="0" w:tplc="1534CB78">
      <w:start w:val="1"/>
      <w:numFmt w:val="bullet"/>
      <w:lvlText w:val=""/>
      <w:lvlJc w:val="left"/>
      <w:pPr>
        <w:ind w:left="720" w:hanging="360"/>
      </w:pPr>
      <w:rPr>
        <w:rFonts w:ascii="Symbol" w:hAnsi="Symbol" w:hint="default"/>
      </w:rPr>
    </w:lvl>
    <w:lvl w:ilvl="1" w:tplc="52527880">
      <w:start w:val="1"/>
      <w:numFmt w:val="bullet"/>
      <w:lvlText w:val="o"/>
      <w:lvlJc w:val="left"/>
      <w:pPr>
        <w:ind w:left="1440" w:hanging="360"/>
      </w:pPr>
      <w:rPr>
        <w:rFonts w:ascii="Courier New" w:hAnsi="Courier New" w:cs="Courier New" w:hint="default"/>
      </w:rPr>
    </w:lvl>
    <w:lvl w:ilvl="2" w:tplc="2E9C6F48" w:tentative="1">
      <w:start w:val="1"/>
      <w:numFmt w:val="bullet"/>
      <w:lvlText w:val=""/>
      <w:lvlJc w:val="left"/>
      <w:pPr>
        <w:ind w:left="2160" w:hanging="360"/>
      </w:pPr>
      <w:rPr>
        <w:rFonts w:ascii="Wingdings" w:hAnsi="Wingdings" w:hint="default"/>
      </w:rPr>
    </w:lvl>
    <w:lvl w:ilvl="3" w:tplc="827AF808" w:tentative="1">
      <w:start w:val="1"/>
      <w:numFmt w:val="bullet"/>
      <w:lvlText w:val=""/>
      <w:lvlJc w:val="left"/>
      <w:pPr>
        <w:ind w:left="2880" w:hanging="360"/>
      </w:pPr>
      <w:rPr>
        <w:rFonts w:ascii="Symbol" w:hAnsi="Symbol" w:hint="default"/>
      </w:rPr>
    </w:lvl>
    <w:lvl w:ilvl="4" w:tplc="12165C4A" w:tentative="1">
      <w:start w:val="1"/>
      <w:numFmt w:val="bullet"/>
      <w:lvlText w:val="o"/>
      <w:lvlJc w:val="left"/>
      <w:pPr>
        <w:ind w:left="3600" w:hanging="360"/>
      </w:pPr>
      <w:rPr>
        <w:rFonts w:ascii="Courier New" w:hAnsi="Courier New" w:cs="Courier New" w:hint="default"/>
      </w:rPr>
    </w:lvl>
    <w:lvl w:ilvl="5" w:tplc="DB90A598" w:tentative="1">
      <w:start w:val="1"/>
      <w:numFmt w:val="bullet"/>
      <w:lvlText w:val=""/>
      <w:lvlJc w:val="left"/>
      <w:pPr>
        <w:ind w:left="4320" w:hanging="360"/>
      </w:pPr>
      <w:rPr>
        <w:rFonts w:ascii="Wingdings" w:hAnsi="Wingdings" w:hint="default"/>
      </w:rPr>
    </w:lvl>
    <w:lvl w:ilvl="6" w:tplc="294EE6BC" w:tentative="1">
      <w:start w:val="1"/>
      <w:numFmt w:val="bullet"/>
      <w:lvlText w:val=""/>
      <w:lvlJc w:val="left"/>
      <w:pPr>
        <w:ind w:left="5040" w:hanging="360"/>
      </w:pPr>
      <w:rPr>
        <w:rFonts w:ascii="Symbol" w:hAnsi="Symbol" w:hint="default"/>
      </w:rPr>
    </w:lvl>
    <w:lvl w:ilvl="7" w:tplc="6240A4A6" w:tentative="1">
      <w:start w:val="1"/>
      <w:numFmt w:val="bullet"/>
      <w:lvlText w:val="o"/>
      <w:lvlJc w:val="left"/>
      <w:pPr>
        <w:ind w:left="5760" w:hanging="360"/>
      </w:pPr>
      <w:rPr>
        <w:rFonts w:ascii="Courier New" w:hAnsi="Courier New" w:cs="Courier New" w:hint="default"/>
      </w:rPr>
    </w:lvl>
    <w:lvl w:ilvl="8" w:tplc="E81E4EBA"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268D4"/>
    <w:multiLevelType w:val="multilevel"/>
    <w:tmpl w:val="6B481254"/>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3"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4"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6" w15:restartNumberingAfterBreak="0">
    <w:nsid w:val="24435439"/>
    <w:multiLevelType w:val="hybridMultilevel"/>
    <w:tmpl w:val="D23AB816"/>
    <w:lvl w:ilvl="0" w:tplc="275096F4">
      <w:start w:val="1"/>
      <w:numFmt w:val="bullet"/>
      <w:pStyle w:val="TblTextbulletedlist"/>
      <w:lvlText w:val=""/>
      <w:lvlJc w:val="left"/>
      <w:pPr>
        <w:ind w:left="720" w:hanging="360"/>
      </w:pPr>
      <w:rPr>
        <w:rFonts w:ascii="Symbol" w:hAnsi="Symbol" w:hint="default"/>
      </w:rPr>
    </w:lvl>
    <w:lvl w:ilvl="1" w:tplc="9A506C58" w:tentative="1">
      <w:start w:val="1"/>
      <w:numFmt w:val="bullet"/>
      <w:lvlText w:val="o"/>
      <w:lvlJc w:val="left"/>
      <w:pPr>
        <w:ind w:left="1440" w:hanging="360"/>
      </w:pPr>
      <w:rPr>
        <w:rFonts w:ascii="Courier New" w:hAnsi="Courier New" w:cs="Courier New" w:hint="default"/>
      </w:rPr>
    </w:lvl>
    <w:lvl w:ilvl="2" w:tplc="0690FCEC" w:tentative="1">
      <w:start w:val="1"/>
      <w:numFmt w:val="bullet"/>
      <w:lvlText w:val=""/>
      <w:lvlJc w:val="left"/>
      <w:pPr>
        <w:ind w:left="2160" w:hanging="360"/>
      </w:pPr>
      <w:rPr>
        <w:rFonts w:ascii="Wingdings" w:hAnsi="Wingdings" w:hint="default"/>
      </w:rPr>
    </w:lvl>
    <w:lvl w:ilvl="3" w:tplc="B240E446" w:tentative="1">
      <w:start w:val="1"/>
      <w:numFmt w:val="bullet"/>
      <w:lvlText w:val=""/>
      <w:lvlJc w:val="left"/>
      <w:pPr>
        <w:ind w:left="2880" w:hanging="360"/>
      </w:pPr>
      <w:rPr>
        <w:rFonts w:ascii="Symbol" w:hAnsi="Symbol" w:hint="default"/>
      </w:rPr>
    </w:lvl>
    <w:lvl w:ilvl="4" w:tplc="D4346996" w:tentative="1">
      <w:start w:val="1"/>
      <w:numFmt w:val="bullet"/>
      <w:lvlText w:val="o"/>
      <w:lvlJc w:val="left"/>
      <w:pPr>
        <w:ind w:left="3600" w:hanging="360"/>
      </w:pPr>
      <w:rPr>
        <w:rFonts w:ascii="Courier New" w:hAnsi="Courier New" w:cs="Courier New" w:hint="default"/>
      </w:rPr>
    </w:lvl>
    <w:lvl w:ilvl="5" w:tplc="39DAB830" w:tentative="1">
      <w:start w:val="1"/>
      <w:numFmt w:val="bullet"/>
      <w:lvlText w:val=""/>
      <w:lvlJc w:val="left"/>
      <w:pPr>
        <w:ind w:left="4320" w:hanging="360"/>
      </w:pPr>
      <w:rPr>
        <w:rFonts w:ascii="Wingdings" w:hAnsi="Wingdings" w:hint="default"/>
      </w:rPr>
    </w:lvl>
    <w:lvl w:ilvl="6" w:tplc="7B3048A8" w:tentative="1">
      <w:start w:val="1"/>
      <w:numFmt w:val="bullet"/>
      <w:lvlText w:val=""/>
      <w:lvlJc w:val="left"/>
      <w:pPr>
        <w:ind w:left="5040" w:hanging="360"/>
      </w:pPr>
      <w:rPr>
        <w:rFonts w:ascii="Symbol" w:hAnsi="Symbol" w:hint="default"/>
      </w:rPr>
    </w:lvl>
    <w:lvl w:ilvl="7" w:tplc="CF1C00D2" w:tentative="1">
      <w:start w:val="1"/>
      <w:numFmt w:val="bullet"/>
      <w:lvlText w:val="o"/>
      <w:lvlJc w:val="left"/>
      <w:pPr>
        <w:ind w:left="5760" w:hanging="360"/>
      </w:pPr>
      <w:rPr>
        <w:rFonts w:ascii="Courier New" w:hAnsi="Courier New" w:cs="Courier New" w:hint="default"/>
      </w:rPr>
    </w:lvl>
    <w:lvl w:ilvl="8" w:tplc="D9FAECF2" w:tentative="1">
      <w:start w:val="1"/>
      <w:numFmt w:val="bullet"/>
      <w:lvlText w:val=""/>
      <w:lvlJc w:val="left"/>
      <w:pPr>
        <w:ind w:left="6480" w:hanging="360"/>
      </w:pPr>
      <w:rPr>
        <w:rFonts w:ascii="Wingdings" w:hAnsi="Wingdings" w:hint="default"/>
      </w:rPr>
    </w:lvl>
  </w:abstractNum>
  <w:abstractNum w:abstractNumId="7"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8"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9" w15:restartNumberingAfterBreak="0">
    <w:nsid w:val="398B4D5B"/>
    <w:multiLevelType w:val="hybridMultilevel"/>
    <w:tmpl w:val="AC0E0E38"/>
    <w:lvl w:ilvl="0" w:tplc="A78A0D32">
      <w:start w:val="1"/>
      <w:numFmt w:val="bullet"/>
      <w:lvlText w:val=""/>
      <w:lvlJc w:val="left"/>
      <w:pPr>
        <w:tabs>
          <w:tab w:val="num" w:pos="720"/>
        </w:tabs>
        <w:ind w:left="720" w:hanging="360"/>
      </w:pPr>
      <w:rPr>
        <w:rFonts w:ascii="Symbol" w:hAnsi="Symbol" w:hint="default"/>
      </w:rPr>
    </w:lvl>
    <w:lvl w:ilvl="1" w:tplc="A5AC6062" w:tentative="1">
      <w:start w:val="1"/>
      <w:numFmt w:val="bullet"/>
      <w:lvlText w:val="o"/>
      <w:lvlJc w:val="left"/>
      <w:pPr>
        <w:tabs>
          <w:tab w:val="num" w:pos="1440"/>
        </w:tabs>
        <w:ind w:left="1440" w:hanging="360"/>
      </w:pPr>
      <w:rPr>
        <w:rFonts w:ascii="Courier New" w:hAnsi="Courier New" w:cs="Courier New" w:hint="default"/>
      </w:rPr>
    </w:lvl>
    <w:lvl w:ilvl="2" w:tplc="0678867C" w:tentative="1">
      <w:start w:val="1"/>
      <w:numFmt w:val="bullet"/>
      <w:lvlText w:val=""/>
      <w:lvlJc w:val="left"/>
      <w:pPr>
        <w:tabs>
          <w:tab w:val="num" w:pos="2160"/>
        </w:tabs>
        <w:ind w:left="2160" w:hanging="360"/>
      </w:pPr>
      <w:rPr>
        <w:rFonts w:ascii="Wingdings" w:hAnsi="Wingdings" w:hint="default"/>
      </w:rPr>
    </w:lvl>
    <w:lvl w:ilvl="3" w:tplc="EB605FA8" w:tentative="1">
      <w:start w:val="1"/>
      <w:numFmt w:val="bullet"/>
      <w:lvlText w:val=""/>
      <w:lvlJc w:val="left"/>
      <w:pPr>
        <w:tabs>
          <w:tab w:val="num" w:pos="2880"/>
        </w:tabs>
        <w:ind w:left="2880" w:hanging="360"/>
      </w:pPr>
      <w:rPr>
        <w:rFonts w:ascii="Symbol" w:hAnsi="Symbol" w:hint="default"/>
      </w:rPr>
    </w:lvl>
    <w:lvl w:ilvl="4" w:tplc="139ED678" w:tentative="1">
      <w:start w:val="1"/>
      <w:numFmt w:val="bullet"/>
      <w:lvlText w:val="o"/>
      <w:lvlJc w:val="left"/>
      <w:pPr>
        <w:tabs>
          <w:tab w:val="num" w:pos="3600"/>
        </w:tabs>
        <w:ind w:left="3600" w:hanging="360"/>
      </w:pPr>
      <w:rPr>
        <w:rFonts w:ascii="Courier New" w:hAnsi="Courier New" w:cs="Courier New" w:hint="default"/>
      </w:rPr>
    </w:lvl>
    <w:lvl w:ilvl="5" w:tplc="572C8A7A" w:tentative="1">
      <w:start w:val="1"/>
      <w:numFmt w:val="bullet"/>
      <w:lvlText w:val=""/>
      <w:lvlJc w:val="left"/>
      <w:pPr>
        <w:tabs>
          <w:tab w:val="num" w:pos="4320"/>
        </w:tabs>
        <w:ind w:left="4320" w:hanging="360"/>
      </w:pPr>
      <w:rPr>
        <w:rFonts w:ascii="Wingdings" w:hAnsi="Wingdings" w:hint="default"/>
      </w:rPr>
    </w:lvl>
    <w:lvl w:ilvl="6" w:tplc="CAEA2F96" w:tentative="1">
      <w:start w:val="1"/>
      <w:numFmt w:val="bullet"/>
      <w:lvlText w:val=""/>
      <w:lvlJc w:val="left"/>
      <w:pPr>
        <w:tabs>
          <w:tab w:val="num" w:pos="5040"/>
        </w:tabs>
        <w:ind w:left="5040" w:hanging="360"/>
      </w:pPr>
      <w:rPr>
        <w:rFonts w:ascii="Symbol" w:hAnsi="Symbol" w:hint="default"/>
      </w:rPr>
    </w:lvl>
    <w:lvl w:ilvl="7" w:tplc="EBCCB90C" w:tentative="1">
      <w:start w:val="1"/>
      <w:numFmt w:val="bullet"/>
      <w:lvlText w:val="o"/>
      <w:lvlJc w:val="left"/>
      <w:pPr>
        <w:tabs>
          <w:tab w:val="num" w:pos="5760"/>
        </w:tabs>
        <w:ind w:left="5760" w:hanging="360"/>
      </w:pPr>
      <w:rPr>
        <w:rFonts w:ascii="Courier New" w:hAnsi="Courier New" w:cs="Courier New" w:hint="default"/>
      </w:rPr>
    </w:lvl>
    <w:lvl w:ilvl="8" w:tplc="6FDE02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C5229F"/>
    <w:multiLevelType w:val="hybridMultilevel"/>
    <w:tmpl w:val="CB88A270"/>
    <w:lvl w:ilvl="0" w:tplc="0407000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B92C55"/>
    <w:multiLevelType w:val="hybridMultilevel"/>
    <w:tmpl w:val="06847610"/>
    <w:name w:val="LT_Heading2"/>
    <w:lvl w:ilvl="0" w:tplc="A0C88AAC">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2" w15:restartNumberingAfterBreak="0">
    <w:nsid w:val="57507084"/>
    <w:multiLevelType w:val="hybridMultilevel"/>
    <w:tmpl w:val="B916056E"/>
    <w:lvl w:ilvl="0" w:tplc="0C09000F">
      <w:start w:val="1"/>
      <w:numFmt w:val="bullet"/>
      <w:pStyle w:val="ListNumbered"/>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 w15:restartNumberingAfterBreak="0">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B880A1A4">
      <w:start w:val="1"/>
      <w:numFmt w:val="bullet"/>
      <w:lvlText w:val=""/>
      <w:lvlJc w:val="left"/>
      <w:pPr>
        <w:ind w:left="720" w:hanging="360"/>
      </w:pPr>
      <w:rPr>
        <w:rFonts w:ascii="Symbol" w:hAnsi="Symbol" w:hint="default"/>
      </w:rPr>
    </w:lvl>
    <w:lvl w:ilvl="1" w:tplc="C25495EE" w:tentative="1">
      <w:start w:val="1"/>
      <w:numFmt w:val="bullet"/>
      <w:lvlText w:val="o"/>
      <w:lvlJc w:val="left"/>
      <w:pPr>
        <w:ind w:left="1440" w:hanging="360"/>
      </w:pPr>
      <w:rPr>
        <w:rFonts w:ascii="Courier New" w:hAnsi="Courier New" w:cs="Courier New" w:hint="default"/>
      </w:rPr>
    </w:lvl>
    <w:lvl w:ilvl="2" w:tplc="319208D8" w:tentative="1">
      <w:start w:val="1"/>
      <w:numFmt w:val="bullet"/>
      <w:lvlText w:val=""/>
      <w:lvlJc w:val="left"/>
      <w:pPr>
        <w:ind w:left="2160" w:hanging="360"/>
      </w:pPr>
      <w:rPr>
        <w:rFonts w:ascii="Wingdings" w:hAnsi="Wingdings" w:hint="default"/>
      </w:rPr>
    </w:lvl>
    <w:lvl w:ilvl="3" w:tplc="9CDC330C" w:tentative="1">
      <w:start w:val="1"/>
      <w:numFmt w:val="bullet"/>
      <w:lvlText w:val=""/>
      <w:lvlJc w:val="left"/>
      <w:pPr>
        <w:ind w:left="2880" w:hanging="360"/>
      </w:pPr>
      <w:rPr>
        <w:rFonts w:ascii="Symbol" w:hAnsi="Symbol" w:hint="default"/>
      </w:rPr>
    </w:lvl>
    <w:lvl w:ilvl="4" w:tplc="BEE4D5B8" w:tentative="1">
      <w:start w:val="1"/>
      <w:numFmt w:val="bullet"/>
      <w:lvlText w:val="o"/>
      <w:lvlJc w:val="left"/>
      <w:pPr>
        <w:ind w:left="3600" w:hanging="360"/>
      </w:pPr>
      <w:rPr>
        <w:rFonts w:ascii="Courier New" w:hAnsi="Courier New" w:cs="Courier New" w:hint="default"/>
      </w:rPr>
    </w:lvl>
    <w:lvl w:ilvl="5" w:tplc="9662CA06" w:tentative="1">
      <w:start w:val="1"/>
      <w:numFmt w:val="bullet"/>
      <w:lvlText w:val=""/>
      <w:lvlJc w:val="left"/>
      <w:pPr>
        <w:ind w:left="4320" w:hanging="360"/>
      </w:pPr>
      <w:rPr>
        <w:rFonts w:ascii="Wingdings" w:hAnsi="Wingdings" w:hint="default"/>
      </w:rPr>
    </w:lvl>
    <w:lvl w:ilvl="6" w:tplc="FAAE8AD6" w:tentative="1">
      <w:start w:val="1"/>
      <w:numFmt w:val="bullet"/>
      <w:lvlText w:val=""/>
      <w:lvlJc w:val="left"/>
      <w:pPr>
        <w:ind w:left="5040" w:hanging="360"/>
      </w:pPr>
      <w:rPr>
        <w:rFonts w:ascii="Symbol" w:hAnsi="Symbol" w:hint="default"/>
      </w:rPr>
    </w:lvl>
    <w:lvl w:ilvl="7" w:tplc="9FF89B0C" w:tentative="1">
      <w:start w:val="1"/>
      <w:numFmt w:val="bullet"/>
      <w:lvlText w:val="o"/>
      <w:lvlJc w:val="left"/>
      <w:pPr>
        <w:ind w:left="5760" w:hanging="360"/>
      </w:pPr>
      <w:rPr>
        <w:rFonts w:ascii="Courier New" w:hAnsi="Courier New" w:cs="Courier New" w:hint="default"/>
      </w:rPr>
    </w:lvl>
    <w:lvl w:ilvl="8" w:tplc="C2501CC8" w:tentative="1">
      <w:start w:val="1"/>
      <w:numFmt w:val="bullet"/>
      <w:lvlText w:val=""/>
      <w:lvlJc w:val="left"/>
      <w:pPr>
        <w:ind w:left="6480" w:hanging="360"/>
      </w:pPr>
      <w:rPr>
        <w:rFonts w:ascii="Wingdings" w:hAnsi="Wingdings" w:hint="default"/>
      </w:rPr>
    </w:lvl>
  </w:abstractNum>
  <w:abstractNum w:abstractNumId="17" w15:restartNumberingAfterBreak="0">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A63BD"/>
    <w:multiLevelType w:val="hybridMultilevel"/>
    <w:tmpl w:val="1326ED9A"/>
    <w:lvl w:ilvl="0" w:tplc="F6CECFAA">
      <w:start w:val="1"/>
      <w:numFmt w:val="bullet"/>
      <w:lvlText w:val=""/>
      <w:lvlJc w:val="left"/>
      <w:pPr>
        <w:tabs>
          <w:tab w:val="num" w:pos="720"/>
        </w:tabs>
        <w:ind w:left="720" w:hanging="360"/>
      </w:pPr>
      <w:rPr>
        <w:rFonts w:ascii="Symbol" w:hAnsi="Symbol" w:hint="default"/>
      </w:rPr>
    </w:lvl>
    <w:lvl w:ilvl="1" w:tplc="31807522" w:tentative="1">
      <w:start w:val="1"/>
      <w:numFmt w:val="bullet"/>
      <w:lvlText w:val="o"/>
      <w:lvlJc w:val="left"/>
      <w:pPr>
        <w:tabs>
          <w:tab w:val="num" w:pos="1440"/>
        </w:tabs>
        <w:ind w:left="1440" w:hanging="360"/>
      </w:pPr>
      <w:rPr>
        <w:rFonts w:ascii="Courier New" w:hAnsi="Courier New" w:hint="default"/>
      </w:rPr>
    </w:lvl>
    <w:lvl w:ilvl="2" w:tplc="2D6AA138" w:tentative="1">
      <w:start w:val="1"/>
      <w:numFmt w:val="bullet"/>
      <w:lvlText w:val=""/>
      <w:lvlJc w:val="left"/>
      <w:pPr>
        <w:tabs>
          <w:tab w:val="num" w:pos="2160"/>
        </w:tabs>
        <w:ind w:left="2160" w:hanging="360"/>
      </w:pPr>
      <w:rPr>
        <w:rFonts w:ascii="Wingdings" w:hAnsi="Wingdings" w:hint="default"/>
      </w:rPr>
    </w:lvl>
    <w:lvl w:ilvl="3" w:tplc="50B0CB38" w:tentative="1">
      <w:start w:val="1"/>
      <w:numFmt w:val="bullet"/>
      <w:lvlText w:val=""/>
      <w:lvlJc w:val="left"/>
      <w:pPr>
        <w:tabs>
          <w:tab w:val="num" w:pos="2880"/>
        </w:tabs>
        <w:ind w:left="2880" w:hanging="360"/>
      </w:pPr>
      <w:rPr>
        <w:rFonts w:ascii="Symbol" w:hAnsi="Symbol" w:hint="default"/>
      </w:rPr>
    </w:lvl>
    <w:lvl w:ilvl="4" w:tplc="9F285076" w:tentative="1">
      <w:start w:val="1"/>
      <w:numFmt w:val="bullet"/>
      <w:lvlText w:val="o"/>
      <w:lvlJc w:val="left"/>
      <w:pPr>
        <w:tabs>
          <w:tab w:val="num" w:pos="3600"/>
        </w:tabs>
        <w:ind w:left="3600" w:hanging="360"/>
      </w:pPr>
      <w:rPr>
        <w:rFonts w:ascii="Courier New" w:hAnsi="Courier New" w:hint="default"/>
      </w:rPr>
    </w:lvl>
    <w:lvl w:ilvl="5" w:tplc="32FC4C00" w:tentative="1">
      <w:start w:val="1"/>
      <w:numFmt w:val="bullet"/>
      <w:lvlText w:val=""/>
      <w:lvlJc w:val="left"/>
      <w:pPr>
        <w:tabs>
          <w:tab w:val="num" w:pos="4320"/>
        </w:tabs>
        <w:ind w:left="4320" w:hanging="360"/>
      </w:pPr>
      <w:rPr>
        <w:rFonts w:ascii="Wingdings" w:hAnsi="Wingdings" w:hint="default"/>
      </w:rPr>
    </w:lvl>
    <w:lvl w:ilvl="6" w:tplc="0BF86C42" w:tentative="1">
      <w:start w:val="1"/>
      <w:numFmt w:val="bullet"/>
      <w:lvlText w:val=""/>
      <w:lvlJc w:val="left"/>
      <w:pPr>
        <w:tabs>
          <w:tab w:val="num" w:pos="5040"/>
        </w:tabs>
        <w:ind w:left="5040" w:hanging="360"/>
      </w:pPr>
      <w:rPr>
        <w:rFonts w:ascii="Symbol" w:hAnsi="Symbol" w:hint="default"/>
      </w:rPr>
    </w:lvl>
    <w:lvl w:ilvl="7" w:tplc="85C436EC" w:tentative="1">
      <w:start w:val="1"/>
      <w:numFmt w:val="bullet"/>
      <w:lvlText w:val="o"/>
      <w:lvlJc w:val="left"/>
      <w:pPr>
        <w:tabs>
          <w:tab w:val="num" w:pos="5760"/>
        </w:tabs>
        <w:ind w:left="5760" w:hanging="360"/>
      </w:pPr>
      <w:rPr>
        <w:rFonts w:ascii="Courier New" w:hAnsi="Courier New" w:hint="default"/>
      </w:rPr>
    </w:lvl>
    <w:lvl w:ilvl="8" w:tplc="710AFD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E414F"/>
    <w:multiLevelType w:val="hybridMultilevel"/>
    <w:tmpl w:val="99F61858"/>
    <w:lvl w:ilvl="0" w:tplc="B25CEBC2">
      <w:start w:val="1"/>
      <w:numFmt w:val="bullet"/>
      <w:lvlText w:val=""/>
      <w:lvlJc w:val="left"/>
      <w:pPr>
        <w:tabs>
          <w:tab w:val="num" w:pos="360"/>
        </w:tabs>
        <w:ind w:left="360" w:hanging="360"/>
      </w:pPr>
      <w:rPr>
        <w:rFonts w:ascii="Symbol" w:hAnsi="Symbol" w:hint="default"/>
      </w:rPr>
    </w:lvl>
    <w:lvl w:ilvl="1" w:tplc="23C8124C" w:tentative="1">
      <w:start w:val="1"/>
      <w:numFmt w:val="bullet"/>
      <w:lvlText w:val="o"/>
      <w:lvlJc w:val="left"/>
      <w:pPr>
        <w:tabs>
          <w:tab w:val="num" w:pos="1080"/>
        </w:tabs>
        <w:ind w:left="1080" w:hanging="360"/>
      </w:pPr>
      <w:rPr>
        <w:rFonts w:ascii="Courier New" w:hAnsi="Courier New" w:cs="Courier New" w:hint="default"/>
      </w:rPr>
    </w:lvl>
    <w:lvl w:ilvl="2" w:tplc="2C5416D8" w:tentative="1">
      <w:start w:val="1"/>
      <w:numFmt w:val="bullet"/>
      <w:lvlText w:val=""/>
      <w:lvlJc w:val="left"/>
      <w:pPr>
        <w:tabs>
          <w:tab w:val="num" w:pos="1800"/>
        </w:tabs>
        <w:ind w:left="1800" w:hanging="360"/>
      </w:pPr>
      <w:rPr>
        <w:rFonts w:ascii="Wingdings" w:hAnsi="Wingdings" w:hint="default"/>
      </w:rPr>
    </w:lvl>
    <w:lvl w:ilvl="3" w:tplc="A25062E6" w:tentative="1">
      <w:start w:val="1"/>
      <w:numFmt w:val="bullet"/>
      <w:lvlText w:val=""/>
      <w:lvlJc w:val="left"/>
      <w:pPr>
        <w:tabs>
          <w:tab w:val="num" w:pos="2520"/>
        </w:tabs>
        <w:ind w:left="2520" w:hanging="360"/>
      </w:pPr>
      <w:rPr>
        <w:rFonts w:ascii="Symbol" w:hAnsi="Symbol" w:hint="default"/>
      </w:rPr>
    </w:lvl>
    <w:lvl w:ilvl="4" w:tplc="7BB69440" w:tentative="1">
      <w:start w:val="1"/>
      <w:numFmt w:val="bullet"/>
      <w:lvlText w:val="o"/>
      <w:lvlJc w:val="left"/>
      <w:pPr>
        <w:tabs>
          <w:tab w:val="num" w:pos="3240"/>
        </w:tabs>
        <w:ind w:left="3240" w:hanging="360"/>
      </w:pPr>
      <w:rPr>
        <w:rFonts w:ascii="Courier New" w:hAnsi="Courier New" w:cs="Courier New" w:hint="default"/>
      </w:rPr>
    </w:lvl>
    <w:lvl w:ilvl="5" w:tplc="09AA11A6" w:tentative="1">
      <w:start w:val="1"/>
      <w:numFmt w:val="bullet"/>
      <w:lvlText w:val=""/>
      <w:lvlJc w:val="left"/>
      <w:pPr>
        <w:tabs>
          <w:tab w:val="num" w:pos="3960"/>
        </w:tabs>
        <w:ind w:left="3960" w:hanging="360"/>
      </w:pPr>
      <w:rPr>
        <w:rFonts w:ascii="Wingdings" w:hAnsi="Wingdings" w:hint="default"/>
      </w:rPr>
    </w:lvl>
    <w:lvl w:ilvl="6" w:tplc="91109B3C" w:tentative="1">
      <w:start w:val="1"/>
      <w:numFmt w:val="bullet"/>
      <w:lvlText w:val=""/>
      <w:lvlJc w:val="left"/>
      <w:pPr>
        <w:tabs>
          <w:tab w:val="num" w:pos="4680"/>
        </w:tabs>
        <w:ind w:left="4680" w:hanging="360"/>
      </w:pPr>
      <w:rPr>
        <w:rFonts w:ascii="Symbol" w:hAnsi="Symbol" w:hint="default"/>
      </w:rPr>
    </w:lvl>
    <w:lvl w:ilvl="7" w:tplc="F564A48C" w:tentative="1">
      <w:start w:val="1"/>
      <w:numFmt w:val="bullet"/>
      <w:lvlText w:val="o"/>
      <w:lvlJc w:val="left"/>
      <w:pPr>
        <w:tabs>
          <w:tab w:val="num" w:pos="5400"/>
        </w:tabs>
        <w:ind w:left="5400" w:hanging="360"/>
      </w:pPr>
      <w:rPr>
        <w:rFonts w:ascii="Courier New" w:hAnsi="Courier New" w:cs="Courier New" w:hint="default"/>
      </w:rPr>
    </w:lvl>
    <w:lvl w:ilvl="8" w:tplc="36A4840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394E48"/>
    <w:multiLevelType w:val="multilevel"/>
    <w:tmpl w:val="3990B8C6"/>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5"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6" w15:restartNumberingAfterBreak="0">
    <w:nsid w:val="7FB401D6"/>
    <w:multiLevelType w:val="hybridMultilevel"/>
    <w:tmpl w:val="270C463E"/>
    <w:lvl w:ilvl="0" w:tplc="71D4500E">
      <w:start w:val="1"/>
      <w:numFmt w:val="bullet"/>
      <w:pStyle w:val="ListAlphabeticalLevel2"/>
      <w:lvlText w:val=""/>
      <w:lvlJc w:val="left"/>
      <w:pPr>
        <w:ind w:left="720" w:hanging="360"/>
      </w:pPr>
      <w:rPr>
        <w:rFonts w:ascii="Symbol" w:hAnsi="Symbol" w:hint="default"/>
      </w:rPr>
    </w:lvl>
    <w:lvl w:ilvl="1" w:tplc="AD9CED1A">
      <w:start w:val="1"/>
      <w:numFmt w:val="bullet"/>
      <w:lvlText w:val="o"/>
      <w:lvlJc w:val="left"/>
      <w:pPr>
        <w:ind w:left="1440" w:hanging="360"/>
      </w:pPr>
      <w:rPr>
        <w:rFonts w:ascii="Courier New" w:hAnsi="Courier New" w:cs="Courier New" w:hint="default"/>
      </w:rPr>
    </w:lvl>
    <w:lvl w:ilvl="2" w:tplc="B166103C">
      <w:start w:val="1"/>
      <w:numFmt w:val="bullet"/>
      <w:lvlText w:val=""/>
      <w:lvlJc w:val="left"/>
      <w:pPr>
        <w:ind w:left="2160" w:hanging="360"/>
      </w:pPr>
      <w:rPr>
        <w:rFonts w:ascii="Wingdings" w:hAnsi="Wingdings" w:hint="default"/>
      </w:rPr>
    </w:lvl>
    <w:lvl w:ilvl="3" w:tplc="09B81A1E" w:tentative="1">
      <w:start w:val="1"/>
      <w:numFmt w:val="bullet"/>
      <w:lvlText w:val=""/>
      <w:lvlJc w:val="left"/>
      <w:pPr>
        <w:ind w:left="2880" w:hanging="360"/>
      </w:pPr>
      <w:rPr>
        <w:rFonts w:ascii="Symbol" w:hAnsi="Symbol" w:hint="default"/>
      </w:rPr>
    </w:lvl>
    <w:lvl w:ilvl="4" w:tplc="7B307F80" w:tentative="1">
      <w:start w:val="1"/>
      <w:numFmt w:val="bullet"/>
      <w:lvlText w:val="o"/>
      <w:lvlJc w:val="left"/>
      <w:pPr>
        <w:ind w:left="3600" w:hanging="360"/>
      </w:pPr>
      <w:rPr>
        <w:rFonts w:ascii="Courier New" w:hAnsi="Courier New" w:cs="Courier New" w:hint="default"/>
      </w:rPr>
    </w:lvl>
    <w:lvl w:ilvl="5" w:tplc="EB6ACD8E" w:tentative="1">
      <w:start w:val="1"/>
      <w:numFmt w:val="bullet"/>
      <w:lvlText w:val=""/>
      <w:lvlJc w:val="left"/>
      <w:pPr>
        <w:ind w:left="4320" w:hanging="360"/>
      </w:pPr>
      <w:rPr>
        <w:rFonts w:ascii="Wingdings" w:hAnsi="Wingdings" w:hint="default"/>
      </w:rPr>
    </w:lvl>
    <w:lvl w:ilvl="6" w:tplc="68DC259C" w:tentative="1">
      <w:start w:val="1"/>
      <w:numFmt w:val="bullet"/>
      <w:lvlText w:val=""/>
      <w:lvlJc w:val="left"/>
      <w:pPr>
        <w:ind w:left="5040" w:hanging="360"/>
      </w:pPr>
      <w:rPr>
        <w:rFonts w:ascii="Symbol" w:hAnsi="Symbol" w:hint="default"/>
      </w:rPr>
    </w:lvl>
    <w:lvl w:ilvl="7" w:tplc="358E054E" w:tentative="1">
      <w:start w:val="1"/>
      <w:numFmt w:val="bullet"/>
      <w:lvlText w:val="o"/>
      <w:lvlJc w:val="left"/>
      <w:pPr>
        <w:ind w:left="5760" w:hanging="360"/>
      </w:pPr>
      <w:rPr>
        <w:rFonts w:ascii="Courier New" w:hAnsi="Courier New" w:cs="Courier New" w:hint="default"/>
      </w:rPr>
    </w:lvl>
    <w:lvl w:ilvl="8" w:tplc="C624E046"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0"/>
  </w:num>
  <w:num w:numId="4">
    <w:abstractNumId w:val="12"/>
  </w:num>
  <w:num w:numId="5">
    <w:abstractNumId w:val="26"/>
  </w:num>
  <w:num w:numId="6">
    <w:abstractNumId w:val="22"/>
  </w:num>
  <w:num w:numId="7">
    <w:abstractNumId w:val="16"/>
  </w:num>
  <w:num w:numId="8">
    <w:abstractNumId w:val="23"/>
  </w:num>
  <w:num w:numId="9">
    <w:abstractNumId w:val="6"/>
  </w:num>
  <w:num w:numId="10">
    <w:abstractNumId w:val="15"/>
  </w:num>
  <w:num w:numId="11">
    <w:abstractNumId w:val="4"/>
  </w:num>
  <w:num w:numId="12">
    <w:abstractNumId w:val="14"/>
  </w:num>
  <w:num w:numId="13">
    <w:abstractNumId w:val="7"/>
  </w:num>
  <w:num w:numId="14">
    <w:abstractNumId w:val="5"/>
  </w:num>
  <w:num w:numId="15">
    <w:abstractNumId w:val="3"/>
  </w:num>
  <w:num w:numId="16">
    <w:abstractNumId w:val="24"/>
  </w:num>
  <w:num w:numId="17">
    <w:abstractNumId w:val="25"/>
  </w:num>
  <w:num w:numId="18">
    <w:abstractNumId w:val="8"/>
  </w:num>
  <w:num w:numId="19">
    <w:abstractNumId w:val="21"/>
  </w:num>
  <w:num w:numId="20">
    <w:abstractNumId w:val="9"/>
  </w:num>
  <w:num w:numId="21">
    <w:abstractNumId w:val="13"/>
  </w:num>
  <w:num w:numId="22">
    <w:abstractNumId w:val="2"/>
  </w:num>
  <w:num w:numId="23">
    <w:abstractNumId w:val="18"/>
  </w:num>
  <w:num w:numId="24">
    <w:abstractNumId w:val="2"/>
  </w:num>
  <w:num w:numId="25">
    <w:abstractNumId w:val="2"/>
  </w:num>
  <w:num w:numId="26">
    <w:abstractNumId w:val="20"/>
  </w:num>
  <w:num w:numId="27">
    <w:abstractNumId w:val="17"/>
  </w:num>
  <w:num w:numId="28">
    <w:abstractNumId w:val="11"/>
  </w:num>
  <w:num w:numId="29">
    <w:abstractNumId w:val="10"/>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3"/>
  <w:proofState w:spelling="clean" w:grammar="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48eef5-6b58-4b62-b6d1-ad8697cc6ee6" w:val=" "/>
    <w:docVar w:name="VAULT_ND_04df150d-113f-42d9-a82a-709b4abf706a" w:val=" "/>
    <w:docVar w:name="vault_nd_07744c44-b8dd-4f79-82e7-2c872bd99d88" w:val=" "/>
    <w:docVar w:name="vault_nd_079747e8-575f-44af-a802-bdafcbcdb6d0" w:val=" "/>
    <w:docVar w:name="VAULT_ND_0dd9710f-15f5-4155-835b-80fa6fe5dbc1" w:val=" "/>
    <w:docVar w:name="vault_nd_0e24b6cb-cace-43cf-8233-2be3d9ee2ba4" w:val=" "/>
    <w:docVar w:name="VAULT_ND_1095b711-794c-48c3-9345-f2da1e2d5124" w:val=" "/>
    <w:docVar w:name="vault_nd_10e1b045-9d4e-4884-af19-49171d5323c6" w:val=" "/>
    <w:docVar w:name="vault_nd_12c767ee-9d6a-4360-b1b3-9d72304d4e96" w:val=" "/>
    <w:docVar w:name="vault_nd_1337185f-0421-4003-9d51-1c1bb3dec81f" w:val=" "/>
    <w:docVar w:name="vault_nd_13a97868-784b-4d7d-b09d-04f7f0578ebc" w:val=" "/>
    <w:docVar w:name="VAULT_ND_13e6c50b-b24d-4553-8dd8-92f0e0e9698d" w:val=" "/>
    <w:docVar w:name="VAULT_ND_21f19a4d-8a4a-4bf3-8b24-123d7b2028e0" w:val=" "/>
    <w:docVar w:name="vault_nd_278a096a-5acd-44b5-8a4f-969b353a83d3" w:val=" "/>
    <w:docVar w:name="vault_nd_3013883e-5891-4c08-a6a1-bafd437d6d41" w:val=" "/>
    <w:docVar w:name="VAULT_ND_31c2a60e-4f4a-45b5-be8b-85cd87fdf865" w:val=" "/>
    <w:docVar w:name="vault_nd_370dffb8-52e7-43d4-863c-f104161506ea" w:val=" "/>
    <w:docVar w:name="VAULT_ND_397aa192-a8c7-4d09-8ab7-87fe11fb6c8a" w:val=" "/>
    <w:docVar w:name="VAULT_ND_39f43f04-a6df-431d-82d9-8a566e1e19bf" w:val=" "/>
    <w:docVar w:name="vault_nd_3a2648f0-d2ba-4bb2-8f5a-f701c9406149" w:val=" "/>
    <w:docVar w:name="VAULT_ND_3a48b0df-92ec-49fb-933a-2afe4f0e83ab" w:val=" "/>
    <w:docVar w:name="vault_nd_43fac621-91cb-4543-9c8a-4fe0ead2ac45" w:val=" "/>
    <w:docVar w:name="vault_nd_440446f2-fca0-4306-96b7-f0456e87c299" w:val=" "/>
    <w:docVar w:name="VAULT_ND_5330cb16-8f62-4752-ad2a-6b62bebc2781" w:val=" "/>
    <w:docVar w:name="vault_nd_5800de5d-32a0-4ad9-9124-efd540725d5b" w:val=" "/>
    <w:docVar w:name="vault_nd_5e2220d6-934b-4586-9f90-89aa9bf01f76" w:val=" "/>
    <w:docVar w:name="vault_nd_5ecc5296-dd81-48cf-a5a3-f3febd02e89a" w:val=" "/>
    <w:docVar w:name="VAULT_ND_5f878125-a15c-43a2-a0b6-db11bd77d831" w:val=" "/>
    <w:docVar w:name="VAULT_ND_628729ca-ef3e-4bcc-9f98-2dcabbc801e5" w:val=" "/>
    <w:docVar w:name="vault_nd_62bccea0-4839-4877-ab3d-1f1860157b9c" w:val=" "/>
    <w:docVar w:name="vault_nd_63074a8d-a3b2-4866-a54b-e000061aad00" w:val=" "/>
    <w:docVar w:name="vault_nd_66531934-0715-4b91-ba6e-1ef0242bfe06" w:val=" "/>
    <w:docVar w:name="VAULT_ND_691a0a18-18c8-492a-84dc-7b9250b06420" w:val=" "/>
    <w:docVar w:name="VAULT_ND_6b3776f1-b70a-4ee6-a83d-cbe9a0e07b72" w:val=" "/>
    <w:docVar w:name="vault_nd_6bac6076-93b6-4ac6-b69c-fc152a47acbf" w:val=" "/>
    <w:docVar w:name="vault_nd_712b3b09-be87-4c63-828e-88cf8197a6a2" w:val=" "/>
    <w:docVar w:name="vault_nd_73082799-df0c-42fc-807a-625d0b210c8e" w:val=" "/>
    <w:docVar w:name="vault_nd_7698f4b4-7b26-4d63-ab64-e81ef99d1eb7" w:val=" "/>
    <w:docVar w:name="vault_nd_77827f3e-73e9-4149-9af0-95ce5e0799ed" w:val=" "/>
    <w:docVar w:name="vault_nd_7ae06e35-27c3-4826-8365-9b5acd4d8788" w:val=" "/>
    <w:docVar w:name="VAULT_ND_7c1fed63-8360-40fa-ae6a-c5da0c7cd247" w:val=" "/>
    <w:docVar w:name="VAULT_ND_7ef5f8cc-872a-4dfe-b6c1-ddc73eb62fd5" w:val=" "/>
    <w:docVar w:name="vault_nd_81622955-2260-44d3-abdf-b041a8acb6e5" w:val=" "/>
    <w:docVar w:name="vault_nd_834eb634-bb98-421a-bf79-e9e9a3d5ff59" w:val=" "/>
    <w:docVar w:name="vault_nd_83c5c13e-41d2-48ff-8317-7846319ef051" w:val=" "/>
    <w:docVar w:name="VAULT_ND_88078256-5c66-445a-946c-5e756c4b3547" w:val=" "/>
    <w:docVar w:name="vault_nd_8c2b3bd1-6654-4ee7-a35b-9dceafa28ffd" w:val=" "/>
    <w:docVar w:name="VAULT_ND_919d2160-e581-4653-9258-a14e58be0b99" w:val=" "/>
    <w:docVar w:name="VAULT_ND_9372a6ad-f77e-4de6-aeb5-81827c03558e" w:val=" "/>
    <w:docVar w:name="vault_nd_9b147d05-2189-418d-953e-a4dbad5bb64b" w:val=" "/>
    <w:docVar w:name="vault_nd_9f6d9c03-dd2a-412e-bc0a-937394d398ee" w:val=" "/>
    <w:docVar w:name="VAULT_ND_9f9ae207-6d92-4dbc-815f-36a38ce4795a" w:val=" "/>
    <w:docVar w:name="VAULT_ND_a2e614f7-dc8d-4a16-9bd9-f66151d634f4" w:val=" "/>
    <w:docVar w:name="VAULT_ND_a7f5d991-76f9-4c01-8ad9-5ad7208d8f89" w:val=" "/>
    <w:docVar w:name="vault_nd_a9d0ce6c-fd28-4fee-8c41-58029b81592e" w:val=" "/>
    <w:docVar w:name="VAULT_ND_af5b0637-d748-43cf-84bd-f562edcbf46d" w:val=" "/>
    <w:docVar w:name="vault_nd_bbf2e894-6105-4ca6-80ce-6730db1d788d" w:val=" "/>
    <w:docVar w:name="vault_nd_bc6eb14e-abc7-4d61-ac2e-ea9fb3c7b27d" w:val=" "/>
    <w:docVar w:name="vault_nd_beb78ccf-c92c-431d-8684-fdd8aaf93021" w:val=" "/>
    <w:docVar w:name="vault_nd_c176d92c-d6e1-4b40-99f5-cae356d45b4d" w:val=" "/>
    <w:docVar w:name="vault_nd_c17c23ae-bec4-47eb-8973-ff9f26a5fd30" w:val=" "/>
    <w:docVar w:name="VAULT_ND_c3e3319e-3f01-4775-89eb-39e489f9a546" w:val=" "/>
    <w:docVar w:name="vault_nd_cbd5cb6d-d646-4f3f-abd9-b3ef3da1bdab" w:val=" "/>
    <w:docVar w:name="vault_nd_ce107f3f-d501-4697-9532-83c38cd45fc8" w:val=" "/>
    <w:docVar w:name="VAULT_ND_d09e8c39-da24-400e-9a5c-358d56084b09" w:val=" "/>
    <w:docVar w:name="vault_nd_d2802bf9-7190-4724-90e2-9f9d86ee500d" w:val=" "/>
    <w:docVar w:name="VAULT_ND_d485f141-aaf8-4e2c-8fe7-847a9c2915f5" w:val=" "/>
    <w:docVar w:name="VAULT_ND_d6c1d1e0-525c-4b5a-91f7-5ff6befe5cc9" w:val=" "/>
    <w:docVar w:name="VAULT_ND_d98c6ba5-752d-480b-af70-6fc839a81b9a" w:val=" "/>
    <w:docVar w:name="vault_nd_dc76661b-9fd6-4dc0-9ae6-4d957ba1ec30" w:val=" "/>
    <w:docVar w:name="vault_nd_dca196db-5590-49db-9bc3-504713533ec2" w:val=" "/>
    <w:docVar w:name="VAULT_ND_e1904e9a-b389-41e7-9b48-87fc49bef95c" w:val=" "/>
    <w:docVar w:name="vault_nd_e5f8d198-b4c4-4305-bac4-8e1f0a592ddd" w:val=" "/>
    <w:docVar w:name="VAULT_ND_e7fd808f-de6d-4354-a151-d1c0920a4b45" w:val=" "/>
    <w:docVar w:name="vault_nd_eb7b46ed-2246-45ed-b6d9-cd5d936863c6" w:val=" "/>
    <w:docVar w:name="vault_nd_eb99e295-1573-4c71-94e3-4d9a7e9c64fa" w:val=" "/>
    <w:docVar w:name="vault_nd_ec7772a7-0659-42b9-84cf-a8d0ff858e10" w:val=" "/>
    <w:docVar w:name="vault_nd_ee67fc03-0282-477a-938a-ab7dccf04e92" w:val=" "/>
    <w:docVar w:name="vault_nd_eecfcc15-5a66-4ff6-8109-3ec233070353" w:val=" "/>
    <w:docVar w:name="vault_nd_f138f655-38fa-4602-bb83-58d842319aec" w:val=" "/>
    <w:docVar w:name="vault_nd_f645b76b-2920-4801-bcbf-e7ceedfa9b9c" w:val=" "/>
    <w:docVar w:name="VAULT_ND_f68aa2e2-6a7a-4dab-a4a0-8156faa7ad54" w:val=" "/>
    <w:docVar w:name="vault_nd_f6e38d2d-4063-4f42-a53f-5a9065355151" w:val=" "/>
    <w:docVar w:name="vault_nd_f89b6f55-3cfb-4fe8-8fea-e530605f226b" w:val=" "/>
    <w:docVar w:name="vault_nd_fb3675c0-6600-4599-862e-3f73fb060cae" w:val=" "/>
  </w:docVars>
  <w:rsids>
    <w:rsidRoot w:val="00FB23E5"/>
    <w:rsid w:val="00024098"/>
    <w:rsid w:val="000257A8"/>
    <w:rsid w:val="00034380"/>
    <w:rsid w:val="00041444"/>
    <w:rsid w:val="000423D7"/>
    <w:rsid w:val="00043E9F"/>
    <w:rsid w:val="0004475D"/>
    <w:rsid w:val="00054226"/>
    <w:rsid w:val="0006616F"/>
    <w:rsid w:val="0007233F"/>
    <w:rsid w:val="000911AA"/>
    <w:rsid w:val="00091B2B"/>
    <w:rsid w:val="00097241"/>
    <w:rsid w:val="000A65FB"/>
    <w:rsid w:val="000B539A"/>
    <w:rsid w:val="000B723D"/>
    <w:rsid w:val="000E1A58"/>
    <w:rsid w:val="000E2BF0"/>
    <w:rsid w:val="000F11CC"/>
    <w:rsid w:val="0010727A"/>
    <w:rsid w:val="00107CD1"/>
    <w:rsid w:val="0012230A"/>
    <w:rsid w:val="00143FCC"/>
    <w:rsid w:val="00176726"/>
    <w:rsid w:val="0017701A"/>
    <w:rsid w:val="00194D6E"/>
    <w:rsid w:val="001A3992"/>
    <w:rsid w:val="001A613B"/>
    <w:rsid w:val="001B58CD"/>
    <w:rsid w:val="001E65FD"/>
    <w:rsid w:val="001F690A"/>
    <w:rsid w:val="00200B68"/>
    <w:rsid w:val="002245D3"/>
    <w:rsid w:val="00245969"/>
    <w:rsid w:val="0024632F"/>
    <w:rsid w:val="00285A68"/>
    <w:rsid w:val="00291BAA"/>
    <w:rsid w:val="00292D82"/>
    <w:rsid w:val="002B3D6B"/>
    <w:rsid w:val="002E277D"/>
    <w:rsid w:val="003056BD"/>
    <w:rsid w:val="00307108"/>
    <w:rsid w:val="00323EB3"/>
    <w:rsid w:val="003469A9"/>
    <w:rsid w:val="00347D8E"/>
    <w:rsid w:val="0036782A"/>
    <w:rsid w:val="003962E6"/>
    <w:rsid w:val="003B31EC"/>
    <w:rsid w:val="003B45A1"/>
    <w:rsid w:val="003B6976"/>
    <w:rsid w:val="003B77B7"/>
    <w:rsid w:val="003C3FB2"/>
    <w:rsid w:val="003D0D13"/>
    <w:rsid w:val="003E37D5"/>
    <w:rsid w:val="003E3F40"/>
    <w:rsid w:val="004032BD"/>
    <w:rsid w:val="00407FF3"/>
    <w:rsid w:val="00410060"/>
    <w:rsid w:val="00416DEA"/>
    <w:rsid w:val="0042052C"/>
    <w:rsid w:val="00425F6F"/>
    <w:rsid w:val="00427516"/>
    <w:rsid w:val="00431ACD"/>
    <w:rsid w:val="00443F48"/>
    <w:rsid w:val="00445C04"/>
    <w:rsid w:val="00466BF1"/>
    <w:rsid w:val="00477BD3"/>
    <w:rsid w:val="00482883"/>
    <w:rsid w:val="004939A8"/>
    <w:rsid w:val="004A05C7"/>
    <w:rsid w:val="004B6B7E"/>
    <w:rsid w:val="004D0FD8"/>
    <w:rsid w:val="004F0E4A"/>
    <w:rsid w:val="00504E72"/>
    <w:rsid w:val="00512BA0"/>
    <w:rsid w:val="00514ED3"/>
    <w:rsid w:val="00550DA5"/>
    <w:rsid w:val="005528DB"/>
    <w:rsid w:val="00552CB3"/>
    <w:rsid w:val="00560D82"/>
    <w:rsid w:val="005A57C3"/>
    <w:rsid w:val="005B3EB9"/>
    <w:rsid w:val="005C550E"/>
    <w:rsid w:val="005E11B2"/>
    <w:rsid w:val="005E54E8"/>
    <w:rsid w:val="005F3CAD"/>
    <w:rsid w:val="00606CD4"/>
    <w:rsid w:val="00610658"/>
    <w:rsid w:val="00614370"/>
    <w:rsid w:val="0061574B"/>
    <w:rsid w:val="00615D39"/>
    <w:rsid w:val="006167DB"/>
    <w:rsid w:val="00620E1D"/>
    <w:rsid w:val="0062272E"/>
    <w:rsid w:val="0062537C"/>
    <w:rsid w:val="0062563B"/>
    <w:rsid w:val="006300D9"/>
    <w:rsid w:val="00661597"/>
    <w:rsid w:val="006773C8"/>
    <w:rsid w:val="00680FAB"/>
    <w:rsid w:val="00687172"/>
    <w:rsid w:val="0069033B"/>
    <w:rsid w:val="006A35F3"/>
    <w:rsid w:val="006B335D"/>
    <w:rsid w:val="006B49F1"/>
    <w:rsid w:val="006C4F94"/>
    <w:rsid w:val="006C682C"/>
    <w:rsid w:val="006F34DC"/>
    <w:rsid w:val="006F6A37"/>
    <w:rsid w:val="00703FA3"/>
    <w:rsid w:val="00717E34"/>
    <w:rsid w:val="007203DF"/>
    <w:rsid w:val="0072790B"/>
    <w:rsid w:val="00730F0D"/>
    <w:rsid w:val="0073140E"/>
    <w:rsid w:val="00734065"/>
    <w:rsid w:val="00735B15"/>
    <w:rsid w:val="00743D34"/>
    <w:rsid w:val="00744556"/>
    <w:rsid w:val="0074667C"/>
    <w:rsid w:val="00750F22"/>
    <w:rsid w:val="00752EFA"/>
    <w:rsid w:val="00792C1A"/>
    <w:rsid w:val="00797087"/>
    <w:rsid w:val="007A3115"/>
    <w:rsid w:val="007C4C57"/>
    <w:rsid w:val="007C6CA3"/>
    <w:rsid w:val="007D03C7"/>
    <w:rsid w:val="007E3522"/>
    <w:rsid w:val="007E6108"/>
    <w:rsid w:val="007F0F04"/>
    <w:rsid w:val="007F5407"/>
    <w:rsid w:val="007F5866"/>
    <w:rsid w:val="00805DA6"/>
    <w:rsid w:val="00806B00"/>
    <w:rsid w:val="00807D72"/>
    <w:rsid w:val="00810938"/>
    <w:rsid w:val="008133D0"/>
    <w:rsid w:val="00816319"/>
    <w:rsid w:val="00820537"/>
    <w:rsid w:val="00842632"/>
    <w:rsid w:val="00846719"/>
    <w:rsid w:val="00864F2F"/>
    <w:rsid w:val="00870855"/>
    <w:rsid w:val="0087606C"/>
    <w:rsid w:val="00882EEE"/>
    <w:rsid w:val="0089077B"/>
    <w:rsid w:val="008B24A8"/>
    <w:rsid w:val="008B3523"/>
    <w:rsid w:val="008B7872"/>
    <w:rsid w:val="008E6B0A"/>
    <w:rsid w:val="00913C54"/>
    <w:rsid w:val="00917B45"/>
    <w:rsid w:val="00922E7F"/>
    <w:rsid w:val="00940E59"/>
    <w:rsid w:val="009466D4"/>
    <w:rsid w:val="00960CD5"/>
    <w:rsid w:val="00963A5D"/>
    <w:rsid w:val="009761F1"/>
    <w:rsid w:val="009934AB"/>
    <w:rsid w:val="00997E6F"/>
    <w:rsid w:val="009E4A3A"/>
    <w:rsid w:val="00A13495"/>
    <w:rsid w:val="00A47918"/>
    <w:rsid w:val="00A62F6D"/>
    <w:rsid w:val="00A63397"/>
    <w:rsid w:val="00AC6BB4"/>
    <w:rsid w:val="00AE4618"/>
    <w:rsid w:val="00AE5799"/>
    <w:rsid w:val="00AF5AAE"/>
    <w:rsid w:val="00B14C17"/>
    <w:rsid w:val="00B3679C"/>
    <w:rsid w:val="00B37843"/>
    <w:rsid w:val="00B515EF"/>
    <w:rsid w:val="00B66E9F"/>
    <w:rsid w:val="00B809E6"/>
    <w:rsid w:val="00BA1ABB"/>
    <w:rsid w:val="00BA3A07"/>
    <w:rsid w:val="00BA7943"/>
    <w:rsid w:val="00BB5022"/>
    <w:rsid w:val="00BC2275"/>
    <w:rsid w:val="00BC364A"/>
    <w:rsid w:val="00BE6931"/>
    <w:rsid w:val="00BF29A6"/>
    <w:rsid w:val="00BF5B82"/>
    <w:rsid w:val="00C06693"/>
    <w:rsid w:val="00C07FE7"/>
    <w:rsid w:val="00C24A41"/>
    <w:rsid w:val="00C261D0"/>
    <w:rsid w:val="00C27944"/>
    <w:rsid w:val="00C301BA"/>
    <w:rsid w:val="00C43229"/>
    <w:rsid w:val="00C51D96"/>
    <w:rsid w:val="00C650F2"/>
    <w:rsid w:val="00C85887"/>
    <w:rsid w:val="00C92C9D"/>
    <w:rsid w:val="00C95448"/>
    <w:rsid w:val="00C971E9"/>
    <w:rsid w:val="00CA5C63"/>
    <w:rsid w:val="00CA6CCF"/>
    <w:rsid w:val="00CA73C2"/>
    <w:rsid w:val="00CB1EA2"/>
    <w:rsid w:val="00CC1A8C"/>
    <w:rsid w:val="00CD0102"/>
    <w:rsid w:val="00CD52E2"/>
    <w:rsid w:val="00D0640A"/>
    <w:rsid w:val="00D0674B"/>
    <w:rsid w:val="00D26F4B"/>
    <w:rsid w:val="00D33948"/>
    <w:rsid w:val="00D44BA0"/>
    <w:rsid w:val="00D52DEA"/>
    <w:rsid w:val="00D65753"/>
    <w:rsid w:val="00D666A2"/>
    <w:rsid w:val="00D70EC1"/>
    <w:rsid w:val="00D8296A"/>
    <w:rsid w:val="00D86276"/>
    <w:rsid w:val="00D93431"/>
    <w:rsid w:val="00DA0DD6"/>
    <w:rsid w:val="00DB408B"/>
    <w:rsid w:val="00DB7A61"/>
    <w:rsid w:val="00DD18DF"/>
    <w:rsid w:val="00DD1FB2"/>
    <w:rsid w:val="00DD2B8C"/>
    <w:rsid w:val="00DE16CB"/>
    <w:rsid w:val="00DE2723"/>
    <w:rsid w:val="00DF0EDC"/>
    <w:rsid w:val="00DF5E99"/>
    <w:rsid w:val="00E25D6F"/>
    <w:rsid w:val="00E3754B"/>
    <w:rsid w:val="00E443AD"/>
    <w:rsid w:val="00E531B8"/>
    <w:rsid w:val="00E53688"/>
    <w:rsid w:val="00E55F58"/>
    <w:rsid w:val="00E67B48"/>
    <w:rsid w:val="00E71F4B"/>
    <w:rsid w:val="00E74A56"/>
    <w:rsid w:val="00E756B9"/>
    <w:rsid w:val="00E87DAF"/>
    <w:rsid w:val="00E97C1C"/>
    <w:rsid w:val="00EA32BC"/>
    <w:rsid w:val="00EA3BA3"/>
    <w:rsid w:val="00EA47C3"/>
    <w:rsid w:val="00EB2298"/>
    <w:rsid w:val="00ED0937"/>
    <w:rsid w:val="00ED0AE7"/>
    <w:rsid w:val="00ED2051"/>
    <w:rsid w:val="00EF6F03"/>
    <w:rsid w:val="00F06C3A"/>
    <w:rsid w:val="00F34F52"/>
    <w:rsid w:val="00F3561E"/>
    <w:rsid w:val="00F4013E"/>
    <w:rsid w:val="00F4343A"/>
    <w:rsid w:val="00F47850"/>
    <w:rsid w:val="00F645A9"/>
    <w:rsid w:val="00F70836"/>
    <w:rsid w:val="00F73C4F"/>
    <w:rsid w:val="00F77B7A"/>
    <w:rsid w:val="00F8219C"/>
    <w:rsid w:val="00F919E7"/>
    <w:rsid w:val="00F963EB"/>
    <w:rsid w:val="00FB23E5"/>
    <w:rsid w:val="00FD3E22"/>
    <w:rsid w:val="00FD4643"/>
    <w:rsid w:val="00FD7489"/>
    <w:rsid w:val="00FE19A2"/>
    <w:rsid w:val="00FE43D5"/>
    <w:rsid w:val="00FF44F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EEDB40A"/>
  <w15:docId w15:val="{AB225B1E-20A3-4922-B931-7F91FE56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7A"/>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7F0F04"/>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7F0F04"/>
    <w:pPr>
      <w:pageBreakBefore w:val="0"/>
      <w:numPr>
        <w:ilvl w:val="1"/>
      </w:numPr>
      <w:outlineLvl w:val="1"/>
    </w:pPr>
    <w:rPr>
      <w:bCs w:val="0"/>
      <w:iCs/>
      <w:sz w:val="22"/>
      <w:szCs w:val="28"/>
    </w:rPr>
  </w:style>
  <w:style w:type="paragraph" w:styleId="Heading3">
    <w:name w:val="heading 3"/>
    <w:basedOn w:val="Heading1"/>
    <w:next w:val="Normal"/>
    <w:link w:val="Heading3Char"/>
    <w:qFormat/>
    <w:rsid w:val="007F0F04"/>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7F0F04"/>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7F0F04"/>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7F0F04"/>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7F0F04"/>
    <w:pPr>
      <w:numPr>
        <w:ilvl w:val="6"/>
      </w:numPr>
      <w:outlineLvl w:val="6"/>
    </w:pPr>
  </w:style>
  <w:style w:type="paragraph" w:styleId="Heading8">
    <w:name w:val="heading 8"/>
    <w:basedOn w:val="Heading6"/>
    <w:next w:val="Normal"/>
    <w:link w:val="Heading8Char"/>
    <w:qFormat/>
    <w:rsid w:val="007F0F04"/>
    <w:pPr>
      <w:numPr>
        <w:ilvl w:val="7"/>
      </w:numPr>
      <w:outlineLvl w:val="7"/>
    </w:pPr>
    <w:rPr>
      <w:iCs/>
    </w:rPr>
  </w:style>
  <w:style w:type="paragraph" w:styleId="Heading9">
    <w:name w:val="heading 9"/>
    <w:basedOn w:val="Heading6"/>
    <w:next w:val="Normal"/>
    <w:link w:val="Heading9Char"/>
    <w:qFormat/>
    <w:rsid w:val="007F0F04"/>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E59"/>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940E59"/>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940E59"/>
    <w:rPr>
      <w:rFonts w:ascii="Arial" w:eastAsia="MS Gothic" w:hAnsi="Arial" w:cs="Arial"/>
      <w:b/>
      <w:kern w:val="32"/>
      <w:szCs w:val="26"/>
      <w:lang w:val="en-US"/>
    </w:rPr>
  </w:style>
  <w:style w:type="character" w:customStyle="1" w:styleId="Heading4Char">
    <w:name w:val="Heading 4 Char"/>
    <w:basedOn w:val="DefaultParagraphFont"/>
    <w:link w:val="Heading4"/>
    <w:rsid w:val="00940E59"/>
    <w:rPr>
      <w:rFonts w:ascii="Arial" w:eastAsia="MS Gothic" w:hAnsi="Arial" w:cs="Arial"/>
      <w:b/>
      <w:i/>
      <w:kern w:val="32"/>
      <w:szCs w:val="28"/>
      <w:lang w:val="en-US"/>
    </w:rPr>
  </w:style>
  <w:style w:type="character" w:customStyle="1" w:styleId="Heading5Char">
    <w:name w:val="Heading 5 Char"/>
    <w:basedOn w:val="DefaultParagraphFont"/>
    <w:link w:val="Heading5"/>
    <w:rsid w:val="00940E59"/>
    <w:rPr>
      <w:rFonts w:ascii="Arial" w:eastAsia="MS Gothic" w:hAnsi="Arial" w:cs="Arial"/>
      <w:i/>
      <w:iCs/>
      <w:kern w:val="32"/>
      <w:szCs w:val="26"/>
      <w:lang w:val="en-US"/>
    </w:rPr>
  </w:style>
  <w:style w:type="character" w:customStyle="1" w:styleId="Heading6Char">
    <w:name w:val="Heading 6 Char"/>
    <w:basedOn w:val="DefaultParagraphFont"/>
    <w:link w:val="Heading6"/>
    <w:rsid w:val="00940E59"/>
    <w:rPr>
      <w:rFonts w:ascii="Arial" w:eastAsia="MS Gothic" w:hAnsi="Arial" w:cs="Arial"/>
      <w:kern w:val="32"/>
      <w:lang w:val="en-US"/>
    </w:rPr>
  </w:style>
  <w:style w:type="character" w:customStyle="1" w:styleId="Heading7Char">
    <w:name w:val="Heading 7 Char"/>
    <w:basedOn w:val="DefaultParagraphFont"/>
    <w:link w:val="Heading7"/>
    <w:rsid w:val="00940E59"/>
    <w:rPr>
      <w:rFonts w:ascii="Arial" w:eastAsia="MS Gothic" w:hAnsi="Arial" w:cs="Arial"/>
      <w:kern w:val="32"/>
      <w:lang w:val="en-US"/>
    </w:rPr>
  </w:style>
  <w:style w:type="character" w:customStyle="1" w:styleId="Heading8Char">
    <w:name w:val="Heading 8 Char"/>
    <w:basedOn w:val="DefaultParagraphFont"/>
    <w:link w:val="Heading8"/>
    <w:rsid w:val="00940E59"/>
    <w:rPr>
      <w:rFonts w:ascii="Arial" w:eastAsia="MS Gothic" w:hAnsi="Arial" w:cs="Arial"/>
      <w:iCs/>
      <w:kern w:val="32"/>
      <w:lang w:val="en-US"/>
    </w:rPr>
  </w:style>
  <w:style w:type="character" w:customStyle="1" w:styleId="Heading9Char">
    <w:name w:val="Heading 9 Char"/>
    <w:basedOn w:val="DefaultParagraphFont"/>
    <w:link w:val="Heading9"/>
    <w:rsid w:val="00940E59"/>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F77B7A"/>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F77B7A"/>
    <w:rPr>
      <w:rFonts w:ascii="Times New Roman" w:eastAsia="MS Mincho" w:hAnsi="Times New Roman"/>
      <w:color w:val="0000FF"/>
      <w:sz w:val="18"/>
      <w:vertAlign w:val="superscript"/>
    </w:rPr>
  </w:style>
  <w:style w:type="paragraph" w:styleId="ListBullet">
    <w:name w:val="List Bullet"/>
    <w:basedOn w:val="Normal"/>
    <w:rsid w:val="00F77B7A"/>
    <w:pPr>
      <w:numPr>
        <w:numId w:val="6"/>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uiPriority w:val="99"/>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4"/>
      </w:numPr>
      <w:spacing w:before="120"/>
    </w:pPr>
  </w:style>
  <w:style w:type="paragraph" w:customStyle="1" w:styleId="ListBulletLevel1">
    <w:name w:val="List Bullet Level 1"/>
    <w:basedOn w:val="Normal"/>
    <w:rsid w:val="00F77B7A"/>
    <w:pPr>
      <w:numPr>
        <w:numId w:val="16"/>
      </w:numPr>
      <w:spacing w:before="120"/>
    </w:pPr>
  </w:style>
  <w:style w:type="paragraph" w:customStyle="1" w:styleId="ListAlphabeticalLevel1">
    <w:name w:val="List Alphabetical Level 1"/>
    <w:basedOn w:val="Normal"/>
    <w:rsid w:val="00F77B7A"/>
    <w:p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8"/>
      </w:numPr>
      <w:spacing w:before="120"/>
    </w:pPr>
    <w:rPr>
      <w:szCs w:val="20"/>
    </w:rPr>
  </w:style>
  <w:style w:type="paragraph" w:styleId="Caption">
    <w:name w:val="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4"/>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semiHidden/>
    <w:rsid w:val="00F77B7A"/>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5"/>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9"/>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customStyle="1" w:styleId="Default">
    <w:name w:val="Default"/>
    <w:rsid w:val="005B3EB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9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65FD"/>
    <w:pPr>
      <w:spacing w:after="0" w:line="240" w:lineRule="auto"/>
    </w:pPr>
    <w:rPr>
      <w:rFonts w:ascii="Times New Roman" w:eastAsia="MS Mincho"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B37843"/>
    <w:rPr>
      <w:rFonts w:ascii="Times New Roman" w:hAnsi="Times New Roman"/>
      <w:b/>
      <w:bCs/>
    </w:rPr>
  </w:style>
  <w:style w:type="character" w:customStyle="1" w:styleId="CommentSubjectChar">
    <w:name w:val="Comment Subject Char"/>
    <w:basedOn w:val="CommentTextChar"/>
    <w:link w:val="CommentSubject"/>
    <w:uiPriority w:val="99"/>
    <w:semiHidden/>
    <w:rsid w:val="00B37843"/>
    <w:rPr>
      <w:rFonts w:ascii="Times New Roman" w:eastAsia="MS Mincho" w:hAnsi="Times New Roman" w:cs="Times New Roman"/>
      <w:b/>
      <w:bCs/>
      <w:color w:val="000000"/>
      <w:sz w:val="20"/>
      <w:szCs w:val="20"/>
      <w:lang w:val="en-US"/>
    </w:rPr>
  </w:style>
  <w:style w:type="paragraph" w:customStyle="1" w:styleId="CM20">
    <w:name w:val="CM20"/>
    <w:basedOn w:val="Normal"/>
    <w:uiPriority w:val="99"/>
    <w:rsid w:val="00913C54"/>
    <w:pPr>
      <w:autoSpaceDE w:val="0"/>
      <w:autoSpaceDN w:val="0"/>
      <w:spacing w:before="0"/>
    </w:pPr>
    <w:rPr>
      <w:rFonts w:ascii="Arial" w:eastAsiaTheme="minorHAnsi" w:hAnsi="Arial" w:cs="Arial"/>
      <w:color w:val="auto"/>
      <w:lang w:val="en-AU" w:eastAsia="en-AU"/>
    </w:rPr>
  </w:style>
  <w:style w:type="paragraph" w:customStyle="1" w:styleId="CM22">
    <w:name w:val="CM22"/>
    <w:basedOn w:val="Normal"/>
    <w:uiPriority w:val="99"/>
    <w:rsid w:val="00913C54"/>
    <w:pPr>
      <w:autoSpaceDE w:val="0"/>
      <w:autoSpaceDN w:val="0"/>
      <w:spacing w:before="0"/>
    </w:pPr>
    <w:rPr>
      <w:rFonts w:ascii="Arial" w:eastAsiaTheme="minorHAnsi" w:hAnsi="Arial" w:cs="Arial"/>
      <w:color w:val="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408575342">
      <w:bodyDiv w:val="1"/>
      <w:marLeft w:val="0"/>
      <w:marRight w:val="0"/>
      <w:marTop w:val="0"/>
      <w:marBottom w:val="0"/>
      <w:divBdr>
        <w:top w:val="none" w:sz="0" w:space="0" w:color="auto"/>
        <w:left w:val="none" w:sz="0" w:space="0" w:color="auto"/>
        <w:bottom w:val="none" w:sz="0" w:space="0" w:color="auto"/>
        <w:right w:val="none" w:sz="0" w:space="0" w:color="auto"/>
      </w:divBdr>
    </w:div>
    <w:div w:id="488640756">
      <w:bodyDiv w:val="1"/>
      <w:marLeft w:val="0"/>
      <w:marRight w:val="0"/>
      <w:marTop w:val="0"/>
      <w:marBottom w:val="0"/>
      <w:divBdr>
        <w:top w:val="none" w:sz="0" w:space="0" w:color="auto"/>
        <w:left w:val="none" w:sz="0" w:space="0" w:color="auto"/>
        <w:bottom w:val="none" w:sz="0" w:space="0" w:color="auto"/>
        <w:right w:val="none" w:sz="0" w:space="0" w:color="auto"/>
      </w:divBdr>
    </w:div>
    <w:div w:id="1597715611">
      <w:bodyDiv w:val="1"/>
      <w:marLeft w:val="0"/>
      <w:marRight w:val="0"/>
      <w:marTop w:val="0"/>
      <w:marBottom w:val="0"/>
      <w:divBdr>
        <w:top w:val="none" w:sz="0" w:space="0" w:color="auto"/>
        <w:left w:val="none" w:sz="0" w:space="0" w:color="auto"/>
        <w:bottom w:val="none" w:sz="0" w:space="0" w:color="auto"/>
        <w:right w:val="none" w:sz="0" w:space="0" w:color="auto"/>
      </w:divBdr>
    </w:div>
    <w:div w:id="16825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4BCFC02442B47B4E97AC818449E7B" ma:contentTypeVersion="13" ma:contentTypeDescription="Create a new document." ma:contentTypeScope="" ma:versionID="60b55d2dc4f41e8ab66c41207645eb6a">
  <xsd:schema xmlns:xsd="http://www.w3.org/2001/XMLSchema" xmlns:xs="http://www.w3.org/2001/XMLSchema" xmlns:p="http://schemas.microsoft.com/office/2006/metadata/properties" xmlns:ns2="2c8edda4-4916-4824-bbe5-e8b17f51049c" targetNamespace="http://schemas.microsoft.com/office/2006/metadata/properties" ma:root="true" ma:fieldsID="5c759c2b7aa57c51cbf4921b1c5b9e9c" ns2:_="">
    <xsd:import namespace="2c8edda4-4916-4824-bbe5-e8b17f51049c"/>
    <xsd:element name="properties">
      <xsd:complexType>
        <xsd:sequence>
          <xsd:element name="documentManagement">
            <xsd:complexType>
              <xsd:all>
                <xsd:element ref="ns2:h02190f4aa894c92ae052954a7256526"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edda4-4916-4824-bbe5-e8b17f51049c" elementFormDefault="qualified">
    <xsd:import namespace="http://schemas.microsoft.com/office/2006/documentManagement/types"/>
    <xsd:import namespace="http://schemas.microsoft.com/office/infopath/2007/PartnerControls"/>
    <xsd:element name="h02190f4aa894c92ae052954a7256526" ma:index="9" nillable="true" ma:taxonomy="true" ma:internalName="h02190f4aa894c92ae052954a7256526" ma:taxonomyFieldName="Organisational_x0020_Unit" ma:displayName="Organisational Unit" ma:readOnly="false" ma:default="1;#CD|17beb76b-c956-41d4-9041-da38f8c72eed" ma:fieldId="{102190f4-aa89-4c92-ae05-2954a7256526}" ma:sspId="0251a452-6e1b-4fa5-b15d-a509607cc19f" ma:termSetId="5212ac30-3fe4-4658-8456-423635c079b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7cb7f8e-8091-4303-b643-c7b1809dde08}" ma:internalName="TaxCatchAll" ma:showField="CatchAllData" ma:web="2c8edda4-4916-4824-bbe5-e8b17f510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8edda4-4916-4824-bbe5-e8b17f51049c">
      <Value>1</Value>
    </TaxCatchAll>
    <h02190f4aa894c92ae052954a7256526 xmlns="2c8edda4-4916-4824-bbe5-e8b17f51049c">
      <Terms xmlns="http://schemas.microsoft.com/office/infopath/2007/PartnerControls">
        <TermInfo xmlns="http://schemas.microsoft.com/office/infopath/2007/PartnerControls">
          <TermName xmlns="http://schemas.microsoft.com/office/infopath/2007/PartnerControls">CD</TermName>
          <TermId xmlns="http://schemas.microsoft.com/office/infopath/2007/PartnerControls">17beb76b-c956-41d4-9041-da38f8c72eed</TermId>
        </TermInfo>
      </Terms>
    </h02190f4aa894c92ae052954a725652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5A57-75E1-45C7-B355-1E826C6FA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edda4-4916-4824-bbe5-e8b17f51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AB7CE-9357-48DB-9E0B-1856F912DAC9}">
  <ds:schemaRefs>
    <ds:schemaRef ds:uri="http://schemas.microsoft.com/sharepoint/v3/contenttype/forms"/>
  </ds:schemaRefs>
</ds:datastoreItem>
</file>

<file path=customXml/itemProps3.xml><?xml version="1.0" encoding="utf-8"?>
<ds:datastoreItem xmlns:ds="http://schemas.openxmlformats.org/officeDocument/2006/customXml" ds:itemID="{CAF767E9-A892-497E-88FA-EE7F4DB928D7}">
  <ds:schemaRefs>
    <ds:schemaRef ds:uri="http://purl.org/dc/dcmitype/"/>
    <ds:schemaRef ds:uri="2c8edda4-4916-4824-bbe5-e8b17f51049c"/>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41CEC5A0-88D9-4208-9EAC-70FFFE8E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16</Pages>
  <Words>3815</Words>
  <Characters>22618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 Alicia /AU</dc:creator>
  <cp:lastPrinted>2020-01-24T03:53:00Z</cp:lastPrinted>
  <dcterms:created xsi:type="dcterms:W3CDTF">2020-01-22T23:04:00Z</dcterms:created>
  <dcterms:modified xsi:type="dcterms:W3CDTF">2020-05-13T03:18:00Z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caplacizumab</vt:lpwstr>
  </property>
  <property fmtid="{D5CDD505-2E9C-101B-9397-08002B2CF9AE}" pid="4" name="Date">
    <vt:lpwstr>18Sep18</vt:lpwstr>
  </property>
  <property fmtid="{D5CDD505-2E9C-101B-9397-08002B2CF9AE}" pid="5" name="Product Code">
    <vt:lpwstr>Caplizi</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ContentTypeId">
    <vt:lpwstr>0x0101007034BCFC02442B47B4E97AC818449E7B</vt:lpwstr>
  </property>
  <property fmtid="{D5CDD505-2E9C-101B-9397-08002B2CF9AE}" pid="13" name="Organisational Unit">
    <vt:lpwstr>1;#CD|17beb76b-c956-41d4-9041-da38f8c72eed</vt:lpwstr>
  </property>
</Properties>
</file>