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FD464B0" w14:textId="77777777" w:rsidTr="397EAFEF">
        <w:trPr>
          <w:trHeight w:val="1863"/>
        </w:trPr>
        <w:tc>
          <w:tcPr>
            <w:tcW w:w="3652" w:type="dxa"/>
            <w:tcBorders>
              <w:top w:val="nil"/>
              <w:left w:val="nil"/>
              <w:bottom w:val="nil"/>
              <w:right w:val="nil"/>
            </w:tcBorders>
          </w:tcPr>
          <w:p w14:paraId="4849BC94" w14:textId="7B521B26" w:rsidR="008E7846" w:rsidRPr="00096AA7" w:rsidRDefault="008A12AB" w:rsidP="008A12AB">
            <w:pPr>
              <w:pStyle w:val="NonTOCHeading2"/>
            </w:pPr>
            <w:r>
              <w:t>January 2021</w:t>
            </w:r>
          </w:p>
        </w:tc>
      </w:tr>
    </w:tbl>
    <w:p w14:paraId="0C349E28" w14:textId="053E10FE" w:rsidR="397EAFEF" w:rsidRDefault="397EAFEF"/>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39EEFA4" w14:textId="77777777" w:rsidTr="397EAFEF">
        <w:trPr>
          <w:trHeight w:val="868"/>
        </w:trPr>
        <w:tc>
          <w:tcPr>
            <w:tcW w:w="9079" w:type="dxa"/>
          </w:tcPr>
          <w:p w14:paraId="2227957F" w14:textId="59FD0494" w:rsidR="0032583B" w:rsidRPr="00A964D1" w:rsidRDefault="0032583B" w:rsidP="002A24CE">
            <w:pPr>
              <w:pStyle w:val="Title"/>
              <w:rPr>
                <w:color w:val="FFFFFF" w:themeColor="background1"/>
              </w:rPr>
            </w:pPr>
            <w:r w:rsidRPr="00A964D1">
              <w:rPr>
                <w:color w:val="FFFFFF" w:themeColor="background1"/>
              </w:rPr>
              <w:t xml:space="preserve">Australian Public Assessment Report for </w:t>
            </w:r>
            <w:r w:rsidR="00436A7A">
              <w:rPr>
                <w:color w:val="FFFFFF" w:themeColor="background1"/>
              </w:rPr>
              <w:t>C</w:t>
            </w:r>
            <w:r w:rsidR="002A24CE">
              <w:rPr>
                <w:color w:val="FFFFFF" w:themeColor="background1"/>
              </w:rPr>
              <w:t>annabidiol</w:t>
            </w:r>
          </w:p>
        </w:tc>
      </w:tr>
      <w:tr w:rsidR="0032583B" w:rsidRPr="00B64760" w14:paraId="6A6FBD5F" w14:textId="77777777" w:rsidTr="397EAFEF">
        <w:tc>
          <w:tcPr>
            <w:tcW w:w="9079" w:type="dxa"/>
          </w:tcPr>
          <w:p w14:paraId="635C63DB" w14:textId="199CEA5E" w:rsidR="0032583B" w:rsidRPr="008E7846" w:rsidRDefault="0032583B" w:rsidP="004819BE">
            <w:pPr>
              <w:pStyle w:val="Subtitle"/>
              <w:ind w:left="0"/>
              <w:rPr>
                <w:color w:val="FFFFFF" w:themeColor="background1"/>
              </w:rPr>
            </w:pPr>
            <w:r w:rsidRPr="008E7846">
              <w:rPr>
                <w:color w:val="FFFFFF" w:themeColor="background1"/>
              </w:rPr>
              <w:t>Proprietary Product Name:</w:t>
            </w:r>
            <w:r w:rsidR="002A24CE">
              <w:rPr>
                <w:color w:val="FFFFFF" w:themeColor="background1"/>
              </w:rPr>
              <w:t xml:space="preserve"> </w:t>
            </w:r>
            <w:proofErr w:type="spellStart"/>
            <w:r w:rsidR="002A24CE">
              <w:rPr>
                <w:color w:val="FFFFFF" w:themeColor="background1"/>
              </w:rPr>
              <w:t>Epidyolex</w:t>
            </w:r>
            <w:proofErr w:type="spellEnd"/>
          </w:p>
        </w:tc>
      </w:tr>
      <w:tr w:rsidR="0032583B" w:rsidRPr="00B64760" w14:paraId="0D7F459A" w14:textId="77777777" w:rsidTr="397EAFEF">
        <w:trPr>
          <w:trHeight w:val="486"/>
        </w:trPr>
        <w:tc>
          <w:tcPr>
            <w:tcW w:w="9079" w:type="dxa"/>
          </w:tcPr>
          <w:p w14:paraId="5BC0C62B" w14:textId="01FA3C03" w:rsidR="0032583B" w:rsidRPr="008E7846" w:rsidRDefault="00460036" w:rsidP="004819BE">
            <w:pPr>
              <w:pStyle w:val="Subtitle"/>
              <w:ind w:left="0"/>
              <w:rPr>
                <w:color w:val="FFFFFF" w:themeColor="background1"/>
              </w:rPr>
            </w:pPr>
            <w:r>
              <w:rPr>
                <w:color w:val="FFFFFF" w:themeColor="background1"/>
              </w:rPr>
              <w:t xml:space="preserve">Sponsor: </w:t>
            </w:r>
            <w:r w:rsidR="002A24CE">
              <w:rPr>
                <w:color w:val="FFFFFF" w:themeColor="background1"/>
              </w:rPr>
              <w:t>Emerge Health</w:t>
            </w:r>
            <w:r w:rsidR="004819BE">
              <w:rPr>
                <w:color w:val="FFFFFF" w:themeColor="background1"/>
              </w:rPr>
              <w:t xml:space="preserve"> Pty Ltd</w:t>
            </w:r>
          </w:p>
        </w:tc>
      </w:tr>
    </w:tbl>
    <w:p w14:paraId="09304E8B" w14:textId="2CA8DB34" w:rsidR="397EAFEF" w:rsidRDefault="397EAFEF"/>
    <w:p w14:paraId="669DE096" w14:textId="77777777" w:rsidR="008E7846" w:rsidRPr="0085156D" w:rsidRDefault="008E7846" w:rsidP="00D61FF2">
      <w:r w:rsidRPr="0085156D">
        <w:br w:type="page"/>
      </w:r>
    </w:p>
    <w:p w14:paraId="51BDCACF" w14:textId="77777777" w:rsidR="008E7846" w:rsidRPr="001F6CBA" w:rsidRDefault="008E7846" w:rsidP="008E7846">
      <w:pPr>
        <w:pStyle w:val="NonTOCHeading2"/>
      </w:pPr>
      <w:r w:rsidRPr="001F6CBA">
        <w:lastRenderedPageBreak/>
        <w:t>About the Therapeutic Goods Administration (TGA)</w:t>
      </w:r>
    </w:p>
    <w:p w14:paraId="791A4BC0" w14:textId="77777777" w:rsidR="008E7846" w:rsidRDefault="008E7846" w:rsidP="002C043B">
      <w:pPr>
        <w:pStyle w:val="ListBullet"/>
      </w:pPr>
      <w:r>
        <w:t xml:space="preserve">The Therapeutic Goods Administration (TGA) is </w:t>
      </w:r>
      <w:r w:rsidR="00E624A5">
        <w:t xml:space="preserve">part </w:t>
      </w:r>
      <w:r>
        <w:t>of the Australian Government Department of Health and is responsible for regulating medicines and medical devices.</w:t>
      </w:r>
    </w:p>
    <w:p w14:paraId="00D8FBD1"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F41262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161FDAA"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74D3105" w14:textId="551986F4"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775E6F3B" w14:textId="77777777" w:rsidR="008E7846" w:rsidRDefault="008E7846" w:rsidP="00875A6B">
      <w:pPr>
        <w:pStyle w:val="NonTOCHeading2"/>
      </w:pPr>
      <w:r>
        <w:t>About AusPARs</w:t>
      </w:r>
    </w:p>
    <w:p w14:paraId="7CDE2DDB"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2921B79" w14:textId="77777777" w:rsidR="008E7846" w:rsidRDefault="008E7846" w:rsidP="008E7846">
      <w:pPr>
        <w:pStyle w:val="ListBullet"/>
        <w:numPr>
          <w:ilvl w:val="0"/>
          <w:numId w:val="3"/>
        </w:numPr>
        <w:ind w:left="357" w:hanging="357"/>
      </w:pPr>
      <w:r>
        <w:t>AusPARs are prepared and published by the TGA.</w:t>
      </w:r>
    </w:p>
    <w:p w14:paraId="6A34E6F8"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0A8D953C"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74A2C9CE"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424C7B8" w14:textId="1E19C805" w:rsidR="00924482" w:rsidRPr="00DF1D7F" w:rsidRDefault="00924482" w:rsidP="00F54B65">
      <w:pPr>
        <w:pStyle w:val="LegalSubheading"/>
        <w:spacing w:before="3120"/>
      </w:pPr>
      <w:r w:rsidRPr="00DF1D7F">
        <w:t>Copyright</w:t>
      </w:r>
    </w:p>
    <w:p w14:paraId="320E9644" w14:textId="4F5B1CAD"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37D8A">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14:paraId="74A77FEC" w14:textId="77777777" w:rsidR="00924482" w:rsidRDefault="00924482" w:rsidP="00924482">
      <w:pPr>
        <w:pStyle w:val="LegalCopy"/>
        <w:sectPr w:rsidR="00924482" w:rsidSect="003D1E62">
          <w:headerReference w:type="even" r:id="rId14"/>
          <w:headerReference w:type="default" r:id="rId15"/>
          <w:footerReference w:type="even" r:id="rId16"/>
          <w:footerReference w:type="default" r:id="rId17"/>
          <w:headerReference w:type="first" r:id="rId18"/>
          <w:footerReference w:type="first" r:id="rId19"/>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8E37D0A" w14:textId="77777777" w:rsidR="0089635C" w:rsidRPr="0089635C" w:rsidRDefault="0089635C" w:rsidP="0010788A">
          <w:pPr>
            <w:pStyle w:val="Contents"/>
          </w:pPr>
          <w:r w:rsidRPr="0010788A">
            <w:t>Conten</w:t>
          </w:r>
          <w:bookmarkStart w:id="2" w:name="_GoBack"/>
          <w:bookmarkEnd w:id="2"/>
          <w:r w:rsidRPr="0010788A">
            <w:t>ts</w:t>
          </w:r>
        </w:p>
        <w:p w14:paraId="3F54979F" w14:textId="5AD4AB0C" w:rsidR="00580F9A"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2725611" w:history="1">
            <w:r w:rsidR="00580F9A" w:rsidRPr="00E22BBF">
              <w:rPr>
                <w:rStyle w:val="Hyperlink"/>
                <w:noProof/>
              </w:rPr>
              <w:t>List of abbreviations</w:t>
            </w:r>
            <w:r w:rsidR="00580F9A">
              <w:rPr>
                <w:noProof/>
                <w:webHidden/>
              </w:rPr>
              <w:tab/>
            </w:r>
            <w:r w:rsidR="00580F9A">
              <w:rPr>
                <w:noProof/>
                <w:webHidden/>
              </w:rPr>
              <w:fldChar w:fldCharType="begin"/>
            </w:r>
            <w:r w:rsidR="00580F9A">
              <w:rPr>
                <w:noProof/>
                <w:webHidden/>
              </w:rPr>
              <w:instrText xml:space="preserve"> PAGEREF _Toc62725611 \h </w:instrText>
            </w:r>
            <w:r w:rsidR="00580F9A">
              <w:rPr>
                <w:noProof/>
                <w:webHidden/>
              </w:rPr>
            </w:r>
            <w:r w:rsidR="00580F9A">
              <w:rPr>
                <w:noProof/>
                <w:webHidden/>
              </w:rPr>
              <w:fldChar w:fldCharType="separate"/>
            </w:r>
            <w:r w:rsidR="00580F9A">
              <w:rPr>
                <w:noProof/>
                <w:webHidden/>
              </w:rPr>
              <w:t>4</w:t>
            </w:r>
            <w:r w:rsidR="00580F9A">
              <w:rPr>
                <w:noProof/>
                <w:webHidden/>
              </w:rPr>
              <w:fldChar w:fldCharType="end"/>
            </w:r>
          </w:hyperlink>
        </w:p>
        <w:p w14:paraId="2B499497" w14:textId="5C448E06" w:rsidR="00580F9A" w:rsidRDefault="00580F9A">
          <w:pPr>
            <w:pStyle w:val="TOC1"/>
            <w:rPr>
              <w:rFonts w:asciiTheme="minorHAnsi" w:eastAsiaTheme="minorEastAsia" w:hAnsiTheme="minorHAnsi" w:cstheme="minorBidi"/>
              <w:b w:val="0"/>
              <w:noProof/>
              <w:sz w:val="22"/>
              <w:lang w:eastAsia="en-AU"/>
            </w:rPr>
          </w:pPr>
          <w:hyperlink w:anchor="_Toc62725612" w:history="1">
            <w:r w:rsidRPr="00E22BBF">
              <w:rPr>
                <w:rStyle w:val="Hyperlink"/>
                <w:noProof/>
              </w:rPr>
              <w:t>I. Introduction to product submission</w:t>
            </w:r>
            <w:r>
              <w:rPr>
                <w:noProof/>
                <w:webHidden/>
              </w:rPr>
              <w:tab/>
            </w:r>
            <w:r>
              <w:rPr>
                <w:noProof/>
                <w:webHidden/>
              </w:rPr>
              <w:fldChar w:fldCharType="begin"/>
            </w:r>
            <w:r>
              <w:rPr>
                <w:noProof/>
                <w:webHidden/>
              </w:rPr>
              <w:instrText xml:space="preserve"> PAGEREF _Toc62725612 \h </w:instrText>
            </w:r>
            <w:r>
              <w:rPr>
                <w:noProof/>
                <w:webHidden/>
              </w:rPr>
            </w:r>
            <w:r>
              <w:rPr>
                <w:noProof/>
                <w:webHidden/>
              </w:rPr>
              <w:fldChar w:fldCharType="separate"/>
            </w:r>
            <w:r>
              <w:rPr>
                <w:noProof/>
                <w:webHidden/>
              </w:rPr>
              <w:t>7</w:t>
            </w:r>
            <w:r>
              <w:rPr>
                <w:noProof/>
                <w:webHidden/>
              </w:rPr>
              <w:fldChar w:fldCharType="end"/>
            </w:r>
          </w:hyperlink>
        </w:p>
        <w:p w14:paraId="40D638ED" w14:textId="7C17201A" w:rsidR="00580F9A" w:rsidRDefault="00580F9A">
          <w:pPr>
            <w:pStyle w:val="TOC2"/>
            <w:rPr>
              <w:rFonts w:asciiTheme="minorHAnsi" w:eastAsiaTheme="minorEastAsia" w:hAnsiTheme="minorHAnsi" w:cstheme="minorBidi"/>
              <w:b w:val="0"/>
              <w:noProof/>
              <w:sz w:val="22"/>
              <w:lang w:eastAsia="en-AU"/>
            </w:rPr>
          </w:pPr>
          <w:hyperlink w:anchor="_Toc62725613" w:history="1">
            <w:r w:rsidRPr="00E22BBF">
              <w:rPr>
                <w:rStyle w:val="Hyperlink"/>
                <w:noProof/>
                <w:lang w:eastAsia="en-AU"/>
              </w:rPr>
              <w:t>Submission details</w:t>
            </w:r>
            <w:r>
              <w:rPr>
                <w:noProof/>
                <w:webHidden/>
              </w:rPr>
              <w:tab/>
            </w:r>
            <w:r>
              <w:rPr>
                <w:noProof/>
                <w:webHidden/>
              </w:rPr>
              <w:fldChar w:fldCharType="begin"/>
            </w:r>
            <w:r>
              <w:rPr>
                <w:noProof/>
                <w:webHidden/>
              </w:rPr>
              <w:instrText xml:space="preserve"> PAGEREF _Toc62725613 \h </w:instrText>
            </w:r>
            <w:r>
              <w:rPr>
                <w:noProof/>
                <w:webHidden/>
              </w:rPr>
            </w:r>
            <w:r>
              <w:rPr>
                <w:noProof/>
                <w:webHidden/>
              </w:rPr>
              <w:fldChar w:fldCharType="separate"/>
            </w:r>
            <w:r>
              <w:rPr>
                <w:noProof/>
                <w:webHidden/>
              </w:rPr>
              <w:t>7</w:t>
            </w:r>
            <w:r>
              <w:rPr>
                <w:noProof/>
                <w:webHidden/>
              </w:rPr>
              <w:fldChar w:fldCharType="end"/>
            </w:r>
          </w:hyperlink>
        </w:p>
        <w:p w14:paraId="7552AE4B" w14:textId="0C23070D" w:rsidR="00580F9A" w:rsidRDefault="00580F9A">
          <w:pPr>
            <w:pStyle w:val="TOC2"/>
            <w:rPr>
              <w:rFonts w:asciiTheme="minorHAnsi" w:eastAsiaTheme="minorEastAsia" w:hAnsiTheme="minorHAnsi" w:cstheme="minorBidi"/>
              <w:b w:val="0"/>
              <w:noProof/>
              <w:sz w:val="22"/>
              <w:lang w:eastAsia="en-AU"/>
            </w:rPr>
          </w:pPr>
          <w:hyperlink w:anchor="_Toc62725614" w:history="1">
            <w:r w:rsidRPr="00E22BBF">
              <w:rPr>
                <w:rStyle w:val="Hyperlink"/>
                <w:noProof/>
              </w:rPr>
              <w:t>Product background</w:t>
            </w:r>
            <w:r>
              <w:rPr>
                <w:noProof/>
                <w:webHidden/>
              </w:rPr>
              <w:tab/>
            </w:r>
            <w:r>
              <w:rPr>
                <w:noProof/>
                <w:webHidden/>
              </w:rPr>
              <w:fldChar w:fldCharType="begin"/>
            </w:r>
            <w:r>
              <w:rPr>
                <w:noProof/>
                <w:webHidden/>
              </w:rPr>
              <w:instrText xml:space="preserve"> PAGEREF _Toc62725614 \h </w:instrText>
            </w:r>
            <w:r>
              <w:rPr>
                <w:noProof/>
                <w:webHidden/>
              </w:rPr>
            </w:r>
            <w:r>
              <w:rPr>
                <w:noProof/>
                <w:webHidden/>
              </w:rPr>
              <w:fldChar w:fldCharType="separate"/>
            </w:r>
            <w:r>
              <w:rPr>
                <w:noProof/>
                <w:webHidden/>
              </w:rPr>
              <w:t>8</w:t>
            </w:r>
            <w:r>
              <w:rPr>
                <w:noProof/>
                <w:webHidden/>
              </w:rPr>
              <w:fldChar w:fldCharType="end"/>
            </w:r>
          </w:hyperlink>
        </w:p>
        <w:p w14:paraId="7FF5570C" w14:textId="5E48FB16" w:rsidR="00580F9A" w:rsidRDefault="00580F9A">
          <w:pPr>
            <w:pStyle w:val="TOC2"/>
            <w:rPr>
              <w:rFonts w:asciiTheme="minorHAnsi" w:eastAsiaTheme="minorEastAsia" w:hAnsiTheme="minorHAnsi" w:cstheme="minorBidi"/>
              <w:b w:val="0"/>
              <w:noProof/>
              <w:sz w:val="22"/>
              <w:lang w:eastAsia="en-AU"/>
            </w:rPr>
          </w:pPr>
          <w:hyperlink w:anchor="_Toc62725615" w:history="1">
            <w:r w:rsidRPr="00E22BBF">
              <w:rPr>
                <w:rStyle w:val="Hyperlink"/>
                <w:noProof/>
              </w:rPr>
              <w:t>Regulatory status</w:t>
            </w:r>
            <w:r>
              <w:rPr>
                <w:noProof/>
                <w:webHidden/>
              </w:rPr>
              <w:tab/>
            </w:r>
            <w:r>
              <w:rPr>
                <w:noProof/>
                <w:webHidden/>
              </w:rPr>
              <w:fldChar w:fldCharType="begin"/>
            </w:r>
            <w:r>
              <w:rPr>
                <w:noProof/>
                <w:webHidden/>
              </w:rPr>
              <w:instrText xml:space="preserve"> PAGEREF _Toc62725615 \h </w:instrText>
            </w:r>
            <w:r>
              <w:rPr>
                <w:noProof/>
                <w:webHidden/>
              </w:rPr>
            </w:r>
            <w:r>
              <w:rPr>
                <w:noProof/>
                <w:webHidden/>
              </w:rPr>
              <w:fldChar w:fldCharType="separate"/>
            </w:r>
            <w:r>
              <w:rPr>
                <w:noProof/>
                <w:webHidden/>
              </w:rPr>
              <w:t>10</w:t>
            </w:r>
            <w:r>
              <w:rPr>
                <w:noProof/>
                <w:webHidden/>
              </w:rPr>
              <w:fldChar w:fldCharType="end"/>
            </w:r>
          </w:hyperlink>
        </w:p>
        <w:p w14:paraId="02196578" w14:textId="40FDDC77" w:rsidR="00580F9A" w:rsidRDefault="00580F9A">
          <w:pPr>
            <w:pStyle w:val="TOC2"/>
            <w:rPr>
              <w:rFonts w:asciiTheme="minorHAnsi" w:eastAsiaTheme="minorEastAsia" w:hAnsiTheme="minorHAnsi" w:cstheme="minorBidi"/>
              <w:b w:val="0"/>
              <w:noProof/>
              <w:sz w:val="22"/>
              <w:lang w:eastAsia="en-AU"/>
            </w:rPr>
          </w:pPr>
          <w:hyperlink w:anchor="_Toc62725616" w:history="1">
            <w:r w:rsidRPr="00E22BBF">
              <w:rPr>
                <w:rStyle w:val="Hyperlink"/>
                <w:noProof/>
              </w:rPr>
              <w:t>Product Information</w:t>
            </w:r>
            <w:r>
              <w:rPr>
                <w:noProof/>
                <w:webHidden/>
              </w:rPr>
              <w:tab/>
            </w:r>
            <w:r>
              <w:rPr>
                <w:noProof/>
                <w:webHidden/>
              </w:rPr>
              <w:fldChar w:fldCharType="begin"/>
            </w:r>
            <w:r>
              <w:rPr>
                <w:noProof/>
                <w:webHidden/>
              </w:rPr>
              <w:instrText xml:space="preserve"> PAGEREF _Toc62725616 \h </w:instrText>
            </w:r>
            <w:r>
              <w:rPr>
                <w:noProof/>
                <w:webHidden/>
              </w:rPr>
            </w:r>
            <w:r>
              <w:rPr>
                <w:noProof/>
                <w:webHidden/>
              </w:rPr>
              <w:fldChar w:fldCharType="separate"/>
            </w:r>
            <w:r>
              <w:rPr>
                <w:noProof/>
                <w:webHidden/>
              </w:rPr>
              <w:t>10</w:t>
            </w:r>
            <w:r>
              <w:rPr>
                <w:noProof/>
                <w:webHidden/>
              </w:rPr>
              <w:fldChar w:fldCharType="end"/>
            </w:r>
          </w:hyperlink>
        </w:p>
        <w:p w14:paraId="235654AF" w14:textId="76FCB576" w:rsidR="00580F9A" w:rsidRDefault="00580F9A">
          <w:pPr>
            <w:pStyle w:val="TOC1"/>
            <w:rPr>
              <w:rFonts w:asciiTheme="minorHAnsi" w:eastAsiaTheme="minorEastAsia" w:hAnsiTheme="minorHAnsi" w:cstheme="minorBidi"/>
              <w:b w:val="0"/>
              <w:noProof/>
              <w:sz w:val="22"/>
              <w:lang w:eastAsia="en-AU"/>
            </w:rPr>
          </w:pPr>
          <w:hyperlink w:anchor="_Toc62725617" w:history="1">
            <w:r w:rsidRPr="00E22BBF">
              <w:rPr>
                <w:rStyle w:val="Hyperlink"/>
                <w:noProof/>
              </w:rPr>
              <w:t>II. Registration timeline</w:t>
            </w:r>
            <w:r>
              <w:rPr>
                <w:noProof/>
                <w:webHidden/>
              </w:rPr>
              <w:tab/>
            </w:r>
            <w:r>
              <w:rPr>
                <w:noProof/>
                <w:webHidden/>
              </w:rPr>
              <w:fldChar w:fldCharType="begin"/>
            </w:r>
            <w:r>
              <w:rPr>
                <w:noProof/>
                <w:webHidden/>
              </w:rPr>
              <w:instrText xml:space="preserve"> PAGEREF _Toc62725617 \h </w:instrText>
            </w:r>
            <w:r>
              <w:rPr>
                <w:noProof/>
                <w:webHidden/>
              </w:rPr>
            </w:r>
            <w:r>
              <w:rPr>
                <w:noProof/>
                <w:webHidden/>
              </w:rPr>
              <w:fldChar w:fldCharType="separate"/>
            </w:r>
            <w:r>
              <w:rPr>
                <w:noProof/>
                <w:webHidden/>
              </w:rPr>
              <w:t>11</w:t>
            </w:r>
            <w:r>
              <w:rPr>
                <w:noProof/>
                <w:webHidden/>
              </w:rPr>
              <w:fldChar w:fldCharType="end"/>
            </w:r>
          </w:hyperlink>
        </w:p>
        <w:p w14:paraId="41FB77DF" w14:textId="21E25FD5" w:rsidR="00580F9A" w:rsidRDefault="00580F9A">
          <w:pPr>
            <w:pStyle w:val="TOC1"/>
            <w:rPr>
              <w:rFonts w:asciiTheme="minorHAnsi" w:eastAsiaTheme="minorEastAsia" w:hAnsiTheme="minorHAnsi" w:cstheme="minorBidi"/>
              <w:b w:val="0"/>
              <w:noProof/>
              <w:sz w:val="22"/>
              <w:lang w:eastAsia="en-AU"/>
            </w:rPr>
          </w:pPr>
          <w:hyperlink w:anchor="_Toc62725618" w:history="1">
            <w:r w:rsidRPr="00E22BBF">
              <w:rPr>
                <w:rStyle w:val="Hyperlink"/>
                <w:noProof/>
              </w:rPr>
              <w:t>III. Submission overview and risk/benefit assessment</w:t>
            </w:r>
            <w:r>
              <w:rPr>
                <w:noProof/>
                <w:webHidden/>
              </w:rPr>
              <w:tab/>
            </w:r>
            <w:r>
              <w:rPr>
                <w:noProof/>
                <w:webHidden/>
              </w:rPr>
              <w:fldChar w:fldCharType="begin"/>
            </w:r>
            <w:r>
              <w:rPr>
                <w:noProof/>
                <w:webHidden/>
              </w:rPr>
              <w:instrText xml:space="preserve"> PAGEREF _Toc62725618 \h </w:instrText>
            </w:r>
            <w:r>
              <w:rPr>
                <w:noProof/>
                <w:webHidden/>
              </w:rPr>
            </w:r>
            <w:r>
              <w:rPr>
                <w:noProof/>
                <w:webHidden/>
              </w:rPr>
              <w:fldChar w:fldCharType="separate"/>
            </w:r>
            <w:r>
              <w:rPr>
                <w:noProof/>
                <w:webHidden/>
              </w:rPr>
              <w:t>12</w:t>
            </w:r>
            <w:r>
              <w:rPr>
                <w:noProof/>
                <w:webHidden/>
              </w:rPr>
              <w:fldChar w:fldCharType="end"/>
            </w:r>
          </w:hyperlink>
        </w:p>
        <w:p w14:paraId="67327CA0" w14:textId="60EBC82E" w:rsidR="00580F9A" w:rsidRDefault="00580F9A">
          <w:pPr>
            <w:pStyle w:val="TOC2"/>
            <w:rPr>
              <w:rFonts w:asciiTheme="minorHAnsi" w:eastAsiaTheme="minorEastAsia" w:hAnsiTheme="minorHAnsi" w:cstheme="minorBidi"/>
              <w:b w:val="0"/>
              <w:noProof/>
              <w:sz w:val="22"/>
              <w:lang w:eastAsia="en-AU"/>
            </w:rPr>
          </w:pPr>
          <w:hyperlink w:anchor="_Toc62725619" w:history="1">
            <w:r w:rsidRPr="00E22BBF">
              <w:rPr>
                <w:rStyle w:val="Hyperlink"/>
                <w:noProof/>
              </w:rPr>
              <w:t>Guidance used</w:t>
            </w:r>
            <w:r>
              <w:rPr>
                <w:noProof/>
                <w:webHidden/>
              </w:rPr>
              <w:tab/>
            </w:r>
            <w:r>
              <w:rPr>
                <w:noProof/>
                <w:webHidden/>
              </w:rPr>
              <w:fldChar w:fldCharType="begin"/>
            </w:r>
            <w:r>
              <w:rPr>
                <w:noProof/>
                <w:webHidden/>
              </w:rPr>
              <w:instrText xml:space="preserve"> PAGEREF _Toc62725619 \h </w:instrText>
            </w:r>
            <w:r>
              <w:rPr>
                <w:noProof/>
                <w:webHidden/>
              </w:rPr>
            </w:r>
            <w:r>
              <w:rPr>
                <w:noProof/>
                <w:webHidden/>
              </w:rPr>
              <w:fldChar w:fldCharType="separate"/>
            </w:r>
            <w:r>
              <w:rPr>
                <w:noProof/>
                <w:webHidden/>
              </w:rPr>
              <w:t>12</w:t>
            </w:r>
            <w:r>
              <w:rPr>
                <w:noProof/>
                <w:webHidden/>
              </w:rPr>
              <w:fldChar w:fldCharType="end"/>
            </w:r>
          </w:hyperlink>
        </w:p>
        <w:p w14:paraId="16E4056E" w14:textId="67BAB319" w:rsidR="00580F9A" w:rsidRDefault="00580F9A">
          <w:pPr>
            <w:pStyle w:val="TOC2"/>
            <w:rPr>
              <w:rFonts w:asciiTheme="minorHAnsi" w:eastAsiaTheme="minorEastAsia" w:hAnsiTheme="minorHAnsi" w:cstheme="minorBidi"/>
              <w:b w:val="0"/>
              <w:noProof/>
              <w:sz w:val="22"/>
              <w:lang w:eastAsia="en-AU"/>
            </w:rPr>
          </w:pPr>
          <w:hyperlink w:anchor="_Toc62725620" w:history="1">
            <w:r w:rsidRPr="00E22BBF">
              <w:rPr>
                <w:rStyle w:val="Hyperlink"/>
                <w:noProof/>
              </w:rPr>
              <w:t>Quality</w:t>
            </w:r>
            <w:r>
              <w:rPr>
                <w:noProof/>
                <w:webHidden/>
              </w:rPr>
              <w:tab/>
            </w:r>
            <w:r>
              <w:rPr>
                <w:noProof/>
                <w:webHidden/>
              </w:rPr>
              <w:fldChar w:fldCharType="begin"/>
            </w:r>
            <w:r>
              <w:rPr>
                <w:noProof/>
                <w:webHidden/>
              </w:rPr>
              <w:instrText xml:space="preserve"> PAGEREF _Toc62725620 \h </w:instrText>
            </w:r>
            <w:r>
              <w:rPr>
                <w:noProof/>
                <w:webHidden/>
              </w:rPr>
            </w:r>
            <w:r>
              <w:rPr>
                <w:noProof/>
                <w:webHidden/>
              </w:rPr>
              <w:fldChar w:fldCharType="separate"/>
            </w:r>
            <w:r>
              <w:rPr>
                <w:noProof/>
                <w:webHidden/>
              </w:rPr>
              <w:t>12</w:t>
            </w:r>
            <w:r>
              <w:rPr>
                <w:noProof/>
                <w:webHidden/>
              </w:rPr>
              <w:fldChar w:fldCharType="end"/>
            </w:r>
          </w:hyperlink>
        </w:p>
        <w:p w14:paraId="44B117BD" w14:textId="6851F1D1" w:rsidR="00580F9A" w:rsidRDefault="00580F9A">
          <w:pPr>
            <w:pStyle w:val="TOC2"/>
            <w:rPr>
              <w:rFonts w:asciiTheme="minorHAnsi" w:eastAsiaTheme="minorEastAsia" w:hAnsiTheme="minorHAnsi" w:cstheme="minorBidi"/>
              <w:b w:val="0"/>
              <w:noProof/>
              <w:sz w:val="22"/>
              <w:lang w:eastAsia="en-AU"/>
            </w:rPr>
          </w:pPr>
          <w:hyperlink w:anchor="_Toc62725621" w:history="1">
            <w:r w:rsidRPr="00E22BBF">
              <w:rPr>
                <w:rStyle w:val="Hyperlink"/>
                <w:noProof/>
              </w:rPr>
              <w:t>Nonclinical</w:t>
            </w:r>
            <w:r>
              <w:rPr>
                <w:noProof/>
                <w:webHidden/>
              </w:rPr>
              <w:tab/>
            </w:r>
            <w:r>
              <w:rPr>
                <w:noProof/>
                <w:webHidden/>
              </w:rPr>
              <w:fldChar w:fldCharType="begin"/>
            </w:r>
            <w:r>
              <w:rPr>
                <w:noProof/>
                <w:webHidden/>
              </w:rPr>
              <w:instrText xml:space="preserve"> PAGEREF _Toc62725621 \h </w:instrText>
            </w:r>
            <w:r>
              <w:rPr>
                <w:noProof/>
                <w:webHidden/>
              </w:rPr>
            </w:r>
            <w:r>
              <w:rPr>
                <w:noProof/>
                <w:webHidden/>
              </w:rPr>
              <w:fldChar w:fldCharType="separate"/>
            </w:r>
            <w:r>
              <w:rPr>
                <w:noProof/>
                <w:webHidden/>
              </w:rPr>
              <w:t>13</w:t>
            </w:r>
            <w:r>
              <w:rPr>
                <w:noProof/>
                <w:webHidden/>
              </w:rPr>
              <w:fldChar w:fldCharType="end"/>
            </w:r>
          </w:hyperlink>
        </w:p>
        <w:p w14:paraId="58E89223" w14:textId="7B0F5932" w:rsidR="00580F9A" w:rsidRDefault="00580F9A">
          <w:pPr>
            <w:pStyle w:val="TOC2"/>
            <w:rPr>
              <w:rFonts w:asciiTheme="minorHAnsi" w:eastAsiaTheme="minorEastAsia" w:hAnsiTheme="minorHAnsi" w:cstheme="minorBidi"/>
              <w:b w:val="0"/>
              <w:noProof/>
              <w:sz w:val="22"/>
              <w:lang w:eastAsia="en-AU"/>
            </w:rPr>
          </w:pPr>
          <w:hyperlink w:anchor="_Toc62725622" w:history="1">
            <w:r w:rsidRPr="00E22BBF">
              <w:rPr>
                <w:rStyle w:val="Hyperlink"/>
                <w:noProof/>
              </w:rPr>
              <w:t>Clinical</w:t>
            </w:r>
            <w:r>
              <w:rPr>
                <w:noProof/>
                <w:webHidden/>
              </w:rPr>
              <w:tab/>
            </w:r>
            <w:r>
              <w:rPr>
                <w:noProof/>
                <w:webHidden/>
              </w:rPr>
              <w:fldChar w:fldCharType="begin"/>
            </w:r>
            <w:r>
              <w:rPr>
                <w:noProof/>
                <w:webHidden/>
              </w:rPr>
              <w:instrText xml:space="preserve"> PAGEREF _Toc62725622 \h </w:instrText>
            </w:r>
            <w:r>
              <w:rPr>
                <w:noProof/>
                <w:webHidden/>
              </w:rPr>
            </w:r>
            <w:r>
              <w:rPr>
                <w:noProof/>
                <w:webHidden/>
              </w:rPr>
              <w:fldChar w:fldCharType="separate"/>
            </w:r>
            <w:r>
              <w:rPr>
                <w:noProof/>
                <w:webHidden/>
              </w:rPr>
              <w:t>14</w:t>
            </w:r>
            <w:r>
              <w:rPr>
                <w:noProof/>
                <w:webHidden/>
              </w:rPr>
              <w:fldChar w:fldCharType="end"/>
            </w:r>
          </w:hyperlink>
        </w:p>
        <w:p w14:paraId="6D3B38CE" w14:textId="5CE3C026" w:rsidR="00580F9A" w:rsidRDefault="00580F9A">
          <w:pPr>
            <w:pStyle w:val="TOC2"/>
            <w:rPr>
              <w:rFonts w:asciiTheme="minorHAnsi" w:eastAsiaTheme="minorEastAsia" w:hAnsiTheme="minorHAnsi" w:cstheme="minorBidi"/>
              <w:b w:val="0"/>
              <w:noProof/>
              <w:sz w:val="22"/>
              <w:lang w:eastAsia="en-AU"/>
            </w:rPr>
          </w:pPr>
          <w:hyperlink w:anchor="_Toc62725623" w:history="1">
            <w:r w:rsidRPr="00E22BBF">
              <w:rPr>
                <w:rStyle w:val="Hyperlink"/>
                <w:noProof/>
                <w:lang w:eastAsia="en-AU"/>
              </w:rPr>
              <w:t>Risk management plan</w:t>
            </w:r>
            <w:r>
              <w:rPr>
                <w:noProof/>
                <w:webHidden/>
              </w:rPr>
              <w:tab/>
            </w:r>
            <w:r>
              <w:rPr>
                <w:noProof/>
                <w:webHidden/>
              </w:rPr>
              <w:fldChar w:fldCharType="begin"/>
            </w:r>
            <w:r>
              <w:rPr>
                <w:noProof/>
                <w:webHidden/>
              </w:rPr>
              <w:instrText xml:space="preserve"> PAGEREF _Toc62725623 \h </w:instrText>
            </w:r>
            <w:r>
              <w:rPr>
                <w:noProof/>
                <w:webHidden/>
              </w:rPr>
            </w:r>
            <w:r>
              <w:rPr>
                <w:noProof/>
                <w:webHidden/>
              </w:rPr>
              <w:fldChar w:fldCharType="separate"/>
            </w:r>
            <w:r>
              <w:rPr>
                <w:noProof/>
                <w:webHidden/>
              </w:rPr>
              <w:t>35</w:t>
            </w:r>
            <w:r>
              <w:rPr>
                <w:noProof/>
                <w:webHidden/>
              </w:rPr>
              <w:fldChar w:fldCharType="end"/>
            </w:r>
          </w:hyperlink>
        </w:p>
        <w:p w14:paraId="13FF2CDA" w14:textId="1F20537F" w:rsidR="00580F9A" w:rsidRDefault="00580F9A">
          <w:pPr>
            <w:pStyle w:val="TOC2"/>
            <w:rPr>
              <w:rFonts w:asciiTheme="minorHAnsi" w:eastAsiaTheme="minorEastAsia" w:hAnsiTheme="minorHAnsi" w:cstheme="minorBidi"/>
              <w:b w:val="0"/>
              <w:noProof/>
              <w:sz w:val="22"/>
              <w:lang w:eastAsia="en-AU"/>
            </w:rPr>
          </w:pPr>
          <w:hyperlink w:anchor="_Toc62725624" w:history="1">
            <w:r w:rsidRPr="00E22BBF">
              <w:rPr>
                <w:rStyle w:val="Hyperlink"/>
                <w:noProof/>
              </w:rPr>
              <w:t>Risk-benefit analysis</w:t>
            </w:r>
            <w:r>
              <w:rPr>
                <w:noProof/>
                <w:webHidden/>
              </w:rPr>
              <w:tab/>
            </w:r>
            <w:r>
              <w:rPr>
                <w:noProof/>
                <w:webHidden/>
              </w:rPr>
              <w:fldChar w:fldCharType="begin"/>
            </w:r>
            <w:r>
              <w:rPr>
                <w:noProof/>
                <w:webHidden/>
              </w:rPr>
              <w:instrText xml:space="preserve"> PAGEREF _Toc62725624 \h </w:instrText>
            </w:r>
            <w:r>
              <w:rPr>
                <w:noProof/>
                <w:webHidden/>
              </w:rPr>
            </w:r>
            <w:r>
              <w:rPr>
                <w:noProof/>
                <w:webHidden/>
              </w:rPr>
              <w:fldChar w:fldCharType="separate"/>
            </w:r>
            <w:r>
              <w:rPr>
                <w:noProof/>
                <w:webHidden/>
              </w:rPr>
              <w:t>37</w:t>
            </w:r>
            <w:r>
              <w:rPr>
                <w:noProof/>
                <w:webHidden/>
              </w:rPr>
              <w:fldChar w:fldCharType="end"/>
            </w:r>
          </w:hyperlink>
        </w:p>
        <w:p w14:paraId="3F685DF8" w14:textId="7518A494" w:rsidR="00580F9A" w:rsidRDefault="00580F9A">
          <w:pPr>
            <w:pStyle w:val="TOC2"/>
            <w:rPr>
              <w:rFonts w:asciiTheme="minorHAnsi" w:eastAsiaTheme="minorEastAsia" w:hAnsiTheme="minorHAnsi" w:cstheme="minorBidi"/>
              <w:b w:val="0"/>
              <w:noProof/>
              <w:sz w:val="22"/>
              <w:lang w:eastAsia="en-AU"/>
            </w:rPr>
          </w:pPr>
          <w:hyperlink w:anchor="_Toc62725625" w:history="1">
            <w:r w:rsidRPr="00E22BBF">
              <w:rPr>
                <w:rStyle w:val="Hyperlink"/>
                <w:noProof/>
              </w:rPr>
              <w:t>Outcome</w:t>
            </w:r>
            <w:r>
              <w:rPr>
                <w:noProof/>
                <w:webHidden/>
              </w:rPr>
              <w:tab/>
            </w:r>
            <w:r>
              <w:rPr>
                <w:noProof/>
                <w:webHidden/>
              </w:rPr>
              <w:fldChar w:fldCharType="begin"/>
            </w:r>
            <w:r>
              <w:rPr>
                <w:noProof/>
                <w:webHidden/>
              </w:rPr>
              <w:instrText xml:space="preserve"> PAGEREF _Toc62725625 \h </w:instrText>
            </w:r>
            <w:r>
              <w:rPr>
                <w:noProof/>
                <w:webHidden/>
              </w:rPr>
            </w:r>
            <w:r>
              <w:rPr>
                <w:noProof/>
                <w:webHidden/>
              </w:rPr>
              <w:fldChar w:fldCharType="separate"/>
            </w:r>
            <w:r>
              <w:rPr>
                <w:noProof/>
                <w:webHidden/>
              </w:rPr>
              <w:t>42</w:t>
            </w:r>
            <w:r>
              <w:rPr>
                <w:noProof/>
                <w:webHidden/>
              </w:rPr>
              <w:fldChar w:fldCharType="end"/>
            </w:r>
          </w:hyperlink>
        </w:p>
        <w:p w14:paraId="21E9C478" w14:textId="6803D156" w:rsidR="00580F9A" w:rsidRDefault="00580F9A">
          <w:pPr>
            <w:pStyle w:val="TOC1"/>
            <w:rPr>
              <w:rFonts w:asciiTheme="minorHAnsi" w:eastAsiaTheme="minorEastAsia" w:hAnsiTheme="minorHAnsi" w:cstheme="minorBidi"/>
              <w:b w:val="0"/>
              <w:noProof/>
              <w:sz w:val="22"/>
              <w:lang w:eastAsia="en-AU"/>
            </w:rPr>
          </w:pPr>
          <w:hyperlink w:anchor="_Toc62725626" w:history="1">
            <w:r w:rsidRPr="00E22BBF">
              <w:rPr>
                <w:rStyle w:val="Hyperlink"/>
                <w:noProof/>
              </w:rPr>
              <w:t>Attachment 1. Product Information</w:t>
            </w:r>
            <w:r>
              <w:rPr>
                <w:noProof/>
                <w:webHidden/>
              </w:rPr>
              <w:tab/>
            </w:r>
            <w:r>
              <w:rPr>
                <w:noProof/>
                <w:webHidden/>
              </w:rPr>
              <w:fldChar w:fldCharType="begin"/>
            </w:r>
            <w:r>
              <w:rPr>
                <w:noProof/>
                <w:webHidden/>
              </w:rPr>
              <w:instrText xml:space="preserve"> PAGEREF _Toc62725626 \h </w:instrText>
            </w:r>
            <w:r>
              <w:rPr>
                <w:noProof/>
                <w:webHidden/>
              </w:rPr>
            </w:r>
            <w:r>
              <w:rPr>
                <w:noProof/>
                <w:webHidden/>
              </w:rPr>
              <w:fldChar w:fldCharType="separate"/>
            </w:r>
            <w:r>
              <w:rPr>
                <w:noProof/>
                <w:webHidden/>
              </w:rPr>
              <w:t>42</w:t>
            </w:r>
            <w:r>
              <w:rPr>
                <w:noProof/>
                <w:webHidden/>
              </w:rPr>
              <w:fldChar w:fldCharType="end"/>
            </w:r>
          </w:hyperlink>
        </w:p>
        <w:p w14:paraId="6760B3C5" w14:textId="790491A6" w:rsidR="003A7F6C" w:rsidRPr="00B811C6" w:rsidRDefault="00C525A2" w:rsidP="00B811C6">
          <w:pPr>
            <w:pStyle w:val="TOC2"/>
          </w:pPr>
          <w:r>
            <w:fldChar w:fldCharType="end"/>
          </w:r>
        </w:p>
      </w:sdtContent>
    </w:sdt>
    <w:bookmarkStart w:id="3" w:name="_Toc314842482" w:displacedByCustomXml="prev"/>
    <w:p w14:paraId="03DD8B59" w14:textId="77777777" w:rsidR="00FD119B" w:rsidRDefault="00FD119B" w:rsidP="00D61FF2">
      <w:r>
        <w:br w:type="page"/>
      </w:r>
    </w:p>
    <w:p w14:paraId="2076A8A1" w14:textId="5419CD79" w:rsidR="00C52E24" w:rsidRPr="00C52E24" w:rsidRDefault="00AA484C" w:rsidP="008F2B6C">
      <w:pPr>
        <w:pStyle w:val="Heading2"/>
      </w:pPr>
      <w:bookmarkStart w:id="4" w:name="_Toc351716269"/>
      <w:bookmarkStart w:id="5" w:name="_Toc351718881"/>
      <w:bookmarkStart w:id="6" w:name="_Toc355338616"/>
      <w:bookmarkStart w:id="7" w:name="_Toc356306144"/>
      <w:bookmarkStart w:id="8" w:name="_Toc62725611"/>
      <w:r>
        <w:t xml:space="preserve">List of </w:t>
      </w:r>
      <w:r w:rsidR="00FD119B"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594"/>
      </w:tblGrid>
      <w:tr w:rsidR="00D540D1" w:rsidRPr="00FD119B" w14:paraId="3F95D262" w14:textId="77777777" w:rsidTr="00BA035E">
        <w:trPr>
          <w:cnfStyle w:val="100000000000" w:firstRow="1" w:lastRow="0" w:firstColumn="0" w:lastColumn="0" w:oddVBand="0" w:evenVBand="0" w:oddHBand="0" w:evenHBand="0" w:firstRowFirstColumn="0" w:firstRowLastColumn="0" w:lastRowFirstColumn="0" w:lastRowLastColumn="0"/>
        </w:trPr>
        <w:tc>
          <w:tcPr>
            <w:tcW w:w="1809" w:type="dxa"/>
          </w:tcPr>
          <w:p w14:paraId="00063645" w14:textId="77777777" w:rsidR="00D540D1" w:rsidRPr="00DC3B30" w:rsidRDefault="00D540D1" w:rsidP="00D61FF2">
            <w:pPr>
              <w:rPr>
                <w:szCs w:val="20"/>
                <w:lang w:eastAsia="en-US"/>
              </w:rPr>
            </w:pPr>
            <w:r w:rsidRPr="00DC3B30">
              <w:rPr>
                <w:szCs w:val="20"/>
              </w:rPr>
              <w:t>Abbreviation</w:t>
            </w:r>
          </w:p>
        </w:tc>
        <w:tc>
          <w:tcPr>
            <w:tcW w:w="6911" w:type="dxa"/>
          </w:tcPr>
          <w:p w14:paraId="095C9391" w14:textId="77777777" w:rsidR="00D540D1" w:rsidRPr="00DC3B30" w:rsidRDefault="00D540D1" w:rsidP="00D61FF2">
            <w:pPr>
              <w:rPr>
                <w:szCs w:val="20"/>
                <w:lang w:eastAsia="en-US"/>
              </w:rPr>
            </w:pPr>
            <w:r w:rsidRPr="00DC3B30">
              <w:rPr>
                <w:szCs w:val="20"/>
              </w:rPr>
              <w:t>Meaning</w:t>
            </w:r>
          </w:p>
        </w:tc>
      </w:tr>
      <w:tr w:rsidR="00D540D1" w:rsidRPr="00FD119B" w14:paraId="2D5E708B" w14:textId="77777777" w:rsidTr="00BA035E">
        <w:tc>
          <w:tcPr>
            <w:tcW w:w="1809" w:type="dxa"/>
          </w:tcPr>
          <w:p w14:paraId="71B4BD47" w14:textId="77777777" w:rsidR="00D540D1" w:rsidRPr="00DC3B30" w:rsidRDefault="00D540D1" w:rsidP="00D61FF2">
            <w:pPr>
              <w:rPr>
                <w:szCs w:val="20"/>
              </w:rPr>
            </w:pPr>
            <w:r w:rsidRPr="00DC3B30">
              <w:rPr>
                <w:szCs w:val="20"/>
              </w:rPr>
              <w:t>7-COOH-CBD</w:t>
            </w:r>
          </w:p>
        </w:tc>
        <w:tc>
          <w:tcPr>
            <w:tcW w:w="6911" w:type="dxa"/>
          </w:tcPr>
          <w:p w14:paraId="3DCE45F4" w14:textId="77777777" w:rsidR="00D540D1" w:rsidRPr="00DC3B30" w:rsidRDefault="00D540D1" w:rsidP="00D61FF2">
            <w:pPr>
              <w:rPr>
                <w:szCs w:val="20"/>
              </w:rPr>
            </w:pPr>
            <w:r w:rsidRPr="00DC3B30">
              <w:rPr>
                <w:szCs w:val="20"/>
              </w:rPr>
              <w:t>7-carboxy-cannabidiol</w:t>
            </w:r>
          </w:p>
        </w:tc>
      </w:tr>
      <w:tr w:rsidR="00D540D1" w:rsidRPr="00FD119B" w14:paraId="3258FF66" w14:textId="77777777" w:rsidTr="00BA035E">
        <w:tc>
          <w:tcPr>
            <w:tcW w:w="1809" w:type="dxa"/>
          </w:tcPr>
          <w:p w14:paraId="1B10423D" w14:textId="77777777" w:rsidR="00D540D1" w:rsidRPr="00DC3B30" w:rsidRDefault="00D540D1" w:rsidP="00D61FF2">
            <w:pPr>
              <w:rPr>
                <w:szCs w:val="20"/>
              </w:rPr>
            </w:pPr>
            <w:r w:rsidRPr="00DC3B30">
              <w:rPr>
                <w:szCs w:val="20"/>
              </w:rPr>
              <w:t>7-OH-CBD</w:t>
            </w:r>
          </w:p>
        </w:tc>
        <w:tc>
          <w:tcPr>
            <w:tcW w:w="6911" w:type="dxa"/>
          </w:tcPr>
          <w:p w14:paraId="59C9EB69" w14:textId="77777777" w:rsidR="00D540D1" w:rsidRPr="00DC3B30" w:rsidRDefault="00D540D1" w:rsidP="00D61FF2">
            <w:pPr>
              <w:rPr>
                <w:szCs w:val="20"/>
              </w:rPr>
            </w:pPr>
            <w:r w:rsidRPr="00DC3B30">
              <w:rPr>
                <w:szCs w:val="20"/>
              </w:rPr>
              <w:t>7-hydroxy cannabidiol</w:t>
            </w:r>
          </w:p>
        </w:tc>
      </w:tr>
      <w:tr w:rsidR="00DC3B30" w:rsidRPr="00FD119B" w14:paraId="2C3BE0B7" w14:textId="77777777" w:rsidTr="00BA035E">
        <w:tc>
          <w:tcPr>
            <w:tcW w:w="1809" w:type="dxa"/>
          </w:tcPr>
          <w:p w14:paraId="54DA91FC" w14:textId="45954E03" w:rsidR="00DC3B30" w:rsidRPr="00DC3B30" w:rsidRDefault="00DC3B30" w:rsidP="00D61FF2">
            <w:pPr>
              <w:rPr>
                <w:szCs w:val="20"/>
              </w:rPr>
            </w:pPr>
            <w:r>
              <w:rPr>
                <w:szCs w:val="20"/>
              </w:rPr>
              <w:t>6-OH-CBD</w:t>
            </w:r>
          </w:p>
        </w:tc>
        <w:tc>
          <w:tcPr>
            <w:tcW w:w="6911" w:type="dxa"/>
          </w:tcPr>
          <w:p w14:paraId="601F4F8E" w14:textId="383F6E93" w:rsidR="00DC3B30" w:rsidRPr="00DC3B30" w:rsidRDefault="00DC3B30" w:rsidP="00D61FF2">
            <w:pPr>
              <w:rPr>
                <w:szCs w:val="20"/>
              </w:rPr>
            </w:pPr>
            <w:r w:rsidRPr="00DC3B30">
              <w:rPr>
                <w:szCs w:val="20"/>
              </w:rPr>
              <w:t>6-hydroxy cannabidiol</w:t>
            </w:r>
          </w:p>
        </w:tc>
      </w:tr>
      <w:tr w:rsidR="00D540D1" w:rsidRPr="00FD119B" w14:paraId="577270B5" w14:textId="77777777" w:rsidTr="00BA035E">
        <w:tc>
          <w:tcPr>
            <w:tcW w:w="1809" w:type="dxa"/>
          </w:tcPr>
          <w:p w14:paraId="1B4AC73F" w14:textId="77777777" w:rsidR="00D540D1" w:rsidRPr="00DC3B30" w:rsidRDefault="00D540D1" w:rsidP="00D61FF2">
            <w:pPr>
              <w:rPr>
                <w:szCs w:val="20"/>
              </w:rPr>
            </w:pPr>
            <w:r w:rsidRPr="00DC3B30">
              <w:rPr>
                <w:szCs w:val="20"/>
              </w:rPr>
              <w:t>ACM</w:t>
            </w:r>
          </w:p>
        </w:tc>
        <w:tc>
          <w:tcPr>
            <w:tcW w:w="6911" w:type="dxa"/>
          </w:tcPr>
          <w:p w14:paraId="1ECA718A" w14:textId="77777777" w:rsidR="00D540D1" w:rsidRPr="00DC3B30" w:rsidRDefault="00D540D1" w:rsidP="00D61FF2">
            <w:pPr>
              <w:rPr>
                <w:szCs w:val="20"/>
              </w:rPr>
            </w:pPr>
            <w:r w:rsidRPr="00DC3B30">
              <w:rPr>
                <w:szCs w:val="20"/>
              </w:rPr>
              <w:t>Advisory Committee on Medicines</w:t>
            </w:r>
          </w:p>
        </w:tc>
      </w:tr>
      <w:tr w:rsidR="00D540D1" w:rsidRPr="00FD119B" w14:paraId="48C00A53" w14:textId="77777777" w:rsidTr="00BA035E">
        <w:tc>
          <w:tcPr>
            <w:tcW w:w="1809" w:type="dxa"/>
          </w:tcPr>
          <w:p w14:paraId="5C5AA4B9" w14:textId="102559C7" w:rsidR="00D540D1" w:rsidRPr="00DC3B30" w:rsidRDefault="00D540D1" w:rsidP="00D61FF2">
            <w:pPr>
              <w:rPr>
                <w:szCs w:val="20"/>
              </w:rPr>
            </w:pPr>
            <w:r w:rsidRPr="00DC3B30">
              <w:rPr>
                <w:szCs w:val="20"/>
              </w:rPr>
              <w:t>AED</w:t>
            </w:r>
          </w:p>
        </w:tc>
        <w:tc>
          <w:tcPr>
            <w:tcW w:w="6911" w:type="dxa"/>
          </w:tcPr>
          <w:p w14:paraId="1C6E264D" w14:textId="22984D7F" w:rsidR="00D540D1" w:rsidRPr="00DC3B30" w:rsidRDefault="00D540D1" w:rsidP="00D61FF2">
            <w:pPr>
              <w:rPr>
                <w:szCs w:val="20"/>
              </w:rPr>
            </w:pPr>
            <w:r w:rsidRPr="00DC3B30">
              <w:rPr>
                <w:szCs w:val="20"/>
              </w:rPr>
              <w:t>Anti-epileptic drug</w:t>
            </w:r>
          </w:p>
        </w:tc>
      </w:tr>
      <w:tr w:rsidR="00D540D1" w:rsidRPr="00FD119B" w14:paraId="6D2F99CD" w14:textId="77777777" w:rsidTr="00BA035E">
        <w:tc>
          <w:tcPr>
            <w:tcW w:w="1809" w:type="dxa"/>
          </w:tcPr>
          <w:p w14:paraId="0A58EE65" w14:textId="77777777" w:rsidR="00D540D1" w:rsidRPr="00DC3B30" w:rsidRDefault="00D540D1" w:rsidP="00D61FF2">
            <w:pPr>
              <w:rPr>
                <w:szCs w:val="20"/>
              </w:rPr>
            </w:pPr>
            <w:r w:rsidRPr="00DC3B30">
              <w:rPr>
                <w:szCs w:val="20"/>
              </w:rPr>
              <w:t>ARTG</w:t>
            </w:r>
          </w:p>
        </w:tc>
        <w:tc>
          <w:tcPr>
            <w:tcW w:w="6911" w:type="dxa"/>
          </w:tcPr>
          <w:p w14:paraId="10BE3CCF" w14:textId="77777777" w:rsidR="00D540D1" w:rsidRPr="00DC3B30" w:rsidRDefault="00D540D1" w:rsidP="00D61FF2">
            <w:pPr>
              <w:rPr>
                <w:szCs w:val="20"/>
              </w:rPr>
            </w:pPr>
            <w:r w:rsidRPr="00DC3B30">
              <w:rPr>
                <w:szCs w:val="20"/>
              </w:rPr>
              <w:t>Australian Register of Therapeutic Goods</w:t>
            </w:r>
          </w:p>
        </w:tc>
      </w:tr>
      <w:tr w:rsidR="00D540D1" w:rsidRPr="00FD119B" w14:paraId="30695429" w14:textId="77777777" w:rsidTr="00BA035E">
        <w:tc>
          <w:tcPr>
            <w:tcW w:w="1809" w:type="dxa"/>
          </w:tcPr>
          <w:p w14:paraId="562C4E0C" w14:textId="77777777" w:rsidR="00D540D1" w:rsidRPr="00DC3B30" w:rsidRDefault="00D540D1" w:rsidP="00D61FF2">
            <w:pPr>
              <w:rPr>
                <w:szCs w:val="20"/>
              </w:rPr>
            </w:pPr>
            <w:r w:rsidRPr="00DC3B30">
              <w:rPr>
                <w:szCs w:val="20"/>
              </w:rPr>
              <w:t>ASA</w:t>
            </w:r>
          </w:p>
        </w:tc>
        <w:tc>
          <w:tcPr>
            <w:tcW w:w="6911" w:type="dxa"/>
          </w:tcPr>
          <w:p w14:paraId="7CBB16DF" w14:textId="77777777" w:rsidR="00D540D1" w:rsidRPr="00DC3B30" w:rsidRDefault="00D540D1" w:rsidP="00D61FF2">
            <w:pPr>
              <w:rPr>
                <w:szCs w:val="20"/>
              </w:rPr>
            </w:pPr>
            <w:r w:rsidRPr="00DC3B30">
              <w:rPr>
                <w:szCs w:val="20"/>
              </w:rPr>
              <w:t>Australian specific annex</w:t>
            </w:r>
          </w:p>
        </w:tc>
      </w:tr>
      <w:tr w:rsidR="00D540D1" w:rsidRPr="00FD119B" w14:paraId="2C8D0C7B" w14:textId="77777777" w:rsidTr="00BA035E">
        <w:tc>
          <w:tcPr>
            <w:tcW w:w="1809" w:type="dxa"/>
          </w:tcPr>
          <w:p w14:paraId="53CE7924" w14:textId="77777777" w:rsidR="00D540D1" w:rsidRPr="00DC3B30" w:rsidRDefault="00D540D1" w:rsidP="00D61FF2">
            <w:pPr>
              <w:rPr>
                <w:szCs w:val="20"/>
              </w:rPr>
            </w:pPr>
            <w:r w:rsidRPr="00DC3B30">
              <w:rPr>
                <w:szCs w:val="20"/>
              </w:rPr>
              <w:t>AUC</w:t>
            </w:r>
          </w:p>
        </w:tc>
        <w:tc>
          <w:tcPr>
            <w:tcW w:w="6911" w:type="dxa"/>
          </w:tcPr>
          <w:p w14:paraId="330A4886" w14:textId="77777777" w:rsidR="00D540D1" w:rsidRPr="00DC3B30" w:rsidRDefault="00D540D1" w:rsidP="00D61FF2">
            <w:pPr>
              <w:rPr>
                <w:szCs w:val="20"/>
              </w:rPr>
            </w:pPr>
            <w:r w:rsidRPr="00DC3B30">
              <w:rPr>
                <w:szCs w:val="20"/>
              </w:rPr>
              <w:t xml:space="preserve">Area under the </w:t>
            </w:r>
            <w:r w:rsidRPr="002B01B1">
              <w:rPr>
                <w:rFonts w:cs="Calibri"/>
                <w:color w:val="000000"/>
                <w:szCs w:val="22"/>
              </w:rPr>
              <w:t xml:space="preserve">plasma concentration time </w:t>
            </w:r>
            <w:r w:rsidRPr="00DC3B30">
              <w:rPr>
                <w:szCs w:val="20"/>
              </w:rPr>
              <w:t>curve</w:t>
            </w:r>
          </w:p>
        </w:tc>
      </w:tr>
      <w:tr w:rsidR="00D540D1" w:rsidRPr="00FD119B" w14:paraId="00339908" w14:textId="77777777" w:rsidTr="00BA035E">
        <w:tc>
          <w:tcPr>
            <w:tcW w:w="1809" w:type="dxa"/>
          </w:tcPr>
          <w:p w14:paraId="3A248F52" w14:textId="77777777" w:rsidR="00D540D1" w:rsidRPr="00DC3B30" w:rsidRDefault="00D540D1" w:rsidP="00D61FF2">
            <w:pPr>
              <w:rPr>
                <w:szCs w:val="20"/>
              </w:rPr>
            </w:pPr>
            <w:proofErr w:type="spellStart"/>
            <w:r w:rsidRPr="00DC3B30">
              <w:rPr>
                <w:szCs w:val="20"/>
              </w:rPr>
              <w:t>AUC</w:t>
            </w:r>
            <w:r w:rsidRPr="00DC3B30">
              <w:rPr>
                <w:szCs w:val="20"/>
                <w:vertAlign w:val="subscript"/>
              </w:rPr>
              <w:t>tau</w:t>
            </w:r>
            <w:proofErr w:type="spellEnd"/>
          </w:p>
        </w:tc>
        <w:tc>
          <w:tcPr>
            <w:tcW w:w="6911" w:type="dxa"/>
          </w:tcPr>
          <w:p w14:paraId="279AFEF4" w14:textId="3898CA8D" w:rsidR="00D540D1" w:rsidRPr="00DC3B30" w:rsidRDefault="00D540D1" w:rsidP="00D61FF2">
            <w:pPr>
              <w:rPr>
                <w:szCs w:val="20"/>
              </w:rPr>
            </w:pPr>
            <w:r w:rsidRPr="00DC3B30">
              <w:rPr>
                <w:szCs w:val="20"/>
              </w:rPr>
              <w:t xml:space="preserve">Area under plasma concentration-time curve over </w:t>
            </w:r>
            <w:r w:rsidR="003B4EFF">
              <w:rPr>
                <w:szCs w:val="20"/>
              </w:rPr>
              <w:t xml:space="preserve">a </w:t>
            </w:r>
            <w:r w:rsidRPr="00DC3B30">
              <w:rPr>
                <w:szCs w:val="20"/>
              </w:rPr>
              <w:t>dosing interval</w:t>
            </w:r>
          </w:p>
        </w:tc>
      </w:tr>
      <w:tr w:rsidR="00D540D1" w:rsidRPr="00FD119B" w14:paraId="6A22C4EC" w14:textId="77777777" w:rsidTr="00BA035E">
        <w:tc>
          <w:tcPr>
            <w:tcW w:w="1809" w:type="dxa"/>
          </w:tcPr>
          <w:p w14:paraId="568278D5" w14:textId="77777777" w:rsidR="00D540D1" w:rsidRPr="00DC3B30" w:rsidRDefault="00D540D1" w:rsidP="00D61FF2">
            <w:pPr>
              <w:rPr>
                <w:szCs w:val="20"/>
              </w:rPr>
            </w:pPr>
            <w:r w:rsidRPr="00DC3B30">
              <w:rPr>
                <w:szCs w:val="20"/>
              </w:rPr>
              <w:t>CBD</w:t>
            </w:r>
          </w:p>
        </w:tc>
        <w:tc>
          <w:tcPr>
            <w:tcW w:w="6911" w:type="dxa"/>
          </w:tcPr>
          <w:p w14:paraId="666274AC" w14:textId="36F826D8" w:rsidR="00D540D1" w:rsidRPr="00DC3B30" w:rsidRDefault="00D540D1" w:rsidP="00D61FF2">
            <w:pPr>
              <w:rPr>
                <w:szCs w:val="20"/>
              </w:rPr>
            </w:pPr>
            <w:r w:rsidRPr="00DC3B30">
              <w:rPr>
                <w:szCs w:val="20"/>
              </w:rPr>
              <w:t>Cannabidiol</w:t>
            </w:r>
          </w:p>
        </w:tc>
      </w:tr>
      <w:tr w:rsidR="00D540D1" w:rsidRPr="00FD119B" w14:paraId="61076AD7" w14:textId="77777777" w:rsidTr="00BA035E">
        <w:tc>
          <w:tcPr>
            <w:tcW w:w="1809" w:type="dxa"/>
          </w:tcPr>
          <w:p w14:paraId="52E974CA" w14:textId="77777777" w:rsidR="00D540D1" w:rsidRPr="00DC3B30" w:rsidRDefault="00D540D1" w:rsidP="00D61FF2">
            <w:pPr>
              <w:rPr>
                <w:szCs w:val="20"/>
              </w:rPr>
            </w:pPr>
            <w:r w:rsidRPr="00DC3B30">
              <w:rPr>
                <w:szCs w:val="20"/>
              </w:rPr>
              <w:t>CBD-OS</w:t>
            </w:r>
          </w:p>
        </w:tc>
        <w:tc>
          <w:tcPr>
            <w:tcW w:w="6911" w:type="dxa"/>
          </w:tcPr>
          <w:p w14:paraId="6132482A" w14:textId="77777777" w:rsidR="00D540D1" w:rsidRPr="00DC3B30" w:rsidRDefault="00D540D1" w:rsidP="00D61FF2">
            <w:pPr>
              <w:rPr>
                <w:szCs w:val="20"/>
              </w:rPr>
            </w:pPr>
            <w:r w:rsidRPr="00DC3B30">
              <w:rPr>
                <w:szCs w:val="20"/>
              </w:rPr>
              <w:t>Cannabidiol oral solution</w:t>
            </w:r>
          </w:p>
        </w:tc>
      </w:tr>
      <w:tr w:rsidR="00D540D1" w:rsidRPr="00FD119B" w14:paraId="4480A5BD" w14:textId="77777777" w:rsidTr="00BA035E">
        <w:tc>
          <w:tcPr>
            <w:tcW w:w="1809" w:type="dxa"/>
          </w:tcPr>
          <w:p w14:paraId="749AB669" w14:textId="77777777" w:rsidR="00D540D1" w:rsidRPr="00DC3B30" w:rsidRDefault="00D540D1" w:rsidP="00D61FF2">
            <w:pPr>
              <w:rPr>
                <w:szCs w:val="20"/>
              </w:rPr>
            </w:pPr>
            <w:r w:rsidRPr="00DC3B30">
              <w:rPr>
                <w:szCs w:val="20"/>
              </w:rPr>
              <w:t>CHMP</w:t>
            </w:r>
          </w:p>
        </w:tc>
        <w:tc>
          <w:tcPr>
            <w:tcW w:w="6911" w:type="dxa"/>
          </w:tcPr>
          <w:p w14:paraId="6E54C118" w14:textId="21FCB933" w:rsidR="00D540D1" w:rsidRPr="00DC3B30" w:rsidRDefault="00D540D1" w:rsidP="00E25484">
            <w:pPr>
              <w:rPr>
                <w:szCs w:val="20"/>
              </w:rPr>
            </w:pPr>
            <w:r w:rsidRPr="00DC3B30">
              <w:rPr>
                <w:szCs w:val="20"/>
              </w:rPr>
              <w:t>Committee for Medicinal Products for Human Use (</w:t>
            </w:r>
            <w:r w:rsidR="00E25484">
              <w:rPr>
                <w:szCs w:val="20"/>
              </w:rPr>
              <w:t>European Union</w:t>
            </w:r>
            <w:r w:rsidRPr="00DC3B30">
              <w:rPr>
                <w:szCs w:val="20"/>
              </w:rPr>
              <w:t>)</w:t>
            </w:r>
          </w:p>
        </w:tc>
      </w:tr>
      <w:tr w:rsidR="00D540D1" w:rsidRPr="00FD119B" w14:paraId="6237E74D" w14:textId="77777777" w:rsidTr="00BA035E">
        <w:tc>
          <w:tcPr>
            <w:tcW w:w="1809" w:type="dxa"/>
          </w:tcPr>
          <w:p w14:paraId="16630C6B" w14:textId="77777777" w:rsidR="00D540D1" w:rsidRPr="00DC3B30" w:rsidRDefault="00D540D1" w:rsidP="00D61FF2">
            <w:pPr>
              <w:rPr>
                <w:szCs w:val="20"/>
              </w:rPr>
            </w:pPr>
            <w:r w:rsidRPr="00DC3B30">
              <w:rPr>
                <w:szCs w:val="20"/>
              </w:rPr>
              <w:t>CI</w:t>
            </w:r>
          </w:p>
        </w:tc>
        <w:tc>
          <w:tcPr>
            <w:tcW w:w="6911" w:type="dxa"/>
          </w:tcPr>
          <w:p w14:paraId="70E026A8" w14:textId="77777777" w:rsidR="00D540D1" w:rsidRPr="00DC3B30" w:rsidRDefault="00D540D1" w:rsidP="00D61FF2">
            <w:pPr>
              <w:rPr>
                <w:szCs w:val="20"/>
              </w:rPr>
            </w:pPr>
            <w:r w:rsidRPr="00DC3B30">
              <w:rPr>
                <w:szCs w:val="20"/>
              </w:rPr>
              <w:t>Confidence interval</w:t>
            </w:r>
          </w:p>
        </w:tc>
      </w:tr>
      <w:tr w:rsidR="00D540D1" w:rsidRPr="00FD119B" w14:paraId="60FB17BA" w14:textId="77777777" w:rsidTr="00BA035E">
        <w:tc>
          <w:tcPr>
            <w:tcW w:w="1809" w:type="dxa"/>
          </w:tcPr>
          <w:p w14:paraId="15B160F2" w14:textId="77777777" w:rsidR="00D540D1" w:rsidRPr="00DC3B30" w:rsidRDefault="00D540D1" w:rsidP="00D61FF2">
            <w:pPr>
              <w:rPr>
                <w:szCs w:val="20"/>
              </w:rPr>
            </w:pPr>
            <w:r w:rsidRPr="00DC3B30">
              <w:rPr>
                <w:szCs w:val="20"/>
              </w:rPr>
              <w:t>CLB</w:t>
            </w:r>
          </w:p>
        </w:tc>
        <w:tc>
          <w:tcPr>
            <w:tcW w:w="6911" w:type="dxa"/>
          </w:tcPr>
          <w:p w14:paraId="50E0F3F0" w14:textId="77777777" w:rsidR="00D540D1" w:rsidRPr="00DC3B30" w:rsidRDefault="00D540D1" w:rsidP="00D61FF2">
            <w:pPr>
              <w:rPr>
                <w:szCs w:val="20"/>
              </w:rPr>
            </w:pPr>
            <w:proofErr w:type="spellStart"/>
            <w:r w:rsidRPr="00DC3B30">
              <w:rPr>
                <w:szCs w:val="20"/>
              </w:rPr>
              <w:t>Clobazam</w:t>
            </w:r>
            <w:proofErr w:type="spellEnd"/>
          </w:p>
        </w:tc>
      </w:tr>
      <w:tr w:rsidR="00D540D1" w:rsidRPr="00FD119B" w14:paraId="7A6DEAEC" w14:textId="77777777" w:rsidTr="00BA035E">
        <w:tc>
          <w:tcPr>
            <w:tcW w:w="1809" w:type="dxa"/>
          </w:tcPr>
          <w:p w14:paraId="1BCA16BC" w14:textId="77777777" w:rsidR="00D540D1" w:rsidRPr="00DC3B30" w:rsidRDefault="00D540D1" w:rsidP="00D61FF2">
            <w:pPr>
              <w:rPr>
                <w:szCs w:val="20"/>
              </w:rPr>
            </w:pPr>
            <w:proofErr w:type="spellStart"/>
            <w:r w:rsidRPr="00DC3B30">
              <w:rPr>
                <w:szCs w:val="20"/>
              </w:rPr>
              <w:t>C</w:t>
            </w:r>
            <w:r w:rsidRPr="00DC3B30">
              <w:rPr>
                <w:szCs w:val="20"/>
                <w:vertAlign w:val="subscript"/>
              </w:rPr>
              <w:t>max</w:t>
            </w:r>
            <w:proofErr w:type="spellEnd"/>
          </w:p>
        </w:tc>
        <w:tc>
          <w:tcPr>
            <w:tcW w:w="6911" w:type="dxa"/>
          </w:tcPr>
          <w:p w14:paraId="32D6EDCF" w14:textId="77777777" w:rsidR="00D540D1" w:rsidRPr="00DC3B30" w:rsidRDefault="00D540D1" w:rsidP="00D61FF2">
            <w:pPr>
              <w:rPr>
                <w:szCs w:val="20"/>
              </w:rPr>
            </w:pPr>
            <w:r w:rsidRPr="00DC3B30">
              <w:rPr>
                <w:szCs w:val="20"/>
              </w:rPr>
              <w:t>Maximum plasma concentration</w:t>
            </w:r>
          </w:p>
        </w:tc>
      </w:tr>
      <w:tr w:rsidR="00D540D1" w:rsidRPr="00FD119B" w14:paraId="4B30F02F" w14:textId="77777777" w:rsidTr="00BA035E">
        <w:tc>
          <w:tcPr>
            <w:tcW w:w="1809" w:type="dxa"/>
          </w:tcPr>
          <w:p w14:paraId="65DA5FEF" w14:textId="77777777" w:rsidR="00D540D1" w:rsidRPr="00DC3B30" w:rsidRDefault="00D540D1" w:rsidP="00D61FF2">
            <w:pPr>
              <w:rPr>
                <w:szCs w:val="20"/>
              </w:rPr>
            </w:pPr>
            <w:r w:rsidRPr="00DC3B30">
              <w:rPr>
                <w:szCs w:val="20"/>
              </w:rPr>
              <w:t>CMC</w:t>
            </w:r>
          </w:p>
        </w:tc>
        <w:tc>
          <w:tcPr>
            <w:tcW w:w="6911" w:type="dxa"/>
          </w:tcPr>
          <w:p w14:paraId="059F4BF0" w14:textId="381CA3C6" w:rsidR="00D540D1" w:rsidRPr="00DC3B30" w:rsidRDefault="00D540D1" w:rsidP="00A6632B">
            <w:pPr>
              <w:rPr>
                <w:szCs w:val="20"/>
              </w:rPr>
            </w:pPr>
            <w:r w:rsidRPr="00DC3B30">
              <w:rPr>
                <w:szCs w:val="20"/>
              </w:rPr>
              <w:t xml:space="preserve">Chemistry and manufacturing control (FDA </w:t>
            </w:r>
            <w:r w:rsidR="00A6632B">
              <w:rPr>
                <w:szCs w:val="20"/>
              </w:rPr>
              <w:t>Guidance for industry, United States</w:t>
            </w:r>
            <w:r w:rsidRPr="00DC3B30">
              <w:rPr>
                <w:szCs w:val="20"/>
              </w:rPr>
              <w:t>)</w:t>
            </w:r>
          </w:p>
        </w:tc>
      </w:tr>
      <w:tr w:rsidR="00D540D1" w:rsidRPr="00FD119B" w14:paraId="32BBDD90" w14:textId="77777777" w:rsidTr="00BA035E">
        <w:tc>
          <w:tcPr>
            <w:tcW w:w="1809" w:type="dxa"/>
          </w:tcPr>
          <w:p w14:paraId="2F7B052E" w14:textId="77777777" w:rsidR="00D540D1" w:rsidRPr="00DC3B30" w:rsidRDefault="00D540D1" w:rsidP="00D61FF2">
            <w:pPr>
              <w:rPr>
                <w:szCs w:val="20"/>
              </w:rPr>
            </w:pPr>
            <w:r w:rsidRPr="00DC3B30">
              <w:rPr>
                <w:szCs w:val="20"/>
              </w:rPr>
              <w:t>CMH</w:t>
            </w:r>
          </w:p>
        </w:tc>
        <w:tc>
          <w:tcPr>
            <w:tcW w:w="6911" w:type="dxa"/>
          </w:tcPr>
          <w:p w14:paraId="1D8281D7" w14:textId="77777777" w:rsidR="00D540D1" w:rsidRPr="00DC3B30" w:rsidRDefault="00D540D1" w:rsidP="00D61FF2">
            <w:pPr>
              <w:rPr>
                <w:szCs w:val="20"/>
              </w:rPr>
            </w:pPr>
            <w:r w:rsidRPr="00DC3B30">
              <w:rPr>
                <w:szCs w:val="20"/>
              </w:rPr>
              <w:t>Cochran-Mantel-</w:t>
            </w:r>
            <w:proofErr w:type="spellStart"/>
            <w:r w:rsidRPr="00DC3B30">
              <w:rPr>
                <w:szCs w:val="20"/>
              </w:rPr>
              <w:t>Haenszel</w:t>
            </w:r>
            <w:proofErr w:type="spellEnd"/>
            <w:r w:rsidRPr="00DC3B30">
              <w:rPr>
                <w:szCs w:val="20"/>
              </w:rPr>
              <w:t xml:space="preserve"> test</w:t>
            </w:r>
          </w:p>
        </w:tc>
      </w:tr>
      <w:tr w:rsidR="00D540D1" w:rsidRPr="00FD119B" w14:paraId="72D3475B" w14:textId="77777777" w:rsidTr="00BA035E">
        <w:tc>
          <w:tcPr>
            <w:tcW w:w="1809" w:type="dxa"/>
          </w:tcPr>
          <w:p w14:paraId="6C2FA996" w14:textId="77777777" w:rsidR="00D540D1" w:rsidRPr="00DC3B30" w:rsidRDefault="00D540D1" w:rsidP="00D61FF2">
            <w:pPr>
              <w:rPr>
                <w:szCs w:val="20"/>
              </w:rPr>
            </w:pPr>
            <w:r w:rsidRPr="00DC3B30">
              <w:rPr>
                <w:szCs w:val="20"/>
              </w:rPr>
              <w:t>CMI</w:t>
            </w:r>
          </w:p>
        </w:tc>
        <w:tc>
          <w:tcPr>
            <w:tcW w:w="6911" w:type="dxa"/>
          </w:tcPr>
          <w:p w14:paraId="7B89DC3F" w14:textId="77777777" w:rsidR="00D540D1" w:rsidRPr="00DC3B30" w:rsidRDefault="00D540D1" w:rsidP="00D61FF2">
            <w:pPr>
              <w:rPr>
                <w:szCs w:val="20"/>
              </w:rPr>
            </w:pPr>
            <w:r w:rsidRPr="00DC3B30">
              <w:rPr>
                <w:szCs w:val="20"/>
              </w:rPr>
              <w:t>Consumer Medicines Information</w:t>
            </w:r>
          </w:p>
        </w:tc>
      </w:tr>
      <w:tr w:rsidR="001D5E1F" w:rsidRPr="00FD119B" w14:paraId="1AB59BDC" w14:textId="77777777" w:rsidTr="00BA035E">
        <w:tc>
          <w:tcPr>
            <w:tcW w:w="1809" w:type="dxa"/>
          </w:tcPr>
          <w:p w14:paraId="00C99FE7" w14:textId="47F873DE" w:rsidR="001D5E1F" w:rsidRPr="001D5E1F" w:rsidRDefault="001D5E1F" w:rsidP="00D61FF2">
            <w:pPr>
              <w:rPr>
                <w:szCs w:val="20"/>
              </w:rPr>
            </w:pPr>
            <w:r>
              <w:rPr>
                <w:szCs w:val="20"/>
              </w:rPr>
              <w:t>CYP</w:t>
            </w:r>
          </w:p>
        </w:tc>
        <w:tc>
          <w:tcPr>
            <w:tcW w:w="6911" w:type="dxa"/>
          </w:tcPr>
          <w:p w14:paraId="5208125F" w14:textId="11BB1E1E" w:rsidR="001D5E1F" w:rsidRPr="001D5E1F" w:rsidRDefault="001D5E1F" w:rsidP="00D61FF2">
            <w:pPr>
              <w:rPr>
                <w:szCs w:val="20"/>
              </w:rPr>
            </w:pPr>
            <w:r w:rsidRPr="001D5E1F">
              <w:rPr>
                <w:szCs w:val="20"/>
              </w:rPr>
              <w:t>Cytochrome P450</w:t>
            </w:r>
          </w:p>
        </w:tc>
      </w:tr>
      <w:tr w:rsidR="00AA0333" w:rsidRPr="00FD119B" w14:paraId="2078EDC5" w14:textId="77777777" w:rsidTr="00BA035E">
        <w:tc>
          <w:tcPr>
            <w:tcW w:w="1809" w:type="dxa"/>
          </w:tcPr>
          <w:p w14:paraId="021DF5D3" w14:textId="52BE9CBC" w:rsidR="00AA0333" w:rsidRDefault="00AA0333" w:rsidP="00D61FF2">
            <w:pPr>
              <w:rPr>
                <w:szCs w:val="20"/>
              </w:rPr>
            </w:pPr>
            <w:r>
              <w:rPr>
                <w:szCs w:val="20"/>
              </w:rPr>
              <w:t>DILI</w:t>
            </w:r>
          </w:p>
        </w:tc>
        <w:tc>
          <w:tcPr>
            <w:tcW w:w="6911" w:type="dxa"/>
          </w:tcPr>
          <w:p w14:paraId="526C5154" w14:textId="6680A3E5" w:rsidR="00AA0333" w:rsidRPr="001D5E1F" w:rsidRDefault="00AA0333" w:rsidP="00D61FF2">
            <w:pPr>
              <w:rPr>
                <w:szCs w:val="20"/>
              </w:rPr>
            </w:pPr>
            <w:r>
              <w:rPr>
                <w:szCs w:val="20"/>
              </w:rPr>
              <w:t>Drug-induced liver injury</w:t>
            </w:r>
          </w:p>
        </w:tc>
      </w:tr>
      <w:tr w:rsidR="00D540D1" w:rsidRPr="00FD119B" w14:paraId="34D37402" w14:textId="77777777" w:rsidTr="00BA035E">
        <w:tc>
          <w:tcPr>
            <w:tcW w:w="1809" w:type="dxa"/>
          </w:tcPr>
          <w:p w14:paraId="2E65729C" w14:textId="77777777" w:rsidR="00D540D1" w:rsidRPr="00DC3B30" w:rsidRDefault="00D540D1" w:rsidP="00D61FF2">
            <w:pPr>
              <w:rPr>
                <w:szCs w:val="20"/>
              </w:rPr>
            </w:pPr>
            <w:r w:rsidRPr="00DC3B30">
              <w:rPr>
                <w:szCs w:val="20"/>
              </w:rPr>
              <w:t>DLP</w:t>
            </w:r>
          </w:p>
        </w:tc>
        <w:tc>
          <w:tcPr>
            <w:tcW w:w="6911" w:type="dxa"/>
          </w:tcPr>
          <w:p w14:paraId="04EA8A97" w14:textId="77777777" w:rsidR="00D540D1" w:rsidRPr="00DC3B30" w:rsidRDefault="00D540D1" w:rsidP="00D61FF2">
            <w:pPr>
              <w:rPr>
                <w:szCs w:val="20"/>
              </w:rPr>
            </w:pPr>
            <w:r w:rsidRPr="00DC3B30">
              <w:rPr>
                <w:szCs w:val="20"/>
              </w:rPr>
              <w:t>Data lock point</w:t>
            </w:r>
          </w:p>
        </w:tc>
      </w:tr>
      <w:tr w:rsidR="00D540D1" w:rsidRPr="00FD119B" w14:paraId="30923CFA" w14:textId="77777777" w:rsidTr="00BA035E">
        <w:tc>
          <w:tcPr>
            <w:tcW w:w="1809" w:type="dxa"/>
          </w:tcPr>
          <w:p w14:paraId="2F165090" w14:textId="77777777" w:rsidR="00D540D1" w:rsidRPr="00DC3B30" w:rsidRDefault="00D540D1" w:rsidP="00D61FF2">
            <w:pPr>
              <w:rPr>
                <w:szCs w:val="20"/>
              </w:rPr>
            </w:pPr>
            <w:r w:rsidRPr="00DC3B30">
              <w:rPr>
                <w:szCs w:val="20"/>
              </w:rPr>
              <w:t>DRE</w:t>
            </w:r>
          </w:p>
        </w:tc>
        <w:tc>
          <w:tcPr>
            <w:tcW w:w="6911" w:type="dxa"/>
          </w:tcPr>
          <w:p w14:paraId="061D6401" w14:textId="77777777" w:rsidR="00D540D1" w:rsidRPr="00DC3B30" w:rsidRDefault="00D540D1" w:rsidP="00D61FF2">
            <w:pPr>
              <w:rPr>
                <w:szCs w:val="20"/>
              </w:rPr>
            </w:pPr>
            <w:r w:rsidRPr="00DC3B30">
              <w:rPr>
                <w:szCs w:val="20"/>
              </w:rPr>
              <w:t>Drug resistant epilepsy</w:t>
            </w:r>
          </w:p>
        </w:tc>
      </w:tr>
      <w:tr w:rsidR="00D540D1" w:rsidRPr="00FD119B" w14:paraId="734461D5" w14:textId="77777777" w:rsidTr="00BA035E">
        <w:tc>
          <w:tcPr>
            <w:tcW w:w="1809" w:type="dxa"/>
          </w:tcPr>
          <w:p w14:paraId="753A08A7" w14:textId="77777777" w:rsidR="00D540D1" w:rsidRPr="00DC3B30" w:rsidRDefault="00D540D1" w:rsidP="00D61FF2">
            <w:pPr>
              <w:rPr>
                <w:szCs w:val="20"/>
              </w:rPr>
            </w:pPr>
            <w:r w:rsidRPr="00DC3B30">
              <w:rPr>
                <w:szCs w:val="20"/>
              </w:rPr>
              <w:t>DS</w:t>
            </w:r>
          </w:p>
        </w:tc>
        <w:tc>
          <w:tcPr>
            <w:tcW w:w="6911" w:type="dxa"/>
          </w:tcPr>
          <w:p w14:paraId="4E6AD399" w14:textId="77777777" w:rsidR="00D540D1" w:rsidRPr="00DC3B30" w:rsidRDefault="00D540D1" w:rsidP="00D61FF2">
            <w:pPr>
              <w:rPr>
                <w:szCs w:val="20"/>
              </w:rPr>
            </w:pPr>
            <w:proofErr w:type="spellStart"/>
            <w:r w:rsidRPr="00DC3B30">
              <w:rPr>
                <w:szCs w:val="20"/>
                <w:lang w:eastAsia="ja-JP"/>
              </w:rPr>
              <w:t>Dravet</w:t>
            </w:r>
            <w:proofErr w:type="spellEnd"/>
            <w:r w:rsidRPr="00DC3B30">
              <w:rPr>
                <w:szCs w:val="20"/>
                <w:lang w:eastAsia="ja-JP"/>
              </w:rPr>
              <w:t xml:space="preserve"> syndrome</w:t>
            </w:r>
          </w:p>
        </w:tc>
      </w:tr>
      <w:tr w:rsidR="00D540D1" w:rsidRPr="00FD119B" w14:paraId="75BCE162" w14:textId="77777777" w:rsidTr="00BA035E">
        <w:tc>
          <w:tcPr>
            <w:tcW w:w="1809" w:type="dxa"/>
          </w:tcPr>
          <w:p w14:paraId="216A0CA3" w14:textId="77777777" w:rsidR="00D540D1" w:rsidRPr="00DC3B30" w:rsidRDefault="00D540D1" w:rsidP="00D61FF2">
            <w:pPr>
              <w:rPr>
                <w:szCs w:val="20"/>
              </w:rPr>
            </w:pPr>
            <w:r w:rsidRPr="00DC3B30">
              <w:rPr>
                <w:szCs w:val="20"/>
              </w:rPr>
              <w:t>EAP</w:t>
            </w:r>
          </w:p>
        </w:tc>
        <w:tc>
          <w:tcPr>
            <w:tcW w:w="6911" w:type="dxa"/>
          </w:tcPr>
          <w:p w14:paraId="7C737E30" w14:textId="77777777" w:rsidR="00D540D1" w:rsidRPr="00DC3B30" w:rsidRDefault="00D540D1" w:rsidP="00D61FF2">
            <w:pPr>
              <w:rPr>
                <w:szCs w:val="20"/>
                <w:lang w:eastAsia="ja-JP"/>
              </w:rPr>
            </w:pPr>
            <w:r w:rsidRPr="00DC3B30">
              <w:rPr>
                <w:szCs w:val="20"/>
                <w:lang w:eastAsia="ja-JP"/>
              </w:rPr>
              <w:t>Extended Access Program</w:t>
            </w:r>
          </w:p>
        </w:tc>
      </w:tr>
      <w:tr w:rsidR="00D540D1" w:rsidRPr="00FD119B" w14:paraId="1988D93C" w14:textId="77777777" w:rsidTr="00BA035E">
        <w:tc>
          <w:tcPr>
            <w:tcW w:w="1809" w:type="dxa"/>
          </w:tcPr>
          <w:p w14:paraId="6A1F66CF" w14:textId="77777777" w:rsidR="00D540D1" w:rsidRPr="00DC3B30" w:rsidRDefault="00D540D1" w:rsidP="00D61FF2">
            <w:pPr>
              <w:rPr>
                <w:szCs w:val="20"/>
              </w:rPr>
            </w:pPr>
            <w:r w:rsidRPr="00DC3B30">
              <w:rPr>
                <w:szCs w:val="20"/>
              </w:rPr>
              <w:t>EMA</w:t>
            </w:r>
          </w:p>
        </w:tc>
        <w:tc>
          <w:tcPr>
            <w:tcW w:w="6911" w:type="dxa"/>
          </w:tcPr>
          <w:p w14:paraId="51B7F6EE" w14:textId="0F49BB1B" w:rsidR="00D540D1" w:rsidRPr="00DC3B30" w:rsidRDefault="00D540D1" w:rsidP="00D61FF2">
            <w:pPr>
              <w:rPr>
                <w:szCs w:val="20"/>
                <w:lang w:eastAsia="ja-JP"/>
              </w:rPr>
            </w:pPr>
            <w:r w:rsidRPr="00DC3B30">
              <w:rPr>
                <w:szCs w:val="20"/>
                <w:lang w:eastAsia="ja-JP"/>
              </w:rPr>
              <w:t>European Medicines Agency</w:t>
            </w:r>
            <w:r w:rsidR="00E25484">
              <w:rPr>
                <w:szCs w:val="20"/>
                <w:lang w:eastAsia="ja-JP"/>
              </w:rPr>
              <w:t xml:space="preserve"> (European Union)</w:t>
            </w:r>
          </w:p>
        </w:tc>
      </w:tr>
      <w:tr w:rsidR="00D540D1" w:rsidRPr="00FD119B" w14:paraId="590AE691" w14:textId="77777777" w:rsidTr="00BA035E">
        <w:tc>
          <w:tcPr>
            <w:tcW w:w="1809" w:type="dxa"/>
          </w:tcPr>
          <w:p w14:paraId="3202A54B" w14:textId="77777777" w:rsidR="00D540D1" w:rsidRPr="00DC3B30" w:rsidRDefault="00D540D1" w:rsidP="00D61FF2">
            <w:pPr>
              <w:rPr>
                <w:szCs w:val="20"/>
              </w:rPr>
            </w:pPr>
            <w:r w:rsidRPr="00DC3B30">
              <w:rPr>
                <w:szCs w:val="20"/>
              </w:rPr>
              <w:t>EU</w:t>
            </w:r>
          </w:p>
        </w:tc>
        <w:tc>
          <w:tcPr>
            <w:tcW w:w="6911" w:type="dxa"/>
          </w:tcPr>
          <w:p w14:paraId="2A8C0790" w14:textId="77777777" w:rsidR="00D540D1" w:rsidRPr="00DC3B30" w:rsidRDefault="00D540D1" w:rsidP="00D61FF2">
            <w:pPr>
              <w:rPr>
                <w:szCs w:val="20"/>
                <w:lang w:eastAsia="ja-JP"/>
              </w:rPr>
            </w:pPr>
            <w:r w:rsidRPr="00DC3B30">
              <w:rPr>
                <w:szCs w:val="20"/>
                <w:lang w:eastAsia="ja-JP"/>
              </w:rPr>
              <w:t>European Union</w:t>
            </w:r>
          </w:p>
        </w:tc>
      </w:tr>
      <w:tr w:rsidR="00D540D1" w:rsidRPr="00FD119B" w14:paraId="2341DF14" w14:textId="77777777" w:rsidTr="00BA035E">
        <w:tc>
          <w:tcPr>
            <w:tcW w:w="1809" w:type="dxa"/>
          </w:tcPr>
          <w:p w14:paraId="123C3EEA" w14:textId="77777777" w:rsidR="00D540D1" w:rsidRPr="00610F77" w:rsidRDefault="00D540D1" w:rsidP="00D61FF2">
            <w:pPr>
              <w:rPr>
                <w:szCs w:val="20"/>
              </w:rPr>
            </w:pPr>
            <w:r w:rsidRPr="00610F77">
              <w:rPr>
                <w:szCs w:val="20"/>
              </w:rPr>
              <w:t>FDA</w:t>
            </w:r>
          </w:p>
        </w:tc>
        <w:tc>
          <w:tcPr>
            <w:tcW w:w="6911" w:type="dxa"/>
          </w:tcPr>
          <w:p w14:paraId="2C46629D" w14:textId="58A20953" w:rsidR="00D540D1" w:rsidRPr="00610F77" w:rsidRDefault="00D540D1" w:rsidP="00D61FF2">
            <w:pPr>
              <w:rPr>
                <w:szCs w:val="20"/>
                <w:lang w:eastAsia="ja-JP"/>
              </w:rPr>
            </w:pPr>
            <w:r w:rsidRPr="00610F77">
              <w:rPr>
                <w:szCs w:val="20"/>
                <w:lang w:eastAsia="ja-JP"/>
              </w:rPr>
              <w:t xml:space="preserve">Food and Drug Administration </w:t>
            </w:r>
            <w:r w:rsidR="00E25484">
              <w:rPr>
                <w:szCs w:val="20"/>
                <w:lang w:eastAsia="ja-JP"/>
              </w:rPr>
              <w:t>(</w:t>
            </w:r>
            <w:r w:rsidRPr="00610F77">
              <w:rPr>
                <w:szCs w:val="20"/>
                <w:lang w:eastAsia="ja-JP"/>
              </w:rPr>
              <w:t>United States of America</w:t>
            </w:r>
            <w:r w:rsidR="00E25484">
              <w:rPr>
                <w:szCs w:val="20"/>
                <w:lang w:eastAsia="ja-JP"/>
              </w:rPr>
              <w:t>)</w:t>
            </w:r>
          </w:p>
        </w:tc>
      </w:tr>
      <w:tr w:rsidR="00AD6C99" w:rsidRPr="00FD119B" w14:paraId="29E82A01" w14:textId="77777777" w:rsidTr="00BA035E">
        <w:tc>
          <w:tcPr>
            <w:tcW w:w="1809" w:type="dxa"/>
          </w:tcPr>
          <w:p w14:paraId="12F9B771" w14:textId="0053FC05" w:rsidR="00AD6C99" w:rsidRPr="00610F77" w:rsidRDefault="00AD6C99" w:rsidP="00D61FF2">
            <w:pPr>
              <w:rPr>
                <w:szCs w:val="20"/>
              </w:rPr>
            </w:pPr>
            <w:r>
              <w:rPr>
                <w:szCs w:val="20"/>
              </w:rPr>
              <w:t>GLP</w:t>
            </w:r>
          </w:p>
        </w:tc>
        <w:tc>
          <w:tcPr>
            <w:tcW w:w="6911" w:type="dxa"/>
          </w:tcPr>
          <w:p w14:paraId="10FF36DB" w14:textId="777294BC" w:rsidR="00AD6C99" w:rsidRPr="00610F77" w:rsidRDefault="00AD6C99" w:rsidP="00D61FF2">
            <w:pPr>
              <w:rPr>
                <w:szCs w:val="20"/>
                <w:lang w:eastAsia="ja-JP"/>
              </w:rPr>
            </w:pPr>
            <w:r>
              <w:rPr>
                <w:szCs w:val="20"/>
                <w:lang w:eastAsia="ja-JP"/>
              </w:rPr>
              <w:t>Good Laboratory Practice</w:t>
            </w:r>
          </w:p>
        </w:tc>
      </w:tr>
      <w:tr w:rsidR="00D540D1" w:rsidRPr="00FD119B" w14:paraId="117DE6C1" w14:textId="77777777" w:rsidTr="00BA035E">
        <w:tc>
          <w:tcPr>
            <w:tcW w:w="1809" w:type="dxa"/>
          </w:tcPr>
          <w:p w14:paraId="3117C507" w14:textId="77777777" w:rsidR="00D540D1" w:rsidRPr="00610F77" w:rsidRDefault="00D540D1" w:rsidP="00D61FF2">
            <w:pPr>
              <w:rPr>
                <w:szCs w:val="20"/>
              </w:rPr>
            </w:pPr>
            <w:r w:rsidRPr="00610F77">
              <w:rPr>
                <w:szCs w:val="20"/>
              </w:rPr>
              <w:t>GMP</w:t>
            </w:r>
          </w:p>
        </w:tc>
        <w:tc>
          <w:tcPr>
            <w:tcW w:w="6911" w:type="dxa"/>
          </w:tcPr>
          <w:p w14:paraId="77EE714F" w14:textId="77777777" w:rsidR="00D540D1" w:rsidRPr="00610F77" w:rsidRDefault="00D540D1" w:rsidP="00D61FF2">
            <w:pPr>
              <w:rPr>
                <w:szCs w:val="20"/>
                <w:lang w:eastAsia="ja-JP"/>
              </w:rPr>
            </w:pPr>
            <w:r w:rsidRPr="00610F77">
              <w:rPr>
                <w:szCs w:val="20"/>
                <w:lang w:eastAsia="ja-JP"/>
              </w:rPr>
              <w:t>Good Manufacturing Practice</w:t>
            </w:r>
          </w:p>
        </w:tc>
      </w:tr>
      <w:tr w:rsidR="00D540D1" w:rsidRPr="00FD119B" w14:paraId="1EAE78B6" w14:textId="77777777" w:rsidTr="00BA035E">
        <w:tc>
          <w:tcPr>
            <w:tcW w:w="1809" w:type="dxa"/>
          </w:tcPr>
          <w:p w14:paraId="260A21C1" w14:textId="77777777" w:rsidR="00D540D1" w:rsidRPr="00610F77" w:rsidRDefault="00D540D1" w:rsidP="00D61FF2">
            <w:pPr>
              <w:rPr>
                <w:szCs w:val="20"/>
              </w:rPr>
            </w:pPr>
            <w:r w:rsidRPr="00610F77">
              <w:rPr>
                <w:szCs w:val="20"/>
              </w:rPr>
              <w:t>IMP</w:t>
            </w:r>
          </w:p>
        </w:tc>
        <w:tc>
          <w:tcPr>
            <w:tcW w:w="6911" w:type="dxa"/>
          </w:tcPr>
          <w:p w14:paraId="6DBD9FF5" w14:textId="33D7E45A" w:rsidR="00D540D1" w:rsidRPr="00610F77" w:rsidRDefault="00D540D1" w:rsidP="00D61FF2">
            <w:pPr>
              <w:rPr>
                <w:szCs w:val="20"/>
                <w:lang w:eastAsia="ja-JP"/>
              </w:rPr>
            </w:pPr>
            <w:r w:rsidRPr="00610F77">
              <w:rPr>
                <w:szCs w:val="20"/>
                <w:lang w:eastAsia="ja-JP"/>
              </w:rPr>
              <w:t>Investigational medicin</w:t>
            </w:r>
            <w:r w:rsidR="00C441DE">
              <w:rPr>
                <w:szCs w:val="20"/>
                <w:lang w:eastAsia="ja-JP"/>
              </w:rPr>
              <w:t>al</w:t>
            </w:r>
            <w:r w:rsidRPr="00610F77">
              <w:rPr>
                <w:szCs w:val="20"/>
                <w:lang w:eastAsia="ja-JP"/>
              </w:rPr>
              <w:t xml:space="preserve"> product</w:t>
            </w:r>
          </w:p>
        </w:tc>
      </w:tr>
      <w:tr w:rsidR="00D540D1" w:rsidRPr="00FD119B" w14:paraId="210E2C79" w14:textId="77777777" w:rsidTr="00BA035E">
        <w:tc>
          <w:tcPr>
            <w:tcW w:w="1809" w:type="dxa"/>
          </w:tcPr>
          <w:p w14:paraId="26599797" w14:textId="77777777" w:rsidR="00D540D1" w:rsidRPr="00610F77" w:rsidRDefault="00D540D1" w:rsidP="00D61FF2">
            <w:pPr>
              <w:rPr>
                <w:szCs w:val="20"/>
              </w:rPr>
            </w:pPr>
            <w:r w:rsidRPr="00610F77">
              <w:rPr>
                <w:szCs w:val="20"/>
              </w:rPr>
              <w:t>ITT</w:t>
            </w:r>
          </w:p>
        </w:tc>
        <w:tc>
          <w:tcPr>
            <w:tcW w:w="6911" w:type="dxa"/>
          </w:tcPr>
          <w:p w14:paraId="56193B8B" w14:textId="77777777" w:rsidR="00D540D1" w:rsidRPr="00610F77" w:rsidRDefault="00D540D1" w:rsidP="00D61FF2">
            <w:pPr>
              <w:rPr>
                <w:szCs w:val="20"/>
                <w:lang w:eastAsia="ja-JP"/>
              </w:rPr>
            </w:pPr>
            <w:r w:rsidRPr="00610F77">
              <w:rPr>
                <w:szCs w:val="20"/>
                <w:lang w:eastAsia="ja-JP"/>
              </w:rPr>
              <w:t>Intent to Treat</w:t>
            </w:r>
          </w:p>
        </w:tc>
      </w:tr>
      <w:tr w:rsidR="00D540D1" w:rsidRPr="00FD119B" w14:paraId="5278473D" w14:textId="77777777" w:rsidTr="00BA035E">
        <w:tc>
          <w:tcPr>
            <w:tcW w:w="1809" w:type="dxa"/>
          </w:tcPr>
          <w:p w14:paraId="37CCE3CB" w14:textId="77777777" w:rsidR="00D540D1" w:rsidRPr="00610F77" w:rsidRDefault="00D540D1" w:rsidP="00D61FF2">
            <w:pPr>
              <w:rPr>
                <w:szCs w:val="20"/>
                <w:lang w:eastAsia="en-US"/>
              </w:rPr>
            </w:pPr>
            <w:r w:rsidRPr="00610F77">
              <w:rPr>
                <w:szCs w:val="20"/>
              </w:rPr>
              <w:t>LGS</w:t>
            </w:r>
          </w:p>
        </w:tc>
        <w:tc>
          <w:tcPr>
            <w:tcW w:w="6911" w:type="dxa"/>
          </w:tcPr>
          <w:p w14:paraId="4A4BA150" w14:textId="77777777" w:rsidR="00D540D1" w:rsidRPr="00610F77" w:rsidRDefault="00D540D1" w:rsidP="00D61FF2">
            <w:pPr>
              <w:rPr>
                <w:color w:val="auto"/>
                <w:szCs w:val="20"/>
                <w:lang w:eastAsia="en-US"/>
              </w:rPr>
            </w:pPr>
            <w:r w:rsidRPr="00610F77">
              <w:rPr>
                <w:szCs w:val="20"/>
                <w:lang w:eastAsia="ja-JP"/>
              </w:rPr>
              <w:t>Lennox-</w:t>
            </w:r>
            <w:proofErr w:type="spellStart"/>
            <w:r w:rsidRPr="00610F77">
              <w:rPr>
                <w:szCs w:val="20"/>
                <w:lang w:eastAsia="ja-JP"/>
              </w:rPr>
              <w:t>Gastaut</w:t>
            </w:r>
            <w:proofErr w:type="spellEnd"/>
            <w:r w:rsidRPr="00610F77">
              <w:rPr>
                <w:szCs w:val="20"/>
                <w:lang w:eastAsia="ja-JP"/>
              </w:rPr>
              <w:t xml:space="preserve"> syndrome</w:t>
            </w:r>
          </w:p>
        </w:tc>
      </w:tr>
      <w:tr w:rsidR="00D540D1" w:rsidRPr="00FD119B" w14:paraId="421764D8" w14:textId="77777777" w:rsidTr="00BA035E">
        <w:tc>
          <w:tcPr>
            <w:tcW w:w="1809" w:type="dxa"/>
          </w:tcPr>
          <w:p w14:paraId="6B51CC72" w14:textId="77777777" w:rsidR="00D540D1" w:rsidRPr="00610F77" w:rsidRDefault="00D540D1" w:rsidP="00D61FF2">
            <w:pPr>
              <w:rPr>
                <w:szCs w:val="20"/>
              </w:rPr>
            </w:pPr>
            <w:r w:rsidRPr="00610F77">
              <w:rPr>
                <w:szCs w:val="20"/>
              </w:rPr>
              <w:t>MRHD</w:t>
            </w:r>
          </w:p>
        </w:tc>
        <w:tc>
          <w:tcPr>
            <w:tcW w:w="6911" w:type="dxa"/>
          </w:tcPr>
          <w:p w14:paraId="3C1D10B9" w14:textId="77777777" w:rsidR="00D540D1" w:rsidRPr="00610F77" w:rsidRDefault="00D540D1" w:rsidP="00D61FF2">
            <w:pPr>
              <w:rPr>
                <w:szCs w:val="20"/>
                <w:lang w:eastAsia="ja-JP"/>
              </w:rPr>
            </w:pPr>
            <w:r w:rsidRPr="00610F77">
              <w:rPr>
                <w:szCs w:val="20"/>
                <w:lang w:eastAsia="ja-JP"/>
              </w:rPr>
              <w:t>Maximum recommended human dose</w:t>
            </w:r>
          </w:p>
        </w:tc>
      </w:tr>
      <w:tr w:rsidR="00D540D1" w:rsidRPr="00FD119B" w14:paraId="680F0FB3" w14:textId="77777777" w:rsidTr="00BA035E">
        <w:tc>
          <w:tcPr>
            <w:tcW w:w="1809" w:type="dxa"/>
          </w:tcPr>
          <w:p w14:paraId="168491EE" w14:textId="77777777" w:rsidR="00D540D1" w:rsidRPr="00610F77" w:rsidRDefault="00D540D1" w:rsidP="00D61FF2">
            <w:pPr>
              <w:rPr>
                <w:szCs w:val="20"/>
              </w:rPr>
            </w:pPr>
            <w:r w:rsidRPr="00610F77">
              <w:rPr>
                <w:szCs w:val="20"/>
              </w:rPr>
              <w:t>N-CLB</w:t>
            </w:r>
          </w:p>
        </w:tc>
        <w:tc>
          <w:tcPr>
            <w:tcW w:w="6911" w:type="dxa"/>
          </w:tcPr>
          <w:p w14:paraId="76DF1AAB" w14:textId="77777777" w:rsidR="00D540D1" w:rsidRPr="00610F77" w:rsidRDefault="00D540D1" w:rsidP="00D61FF2">
            <w:pPr>
              <w:rPr>
                <w:szCs w:val="20"/>
                <w:lang w:eastAsia="ja-JP"/>
              </w:rPr>
            </w:pPr>
            <w:r w:rsidRPr="00610F77">
              <w:rPr>
                <w:szCs w:val="20"/>
              </w:rPr>
              <w:t>N-</w:t>
            </w:r>
            <w:proofErr w:type="spellStart"/>
            <w:r w:rsidRPr="00610F77">
              <w:rPr>
                <w:szCs w:val="20"/>
              </w:rPr>
              <w:t>desmethylclobazam</w:t>
            </w:r>
            <w:proofErr w:type="spellEnd"/>
            <w:r w:rsidRPr="00610F77">
              <w:rPr>
                <w:szCs w:val="20"/>
              </w:rPr>
              <w:t xml:space="preserve"> (also known as </w:t>
            </w:r>
            <w:proofErr w:type="spellStart"/>
            <w:r w:rsidRPr="00610F77">
              <w:rPr>
                <w:szCs w:val="20"/>
              </w:rPr>
              <w:t>norclobazam</w:t>
            </w:r>
            <w:proofErr w:type="spellEnd"/>
            <w:r w:rsidRPr="00610F77">
              <w:rPr>
                <w:szCs w:val="20"/>
              </w:rPr>
              <w:t>)</w:t>
            </w:r>
          </w:p>
        </w:tc>
      </w:tr>
      <w:tr w:rsidR="00D540D1" w:rsidRPr="00FD119B" w14:paraId="2FC37820" w14:textId="77777777" w:rsidTr="00BA035E">
        <w:tc>
          <w:tcPr>
            <w:tcW w:w="1809" w:type="dxa"/>
          </w:tcPr>
          <w:p w14:paraId="24DA305A" w14:textId="77777777" w:rsidR="00D540D1" w:rsidRPr="00610F77" w:rsidRDefault="00D540D1" w:rsidP="00D61FF2">
            <w:pPr>
              <w:rPr>
                <w:szCs w:val="20"/>
              </w:rPr>
            </w:pPr>
            <w:r w:rsidRPr="00610F77">
              <w:rPr>
                <w:szCs w:val="20"/>
              </w:rPr>
              <w:t>OR</w:t>
            </w:r>
          </w:p>
        </w:tc>
        <w:tc>
          <w:tcPr>
            <w:tcW w:w="6911" w:type="dxa"/>
          </w:tcPr>
          <w:p w14:paraId="617DBCDE" w14:textId="77777777" w:rsidR="00D540D1" w:rsidRPr="00610F77" w:rsidRDefault="00D540D1" w:rsidP="00D61FF2">
            <w:pPr>
              <w:rPr>
                <w:szCs w:val="20"/>
              </w:rPr>
            </w:pPr>
            <w:r w:rsidRPr="00610F77">
              <w:rPr>
                <w:szCs w:val="20"/>
              </w:rPr>
              <w:t>Odds ratio</w:t>
            </w:r>
          </w:p>
        </w:tc>
      </w:tr>
      <w:tr w:rsidR="004E04C7" w:rsidRPr="00FD119B" w14:paraId="21F44899" w14:textId="77777777" w:rsidTr="00BA035E">
        <w:tc>
          <w:tcPr>
            <w:tcW w:w="1809" w:type="dxa"/>
          </w:tcPr>
          <w:p w14:paraId="5F49E788" w14:textId="05402B20" w:rsidR="004E04C7" w:rsidRPr="00610F77" w:rsidRDefault="004E04C7" w:rsidP="00D61FF2">
            <w:pPr>
              <w:rPr>
                <w:szCs w:val="20"/>
              </w:rPr>
            </w:pPr>
            <w:r>
              <w:rPr>
                <w:szCs w:val="20"/>
              </w:rPr>
              <w:t>PBRER</w:t>
            </w:r>
          </w:p>
        </w:tc>
        <w:tc>
          <w:tcPr>
            <w:tcW w:w="6911" w:type="dxa"/>
          </w:tcPr>
          <w:p w14:paraId="31443D66" w14:textId="45FB60C2" w:rsidR="004E04C7" w:rsidRPr="00610F77" w:rsidRDefault="004E04C7" w:rsidP="00D61FF2">
            <w:pPr>
              <w:rPr>
                <w:szCs w:val="20"/>
              </w:rPr>
            </w:pPr>
            <w:r>
              <w:rPr>
                <w:szCs w:val="20"/>
              </w:rPr>
              <w:t>Periodic benefit-risk evaluation report</w:t>
            </w:r>
          </w:p>
        </w:tc>
      </w:tr>
      <w:tr w:rsidR="00D540D1" w:rsidRPr="00FD119B" w14:paraId="6977FD05" w14:textId="77777777" w:rsidTr="00BA035E">
        <w:tc>
          <w:tcPr>
            <w:tcW w:w="1809" w:type="dxa"/>
          </w:tcPr>
          <w:p w14:paraId="78E4378B" w14:textId="77777777" w:rsidR="00D540D1" w:rsidRPr="00610F77" w:rsidRDefault="00D540D1" w:rsidP="00D61FF2">
            <w:pPr>
              <w:rPr>
                <w:szCs w:val="20"/>
              </w:rPr>
            </w:pPr>
            <w:r w:rsidRPr="00610F77">
              <w:rPr>
                <w:szCs w:val="20"/>
              </w:rPr>
              <w:t>PD</w:t>
            </w:r>
          </w:p>
        </w:tc>
        <w:tc>
          <w:tcPr>
            <w:tcW w:w="6911" w:type="dxa"/>
          </w:tcPr>
          <w:p w14:paraId="6633BA1E" w14:textId="77777777" w:rsidR="00D540D1" w:rsidRPr="00610F77" w:rsidRDefault="00D540D1" w:rsidP="00D61FF2">
            <w:pPr>
              <w:rPr>
                <w:szCs w:val="20"/>
              </w:rPr>
            </w:pPr>
            <w:r w:rsidRPr="00610F77">
              <w:rPr>
                <w:szCs w:val="20"/>
              </w:rPr>
              <w:t>Pharmacodynamic</w:t>
            </w:r>
            <w:r>
              <w:rPr>
                <w:szCs w:val="20"/>
              </w:rPr>
              <w:t>(</w:t>
            </w:r>
            <w:r w:rsidRPr="00610F77">
              <w:rPr>
                <w:szCs w:val="20"/>
              </w:rPr>
              <w:t>s</w:t>
            </w:r>
            <w:r>
              <w:rPr>
                <w:szCs w:val="20"/>
              </w:rPr>
              <w:t>)</w:t>
            </w:r>
          </w:p>
        </w:tc>
      </w:tr>
      <w:tr w:rsidR="00D540D1" w:rsidRPr="00FD119B" w14:paraId="0F6BEAC5" w14:textId="77777777" w:rsidTr="00BA035E">
        <w:tc>
          <w:tcPr>
            <w:tcW w:w="1809" w:type="dxa"/>
          </w:tcPr>
          <w:p w14:paraId="3B3286C7" w14:textId="77777777" w:rsidR="00D540D1" w:rsidRPr="00610F77" w:rsidRDefault="00D540D1" w:rsidP="00D61FF2">
            <w:pPr>
              <w:rPr>
                <w:szCs w:val="20"/>
              </w:rPr>
            </w:pPr>
            <w:r w:rsidRPr="00610F77">
              <w:rPr>
                <w:szCs w:val="20"/>
              </w:rPr>
              <w:t>PGIC</w:t>
            </w:r>
          </w:p>
        </w:tc>
        <w:tc>
          <w:tcPr>
            <w:tcW w:w="6911" w:type="dxa"/>
          </w:tcPr>
          <w:p w14:paraId="1C695198" w14:textId="77777777" w:rsidR="00D540D1" w:rsidRPr="00610F77" w:rsidRDefault="00D540D1" w:rsidP="00D61FF2">
            <w:pPr>
              <w:rPr>
                <w:szCs w:val="20"/>
              </w:rPr>
            </w:pPr>
            <w:r w:rsidRPr="00610F77">
              <w:rPr>
                <w:szCs w:val="20"/>
              </w:rPr>
              <w:t>Patients’ Global Impression of Change scale</w:t>
            </w:r>
          </w:p>
        </w:tc>
      </w:tr>
      <w:tr w:rsidR="00D540D1" w:rsidRPr="00FD119B" w14:paraId="473AAA64" w14:textId="77777777" w:rsidTr="00BA035E">
        <w:tc>
          <w:tcPr>
            <w:tcW w:w="1809" w:type="dxa"/>
          </w:tcPr>
          <w:p w14:paraId="3A1A4409" w14:textId="77777777" w:rsidR="00D540D1" w:rsidRPr="00610F77" w:rsidRDefault="00D540D1" w:rsidP="00D61FF2">
            <w:pPr>
              <w:rPr>
                <w:szCs w:val="20"/>
              </w:rPr>
            </w:pPr>
            <w:r w:rsidRPr="00610F77">
              <w:rPr>
                <w:szCs w:val="20"/>
              </w:rPr>
              <w:t>PI</w:t>
            </w:r>
          </w:p>
        </w:tc>
        <w:tc>
          <w:tcPr>
            <w:tcW w:w="6911" w:type="dxa"/>
          </w:tcPr>
          <w:p w14:paraId="1CB0D727" w14:textId="77777777" w:rsidR="00D540D1" w:rsidRPr="00610F77" w:rsidRDefault="00D540D1" w:rsidP="00D61FF2">
            <w:pPr>
              <w:rPr>
                <w:szCs w:val="20"/>
              </w:rPr>
            </w:pPr>
            <w:r w:rsidRPr="00610F77">
              <w:rPr>
                <w:szCs w:val="20"/>
              </w:rPr>
              <w:t>Product Information</w:t>
            </w:r>
          </w:p>
        </w:tc>
      </w:tr>
      <w:tr w:rsidR="00D540D1" w:rsidRPr="00FD119B" w14:paraId="476A0EF6" w14:textId="77777777" w:rsidTr="00BA035E">
        <w:tc>
          <w:tcPr>
            <w:tcW w:w="1809" w:type="dxa"/>
          </w:tcPr>
          <w:p w14:paraId="30A79326" w14:textId="77777777" w:rsidR="00D540D1" w:rsidRPr="00610F77" w:rsidRDefault="00D540D1" w:rsidP="00D61FF2">
            <w:pPr>
              <w:rPr>
                <w:szCs w:val="20"/>
              </w:rPr>
            </w:pPr>
            <w:r w:rsidRPr="00610F77">
              <w:rPr>
                <w:szCs w:val="20"/>
              </w:rPr>
              <w:t>PK</w:t>
            </w:r>
          </w:p>
        </w:tc>
        <w:tc>
          <w:tcPr>
            <w:tcW w:w="6911" w:type="dxa"/>
          </w:tcPr>
          <w:p w14:paraId="27C4E3F6" w14:textId="7C60201E" w:rsidR="00D540D1" w:rsidRPr="00610F77" w:rsidRDefault="00D540D1" w:rsidP="00D61FF2">
            <w:pPr>
              <w:rPr>
                <w:szCs w:val="20"/>
                <w:lang w:eastAsia="ja-JP"/>
              </w:rPr>
            </w:pPr>
            <w:r>
              <w:rPr>
                <w:szCs w:val="20"/>
                <w:lang w:eastAsia="ja-JP"/>
              </w:rPr>
              <w:t>P</w:t>
            </w:r>
            <w:r w:rsidRPr="00610F77">
              <w:rPr>
                <w:szCs w:val="20"/>
                <w:lang w:eastAsia="ja-JP"/>
              </w:rPr>
              <w:t>harmacokinetic</w:t>
            </w:r>
            <w:r>
              <w:rPr>
                <w:szCs w:val="20"/>
                <w:lang w:eastAsia="ja-JP"/>
              </w:rPr>
              <w:t>(</w:t>
            </w:r>
            <w:r w:rsidRPr="00610F77">
              <w:rPr>
                <w:szCs w:val="20"/>
                <w:lang w:eastAsia="ja-JP"/>
              </w:rPr>
              <w:t>s</w:t>
            </w:r>
            <w:r>
              <w:rPr>
                <w:szCs w:val="20"/>
                <w:lang w:eastAsia="ja-JP"/>
              </w:rPr>
              <w:t>)</w:t>
            </w:r>
          </w:p>
        </w:tc>
      </w:tr>
      <w:tr w:rsidR="00C17B79" w:rsidRPr="00FD119B" w14:paraId="1D45DD60" w14:textId="77777777" w:rsidTr="00BA035E">
        <w:tc>
          <w:tcPr>
            <w:tcW w:w="1809" w:type="dxa"/>
          </w:tcPr>
          <w:p w14:paraId="2A0C72B3" w14:textId="5D641DF1" w:rsidR="00C17B79" w:rsidRPr="00610F77" w:rsidRDefault="00C17B79" w:rsidP="00D61FF2">
            <w:pPr>
              <w:rPr>
                <w:szCs w:val="20"/>
              </w:rPr>
            </w:pPr>
            <w:r>
              <w:rPr>
                <w:szCs w:val="20"/>
              </w:rPr>
              <w:t>PSUR</w:t>
            </w:r>
          </w:p>
        </w:tc>
        <w:tc>
          <w:tcPr>
            <w:tcW w:w="6911" w:type="dxa"/>
          </w:tcPr>
          <w:p w14:paraId="3A99119F" w14:textId="7172A1CF" w:rsidR="00C17B79" w:rsidRDefault="00C17B79" w:rsidP="00D61FF2">
            <w:pPr>
              <w:rPr>
                <w:szCs w:val="20"/>
                <w:lang w:eastAsia="ja-JP"/>
              </w:rPr>
            </w:pPr>
            <w:r>
              <w:rPr>
                <w:szCs w:val="20"/>
                <w:lang w:eastAsia="ja-JP"/>
              </w:rPr>
              <w:t>Post-safety update report</w:t>
            </w:r>
          </w:p>
        </w:tc>
      </w:tr>
      <w:tr w:rsidR="00D540D1" w:rsidRPr="00FD119B" w14:paraId="61B9E614" w14:textId="77777777" w:rsidTr="00BA035E">
        <w:tc>
          <w:tcPr>
            <w:tcW w:w="1809" w:type="dxa"/>
          </w:tcPr>
          <w:p w14:paraId="4ACCCEDB" w14:textId="77777777" w:rsidR="00D540D1" w:rsidRPr="00610F77" w:rsidRDefault="00D540D1" w:rsidP="00D61FF2">
            <w:pPr>
              <w:rPr>
                <w:szCs w:val="20"/>
              </w:rPr>
            </w:pPr>
            <w:r w:rsidRPr="00610F77">
              <w:rPr>
                <w:szCs w:val="20"/>
              </w:rPr>
              <w:t>RMP</w:t>
            </w:r>
          </w:p>
        </w:tc>
        <w:tc>
          <w:tcPr>
            <w:tcW w:w="6911" w:type="dxa"/>
          </w:tcPr>
          <w:p w14:paraId="2E287915" w14:textId="77777777" w:rsidR="00D540D1" w:rsidRPr="00610F77" w:rsidRDefault="00D540D1" w:rsidP="00D61FF2">
            <w:pPr>
              <w:rPr>
                <w:szCs w:val="20"/>
                <w:lang w:eastAsia="ja-JP"/>
              </w:rPr>
            </w:pPr>
            <w:r w:rsidRPr="00610F77">
              <w:rPr>
                <w:szCs w:val="20"/>
                <w:lang w:eastAsia="ja-JP"/>
              </w:rPr>
              <w:t>Risk Management Plan</w:t>
            </w:r>
          </w:p>
        </w:tc>
      </w:tr>
      <w:tr w:rsidR="00D540D1" w:rsidRPr="00FD119B" w14:paraId="2B789B04" w14:textId="77777777" w:rsidTr="00BA035E">
        <w:tc>
          <w:tcPr>
            <w:tcW w:w="1809" w:type="dxa"/>
          </w:tcPr>
          <w:p w14:paraId="33BC8A19" w14:textId="77777777" w:rsidR="00D540D1" w:rsidRPr="00AE3C16" w:rsidRDefault="00D540D1" w:rsidP="00D61FF2">
            <w:pPr>
              <w:rPr>
                <w:i/>
                <w:szCs w:val="20"/>
              </w:rPr>
            </w:pPr>
            <w:r w:rsidRPr="00AE3C16">
              <w:rPr>
                <w:i/>
                <w:szCs w:val="20"/>
              </w:rPr>
              <w:t>SCN1A</w:t>
            </w:r>
          </w:p>
        </w:tc>
        <w:tc>
          <w:tcPr>
            <w:tcW w:w="6911" w:type="dxa"/>
          </w:tcPr>
          <w:p w14:paraId="630AAC15" w14:textId="77777777" w:rsidR="00D540D1" w:rsidRPr="00610F77" w:rsidRDefault="00D540D1" w:rsidP="00D61FF2">
            <w:pPr>
              <w:rPr>
                <w:szCs w:val="20"/>
                <w:lang w:eastAsia="ja-JP"/>
              </w:rPr>
            </w:pPr>
            <w:r w:rsidRPr="00610F77">
              <w:rPr>
                <w:szCs w:val="20"/>
              </w:rPr>
              <w:t xml:space="preserve">Voltage-gated sodium channel α1 subunit gene </w:t>
            </w:r>
          </w:p>
        </w:tc>
      </w:tr>
      <w:tr w:rsidR="00D540D1" w:rsidRPr="00FD119B" w14:paraId="20654A50" w14:textId="77777777" w:rsidTr="00BA035E">
        <w:tc>
          <w:tcPr>
            <w:tcW w:w="1809" w:type="dxa"/>
          </w:tcPr>
          <w:p w14:paraId="4CDFA5D2" w14:textId="77777777" w:rsidR="00D540D1" w:rsidRPr="00610F77" w:rsidRDefault="00D540D1" w:rsidP="00D61FF2">
            <w:pPr>
              <w:rPr>
                <w:szCs w:val="20"/>
                <w:lang w:eastAsia="en-US"/>
              </w:rPr>
            </w:pPr>
            <w:r w:rsidRPr="00610F77">
              <w:rPr>
                <w:szCs w:val="20"/>
              </w:rPr>
              <w:t>SE</w:t>
            </w:r>
          </w:p>
        </w:tc>
        <w:tc>
          <w:tcPr>
            <w:tcW w:w="6911" w:type="dxa"/>
          </w:tcPr>
          <w:p w14:paraId="3AE93A10" w14:textId="77777777" w:rsidR="00D540D1" w:rsidRPr="00610F77" w:rsidRDefault="00D540D1" w:rsidP="00D61FF2">
            <w:pPr>
              <w:rPr>
                <w:color w:val="auto"/>
                <w:szCs w:val="20"/>
                <w:lang w:eastAsia="en-US"/>
              </w:rPr>
            </w:pPr>
            <w:r w:rsidRPr="00610F77">
              <w:rPr>
                <w:szCs w:val="20"/>
              </w:rPr>
              <w:t>Status epilepticus</w:t>
            </w:r>
          </w:p>
        </w:tc>
      </w:tr>
      <w:tr w:rsidR="00D540D1" w:rsidRPr="00FD119B" w14:paraId="7D6097FD" w14:textId="77777777" w:rsidTr="00BA035E">
        <w:tc>
          <w:tcPr>
            <w:tcW w:w="1809" w:type="dxa"/>
          </w:tcPr>
          <w:p w14:paraId="68E09203" w14:textId="77777777" w:rsidR="00D540D1" w:rsidRPr="00610F77" w:rsidRDefault="00D540D1" w:rsidP="00D61FF2">
            <w:pPr>
              <w:rPr>
                <w:szCs w:val="20"/>
              </w:rPr>
            </w:pPr>
            <w:r w:rsidRPr="00610F77">
              <w:rPr>
                <w:szCs w:val="20"/>
              </w:rPr>
              <w:t>STP</w:t>
            </w:r>
          </w:p>
        </w:tc>
        <w:tc>
          <w:tcPr>
            <w:tcW w:w="6911" w:type="dxa"/>
          </w:tcPr>
          <w:p w14:paraId="0A4E6AB7" w14:textId="77777777" w:rsidR="00D540D1" w:rsidRPr="00610F77" w:rsidRDefault="00D540D1" w:rsidP="009003CF">
            <w:pPr>
              <w:rPr>
                <w:szCs w:val="20"/>
              </w:rPr>
            </w:pPr>
            <w:r w:rsidRPr="009003CF">
              <w:t>Stiripentol</w:t>
            </w:r>
          </w:p>
        </w:tc>
      </w:tr>
      <w:tr w:rsidR="00D540D1" w:rsidRPr="00FD119B" w14:paraId="09E4025E" w14:textId="77777777" w:rsidTr="00BA035E">
        <w:tc>
          <w:tcPr>
            <w:tcW w:w="1809" w:type="dxa"/>
          </w:tcPr>
          <w:p w14:paraId="7DB3B6DF" w14:textId="77777777" w:rsidR="00D540D1" w:rsidRPr="00610F77" w:rsidRDefault="00D540D1" w:rsidP="00D61FF2">
            <w:pPr>
              <w:rPr>
                <w:szCs w:val="20"/>
              </w:rPr>
            </w:pPr>
            <w:r w:rsidRPr="00610F77">
              <w:rPr>
                <w:szCs w:val="20"/>
              </w:rPr>
              <w:t>SUDEP</w:t>
            </w:r>
          </w:p>
        </w:tc>
        <w:tc>
          <w:tcPr>
            <w:tcW w:w="6911" w:type="dxa"/>
          </w:tcPr>
          <w:p w14:paraId="727B93DA" w14:textId="77777777" w:rsidR="00D540D1" w:rsidRPr="00610F77" w:rsidRDefault="00D540D1" w:rsidP="00D61FF2">
            <w:pPr>
              <w:rPr>
                <w:szCs w:val="20"/>
              </w:rPr>
            </w:pPr>
            <w:r w:rsidRPr="00610F77">
              <w:rPr>
                <w:szCs w:val="20"/>
              </w:rPr>
              <w:t>Sudden unexpected death in epilepsy</w:t>
            </w:r>
          </w:p>
        </w:tc>
      </w:tr>
      <w:tr w:rsidR="00D540D1" w:rsidRPr="00FD119B" w14:paraId="548EA617" w14:textId="77777777" w:rsidTr="00BA035E">
        <w:tc>
          <w:tcPr>
            <w:tcW w:w="1809" w:type="dxa"/>
          </w:tcPr>
          <w:p w14:paraId="0B3B807B" w14:textId="77777777" w:rsidR="00D540D1" w:rsidRPr="00610F77" w:rsidRDefault="00D540D1" w:rsidP="00D61FF2">
            <w:pPr>
              <w:rPr>
                <w:szCs w:val="20"/>
              </w:rPr>
            </w:pPr>
            <w:r w:rsidRPr="00610F77">
              <w:rPr>
                <w:szCs w:val="20"/>
              </w:rPr>
              <w:t>TGA</w:t>
            </w:r>
          </w:p>
        </w:tc>
        <w:tc>
          <w:tcPr>
            <w:tcW w:w="6911" w:type="dxa"/>
          </w:tcPr>
          <w:p w14:paraId="04BCA83C" w14:textId="77777777" w:rsidR="00D540D1" w:rsidRPr="00610F77" w:rsidRDefault="00D540D1" w:rsidP="00D61FF2">
            <w:pPr>
              <w:rPr>
                <w:szCs w:val="20"/>
              </w:rPr>
            </w:pPr>
            <w:r w:rsidRPr="00610F77">
              <w:rPr>
                <w:szCs w:val="20"/>
              </w:rPr>
              <w:t>Therapeutic Goods Administration</w:t>
            </w:r>
          </w:p>
        </w:tc>
      </w:tr>
      <w:tr w:rsidR="0092287E" w:rsidRPr="00FD119B" w14:paraId="127A6033" w14:textId="77777777" w:rsidTr="00BA035E">
        <w:tc>
          <w:tcPr>
            <w:tcW w:w="1809" w:type="dxa"/>
          </w:tcPr>
          <w:p w14:paraId="0F11D4A0" w14:textId="4785FEB3" w:rsidR="0092287E" w:rsidRPr="00610F77" w:rsidRDefault="0092287E" w:rsidP="00D61FF2">
            <w:pPr>
              <w:rPr>
                <w:szCs w:val="20"/>
              </w:rPr>
            </w:pPr>
            <w:r>
              <w:rPr>
                <w:szCs w:val="20"/>
              </w:rPr>
              <w:t>THC</w:t>
            </w:r>
          </w:p>
        </w:tc>
        <w:tc>
          <w:tcPr>
            <w:tcW w:w="6911" w:type="dxa"/>
          </w:tcPr>
          <w:p w14:paraId="3A16A9BC" w14:textId="6A40B0FE" w:rsidR="0092287E" w:rsidRPr="00610F77" w:rsidRDefault="00AE3C16" w:rsidP="00D61FF2">
            <w:pPr>
              <w:rPr>
                <w:szCs w:val="20"/>
              </w:rPr>
            </w:pPr>
            <w:r>
              <w:rPr>
                <w:szCs w:val="20"/>
              </w:rPr>
              <w:t>Tetrahydrocannabinol</w:t>
            </w:r>
          </w:p>
        </w:tc>
      </w:tr>
      <w:tr w:rsidR="00D540D1" w:rsidRPr="00FD119B" w14:paraId="2E175623" w14:textId="77777777" w:rsidTr="00BA035E">
        <w:tc>
          <w:tcPr>
            <w:tcW w:w="1809" w:type="dxa"/>
          </w:tcPr>
          <w:p w14:paraId="7F86A535" w14:textId="77777777" w:rsidR="00D540D1" w:rsidRPr="00610F77" w:rsidRDefault="00D540D1" w:rsidP="00D61FF2">
            <w:pPr>
              <w:rPr>
                <w:szCs w:val="20"/>
              </w:rPr>
            </w:pPr>
            <w:proofErr w:type="spellStart"/>
            <w:r w:rsidRPr="00610F77">
              <w:rPr>
                <w:szCs w:val="20"/>
              </w:rPr>
              <w:t>T</w:t>
            </w:r>
            <w:r w:rsidRPr="00610F77">
              <w:rPr>
                <w:szCs w:val="20"/>
                <w:vertAlign w:val="subscript"/>
              </w:rPr>
              <w:t>max</w:t>
            </w:r>
            <w:proofErr w:type="spellEnd"/>
          </w:p>
        </w:tc>
        <w:tc>
          <w:tcPr>
            <w:tcW w:w="6911" w:type="dxa"/>
          </w:tcPr>
          <w:p w14:paraId="6B7CCED3" w14:textId="05B898B8" w:rsidR="00D540D1" w:rsidRPr="00610F77" w:rsidRDefault="00D540D1" w:rsidP="00D61FF2">
            <w:pPr>
              <w:rPr>
                <w:szCs w:val="20"/>
              </w:rPr>
            </w:pPr>
            <w:r w:rsidRPr="00610F77">
              <w:rPr>
                <w:szCs w:val="20"/>
              </w:rPr>
              <w:t xml:space="preserve">Time to reach </w:t>
            </w:r>
            <w:r>
              <w:rPr>
                <w:szCs w:val="20"/>
              </w:rPr>
              <w:t>m</w:t>
            </w:r>
            <w:r w:rsidRPr="00E64357">
              <w:rPr>
                <w:szCs w:val="20"/>
              </w:rPr>
              <w:t>aximum plasma concentration</w:t>
            </w:r>
          </w:p>
        </w:tc>
      </w:tr>
      <w:tr w:rsidR="001D5E1F" w:rsidRPr="00FD119B" w14:paraId="71B47907" w14:textId="77777777" w:rsidTr="00BA035E">
        <w:tc>
          <w:tcPr>
            <w:tcW w:w="1809" w:type="dxa"/>
          </w:tcPr>
          <w:p w14:paraId="66C5AC1C" w14:textId="1FC79C38" w:rsidR="001D5E1F" w:rsidRPr="001D5E1F" w:rsidRDefault="001D5E1F" w:rsidP="00D61FF2">
            <w:pPr>
              <w:rPr>
                <w:szCs w:val="20"/>
              </w:rPr>
            </w:pPr>
            <w:r>
              <w:rPr>
                <w:szCs w:val="20"/>
              </w:rPr>
              <w:t>UGT</w:t>
            </w:r>
          </w:p>
        </w:tc>
        <w:tc>
          <w:tcPr>
            <w:tcW w:w="6911" w:type="dxa"/>
          </w:tcPr>
          <w:p w14:paraId="4868A5FB" w14:textId="534772DD" w:rsidR="001D5E1F" w:rsidRPr="001D5E1F" w:rsidRDefault="001D5E1F" w:rsidP="00D61FF2">
            <w:pPr>
              <w:rPr>
                <w:szCs w:val="20"/>
              </w:rPr>
            </w:pPr>
            <w:r w:rsidRPr="001D5E1F">
              <w:rPr>
                <w:szCs w:val="20"/>
              </w:rPr>
              <w:t>Uridine 5'-diphospho-glucuronosyltransferase</w:t>
            </w:r>
          </w:p>
        </w:tc>
      </w:tr>
      <w:tr w:rsidR="00D540D1" w:rsidRPr="00FD119B" w14:paraId="4A7C92A2" w14:textId="77777777" w:rsidTr="00BA035E">
        <w:tc>
          <w:tcPr>
            <w:tcW w:w="1809" w:type="dxa"/>
          </w:tcPr>
          <w:p w14:paraId="50503C54" w14:textId="66D98912" w:rsidR="00D540D1" w:rsidRPr="00610F77" w:rsidRDefault="00D540D1" w:rsidP="00D61FF2">
            <w:pPr>
              <w:rPr>
                <w:szCs w:val="20"/>
              </w:rPr>
            </w:pPr>
            <w:r w:rsidRPr="00610F77">
              <w:rPr>
                <w:szCs w:val="20"/>
              </w:rPr>
              <w:t>US</w:t>
            </w:r>
            <w:r w:rsidR="00E25484">
              <w:rPr>
                <w:szCs w:val="20"/>
              </w:rPr>
              <w:t>(A)</w:t>
            </w:r>
          </w:p>
        </w:tc>
        <w:tc>
          <w:tcPr>
            <w:tcW w:w="6911" w:type="dxa"/>
          </w:tcPr>
          <w:p w14:paraId="31274486" w14:textId="7A2BF63D" w:rsidR="00D540D1" w:rsidRPr="00610F77" w:rsidRDefault="00D540D1" w:rsidP="00D61FF2">
            <w:pPr>
              <w:rPr>
                <w:szCs w:val="20"/>
              </w:rPr>
            </w:pPr>
            <w:r w:rsidRPr="00610F77">
              <w:rPr>
                <w:szCs w:val="20"/>
              </w:rPr>
              <w:t xml:space="preserve">United States </w:t>
            </w:r>
            <w:r w:rsidR="00E25484">
              <w:rPr>
                <w:szCs w:val="20"/>
              </w:rPr>
              <w:t>(</w:t>
            </w:r>
            <w:r w:rsidRPr="00610F77">
              <w:rPr>
                <w:szCs w:val="20"/>
              </w:rPr>
              <w:t>of America</w:t>
            </w:r>
            <w:r w:rsidR="00E25484">
              <w:rPr>
                <w:szCs w:val="20"/>
              </w:rPr>
              <w:t>)</w:t>
            </w:r>
          </w:p>
        </w:tc>
      </w:tr>
      <w:tr w:rsidR="005E733C" w:rsidRPr="00FD119B" w14:paraId="7BA4BCB0" w14:textId="77777777" w:rsidTr="00BA035E">
        <w:tc>
          <w:tcPr>
            <w:tcW w:w="1809" w:type="dxa"/>
          </w:tcPr>
          <w:p w14:paraId="04D1E83B" w14:textId="5ADA3EBA" w:rsidR="005E733C" w:rsidRPr="00610F77" w:rsidRDefault="005E733C" w:rsidP="00D61FF2">
            <w:pPr>
              <w:rPr>
                <w:szCs w:val="20"/>
              </w:rPr>
            </w:pPr>
            <w:r>
              <w:rPr>
                <w:szCs w:val="20"/>
              </w:rPr>
              <w:t>v/v</w:t>
            </w:r>
          </w:p>
        </w:tc>
        <w:tc>
          <w:tcPr>
            <w:tcW w:w="6911" w:type="dxa"/>
          </w:tcPr>
          <w:p w14:paraId="03C6C5F3" w14:textId="59A69458" w:rsidR="005E733C" w:rsidRPr="00610F77" w:rsidRDefault="00AE3C16" w:rsidP="00D61FF2">
            <w:pPr>
              <w:rPr>
                <w:szCs w:val="20"/>
              </w:rPr>
            </w:pPr>
            <w:r>
              <w:rPr>
                <w:szCs w:val="20"/>
              </w:rPr>
              <w:t xml:space="preserve">Volume per </w:t>
            </w:r>
            <w:r w:rsidR="005E733C">
              <w:rPr>
                <w:szCs w:val="20"/>
              </w:rPr>
              <w:t>volume</w:t>
            </w:r>
          </w:p>
        </w:tc>
      </w:tr>
    </w:tbl>
    <w:p w14:paraId="5FB03C07" w14:textId="77777777" w:rsidR="00FD119B" w:rsidRDefault="00FD119B" w:rsidP="00D61FF2"/>
    <w:p w14:paraId="06FBB502" w14:textId="77777777" w:rsidR="00FD119B" w:rsidRPr="00FD119B" w:rsidRDefault="00FD119B" w:rsidP="00D61FF2">
      <w:r w:rsidRPr="00FD119B">
        <w:br w:type="page"/>
      </w:r>
    </w:p>
    <w:p w14:paraId="38E46FFE" w14:textId="77777777" w:rsidR="008E7846" w:rsidRDefault="00F53C07" w:rsidP="008E7846">
      <w:pPr>
        <w:pStyle w:val="Heading2"/>
      </w:pPr>
      <w:bookmarkStart w:id="9" w:name="_Toc62725612"/>
      <w:r>
        <w:t>I.</w:t>
      </w:r>
      <w:r w:rsidR="008E7846">
        <w:t xml:space="preserve"> Introduction to product submission</w:t>
      </w:r>
      <w:bookmarkEnd w:id="3"/>
      <w:bookmarkEnd w:id="0"/>
      <w:bookmarkEnd w:id="9"/>
    </w:p>
    <w:p w14:paraId="2EA93E9D" w14:textId="77777777" w:rsidR="008E7846" w:rsidRDefault="008E7846" w:rsidP="008E7846">
      <w:pPr>
        <w:pStyle w:val="Heading3"/>
        <w:rPr>
          <w:lang w:eastAsia="en-AU"/>
        </w:rPr>
      </w:pPr>
      <w:bookmarkStart w:id="10" w:name="_Toc247691502"/>
      <w:bookmarkStart w:id="11" w:name="_Toc314842483"/>
      <w:bookmarkStart w:id="12" w:name="_Toc6272561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92A97" w14:paraId="5C2CA27E" w14:textId="77777777" w:rsidTr="003735BC">
        <w:tc>
          <w:tcPr>
            <w:tcW w:w="2907" w:type="dxa"/>
          </w:tcPr>
          <w:p w14:paraId="2DD3DC16" w14:textId="77777777" w:rsidR="008E7846" w:rsidRPr="00392A97" w:rsidRDefault="001B5C90" w:rsidP="00D61FF2">
            <w:r w:rsidRPr="00392A97">
              <w:t>Type of s</w:t>
            </w:r>
            <w:r w:rsidR="008E7846" w:rsidRPr="00392A97">
              <w:t>ubmission</w:t>
            </w:r>
            <w:r w:rsidRPr="00392A97">
              <w:t>:</w:t>
            </w:r>
          </w:p>
        </w:tc>
        <w:tc>
          <w:tcPr>
            <w:tcW w:w="6307" w:type="dxa"/>
          </w:tcPr>
          <w:p w14:paraId="33AF03AC" w14:textId="77777777" w:rsidR="008E7846" w:rsidRPr="00E64357" w:rsidRDefault="008E7846" w:rsidP="00D61FF2">
            <w:r w:rsidRPr="00E64357">
              <w:t xml:space="preserve">New </w:t>
            </w:r>
            <w:r w:rsidR="001B5C90" w:rsidRPr="00E64357">
              <w:t>c</w:t>
            </w:r>
            <w:r w:rsidRPr="00E64357">
              <w:t xml:space="preserve">hemical </w:t>
            </w:r>
            <w:r w:rsidR="001B5C90" w:rsidRPr="00E64357">
              <w:t>e</w:t>
            </w:r>
            <w:r w:rsidRPr="00E64357">
              <w:t>ntity</w:t>
            </w:r>
          </w:p>
        </w:tc>
      </w:tr>
      <w:tr w:rsidR="00460036" w:rsidRPr="00392A97" w14:paraId="7ACF8FD9" w14:textId="77777777" w:rsidTr="003735BC">
        <w:tc>
          <w:tcPr>
            <w:tcW w:w="2907" w:type="dxa"/>
          </w:tcPr>
          <w:p w14:paraId="3762A0C7" w14:textId="738D75B3" w:rsidR="00460036" w:rsidRPr="00392A97" w:rsidRDefault="00460036" w:rsidP="00D61FF2">
            <w:r w:rsidRPr="00392A97">
              <w:t>Product name:</w:t>
            </w:r>
          </w:p>
        </w:tc>
        <w:tc>
          <w:tcPr>
            <w:tcW w:w="6307" w:type="dxa"/>
          </w:tcPr>
          <w:p w14:paraId="5DBEC670" w14:textId="77777777" w:rsidR="00460036" w:rsidRPr="00392A97" w:rsidRDefault="002A24CE" w:rsidP="00D61FF2">
            <w:proofErr w:type="spellStart"/>
            <w:r w:rsidRPr="00392A97">
              <w:t>Epidyolex</w:t>
            </w:r>
            <w:proofErr w:type="spellEnd"/>
          </w:p>
        </w:tc>
      </w:tr>
      <w:tr w:rsidR="00460036" w:rsidRPr="00392A97" w14:paraId="3ABD9449" w14:textId="77777777" w:rsidTr="003735BC">
        <w:tc>
          <w:tcPr>
            <w:tcW w:w="2907" w:type="dxa"/>
          </w:tcPr>
          <w:p w14:paraId="07CE7DE2" w14:textId="14E93BCE" w:rsidR="00460036" w:rsidRPr="00392A97" w:rsidRDefault="00460036" w:rsidP="00D61FF2">
            <w:r w:rsidRPr="00392A97">
              <w:t>Active ingredient:</w:t>
            </w:r>
          </w:p>
        </w:tc>
        <w:tc>
          <w:tcPr>
            <w:tcW w:w="6307" w:type="dxa"/>
          </w:tcPr>
          <w:p w14:paraId="17BFF8EF" w14:textId="35E944DD" w:rsidR="00460036" w:rsidRPr="00392A97" w:rsidRDefault="00436A7A" w:rsidP="00D61FF2">
            <w:r w:rsidRPr="00392A97">
              <w:t>C</w:t>
            </w:r>
            <w:r w:rsidR="002A24CE" w:rsidRPr="00392A97">
              <w:t>annabidiol</w:t>
            </w:r>
          </w:p>
        </w:tc>
      </w:tr>
      <w:tr w:rsidR="008E7846" w:rsidRPr="00392A97" w14:paraId="2C8EEB69" w14:textId="77777777" w:rsidTr="003735BC">
        <w:tc>
          <w:tcPr>
            <w:tcW w:w="2907" w:type="dxa"/>
          </w:tcPr>
          <w:p w14:paraId="15EE757C" w14:textId="77777777" w:rsidR="008E7846" w:rsidRPr="00392A97" w:rsidRDefault="008E7846" w:rsidP="00D61FF2">
            <w:r w:rsidRPr="00392A97">
              <w:t>Decision:</w:t>
            </w:r>
          </w:p>
        </w:tc>
        <w:tc>
          <w:tcPr>
            <w:tcW w:w="6307" w:type="dxa"/>
          </w:tcPr>
          <w:p w14:paraId="781DDC07" w14:textId="77777777" w:rsidR="008E7846" w:rsidRPr="00392A97" w:rsidRDefault="002A24CE" w:rsidP="00D61FF2">
            <w:r w:rsidRPr="00392A97">
              <w:t>Approved</w:t>
            </w:r>
          </w:p>
        </w:tc>
      </w:tr>
      <w:tr w:rsidR="008E7846" w:rsidRPr="00392A97" w14:paraId="03F0F523" w14:textId="77777777" w:rsidTr="003735BC">
        <w:tc>
          <w:tcPr>
            <w:tcW w:w="2907" w:type="dxa"/>
          </w:tcPr>
          <w:p w14:paraId="01E9E028" w14:textId="77777777" w:rsidR="008E7846" w:rsidRPr="00392A97" w:rsidRDefault="008E7846" w:rsidP="00D61FF2">
            <w:r w:rsidRPr="00392A97">
              <w:t xml:space="preserve">Date of </w:t>
            </w:r>
            <w:r w:rsidR="001B5C90" w:rsidRPr="00392A97">
              <w:t>d</w:t>
            </w:r>
            <w:r w:rsidRPr="00392A97">
              <w:t>ecision:</w:t>
            </w:r>
          </w:p>
        </w:tc>
        <w:tc>
          <w:tcPr>
            <w:tcW w:w="6307" w:type="dxa"/>
          </w:tcPr>
          <w:p w14:paraId="04491D2D" w14:textId="77777777" w:rsidR="008E7846" w:rsidRPr="00392A97" w:rsidRDefault="002A24CE" w:rsidP="00D61FF2">
            <w:r w:rsidRPr="00392A97">
              <w:t>18 September 2020</w:t>
            </w:r>
          </w:p>
        </w:tc>
      </w:tr>
      <w:tr w:rsidR="00ED2922" w:rsidRPr="00392A97" w14:paraId="03C05986" w14:textId="77777777" w:rsidTr="003735BC">
        <w:tc>
          <w:tcPr>
            <w:tcW w:w="2907" w:type="dxa"/>
          </w:tcPr>
          <w:p w14:paraId="4DF8E325" w14:textId="77777777" w:rsidR="00ED2922" w:rsidRPr="00392A97" w:rsidRDefault="00ED2922" w:rsidP="00D61FF2">
            <w:r w:rsidRPr="00392A97">
              <w:t>Date of entry onto ARTG</w:t>
            </w:r>
            <w:r w:rsidR="00500337" w:rsidRPr="00392A97">
              <w:t>:</w:t>
            </w:r>
          </w:p>
        </w:tc>
        <w:tc>
          <w:tcPr>
            <w:tcW w:w="6307" w:type="dxa"/>
          </w:tcPr>
          <w:p w14:paraId="602EF02A" w14:textId="142876C3" w:rsidR="00ED2922" w:rsidRPr="00392A97" w:rsidRDefault="008D2E7D" w:rsidP="00D61FF2">
            <w:pPr>
              <w:rPr>
                <w:i/>
              </w:rPr>
            </w:pPr>
            <w:r w:rsidRPr="00392A97">
              <w:t>21 September 2020</w:t>
            </w:r>
          </w:p>
        </w:tc>
      </w:tr>
      <w:tr w:rsidR="00500337" w:rsidRPr="00392A97" w14:paraId="3D9BE90D" w14:textId="77777777" w:rsidTr="003735BC">
        <w:tc>
          <w:tcPr>
            <w:tcW w:w="2907" w:type="dxa"/>
          </w:tcPr>
          <w:p w14:paraId="05370A21" w14:textId="52A81757" w:rsidR="00500337" w:rsidRPr="00392A97" w:rsidRDefault="00500337" w:rsidP="00D61FF2">
            <w:r w:rsidRPr="00392A97">
              <w:t>ARTG number:</w:t>
            </w:r>
          </w:p>
        </w:tc>
        <w:tc>
          <w:tcPr>
            <w:tcW w:w="6307" w:type="dxa"/>
          </w:tcPr>
          <w:p w14:paraId="2B8C3A0E" w14:textId="77777777" w:rsidR="00500337" w:rsidRPr="00392A97" w:rsidRDefault="002431CE" w:rsidP="00D61FF2">
            <w:r w:rsidRPr="00392A97">
              <w:t>328860</w:t>
            </w:r>
          </w:p>
        </w:tc>
      </w:tr>
      <w:tr w:rsidR="003735BC" w:rsidRPr="00392A97" w14:paraId="0509D9F0" w14:textId="77777777" w:rsidTr="003735BC">
        <w:tc>
          <w:tcPr>
            <w:tcW w:w="2907" w:type="dxa"/>
          </w:tcPr>
          <w:p w14:paraId="214879E2" w14:textId="77777777" w:rsidR="003735BC" w:rsidRPr="00392A97" w:rsidRDefault="00FA5069" w:rsidP="00D61FF2">
            <w:r w:rsidRPr="00392A97">
              <w:rPr>
                <w:rFonts w:ascii="Wingdings 3" w:hAnsi="Wingdings 3"/>
                <w:sz w:val="34"/>
                <w:szCs w:val="34"/>
                <w:lang w:eastAsia="en-AU"/>
              </w:rPr>
              <w:t></w:t>
            </w:r>
            <w:r w:rsidR="003735BC" w:rsidRPr="00392A97">
              <w:t>Black Triangle Scheme</w:t>
            </w:r>
            <w:r w:rsidR="004C4FBE" w:rsidRPr="00392A97">
              <w:t>:</w:t>
            </w:r>
            <w:r w:rsidR="00460036" w:rsidRPr="00392A97">
              <w:rPr>
                <w:rStyle w:val="FootnoteReference"/>
                <w:i/>
              </w:rPr>
              <w:footnoteReference w:id="2"/>
            </w:r>
          </w:p>
        </w:tc>
        <w:tc>
          <w:tcPr>
            <w:tcW w:w="6307" w:type="dxa"/>
          </w:tcPr>
          <w:p w14:paraId="747884A0" w14:textId="4FEC7B0F" w:rsidR="003735BC" w:rsidRPr="00E64357" w:rsidRDefault="003735BC" w:rsidP="00D61FF2">
            <w:r w:rsidRPr="00E64357">
              <w:t>Yes</w:t>
            </w:r>
          </w:p>
          <w:p w14:paraId="4BE75738" w14:textId="55FF798E" w:rsidR="006C5915" w:rsidRPr="00E64357" w:rsidRDefault="003735BC" w:rsidP="00D61FF2">
            <w:pPr>
              <w:rPr>
                <w:i/>
                <w:color w:val="007099"/>
              </w:rPr>
            </w:pPr>
            <w:r w:rsidRPr="00E64357">
              <w:t xml:space="preserve">This product will remain in the scheme for 5 years, starting on the date the product is first supplied in </w:t>
            </w:r>
            <w:r w:rsidR="006C5915" w:rsidRPr="00E64357">
              <w:t>Australia</w:t>
            </w:r>
          </w:p>
        </w:tc>
      </w:tr>
      <w:tr w:rsidR="008E7846" w:rsidRPr="00392A97" w14:paraId="1B68F0C3" w14:textId="77777777" w:rsidTr="397EAFEF">
        <w:tc>
          <w:tcPr>
            <w:tcW w:w="2907" w:type="dxa"/>
          </w:tcPr>
          <w:p w14:paraId="53B8E8AF" w14:textId="77777777" w:rsidR="008E7846" w:rsidRPr="00392A97" w:rsidRDefault="008E7846" w:rsidP="00D61FF2">
            <w:r w:rsidRPr="00392A97">
              <w:t xml:space="preserve">Sponsor’s </w:t>
            </w:r>
            <w:r w:rsidR="001B5C90" w:rsidRPr="00392A97">
              <w:t>n</w:t>
            </w:r>
            <w:r w:rsidRPr="00392A97">
              <w:t xml:space="preserve">ame and </w:t>
            </w:r>
            <w:r w:rsidR="001B5C90" w:rsidRPr="00392A97">
              <w:t>a</w:t>
            </w:r>
            <w:r w:rsidRPr="00392A97">
              <w:t>ddress:</w:t>
            </w:r>
          </w:p>
        </w:tc>
        <w:tc>
          <w:tcPr>
            <w:tcW w:w="6307" w:type="dxa"/>
          </w:tcPr>
          <w:p w14:paraId="373F9665" w14:textId="52D9715F" w:rsidR="00795DC2" w:rsidRPr="00392A97" w:rsidRDefault="00392A97" w:rsidP="00D61FF2">
            <w:r w:rsidRPr="00392A97">
              <w:rPr>
                <w:rFonts w:eastAsia="Calibri"/>
                <w:lang w:val="es-ES"/>
              </w:rPr>
              <w:t xml:space="preserve">Emerge </w:t>
            </w:r>
            <w:proofErr w:type="spellStart"/>
            <w:r w:rsidRPr="00392A97">
              <w:rPr>
                <w:rFonts w:eastAsia="Calibri"/>
                <w:lang w:val="es-ES"/>
              </w:rPr>
              <w:t>Health</w:t>
            </w:r>
            <w:proofErr w:type="spellEnd"/>
            <w:r w:rsidRPr="00392A97">
              <w:rPr>
                <w:rFonts w:eastAsia="Calibri"/>
                <w:lang w:val="es-ES"/>
              </w:rPr>
              <w:t xml:space="preserve"> </w:t>
            </w:r>
            <w:proofErr w:type="spellStart"/>
            <w:r w:rsidRPr="00392A97">
              <w:rPr>
                <w:rFonts w:eastAsia="Calibri"/>
                <w:lang w:val="es-ES"/>
              </w:rPr>
              <w:t>Pty</w:t>
            </w:r>
            <w:proofErr w:type="spellEnd"/>
            <w:r w:rsidRPr="00392A97">
              <w:rPr>
                <w:rFonts w:eastAsia="Calibri"/>
                <w:lang w:val="es-ES"/>
              </w:rPr>
              <w:t xml:space="preserve"> </w:t>
            </w:r>
            <w:proofErr w:type="spellStart"/>
            <w:r w:rsidRPr="00392A97">
              <w:rPr>
                <w:rFonts w:eastAsia="Calibri"/>
                <w:lang w:val="es-ES"/>
              </w:rPr>
              <w:t>Ltd</w:t>
            </w:r>
            <w:proofErr w:type="spellEnd"/>
            <w:r w:rsidRPr="00392A97" w:rsidDel="00392A97">
              <w:t xml:space="preserve"> </w:t>
            </w:r>
            <w:bookmarkStart w:id="13" w:name="_Ref56505902"/>
            <w:r w:rsidR="004819BE" w:rsidRPr="00392A97">
              <w:rPr>
                <w:rStyle w:val="FootnoteReference"/>
              </w:rPr>
              <w:footnoteReference w:id="3"/>
            </w:r>
            <w:bookmarkEnd w:id="13"/>
          </w:p>
          <w:p w14:paraId="04EB0D21" w14:textId="11F024BF" w:rsidR="00795DC2" w:rsidRPr="00E64357" w:rsidRDefault="00795DC2" w:rsidP="00D61FF2">
            <w:r w:rsidRPr="00E64357">
              <w:t>Suite 3/22 Gillman Street</w:t>
            </w:r>
          </w:p>
          <w:p w14:paraId="77C3538B" w14:textId="6B193DB3" w:rsidR="008E7846" w:rsidRPr="00E64357" w:rsidRDefault="00795DC2" w:rsidP="004819BE">
            <w:r w:rsidRPr="00E64357">
              <w:t>Hawthorn East, VIC 3123</w:t>
            </w:r>
          </w:p>
        </w:tc>
      </w:tr>
      <w:tr w:rsidR="008E7846" w:rsidRPr="00392A97" w14:paraId="4927AA62" w14:textId="77777777" w:rsidTr="397EAFEF">
        <w:tc>
          <w:tcPr>
            <w:tcW w:w="2907" w:type="dxa"/>
          </w:tcPr>
          <w:p w14:paraId="23E926A8" w14:textId="54BC9ED0" w:rsidR="008E7846" w:rsidRPr="00392A97" w:rsidRDefault="001B5C90" w:rsidP="00D61FF2">
            <w:r w:rsidRPr="00392A97">
              <w:t>Dose form:</w:t>
            </w:r>
          </w:p>
        </w:tc>
        <w:tc>
          <w:tcPr>
            <w:tcW w:w="6307" w:type="dxa"/>
          </w:tcPr>
          <w:p w14:paraId="427CCF40" w14:textId="3AE6D8CF" w:rsidR="008E7846" w:rsidRPr="00392A97" w:rsidRDefault="006C5915" w:rsidP="00D61FF2">
            <w:r w:rsidRPr="00392A97">
              <w:t>Oral liquid solution</w:t>
            </w:r>
          </w:p>
        </w:tc>
      </w:tr>
      <w:tr w:rsidR="008E7846" w:rsidRPr="00392A97" w14:paraId="2424B915" w14:textId="77777777" w:rsidTr="397EAFEF">
        <w:tc>
          <w:tcPr>
            <w:tcW w:w="2907" w:type="dxa"/>
          </w:tcPr>
          <w:p w14:paraId="11C04D2B" w14:textId="6325858D" w:rsidR="008E7846" w:rsidRPr="00392A97" w:rsidRDefault="008E7846" w:rsidP="00D61FF2">
            <w:r w:rsidRPr="00392A97">
              <w:t xml:space="preserve">Strength: </w:t>
            </w:r>
          </w:p>
        </w:tc>
        <w:tc>
          <w:tcPr>
            <w:tcW w:w="6307" w:type="dxa"/>
          </w:tcPr>
          <w:p w14:paraId="195D1CC0" w14:textId="1194E77F" w:rsidR="008E7846" w:rsidRPr="00392A97" w:rsidRDefault="006C5915" w:rsidP="00D61FF2">
            <w:r w:rsidRPr="00392A97">
              <w:t>100 mg/mL</w:t>
            </w:r>
          </w:p>
        </w:tc>
      </w:tr>
      <w:tr w:rsidR="008E7846" w:rsidRPr="00392A97" w14:paraId="7CC6CB76" w14:textId="77777777" w:rsidTr="397EAFEF">
        <w:tc>
          <w:tcPr>
            <w:tcW w:w="2907" w:type="dxa"/>
          </w:tcPr>
          <w:p w14:paraId="2FDD3179" w14:textId="318152F5" w:rsidR="008E7846" w:rsidRPr="00392A97" w:rsidRDefault="008E7846" w:rsidP="00D61FF2">
            <w:r w:rsidRPr="00392A97">
              <w:t>Container:</w:t>
            </w:r>
          </w:p>
        </w:tc>
        <w:tc>
          <w:tcPr>
            <w:tcW w:w="6307" w:type="dxa"/>
          </w:tcPr>
          <w:p w14:paraId="53BFB670" w14:textId="412428B6" w:rsidR="008E7846" w:rsidRPr="00392A97" w:rsidRDefault="00392A97" w:rsidP="00D61FF2">
            <w:r w:rsidRPr="00392A97">
              <w:t>B</w:t>
            </w:r>
            <w:r w:rsidR="006C5915" w:rsidRPr="00392A97">
              <w:t>ottle</w:t>
            </w:r>
          </w:p>
        </w:tc>
      </w:tr>
      <w:tr w:rsidR="008E7846" w:rsidRPr="00392A97" w14:paraId="714333EA" w14:textId="77777777" w:rsidTr="397EAFEF">
        <w:tc>
          <w:tcPr>
            <w:tcW w:w="2907" w:type="dxa"/>
          </w:tcPr>
          <w:p w14:paraId="717879D5" w14:textId="49584796" w:rsidR="008E7846" w:rsidRPr="00392A97" w:rsidRDefault="008E7846" w:rsidP="00D61FF2">
            <w:r w:rsidRPr="00392A97">
              <w:t>Pack size:</w:t>
            </w:r>
          </w:p>
        </w:tc>
        <w:tc>
          <w:tcPr>
            <w:tcW w:w="6307" w:type="dxa"/>
          </w:tcPr>
          <w:p w14:paraId="35E6C5E8" w14:textId="193A81F3" w:rsidR="008E7846" w:rsidRPr="00392A97" w:rsidRDefault="006C5915" w:rsidP="00D61FF2">
            <w:r w:rsidRPr="00392A97">
              <w:t>100</w:t>
            </w:r>
            <w:r w:rsidR="003B46AD" w:rsidRPr="00392A97">
              <w:t xml:space="preserve"> </w:t>
            </w:r>
            <w:r w:rsidRPr="00392A97">
              <w:t>mL</w:t>
            </w:r>
          </w:p>
        </w:tc>
      </w:tr>
      <w:tr w:rsidR="008E7846" w:rsidRPr="00392A97" w14:paraId="26F42BED" w14:textId="77777777" w:rsidTr="397EAFEF">
        <w:tc>
          <w:tcPr>
            <w:tcW w:w="2907" w:type="dxa"/>
          </w:tcPr>
          <w:p w14:paraId="3A2B81A8" w14:textId="77777777" w:rsidR="008E7846" w:rsidRPr="00392A97" w:rsidRDefault="008E7846" w:rsidP="00D61FF2">
            <w:r w:rsidRPr="00392A97">
              <w:t xml:space="preserve">Approved </w:t>
            </w:r>
            <w:r w:rsidR="001B5C90" w:rsidRPr="00392A97">
              <w:t>t</w:t>
            </w:r>
            <w:r w:rsidRPr="00392A97">
              <w:t>herapeutic use:</w:t>
            </w:r>
          </w:p>
        </w:tc>
        <w:tc>
          <w:tcPr>
            <w:tcW w:w="6307" w:type="dxa"/>
          </w:tcPr>
          <w:p w14:paraId="3219E85E" w14:textId="5ABF2360" w:rsidR="008E7846" w:rsidRPr="00392A97" w:rsidRDefault="00392A97" w:rsidP="00D61FF2">
            <w:pPr>
              <w:rPr>
                <w:i/>
                <w:lang w:eastAsia="ja-JP"/>
              </w:rPr>
            </w:pPr>
            <w:proofErr w:type="spellStart"/>
            <w:r w:rsidRPr="00392A97">
              <w:rPr>
                <w:i/>
                <w:lang w:eastAsia="ja-JP"/>
              </w:rPr>
              <w:t>Epidyolex</w:t>
            </w:r>
            <w:proofErr w:type="spellEnd"/>
            <w:r w:rsidRPr="00392A97">
              <w:rPr>
                <w:i/>
                <w:lang w:eastAsia="ja-JP"/>
              </w:rPr>
              <w:t xml:space="preserve"> is indicated for use as </w:t>
            </w:r>
            <w:r w:rsidR="006C5915" w:rsidRPr="00392A97">
              <w:rPr>
                <w:i/>
                <w:lang w:eastAsia="ja-JP"/>
              </w:rPr>
              <w:t>adjunctive therapy of seizures associated with Lennox-</w:t>
            </w:r>
            <w:proofErr w:type="spellStart"/>
            <w:r w:rsidR="006C5915" w:rsidRPr="00392A97">
              <w:rPr>
                <w:i/>
                <w:lang w:eastAsia="ja-JP"/>
              </w:rPr>
              <w:t>Gastaut</w:t>
            </w:r>
            <w:proofErr w:type="spellEnd"/>
            <w:r w:rsidR="006C5915" w:rsidRPr="00392A97">
              <w:rPr>
                <w:i/>
                <w:lang w:eastAsia="ja-JP"/>
              </w:rPr>
              <w:t xml:space="preserve"> syndrome (LGS) or </w:t>
            </w:r>
            <w:proofErr w:type="spellStart"/>
            <w:r w:rsidR="006C5915" w:rsidRPr="00392A97">
              <w:rPr>
                <w:i/>
                <w:lang w:eastAsia="ja-JP"/>
              </w:rPr>
              <w:t>Dravet</w:t>
            </w:r>
            <w:proofErr w:type="spellEnd"/>
            <w:r w:rsidR="00A6632B">
              <w:rPr>
                <w:i/>
                <w:lang w:eastAsia="ja-JP"/>
              </w:rPr>
              <w:t> </w:t>
            </w:r>
            <w:r w:rsidR="006C5915" w:rsidRPr="00392A97">
              <w:rPr>
                <w:i/>
                <w:lang w:eastAsia="ja-JP"/>
              </w:rPr>
              <w:t>syndrome (DS) for patients 2 years of age and older</w:t>
            </w:r>
          </w:p>
        </w:tc>
      </w:tr>
      <w:tr w:rsidR="008E7846" w:rsidRPr="00392A97" w14:paraId="53388AE6" w14:textId="77777777" w:rsidTr="397EAFEF">
        <w:tc>
          <w:tcPr>
            <w:tcW w:w="2907" w:type="dxa"/>
          </w:tcPr>
          <w:p w14:paraId="0045EB68" w14:textId="71BD0A90" w:rsidR="008E7846" w:rsidRPr="00392A97" w:rsidRDefault="008E7846" w:rsidP="00D61FF2">
            <w:r w:rsidRPr="00392A97">
              <w:t>Route of administration:</w:t>
            </w:r>
          </w:p>
        </w:tc>
        <w:tc>
          <w:tcPr>
            <w:tcW w:w="6307" w:type="dxa"/>
          </w:tcPr>
          <w:p w14:paraId="1564B320" w14:textId="1C595824" w:rsidR="008E7846" w:rsidRPr="00392A97" w:rsidRDefault="00392A97" w:rsidP="00D61FF2">
            <w:r w:rsidRPr="00392A97">
              <w:t>O</w:t>
            </w:r>
            <w:r w:rsidR="006C5915" w:rsidRPr="00392A97">
              <w:t>ral</w:t>
            </w:r>
          </w:p>
        </w:tc>
      </w:tr>
      <w:tr w:rsidR="008E7846" w:rsidRPr="00392A97" w14:paraId="2BDEC4E5" w14:textId="77777777" w:rsidTr="397EAFEF">
        <w:tc>
          <w:tcPr>
            <w:tcW w:w="2907" w:type="dxa"/>
          </w:tcPr>
          <w:p w14:paraId="3B356B35" w14:textId="77777777" w:rsidR="008E7846" w:rsidRPr="00392A97" w:rsidRDefault="008E7846" w:rsidP="00D61FF2">
            <w:r w:rsidRPr="00392A97">
              <w:t>Dosage:</w:t>
            </w:r>
          </w:p>
        </w:tc>
        <w:tc>
          <w:tcPr>
            <w:tcW w:w="6307" w:type="dxa"/>
          </w:tcPr>
          <w:p w14:paraId="0751EF27" w14:textId="3D66F525" w:rsidR="006C5915" w:rsidRPr="00392A97" w:rsidRDefault="006C5915" w:rsidP="00D61FF2">
            <w:proofErr w:type="spellStart"/>
            <w:r w:rsidRPr="00392A97">
              <w:t>Epidyolex</w:t>
            </w:r>
            <w:proofErr w:type="spellEnd"/>
            <w:r w:rsidRPr="00392A97">
              <w:t xml:space="preserve"> should be initiated and supervised by a neurologist.</w:t>
            </w:r>
          </w:p>
          <w:p w14:paraId="5928BC64" w14:textId="38D9C956" w:rsidR="00A6632B" w:rsidRDefault="006C5915" w:rsidP="00D61FF2">
            <w:r w:rsidRPr="00392A97">
              <w:t xml:space="preserve">The recommended starting dose of </w:t>
            </w:r>
            <w:proofErr w:type="spellStart"/>
            <w:r w:rsidRPr="00392A97">
              <w:t>Epidyolex</w:t>
            </w:r>
            <w:proofErr w:type="spellEnd"/>
            <w:r w:rsidRPr="00392A97">
              <w:t xml:space="preserve"> is 2.5 mg/kg taken twice daily (5 mg/kg/day) for one week.</w:t>
            </w:r>
          </w:p>
          <w:p w14:paraId="39C20532" w14:textId="5669DBE4" w:rsidR="00A6632B" w:rsidRDefault="006C5915" w:rsidP="00D61FF2">
            <w:r w:rsidRPr="00392A97">
              <w:t>After one week, the dose should be increased to a maintenance dose of 5 mg/kg twice daily (10 mg/kg/day).</w:t>
            </w:r>
          </w:p>
          <w:p w14:paraId="462F56B0" w14:textId="31219993" w:rsidR="00A6632B" w:rsidRDefault="006C5915" w:rsidP="00D61FF2">
            <w:r w:rsidRPr="00392A97">
              <w:t>Based on individual clinical response and tolerability, each dose can be further increased in weekly increments of 2.5 mg/kg administered twice daily (5 mg/kg/day) up to a maximum recommended dose of 10 mg/kg twice daily (20</w:t>
            </w:r>
            <w:r w:rsidR="00A6632B">
              <w:t> </w:t>
            </w:r>
            <w:r w:rsidRPr="00392A97">
              <w:t>mg/kg/day).</w:t>
            </w:r>
          </w:p>
          <w:p w14:paraId="11E57D3F" w14:textId="54468B67" w:rsidR="006C5915" w:rsidRPr="00392A97" w:rsidRDefault="006C5915" w:rsidP="00D61FF2">
            <w:r w:rsidRPr="00392A97">
              <w:t>Any dose increases above 10 mg/kg/day, up to the maximum recommended dose of 20 mg/kg/day, should be made considering individual benefit and risk and with adherence to the monitoring schedule.</w:t>
            </w:r>
          </w:p>
          <w:p w14:paraId="4ACCBF96" w14:textId="0B27D365" w:rsidR="00460036" w:rsidRPr="00392A97" w:rsidRDefault="00460036" w:rsidP="00D61FF2">
            <w:r w:rsidRPr="00392A97">
              <w:t>For further information regarding dosage, refer to the Product Information.</w:t>
            </w:r>
          </w:p>
        </w:tc>
      </w:tr>
      <w:tr w:rsidR="00460036" w:rsidRPr="00487162" w14:paraId="075DB577" w14:textId="77777777" w:rsidTr="397EAFEF">
        <w:tc>
          <w:tcPr>
            <w:tcW w:w="2907" w:type="dxa"/>
          </w:tcPr>
          <w:p w14:paraId="1C345225" w14:textId="77777777" w:rsidR="00460036" w:rsidRPr="00392A97" w:rsidRDefault="00460036" w:rsidP="00D61FF2">
            <w:r w:rsidRPr="00392A97">
              <w:t>Pregnancy category:</w:t>
            </w:r>
          </w:p>
        </w:tc>
        <w:tc>
          <w:tcPr>
            <w:tcW w:w="6307" w:type="dxa"/>
          </w:tcPr>
          <w:p w14:paraId="68D34C24" w14:textId="77777777" w:rsidR="006C5915" w:rsidRPr="00392A97" w:rsidRDefault="006C5915" w:rsidP="00D61FF2">
            <w:r w:rsidRPr="00392A97">
              <w:t>B2</w:t>
            </w:r>
          </w:p>
          <w:p w14:paraId="12BE9FC0" w14:textId="60395A25" w:rsidR="006C5915" w:rsidRPr="00392A97" w:rsidRDefault="006C5915" w:rsidP="00D61FF2">
            <w:r w:rsidRPr="00392A97">
              <w:t xml:space="preserve">Drugs which have been taken by only a limited number of pregnant women and women of childbearing age, without an increase in the frequency of malformation or other direct or indirect harmful effects on the human </w:t>
            </w:r>
            <w:proofErr w:type="spellStart"/>
            <w:r w:rsidRPr="00392A97">
              <w:t>fetus</w:t>
            </w:r>
            <w:proofErr w:type="spellEnd"/>
            <w:r w:rsidRPr="00392A97">
              <w:t xml:space="preserve"> having been observed.</w:t>
            </w:r>
          </w:p>
          <w:p w14:paraId="7349BD87" w14:textId="77777777" w:rsidR="004C5B16" w:rsidRDefault="006C5915" w:rsidP="00D61FF2">
            <w:r w:rsidRPr="00392A97">
              <w:t xml:space="preserve">Studies in animals are inadequate or may be lacking, but available data show no evidence of an increased occurrence of </w:t>
            </w:r>
            <w:proofErr w:type="spellStart"/>
            <w:r w:rsidRPr="00392A97">
              <w:t>fetal</w:t>
            </w:r>
            <w:proofErr w:type="spellEnd"/>
            <w:r w:rsidRPr="00392A97">
              <w:t xml:space="preserve"> damage</w:t>
            </w:r>
            <w:r w:rsidR="004C5B16">
              <w:t>.</w:t>
            </w:r>
          </w:p>
          <w:p w14:paraId="6A5CDB80" w14:textId="0E6FD4F7" w:rsidR="00460036" w:rsidRPr="00392A97" w:rsidRDefault="00460036" w:rsidP="00D61FF2">
            <w:r w:rsidRPr="00392A97">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6C5915" w:rsidRPr="00392A97">
              <w:t>ces in your State or Territory.</w:t>
            </w:r>
          </w:p>
        </w:tc>
      </w:tr>
    </w:tbl>
    <w:p w14:paraId="3107424A" w14:textId="77777777" w:rsidR="008E7846" w:rsidRDefault="008E7846" w:rsidP="008E7846">
      <w:pPr>
        <w:pStyle w:val="Heading3"/>
      </w:pPr>
      <w:bookmarkStart w:id="14" w:name="_Toc247691503"/>
      <w:bookmarkStart w:id="15" w:name="_Toc314842484"/>
      <w:bookmarkStart w:id="16" w:name="_Toc62725614"/>
      <w:r>
        <w:t>Product background</w:t>
      </w:r>
      <w:bookmarkEnd w:id="14"/>
      <w:bookmarkEnd w:id="15"/>
      <w:bookmarkEnd w:id="16"/>
    </w:p>
    <w:p w14:paraId="7E86E33A" w14:textId="1AA90EDA" w:rsidR="008E7846" w:rsidRDefault="00250271" w:rsidP="00D61FF2">
      <w:r w:rsidRPr="00250271">
        <w:t xml:space="preserve">This AusPAR describes the application by </w:t>
      </w:r>
      <w:r w:rsidR="00CF5A9E">
        <w:t>Emerge Health Pty Ltd (the sponsor)</w:t>
      </w:r>
      <w:r w:rsidR="004974A0">
        <w:t>;</w:t>
      </w:r>
      <w:r w:rsidR="009003CF">
        <w:fldChar w:fldCharType="begin"/>
      </w:r>
      <w:r w:rsidR="009003CF">
        <w:instrText xml:space="preserve"> NOTEREF _Ref56505902 \f \h </w:instrText>
      </w:r>
      <w:r w:rsidR="009003CF">
        <w:fldChar w:fldCharType="separate"/>
      </w:r>
      <w:r w:rsidR="00E0078F" w:rsidRPr="00E0078F">
        <w:rPr>
          <w:rStyle w:val="FootnoteReference"/>
        </w:rPr>
        <w:t>2</w:t>
      </w:r>
      <w:r w:rsidR="009003CF">
        <w:fldChar w:fldCharType="end"/>
      </w:r>
      <w:r w:rsidR="00CF5A9E">
        <w:t xml:space="preserve"> to register </w:t>
      </w:r>
      <w:proofErr w:type="spellStart"/>
      <w:r w:rsidR="00CF5A9E">
        <w:t>Epidyolex</w:t>
      </w:r>
      <w:proofErr w:type="spellEnd"/>
      <w:r w:rsidRPr="00250271">
        <w:t xml:space="preserve"> (</w:t>
      </w:r>
      <w:r w:rsidR="00CF5A9E">
        <w:t>cannabidiol</w:t>
      </w:r>
      <w:r w:rsidRPr="00250271">
        <w:t xml:space="preserve">) </w:t>
      </w:r>
      <w:r w:rsidR="00CF5A9E">
        <w:t xml:space="preserve">100 mg/mL, oral liquid solution bottle, </w:t>
      </w:r>
      <w:r w:rsidRPr="00250271">
        <w:t>for the following proposed indication</w:t>
      </w:r>
      <w:r w:rsidR="00CF5DAD">
        <w:t>:</w:t>
      </w:r>
    </w:p>
    <w:p w14:paraId="152BB8A4" w14:textId="1E85A126" w:rsidR="00965069" w:rsidRPr="00F31785" w:rsidRDefault="00965069" w:rsidP="00F31785">
      <w:pPr>
        <w:ind w:left="720"/>
        <w:rPr>
          <w:i/>
        </w:rPr>
      </w:pPr>
      <w:proofErr w:type="spellStart"/>
      <w:r w:rsidRPr="00F31785">
        <w:rPr>
          <w:i/>
        </w:rPr>
        <w:t>Epidyo</w:t>
      </w:r>
      <w:r w:rsidR="00392A97">
        <w:rPr>
          <w:i/>
        </w:rPr>
        <w:t>l</w:t>
      </w:r>
      <w:r w:rsidRPr="00F31785">
        <w:rPr>
          <w:i/>
        </w:rPr>
        <w:t>ex</w:t>
      </w:r>
      <w:proofErr w:type="spellEnd"/>
      <w:r w:rsidRPr="00F31785">
        <w:rPr>
          <w:i/>
        </w:rPr>
        <w:t xml:space="preserve"> is indicated for use as adjunctive therapy of seizures associated with Lennox-</w:t>
      </w:r>
      <w:proofErr w:type="spellStart"/>
      <w:r w:rsidRPr="00F31785">
        <w:rPr>
          <w:i/>
        </w:rPr>
        <w:t>Gastaut</w:t>
      </w:r>
      <w:proofErr w:type="spellEnd"/>
      <w:r w:rsidRPr="00F31785">
        <w:rPr>
          <w:i/>
        </w:rPr>
        <w:t xml:space="preserve"> syndrome (LGS) or </w:t>
      </w:r>
      <w:proofErr w:type="spellStart"/>
      <w:r w:rsidRPr="00F31785">
        <w:rPr>
          <w:i/>
        </w:rPr>
        <w:t>Dravet</w:t>
      </w:r>
      <w:proofErr w:type="spellEnd"/>
      <w:r w:rsidRPr="00F31785">
        <w:rPr>
          <w:i/>
        </w:rPr>
        <w:t xml:space="preserve"> syndrome (DS) for patients 2 years of age and older</w:t>
      </w:r>
      <w:r w:rsidR="00F31785" w:rsidRPr="00F31785">
        <w:rPr>
          <w:i/>
        </w:rPr>
        <w:t>.</w:t>
      </w:r>
    </w:p>
    <w:p w14:paraId="017E9EDF" w14:textId="316B9E24" w:rsidR="00DA0AE3" w:rsidRDefault="009A58BD" w:rsidP="00D61FF2">
      <w:r>
        <w:t>Lennox-</w:t>
      </w:r>
      <w:proofErr w:type="spellStart"/>
      <w:r>
        <w:t>Gastaut</w:t>
      </w:r>
      <w:proofErr w:type="spellEnd"/>
      <w:r>
        <w:t xml:space="preserve"> syndrome (</w:t>
      </w:r>
      <w:r w:rsidR="00997139">
        <w:t>LGS</w:t>
      </w:r>
      <w:r>
        <w:t>)</w:t>
      </w:r>
      <w:r w:rsidR="00997139">
        <w:t xml:space="preserve"> </w:t>
      </w:r>
      <w:r w:rsidR="00DA0AE3">
        <w:t>is a rare epileptic encephalopathy. It usually occurs between 3 and 5 years of age and is characterised by the presence of multiple seizure types. These seizure types have onset in childhood, and many persist into adulthood. Status epilepticus (SE) may occur in some patients with LGS.</w:t>
      </w:r>
    </w:p>
    <w:p w14:paraId="71A18B87" w14:textId="6294F7A1" w:rsidR="00DA0AE3" w:rsidRDefault="00DA0AE3" w:rsidP="00D61FF2">
      <w:r>
        <w:t xml:space="preserve">LGS </w:t>
      </w:r>
      <w:r w:rsidR="00FC2753">
        <w:t xml:space="preserve">is </w:t>
      </w:r>
      <w:r>
        <w:t xml:space="preserve">subdivided into cases of known origin (genetic, structural, metabolic, immune and infectious) and idiopathic cases, in which the first clinical sign is often the occurrence of abrupt falls. Physical injury due to drop seizures are common in LGS. Cognitive impairment occurs in greater or equal to 75% of all LGS patients within 5 years post onset. Behavioural and psychiatric comorbidities are also common. LGS is associated with an increased risk of death, because of multiple potential mechanisms including drop seizures, </w:t>
      </w:r>
      <w:r w:rsidR="00FC2753">
        <w:t>SE</w:t>
      </w:r>
      <w:r>
        <w:t>, sudden unexpected death in epilepsy (SUDEP), and other complications of seizures. One population-based study of children with epilepsy suggested that mortality due to all causes was 14 times greater in LGS than in the general population.</w:t>
      </w:r>
    </w:p>
    <w:p w14:paraId="5D72B4ED" w14:textId="48B2A968" w:rsidR="00DA0AE3" w:rsidRDefault="00DA0AE3" w:rsidP="00D61FF2">
      <w:r>
        <w:t xml:space="preserve">For LGS, the most commonly used drugs are valproate, </w:t>
      </w:r>
      <w:proofErr w:type="spellStart"/>
      <w:r>
        <w:t>clobazam</w:t>
      </w:r>
      <w:proofErr w:type="spellEnd"/>
      <w:r>
        <w:t xml:space="preserve">, clonazepam, </w:t>
      </w:r>
      <w:proofErr w:type="spellStart"/>
      <w:r>
        <w:t>felbamate</w:t>
      </w:r>
      <w:proofErr w:type="spellEnd"/>
      <w:r>
        <w:t xml:space="preserve">, lamotrigine, </w:t>
      </w:r>
      <w:proofErr w:type="spellStart"/>
      <w:r>
        <w:t>rufinamide</w:t>
      </w:r>
      <w:proofErr w:type="spellEnd"/>
      <w:r>
        <w:t xml:space="preserve">, </w:t>
      </w:r>
      <w:proofErr w:type="spellStart"/>
      <w:r>
        <w:t>topiramate</w:t>
      </w:r>
      <w:proofErr w:type="spellEnd"/>
      <w:r>
        <w:t xml:space="preserve">, and </w:t>
      </w:r>
      <w:proofErr w:type="spellStart"/>
      <w:r>
        <w:t>ethosuximide</w:t>
      </w:r>
      <w:proofErr w:type="spellEnd"/>
      <w:r>
        <w:t xml:space="preserve">. </w:t>
      </w:r>
      <w:proofErr w:type="spellStart"/>
      <w:r>
        <w:t>Nonpharmacological</w:t>
      </w:r>
      <w:proofErr w:type="spellEnd"/>
      <w:r>
        <w:t xml:space="preserve"> therapies are also used, including surgical resection of epileptic regions, a ketogenic diet, </w:t>
      </w:r>
      <w:proofErr w:type="spellStart"/>
      <w:r>
        <w:t>vagus</w:t>
      </w:r>
      <w:proofErr w:type="spellEnd"/>
      <w:r>
        <w:t xml:space="preserve"> nerve stimulation, and corpus </w:t>
      </w:r>
      <w:proofErr w:type="spellStart"/>
      <w:r>
        <w:t>callosotomy</w:t>
      </w:r>
      <w:proofErr w:type="spellEnd"/>
      <w:r>
        <w:t>. Despite these measures, most pa</w:t>
      </w:r>
      <w:r w:rsidR="00FC2753">
        <w:t xml:space="preserve">tients with LGS experience drug </w:t>
      </w:r>
      <w:r>
        <w:t>resistant epilepsy (DRE), with ongoing seizures. The incidence of drug resistance in this population has been estimated to be as high as 90%.</w:t>
      </w:r>
    </w:p>
    <w:p w14:paraId="1493C948" w14:textId="0A2B6C3D" w:rsidR="00DA0AE3" w:rsidRDefault="002A77E8" w:rsidP="00D61FF2">
      <w:proofErr w:type="spellStart"/>
      <w:r>
        <w:t>Dravet</w:t>
      </w:r>
      <w:proofErr w:type="spellEnd"/>
      <w:r>
        <w:t xml:space="preserve"> syndrome (</w:t>
      </w:r>
      <w:r w:rsidR="00997139">
        <w:t>DS</w:t>
      </w:r>
      <w:r>
        <w:t>)</w:t>
      </w:r>
      <w:r w:rsidR="00DA0AE3">
        <w:t xml:space="preserve"> is also known as severe myoclonic epilepsy in infancy. It is a rare form of epilepsy characterised by a variety of treatment-resistant seizures, which usually occur in the first year of life. Onset is usually between 4 and 8 months of age, with the first seizure often triggered by fever. Other seizure types appear between 1 and 4 years of age, including myoclonic seizures, focal seizures, and atypical absences. </w:t>
      </w:r>
      <w:r w:rsidR="00FC2753">
        <w:t>SE</w:t>
      </w:r>
      <w:r w:rsidR="00DA0AE3">
        <w:t xml:space="preserve"> is common. Most patients are treatment resistant.</w:t>
      </w:r>
    </w:p>
    <w:p w14:paraId="049D9930" w14:textId="567DCFA5" w:rsidR="00DA0AE3" w:rsidRDefault="00DA0AE3" w:rsidP="00D61FF2">
      <w:r>
        <w:t xml:space="preserve">DS is associated with cognitive impairment and gait difficulties. After normal initial development in the first 6 months of life, significant developmental delay becomes increasingly apparent from the second year onwards. Subjects often have neuropsychological </w:t>
      </w:r>
      <w:r w:rsidR="00FD7C85">
        <w:t xml:space="preserve">disturbances, such as attention </w:t>
      </w:r>
      <w:r>
        <w:t>deficit disorder. Intellectual impairment is severe in 50% of cases and most patients are fully dependent in adulthood, with 84% of surviving patients still having seizures i</w:t>
      </w:r>
      <w:r w:rsidR="00FD7C85">
        <w:t xml:space="preserve">n adulthood. Most cases of DS (approximately </w:t>
      </w:r>
      <w:r>
        <w:t>75%) have mutations in the voltage-gated sodium channel α1 subunit gene (</w:t>
      </w:r>
      <w:r w:rsidRPr="008A48B2">
        <w:rPr>
          <w:i/>
        </w:rPr>
        <w:t>SCN1A</w:t>
      </w:r>
      <w:r>
        <w:t>); mutations in other genes have been reporte</w:t>
      </w:r>
      <w:r w:rsidR="00CC366D">
        <w:t xml:space="preserve">d in the remaining 25% of </w:t>
      </w:r>
      <w:r w:rsidR="00CC366D" w:rsidRPr="008A48B2">
        <w:rPr>
          <w:i/>
        </w:rPr>
        <w:t>SCN1A</w:t>
      </w:r>
      <w:r w:rsidR="00CC366D">
        <w:t xml:space="preserve"> </w:t>
      </w:r>
      <w:r>
        <w:t>negative DS patients, and include a mutation in protocadherin-19.</w:t>
      </w:r>
    </w:p>
    <w:p w14:paraId="2D0A8B99" w14:textId="4EAD06CD" w:rsidR="00DA0AE3" w:rsidRDefault="00DA0AE3" w:rsidP="00D61FF2">
      <w:r>
        <w:t xml:space="preserve">Death during childhood is common in DS, with contributing causes including: SUDEP, </w:t>
      </w:r>
      <w:r w:rsidR="00FC2753">
        <w:t>SE</w:t>
      </w:r>
      <w:r>
        <w:t xml:space="preserve">, and other seizure complications. One review of 177 deaths in DS concluded that 73% of the deaths occurred before the age of 10 years, with the cause being SUDEP in 49% of cases, and </w:t>
      </w:r>
      <w:r w:rsidR="00FC2753">
        <w:t>SE</w:t>
      </w:r>
      <w:r>
        <w:t xml:space="preserve"> in 32% of cases. Another longitudinal follow-up study of 100 unrelated DS patients reported 17 deaths with a median patient age of 7 years, and SUDEP was the most common cause of death (59%).</w:t>
      </w:r>
    </w:p>
    <w:p w14:paraId="089A392A" w14:textId="18CE36C0" w:rsidR="00DA0AE3" w:rsidRDefault="00DA0AE3" w:rsidP="00D61FF2">
      <w:r>
        <w:t>For DS, val</w:t>
      </w:r>
      <w:r w:rsidR="00FD7C85">
        <w:t xml:space="preserve">proate is often used as a first </w:t>
      </w:r>
      <w:r>
        <w:t xml:space="preserve">line agent, with benzodiazepines (diazepam, midazolam, clonazepam, or </w:t>
      </w:r>
      <w:proofErr w:type="spellStart"/>
      <w:r w:rsidR="00E571B1">
        <w:t>clobazam</w:t>
      </w:r>
      <w:proofErr w:type="spellEnd"/>
      <w:r>
        <w:t>) often adde</w:t>
      </w:r>
      <w:r w:rsidR="00FD7C85">
        <w:t xml:space="preserve">d to limit the duration of long </w:t>
      </w:r>
      <w:r>
        <w:t xml:space="preserve">lasting seizures. Additional treatments options include </w:t>
      </w:r>
      <w:proofErr w:type="spellStart"/>
      <w:r>
        <w:t>stiripentol</w:t>
      </w:r>
      <w:proofErr w:type="spellEnd"/>
      <w:r>
        <w:t xml:space="preserve">, </w:t>
      </w:r>
      <w:proofErr w:type="spellStart"/>
      <w:r>
        <w:t>topiramate</w:t>
      </w:r>
      <w:proofErr w:type="spellEnd"/>
      <w:r>
        <w:t xml:space="preserve">, </w:t>
      </w:r>
      <w:proofErr w:type="spellStart"/>
      <w:r>
        <w:t>l</w:t>
      </w:r>
      <w:r w:rsidR="00FD7C85">
        <w:t>evetiracetam</w:t>
      </w:r>
      <w:proofErr w:type="spellEnd"/>
      <w:r w:rsidR="00FD7C85">
        <w:t xml:space="preserve">, bromides, and </w:t>
      </w:r>
      <w:proofErr w:type="spellStart"/>
      <w:r w:rsidR="00FD7C85">
        <w:t xml:space="preserve">non </w:t>
      </w:r>
      <w:r>
        <w:t>drug</w:t>
      </w:r>
      <w:proofErr w:type="spellEnd"/>
      <w:r>
        <w:t xml:space="preserve"> measures including </w:t>
      </w:r>
      <w:proofErr w:type="spellStart"/>
      <w:r>
        <w:t>vagus</w:t>
      </w:r>
      <w:proofErr w:type="spellEnd"/>
      <w:r>
        <w:t xml:space="preserve"> nerve stimulation and a ketogenic diet. In most cases, patients receive multiple therapies with only partial responses to treatment.</w:t>
      </w:r>
    </w:p>
    <w:p w14:paraId="1F8FA5CD" w14:textId="7A7C5489" w:rsidR="00DA0AE3" w:rsidRDefault="00836E22" w:rsidP="00D61FF2">
      <w:r>
        <w:t>The Delegate emphasised that t</w:t>
      </w:r>
      <w:r w:rsidR="00FD7C85">
        <w:t xml:space="preserve">he high mortality and seizure </w:t>
      </w:r>
      <w:r w:rsidR="00DA0AE3">
        <w:t>related morbidity in both LGS and DS is important in the context of the submission</w:t>
      </w:r>
      <w:r>
        <w:t xml:space="preserve"> described in this AusPAR</w:t>
      </w:r>
      <w:r w:rsidR="00CC366D">
        <w:t>, because the benefit/</w:t>
      </w:r>
      <w:r w:rsidR="00DA0AE3">
        <w:t xml:space="preserve">risk profile for </w:t>
      </w:r>
      <w:r w:rsidR="00CC366D">
        <w:t>cannabidiol oral solution</w:t>
      </w:r>
      <w:r>
        <w:t xml:space="preserve"> </w:t>
      </w:r>
      <w:r w:rsidR="00FD7C85">
        <w:t>(</w:t>
      </w:r>
      <w:r w:rsidR="00DA0AE3">
        <w:t>CBD-OS</w:t>
      </w:r>
      <w:r w:rsidR="00FD7C85">
        <w:t>)</w:t>
      </w:r>
      <w:r w:rsidR="00DA0AE3">
        <w:t xml:space="preserve"> has not been well defined by the submitted studies </w:t>
      </w:r>
      <w:r>
        <w:t>(</w:t>
      </w:r>
      <w:r w:rsidR="00DA0AE3">
        <w:t xml:space="preserve">as </w:t>
      </w:r>
      <w:r w:rsidR="00BD618C">
        <w:t xml:space="preserve">advised </w:t>
      </w:r>
      <w:r w:rsidR="00DA0AE3">
        <w:t xml:space="preserve">by </w:t>
      </w:r>
      <w:r>
        <w:t xml:space="preserve">the </w:t>
      </w:r>
      <w:r w:rsidR="00DA0AE3">
        <w:t>clinical evaluator</w:t>
      </w:r>
      <w:r>
        <w:t>)</w:t>
      </w:r>
      <w:r w:rsidR="00DA0AE3">
        <w:t>.</w:t>
      </w:r>
    </w:p>
    <w:p w14:paraId="1C4EA4CF" w14:textId="329C3AD9" w:rsidR="00DA0AE3" w:rsidRPr="00DA0AE3" w:rsidRDefault="00DA0AE3" w:rsidP="00D61FF2">
      <w:r>
        <w:t>All of the anticonvulsant drugs used to treat LGS and DS have side effects. Side ef</w:t>
      </w:r>
      <w:r w:rsidR="00FD7C85">
        <w:t xml:space="preserve">fects common to nearly all </w:t>
      </w:r>
      <w:proofErr w:type="spellStart"/>
      <w:r w:rsidR="00FD7C85">
        <w:t xml:space="preserve">anti </w:t>
      </w:r>
      <w:r>
        <w:t>epileptic</w:t>
      </w:r>
      <w:proofErr w:type="spellEnd"/>
      <w:r>
        <w:t xml:space="preserve"> drugs (AED) include sedation and cognitive impairment, which can add to the cognitive deficits already common in these conditions. Valproate is also associated with metabolic changes, including weight gain, and hepatic abnormalities. For most patients with LGS and DS, a compromise must be sought between trying to reduce seizure frequenc</w:t>
      </w:r>
      <w:r w:rsidR="00CC366D">
        <w:t>y and severity</w:t>
      </w:r>
      <w:r w:rsidR="00FD7C85">
        <w:t xml:space="preserve"> on the one hand;</w:t>
      </w:r>
      <w:r>
        <w:t xml:space="preserve"> while li</w:t>
      </w:r>
      <w:r w:rsidR="00CC366D">
        <w:t>miting the side effects of AEDs</w:t>
      </w:r>
      <w:r>
        <w:t xml:space="preserve"> on the other. Any new drug with activity against seizures in LGS and DS has the pot</w:t>
      </w:r>
      <w:r w:rsidR="00CC366D">
        <w:t>ential to improve this balance;</w:t>
      </w:r>
      <w:r>
        <w:t xml:space="preserve"> provided it does not cause unacceptable tolerability or safety issues.</w:t>
      </w:r>
    </w:p>
    <w:p w14:paraId="3AAFEF7A" w14:textId="491389C8" w:rsidR="008E7846" w:rsidRPr="003F31A2" w:rsidRDefault="00386150" w:rsidP="008E7846">
      <w:pPr>
        <w:pStyle w:val="Heading3"/>
      </w:pPr>
      <w:bookmarkStart w:id="17" w:name="_Toc314842485"/>
      <w:bookmarkStart w:id="18" w:name="_Toc247691504"/>
      <w:bookmarkStart w:id="19" w:name="_Toc62725615"/>
      <w:r>
        <w:t>Regulatory s</w:t>
      </w:r>
      <w:r w:rsidR="008E7846">
        <w:t>tatus</w:t>
      </w:r>
      <w:bookmarkEnd w:id="17"/>
      <w:bookmarkEnd w:id="18"/>
      <w:bookmarkEnd w:id="19"/>
    </w:p>
    <w:p w14:paraId="0A82E368" w14:textId="750C37FA" w:rsidR="00940A89" w:rsidRDefault="00006FAB" w:rsidP="00D61FF2">
      <w:bookmarkStart w:id="20" w:name="_Toc247691505"/>
      <w:bookmarkStart w:id="21" w:name="_Toc314842486"/>
      <w:r w:rsidRPr="00006FAB">
        <w:t>This product is considered a new chemical for Australian regulatory purposes.</w:t>
      </w:r>
    </w:p>
    <w:p w14:paraId="48D51723" w14:textId="2E1F1CA0" w:rsidR="00940A89" w:rsidRDefault="00006FAB" w:rsidP="00D61FF2">
      <w:r>
        <w:t>At the time the TGA</w:t>
      </w:r>
      <w:r w:rsidR="009076FE">
        <w:t xml:space="preserve"> considered this application, </w:t>
      </w:r>
      <w:r>
        <w:t>similar application</w:t>
      </w:r>
      <w:r w:rsidR="009076FE">
        <w:t>s had been approved in the United States of America</w:t>
      </w:r>
      <w:r w:rsidR="00AE7F47">
        <w:t xml:space="preserve"> (USA)</w:t>
      </w:r>
      <w:r w:rsidR="00565D0A">
        <w:t xml:space="preserve"> and the </w:t>
      </w:r>
      <w:r w:rsidR="009076FE">
        <w:t>European Union</w:t>
      </w:r>
      <w:r w:rsidR="00AE7F47">
        <w:t xml:space="preserve"> (EU)</w:t>
      </w:r>
      <w:r w:rsidR="00544F9A">
        <w:t xml:space="preserve">. </w:t>
      </w:r>
      <w:r w:rsidR="00565D0A">
        <w:t>A p</w:t>
      </w:r>
      <w:r w:rsidR="00D93C79">
        <w:t>roposed i</w:t>
      </w:r>
      <w:r w:rsidR="00544F9A">
        <w:t>ndication was approved in</w:t>
      </w:r>
      <w:r w:rsidR="009076FE">
        <w:t xml:space="preserve"> Israel</w:t>
      </w:r>
      <w:r w:rsidR="00565D0A">
        <w:t xml:space="preserve"> a</w:t>
      </w:r>
      <w:r w:rsidR="00544F9A">
        <w:t xml:space="preserve">nd a </w:t>
      </w:r>
      <w:r w:rsidR="0020555E">
        <w:t>preliminary decision of approval was given</w:t>
      </w:r>
      <w:r w:rsidR="009076FE">
        <w:t xml:space="preserve"> in Switzerland as of May 2020.</w:t>
      </w:r>
    </w:p>
    <w:p w14:paraId="41461BDB" w14:textId="7D01EBDC" w:rsidR="00080809" w:rsidRDefault="00080809" w:rsidP="00610F77">
      <w:pPr>
        <w:pStyle w:val="TableTitle"/>
      </w:pPr>
      <w:r>
        <w:t xml:space="preserve">Table </w:t>
      </w:r>
      <w:r>
        <w:fldChar w:fldCharType="begin"/>
      </w:r>
      <w:r>
        <w:instrText>SEQ Table \* ARABIC</w:instrText>
      </w:r>
      <w:r>
        <w:fldChar w:fldCharType="separate"/>
      </w:r>
      <w:r w:rsidR="00E0078F">
        <w:rPr>
          <w:noProof/>
        </w:rPr>
        <w:t>1</w:t>
      </w:r>
      <w:r>
        <w:fldChar w:fldCharType="end"/>
      </w:r>
      <w:r>
        <w:t>: International regulatory status</w:t>
      </w:r>
    </w:p>
    <w:tbl>
      <w:tblPr>
        <w:tblStyle w:val="TableTGAblue"/>
        <w:tblW w:w="8900" w:type="dxa"/>
        <w:tblLook w:val="04A0" w:firstRow="1" w:lastRow="0" w:firstColumn="1" w:lastColumn="0" w:noHBand="0" w:noVBand="1"/>
      </w:tblPr>
      <w:tblGrid>
        <w:gridCol w:w="1523"/>
        <w:gridCol w:w="2195"/>
        <w:gridCol w:w="2237"/>
        <w:gridCol w:w="2945"/>
      </w:tblGrid>
      <w:tr w:rsidR="0020555E" w14:paraId="0FDE5D33" w14:textId="77777777" w:rsidTr="008A48B2">
        <w:trPr>
          <w:cnfStyle w:val="100000000000" w:firstRow="1" w:lastRow="0" w:firstColumn="0" w:lastColumn="0" w:oddVBand="0" w:evenVBand="0" w:oddHBand="0" w:evenHBand="0" w:firstRowFirstColumn="0" w:firstRowLastColumn="0" w:lastRowFirstColumn="0" w:lastRowLastColumn="0"/>
        </w:trPr>
        <w:tc>
          <w:tcPr>
            <w:tcW w:w="1523" w:type="dxa"/>
          </w:tcPr>
          <w:p w14:paraId="31E564A5" w14:textId="77777777" w:rsidR="00006FAB" w:rsidRDefault="00006FAB" w:rsidP="00980CEA">
            <w:pPr>
              <w:ind w:left="0"/>
            </w:pPr>
            <w:r>
              <w:t>Region</w:t>
            </w:r>
          </w:p>
        </w:tc>
        <w:tc>
          <w:tcPr>
            <w:tcW w:w="2247" w:type="dxa"/>
          </w:tcPr>
          <w:p w14:paraId="4852D9FE" w14:textId="77777777" w:rsidR="00006FAB" w:rsidRDefault="00006FAB" w:rsidP="00980CEA">
            <w:pPr>
              <w:ind w:left="0"/>
            </w:pPr>
            <w:r>
              <w:t>Submission date</w:t>
            </w:r>
          </w:p>
        </w:tc>
        <w:tc>
          <w:tcPr>
            <w:tcW w:w="2070" w:type="dxa"/>
          </w:tcPr>
          <w:p w14:paraId="2D81CD20" w14:textId="77777777" w:rsidR="00006FAB" w:rsidRDefault="00006FAB" w:rsidP="00980CEA">
            <w:pPr>
              <w:ind w:left="0"/>
            </w:pPr>
            <w:r>
              <w:t>Status</w:t>
            </w:r>
          </w:p>
        </w:tc>
        <w:tc>
          <w:tcPr>
            <w:tcW w:w="3060" w:type="dxa"/>
          </w:tcPr>
          <w:p w14:paraId="67A71505" w14:textId="77777777" w:rsidR="00006FAB" w:rsidRDefault="00006FAB" w:rsidP="00980CEA">
            <w:pPr>
              <w:ind w:left="0"/>
            </w:pPr>
            <w:r>
              <w:t>Approved indications</w:t>
            </w:r>
          </w:p>
        </w:tc>
      </w:tr>
      <w:tr w:rsidR="0020555E" w14:paraId="2784FE5A" w14:textId="77777777" w:rsidTr="008A48B2">
        <w:tc>
          <w:tcPr>
            <w:tcW w:w="1523" w:type="dxa"/>
          </w:tcPr>
          <w:p w14:paraId="60AA3515" w14:textId="34289B7F" w:rsidR="00067F57" w:rsidRDefault="00067F57" w:rsidP="008A48B2">
            <w:pPr>
              <w:ind w:left="0"/>
            </w:pPr>
            <w:r>
              <w:t>United States of America</w:t>
            </w:r>
          </w:p>
        </w:tc>
        <w:tc>
          <w:tcPr>
            <w:tcW w:w="2247" w:type="dxa"/>
          </w:tcPr>
          <w:p w14:paraId="7CC3525F" w14:textId="32616DB9" w:rsidR="00067F57" w:rsidRDefault="007C70DE" w:rsidP="008A48B2">
            <w:pPr>
              <w:ind w:left="0"/>
            </w:pPr>
            <w:r>
              <w:t>27 October</w:t>
            </w:r>
            <w:r w:rsidR="00067F57">
              <w:t xml:space="preserve"> 2017</w:t>
            </w:r>
          </w:p>
        </w:tc>
        <w:tc>
          <w:tcPr>
            <w:tcW w:w="2070" w:type="dxa"/>
          </w:tcPr>
          <w:p w14:paraId="6C3C0E5B" w14:textId="409F6BD5" w:rsidR="00067F57" w:rsidRDefault="00067F57" w:rsidP="008A48B2">
            <w:pPr>
              <w:ind w:left="0"/>
            </w:pPr>
            <w:r>
              <w:t xml:space="preserve">Approved on </w:t>
            </w:r>
            <w:r w:rsidR="007C70DE">
              <w:t>25</w:t>
            </w:r>
            <w:r w:rsidR="00980CEA">
              <w:t> </w:t>
            </w:r>
            <w:r>
              <w:t>June 2018</w:t>
            </w:r>
          </w:p>
        </w:tc>
        <w:tc>
          <w:tcPr>
            <w:tcW w:w="3060" w:type="dxa"/>
          </w:tcPr>
          <w:p w14:paraId="56FF9F09" w14:textId="759F94C0" w:rsidR="00067F57" w:rsidRPr="00610F77" w:rsidRDefault="0020555E" w:rsidP="008A48B2">
            <w:pPr>
              <w:ind w:left="0"/>
              <w:rPr>
                <w:i/>
              </w:rPr>
            </w:pPr>
            <w:r w:rsidRPr="00610F77">
              <w:rPr>
                <w:i/>
              </w:rPr>
              <w:t xml:space="preserve">For the </w:t>
            </w:r>
            <w:r w:rsidR="00067F57" w:rsidRPr="00610F77">
              <w:rPr>
                <w:i/>
              </w:rPr>
              <w:t>treatment of seizures associated with Lennox-</w:t>
            </w:r>
            <w:proofErr w:type="spellStart"/>
            <w:r w:rsidR="00067F57" w:rsidRPr="00610F77">
              <w:rPr>
                <w:i/>
              </w:rPr>
              <w:t>Gastaut</w:t>
            </w:r>
            <w:proofErr w:type="spellEnd"/>
            <w:r w:rsidR="00067F57" w:rsidRPr="00610F77">
              <w:rPr>
                <w:i/>
              </w:rPr>
              <w:t xml:space="preserve"> syndrome (LGS) or </w:t>
            </w:r>
            <w:proofErr w:type="spellStart"/>
            <w:r w:rsidR="00067F57" w:rsidRPr="00610F77">
              <w:rPr>
                <w:i/>
              </w:rPr>
              <w:t>Dravet</w:t>
            </w:r>
            <w:proofErr w:type="spellEnd"/>
            <w:r w:rsidR="00067F57" w:rsidRPr="00610F77">
              <w:rPr>
                <w:i/>
              </w:rPr>
              <w:t xml:space="preserve"> syndrome (DS) in patients 2 years of age and older</w:t>
            </w:r>
          </w:p>
        </w:tc>
      </w:tr>
      <w:tr w:rsidR="0020555E" w14:paraId="1DB2C929" w14:textId="77777777" w:rsidTr="008A48B2">
        <w:tc>
          <w:tcPr>
            <w:tcW w:w="1523" w:type="dxa"/>
          </w:tcPr>
          <w:p w14:paraId="7090DBE0" w14:textId="5E86CF1F" w:rsidR="00067F57" w:rsidRDefault="00067F57" w:rsidP="008A48B2">
            <w:pPr>
              <w:ind w:left="0"/>
            </w:pPr>
            <w:r>
              <w:t>European Union (centralised procedure)</w:t>
            </w:r>
          </w:p>
        </w:tc>
        <w:tc>
          <w:tcPr>
            <w:tcW w:w="2247" w:type="dxa"/>
          </w:tcPr>
          <w:p w14:paraId="00501DCF" w14:textId="74C4BF49" w:rsidR="00067F57" w:rsidRDefault="00067F57" w:rsidP="008A48B2">
            <w:pPr>
              <w:ind w:left="0"/>
            </w:pPr>
            <w:r>
              <w:t>21 December 2017</w:t>
            </w:r>
          </w:p>
        </w:tc>
        <w:tc>
          <w:tcPr>
            <w:tcW w:w="2070" w:type="dxa"/>
          </w:tcPr>
          <w:p w14:paraId="1C944460" w14:textId="6D8B2B48" w:rsidR="00067F57" w:rsidRPr="00006FAB" w:rsidRDefault="00067F57" w:rsidP="008A48B2">
            <w:pPr>
              <w:ind w:left="0"/>
            </w:pPr>
            <w:r w:rsidRPr="00006FAB">
              <w:t xml:space="preserve">Approved on </w:t>
            </w:r>
            <w:r>
              <w:t>19</w:t>
            </w:r>
            <w:r w:rsidR="00980CEA">
              <w:t> </w:t>
            </w:r>
            <w:r>
              <w:t>September</w:t>
            </w:r>
            <w:r w:rsidR="00980CEA">
              <w:t> </w:t>
            </w:r>
            <w:r>
              <w:t>2019</w:t>
            </w:r>
          </w:p>
        </w:tc>
        <w:tc>
          <w:tcPr>
            <w:tcW w:w="3060" w:type="dxa"/>
          </w:tcPr>
          <w:p w14:paraId="7F0FD6DD" w14:textId="0F0863F8" w:rsidR="00067F57" w:rsidRPr="00610F77" w:rsidRDefault="0020555E" w:rsidP="008A48B2">
            <w:pPr>
              <w:ind w:left="0"/>
              <w:rPr>
                <w:i/>
              </w:rPr>
            </w:pPr>
            <w:r w:rsidRPr="00610F77">
              <w:rPr>
                <w:i/>
              </w:rPr>
              <w:t xml:space="preserve">For use as </w:t>
            </w:r>
            <w:r w:rsidR="00067F57" w:rsidRPr="00610F77">
              <w:rPr>
                <w:i/>
              </w:rPr>
              <w:t xml:space="preserve">adjunctive therapy of seizures associated with Lennox </w:t>
            </w:r>
            <w:proofErr w:type="spellStart"/>
            <w:r w:rsidR="00067F57" w:rsidRPr="00610F77">
              <w:rPr>
                <w:i/>
              </w:rPr>
              <w:t>Gastaut</w:t>
            </w:r>
            <w:proofErr w:type="spellEnd"/>
            <w:r w:rsidR="00067F57" w:rsidRPr="00610F77">
              <w:rPr>
                <w:i/>
              </w:rPr>
              <w:t xml:space="preserve"> syndrome (LGS) or </w:t>
            </w:r>
            <w:proofErr w:type="spellStart"/>
            <w:r w:rsidR="00067F57" w:rsidRPr="00610F77">
              <w:rPr>
                <w:i/>
              </w:rPr>
              <w:t>Dravet</w:t>
            </w:r>
            <w:proofErr w:type="spellEnd"/>
            <w:r w:rsidR="00067F57" w:rsidRPr="00610F77">
              <w:rPr>
                <w:i/>
              </w:rPr>
              <w:t xml:space="preserve"> syndrome (DS), in conjunction with </w:t>
            </w:r>
            <w:proofErr w:type="spellStart"/>
            <w:r w:rsidR="00067F57" w:rsidRPr="00610F77">
              <w:rPr>
                <w:i/>
              </w:rPr>
              <w:t>clobazam</w:t>
            </w:r>
            <w:proofErr w:type="spellEnd"/>
            <w:r w:rsidR="00067F57" w:rsidRPr="00610F77">
              <w:rPr>
                <w:i/>
              </w:rPr>
              <w:t>, for patients 2</w:t>
            </w:r>
            <w:r w:rsidR="00980CEA">
              <w:rPr>
                <w:i/>
              </w:rPr>
              <w:t> </w:t>
            </w:r>
            <w:r w:rsidR="00067F57" w:rsidRPr="00610F77">
              <w:rPr>
                <w:i/>
              </w:rPr>
              <w:t>years of age and older</w:t>
            </w:r>
          </w:p>
        </w:tc>
      </w:tr>
      <w:tr w:rsidR="0020555E" w14:paraId="525D5625" w14:textId="77777777" w:rsidTr="008A48B2">
        <w:tc>
          <w:tcPr>
            <w:tcW w:w="1523" w:type="dxa"/>
          </w:tcPr>
          <w:p w14:paraId="6B4AF2FA" w14:textId="4B6E96D4" w:rsidR="00067F57" w:rsidRDefault="00067F57" w:rsidP="008A48B2">
            <w:pPr>
              <w:ind w:left="0"/>
            </w:pPr>
            <w:r>
              <w:t>Israel</w:t>
            </w:r>
          </w:p>
        </w:tc>
        <w:tc>
          <w:tcPr>
            <w:tcW w:w="2247" w:type="dxa"/>
          </w:tcPr>
          <w:p w14:paraId="35585F60" w14:textId="1C75AA9A" w:rsidR="00067F57" w:rsidRDefault="00067F57" w:rsidP="008A48B2">
            <w:pPr>
              <w:ind w:left="0"/>
            </w:pPr>
            <w:r>
              <w:t>3 June 2019</w:t>
            </w:r>
          </w:p>
        </w:tc>
        <w:tc>
          <w:tcPr>
            <w:tcW w:w="2070" w:type="dxa"/>
          </w:tcPr>
          <w:p w14:paraId="1A4FB7C6" w14:textId="729C68AD" w:rsidR="00067F57" w:rsidRPr="00006FAB" w:rsidRDefault="008E50B4" w:rsidP="008A48B2">
            <w:pPr>
              <w:ind w:left="0"/>
            </w:pPr>
            <w:r>
              <w:t xml:space="preserve">Indication </w:t>
            </w:r>
            <w:r w:rsidR="00C05B85">
              <w:t>a</w:t>
            </w:r>
            <w:r w:rsidR="00067F57">
              <w:t>pproved on 8</w:t>
            </w:r>
            <w:r w:rsidR="00980CEA">
              <w:t> </w:t>
            </w:r>
            <w:r w:rsidR="00067F57">
              <w:t>December</w:t>
            </w:r>
            <w:r w:rsidR="00980CEA">
              <w:t> </w:t>
            </w:r>
            <w:r w:rsidR="00067F57">
              <w:t>2019</w:t>
            </w:r>
            <w:r w:rsidR="00696722">
              <w:t xml:space="preserve"> (MAA under </w:t>
            </w:r>
            <w:r w:rsidR="00D43FC7">
              <w:t>assessment)</w:t>
            </w:r>
          </w:p>
        </w:tc>
        <w:tc>
          <w:tcPr>
            <w:tcW w:w="3060" w:type="dxa"/>
          </w:tcPr>
          <w:p w14:paraId="7F49EEDB" w14:textId="04D80DB4" w:rsidR="00067F57" w:rsidRPr="00610F77" w:rsidRDefault="0020555E" w:rsidP="008A48B2">
            <w:pPr>
              <w:ind w:left="0"/>
              <w:rPr>
                <w:i/>
              </w:rPr>
            </w:pPr>
            <w:proofErr w:type="spellStart"/>
            <w:r w:rsidRPr="00610F77">
              <w:rPr>
                <w:i/>
              </w:rPr>
              <w:t>Epidyolex</w:t>
            </w:r>
            <w:proofErr w:type="spellEnd"/>
            <w:r w:rsidRPr="00610F77">
              <w:rPr>
                <w:i/>
              </w:rPr>
              <w:t xml:space="preserve"> is indicated for use as a</w:t>
            </w:r>
            <w:r w:rsidR="00E56D3A" w:rsidRPr="00610F77">
              <w:rPr>
                <w:i/>
              </w:rPr>
              <w:t>djunctive therapy of seizures associated with Lennox-</w:t>
            </w:r>
            <w:proofErr w:type="spellStart"/>
            <w:r w:rsidR="00E56D3A" w:rsidRPr="00610F77">
              <w:rPr>
                <w:i/>
              </w:rPr>
              <w:t>Gastaut</w:t>
            </w:r>
            <w:proofErr w:type="spellEnd"/>
            <w:r w:rsidR="00E56D3A" w:rsidRPr="00610F77">
              <w:rPr>
                <w:i/>
              </w:rPr>
              <w:t xml:space="preserve"> syndrome (LGS) or </w:t>
            </w:r>
            <w:proofErr w:type="spellStart"/>
            <w:r w:rsidR="00E56D3A" w:rsidRPr="00610F77">
              <w:rPr>
                <w:i/>
              </w:rPr>
              <w:t>Dravet</w:t>
            </w:r>
            <w:proofErr w:type="spellEnd"/>
            <w:r w:rsidR="00E56D3A" w:rsidRPr="00610F77">
              <w:rPr>
                <w:i/>
              </w:rPr>
              <w:t xml:space="preserve"> syndrome (DS) in patients 2 years of age and older</w:t>
            </w:r>
          </w:p>
        </w:tc>
      </w:tr>
      <w:tr w:rsidR="0020555E" w14:paraId="05F6EF32" w14:textId="77777777" w:rsidTr="008A48B2">
        <w:tc>
          <w:tcPr>
            <w:tcW w:w="1523" w:type="dxa"/>
          </w:tcPr>
          <w:p w14:paraId="7C915D17" w14:textId="4AC11FCE" w:rsidR="00067F57" w:rsidRDefault="00067F57" w:rsidP="008A48B2">
            <w:pPr>
              <w:ind w:left="0"/>
            </w:pPr>
            <w:r>
              <w:t>Switzerland</w:t>
            </w:r>
          </w:p>
        </w:tc>
        <w:tc>
          <w:tcPr>
            <w:tcW w:w="2247" w:type="dxa"/>
          </w:tcPr>
          <w:p w14:paraId="6FAD26E0" w14:textId="62791928" w:rsidR="00067F57" w:rsidRDefault="00067F57" w:rsidP="008A48B2">
            <w:pPr>
              <w:ind w:left="0"/>
            </w:pPr>
            <w:r>
              <w:t xml:space="preserve">11 June 2019 </w:t>
            </w:r>
          </w:p>
        </w:tc>
        <w:tc>
          <w:tcPr>
            <w:tcW w:w="2070" w:type="dxa"/>
          </w:tcPr>
          <w:p w14:paraId="60B95263" w14:textId="09E9BF27" w:rsidR="00067F57" w:rsidRPr="00006FAB" w:rsidRDefault="00E56D3A" w:rsidP="008A48B2">
            <w:pPr>
              <w:ind w:left="0"/>
            </w:pPr>
            <w:r>
              <w:t xml:space="preserve">Preliminary </w:t>
            </w:r>
            <w:r w:rsidR="0020555E">
              <w:t>d</w:t>
            </w:r>
            <w:r>
              <w:t>ecision</w:t>
            </w:r>
            <w:r w:rsidR="0020555E">
              <w:t xml:space="preserve"> of approval</w:t>
            </w:r>
            <w:r>
              <w:t xml:space="preserve">: </w:t>
            </w:r>
            <w:r w:rsidR="00067F57">
              <w:t>on 1</w:t>
            </w:r>
            <w:r w:rsidR="00980CEA">
              <w:t> </w:t>
            </w:r>
            <w:r w:rsidR="00067F57">
              <w:t>May</w:t>
            </w:r>
            <w:r w:rsidR="00980CEA">
              <w:t> </w:t>
            </w:r>
            <w:r w:rsidR="00067F57">
              <w:t>2020</w:t>
            </w:r>
            <w:r w:rsidR="00D43FC7">
              <w:t xml:space="preserve"> (MAA under assessment)</w:t>
            </w:r>
          </w:p>
        </w:tc>
        <w:tc>
          <w:tcPr>
            <w:tcW w:w="3060" w:type="dxa"/>
          </w:tcPr>
          <w:p w14:paraId="409A9946" w14:textId="5DA36F6C" w:rsidR="00067F57" w:rsidRPr="00610F77" w:rsidRDefault="0020555E" w:rsidP="008A48B2">
            <w:pPr>
              <w:ind w:left="0"/>
              <w:rPr>
                <w:i/>
              </w:rPr>
            </w:pPr>
            <w:proofErr w:type="spellStart"/>
            <w:r w:rsidRPr="00610F77">
              <w:rPr>
                <w:i/>
              </w:rPr>
              <w:t>Epidyolex</w:t>
            </w:r>
            <w:proofErr w:type="spellEnd"/>
            <w:r w:rsidRPr="00610F77">
              <w:rPr>
                <w:i/>
              </w:rPr>
              <w:t xml:space="preserve"> is indicated for the a</w:t>
            </w:r>
            <w:r w:rsidR="00E56D3A" w:rsidRPr="00610F77">
              <w:rPr>
                <w:i/>
              </w:rPr>
              <w:t>djunctive therapy of seizures associated with Lennox-</w:t>
            </w:r>
            <w:proofErr w:type="spellStart"/>
            <w:r w:rsidR="00E56D3A" w:rsidRPr="00610F77">
              <w:rPr>
                <w:i/>
              </w:rPr>
              <w:t>Gastaut</w:t>
            </w:r>
            <w:proofErr w:type="spellEnd"/>
            <w:r w:rsidR="00E56D3A" w:rsidRPr="00610F77">
              <w:rPr>
                <w:i/>
              </w:rPr>
              <w:t xml:space="preserve"> syndrome (LGS) or </w:t>
            </w:r>
            <w:proofErr w:type="spellStart"/>
            <w:r w:rsidR="00E56D3A" w:rsidRPr="00610F77">
              <w:rPr>
                <w:i/>
              </w:rPr>
              <w:t>Dravet</w:t>
            </w:r>
            <w:proofErr w:type="spellEnd"/>
            <w:r w:rsidR="00E56D3A" w:rsidRPr="00610F77">
              <w:rPr>
                <w:i/>
              </w:rPr>
              <w:t xml:space="preserve"> syndrome (DS) in patients 2 years of age and older</w:t>
            </w:r>
            <w:r w:rsidR="004F647E" w:rsidRPr="00610F77">
              <w:rPr>
                <w:i/>
              </w:rPr>
              <w:t>*</w:t>
            </w:r>
          </w:p>
        </w:tc>
      </w:tr>
    </w:tbl>
    <w:p w14:paraId="6C88FE99" w14:textId="0FB059FB" w:rsidR="004F647E" w:rsidRDefault="004F647E" w:rsidP="004F647E">
      <w:pPr>
        <w:pStyle w:val="TableDescription"/>
      </w:pPr>
      <w:r>
        <w:t>*Submitted indication</w:t>
      </w:r>
      <w:r w:rsidR="00980CEA">
        <w:t>; MAA = Marketing authorisation application.</w:t>
      </w:r>
    </w:p>
    <w:p w14:paraId="1F3C61F9" w14:textId="12A55A61" w:rsidR="008E7846" w:rsidRDefault="008E7846" w:rsidP="00940A89">
      <w:pPr>
        <w:pStyle w:val="Heading3"/>
      </w:pPr>
      <w:bookmarkStart w:id="22" w:name="_Toc62725616"/>
      <w:r>
        <w:t>Product Information</w:t>
      </w:r>
      <w:bookmarkEnd w:id="20"/>
      <w:bookmarkEnd w:id="21"/>
      <w:bookmarkEnd w:id="22"/>
    </w:p>
    <w:p w14:paraId="6A874F3E" w14:textId="4DC25134" w:rsidR="00940A89" w:rsidRDefault="006136D7" w:rsidP="00D61FF2">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20" w:history="1">
        <w:r w:rsidR="00441C3F" w:rsidRPr="00441C3F">
          <w:rPr>
            <w:rStyle w:val="Hyperlink"/>
          </w:rPr>
          <w:t>https://www.tga.gov.au/product-information-pi</w:t>
        </w:r>
      </w:hyperlink>
      <w:r w:rsidR="00441C3F">
        <w:t>&gt;</w:t>
      </w:r>
      <w:r w:rsidR="00940A89" w:rsidRPr="00940A89">
        <w:t>.</w:t>
      </w:r>
    </w:p>
    <w:p w14:paraId="38D0FCA5" w14:textId="77777777" w:rsidR="00500337" w:rsidRDefault="00500337" w:rsidP="00500337">
      <w:pPr>
        <w:pStyle w:val="Heading2"/>
      </w:pPr>
      <w:bookmarkStart w:id="25" w:name="_Toc504480011"/>
      <w:bookmarkStart w:id="26" w:name="_Toc62725617"/>
      <w:r>
        <w:t>II. Registration timeline</w:t>
      </w:r>
      <w:bookmarkEnd w:id="25"/>
      <w:bookmarkEnd w:id="26"/>
    </w:p>
    <w:p w14:paraId="44790EFF" w14:textId="77777777" w:rsidR="00500337" w:rsidRDefault="00500337" w:rsidP="00D61FF2">
      <w:r>
        <w:t>The following table captures the key steps and dates for this application and which are detailed and discussed in this AusPAR.</w:t>
      </w:r>
    </w:p>
    <w:p w14:paraId="7C70ED29" w14:textId="3568D9C0" w:rsidR="00500337" w:rsidRDefault="00080809" w:rsidP="00080809">
      <w:pPr>
        <w:pStyle w:val="TableTitle"/>
      </w:pPr>
      <w:r>
        <w:t xml:space="preserve">Table </w:t>
      </w:r>
      <w:r>
        <w:fldChar w:fldCharType="begin"/>
      </w:r>
      <w:r>
        <w:instrText>SEQ Table \* ARABIC</w:instrText>
      </w:r>
      <w:r>
        <w:fldChar w:fldCharType="separate"/>
      </w:r>
      <w:r w:rsidR="00E0078F">
        <w:rPr>
          <w:noProof/>
        </w:rPr>
        <w:t>2</w:t>
      </w:r>
      <w:r>
        <w:fldChar w:fldCharType="end"/>
      </w:r>
      <w:r>
        <w:t xml:space="preserve"> </w:t>
      </w:r>
      <w:r w:rsidR="00006FAB">
        <w:t>:</w:t>
      </w:r>
      <w:r w:rsidR="006A58A8" w:rsidRPr="006A58A8">
        <w:t xml:space="preserve"> Timeline for Submission PM-20</w:t>
      </w:r>
      <w:r w:rsidR="006C48A1">
        <w:t>20-00157-1-1</w:t>
      </w:r>
    </w:p>
    <w:tbl>
      <w:tblPr>
        <w:tblStyle w:val="TableTGAblue"/>
        <w:tblW w:w="0" w:type="auto"/>
        <w:tblLook w:val="04A0" w:firstRow="1" w:lastRow="0" w:firstColumn="1" w:lastColumn="0" w:noHBand="0" w:noVBand="1"/>
      </w:tblPr>
      <w:tblGrid>
        <w:gridCol w:w="5660"/>
        <w:gridCol w:w="2824"/>
      </w:tblGrid>
      <w:tr w:rsidR="00500337" w14:paraId="7985D061" w14:textId="77777777" w:rsidTr="002C043B">
        <w:trPr>
          <w:cnfStyle w:val="100000000000" w:firstRow="1" w:lastRow="0" w:firstColumn="0" w:lastColumn="0" w:oddVBand="0" w:evenVBand="0" w:oddHBand="0" w:evenHBand="0" w:firstRowFirstColumn="0" w:firstRowLastColumn="0" w:lastRowFirstColumn="0" w:lastRowLastColumn="0"/>
        </w:trPr>
        <w:tc>
          <w:tcPr>
            <w:tcW w:w="5660" w:type="dxa"/>
          </w:tcPr>
          <w:p w14:paraId="13472633" w14:textId="77777777" w:rsidR="00500337" w:rsidRPr="00610F77" w:rsidRDefault="00500337" w:rsidP="00D61FF2">
            <w:pPr>
              <w:rPr>
                <w:szCs w:val="22"/>
              </w:rPr>
            </w:pPr>
            <w:r w:rsidRPr="00610F77">
              <w:rPr>
                <w:szCs w:val="22"/>
              </w:rPr>
              <w:t>Description</w:t>
            </w:r>
          </w:p>
        </w:tc>
        <w:tc>
          <w:tcPr>
            <w:tcW w:w="2824" w:type="dxa"/>
          </w:tcPr>
          <w:p w14:paraId="2B912003" w14:textId="77777777" w:rsidR="00500337" w:rsidRPr="00610F77" w:rsidRDefault="00500337" w:rsidP="00D61FF2">
            <w:pPr>
              <w:rPr>
                <w:szCs w:val="22"/>
              </w:rPr>
            </w:pPr>
            <w:r w:rsidRPr="00610F77">
              <w:rPr>
                <w:szCs w:val="22"/>
              </w:rPr>
              <w:t>Date</w:t>
            </w:r>
          </w:p>
        </w:tc>
      </w:tr>
      <w:tr w:rsidR="00500337" w14:paraId="5E7E4EDD" w14:textId="77777777" w:rsidTr="002C043B">
        <w:tc>
          <w:tcPr>
            <w:tcW w:w="5660" w:type="dxa"/>
          </w:tcPr>
          <w:p w14:paraId="5CCB3AA1" w14:textId="113CB641" w:rsidR="00500337" w:rsidRDefault="005C1C5B" w:rsidP="00D61FF2">
            <w:pPr>
              <w:rPr>
                <w:szCs w:val="22"/>
              </w:rPr>
            </w:pPr>
            <w:r>
              <w:rPr>
                <w:szCs w:val="22"/>
              </w:rPr>
              <w:t xml:space="preserve">Designation: </w:t>
            </w:r>
            <w:r w:rsidR="00500337" w:rsidRPr="00610F77">
              <w:rPr>
                <w:szCs w:val="22"/>
              </w:rPr>
              <w:t>Orphan</w:t>
            </w:r>
            <w:r w:rsidR="0057379E">
              <w:rPr>
                <w:szCs w:val="22"/>
              </w:rPr>
              <w:t>;</w:t>
            </w:r>
            <w:r w:rsidR="00D85880" w:rsidRPr="00610F77">
              <w:rPr>
                <w:rStyle w:val="FootnoteReference"/>
                <w:szCs w:val="22"/>
              </w:rPr>
              <w:footnoteReference w:id="4"/>
            </w:r>
          </w:p>
          <w:p w14:paraId="1D980969" w14:textId="415B95A6" w:rsidR="0057379E" w:rsidRPr="00610F77" w:rsidRDefault="005C1C5B" w:rsidP="00D61FF2">
            <w:pPr>
              <w:rPr>
                <w:szCs w:val="22"/>
              </w:rPr>
            </w:pPr>
            <w:r>
              <w:rPr>
                <w:szCs w:val="22"/>
              </w:rPr>
              <w:t xml:space="preserve">Designation: </w:t>
            </w:r>
            <w:r w:rsidR="0057379E">
              <w:rPr>
                <w:szCs w:val="22"/>
              </w:rPr>
              <w:t>Priority</w:t>
            </w:r>
            <w:r w:rsidR="00980CEA">
              <w:rPr>
                <w:szCs w:val="22"/>
              </w:rPr>
              <w:t>;</w:t>
            </w:r>
            <w:r w:rsidR="00980CEA">
              <w:rPr>
                <w:rStyle w:val="FootnoteReference"/>
                <w:szCs w:val="22"/>
              </w:rPr>
              <w:footnoteReference w:id="5"/>
            </w:r>
          </w:p>
        </w:tc>
        <w:tc>
          <w:tcPr>
            <w:tcW w:w="2824" w:type="dxa"/>
          </w:tcPr>
          <w:p w14:paraId="77DAF502" w14:textId="30ED2288" w:rsidR="00500337" w:rsidRPr="00980CEA" w:rsidRDefault="0057379E" w:rsidP="008A48B2">
            <w:r w:rsidRPr="00980CEA">
              <w:t>22 November</w:t>
            </w:r>
            <w:r w:rsidR="006C48A1" w:rsidRPr="00980CEA">
              <w:t xml:space="preserve"> 2019</w:t>
            </w:r>
          </w:p>
          <w:p w14:paraId="6CADB179" w14:textId="7AC1537A" w:rsidR="0057379E" w:rsidRPr="00610F77" w:rsidRDefault="0057379E" w:rsidP="008A48B2">
            <w:r w:rsidRPr="00980CEA">
              <w:t>18 December 2019</w:t>
            </w:r>
          </w:p>
        </w:tc>
      </w:tr>
      <w:tr w:rsidR="00500337" w14:paraId="72CD6801" w14:textId="77777777" w:rsidTr="002C043B">
        <w:tc>
          <w:tcPr>
            <w:tcW w:w="5660" w:type="dxa"/>
          </w:tcPr>
          <w:p w14:paraId="2EA4614F" w14:textId="77777777" w:rsidR="00500337" w:rsidRPr="00610F77" w:rsidRDefault="00500337" w:rsidP="00D61FF2">
            <w:pPr>
              <w:rPr>
                <w:szCs w:val="22"/>
              </w:rPr>
            </w:pPr>
            <w:r w:rsidRPr="00610F77">
              <w:rPr>
                <w:szCs w:val="22"/>
              </w:rPr>
              <w:t>Submission dossier accepted and first round evaluation commenced</w:t>
            </w:r>
          </w:p>
        </w:tc>
        <w:tc>
          <w:tcPr>
            <w:tcW w:w="2824" w:type="dxa"/>
          </w:tcPr>
          <w:p w14:paraId="7335D230" w14:textId="77777777" w:rsidR="00500337" w:rsidRPr="00610F77" w:rsidRDefault="00086BB8" w:rsidP="00D61FF2">
            <w:pPr>
              <w:rPr>
                <w:szCs w:val="22"/>
              </w:rPr>
            </w:pPr>
            <w:r w:rsidRPr="00610F77">
              <w:rPr>
                <w:szCs w:val="22"/>
              </w:rPr>
              <w:t>28 February 2020</w:t>
            </w:r>
          </w:p>
        </w:tc>
      </w:tr>
      <w:tr w:rsidR="00500337" w14:paraId="7D6261EA" w14:textId="77777777" w:rsidTr="002C043B">
        <w:tc>
          <w:tcPr>
            <w:tcW w:w="5660" w:type="dxa"/>
          </w:tcPr>
          <w:p w14:paraId="3562F711" w14:textId="7301B6C0" w:rsidR="00500337" w:rsidRPr="00610F77" w:rsidRDefault="00080809" w:rsidP="00D61FF2">
            <w:pPr>
              <w:rPr>
                <w:szCs w:val="22"/>
              </w:rPr>
            </w:pPr>
            <w:r>
              <w:rPr>
                <w:szCs w:val="22"/>
              </w:rPr>
              <w:t>E</w:t>
            </w:r>
            <w:r w:rsidR="00500337" w:rsidRPr="00610F77">
              <w:rPr>
                <w:szCs w:val="22"/>
              </w:rPr>
              <w:t>valuation completed</w:t>
            </w:r>
          </w:p>
        </w:tc>
        <w:tc>
          <w:tcPr>
            <w:tcW w:w="2824" w:type="dxa"/>
          </w:tcPr>
          <w:p w14:paraId="30AD249D" w14:textId="77777777" w:rsidR="00500337" w:rsidRPr="00610F77" w:rsidRDefault="00086BB8" w:rsidP="00D61FF2">
            <w:pPr>
              <w:rPr>
                <w:szCs w:val="22"/>
              </w:rPr>
            </w:pPr>
            <w:r w:rsidRPr="00610F77">
              <w:rPr>
                <w:szCs w:val="22"/>
              </w:rPr>
              <w:t>6 July 2020</w:t>
            </w:r>
          </w:p>
        </w:tc>
      </w:tr>
      <w:tr w:rsidR="00500337" w14:paraId="46A0208C" w14:textId="77777777" w:rsidTr="002C043B">
        <w:tc>
          <w:tcPr>
            <w:tcW w:w="5660" w:type="dxa"/>
          </w:tcPr>
          <w:p w14:paraId="425347C4" w14:textId="77777777" w:rsidR="00500337" w:rsidRPr="00610F77" w:rsidRDefault="00500337" w:rsidP="00D61FF2">
            <w:pPr>
              <w:rPr>
                <w:szCs w:val="22"/>
              </w:rPr>
            </w:pPr>
            <w:r w:rsidRPr="00610F77">
              <w:rPr>
                <w:szCs w:val="22"/>
              </w:rPr>
              <w:t>Delegate’s Overall benefit-risk assessment and request for Advisory Committee advice</w:t>
            </w:r>
          </w:p>
        </w:tc>
        <w:tc>
          <w:tcPr>
            <w:tcW w:w="2824" w:type="dxa"/>
          </w:tcPr>
          <w:p w14:paraId="0FF50A7D" w14:textId="77777777" w:rsidR="00500337" w:rsidRPr="00610F77" w:rsidRDefault="00086BB8" w:rsidP="00D61FF2">
            <w:pPr>
              <w:rPr>
                <w:szCs w:val="22"/>
              </w:rPr>
            </w:pPr>
            <w:r w:rsidRPr="00610F77">
              <w:rPr>
                <w:szCs w:val="22"/>
              </w:rPr>
              <w:t>7 July 2020</w:t>
            </w:r>
          </w:p>
        </w:tc>
      </w:tr>
      <w:tr w:rsidR="00500337" w14:paraId="04E5626A" w14:textId="77777777" w:rsidTr="002C043B">
        <w:tc>
          <w:tcPr>
            <w:tcW w:w="5660" w:type="dxa"/>
          </w:tcPr>
          <w:p w14:paraId="080D6B1C" w14:textId="77777777" w:rsidR="00500337" w:rsidRPr="00610F77" w:rsidRDefault="00500337" w:rsidP="00D61FF2">
            <w:pPr>
              <w:rPr>
                <w:szCs w:val="22"/>
              </w:rPr>
            </w:pPr>
            <w:r w:rsidRPr="00610F77">
              <w:rPr>
                <w:szCs w:val="22"/>
              </w:rPr>
              <w:t>Sponsor’s pre-Advisory Committee response</w:t>
            </w:r>
          </w:p>
        </w:tc>
        <w:tc>
          <w:tcPr>
            <w:tcW w:w="2824" w:type="dxa"/>
          </w:tcPr>
          <w:p w14:paraId="05D2D942" w14:textId="77777777" w:rsidR="00500337" w:rsidRPr="00610F77" w:rsidRDefault="00086BB8" w:rsidP="00D61FF2">
            <w:pPr>
              <w:rPr>
                <w:szCs w:val="22"/>
              </w:rPr>
            </w:pPr>
            <w:r w:rsidRPr="00610F77">
              <w:rPr>
                <w:szCs w:val="22"/>
              </w:rPr>
              <w:t>21 July 2020</w:t>
            </w:r>
          </w:p>
        </w:tc>
      </w:tr>
      <w:tr w:rsidR="00500337" w14:paraId="450CFEC5" w14:textId="77777777" w:rsidTr="002C043B">
        <w:tc>
          <w:tcPr>
            <w:tcW w:w="5660" w:type="dxa"/>
          </w:tcPr>
          <w:p w14:paraId="6EFD4124" w14:textId="77777777" w:rsidR="00500337" w:rsidRPr="00610F77" w:rsidRDefault="00500337" w:rsidP="00D61FF2">
            <w:pPr>
              <w:rPr>
                <w:szCs w:val="22"/>
              </w:rPr>
            </w:pPr>
            <w:r w:rsidRPr="00610F77">
              <w:rPr>
                <w:szCs w:val="22"/>
              </w:rPr>
              <w:t>Advisory Committee meeting</w:t>
            </w:r>
          </w:p>
        </w:tc>
        <w:tc>
          <w:tcPr>
            <w:tcW w:w="2824" w:type="dxa"/>
          </w:tcPr>
          <w:p w14:paraId="04B8EA9B" w14:textId="3F75BDC2" w:rsidR="00500337" w:rsidRPr="00610F77" w:rsidRDefault="00086BB8" w:rsidP="00D61FF2">
            <w:pPr>
              <w:rPr>
                <w:szCs w:val="22"/>
              </w:rPr>
            </w:pPr>
            <w:r w:rsidRPr="00610F77">
              <w:rPr>
                <w:szCs w:val="22"/>
              </w:rPr>
              <w:t xml:space="preserve">6 </w:t>
            </w:r>
            <w:r w:rsidR="00080809">
              <w:rPr>
                <w:szCs w:val="22"/>
              </w:rPr>
              <w:t xml:space="preserve">and 7 </w:t>
            </w:r>
            <w:r w:rsidR="006C48A1" w:rsidRPr="00610F77">
              <w:rPr>
                <w:szCs w:val="22"/>
              </w:rPr>
              <w:t>August 2020</w:t>
            </w:r>
          </w:p>
        </w:tc>
      </w:tr>
      <w:tr w:rsidR="00500337" w14:paraId="6D0C9B14" w14:textId="77777777" w:rsidTr="002C043B">
        <w:tc>
          <w:tcPr>
            <w:tcW w:w="5660" w:type="dxa"/>
          </w:tcPr>
          <w:p w14:paraId="1E96A9D4" w14:textId="77777777" w:rsidR="00500337" w:rsidRPr="00610F77" w:rsidRDefault="00500337" w:rsidP="00D61FF2">
            <w:pPr>
              <w:rPr>
                <w:szCs w:val="22"/>
              </w:rPr>
            </w:pPr>
            <w:r w:rsidRPr="00610F77">
              <w:rPr>
                <w:szCs w:val="22"/>
              </w:rPr>
              <w:t>Registration decision (Outcome)</w:t>
            </w:r>
          </w:p>
        </w:tc>
        <w:tc>
          <w:tcPr>
            <w:tcW w:w="2824" w:type="dxa"/>
          </w:tcPr>
          <w:p w14:paraId="14FDF0D3" w14:textId="77777777" w:rsidR="00500337" w:rsidRPr="00610F77" w:rsidRDefault="00086BB8" w:rsidP="00D61FF2">
            <w:pPr>
              <w:rPr>
                <w:szCs w:val="22"/>
              </w:rPr>
            </w:pPr>
            <w:r w:rsidRPr="00610F77">
              <w:rPr>
                <w:szCs w:val="22"/>
              </w:rPr>
              <w:t>18 September 2020</w:t>
            </w:r>
          </w:p>
        </w:tc>
      </w:tr>
      <w:tr w:rsidR="00500337" w14:paraId="548FC1A3" w14:textId="77777777" w:rsidTr="002C043B">
        <w:tc>
          <w:tcPr>
            <w:tcW w:w="5660" w:type="dxa"/>
          </w:tcPr>
          <w:p w14:paraId="17A63299" w14:textId="77777777" w:rsidR="00500337" w:rsidRPr="00610F77" w:rsidRDefault="00500337" w:rsidP="00D61FF2">
            <w:pPr>
              <w:rPr>
                <w:szCs w:val="22"/>
              </w:rPr>
            </w:pPr>
            <w:r w:rsidRPr="00610F77">
              <w:rPr>
                <w:szCs w:val="22"/>
              </w:rPr>
              <w:t xml:space="preserve">Completion of administrative activities and registration on </w:t>
            </w:r>
            <w:r w:rsidR="00006FAB" w:rsidRPr="00610F77">
              <w:rPr>
                <w:szCs w:val="22"/>
              </w:rPr>
              <w:t xml:space="preserve">the </w:t>
            </w:r>
            <w:r w:rsidRPr="00610F77">
              <w:rPr>
                <w:szCs w:val="22"/>
              </w:rPr>
              <w:t>ARTG</w:t>
            </w:r>
          </w:p>
        </w:tc>
        <w:tc>
          <w:tcPr>
            <w:tcW w:w="2824" w:type="dxa"/>
          </w:tcPr>
          <w:p w14:paraId="5DEFD373" w14:textId="77777777" w:rsidR="00500337" w:rsidRPr="00610F77" w:rsidRDefault="00086BB8" w:rsidP="00D61FF2">
            <w:pPr>
              <w:rPr>
                <w:szCs w:val="22"/>
              </w:rPr>
            </w:pPr>
            <w:r w:rsidRPr="00610F77">
              <w:rPr>
                <w:szCs w:val="22"/>
              </w:rPr>
              <w:t>21 September 2020</w:t>
            </w:r>
          </w:p>
        </w:tc>
      </w:tr>
      <w:tr w:rsidR="00500337" w14:paraId="038A5847" w14:textId="77777777" w:rsidTr="002C043B">
        <w:tc>
          <w:tcPr>
            <w:tcW w:w="5660" w:type="dxa"/>
          </w:tcPr>
          <w:p w14:paraId="2A046268" w14:textId="77777777" w:rsidR="00500337" w:rsidRPr="00610F77" w:rsidRDefault="00500337" w:rsidP="00D61FF2">
            <w:pPr>
              <w:rPr>
                <w:szCs w:val="22"/>
              </w:rPr>
            </w:pPr>
            <w:r w:rsidRPr="00610F77">
              <w:rPr>
                <w:szCs w:val="22"/>
              </w:rPr>
              <w:t>Number of working days from submission dossier acceptance to registration decision*</w:t>
            </w:r>
          </w:p>
        </w:tc>
        <w:tc>
          <w:tcPr>
            <w:tcW w:w="2824" w:type="dxa"/>
          </w:tcPr>
          <w:p w14:paraId="0540019B" w14:textId="77777777" w:rsidR="00500337" w:rsidRPr="00610F77" w:rsidRDefault="00086BB8" w:rsidP="00D61FF2">
            <w:pPr>
              <w:rPr>
                <w:szCs w:val="22"/>
              </w:rPr>
            </w:pPr>
            <w:r w:rsidRPr="00610F77">
              <w:rPr>
                <w:szCs w:val="22"/>
              </w:rPr>
              <w:t>140</w:t>
            </w:r>
          </w:p>
        </w:tc>
      </w:tr>
    </w:tbl>
    <w:p w14:paraId="746EDE9D" w14:textId="77777777" w:rsidR="004C5B16" w:rsidRDefault="00080809" w:rsidP="00080809">
      <w:pPr>
        <w:pStyle w:val="TableDescription"/>
      </w:pPr>
      <w:r w:rsidRPr="00387461">
        <w:t>*Target timeframe for priority applications is 150 working days from acceptance for evaluation to the decision.</w:t>
      </w:r>
    </w:p>
    <w:p w14:paraId="79191E02" w14:textId="51779A7F" w:rsidR="008E7846" w:rsidRPr="00792A32" w:rsidRDefault="00456765" w:rsidP="005E733C">
      <w:pPr>
        <w:pStyle w:val="Heading2"/>
      </w:pPr>
      <w:bookmarkStart w:id="27" w:name="_Toc196046504"/>
      <w:bookmarkStart w:id="28" w:name="_Toc247691527"/>
      <w:bookmarkStart w:id="29" w:name="_Toc314842510"/>
      <w:bookmarkStart w:id="30" w:name="_Toc163441390"/>
      <w:bookmarkStart w:id="31" w:name="_Toc62725618"/>
      <w:bookmarkEnd w:id="23"/>
      <w:bookmarkEnd w:id="24"/>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1"/>
    </w:p>
    <w:p w14:paraId="53A11E19" w14:textId="77777777" w:rsidR="00006FAB" w:rsidRDefault="00006FAB" w:rsidP="00AE3C16">
      <w:pPr>
        <w:keepNext/>
      </w:pPr>
      <w:bookmarkStart w:id="32" w:name="_Toc247691528"/>
      <w:r>
        <w:t>The submission was summarised in the following Delegate’s overview and recommendations.</w:t>
      </w:r>
    </w:p>
    <w:p w14:paraId="7F22ADBF" w14:textId="7D0729A8" w:rsidR="00E614EA" w:rsidRDefault="00503D2B" w:rsidP="00503D2B">
      <w:pPr>
        <w:pStyle w:val="Heading3"/>
      </w:pPr>
      <w:bookmarkStart w:id="33" w:name="_Toc62725619"/>
      <w:r>
        <w:t>Gu</w:t>
      </w:r>
      <w:r w:rsidR="00E614EA">
        <w:t>idance used</w:t>
      </w:r>
      <w:bookmarkEnd w:id="33"/>
    </w:p>
    <w:p w14:paraId="70706734" w14:textId="28026C4D" w:rsidR="00E614EA" w:rsidRDefault="00E614EA" w:rsidP="00D61FF2">
      <w:r>
        <w:t xml:space="preserve">The major efficacy studies in this submission complied with most aspects the European Medicines Agency (EMA) Guideline on Clinical </w:t>
      </w:r>
      <w:r w:rsidR="005E733C">
        <w:t>investigation of medicinal products in the treatment of epileptic disorders</w:t>
      </w:r>
      <w:r w:rsidR="0057379E">
        <w:t>.</w:t>
      </w:r>
      <w:bookmarkStart w:id="34" w:name="_Ref57715635"/>
      <w:r w:rsidR="00503D2B">
        <w:rPr>
          <w:rStyle w:val="FootnoteReference"/>
        </w:rPr>
        <w:footnoteReference w:id="6"/>
      </w:r>
      <w:bookmarkEnd w:id="34"/>
      <w:r w:rsidR="00482E51">
        <w:t>. The s</w:t>
      </w:r>
      <w:r>
        <w:t>ponsor also incorporated advice from the US Food and Drug Administration (FDA), t</w:t>
      </w:r>
      <w:r w:rsidR="00503D2B">
        <w:t>he EMA, and other expert panels.</w:t>
      </w:r>
    </w:p>
    <w:p w14:paraId="1B465CF4" w14:textId="77777777" w:rsidR="001374A9" w:rsidRDefault="00E614EA" w:rsidP="00D61FF2">
      <w:r>
        <w:t>One critical issue highlighted by the clinical evaluator is with regards to E</w:t>
      </w:r>
      <w:r w:rsidR="00206F3F">
        <w:t>U guidance on add on studies:</w:t>
      </w:r>
    </w:p>
    <w:p w14:paraId="2334289C" w14:textId="611987EE" w:rsidR="00E614EA" w:rsidRDefault="00206F3F" w:rsidP="00610F77">
      <w:pPr>
        <w:ind w:left="720"/>
      </w:pPr>
      <w:r>
        <w:t>‘</w:t>
      </w:r>
      <w:r w:rsidR="003A0051">
        <w:t xml:space="preserve">… add </w:t>
      </w:r>
      <w:r w:rsidR="00E614EA">
        <w:t>on trials should be conducted optimally in the presence of only one or two pre-existing AEDs, which plasma levels are kept stable within appropriate limits. Plasma monitoring of concomitant AEDs and test agent is required to exclude interference of PK intera</w:t>
      </w:r>
      <w:r>
        <w:t>ction with the treatment effect’.</w:t>
      </w:r>
      <w:r w:rsidR="001374A9">
        <w:fldChar w:fldCharType="begin"/>
      </w:r>
      <w:r w:rsidR="001374A9">
        <w:instrText xml:space="preserve"> NOTEREF _Ref57715635 \f \h </w:instrText>
      </w:r>
      <w:r w:rsidR="001374A9">
        <w:fldChar w:fldCharType="separate"/>
      </w:r>
      <w:r w:rsidR="00E0078F" w:rsidRPr="00E0078F">
        <w:rPr>
          <w:rStyle w:val="FootnoteReference"/>
        </w:rPr>
        <w:t>5</w:t>
      </w:r>
      <w:r w:rsidR="001374A9">
        <w:fldChar w:fldCharType="end"/>
      </w:r>
    </w:p>
    <w:p w14:paraId="2EDDBD93" w14:textId="0787C48E" w:rsidR="00E614EA" w:rsidRPr="00E614EA" w:rsidRDefault="00E614EA" w:rsidP="00D61FF2">
      <w:r>
        <w:t xml:space="preserve">There is good evidence from the submitted pharmacokinetic (PK) studies and from population-PK analyses based on the efficacy studies, that concurrent CBD-OS and </w:t>
      </w:r>
      <w:proofErr w:type="spellStart"/>
      <w:r w:rsidR="005E733C">
        <w:t>clobazam</w:t>
      </w:r>
      <w:proofErr w:type="spellEnd"/>
      <w:r w:rsidR="005E733C">
        <w:t xml:space="preserve"> (</w:t>
      </w:r>
      <w:r w:rsidR="008F2075">
        <w:t>CLB</w:t>
      </w:r>
      <w:r w:rsidR="005E733C">
        <w:t>)</w:t>
      </w:r>
      <w:r>
        <w:t xml:space="preserve"> treatment</w:t>
      </w:r>
      <w:r w:rsidR="00206F3F">
        <w:t xml:space="preserve"> increases exposure to </w:t>
      </w:r>
      <w:r w:rsidR="003A0051">
        <w:t>CLB</w:t>
      </w:r>
      <w:r>
        <w:t xml:space="preserve"> and N-</w:t>
      </w:r>
      <w:proofErr w:type="spellStart"/>
      <w:r>
        <w:t>desmethylclobazam</w:t>
      </w:r>
      <w:proofErr w:type="spellEnd"/>
      <w:r>
        <w:t xml:space="preserve"> (N-CLB), relative to </w:t>
      </w:r>
      <w:r w:rsidR="00206F3F">
        <w:t>CLB</w:t>
      </w:r>
      <w:r>
        <w:t xml:space="preserve"> alone.</w:t>
      </w:r>
    </w:p>
    <w:p w14:paraId="01EFC477" w14:textId="77777777" w:rsidR="008E7846" w:rsidRDefault="008E7846" w:rsidP="008E7846">
      <w:pPr>
        <w:pStyle w:val="Heading3"/>
      </w:pPr>
      <w:bookmarkStart w:id="35" w:name="_Toc314842511"/>
      <w:bookmarkStart w:id="36" w:name="_Toc62725620"/>
      <w:r>
        <w:t>Quality</w:t>
      </w:r>
      <w:bookmarkEnd w:id="32"/>
      <w:bookmarkEnd w:id="35"/>
      <w:bookmarkEnd w:id="36"/>
    </w:p>
    <w:p w14:paraId="501EFB02" w14:textId="16B06BE2" w:rsidR="00E614EA" w:rsidRDefault="00FB2798" w:rsidP="00D61FF2">
      <w:proofErr w:type="spellStart"/>
      <w:r>
        <w:t>Epidyolex</w:t>
      </w:r>
      <w:proofErr w:type="spellEnd"/>
      <w:r>
        <w:t xml:space="preserve"> is a colourless to yellow non aqueous, </w:t>
      </w:r>
      <w:proofErr w:type="spellStart"/>
      <w:r>
        <w:t xml:space="preserve">non </w:t>
      </w:r>
      <w:r w:rsidR="00E614EA">
        <w:t>sterile</w:t>
      </w:r>
      <w:proofErr w:type="spellEnd"/>
      <w:r w:rsidR="00E614EA">
        <w:t>, oral solution containing 100</w:t>
      </w:r>
      <w:r w:rsidR="001374A9">
        <w:t> </w:t>
      </w:r>
      <w:r w:rsidR="00E614EA">
        <w:t xml:space="preserve">mg/mL </w:t>
      </w:r>
      <w:r>
        <w:t>CBD.</w:t>
      </w:r>
      <w:r w:rsidR="00E614EA">
        <w:t xml:space="preserve"> Each </w:t>
      </w:r>
      <w:r>
        <w:t xml:space="preserve">mL </w:t>
      </w:r>
      <w:r w:rsidR="00E614EA">
        <w:t xml:space="preserve">of the oral solution contains 100 mg of </w:t>
      </w:r>
      <w:r>
        <w:t>CBD.</w:t>
      </w:r>
      <w:r w:rsidR="00E614EA">
        <w:t xml:space="preserve"> The proposed product is packaged in a 105 mL amber glass (Type</w:t>
      </w:r>
      <w:r>
        <w:t xml:space="preserve"> III) bottle with a white child </w:t>
      </w:r>
      <w:r w:rsidR="00E614EA">
        <w:t xml:space="preserve">resistant polypropylene cap with a </w:t>
      </w:r>
      <w:r w:rsidR="00C201DD">
        <w:t xml:space="preserve">low </w:t>
      </w:r>
      <w:r w:rsidR="00135484">
        <w:t>density polyethylene</w:t>
      </w:r>
      <w:r w:rsidR="00E614EA">
        <w:t xml:space="preserve"> tamper evident transparent ring.</w:t>
      </w:r>
    </w:p>
    <w:p w14:paraId="4F02D1A6" w14:textId="3164A272" w:rsidR="004C5B16" w:rsidRDefault="00E614EA" w:rsidP="00D61FF2">
      <w:r>
        <w:t xml:space="preserve">The </w:t>
      </w:r>
      <w:r w:rsidR="00135484">
        <w:t xml:space="preserve">CBD </w:t>
      </w:r>
      <w:r>
        <w:t xml:space="preserve">drug substance is fully dissolved in a sesame oil carrier solvent. In order to improve the palatability of the oral liquid solution, sucralose was included in the formulation as a sweetener, as well as a proprietary strawberry flavour to improve the taste of the formulation. However, as sucralose is not </w:t>
      </w:r>
      <w:r w:rsidR="00611B27">
        <w:t xml:space="preserve">soluble in sesame oil, ethanol at </w:t>
      </w:r>
      <w:r>
        <w:t>10%</w:t>
      </w:r>
      <w:r w:rsidR="001374A9">
        <w:t> </w:t>
      </w:r>
      <w:r w:rsidR="005E733C">
        <w:t>volume</w:t>
      </w:r>
      <w:r w:rsidR="00AE3C16">
        <w:t xml:space="preserve"> per </w:t>
      </w:r>
      <w:r w:rsidR="005E733C">
        <w:t>volume (</w:t>
      </w:r>
      <w:r>
        <w:t>v/v</w:t>
      </w:r>
      <w:r w:rsidR="005E733C">
        <w:t>)</w:t>
      </w:r>
      <w:r>
        <w:t xml:space="preserve"> was required to solubilise the excipient in the drug product formulation</w:t>
      </w:r>
      <w:r w:rsidR="004C5B16">
        <w:t>.</w:t>
      </w:r>
    </w:p>
    <w:p w14:paraId="6F85A977" w14:textId="7F6B35FB" w:rsidR="00E614EA" w:rsidRDefault="00135484" w:rsidP="00D61FF2">
      <w:r>
        <w:t>The s</w:t>
      </w:r>
      <w:r w:rsidR="00E614EA">
        <w:t>ponsor provided results from a ‘palatability feedback’ clinical trial which concluded that at 35.7% of the population tested, the formulation was ‘neither liked nor disliked’, which indicated that the formulation is acceptable to the target paediatric population, but not overly attractive to children (</w:t>
      </w:r>
      <w:r w:rsidR="00066AE6">
        <w:t xml:space="preserve">that is, </w:t>
      </w:r>
      <w:r w:rsidR="00E614EA">
        <w:t xml:space="preserve">candy like). This assertion is supported by the 16.1% response that the formulation was ‘not liked at all’, compared to the placebo product at 1.8% of the </w:t>
      </w:r>
      <w:r w:rsidR="001C6381">
        <w:t xml:space="preserve">61 children </w:t>
      </w:r>
      <w:r w:rsidR="00E614EA">
        <w:t>tested.</w:t>
      </w:r>
    </w:p>
    <w:p w14:paraId="1D61CE11" w14:textId="77777777" w:rsidR="004C5B16" w:rsidRDefault="00E614EA" w:rsidP="00D61FF2">
      <w:r>
        <w:t>The manufacturing process is well documented, optimised and validated to ensure a drug product of reproducible quality at a commercial scale</w:t>
      </w:r>
      <w:r w:rsidR="004C5B16">
        <w:t>.</w:t>
      </w:r>
    </w:p>
    <w:p w14:paraId="2B82FDFF" w14:textId="77777777" w:rsidR="004C5B16" w:rsidRDefault="00E614EA" w:rsidP="00D61FF2">
      <w:r>
        <w:t xml:space="preserve">The drug product is manufactured </w:t>
      </w:r>
      <w:r w:rsidR="001C6381">
        <w:t>in the United Kingdom</w:t>
      </w:r>
      <w:r>
        <w:t xml:space="preserve">. </w:t>
      </w:r>
      <w:r w:rsidR="001C6381">
        <w:t>Good Manufacturing Practice (</w:t>
      </w:r>
      <w:r>
        <w:t>GMP</w:t>
      </w:r>
      <w:r w:rsidR="001C6381">
        <w:t>)</w:t>
      </w:r>
      <w:r>
        <w:t xml:space="preserve"> clearances for the drug substance and drug product manufacturing sites are all current and valid past the expected decision date for the submission</w:t>
      </w:r>
      <w:r w:rsidR="004C5B16">
        <w:t>.</w:t>
      </w:r>
    </w:p>
    <w:p w14:paraId="01139E19" w14:textId="562A5569" w:rsidR="00E614EA" w:rsidRDefault="00E614EA" w:rsidP="002C043B">
      <w:pPr>
        <w:pageBreakBefore/>
      </w:pPr>
      <w:r>
        <w:t>The quality of the drug product is controlled by an acceptable specification that</w:t>
      </w:r>
      <w:r w:rsidR="001C6381">
        <w:t xml:space="preserve"> includes tests and limits for a</w:t>
      </w:r>
      <w:r>
        <w:t xml:space="preserve">ppearance and colour of solution, </w:t>
      </w:r>
      <w:r w:rsidR="00974D28">
        <w:t>i</w:t>
      </w:r>
      <w:r>
        <w:t>dentification (</w:t>
      </w:r>
      <w:r w:rsidR="00974D28">
        <w:t>infrared and ultra</w:t>
      </w:r>
      <w:r w:rsidR="002C043B">
        <w:t xml:space="preserve"> </w:t>
      </w:r>
      <w:r w:rsidR="00974D28">
        <w:t>performance liquid chromatography</w:t>
      </w:r>
      <w:r w:rsidR="001C6381">
        <w:t>), assay, degradants, ethanol content, water content, uniformity of mass of delivered d</w:t>
      </w:r>
      <w:r>
        <w:t>ose f</w:t>
      </w:r>
      <w:r w:rsidR="00FB1CA1">
        <w:t xml:space="preserve">rom </w:t>
      </w:r>
      <w:proofErr w:type="spellStart"/>
      <w:r w:rsidR="00FB1CA1">
        <w:t>multi</w:t>
      </w:r>
      <w:r w:rsidR="001C6381">
        <w:t>dose</w:t>
      </w:r>
      <w:proofErr w:type="spellEnd"/>
      <w:r w:rsidR="001C6381">
        <w:t xml:space="preserve"> containers, peroxide value, and m</w:t>
      </w:r>
      <w:r>
        <w:t>icrobial quality.</w:t>
      </w:r>
    </w:p>
    <w:p w14:paraId="68A4C932" w14:textId="71998E6E" w:rsidR="00E614EA" w:rsidRDefault="00905A16" w:rsidP="00D61FF2">
      <w:r>
        <w:t>The test and limit for p</w:t>
      </w:r>
      <w:r w:rsidR="00E614EA">
        <w:t>eroxide value is warranted and is used as a measurement of the extent t</w:t>
      </w:r>
      <w:r>
        <w:t>o which the carrier</w:t>
      </w:r>
      <w:r w:rsidR="00974D28">
        <w:t xml:space="preserve"> </w:t>
      </w:r>
      <w:r>
        <w:t xml:space="preserve">(sesame oil) </w:t>
      </w:r>
      <w:r w:rsidR="00E614EA">
        <w:t>has undergone oxidation, which in turn may lead to rancidity.</w:t>
      </w:r>
    </w:p>
    <w:p w14:paraId="14C77223" w14:textId="2AFA1862" w:rsidR="00E614EA" w:rsidRDefault="00905A16" w:rsidP="00D61FF2">
      <w:r>
        <w:t xml:space="preserve">The </w:t>
      </w:r>
      <w:r w:rsidR="00E614EA">
        <w:t>methods used to analyse the product were adequately described and validated.</w:t>
      </w:r>
    </w:p>
    <w:p w14:paraId="42726808" w14:textId="57863C58" w:rsidR="00E614EA" w:rsidRDefault="00E614EA" w:rsidP="00D61FF2">
      <w:r>
        <w:t>The drug product is stable upon storage and stability data supplied supported a shelf life of 24 months for the unopened product when stored at or below 25°C. No other storage conditions are required.</w:t>
      </w:r>
    </w:p>
    <w:p w14:paraId="3A0DC10A" w14:textId="53C5E684" w:rsidR="00E614EA" w:rsidRDefault="00E614EA" w:rsidP="00D61FF2">
      <w:r>
        <w:t xml:space="preserve">The </w:t>
      </w:r>
      <w:r w:rsidR="008361E5">
        <w:t>PI</w:t>
      </w:r>
      <w:r w:rsidR="00DD2883">
        <w:t xml:space="preserve"> document and the proposed product l</w:t>
      </w:r>
      <w:r>
        <w:t>abelling are considered acceptable from a pharmaceutical chemistry perspective.</w:t>
      </w:r>
    </w:p>
    <w:p w14:paraId="4DB16619" w14:textId="3CB37712" w:rsidR="00E614EA" w:rsidRPr="00E614EA" w:rsidRDefault="00E614EA" w:rsidP="00D61FF2">
      <w:r>
        <w:t>Approval is recommended from a pharmaceutical chemistry and quality control perspective.</w:t>
      </w:r>
    </w:p>
    <w:p w14:paraId="08E5FCDB" w14:textId="77777777" w:rsidR="008E7846" w:rsidRDefault="008E7846" w:rsidP="008E7846">
      <w:pPr>
        <w:pStyle w:val="Heading3"/>
      </w:pPr>
      <w:bookmarkStart w:id="37" w:name="_Toc314842512"/>
      <w:bookmarkStart w:id="38" w:name="_Toc62725621"/>
      <w:r>
        <w:t>Nonclinical</w:t>
      </w:r>
      <w:bookmarkEnd w:id="37"/>
      <w:bookmarkEnd w:id="38"/>
    </w:p>
    <w:p w14:paraId="669DC3AC" w14:textId="6A293B07" w:rsidR="00E614EA" w:rsidRPr="00E614EA" w:rsidRDefault="00DD2883" w:rsidP="00D61FF2">
      <w:r>
        <w:t xml:space="preserve">The nonclinical evaluator has </w:t>
      </w:r>
      <w:r w:rsidR="0002487B">
        <w:t>outlined</w:t>
      </w:r>
      <w:r w:rsidR="007A21CA">
        <w:t xml:space="preserve"> the following</w:t>
      </w:r>
      <w:r w:rsidR="0002487B">
        <w:t xml:space="preserve"> conclusions and recommendations</w:t>
      </w:r>
      <w:r>
        <w:t>:</w:t>
      </w:r>
    </w:p>
    <w:p w14:paraId="6AB806AB" w14:textId="4ACA7D05" w:rsidR="00DD2883" w:rsidRDefault="00E614EA" w:rsidP="00E614EA">
      <w:pPr>
        <w:pStyle w:val="ListBullet"/>
      </w:pPr>
      <w:r w:rsidRPr="00E614EA">
        <w:t>The major deficiencies of the submitted nonclinical data include: the inadequate investigation of both the general toxicity and genotoxic potential of the major</w:t>
      </w:r>
      <w:r w:rsidR="009E51A9">
        <w:t xml:space="preserve"> human metabolite</w:t>
      </w:r>
      <w:r w:rsidR="004D65F3">
        <w:t xml:space="preserve"> </w:t>
      </w:r>
      <w:r w:rsidR="004D65F3" w:rsidRPr="004E49EA">
        <w:t>7-carboxy-cannabidiol</w:t>
      </w:r>
      <w:r w:rsidR="009E51A9">
        <w:t xml:space="preserve"> (7-COOH-CBD); </w:t>
      </w:r>
      <w:r w:rsidRPr="00E614EA">
        <w:t>the inadequate investigation of the carcino</w:t>
      </w:r>
      <w:r w:rsidR="009E51A9">
        <w:t xml:space="preserve">genic potential of CBD; </w:t>
      </w:r>
      <w:r w:rsidRPr="00E614EA">
        <w:t xml:space="preserve">and the inadequacy of the </w:t>
      </w:r>
      <w:proofErr w:type="spellStart"/>
      <w:r w:rsidRPr="00E614EA">
        <w:t>toxicokinetic</w:t>
      </w:r>
      <w:proofErr w:type="spellEnd"/>
      <w:r w:rsidRPr="00E614EA">
        <w:t xml:space="preserve"> data to accurately estimate animal to human exposure margins attained in the pivotal toxicity studies.</w:t>
      </w:r>
    </w:p>
    <w:p w14:paraId="072E8637" w14:textId="552AFDDC" w:rsidR="00DD2883" w:rsidRDefault="00E614EA" w:rsidP="0041169A">
      <w:pPr>
        <w:pStyle w:val="ListBullet"/>
      </w:pPr>
      <w:r w:rsidRPr="00E614EA">
        <w:t xml:space="preserve">Primary pharmacology studies demonstrated the anticonvulsant effects of </w:t>
      </w:r>
      <w:r w:rsidR="009E51A9">
        <w:t>CBD</w:t>
      </w:r>
      <w:r w:rsidRPr="00E614EA">
        <w:t xml:space="preserve"> and its </w:t>
      </w:r>
      <w:r w:rsidR="0041169A" w:rsidRPr="0041169A">
        <w:t xml:space="preserve">7-hydroxy cannabidiol </w:t>
      </w:r>
      <w:r w:rsidR="0041169A">
        <w:t>(</w:t>
      </w:r>
      <w:r w:rsidRPr="00E614EA">
        <w:t>7-OH-CBD</w:t>
      </w:r>
      <w:r w:rsidR="0041169A">
        <w:t>)</w:t>
      </w:r>
      <w:r w:rsidRPr="00E614EA">
        <w:t xml:space="preserve"> metabolite, and thus support the proposed indication.</w:t>
      </w:r>
    </w:p>
    <w:p w14:paraId="1E0CDA84" w14:textId="6D59C0FA" w:rsidR="00DD2883" w:rsidRDefault="00E614EA" w:rsidP="00E614EA">
      <w:pPr>
        <w:pStyle w:val="ListBullet"/>
      </w:pPr>
      <w:r w:rsidRPr="00E614EA">
        <w:t>Secondary pharmacology studies identified weak activities in s</w:t>
      </w:r>
      <w:r w:rsidR="009E51A9">
        <w:t xml:space="preserve">everal pharmacological targets, </w:t>
      </w:r>
      <w:r w:rsidR="0002487B">
        <w:t xml:space="preserve">of </w:t>
      </w:r>
      <w:r w:rsidR="009E51A9">
        <w:t xml:space="preserve">which </w:t>
      </w:r>
      <w:r w:rsidRPr="00E614EA">
        <w:t xml:space="preserve">the clinical relevance </w:t>
      </w:r>
      <w:r w:rsidR="009E51A9">
        <w:t xml:space="preserve">is </w:t>
      </w:r>
      <w:r w:rsidRPr="00E614EA">
        <w:t>unclear.</w:t>
      </w:r>
    </w:p>
    <w:p w14:paraId="66C06443" w14:textId="577B7BFA" w:rsidR="00DD2883" w:rsidRDefault="00E614EA" w:rsidP="00E614EA">
      <w:pPr>
        <w:pStyle w:val="ListBullet"/>
      </w:pPr>
      <w:r w:rsidRPr="00E614EA">
        <w:t xml:space="preserve">The </w:t>
      </w:r>
      <w:r w:rsidRPr="00610F77">
        <w:rPr>
          <w:i/>
        </w:rPr>
        <w:t>in vitro</w:t>
      </w:r>
      <w:r w:rsidRPr="00E614EA">
        <w:t xml:space="preserve"> pharmacokinetic </w:t>
      </w:r>
      <w:r w:rsidR="00E644F9">
        <w:t xml:space="preserve">(PK) </w:t>
      </w:r>
      <w:r w:rsidRPr="00E614EA">
        <w:t xml:space="preserve">data suggested that a large number of potential, clinically relevant </w:t>
      </w:r>
      <w:r w:rsidR="00E644F9">
        <w:t>PK</w:t>
      </w:r>
      <w:r w:rsidR="00E644F9" w:rsidRPr="00E614EA">
        <w:t xml:space="preserve"> </w:t>
      </w:r>
      <w:r w:rsidRPr="00E614EA">
        <w:t xml:space="preserve">drug interactions are possible. These are suitably documented and addressed in the </w:t>
      </w:r>
      <w:r w:rsidR="009E51A9">
        <w:t>PI</w:t>
      </w:r>
      <w:r w:rsidRPr="00E614EA">
        <w:t xml:space="preserve"> and Risk Management Plan (RMP) documents.</w:t>
      </w:r>
    </w:p>
    <w:p w14:paraId="318CDCD1" w14:textId="37501A1C" w:rsidR="00DD2883" w:rsidRDefault="00E614EA" w:rsidP="00E614EA">
      <w:pPr>
        <w:pStyle w:val="ListBullet"/>
      </w:pPr>
      <w:r w:rsidRPr="00E614EA">
        <w:t>The results of the s</w:t>
      </w:r>
      <w:r w:rsidR="00FB1CA1">
        <w:t xml:space="preserve">afety pharmacology and repeat </w:t>
      </w:r>
      <w:r w:rsidRPr="00E614EA">
        <w:t>dose toxicity studies suggest that no adverse effects of CBD-OS on the cardiovascular, respiratory and central nervous systems are anticipated during clinical use. The only target organ toxicity with clinical relevance is the potential to cause hepatotoxicity.</w:t>
      </w:r>
    </w:p>
    <w:p w14:paraId="67E3ACDD" w14:textId="1711EDE4" w:rsidR="00DD2883" w:rsidRDefault="00F2295E" w:rsidP="00E614EA">
      <w:pPr>
        <w:pStyle w:val="ListBullet"/>
      </w:pPr>
      <w:r>
        <w:t>CBD</w:t>
      </w:r>
      <w:r w:rsidR="00E614EA" w:rsidRPr="00E614EA">
        <w:t xml:space="preserve"> showed no genotoxic potential. The investigation of the genotoxicity of the 7</w:t>
      </w:r>
      <w:r w:rsidR="005E733C">
        <w:noBreakHyphen/>
      </w:r>
      <w:r w:rsidR="00E614EA" w:rsidRPr="00E614EA">
        <w:t>OH</w:t>
      </w:r>
      <w:r w:rsidR="005E733C">
        <w:noBreakHyphen/>
      </w:r>
      <w:r w:rsidR="00E614EA" w:rsidRPr="00E614EA">
        <w:t>CBD and 7-COOH-CBD metabolites was either lacking or inadequate.</w:t>
      </w:r>
    </w:p>
    <w:p w14:paraId="594B46DF" w14:textId="6E9310F8" w:rsidR="00DD2883" w:rsidRDefault="00E614EA" w:rsidP="00E614EA">
      <w:pPr>
        <w:pStyle w:val="ListBullet"/>
      </w:pPr>
      <w:r w:rsidRPr="00E614EA">
        <w:t xml:space="preserve">The carcinogenic potential of </w:t>
      </w:r>
      <w:r w:rsidR="00F2295E">
        <w:t>CBD</w:t>
      </w:r>
      <w:r w:rsidR="00F7362D">
        <w:t xml:space="preserve"> and 7-COOH-CBD were</w:t>
      </w:r>
      <w:r w:rsidRPr="00E614EA">
        <w:t xml:space="preserve"> not adequately assessed.</w:t>
      </w:r>
    </w:p>
    <w:p w14:paraId="43A098CD" w14:textId="3DEA0000" w:rsidR="00DD2883" w:rsidRDefault="00F7362D" w:rsidP="00E614EA">
      <w:pPr>
        <w:pStyle w:val="ListBullet"/>
      </w:pPr>
      <w:r>
        <w:t>For reproductive toxicity, the s</w:t>
      </w:r>
      <w:r w:rsidR="00E614EA" w:rsidRPr="00E614EA">
        <w:t>ponsor has proposed Pregnancy Category B2</w:t>
      </w:r>
      <w:r w:rsidR="00E644F9">
        <w:t>.</w:t>
      </w:r>
      <w:r w:rsidR="00F2295E">
        <w:rPr>
          <w:rStyle w:val="FootnoteReference"/>
        </w:rPr>
        <w:footnoteReference w:id="7"/>
      </w:r>
      <w:r w:rsidR="00E614EA" w:rsidRPr="00E614EA">
        <w:t xml:space="preserve"> This category is appropriate based on the data submitted and is consistent with the c</w:t>
      </w:r>
      <w:r w:rsidR="00F2295E">
        <w:t xml:space="preserve">ategorisation of other cannabis </w:t>
      </w:r>
      <w:r w:rsidR="00E614EA" w:rsidRPr="00E614EA">
        <w:t>derived medicines currently registered in Australia. The reproductive toxicity studies were clearly inadequate in that they did not investigate the 7-COOH-CBD metabolite.</w:t>
      </w:r>
    </w:p>
    <w:p w14:paraId="7E88CDB8" w14:textId="550EE24E" w:rsidR="00DD2883" w:rsidRDefault="00E614EA" w:rsidP="00E614EA">
      <w:pPr>
        <w:pStyle w:val="ListBullet"/>
      </w:pPr>
      <w:r w:rsidRPr="00E614EA">
        <w:t>The toxicity profile of CBD-OS in juvenile animals was similar to that in adults. The lowest dose causing developmental toxic</w:t>
      </w:r>
      <w:r w:rsidR="00F2295E">
        <w:t xml:space="preserve">ity (delayed sexual maturation in males, decreased locomotor activity, and </w:t>
      </w:r>
      <w:r w:rsidRPr="00E614EA">
        <w:t xml:space="preserve">increased bone mineral density) was associated with CBD </w:t>
      </w:r>
      <w:r w:rsidR="00F2295E">
        <w:t>maximum plasma concentration (</w:t>
      </w:r>
      <w:proofErr w:type="spellStart"/>
      <w:r w:rsidRPr="00E614EA">
        <w:t>C</w:t>
      </w:r>
      <w:r w:rsidRPr="00F2295E">
        <w:rPr>
          <w:vertAlign w:val="subscript"/>
        </w:rPr>
        <w:t>max</w:t>
      </w:r>
      <w:proofErr w:type="spellEnd"/>
      <w:r w:rsidR="00F2295E" w:rsidRPr="00F2295E">
        <w:t>)</w:t>
      </w:r>
      <w:r w:rsidRPr="00E614EA">
        <w:t xml:space="preserve"> exposures </w:t>
      </w:r>
      <w:r w:rsidR="00BC1763">
        <w:t xml:space="preserve">approximately </w:t>
      </w:r>
      <w:r w:rsidRPr="00E614EA">
        <w:t xml:space="preserve">20 times that in paediatric subjects at the </w:t>
      </w:r>
      <w:r w:rsidR="00BC1763">
        <w:t>maximum recommended human dose (</w:t>
      </w:r>
      <w:r w:rsidRPr="00E614EA">
        <w:t>MRHD</w:t>
      </w:r>
      <w:r w:rsidR="00BC1763">
        <w:t>)</w:t>
      </w:r>
      <w:r w:rsidRPr="00E614EA">
        <w:t>. The potential toxicity of the 7-COOH-CBD metabolite was not adequately evaluated in juvenile animals and is considered a significant deficiency given the potential clinical use in children and young adults.</w:t>
      </w:r>
    </w:p>
    <w:p w14:paraId="732B2620" w14:textId="370CB02A" w:rsidR="00DD2883" w:rsidRDefault="00E614EA" w:rsidP="00E614EA">
      <w:pPr>
        <w:pStyle w:val="ListBullet"/>
      </w:pPr>
      <w:r w:rsidRPr="00E614EA">
        <w:t xml:space="preserve">The findings in juvenile rats suggest potential hepatotoxicity, decrease in locomotor activity, increase in bone mineral density </w:t>
      </w:r>
      <w:r w:rsidR="00AC5203">
        <w:t>and delay in sexual maturation in males</w:t>
      </w:r>
      <w:r w:rsidRPr="00E614EA">
        <w:t>.</w:t>
      </w:r>
    </w:p>
    <w:p w14:paraId="0BE3F3B2" w14:textId="7CCF0F53" w:rsidR="00DD2883" w:rsidRDefault="00E614EA" w:rsidP="00E614EA">
      <w:pPr>
        <w:pStyle w:val="ListBullet"/>
      </w:pPr>
      <w:r w:rsidRPr="00E614EA">
        <w:t>No predictive signs of dependence and/or drug abuse are expected in humans.</w:t>
      </w:r>
    </w:p>
    <w:p w14:paraId="07FCD462" w14:textId="2E8BDBB7" w:rsidR="00E614EA" w:rsidRPr="00E614EA" w:rsidRDefault="00E614EA" w:rsidP="00E614EA">
      <w:pPr>
        <w:pStyle w:val="ListBullet"/>
      </w:pPr>
      <w:r w:rsidRPr="00E614EA">
        <w:t xml:space="preserve">The absence of adequate </w:t>
      </w:r>
      <w:proofErr w:type="spellStart"/>
      <w:r w:rsidRPr="00E614EA">
        <w:t>toxicokinetic</w:t>
      </w:r>
      <w:proofErr w:type="spellEnd"/>
      <w:r w:rsidRPr="00E614EA">
        <w:t xml:space="preserve"> and carcinogenicity studies for </w:t>
      </w:r>
      <w:r w:rsidR="00AC5203">
        <w:t>CBD</w:t>
      </w:r>
      <w:r w:rsidRPr="00E614EA">
        <w:t xml:space="preserve"> as well as the lack of toxicology studies for 7-COOH-CBD should not preclude registration. The application is approvable for registration from a noncli</w:t>
      </w:r>
      <w:r w:rsidR="00AC5203">
        <w:t>nical perspective provided that</w:t>
      </w:r>
      <w:r w:rsidRPr="00E614EA">
        <w:t xml:space="preserve"> the clinical data are sufficient and ad</w:t>
      </w:r>
      <w:r w:rsidR="00AC5203">
        <w:t>equate to support approval; and that the s</w:t>
      </w:r>
      <w:r w:rsidRPr="00E614EA">
        <w:t>ponsor commits to conduct the following studies and submit them to the TGA once the full, audite</w:t>
      </w:r>
      <w:r>
        <w:t>d study reports are available:</w:t>
      </w:r>
    </w:p>
    <w:p w14:paraId="36ECAF74" w14:textId="01C05D9F" w:rsidR="00DD2883" w:rsidRDefault="00E614EA" w:rsidP="00E614EA">
      <w:pPr>
        <w:pStyle w:val="ListBullet2"/>
      </w:pPr>
      <w:r w:rsidRPr="00E614EA">
        <w:t xml:space="preserve">A mouse carcinogenicity study with purified CBD (including all </w:t>
      </w:r>
      <w:proofErr w:type="spellStart"/>
      <w:r w:rsidRPr="00E614EA">
        <w:t>toxicokinetic</w:t>
      </w:r>
      <w:proofErr w:type="spellEnd"/>
      <w:r w:rsidRPr="00E614EA">
        <w:t xml:space="preserve"> data for CBD and it</w:t>
      </w:r>
      <w:r w:rsidR="00004B36">
        <w:t>s metabolites)</w:t>
      </w:r>
      <w:r w:rsidR="00AD6C99">
        <w:t>,</w:t>
      </w:r>
      <w:r w:rsidR="00004B36">
        <w:t xml:space="preserve"> expected for fourth quarter of</w:t>
      </w:r>
      <w:r w:rsidRPr="00E614EA">
        <w:t xml:space="preserve"> 2020</w:t>
      </w:r>
      <w:r w:rsidR="0002487B">
        <w:t>.</w:t>
      </w:r>
    </w:p>
    <w:p w14:paraId="31EEFE86" w14:textId="7BBA156D" w:rsidR="00DD2883" w:rsidRDefault="00E614EA" w:rsidP="00E614EA">
      <w:pPr>
        <w:pStyle w:val="ListBullet2"/>
      </w:pPr>
      <w:r w:rsidRPr="00E614EA">
        <w:t>An embryo</w:t>
      </w:r>
      <w:r w:rsidR="00056D9F">
        <w:t>-</w:t>
      </w:r>
      <w:proofErr w:type="spellStart"/>
      <w:r w:rsidRPr="00E614EA">
        <w:t>fetal</w:t>
      </w:r>
      <w:proofErr w:type="spellEnd"/>
      <w:r w:rsidRPr="00E614EA">
        <w:t xml:space="preserve"> development study of 7-COOH-CBD</w:t>
      </w:r>
      <w:r w:rsidR="0002487B">
        <w:t>.</w:t>
      </w:r>
    </w:p>
    <w:p w14:paraId="3E0073AC" w14:textId="57840546" w:rsidR="00DD2883" w:rsidRDefault="00F7362D" w:rsidP="00E614EA">
      <w:pPr>
        <w:pStyle w:val="ListBullet2"/>
      </w:pPr>
      <w:r>
        <w:t>A pre</w:t>
      </w:r>
      <w:r w:rsidR="00AD6C99">
        <w:t>-</w:t>
      </w:r>
      <w:r w:rsidR="00E614EA" w:rsidRPr="00E614EA">
        <w:t xml:space="preserve"> and post</w:t>
      </w:r>
      <w:r w:rsidR="00AD6C99">
        <w:t>-</w:t>
      </w:r>
      <w:r w:rsidR="00E614EA" w:rsidRPr="00E614EA">
        <w:t>natal development study of 7-COOH-CBD</w:t>
      </w:r>
      <w:r w:rsidR="0002487B">
        <w:t>.</w:t>
      </w:r>
    </w:p>
    <w:p w14:paraId="3C4175C5" w14:textId="6919098E" w:rsidR="00DD2883" w:rsidRDefault="00E614EA" w:rsidP="00E614EA">
      <w:pPr>
        <w:pStyle w:val="ListBullet2"/>
      </w:pPr>
      <w:r w:rsidRPr="00E614EA">
        <w:t>A juvenile animal toxicology study of 7-COOH-CBD</w:t>
      </w:r>
      <w:r w:rsidR="0002487B">
        <w:t>.</w:t>
      </w:r>
    </w:p>
    <w:p w14:paraId="11619AA7" w14:textId="0090732B" w:rsidR="00DD2883" w:rsidRDefault="00004B36" w:rsidP="00E614EA">
      <w:pPr>
        <w:pStyle w:val="ListBullet2"/>
      </w:pPr>
      <w:r>
        <w:t xml:space="preserve">A 2 </w:t>
      </w:r>
      <w:r w:rsidR="00E614EA" w:rsidRPr="00E614EA">
        <w:t xml:space="preserve">year carcinogenicity study of </w:t>
      </w:r>
      <w:r>
        <w:t>CBD</w:t>
      </w:r>
      <w:r w:rsidR="00E614EA" w:rsidRPr="00E614EA">
        <w:t xml:space="preserve"> and 7-COOH-CBD, both directly administered</w:t>
      </w:r>
      <w:r w:rsidR="0002487B">
        <w:t>.</w:t>
      </w:r>
    </w:p>
    <w:p w14:paraId="2D4750C1" w14:textId="325CFF76" w:rsidR="00E614EA" w:rsidRDefault="00E614EA" w:rsidP="00E614EA">
      <w:pPr>
        <w:pStyle w:val="ListBullet2"/>
      </w:pPr>
      <w:r w:rsidRPr="00E614EA">
        <w:t>GLP</w:t>
      </w:r>
      <w:r w:rsidR="00F7362D">
        <w:t xml:space="preserve"> (Good Laboratory Practice)</w:t>
      </w:r>
      <w:r w:rsidRPr="00E614EA">
        <w:t xml:space="preserve"> genotoxicity studies with both 7-OH-CBD and 7</w:t>
      </w:r>
      <w:r w:rsidR="00AD6C99">
        <w:noBreakHyphen/>
      </w:r>
      <w:r w:rsidRPr="00E614EA">
        <w:t>COOH-CBD</w:t>
      </w:r>
      <w:r w:rsidR="0002487B">
        <w:t>.</w:t>
      </w:r>
    </w:p>
    <w:p w14:paraId="26ED5AD3" w14:textId="35568B48" w:rsidR="004E3F3B" w:rsidRPr="00E614EA" w:rsidRDefault="0002487B" w:rsidP="006F68EF">
      <w:pPr>
        <w:pStyle w:val="ListBullet"/>
        <w:numPr>
          <w:ilvl w:val="0"/>
          <w:numId w:val="0"/>
        </w:numPr>
      </w:pPr>
      <w:r>
        <w:t xml:space="preserve">The nonclinical evaluator recommended changes to the draft </w:t>
      </w:r>
      <w:r w:rsidR="004E3F3B">
        <w:t>PI</w:t>
      </w:r>
      <w:r>
        <w:t>.</w:t>
      </w:r>
      <w:r w:rsidR="004E3F3B">
        <w:t xml:space="preserve"> </w:t>
      </w:r>
      <w:r>
        <w:t>Details of these recommendations</w:t>
      </w:r>
      <w:r w:rsidR="006F68EF">
        <w:t xml:space="preserve"> are beyond the scope of </w:t>
      </w:r>
      <w:r w:rsidR="004E3F3B">
        <w:t>this AusPAR.</w:t>
      </w:r>
    </w:p>
    <w:p w14:paraId="605B79FE" w14:textId="5D347619" w:rsidR="008E7846" w:rsidRDefault="008E7846" w:rsidP="008E7846">
      <w:pPr>
        <w:pStyle w:val="Heading3"/>
      </w:pPr>
      <w:bookmarkStart w:id="39" w:name="_Toc247691530"/>
      <w:bookmarkStart w:id="40" w:name="_Toc314842513"/>
      <w:bookmarkStart w:id="41" w:name="_Toc62725622"/>
      <w:r>
        <w:t>Clinical</w:t>
      </w:r>
      <w:bookmarkEnd w:id="39"/>
      <w:bookmarkEnd w:id="40"/>
      <w:bookmarkEnd w:id="41"/>
    </w:p>
    <w:p w14:paraId="45FBDB75" w14:textId="737FB1A4" w:rsidR="0002487B" w:rsidRDefault="0002487B" w:rsidP="0002487B">
      <w:pPr>
        <w:rPr>
          <w:lang w:eastAsia="ja-JP"/>
        </w:rPr>
      </w:pPr>
      <w:r>
        <w:rPr>
          <w:lang w:eastAsia="ja-JP"/>
        </w:rPr>
        <w:t>The clinical dossier consisted of:</w:t>
      </w:r>
    </w:p>
    <w:p w14:paraId="6A1EF90F" w14:textId="5EA0526C" w:rsidR="0002487B" w:rsidRPr="002C043B" w:rsidRDefault="00AD6C99" w:rsidP="002C043B">
      <w:pPr>
        <w:pStyle w:val="ListBullet"/>
      </w:pPr>
      <w:r w:rsidRPr="002C043B">
        <w:t xml:space="preserve">Eight </w:t>
      </w:r>
      <w:r w:rsidR="0002487B" w:rsidRPr="002C043B">
        <w:t>completed PK trials in healthy subjects (Studies GWEP1544, GWEP1431, GWEP1541, GWEP1543, GWEP17028, GWEP17075, GWEP17077, and GWEP1446).</w:t>
      </w:r>
    </w:p>
    <w:p w14:paraId="4145A152" w14:textId="54D95934" w:rsidR="0002487B" w:rsidRPr="002C043B" w:rsidRDefault="009C7402" w:rsidP="002C043B">
      <w:pPr>
        <w:pStyle w:val="ListBullet"/>
      </w:pPr>
      <w:r w:rsidRPr="002C043B">
        <w:t>Two PK</w:t>
      </w:r>
      <w:r w:rsidR="0002487B" w:rsidRPr="002C043B">
        <w:t xml:space="preserve"> trials in specific populations: renal-impaired subjects (Study GWEP1540), and hepatic-impaired subjects (Study GWEP1539).</w:t>
      </w:r>
    </w:p>
    <w:p w14:paraId="274A9DB5" w14:textId="1AC624FB" w:rsidR="0002487B" w:rsidRPr="002C043B" w:rsidRDefault="00724CC8" w:rsidP="002C043B">
      <w:pPr>
        <w:pStyle w:val="ListBullet"/>
      </w:pPr>
      <w:r w:rsidRPr="002C043B">
        <w:t>Two</w:t>
      </w:r>
      <w:r w:rsidR="0002487B" w:rsidRPr="002C043B">
        <w:t xml:space="preserve"> supporting </w:t>
      </w:r>
      <w:r w:rsidR="00D540D1" w:rsidRPr="002C043B">
        <w:t>pharmacodynamics</w:t>
      </w:r>
      <w:r w:rsidR="0002487B" w:rsidRPr="002C043B">
        <w:t xml:space="preserve"> </w:t>
      </w:r>
      <w:r w:rsidR="00D540D1" w:rsidRPr="002C043B">
        <w:t xml:space="preserve">(PD) </w:t>
      </w:r>
      <w:r w:rsidR="0002487B" w:rsidRPr="002C043B">
        <w:t>trials, assessing the effects of CBD-OS on sleep (</w:t>
      </w:r>
      <w:r w:rsidR="00D540D1" w:rsidRPr="002C043B">
        <w:t xml:space="preserve">Study </w:t>
      </w:r>
      <w:r w:rsidR="0002487B" w:rsidRPr="002C043B">
        <w:t>GWEP1448) and withdrawal symptoms (</w:t>
      </w:r>
      <w:r w:rsidR="00D540D1" w:rsidRPr="002C043B">
        <w:t xml:space="preserve">Study </w:t>
      </w:r>
      <w:r w:rsidR="0002487B" w:rsidRPr="002C043B">
        <w:t>GWEP1542</w:t>
      </w:r>
      <w:r w:rsidR="00D540D1" w:rsidRPr="002C043B">
        <w:t>)</w:t>
      </w:r>
      <w:r w:rsidR="0002487B" w:rsidRPr="002C043B">
        <w:t>.</w:t>
      </w:r>
    </w:p>
    <w:p w14:paraId="7490F733" w14:textId="05F23970" w:rsidR="0002487B" w:rsidRPr="002C043B" w:rsidRDefault="0002487B" w:rsidP="002C043B">
      <w:pPr>
        <w:pStyle w:val="ListBullet"/>
      </w:pPr>
      <w:r w:rsidRPr="002C043B">
        <w:t xml:space="preserve">A study to investigate PK </w:t>
      </w:r>
      <w:r w:rsidR="00D540D1" w:rsidRPr="002C043B">
        <w:t>interactions between CLB</w:t>
      </w:r>
      <w:r w:rsidRPr="002C043B">
        <w:t xml:space="preserve"> and </w:t>
      </w:r>
      <w:r w:rsidR="00D540D1" w:rsidRPr="002C043B">
        <w:t>CBD</w:t>
      </w:r>
      <w:r w:rsidRPr="002C043B">
        <w:t xml:space="preserve"> in subjects with epilepsy (</w:t>
      </w:r>
      <w:r w:rsidR="00D540D1" w:rsidRPr="002C043B">
        <w:t xml:space="preserve">Study </w:t>
      </w:r>
      <w:r w:rsidRPr="002C043B">
        <w:t>GWEP1428).</w:t>
      </w:r>
    </w:p>
    <w:p w14:paraId="7868668C" w14:textId="496A26CB" w:rsidR="0002487B" w:rsidRPr="002C043B" w:rsidRDefault="0002487B" w:rsidP="002C043B">
      <w:pPr>
        <w:pStyle w:val="ListBullet"/>
      </w:pPr>
      <w:r w:rsidRPr="002C043B">
        <w:t>Interim data from an ongoing drug-drug PK interaction study in epilepsy patients (</w:t>
      </w:r>
      <w:r w:rsidR="00D540D1" w:rsidRPr="002C043B">
        <w:t xml:space="preserve">Study </w:t>
      </w:r>
      <w:r w:rsidRPr="002C043B">
        <w:t>GWEP1447); the results for the valproate-</w:t>
      </w:r>
      <w:r w:rsidR="00D540D1" w:rsidRPr="002C043B">
        <w:t>C</w:t>
      </w:r>
      <w:r w:rsidRPr="002C043B">
        <w:t xml:space="preserve">BD interaction were reported but results for the </w:t>
      </w:r>
      <w:proofErr w:type="spellStart"/>
      <w:r w:rsidRPr="002C043B">
        <w:t>stiripentol</w:t>
      </w:r>
      <w:proofErr w:type="spellEnd"/>
      <w:r w:rsidRPr="002C043B">
        <w:t xml:space="preserve"> arm were not available.</w:t>
      </w:r>
    </w:p>
    <w:p w14:paraId="5832EEFC" w14:textId="69D34F96" w:rsidR="0002487B" w:rsidRPr="002C043B" w:rsidRDefault="00724CC8" w:rsidP="002C043B">
      <w:pPr>
        <w:pStyle w:val="ListBullet"/>
      </w:pPr>
      <w:r w:rsidRPr="002C043B">
        <w:t xml:space="preserve">Five </w:t>
      </w:r>
      <w:r w:rsidR="0002487B" w:rsidRPr="002C043B">
        <w:t>safety/efficacy trials in patients with epilepsy</w:t>
      </w:r>
      <w:r w:rsidR="00D540D1" w:rsidRPr="002C043B">
        <w:t xml:space="preserve"> (</w:t>
      </w:r>
      <w:r w:rsidRPr="002C043B">
        <w:t>two</w:t>
      </w:r>
      <w:r w:rsidR="00D540D1" w:rsidRPr="002C043B">
        <w:t xml:space="preserve"> in DS (Studies</w:t>
      </w:r>
      <w:r w:rsidR="005F2ADD" w:rsidRPr="002C043B">
        <w:t> </w:t>
      </w:r>
      <w:r w:rsidR="00D540D1" w:rsidRPr="002C043B">
        <w:t xml:space="preserve">GWEP1332 and GWEP1424), </w:t>
      </w:r>
      <w:r w:rsidRPr="002C043B">
        <w:t>two</w:t>
      </w:r>
      <w:r w:rsidR="00D540D1" w:rsidRPr="002C043B">
        <w:t xml:space="preserve"> in LGS (Studies GWEP1414 and GWEP1423)</w:t>
      </w:r>
      <w:r w:rsidR="0002487B" w:rsidRPr="002C043B">
        <w:t xml:space="preserve">, and </w:t>
      </w:r>
      <w:r w:rsidRPr="002C043B">
        <w:t xml:space="preserve">an </w:t>
      </w:r>
      <w:r w:rsidR="0002487B" w:rsidRPr="002C043B">
        <w:t>on-going open-</w:t>
      </w:r>
      <w:r w:rsidR="00D540D1" w:rsidRPr="002C043B">
        <w:t>label extension study (Study GWEP1415)</w:t>
      </w:r>
      <w:r w:rsidR="0002487B" w:rsidRPr="002C043B">
        <w:t>).</w:t>
      </w:r>
    </w:p>
    <w:p w14:paraId="35072991" w14:textId="1B935E81" w:rsidR="0002487B" w:rsidRPr="002C043B" w:rsidRDefault="0002487B" w:rsidP="002C043B">
      <w:pPr>
        <w:pStyle w:val="ListBullet"/>
      </w:pPr>
      <w:r w:rsidRPr="002C043B">
        <w:t>A report of the experience with open-label CBD</w:t>
      </w:r>
      <w:r w:rsidR="00D540D1" w:rsidRPr="002C043B">
        <w:t xml:space="preserve"> in an Expanded Access Program.</w:t>
      </w:r>
    </w:p>
    <w:p w14:paraId="6ED2685B" w14:textId="34C1238A" w:rsidR="0002487B" w:rsidRPr="002C043B" w:rsidRDefault="00724CC8" w:rsidP="002C043B">
      <w:pPr>
        <w:pStyle w:val="ListBullet"/>
      </w:pPr>
      <w:r w:rsidRPr="002C043B">
        <w:t>Seven</w:t>
      </w:r>
      <w:r w:rsidR="0002487B" w:rsidRPr="002C043B">
        <w:t xml:space="preserve"> modelling-based PK reports (</w:t>
      </w:r>
      <w:r w:rsidRPr="002C043B">
        <w:t>four</w:t>
      </w:r>
      <w:r w:rsidR="0002487B" w:rsidRPr="002C043B">
        <w:t xml:space="preserve"> population PK analyses </w:t>
      </w:r>
      <w:r w:rsidR="00D540D1" w:rsidRPr="002C043B">
        <w:t>(Studies</w:t>
      </w:r>
      <w:r w:rsidRPr="002C043B">
        <w:t> </w:t>
      </w:r>
      <w:r w:rsidR="0002487B" w:rsidRPr="002C043B">
        <w:t xml:space="preserve">GWPP16110, </w:t>
      </w:r>
      <w:r w:rsidR="00D540D1" w:rsidRPr="002C043B">
        <w:t>GWPP17003, GWPP17004, GWPP18097)</w:t>
      </w:r>
      <w:r w:rsidR="0002487B" w:rsidRPr="002C043B">
        <w:t>, a dose-titration simulation</w:t>
      </w:r>
      <w:r w:rsidR="00D540D1" w:rsidRPr="002C043B">
        <w:t xml:space="preserve"> (Study </w:t>
      </w:r>
      <w:r w:rsidR="0002487B" w:rsidRPr="002C043B">
        <w:t>GWPP17045</w:t>
      </w:r>
      <w:r w:rsidR="00D540D1" w:rsidRPr="002C043B">
        <w:t>)</w:t>
      </w:r>
      <w:r w:rsidR="0002487B" w:rsidRPr="002C043B">
        <w:t>, a modelled assessment of simulated drug interactions</w:t>
      </w:r>
      <w:r w:rsidR="00D540D1" w:rsidRPr="002C043B">
        <w:t xml:space="preserve"> and paediatric PK (Study </w:t>
      </w:r>
      <w:r w:rsidR="0002487B" w:rsidRPr="002C043B">
        <w:t>GWPP17025</w:t>
      </w:r>
      <w:r w:rsidR="00D540D1" w:rsidRPr="002C043B">
        <w:t>)</w:t>
      </w:r>
      <w:r w:rsidR="0002487B" w:rsidRPr="002C043B">
        <w:t>, and a modelled assessment of the effects of hepatic impairment).</w:t>
      </w:r>
    </w:p>
    <w:p w14:paraId="18FA4C3E" w14:textId="77777777" w:rsidR="0002487B" w:rsidRPr="002C043B" w:rsidRDefault="0002487B" w:rsidP="002C043B">
      <w:pPr>
        <w:pStyle w:val="ListBullet"/>
      </w:pPr>
      <w:r w:rsidRPr="002C043B">
        <w:t>Reports of CBD use for other indications, evaluable for safety only.</w:t>
      </w:r>
    </w:p>
    <w:p w14:paraId="554BB0A0" w14:textId="4E42EDA5" w:rsidR="0002487B" w:rsidRPr="002C043B" w:rsidRDefault="00724CC8" w:rsidP="002C043B">
      <w:pPr>
        <w:pStyle w:val="ListBullet"/>
      </w:pPr>
      <w:r w:rsidRPr="002C043B">
        <w:t>Two</w:t>
      </w:r>
      <w:r w:rsidR="0002487B" w:rsidRPr="002C043B">
        <w:t xml:space="preserve"> studies of </w:t>
      </w:r>
      <w:proofErr w:type="spellStart"/>
      <w:r w:rsidR="0002487B" w:rsidRPr="002C043B">
        <w:t>Sativex</w:t>
      </w:r>
      <w:proofErr w:type="spellEnd"/>
      <w:r w:rsidR="0002487B" w:rsidRPr="002C043B">
        <w:t>;</w:t>
      </w:r>
      <w:r w:rsidR="003A236D" w:rsidRPr="002C043B">
        <w:rPr>
          <w:rStyle w:val="FootnoteReference"/>
          <w:vertAlign w:val="baseline"/>
        </w:rPr>
        <w:footnoteReference w:id="8"/>
      </w:r>
      <w:r w:rsidR="0002487B" w:rsidRPr="002C043B">
        <w:t xml:space="preserve"> one of these had a PK component, but these studies have very limited relevance to the current submission.</w:t>
      </w:r>
    </w:p>
    <w:p w14:paraId="53C3DC9D" w14:textId="77777777" w:rsidR="0002487B" w:rsidRPr="002C043B" w:rsidRDefault="0002487B" w:rsidP="002C043B">
      <w:pPr>
        <w:pStyle w:val="ListBullet"/>
      </w:pPr>
      <w:r w:rsidRPr="002C043B">
        <w:t>Summaries including a Clinical Overview, Summary of Clinical Pharmacology Studies, Summary of Clinical Efficacy, Summary of Clinical Safety, Integrated Summary of Safety.</w:t>
      </w:r>
    </w:p>
    <w:p w14:paraId="1BF361DB" w14:textId="39F28C6B" w:rsidR="0002487B" w:rsidRPr="002C043B" w:rsidRDefault="0002487B" w:rsidP="002C043B">
      <w:pPr>
        <w:pStyle w:val="ListBullet"/>
      </w:pPr>
      <w:r w:rsidRPr="002C043B">
        <w:t xml:space="preserve">Proposed </w:t>
      </w:r>
      <w:r w:rsidR="00D540D1" w:rsidRPr="002C043B">
        <w:t>PI</w:t>
      </w:r>
      <w:r w:rsidRPr="002C043B">
        <w:t xml:space="preserve"> and Consumer Medicines Information </w:t>
      </w:r>
      <w:r w:rsidR="00D540D1" w:rsidRPr="002C043B">
        <w:t xml:space="preserve">(CMI) </w:t>
      </w:r>
      <w:r w:rsidRPr="002C043B">
        <w:t>sheets.</w:t>
      </w:r>
    </w:p>
    <w:p w14:paraId="62FDDAD5" w14:textId="77777777" w:rsidR="0002487B" w:rsidRPr="002C043B" w:rsidRDefault="0002487B" w:rsidP="002C043B">
      <w:pPr>
        <w:pStyle w:val="ListBullet"/>
      </w:pPr>
      <w:r w:rsidRPr="002C043B">
        <w:t>Risk Management Plan.</w:t>
      </w:r>
    </w:p>
    <w:p w14:paraId="40A39471" w14:textId="26189A22" w:rsidR="0002487B" w:rsidRPr="002C043B" w:rsidRDefault="0002487B" w:rsidP="002C043B">
      <w:pPr>
        <w:pStyle w:val="ListBullet"/>
      </w:pPr>
      <w:r w:rsidRPr="002C043B">
        <w:t>Literature references.</w:t>
      </w:r>
    </w:p>
    <w:p w14:paraId="041B60AE" w14:textId="542A222C" w:rsidR="004E49EA" w:rsidRPr="004E49EA" w:rsidRDefault="004E49EA" w:rsidP="001350AC">
      <w:pPr>
        <w:pStyle w:val="Heading4"/>
      </w:pPr>
      <w:bookmarkStart w:id="42" w:name="_Toc314842514"/>
      <w:r w:rsidRPr="004E49EA">
        <w:t>Pharmacology</w:t>
      </w:r>
    </w:p>
    <w:p w14:paraId="2958B646" w14:textId="40831EB4" w:rsidR="004E49EA" w:rsidRPr="004E49EA" w:rsidRDefault="004E49EA" w:rsidP="00D61FF2">
      <w:r w:rsidRPr="004E49EA">
        <w:t>The same formulation of CBD-OS was used in each phase of the clinical development program (</w:t>
      </w:r>
      <w:r w:rsidR="001350AC">
        <w:t xml:space="preserve">the </w:t>
      </w:r>
      <w:r w:rsidR="006F68EF">
        <w:t xml:space="preserve">only study to use a </w:t>
      </w:r>
      <w:r w:rsidR="002C043B">
        <w:t>non-</w:t>
      </w:r>
      <w:r w:rsidR="002C043B" w:rsidRPr="004E49EA">
        <w:t>standard</w:t>
      </w:r>
      <w:r w:rsidRPr="004E49EA">
        <w:t xml:space="preserve"> oral solution w</w:t>
      </w:r>
      <w:r w:rsidR="001350AC">
        <w:t xml:space="preserve">as </w:t>
      </w:r>
      <w:r w:rsidR="001D5E1F">
        <w:rPr>
          <w:rFonts w:cs="Cambria"/>
          <w:iCs/>
          <w:color w:val="001422"/>
        </w:rPr>
        <w:t xml:space="preserve">Study </w:t>
      </w:r>
      <w:r w:rsidR="00211B5D">
        <w:rPr>
          <w:rFonts w:cs="Cambria"/>
          <w:iCs/>
          <w:color w:val="001422"/>
        </w:rPr>
        <w:t xml:space="preserve">GWEP1332, </w:t>
      </w:r>
      <w:r w:rsidR="001D5E1F">
        <w:rPr>
          <w:rFonts w:cs="Cambria"/>
          <w:iCs/>
          <w:color w:val="001422"/>
        </w:rPr>
        <w:t xml:space="preserve">also known as </w:t>
      </w:r>
      <w:r w:rsidR="006F68EF" w:rsidRPr="00E05842">
        <w:rPr>
          <w:rFonts w:cs="Cambria"/>
          <w:iCs/>
          <w:color w:val="001422"/>
        </w:rPr>
        <w:t>Study DS-32</w:t>
      </w:r>
      <w:r w:rsidR="00AD4DE4">
        <w:rPr>
          <w:rFonts w:cs="Cambria"/>
          <w:iCs/>
          <w:color w:val="001422"/>
        </w:rPr>
        <w:t>)</w:t>
      </w:r>
      <w:r w:rsidR="006F68EF">
        <w:rPr>
          <w:rStyle w:val="FootnoteReference"/>
          <w:rFonts w:cs="Cambria"/>
          <w:iCs/>
          <w:color w:val="001422"/>
        </w:rPr>
        <w:footnoteReference w:id="9"/>
      </w:r>
      <w:r w:rsidR="00211B5D">
        <w:rPr>
          <w:rFonts w:cs="Cambria"/>
          <w:iCs/>
          <w:color w:val="001422"/>
        </w:rPr>
        <w:t xml:space="preserve"> </w:t>
      </w:r>
      <w:r w:rsidR="001350AC">
        <w:t xml:space="preserve">which used a lower </w:t>
      </w:r>
      <w:r w:rsidRPr="004E49EA">
        <w:t>strength formulation to facilitate dose titration).</w:t>
      </w:r>
    </w:p>
    <w:p w14:paraId="4B5564B6" w14:textId="7CABE2C6" w:rsidR="004E49EA" w:rsidRPr="004E49EA" w:rsidRDefault="00E62412" w:rsidP="001350AC">
      <w:pPr>
        <w:pStyle w:val="Heading5"/>
      </w:pPr>
      <w:r>
        <w:t>Pharmacokinetics</w:t>
      </w:r>
    </w:p>
    <w:p w14:paraId="26056652" w14:textId="60FABD4A" w:rsidR="004E49EA" w:rsidRPr="004E49EA" w:rsidRDefault="004E49EA" w:rsidP="001350AC">
      <w:pPr>
        <w:pStyle w:val="Heading6"/>
      </w:pPr>
      <w:r w:rsidRPr="004E49EA">
        <w:t>Absorption</w:t>
      </w:r>
    </w:p>
    <w:p w14:paraId="38332737" w14:textId="084E0B59" w:rsidR="004E49EA" w:rsidRPr="004E49EA" w:rsidRDefault="004E49EA" w:rsidP="00D61FF2">
      <w:r w:rsidRPr="004E49EA">
        <w:t>CBD appears rapidly in plasma w</w:t>
      </w:r>
      <w:r w:rsidR="001350AC">
        <w:t>ith little or no lag time and the time to reach</w:t>
      </w:r>
      <w:r w:rsidR="008544C8">
        <w:t xml:space="preserve"> maximum plasma concentration</w:t>
      </w:r>
      <w:r w:rsidR="001350AC">
        <w:t xml:space="preserve"> (</w:t>
      </w:r>
      <w:proofErr w:type="spellStart"/>
      <w:r w:rsidRPr="004E49EA">
        <w:t>T</w:t>
      </w:r>
      <w:r w:rsidRPr="001350AC">
        <w:rPr>
          <w:vertAlign w:val="subscript"/>
        </w:rPr>
        <w:t>max</w:t>
      </w:r>
      <w:proofErr w:type="spellEnd"/>
      <w:r w:rsidR="001350AC" w:rsidRPr="001350AC">
        <w:t>)</w:t>
      </w:r>
      <w:r w:rsidRPr="004E49EA">
        <w:t xml:space="preserve"> of a</w:t>
      </w:r>
      <w:r w:rsidR="008F2B6C">
        <w:t>pproximately 3 hours (range: 2.5</w:t>
      </w:r>
      <w:r w:rsidR="00CE772B">
        <w:t xml:space="preserve"> </w:t>
      </w:r>
      <w:r w:rsidR="008F2B6C">
        <w:t xml:space="preserve">to </w:t>
      </w:r>
      <w:r w:rsidRPr="004E49EA">
        <w:t xml:space="preserve">5 hours) at steady state. CBD-OS exposure exhibits nonlinear increase with </w:t>
      </w:r>
      <w:r w:rsidR="008F2B6C">
        <w:t xml:space="preserve">the </w:t>
      </w:r>
      <w:r w:rsidRPr="004E49EA">
        <w:t xml:space="preserve">dose up to 6000 mg under fasting conditions. The absolute oral bioavailability of CBD-OS is low in the fasted state (6.49%), but it </w:t>
      </w:r>
      <w:r w:rsidR="008F2B6C">
        <w:t xml:space="preserve">increases markedly (up to 4.5 to 5 </w:t>
      </w:r>
      <w:r w:rsidRPr="004E49EA">
        <w:t xml:space="preserve">fold) when given with a fatty meal. </w:t>
      </w:r>
      <w:r w:rsidR="008F2B6C">
        <w:t>The c</w:t>
      </w:r>
      <w:r w:rsidRPr="004E49EA">
        <w:t>linical evaluator has highlighted this prandial variability as a major source of unmonitored variation in exposure in the major efficacy studies.</w:t>
      </w:r>
    </w:p>
    <w:p w14:paraId="1D743124" w14:textId="494BF890" w:rsidR="004E49EA" w:rsidRPr="004E49EA" w:rsidRDefault="004E49EA" w:rsidP="008F2B6C">
      <w:pPr>
        <w:pStyle w:val="Heading6"/>
      </w:pPr>
      <w:r w:rsidRPr="004E49EA">
        <w:t>Distribution</w:t>
      </w:r>
    </w:p>
    <w:p w14:paraId="0D8DE27C" w14:textId="028B92E5" w:rsidR="004E49EA" w:rsidRPr="004E49EA" w:rsidRDefault="004E49EA" w:rsidP="00D61FF2">
      <w:r w:rsidRPr="004E49EA">
        <w:t>CBD is highly bound (&gt; 94%) to plasma proteins and it has a high apparent volum</w:t>
      </w:r>
      <w:r w:rsidR="008F2B6C">
        <w:t xml:space="preserve">e of distribution (range: 20963 to </w:t>
      </w:r>
      <w:r w:rsidRPr="004E49EA">
        <w:t>42849 L).</w:t>
      </w:r>
    </w:p>
    <w:p w14:paraId="17366F90" w14:textId="3F8F01DB" w:rsidR="004E49EA" w:rsidRPr="004E49EA" w:rsidRDefault="004E49EA" w:rsidP="008F2B6C">
      <w:pPr>
        <w:pStyle w:val="Heading6"/>
      </w:pPr>
      <w:r w:rsidRPr="004E49EA">
        <w:t>Metabolism</w:t>
      </w:r>
    </w:p>
    <w:p w14:paraId="1E62A9DA" w14:textId="4A8B6DFC" w:rsidR="004E49EA" w:rsidRPr="004E49EA" w:rsidRDefault="004E49EA" w:rsidP="00D61FF2">
      <w:r w:rsidRPr="004E49EA">
        <w:t xml:space="preserve">CBD is rapidly and extensively metabolised in liver and gut, primarily by </w:t>
      </w:r>
      <w:r w:rsidR="001D5E1F">
        <w:t>c</w:t>
      </w:r>
      <w:r w:rsidR="001D5E1F" w:rsidRPr="001D5E1F">
        <w:t xml:space="preserve">ytochrome P450 </w:t>
      </w:r>
      <w:r w:rsidR="001D5E1F">
        <w:t>(</w:t>
      </w:r>
      <w:r w:rsidRPr="004E49EA">
        <w:t>CYP</w:t>
      </w:r>
      <w:r w:rsidR="001D5E1F">
        <w:t>)</w:t>
      </w:r>
      <w:r w:rsidR="00012B14">
        <w:t xml:space="preserve"> enzymes CYP</w:t>
      </w:r>
      <w:r w:rsidRPr="004E49EA">
        <w:t xml:space="preserve">2C19, CYP3A4 and </w:t>
      </w:r>
      <w:r w:rsidR="001D5E1F">
        <w:t>u</w:t>
      </w:r>
      <w:r w:rsidR="001D5E1F" w:rsidRPr="001D5E1F">
        <w:t xml:space="preserve">ridine 5'-diphospho-glucuronosyltransferase </w:t>
      </w:r>
      <w:r w:rsidR="001D5E1F">
        <w:t>(</w:t>
      </w:r>
      <w:r w:rsidRPr="004E49EA">
        <w:t>UGT</w:t>
      </w:r>
      <w:r w:rsidR="001D5E1F">
        <w:t>)</w:t>
      </w:r>
      <w:r w:rsidRPr="004E49EA">
        <w:t>1A7, UGT1A9, and UGT2B7 enzymes</w:t>
      </w:r>
      <w:bookmarkStart w:id="43" w:name="_Ref56592448"/>
      <w:r w:rsidR="001D5E1F">
        <w:t>.</w:t>
      </w:r>
      <w:r w:rsidR="001B2DEC">
        <w:rPr>
          <w:rStyle w:val="FootnoteReference"/>
        </w:rPr>
        <w:footnoteReference w:id="10"/>
      </w:r>
      <w:bookmarkEnd w:id="43"/>
      <w:r w:rsidRPr="004E49EA">
        <w:t xml:space="preserve"> The major circulating product is the pharmacologically inactive 7-COOH-CBD metabolite, followed by the parent drug, CBD, and then 7-OH-CBD, with </w:t>
      </w:r>
      <w:r w:rsidR="001D5E1F">
        <w:rPr>
          <w:szCs w:val="20"/>
        </w:rPr>
        <w:t>6-hydroxy cannabidiol</w:t>
      </w:r>
      <w:r w:rsidR="001D5E1F" w:rsidRPr="004E49EA" w:rsidDel="001D5E1F">
        <w:t xml:space="preserve"> </w:t>
      </w:r>
      <w:r w:rsidR="00DC3B30">
        <w:t>(</w:t>
      </w:r>
      <w:r w:rsidRPr="004E49EA">
        <w:t>6-OH-CBD</w:t>
      </w:r>
      <w:r w:rsidR="00DC3B30">
        <w:t>)</w:t>
      </w:r>
      <w:r w:rsidRPr="004E49EA">
        <w:t xml:space="preserve"> occurring as a minor metabolite.</w:t>
      </w:r>
    </w:p>
    <w:p w14:paraId="4A1ACF0F" w14:textId="2C6E399D" w:rsidR="004E49EA" w:rsidRPr="004E49EA" w:rsidRDefault="00693361" w:rsidP="008F2B6C">
      <w:pPr>
        <w:pStyle w:val="Heading6"/>
      </w:pPr>
      <w:r>
        <w:t>Excretion</w:t>
      </w:r>
    </w:p>
    <w:p w14:paraId="01865B81" w14:textId="707D3E85" w:rsidR="004E49EA" w:rsidRPr="004E49EA" w:rsidRDefault="004E49EA" w:rsidP="00D61FF2">
      <w:r w:rsidRPr="004E49EA">
        <w:t>CBD is associated with a long term</w:t>
      </w:r>
      <w:r w:rsidR="008F2B6C">
        <w:t xml:space="preserve">inal elimination half life, of approximately 60 hours (range: 56 to </w:t>
      </w:r>
      <w:r w:rsidRPr="004E49EA">
        <w:t>61 hours), but elimination is multiphasic. St</w:t>
      </w:r>
      <w:r w:rsidR="008F2B6C">
        <w:t>eady state was reached within 2</w:t>
      </w:r>
      <w:r w:rsidR="00012B14">
        <w:t> </w:t>
      </w:r>
      <w:r w:rsidR="008F2B6C">
        <w:t xml:space="preserve">to </w:t>
      </w:r>
      <w:r w:rsidRPr="004E49EA">
        <w:t>4 days for parent drug CBD, suggesting that the terminal elimination phase was only a minor contributor to drug clearance.</w:t>
      </w:r>
    </w:p>
    <w:p w14:paraId="1A710A4E" w14:textId="16EA1596" w:rsidR="004E49EA" w:rsidRPr="004E49EA" w:rsidRDefault="004E49EA" w:rsidP="00D61FF2">
      <w:r w:rsidRPr="004E49EA">
        <w:t xml:space="preserve">Clearance was unaffected by renal function status, but there was a significant reduction in plasma clearance in subjects with moderate and severe hepatic impairment compared with subjects with normal </w:t>
      </w:r>
      <w:r w:rsidR="00E64FE2">
        <w:t>hepatic function. T</w:t>
      </w:r>
      <w:r w:rsidR="008F2B6C">
        <w:t>he s</w:t>
      </w:r>
      <w:r w:rsidRPr="004E49EA">
        <w:t>ponsor proposes a reduced dose in the presence of severe hepatic impairment.</w:t>
      </w:r>
    </w:p>
    <w:p w14:paraId="7DA50CC7" w14:textId="27CA086F" w:rsidR="004E49EA" w:rsidRPr="004E49EA" w:rsidRDefault="004E49EA" w:rsidP="008F2B6C">
      <w:pPr>
        <w:pStyle w:val="Heading6"/>
      </w:pPr>
      <w:r w:rsidRPr="004E49EA">
        <w:t>Drug-</w:t>
      </w:r>
      <w:r w:rsidR="001D5E1F">
        <w:t>d</w:t>
      </w:r>
      <w:r w:rsidRPr="004E49EA">
        <w:t xml:space="preserve">rug </w:t>
      </w:r>
      <w:r w:rsidR="001D5E1F">
        <w:t>i</w:t>
      </w:r>
      <w:r w:rsidRPr="004E49EA">
        <w:t>nteractions</w:t>
      </w:r>
    </w:p>
    <w:p w14:paraId="31D8D890" w14:textId="77777777" w:rsidR="004C5B16" w:rsidRDefault="008F2B6C" w:rsidP="00D61FF2">
      <w:r>
        <w:t>In a p</w:t>
      </w:r>
      <w:r w:rsidR="004E49EA" w:rsidRPr="004E49EA">
        <w:t>opulation PK analysis, concomitant use of medications that were inhibitors of CYP3A4 and/or CYP2C19 did not significantly aff</w:t>
      </w:r>
      <w:r>
        <w:t xml:space="preserve">ect the PK of CBD. In a healthy </w:t>
      </w:r>
      <w:r w:rsidR="004E49EA" w:rsidRPr="004E49EA">
        <w:t xml:space="preserve">volunteer drug-interaction study, </w:t>
      </w:r>
      <w:proofErr w:type="spellStart"/>
      <w:r w:rsidR="004E49EA" w:rsidRPr="004E49EA">
        <w:t>itraconazole</w:t>
      </w:r>
      <w:proofErr w:type="spellEnd"/>
      <w:r w:rsidR="004E49EA" w:rsidRPr="004E49EA">
        <w:t xml:space="preserve"> and fluconazole did not </w:t>
      </w:r>
      <w:r>
        <w:t xml:space="preserve">have a significant effect on </w:t>
      </w:r>
      <w:r w:rsidR="004E49EA" w:rsidRPr="004E49EA">
        <w:t>CBD and metabolite exposure</w:t>
      </w:r>
      <w:r w:rsidR="004C5B16">
        <w:t>.</w:t>
      </w:r>
    </w:p>
    <w:p w14:paraId="1356C98C" w14:textId="5886DBED" w:rsidR="004E49EA" w:rsidRDefault="004E49EA" w:rsidP="00693361">
      <w:pPr>
        <w:pStyle w:val="Heading7"/>
      </w:pPr>
      <w:r w:rsidRPr="00693361">
        <w:t xml:space="preserve">Anti-epileptic </w:t>
      </w:r>
      <w:r w:rsidR="00DD50F9" w:rsidRPr="00693361">
        <w:t>d</w:t>
      </w:r>
      <w:r w:rsidRPr="00693361">
        <w:t>rugs</w:t>
      </w:r>
    </w:p>
    <w:p w14:paraId="037EB0CB" w14:textId="7A042CEE" w:rsidR="004E49EA" w:rsidRPr="004E49EA" w:rsidRDefault="004E49EA" w:rsidP="00D61FF2">
      <w:r w:rsidRPr="004E49EA">
        <w:t>Most concomitant AEDs had little or no effect on the PK of CBD, but some effects were observed on metabolites; notably the increase in plasma exposure to 7-OH-CBD when co</w:t>
      </w:r>
      <w:r w:rsidR="00405DEA">
        <w:t>-</w:t>
      </w:r>
      <w:r w:rsidRPr="004E49EA">
        <w:t xml:space="preserve">administered with CLB. CBD is a direct reversible inhibitor of major hepatic CYP450 enzymes (CYP1A2, CYP2B6, CYP2C8, CYP2C19, and CYP3A4). The most potent reversible inhibition was observed </w:t>
      </w:r>
      <w:r w:rsidR="003548C3">
        <w:t xml:space="preserve">with CYP3A4. CBD is also a time </w:t>
      </w:r>
      <w:r w:rsidRPr="004E49EA">
        <w:t xml:space="preserve">dependent inhibitor of CYP3A4 and CYP1A2 </w:t>
      </w:r>
      <w:r w:rsidRPr="00E64FE2">
        <w:rPr>
          <w:i/>
        </w:rPr>
        <w:t>in vitro</w:t>
      </w:r>
      <w:r w:rsidRPr="004E49EA">
        <w:t xml:space="preserve">. A dedicated healthy volunteer </w:t>
      </w:r>
      <w:r w:rsidR="003548C3">
        <w:t xml:space="preserve">drug-drug interaction </w:t>
      </w:r>
      <w:r w:rsidRPr="004E49EA">
        <w:t>trial showed no notable interaction between CBD and midazolam, a CYP3A4 probe substrate.</w:t>
      </w:r>
    </w:p>
    <w:p w14:paraId="75463BFA" w14:textId="77777777" w:rsidR="004C5B16" w:rsidRDefault="004E49EA" w:rsidP="00D61FF2">
      <w:r w:rsidRPr="004E49EA">
        <w:t>There was a significant drug interaction observe</w:t>
      </w:r>
      <w:r w:rsidR="00C4075E">
        <w:t>d between CBD and CLB</w:t>
      </w:r>
      <w:r w:rsidRPr="004E49EA">
        <w:t>, observed in healthy volunteers and patients</w:t>
      </w:r>
      <w:r w:rsidR="003548C3">
        <w:t xml:space="preserve">. Exposure to CLB increased 1.2 </w:t>
      </w:r>
      <w:r w:rsidRPr="004E49EA">
        <w:t>fold and the active N-CLB metab</w:t>
      </w:r>
      <w:r w:rsidR="003548C3">
        <w:t xml:space="preserve">olite increased approximately 3 </w:t>
      </w:r>
      <w:r w:rsidRPr="004E49EA">
        <w:t>fold in hea</w:t>
      </w:r>
      <w:r w:rsidR="003548C3">
        <w:t xml:space="preserve">lthy volunteers, and around 2.5 </w:t>
      </w:r>
      <w:r w:rsidRPr="004E49EA">
        <w:t>fold in patients. The intera</w:t>
      </w:r>
      <w:r w:rsidR="003548C3">
        <w:t xml:space="preserve">ction with CLB appears to be bidirectional, with increases (47 to </w:t>
      </w:r>
      <w:r w:rsidRPr="004E49EA">
        <w:t>73%) also observed in plasma exposure to the active 7-OH-CBD metabolite. These effects mean that the major efficacy studies were subject to a large confounding effect, with some apparent efficacy likely to have arisen from elevated N-CLB levels rather than from CBD itself</w:t>
      </w:r>
      <w:r w:rsidR="004C5B16">
        <w:t>.</w:t>
      </w:r>
    </w:p>
    <w:p w14:paraId="69732BF2" w14:textId="77777777" w:rsidR="004C5B16" w:rsidRDefault="004E49EA" w:rsidP="00D61FF2">
      <w:r w:rsidRPr="004E49EA">
        <w:t>No notable PK interaction between valproate a</w:t>
      </w:r>
      <w:r w:rsidR="003548C3">
        <w:t xml:space="preserve">nd CBD was observed. In healthy </w:t>
      </w:r>
      <w:r w:rsidRPr="004E49EA">
        <w:t>volunteers, CBD-OS also increased exposure (</w:t>
      </w:r>
      <w:r w:rsidR="003B4EFF">
        <w:rPr>
          <w:szCs w:val="20"/>
        </w:rPr>
        <w:t>area under plasma concentration-time curve over a dosing interval (</w:t>
      </w:r>
      <w:proofErr w:type="spellStart"/>
      <w:r w:rsidRPr="004E49EA">
        <w:t>AUC</w:t>
      </w:r>
      <w:r w:rsidRPr="003548C3">
        <w:rPr>
          <w:vertAlign w:val="subscript"/>
        </w:rPr>
        <w:t>tau</w:t>
      </w:r>
      <w:proofErr w:type="spellEnd"/>
      <w:r w:rsidR="003B4EFF">
        <w:t>)</w:t>
      </w:r>
      <w:r w:rsidR="00547CF4">
        <w:t xml:space="preserve">) to </w:t>
      </w:r>
      <w:proofErr w:type="spellStart"/>
      <w:r w:rsidR="00547CF4">
        <w:t>stiripentol</w:t>
      </w:r>
      <w:proofErr w:type="spellEnd"/>
      <w:r w:rsidR="00547CF4">
        <w:t xml:space="preserve"> by approximately </w:t>
      </w:r>
      <w:r w:rsidRPr="004E49EA">
        <w:t>55%</w:t>
      </w:r>
      <w:r w:rsidR="004C5B16">
        <w:t>.</w:t>
      </w:r>
    </w:p>
    <w:p w14:paraId="4B814563" w14:textId="4CA7F46F" w:rsidR="004E49EA" w:rsidRPr="004E49EA" w:rsidRDefault="00C05B85" w:rsidP="00211B5D">
      <w:pPr>
        <w:pStyle w:val="Heading6"/>
      </w:pPr>
      <w:r w:rsidRPr="004E49EA">
        <w:t>Tetrahydrocannabinol</w:t>
      </w:r>
    </w:p>
    <w:p w14:paraId="31CDB7FF" w14:textId="0A9D7C11" w:rsidR="004C5B16" w:rsidRDefault="004E49EA" w:rsidP="00D61FF2">
      <w:r w:rsidRPr="004E49EA">
        <w:t xml:space="preserve">Systemic exposure to the </w:t>
      </w:r>
      <w:r w:rsidR="00E62412">
        <w:t>tetrahydrocannabinol (</w:t>
      </w:r>
      <w:r w:rsidRPr="004E49EA">
        <w:t>THC</w:t>
      </w:r>
      <w:r w:rsidR="00E62412">
        <w:t>)</w:t>
      </w:r>
      <w:r w:rsidRPr="004E49EA">
        <w:t xml:space="preserve"> and its metabolite was low (and often below the limits of quantification) at clinically relevant doses</w:t>
      </w:r>
      <w:r w:rsidR="004C5B16">
        <w:t>.</w:t>
      </w:r>
    </w:p>
    <w:p w14:paraId="4240008B" w14:textId="0269D99B" w:rsidR="004E49EA" w:rsidRPr="004E49EA" w:rsidRDefault="00E62412" w:rsidP="00E62412">
      <w:pPr>
        <w:pStyle w:val="Heading5"/>
      </w:pPr>
      <w:r>
        <w:t>Pharmacodynamics</w:t>
      </w:r>
    </w:p>
    <w:p w14:paraId="2C61BA2D" w14:textId="55701B31" w:rsidR="004E49EA" w:rsidRPr="004E49EA" w:rsidRDefault="00625909" w:rsidP="00D61FF2">
      <w:r>
        <w:t xml:space="preserve">An exposure </w:t>
      </w:r>
      <w:r w:rsidR="004E49EA" w:rsidRPr="004E49EA">
        <w:t>response analysis suggested weak but statistically significant relationship betwee</w:t>
      </w:r>
      <w:r>
        <w:t xml:space="preserve">n </w:t>
      </w:r>
      <w:r w:rsidR="0041169A">
        <w:t xml:space="preserve">the </w:t>
      </w:r>
      <w:r w:rsidR="000161CD">
        <w:t>a</w:t>
      </w:r>
      <w:r w:rsidR="0041169A">
        <w:t xml:space="preserve">rea </w:t>
      </w:r>
      <w:r w:rsidR="00547CF4">
        <w:t xml:space="preserve">under the </w:t>
      </w:r>
      <w:r w:rsidR="000161CD">
        <w:t xml:space="preserve">plasma concentration time </w:t>
      </w:r>
      <w:r w:rsidR="00547CF4">
        <w:t xml:space="preserve">curve </w:t>
      </w:r>
      <w:r w:rsidR="0041169A">
        <w:t>(AUC)</w:t>
      </w:r>
      <w:r>
        <w:t xml:space="preserve"> of CBD and change in drop </w:t>
      </w:r>
      <w:r w:rsidR="004E49EA" w:rsidRPr="004E49EA">
        <w:t>seizure frequency in LGS subjects, which provides some support for the sponsor’s claim that CBD has efficacy beyond its ability to increase N-CLB levels.</w:t>
      </w:r>
    </w:p>
    <w:p w14:paraId="3C30167B" w14:textId="48D00D74" w:rsidR="004E49EA" w:rsidRPr="004E49EA" w:rsidRDefault="004E49EA" w:rsidP="00D61FF2">
      <w:r w:rsidRPr="004E49EA">
        <w:t>Studies assessing drug likeability showed that CBD has mild drug likeability effects, significantly different from placebo, but the subjective effects were significantly lower than the effects produced by the positive contr</w:t>
      </w:r>
      <w:r w:rsidR="00625909">
        <w:t xml:space="preserve">ols, alprazolam and </w:t>
      </w:r>
      <w:proofErr w:type="spellStart"/>
      <w:r w:rsidR="00625909">
        <w:t>dronabinol</w:t>
      </w:r>
      <w:proofErr w:type="spellEnd"/>
      <w:r w:rsidR="00625909">
        <w:t>.</w:t>
      </w:r>
    </w:p>
    <w:p w14:paraId="1BDB4720" w14:textId="1C839DB4" w:rsidR="004E49EA" w:rsidRPr="004E49EA" w:rsidRDefault="004E49EA" w:rsidP="00D61FF2">
      <w:r w:rsidRPr="004E49EA">
        <w:t xml:space="preserve">CBD-OS did not affect </w:t>
      </w:r>
      <w:proofErr w:type="spellStart"/>
      <w:r w:rsidRPr="004E49EA">
        <w:t>QTc</w:t>
      </w:r>
      <w:proofErr w:type="spellEnd"/>
      <w:r w:rsidRPr="004E49EA">
        <w:t xml:space="preserve"> interval</w:t>
      </w:r>
      <w:r w:rsidR="00625909">
        <w:t xml:space="preserve"> or any other </w:t>
      </w:r>
      <w:proofErr w:type="spellStart"/>
      <w:r w:rsidR="00625909">
        <w:t>cardio</w:t>
      </w:r>
      <w:r w:rsidRPr="004E49EA">
        <w:t>physiological</w:t>
      </w:r>
      <w:proofErr w:type="spellEnd"/>
      <w:r w:rsidRPr="004E49EA">
        <w:t xml:space="preserve"> parameters over a limited range of do</w:t>
      </w:r>
      <w:r w:rsidR="00625909">
        <w:t>ses; the doses assessed in the s</w:t>
      </w:r>
      <w:r w:rsidRPr="004E49EA">
        <w:t>ponsor’s QT study did not explor</w:t>
      </w:r>
      <w:r w:rsidR="00625909">
        <w:t xml:space="preserve">e </w:t>
      </w:r>
      <w:proofErr w:type="spellStart"/>
      <w:r w:rsidR="00625909">
        <w:t>supratherapeutic</w:t>
      </w:r>
      <w:proofErr w:type="spellEnd"/>
      <w:r w:rsidR="00625909">
        <w:t xml:space="preserve"> dosing.</w:t>
      </w:r>
      <w:bookmarkStart w:id="44" w:name="_Ref61602716"/>
      <w:r w:rsidR="0092287E">
        <w:rPr>
          <w:rStyle w:val="FootnoteReference"/>
        </w:rPr>
        <w:footnoteReference w:id="11"/>
      </w:r>
      <w:bookmarkEnd w:id="44"/>
      <w:r w:rsidR="00625909">
        <w:t xml:space="preserve"> The D</w:t>
      </w:r>
      <w:r w:rsidRPr="004E49EA">
        <w:t xml:space="preserve">elegate would like to know if additional QT study is ongoing as per </w:t>
      </w:r>
      <w:r w:rsidR="002E0DA7">
        <w:t xml:space="preserve">the </w:t>
      </w:r>
      <w:r w:rsidRPr="004E49EA">
        <w:t>FDA review.</w:t>
      </w:r>
      <w:bookmarkStart w:id="45" w:name="_Ref57729416"/>
      <w:r w:rsidR="000161CD">
        <w:rPr>
          <w:rStyle w:val="FootnoteReference"/>
        </w:rPr>
        <w:footnoteReference w:id="12"/>
      </w:r>
      <w:bookmarkEnd w:id="45"/>
    </w:p>
    <w:p w14:paraId="46445351" w14:textId="2DE2F17A" w:rsidR="004E49EA" w:rsidRPr="004E49EA" w:rsidRDefault="004E49EA" w:rsidP="00972993">
      <w:pPr>
        <w:pStyle w:val="Heading5"/>
      </w:pPr>
      <w:r w:rsidRPr="004E49EA">
        <w:t xml:space="preserve">Dose </w:t>
      </w:r>
      <w:r w:rsidR="000161CD">
        <w:t>s</w:t>
      </w:r>
      <w:r w:rsidRPr="004E49EA">
        <w:t>election</w:t>
      </w:r>
    </w:p>
    <w:p w14:paraId="463D2936" w14:textId="7656ACAF" w:rsidR="004E49EA" w:rsidRPr="004E49EA" w:rsidRDefault="004E49EA" w:rsidP="00D61FF2">
      <w:r w:rsidRPr="004E49EA">
        <w:t>Dose selection appears broadly reasonable. Consisten</w:t>
      </w:r>
      <w:r w:rsidR="00E64FE2">
        <w:t xml:space="preserve">t with the long </w:t>
      </w:r>
      <w:proofErr w:type="spellStart"/>
      <w:r w:rsidR="00E64FE2">
        <w:t xml:space="preserve">half </w:t>
      </w:r>
      <w:r w:rsidR="001E15FD">
        <w:t>life</w:t>
      </w:r>
      <w:proofErr w:type="spellEnd"/>
      <w:r w:rsidR="001E15FD">
        <w:t xml:space="preserve">, peak </w:t>
      </w:r>
      <w:r w:rsidRPr="004E49EA">
        <w:t>t</w:t>
      </w:r>
      <w:r w:rsidR="001E15FD">
        <w:t xml:space="preserve">o </w:t>
      </w:r>
      <w:r w:rsidRPr="004E49EA">
        <w:t>trough ratios were low at steady state, suggesting adequate coverage throughout the day with tw</w:t>
      </w:r>
      <w:r w:rsidR="002E0DA7">
        <w:t>ice daily dosing. However, the c</w:t>
      </w:r>
      <w:r w:rsidRPr="004E49EA">
        <w:t>linical evaluator has questioned the effect of food and weight on dosing.</w:t>
      </w:r>
    </w:p>
    <w:p w14:paraId="3362CDD7" w14:textId="762BADD5" w:rsidR="004E49EA" w:rsidRPr="004E49EA" w:rsidRDefault="004E49EA" w:rsidP="002E0DA7">
      <w:pPr>
        <w:pStyle w:val="Heading6"/>
      </w:pPr>
      <w:r w:rsidRPr="004E49EA">
        <w:t>Effect of weight on dosing</w:t>
      </w:r>
    </w:p>
    <w:p w14:paraId="707F870C" w14:textId="04B8B2C1" w:rsidR="004E49EA" w:rsidRPr="004E49EA" w:rsidRDefault="002E0DA7" w:rsidP="00D61FF2">
      <w:r>
        <w:t>The s</w:t>
      </w:r>
      <w:r w:rsidR="004E49EA" w:rsidRPr="004E49EA">
        <w:t>ponsor has concluded in the dossier that the dose of CBD-OS does not require adjustment by sex, weight, race, or age (in the p</w:t>
      </w:r>
      <w:r w:rsidR="00E64FE2">
        <w:t>aediatric or adult populations). The</w:t>
      </w:r>
      <w:r w:rsidR="004E49EA" w:rsidRPr="004E49EA">
        <w:t xml:space="preserve"> clinical evaluator que</w:t>
      </w:r>
      <w:r>
        <w:t xml:space="preserve">stioned the sponsor’s proposed weight </w:t>
      </w:r>
      <w:r w:rsidR="004E49EA" w:rsidRPr="004E49EA">
        <w:t>based dosing as this approach may lead to reduced exposure in lighter patients and increased exposure in heavier patients.</w:t>
      </w:r>
    </w:p>
    <w:p w14:paraId="6084CE77" w14:textId="02C054C2" w:rsidR="002E0DA7" w:rsidRDefault="002E0DA7" w:rsidP="00D61FF2">
      <w:r>
        <w:t>This was raised during the EM</w:t>
      </w:r>
      <w:r w:rsidR="004E49EA" w:rsidRPr="004E49EA">
        <w:t>A evaluation as well: In order to address the concerns, the sponsor conducted a pooled popula</w:t>
      </w:r>
      <w:r>
        <w:t>tion pharmacokinetic analysis</w:t>
      </w:r>
      <w:r w:rsidR="004E49EA" w:rsidRPr="004E49EA">
        <w:t xml:space="preserve"> in subjects and patients participating in </w:t>
      </w:r>
      <w:r w:rsidR="000161CD">
        <w:t>Studies</w:t>
      </w:r>
      <w:r w:rsidR="000161CD" w:rsidRPr="004E49EA">
        <w:t xml:space="preserve"> </w:t>
      </w:r>
      <w:r w:rsidR="004E49EA" w:rsidRPr="004E49EA">
        <w:t>GWEP1544, GWEP1332A, GWEP1414, GWEP1423, GWEP1428, GWEP1539, GWEP1540, GWEP1541, GWEP1543, GWEP1446 and GWEP17028</w:t>
      </w:r>
      <w:r w:rsidR="00A44656">
        <w:t>.</w:t>
      </w:r>
      <w:r w:rsidR="008C2092">
        <w:rPr>
          <w:rStyle w:val="FootnoteReference"/>
        </w:rPr>
        <w:footnoteReference w:id="13"/>
      </w:r>
      <w:r w:rsidR="004E49EA" w:rsidRPr="004E49EA">
        <w:t xml:space="preserve"> The objective was to develop a joint population </w:t>
      </w:r>
      <w:r>
        <w:t>PK</w:t>
      </w:r>
      <w:r w:rsidR="004E49EA" w:rsidRPr="004E49EA">
        <w:t xml:space="preserve"> model for </w:t>
      </w:r>
      <w:r>
        <w:t>CBD</w:t>
      </w:r>
      <w:r w:rsidR="004E49EA" w:rsidRPr="004E49EA">
        <w:t xml:space="preserve"> and 2 major circulating metabolites 7-OH</w:t>
      </w:r>
      <w:r w:rsidR="004D65F3">
        <w:t>-CBD</w:t>
      </w:r>
      <w:r w:rsidR="004E49EA" w:rsidRPr="004E49EA">
        <w:t xml:space="preserve"> and </w:t>
      </w:r>
      <w:r w:rsidR="004D65F3">
        <w:t>7-COOH-CBD</w:t>
      </w:r>
      <w:r w:rsidR="004E49EA" w:rsidRPr="004E49EA">
        <w:t>, based on the data coll</w:t>
      </w:r>
      <w:r>
        <w:t>ected in healthy adult subjects;</w:t>
      </w:r>
      <w:r w:rsidR="004E49EA" w:rsidRPr="004E49EA">
        <w:t xml:space="preserve"> adult subjects with various degrees o</w:t>
      </w:r>
      <w:r>
        <w:t>f renal and hepatic impairments; adult patients with epilepsy; patients with DS; and patients with LGS</w:t>
      </w:r>
      <w:r w:rsidR="004E49EA" w:rsidRPr="004E49EA">
        <w:t xml:space="preserve">. The analysis focused on several potential covariates, such as baseline body weight, unit dose of </w:t>
      </w:r>
      <w:r w:rsidR="008361E5">
        <w:t>CBD</w:t>
      </w:r>
      <w:r w:rsidR="004E49EA" w:rsidRPr="004E49EA">
        <w:t xml:space="preserve">, prandial state, body mass index, age and concomitant medications. The results showed </w:t>
      </w:r>
      <w:proofErr w:type="spellStart"/>
      <w:r w:rsidR="001E15FD">
        <w:t>interindividual</w:t>
      </w:r>
      <w:proofErr w:type="spellEnd"/>
      <w:r w:rsidR="001E15FD">
        <w:t xml:space="preserve"> variability</w:t>
      </w:r>
      <w:r w:rsidR="004E49EA" w:rsidRPr="004E49EA">
        <w:t xml:space="preserve"> was high in the pooled PK data for al</w:t>
      </w:r>
      <w:r w:rsidR="001E15FD">
        <w:t xml:space="preserve">l PK parameters ranging from 47 to </w:t>
      </w:r>
      <w:r w:rsidR="004E49EA" w:rsidRPr="004E49EA">
        <w:t>113% probably due to unknown food status in most of the subjects. Nevertheless, the analysis did not identify significant impact of gender, age, race on PK parameters of CBD.</w:t>
      </w:r>
    </w:p>
    <w:p w14:paraId="676CBE4F" w14:textId="27805425" w:rsidR="004E49EA" w:rsidRPr="004E49EA" w:rsidRDefault="004E49EA" w:rsidP="00D61FF2">
      <w:r w:rsidRPr="004E49EA">
        <w:t xml:space="preserve">In conclusion, these variables have minor or no influence on CBD </w:t>
      </w:r>
      <w:r w:rsidR="002679F7">
        <w:t>PK</w:t>
      </w:r>
      <w:r w:rsidRPr="004E49EA">
        <w:t>.</w:t>
      </w:r>
    </w:p>
    <w:p w14:paraId="51CDCCB7" w14:textId="0128D5BB" w:rsidR="004E49EA" w:rsidRPr="004E49EA" w:rsidRDefault="004E49EA" w:rsidP="002E0DA7">
      <w:pPr>
        <w:pStyle w:val="Heading6"/>
      </w:pPr>
      <w:r w:rsidRPr="004E49EA">
        <w:t>Effect of food on dosing</w:t>
      </w:r>
    </w:p>
    <w:p w14:paraId="5F337786" w14:textId="0BD67900" w:rsidR="004E49EA" w:rsidRPr="004E49EA" w:rsidRDefault="004E49EA" w:rsidP="00D61FF2">
      <w:r w:rsidRPr="004E49EA">
        <w:t xml:space="preserve">Dose selection for the pivotal studies did not take into account the marked food effect associated with CBD, which </w:t>
      </w:r>
      <w:r w:rsidR="00E05842">
        <w:t xml:space="preserve">can increase exposure up to 4.5 to 5 fold. </w:t>
      </w:r>
      <w:r w:rsidR="00FB1CA1">
        <w:t xml:space="preserve">The PI </w:t>
      </w:r>
      <w:r w:rsidRPr="004E49EA">
        <w:t>recommends that CBD should be administered consistently in either the fed or</w:t>
      </w:r>
      <w:r w:rsidR="00E05842">
        <w:t xml:space="preserve"> the fasting state. As the dose </w:t>
      </w:r>
      <w:r w:rsidRPr="004E49EA">
        <w:t>response between the 10 and 20 mg dose</w:t>
      </w:r>
      <w:r w:rsidR="00E05842">
        <w:t>s</w:t>
      </w:r>
      <w:r w:rsidRPr="004E49EA">
        <w:t xml:space="preserve"> </w:t>
      </w:r>
      <w:r w:rsidR="00E05842">
        <w:t xml:space="preserve">is not steep, intermittent food </w:t>
      </w:r>
      <w:r w:rsidRPr="004E49EA">
        <w:t xml:space="preserve">related differences should not have a major impact on efficacy. In addition, effectiveness was established in studies with the drug administered without any restriction related to the timing of food intake. The </w:t>
      </w:r>
      <w:r w:rsidR="00E05842">
        <w:t xml:space="preserve">drug also has a long </w:t>
      </w:r>
      <w:proofErr w:type="spellStart"/>
      <w:r w:rsidR="00E05842">
        <w:t xml:space="preserve">half </w:t>
      </w:r>
      <w:r w:rsidRPr="004E49EA">
        <w:t>life</w:t>
      </w:r>
      <w:proofErr w:type="spellEnd"/>
      <w:r w:rsidRPr="004E49EA">
        <w:t>, and the natural variability of dosing with respect to food intake should main</w:t>
      </w:r>
      <w:r w:rsidR="00E05842">
        <w:t xml:space="preserve">tain a relatively constant long </w:t>
      </w:r>
      <w:r w:rsidRPr="004E49EA">
        <w:t>term steady state exposure despite acute superimposed alterations in exposure due to individual doses. Therefore, t</w:t>
      </w:r>
      <w:r w:rsidR="00E05842">
        <w:t>he D</w:t>
      </w:r>
      <w:r w:rsidRPr="004E49EA">
        <w:t>elegate would support avoiding any specific recommendation to take the drug in a fed or fasted state in the PI and should be driven by clinical judgement.</w:t>
      </w:r>
    </w:p>
    <w:p w14:paraId="547D30DC" w14:textId="169C1997" w:rsidR="004E49EA" w:rsidRPr="004E49EA" w:rsidRDefault="004E49EA" w:rsidP="00E05842">
      <w:pPr>
        <w:pStyle w:val="Heading4"/>
      </w:pPr>
      <w:r w:rsidRPr="004E49EA">
        <w:t>Efficacy</w:t>
      </w:r>
    </w:p>
    <w:p w14:paraId="61C85850" w14:textId="7D8E613D" w:rsidR="004E49EA" w:rsidRPr="004E49EA" w:rsidRDefault="00E05842" w:rsidP="00D61FF2">
      <w:r>
        <w:t>There are f</w:t>
      </w:r>
      <w:r w:rsidR="004E49EA" w:rsidRPr="004E49EA">
        <w:t>our pivotal efficacy studies:</w:t>
      </w:r>
    </w:p>
    <w:p w14:paraId="3203F77D" w14:textId="5A354D05" w:rsidR="00E05842" w:rsidRDefault="00D540D1" w:rsidP="00C93A0C">
      <w:pPr>
        <w:pStyle w:val="ListBullet"/>
      </w:pPr>
      <w:r>
        <w:rPr>
          <w:rFonts w:cs="Cambria"/>
          <w:iCs/>
          <w:color w:val="001422"/>
        </w:rPr>
        <w:t xml:space="preserve">Study </w:t>
      </w:r>
      <w:r w:rsidR="004E49EA" w:rsidRPr="00E05842">
        <w:rPr>
          <w:rFonts w:cs="Cambria"/>
          <w:iCs/>
          <w:color w:val="001422"/>
        </w:rPr>
        <w:t>GWEP1414 (</w:t>
      </w:r>
      <w:r>
        <w:rPr>
          <w:rFonts w:cs="Cambria"/>
          <w:iCs/>
          <w:color w:val="001422"/>
        </w:rPr>
        <w:t xml:space="preserve">also known as </w:t>
      </w:r>
      <w:r w:rsidR="004E49EA" w:rsidRPr="00E05842">
        <w:rPr>
          <w:rFonts w:cs="Cambria"/>
          <w:iCs/>
          <w:color w:val="001422"/>
        </w:rPr>
        <w:t xml:space="preserve">Study LGS-14): </w:t>
      </w:r>
      <w:r w:rsidR="00E05842">
        <w:t xml:space="preserve">A randomised, double </w:t>
      </w:r>
      <w:r w:rsidR="004E49EA" w:rsidRPr="004E49EA">
        <w:t>blind,</w:t>
      </w:r>
      <w:r w:rsidR="00E05842">
        <w:t xml:space="preserve"> placebo </w:t>
      </w:r>
      <w:r w:rsidR="004E49EA" w:rsidRPr="004E49EA">
        <w:t>controlled study to investigate the efficacy and safety of cannabidiol as adjunctive treatment for seizures associated with L</w:t>
      </w:r>
      <w:r w:rsidR="00316FBF">
        <w:t>GS</w:t>
      </w:r>
      <w:r w:rsidR="004E49EA" w:rsidRPr="004E49EA">
        <w:t xml:space="preserve"> in children and adults.</w:t>
      </w:r>
    </w:p>
    <w:p w14:paraId="4A88C036" w14:textId="49D8919B" w:rsidR="00E05842" w:rsidRDefault="00D540D1" w:rsidP="00C93A0C">
      <w:pPr>
        <w:pStyle w:val="ListBullet"/>
      </w:pPr>
      <w:r>
        <w:rPr>
          <w:rFonts w:cs="Cambria"/>
          <w:iCs/>
          <w:color w:val="001422"/>
        </w:rPr>
        <w:t xml:space="preserve">Study </w:t>
      </w:r>
      <w:r w:rsidR="004E49EA" w:rsidRPr="00E05842">
        <w:rPr>
          <w:rFonts w:cs="Cambria"/>
          <w:iCs/>
          <w:color w:val="001422"/>
        </w:rPr>
        <w:t>GWEP1423 (</w:t>
      </w:r>
      <w:r>
        <w:rPr>
          <w:rFonts w:cs="Cambria"/>
          <w:iCs/>
          <w:color w:val="001422"/>
        </w:rPr>
        <w:t xml:space="preserve">also known as </w:t>
      </w:r>
      <w:r w:rsidR="004E49EA" w:rsidRPr="00E05842">
        <w:rPr>
          <w:rFonts w:cs="Cambria"/>
          <w:iCs/>
          <w:color w:val="001422"/>
        </w:rPr>
        <w:t xml:space="preserve">Study LGS-23): </w:t>
      </w:r>
      <w:r w:rsidR="00E05842">
        <w:t xml:space="preserve">A randomised, double blind, placebo </w:t>
      </w:r>
      <w:r w:rsidR="004E49EA" w:rsidRPr="004E49EA">
        <w:t>controlled study to investigate the efficacy and safety of cannabidiol as adjunctive treatment for seizures associated with L</w:t>
      </w:r>
      <w:r w:rsidR="00316FBF">
        <w:t>GS</w:t>
      </w:r>
      <w:r w:rsidR="004E49EA" w:rsidRPr="004E49EA">
        <w:t xml:space="preserve"> in children and adults.</w:t>
      </w:r>
    </w:p>
    <w:p w14:paraId="56B43D53" w14:textId="1456CA84" w:rsidR="00E05842" w:rsidRDefault="00D540D1" w:rsidP="00C93A0C">
      <w:pPr>
        <w:pStyle w:val="ListBullet"/>
      </w:pPr>
      <w:r>
        <w:rPr>
          <w:rFonts w:cs="Cambria"/>
          <w:iCs/>
          <w:color w:val="001422"/>
        </w:rPr>
        <w:t xml:space="preserve">Study </w:t>
      </w:r>
      <w:r w:rsidR="004E49EA" w:rsidRPr="00E05842">
        <w:rPr>
          <w:rFonts w:cs="Cambria"/>
          <w:iCs/>
          <w:color w:val="001422"/>
        </w:rPr>
        <w:t>GWEP1424 (</w:t>
      </w:r>
      <w:r>
        <w:rPr>
          <w:rFonts w:cs="Cambria"/>
          <w:iCs/>
          <w:color w:val="001422"/>
        </w:rPr>
        <w:t xml:space="preserve">also known as </w:t>
      </w:r>
      <w:r w:rsidR="004E49EA" w:rsidRPr="00E05842">
        <w:rPr>
          <w:rFonts w:cs="Cambria"/>
          <w:iCs/>
          <w:color w:val="001422"/>
        </w:rPr>
        <w:t xml:space="preserve">Study DS-24): </w:t>
      </w:r>
      <w:r w:rsidR="00E05842">
        <w:t xml:space="preserve">A randomised, double blind, placebo </w:t>
      </w:r>
      <w:r w:rsidR="004E49EA" w:rsidRPr="004E49EA">
        <w:t>controlled study to investigate the efficacy and safety of cannabidiol in children and young adults with D</w:t>
      </w:r>
      <w:r w:rsidR="00316FBF">
        <w:t>S</w:t>
      </w:r>
      <w:r w:rsidR="004E49EA" w:rsidRPr="004E49EA">
        <w:t>.</w:t>
      </w:r>
    </w:p>
    <w:p w14:paraId="49D59551" w14:textId="60A3F04F" w:rsidR="004E49EA" w:rsidRPr="004E49EA" w:rsidRDefault="00D540D1" w:rsidP="00D61FF2">
      <w:pPr>
        <w:pStyle w:val="ListBullet"/>
      </w:pPr>
      <w:r>
        <w:rPr>
          <w:rFonts w:cs="Cambria"/>
          <w:iCs/>
          <w:color w:val="001422"/>
        </w:rPr>
        <w:t xml:space="preserve">Study </w:t>
      </w:r>
      <w:r w:rsidR="004E49EA" w:rsidRPr="00E05842">
        <w:rPr>
          <w:rFonts w:cs="Cambria"/>
          <w:iCs/>
          <w:color w:val="001422"/>
        </w:rPr>
        <w:t>GWEP1332 (</w:t>
      </w:r>
      <w:r>
        <w:rPr>
          <w:rFonts w:cs="Cambria"/>
          <w:iCs/>
          <w:color w:val="001422"/>
        </w:rPr>
        <w:t xml:space="preserve">also known as </w:t>
      </w:r>
      <w:r w:rsidR="004E49EA" w:rsidRPr="00E05842">
        <w:rPr>
          <w:rFonts w:cs="Cambria"/>
          <w:iCs/>
          <w:color w:val="001422"/>
        </w:rPr>
        <w:t>Study DS-32)</w:t>
      </w:r>
      <w:r w:rsidR="004E49EA" w:rsidRPr="00E05842">
        <w:rPr>
          <w:rFonts w:cs="Cambria"/>
          <w:i/>
          <w:iCs/>
          <w:color w:val="001422"/>
        </w:rPr>
        <w:t xml:space="preserve">: </w:t>
      </w:r>
      <w:r w:rsidR="00E05842">
        <w:t xml:space="preserve">A double blind, placebo controlled, two </w:t>
      </w:r>
      <w:r w:rsidR="004E49EA" w:rsidRPr="004E49EA">
        <w:t>par</w:t>
      </w:r>
      <w:r w:rsidR="00E05842">
        <w:t xml:space="preserve">t study to investigate the dose </w:t>
      </w:r>
      <w:r w:rsidR="004E49EA" w:rsidRPr="004E49EA">
        <w:t>rangi</w:t>
      </w:r>
      <w:r w:rsidR="00E05842">
        <w:t xml:space="preserve">ng safety and </w:t>
      </w:r>
      <w:r w:rsidR="002679F7">
        <w:t>PK</w:t>
      </w:r>
      <w:r w:rsidR="00E05842">
        <w:t xml:space="preserve">; </w:t>
      </w:r>
      <w:r w:rsidR="004E49EA" w:rsidRPr="004E49EA">
        <w:t>followed by the efficacy an</w:t>
      </w:r>
      <w:r w:rsidR="00E05842">
        <w:t xml:space="preserve">d safety; </w:t>
      </w:r>
      <w:r w:rsidR="004E49EA" w:rsidRPr="004E49EA">
        <w:t xml:space="preserve">of cannabidiol in children and young adults with </w:t>
      </w:r>
      <w:r w:rsidR="00316FBF">
        <w:t>DS</w:t>
      </w:r>
      <w:r w:rsidR="004E49EA" w:rsidRPr="004E49EA">
        <w:t>.</w:t>
      </w:r>
    </w:p>
    <w:p w14:paraId="21CE1C8B" w14:textId="2F47587E" w:rsidR="004E49EA" w:rsidRPr="004E49EA" w:rsidRDefault="004E49EA" w:rsidP="00E05842">
      <w:pPr>
        <w:pStyle w:val="Heading5"/>
      </w:pPr>
      <w:r w:rsidRPr="004E49EA">
        <w:t xml:space="preserve">Open </w:t>
      </w:r>
      <w:r w:rsidR="00C441DE">
        <w:t>l</w:t>
      </w:r>
      <w:r w:rsidRPr="004E49EA">
        <w:t xml:space="preserve">abel </w:t>
      </w:r>
      <w:r w:rsidR="00C441DE">
        <w:t>e</w:t>
      </w:r>
      <w:r w:rsidRPr="004E49EA">
        <w:t xml:space="preserve">xtension </w:t>
      </w:r>
      <w:r w:rsidR="00C441DE">
        <w:t>s</w:t>
      </w:r>
      <w:r w:rsidRPr="004E49EA">
        <w:t>tudy</w:t>
      </w:r>
      <w:r w:rsidR="00E05842">
        <w:t xml:space="preserve">: </w:t>
      </w:r>
      <w:r w:rsidR="00C441DE">
        <w:t xml:space="preserve">Study </w:t>
      </w:r>
      <w:r w:rsidRPr="004E49EA">
        <w:t>GWEP1415</w:t>
      </w:r>
    </w:p>
    <w:p w14:paraId="7B29CB59" w14:textId="7CE512EC" w:rsidR="004E49EA" w:rsidRPr="004E49EA" w:rsidRDefault="00E05842" w:rsidP="00D61FF2">
      <w:r>
        <w:t xml:space="preserve">This is an </w:t>
      </w:r>
      <w:r w:rsidR="00075FD0">
        <w:t>ongoing</w:t>
      </w:r>
      <w:r>
        <w:t xml:space="preserve"> open </w:t>
      </w:r>
      <w:r w:rsidR="004E49EA" w:rsidRPr="004E49EA">
        <w:t xml:space="preserve">label extension study primarily intended to investigate the </w:t>
      </w:r>
      <w:r w:rsidR="004E49EA" w:rsidRPr="001E15FD">
        <w:rPr>
          <w:iCs/>
        </w:rPr>
        <w:t>safety</w:t>
      </w:r>
      <w:r w:rsidR="004E49EA" w:rsidRPr="004E49EA">
        <w:rPr>
          <w:i/>
          <w:iCs/>
        </w:rPr>
        <w:t xml:space="preserve"> </w:t>
      </w:r>
      <w:r w:rsidR="004E49EA" w:rsidRPr="004E49EA">
        <w:t xml:space="preserve">of CBD in children and adults with inadequately controlled </w:t>
      </w:r>
      <w:r w:rsidR="00F518E9">
        <w:t>DS</w:t>
      </w:r>
      <w:r w:rsidR="004E49EA" w:rsidRPr="004E49EA">
        <w:t xml:space="preserve"> or </w:t>
      </w:r>
      <w:r w:rsidR="00F518E9">
        <w:t>LGS.</w:t>
      </w:r>
    </w:p>
    <w:p w14:paraId="0D6B00C8" w14:textId="54EEFA5E" w:rsidR="004E49EA" w:rsidRPr="004E49EA" w:rsidRDefault="00E05842" w:rsidP="00972993">
      <w:pPr>
        <w:pStyle w:val="Heading5"/>
      </w:pPr>
      <w:r>
        <w:t xml:space="preserve">Extended </w:t>
      </w:r>
      <w:r w:rsidR="00075FD0">
        <w:t>access progr</w:t>
      </w:r>
      <w:r>
        <w:t>am</w:t>
      </w:r>
    </w:p>
    <w:p w14:paraId="6899F1D2" w14:textId="6EEA6069" w:rsidR="00C441DE" w:rsidRDefault="00E05842" w:rsidP="00D61FF2">
      <w:r>
        <w:t xml:space="preserve">Additional open </w:t>
      </w:r>
      <w:r w:rsidR="004E49EA" w:rsidRPr="004E49EA">
        <w:t>label safety and efficacy data comes from an Extended Access Program (EAP)</w:t>
      </w:r>
      <w:r>
        <w:t xml:space="preserve">, which included some physician </w:t>
      </w:r>
      <w:r w:rsidR="004E49EA" w:rsidRPr="004E49EA">
        <w:t>initiated usage in the US, and a compassionate access schem</w:t>
      </w:r>
      <w:r>
        <w:t xml:space="preserve">e in New South Wales, Australia; for patients with </w:t>
      </w:r>
      <w:r w:rsidR="00FC2753">
        <w:t>DRE</w:t>
      </w:r>
      <w:r w:rsidR="004E49EA" w:rsidRPr="004E49EA">
        <w:t>. The EAP extended the safety database somewhat but it provided no robust efficacy data, because of the lack of a con</w:t>
      </w:r>
      <w:r>
        <w:t xml:space="preserve">trol group and the lack of </w:t>
      </w:r>
      <w:r w:rsidR="00075FD0">
        <w:t>well-</w:t>
      </w:r>
      <w:r w:rsidR="00075FD0" w:rsidRPr="004E49EA">
        <w:t>defined</w:t>
      </w:r>
      <w:r w:rsidR="004E49EA" w:rsidRPr="004E49EA">
        <w:t xml:space="preserve"> efficacy endpoints.</w:t>
      </w:r>
    </w:p>
    <w:p w14:paraId="5D09BE6A" w14:textId="65DA417B" w:rsidR="004E49EA" w:rsidRPr="004E49EA" w:rsidRDefault="00C441DE" w:rsidP="00972993">
      <w:pPr>
        <w:pStyle w:val="Heading5"/>
      </w:pPr>
      <w:r>
        <w:t xml:space="preserve">Pivotal </w:t>
      </w:r>
      <w:r w:rsidR="00CA00C4">
        <w:t>studies</w:t>
      </w:r>
    </w:p>
    <w:p w14:paraId="59DAC677" w14:textId="409E0BA8" w:rsidR="004E49EA" w:rsidRPr="004E49EA" w:rsidRDefault="004E49EA" w:rsidP="00552D07">
      <w:pPr>
        <w:pStyle w:val="Heading6"/>
      </w:pPr>
      <w:r w:rsidRPr="004E49EA">
        <w:t xml:space="preserve">Study </w:t>
      </w:r>
      <w:r w:rsidR="00C441DE">
        <w:t>d</w:t>
      </w:r>
      <w:r w:rsidRPr="004E49EA">
        <w:t>esign</w:t>
      </w:r>
    </w:p>
    <w:p w14:paraId="66FFD5BE" w14:textId="48AFDBD8" w:rsidR="004E49EA" w:rsidRDefault="004E49EA" w:rsidP="00D61FF2">
      <w:r w:rsidRPr="004E49EA">
        <w:t>All four pivotal trials (Study LGS-14, Study LGS-23, Study DS-24, and Study DS-32) were ra</w:t>
      </w:r>
      <w:r w:rsidR="00552D07">
        <w:t xml:space="preserve">ndomised, double blind, placebo </w:t>
      </w:r>
      <w:r w:rsidRPr="004E49EA">
        <w:t>controlled studies using a parallel group design. All four studies evaluated CBD-OS 20 mg/kg/day versus placebo as adjunctive therapy in the treatment of epilepsy. Study LGS-14 and Study DS-24 also included a 10 mg/kg/day dose arm.</w:t>
      </w:r>
      <w:r w:rsidR="00B174AB">
        <w:t xml:space="preserve"> </w:t>
      </w:r>
      <w:r w:rsidR="00B174AB">
        <w:fldChar w:fldCharType="begin"/>
      </w:r>
      <w:r w:rsidR="00B174AB">
        <w:instrText xml:space="preserve"> REF _Ref56524023 \h </w:instrText>
      </w:r>
      <w:r w:rsidR="00B174AB">
        <w:fldChar w:fldCharType="separate"/>
      </w:r>
      <w:r w:rsidR="00E0078F">
        <w:t xml:space="preserve">Figure </w:t>
      </w:r>
      <w:r w:rsidR="00E0078F">
        <w:rPr>
          <w:noProof/>
        </w:rPr>
        <w:t>1</w:t>
      </w:r>
      <w:r w:rsidR="00B174AB">
        <w:fldChar w:fldCharType="end"/>
      </w:r>
      <w:r w:rsidR="00B174AB">
        <w:t xml:space="preserve"> </w:t>
      </w:r>
      <w:r w:rsidR="005260AA">
        <w:t xml:space="preserve">(see below) </w:t>
      </w:r>
      <w:r w:rsidR="00B174AB">
        <w:t>shows that after the end of the treatment period of each of the 4 studies, all lead to an open label extension study called Study GWEP1415</w:t>
      </w:r>
      <w:r w:rsidR="008B7F20">
        <w:t xml:space="preserve"> which studied patients on up to 30 mg/kg/day of CBD-OS</w:t>
      </w:r>
      <w:r w:rsidR="00B174AB">
        <w:t>.</w:t>
      </w:r>
    </w:p>
    <w:p w14:paraId="713BEBE6" w14:textId="7FAEF29C" w:rsidR="004E49EA" w:rsidRDefault="004E49EA" w:rsidP="004E49EA">
      <w:pPr>
        <w:pStyle w:val="FigureTitle"/>
      </w:pPr>
      <w:bookmarkStart w:id="46" w:name="_Ref56524023"/>
      <w:r>
        <w:t xml:space="preserve">Figure </w:t>
      </w:r>
      <w:r>
        <w:fldChar w:fldCharType="begin"/>
      </w:r>
      <w:r>
        <w:instrText>SEQ Figure \* ARABIC</w:instrText>
      </w:r>
      <w:r>
        <w:fldChar w:fldCharType="separate"/>
      </w:r>
      <w:r w:rsidR="00E0078F">
        <w:rPr>
          <w:noProof/>
        </w:rPr>
        <w:t>1</w:t>
      </w:r>
      <w:r>
        <w:fldChar w:fldCharType="end"/>
      </w:r>
      <w:bookmarkEnd w:id="46"/>
      <w:r>
        <w:t xml:space="preserve">: </w:t>
      </w:r>
      <w:r w:rsidR="007D724E">
        <w:t>Overview</w:t>
      </w:r>
      <w:r>
        <w:t xml:space="preserve"> of the four pivotal trials</w:t>
      </w:r>
    </w:p>
    <w:p w14:paraId="0E22A329" w14:textId="77777777" w:rsidR="004E49EA" w:rsidRDefault="004E49EA" w:rsidP="00D61FF2">
      <w:r w:rsidRPr="004E49EA">
        <w:rPr>
          <w:noProof/>
          <w:lang w:eastAsia="en-AU"/>
        </w:rPr>
        <w:drawing>
          <wp:inline distT="0" distB="0" distL="0" distR="0" wp14:anchorId="455900BA" wp14:editId="1E151FBD">
            <wp:extent cx="5400040" cy="4092581"/>
            <wp:effectExtent l="0" t="0" r="0" b="3175"/>
            <wp:docPr id="1" name="Picture 1" descr="All 4 pivotal studies had a 4 week baseline period, 2 week titration period, 12 week maintenance period and then afterwards became part of the open label extension Study where patients had up to 30mg/kg/day of CBD-OS.&#10;&#10;During the maintenance period, Study GWEP1414 for LGS had 3 arms - 20mg/kh/day CBD-OS, 10mg/kg/day CBD-OS, and placebo.&#10;&#10;Study GWEP1423 for LGS had 2 arms: 20mG/kg/day CBD-OS, and placebo.&#10;&#10;Study GWEP1424 for DS had 3 arms: 20mg/kg/day CBD-OS, 10mg/kg/day CBD-OS, and placebo.&#10;&#10;Study GWEP1332 Part B for DS had 2 arms: 20mg/kg/day CBD-OS, and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092581"/>
                    </a:xfrm>
                    <a:prstGeom prst="rect">
                      <a:avLst/>
                    </a:prstGeom>
                    <a:noFill/>
                    <a:ln>
                      <a:noFill/>
                    </a:ln>
                  </pic:spPr>
                </pic:pic>
              </a:graphicData>
            </a:graphic>
          </wp:inline>
        </w:drawing>
      </w:r>
    </w:p>
    <w:p w14:paraId="30E0039A" w14:textId="29D7BDA3" w:rsidR="005260AA" w:rsidRDefault="007D724E" w:rsidP="005260AA">
      <w:pPr>
        <w:pStyle w:val="FigureDescription"/>
      </w:pPr>
      <w:r>
        <w:rPr>
          <w:vertAlign w:val="superscript"/>
        </w:rPr>
        <w:t>a</w:t>
      </w:r>
      <w:r w:rsidR="00A44656">
        <w:t xml:space="preserve"> = Open </w:t>
      </w:r>
      <w:r w:rsidR="005260AA">
        <w:t>l</w:t>
      </w:r>
      <w:r w:rsidR="00A44656">
        <w:t xml:space="preserve">abel </w:t>
      </w:r>
      <w:r w:rsidR="005260AA">
        <w:t>e</w:t>
      </w:r>
      <w:r w:rsidR="00A44656">
        <w:t xml:space="preserve">xtension </w:t>
      </w:r>
      <w:r w:rsidR="005260AA">
        <w:t>s</w:t>
      </w:r>
      <w:r w:rsidR="00A44656">
        <w:t>tudy</w:t>
      </w:r>
      <w:r w:rsidR="005260AA">
        <w:t>. Pivotal studies, as included in figure are Study GWEP1414 (also known as Study LGS-14); Study GWEP1423 (also known as Study LGS-23); Study GWEP1424 (also known as Study DS-24); Study GWEP1332 (also known as Study DS-32). CBD-OS = cannabidiol oral solution.</w:t>
      </w:r>
    </w:p>
    <w:p w14:paraId="7AEA9E8A" w14:textId="52B4CF5A" w:rsidR="004E49EA" w:rsidRPr="004E49EA" w:rsidRDefault="004E49EA" w:rsidP="00552D07">
      <w:pPr>
        <w:pStyle w:val="Heading6"/>
      </w:pPr>
      <w:r w:rsidRPr="004E49EA">
        <w:t>Inclusion/</w:t>
      </w:r>
      <w:r w:rsidR="00C441DE">
        <w:t>e</w:t>
      </w:r>
      <w:r w:rsidRPr="004E49EA">
        <w:t xml:space="preserve">xclusion </w:t>
      </w:r>
      <w:r w:rsidR="00C441DE">
        <w:t>c</w:t>
      </w:r>
      <w:r w:rsidRPr="004E49EA">
        <w:t>riteria</w:t>
      </w:r>
    </w:p>
    <w:p w14:paraId="0ED85215" w14:textId="0FD468E8" w:rsidR="004E49EA" w:rsidRPr="004E49EA" w:rsidRDefault="004E49EA" w:rsidP="00D61FF2">
      <w:r w:rsidRPr="004E49EA">
        <w:t>Entry criteria for the pivotal studies was generally con</w:t>
      </w:r>
      <w:r w:rsidR="00552D07">
        <w:t>sistent across all four studies.</w:t>
      </w:r>
      <w:r w:rsidRPr="004E49EA">
        <w:t xml:space="preserve"> The pivotal efficacy st</w:t>
      </w:r>
      <w:r w:rsidR="00552D07">
        <w:t xml:space="preserve">udies included male and female </w:t>
      </w:r>
      <w:r w:rsidRPr="004E49EA">
        <w:t xml:space="preserve">patients who were taking one or more AEDs that had been maintained at a stable dose for at least 4 weeks prior to screening. Patients or their parents or legal guardians were required to provide written informed consent, and female patients of childbearing potential (and male patients whose partner </w:t>
      </w:r>
      <w:r w:rsidR="002703FE">
        <w:t>is</w:t>
      </w:r>
      <w:r w:rsidRPr="004E49EA">
        <w:t xml:space="preserve"> of childbearing potential) were required to use highly effective contraception. The age range for the two target indications was different: for the LG</w:t>
      </w:r>
      <w:r w:rsidR="00552D07">
        <w:t>S studies, patients had to be 2</w:t>
      </w:r>
      <w:r w:rsidR="005260AA">
        <w:t> </w:t>
      </w:r>
      <w:r w:rsidR="00552D07">
        <w:t xml:space="preserve">to </w:t>
      </w:r>
      <w:r w:rsidRPr="004E49EA">
        <w:t>55 years of age; for the D</w:t>
      </w:r>
      <w:r w:rsidR="00E10F25">
        <w:t>S studies, patients had to be 2 to</w:t>
      </w:r>
      <w:r w:rsidRPr="004E49EA">
        <w:t>18 years of age.</w:t>
      </w:r>
    </w:p>
    <w:p w14:paraId="1BD1A37B" w14:textId="33171611" w:rsidR="004E49EA" w:rsidRPr="004E49EA" w:rsidRDefault="004E49EA" w:rsidP="00D61FF2">
      <w:r w:rsidRPr="004E49EA">
        <w:t>Patients were ineligible if they had used recreational or medicinal can</w:t>
      </w:r>
      <w:r w:rsidR="00907CB3">
        <w:t xml:space="preserve">nabis, or synthetic cannabinoid </w:t>
      </w:r>
      <w:r w:rsidRPr="004E49EA">
        <w:t>based medications, within 3 months prior to screening. Patients were also required to abstain from taking cannabinoids during the trial, apart from their randomised investigational medicin</w:t>
      </w:r>
      <w:r w:rsidR="00C441DE">
        <w:t>al</w:t>
      </w:r>
      <w:r w:rsidRPr="004E49EA">
        <w:t xml:space="preserve"> product (IMP). Patients were also ineligible if they had a history of alcohol or substance abuse, if they had known or suspected hypersensitivity to any ingredients of the IMP, or if they did not meet laboratory and clinical health requirements at screening or baseline.</w:t>
      </w:r>
    </w:p>
    <w:p w14:paraId="547973D5" w14:textId="17B64F1D" w:rsidR="004E49EA" w:rsidRPr="004E49EA" w:rsidRDefault="004E49EA" w:rsidP="00D61FF2">
      <w:r w:rsidRPr="004E49EA">
        <w:t xml:space="preserve">For the LGS studies (Study LGS-14 and Study LGS-23), investigators had to provide written documentation of the subject meeting electroencephalographic </w:t>
      </w:r>
      <w:r w:rsidR="00982D76">
        <w:t xml:space="preserve">diagnostic criteria (slow spike and wave pattern, less than </w:t>
      </w:r>
      <w:r w:rsidRPr="004E49EA">
        <w:t xml:space="preserve">3.0 </w:t>
      </w:r>
      <w:r w:rsidR="00982D76">
        <w:t>hertz</w:t>
      </w:r>
      <w:r w:rsidRPr="004E49EA">
        <w:t>) and the patient had to exhibit evidence of more than one type of generalised seizure, including drop seizures, for at least 6 months. Patients had to have documented failures on more than one AED and th</w:t>
      </w:r>
      <w:r w:rsidR="00982D76">
        <w:t xml:space="preserve">ey had to experience at least 2 </w:t>
      </w:r>
      <w:r w:rsidRPr="004E49EA">
        <w:t>drop seizures during each week</w:t>
      </w:r>
      <w:r w:rsidR="00982D76">
        <w:t xml:space="preserve"> of the 4 </w:t>
      </w:r>
      <w:r w:rsidRPr="004E49EA">
        <w:t>week baseline period. A drop seiz</w:t>
      </w:r>
      <w:r w:rsidR="00982D76">
        <w:t>ure was defined as an episode (‘attack’ or ‘spell’</w:t>
      </w:r>
      <w:r w:rsidRPr="004E49EA">
        <w:t xml:space="preserve">) involving the entire body, trunk or head that led or could have led to a fall, injury, slumping in a chair or hitting </w:t>
      </w:r>
      <w:r w:rsidR="00982D76">
        <w:t>the patient’s head on a surface;</w:t>
      </w:r>
      <w:r w:rsidRPr="004E49EA">
        <w:t xml:space="preserve"> in</w:t>
      </w:r>
      <w:r w:rsidR="002703FE">
        <w:t>cluding atonic, tonic, or tonic-</w:t>
      </w:r>
      <w:proofErr w:type="spellStart"/>
      <w:r w:rsidRPr="004E49EA">
        <w:t>clonic</w:t>
      </w:r>
      <w:proofErr w:type="spellEnd"/>
      <w:r w:rsidRPr="004E49EA">
        <w:t xml:space="preserve"> episodes.</w:t>
      </w:r>
    </w:p>
    <w:p w14:paraId="525D9D87" w14:textId="201EA086" w:rsidR="004E49EA" w:rsidRPr="004E49EA" w:rsidRDefault="004E49EA" w:rsidP="00D61FF2">
      <w:r w:rsidRPr="004E49EA">
        <w:t>For the DS trials (Study DS-24 and Study DS-32), patients had to have a clinical diagnosis of DS confirmed by a committ</w:t>
      </w:r>
      <w:r w:rsidR="002703FE">
        <w:t>ee of independent experts from T</w:t>
      </w:r>
      <w:r w:rsidRPr="004E49EA">
        <w:t>he Epilepsy Study Consortium (</w:t>
      </w:r>
      <w:r w:rsidR="00982D76">
        <w:t>T</w:t>
      </w:r>
      <w:r w:rsidRPr="004E49EA">
        <w:t>ESC</w:t>
      </w:r>
      <w:r w:rsidR="00AD6FD0">
        <w:t>).</w:t>
      </w:r>
      <w:r w:rsidR="00982D76">
        <w:rPr>
          <w:rStyle w:val="FootnoteReference"/>
        </w:rPr>
        <w:footnoteReference w:id="14"/>
      </w:r>
      <w:r w:rsidRPr="004E49EA">
        <w:t xml:space="preserve"> Subjects had to have experienced 4 or more c</w:t>
      </w:r>
      <w:r w:rsidR="00982D76">
        <w:t xml:space="preserve">onvulsive seizures during the 4 </w:t>
      </w:r>
      <w:r w:rsidRPr="004E49EA">
        <w:t>week baseline period. A convulsive seizure was de</w:t>
      </w:r>
      <w:r w:rsidR="002703FE">
        <w:t xml:space="preserve">fined as a tonic, </w:t>
      </w:r>
      <w:proofErr w:type="spellStart"/>
      <w:r w:rsidR="002703FE">
        <w:t>clonic</w:t>
      </w:r>
      <w:proofErr w:type="spellEnd"/>
      <w:r w:rsidR="002703FE">
        <w:t>, tonic-</w:t>
      </w:r>
      <w:proofErr w:type="spellStart"/>
      <w:r w:rsidRPr="004E49EA">
        <w:t>clonic</w:t>
      </w:r>
      <w:proofErr w:type="spellEnd"/>
      <w:r w:rsidRPr="004E49EA">
        <w:t>, or atonic seizure.</w:t>
      </w:r>
    </w:p>
    <w:p w14:paraId="6CD7CA82" w14:textId="6D2FC1BA" w:rsidR="004E49EA" w:rsidRPr="004E49EA" w:rsidRDefault="004E49EA" w:rsidP="00D61FF2">
      <w:r w:rsidRPr="004E49EA">
        <w:t>Only patients that met the seizure frequency criteria, and all other eligibility criteria, by the end of the baseline period were eligible for randomisation into the treatment period.</w:t>
      </w:r>
    </w:p>
    <w:p w14:paraId="00E5FA0C" w14:textId="0B98527A" w:rsidR="00A709BE" w:rsidRDefault="00602048" w:rsidP="00D61FF2">
      <w:r>
        <w:t>The</w:t>
      </w:r>
      <w:r w:rsidR="00A709BE">
        <w:t xml:space="preserve"> dosing regimen recommended for registration </w:t>
      </w:r>
      <w:r w:rsidR="00F179B1">
        <w:t xml:space="preserve">consists of </w:t>
      </w:r>
      <w:r w:rsidR="00CF28D6">
        <w:t>2</w:t>
      </w:r>
      <w:r w:rsidR="0053292F">
        <w:t xml:space="preserve"> dose increment</w:t>
      </w:r>
      <w:r w:rsidR="00CF28D6">
        <w:t>s</w:t>
      </w:r>
      <w:r w:rsidR="0053292F">
        <w:t xml:space="preserve"> over </w:t>
      </w:r>
      <w:r w:rsidR="00346DD7">
        <w:t>8</w:t>
      </w:r>
      <w:r w:rsidR="0053292F">
        <w:t xml:space="preserve"> days to reach </w:t>
      </w:r>
      <w:r w:rsidR="00980690">
        <w:t>10 mg/kg/day</w:t>
      </w:r>
      <w:r w:rsidR="00121057">
        <w:t xml:space="preserve">, which is consistent </w:t>
      </w:r>
      <w:r w:rsidR="00E2654B">
        <w:t xml:space="preserve">with </w:t>
      </w:r>
      <w:r w:rsidR="009C243E">
        <w:t xml:space="preserve">the timing of </w:t>
      </w:r>
      <w:r w:rsidR="00E2654B">
        <w:t xml:space="preserve">titration </w:t>
      </w:r>
      <w:r w:rsidR="00C80762">
        <w:t xml:space="preserve">to </w:t>
      </w:r>
      <w:r w:rsidR="00D64672">
        <w:t>10</w:t>
      </w:r>
      <w:r w:rsidR="009C243E">
        <w:t> </w:t>
      </w:r>
      <w:r w:rsidR="00D64672">
        <w:t>mg/kg/day used in the pivotal studies, with fewer dose increments</w:t>
      </w:r>
      <w:r w:rsidR="00002EE1">
        <w:t xml:space="preserve">, to benefit patients, caregivers, and prescribers.  </w:t>
      </w:r>
      <w:r w:rsidR="002663CB">
        <w:t xml:space="preserve">Recommended titration to 20 mg/kg/day is </w:t>
      </w:r>
      <w:r w:rsidR="009121CF">
        <w:t xml:space="preserve">based on </w:t>
      </w:r>
      <w:r w:rsidR="0026017A">
        <w:t>clinical evaluation</w:t>
      </w:r>
      <w:r w:rsidR="00E16482">
        <w:t xml:space="preserve"> and is slower </w:t>
      </w:r>
      <w:r w:rsidR="00F46D11">
        <w:t>than that used in the pivotal studies</w:t>
      </w:r>
      <w:r w:rsidR="00A232AA">
        <w:t xml:space="preserve">, in which 20 mg/kg/day was </w:t>
      </w:r>
      <w:r w:rsidR="009C243E">
        <w:t>achieved</w:t>
      </w:r>
      <w:r w:rsidR="00A232AA">
        <w:t xml:space="preserve"> within 14 days.</w:t>
      </w:r>
      <w:r w:rsidR="00FB17D4">
        <w:t xml:space="preserve"> </w:t>
      </w:r>
    </w:p>
    <w:p w14:paraId="6DA0DB26" w14:textId="58DF9E56" w:rsidR="00602048" w:rsidRPr="004E49EA" w:rsidRDefault="00602048" w:rsidP="00D61FF2">
      <w:r w:rsidRPr="004E49EA">
        <w:t>The regimen recommended for registration is substantially slower (11 days in total) than the titration regimen used in the pivotal studies (22 days in total), but consists of larger dose steps (4 dose increments to rea</w:t>
      </w:r>
      <w:r>
        <w:t>ch 10 mg/kg daily over 7 days versus</w:t>
      </w:r>
      <w:r w:rsidRPr="004E49EA">
        <w:t xml:space="preserve"> 2 dose increments to reach 10 mg/kg/day over 8 days).</w:t>
      </w:r>
      <w:r w:rsidR="00DD705B">
        <w:rPr>
          <w:rStyle w:val="FootnoteReference"/>
        </w:rPr>
        <w:footnoteReference w:id="15"/>
      </w:r>
    </w:p>
    <w:p w14:paraId="33911789" w14:textId="62C95808" w:rsidR="004E49EA" w:rsidRPr="004E49EA" w:rsidRDefault="004E49EA" w:rsidP="00D61FF2">
      <w:r w:rsidRPr="004E49EA">
        <w:t>Another difference between the pivotal studies and current recommendations is that the pivotal studies commenced treatme</w:t>
      </w:r>
      <w:r w:rsidR="00982D76">
        <w:t>nt with 2.5 mg/kg/day, but the s</w:t>
      </w:r>
      <w:r w:rsidRPr="004E49EA">
        <w:t>ponsor recommends a starting daily dose of 5 mg/kg/day, on the basis that patients with low body weight required a small volume of medication to be drawn up for each dose when dosing at 2.5</w:t>
      </w:r>
      <w:r w:rsidR="00577CCF">
        <w:t> </w:t>
      </w:r>
      <w:r w:rsidRPr="004E49EA">
        <w:t>mg/kg/day (1.25 mg/kg twice daily).</w:t>
      </w:r>
    </w:p>
    <w:p w14:paraId="6040A6A7" w14:textId="6CAE2830" w:rsidR="004E49EA" w:rsidRPr="004E49EA" w:rsidRDefault="004E49EA" w:rsidP="00982D76">
      <w:pPr>
        <w:pStyle w:val="Heading6"/>
      </w:pPr>
      <w:r w:rsidRPr="004E49EA">
        <w:t>Endpoints</w:t>
      </w:r>
    </w:p>
    <w:p w14:paraId="2B46443D" w14:textId="70489958" w:rsidR="004E49EA" w:rsidRPr="004E49EA" w:rsidRDefault="004E49EA" w:rsidP="00D61FF2">
      <w:r w:rsidRPr="004E49EA">
        <w:t>In general, the endpoints chosen in the pivotal studies were appropriate.</w:t>
      </w:r>
    </w:p>
    <w:p w14:paraId="41B49D65" w14:textId="2C2FB1FE" w:rsidR="004E49EA" w:rsidRPr="004E49EA" w:rsidRDefault="004E49EA" w:rsidP="00D61FF2">
      <w:r w:rsidRPr="004E49EA">
        <w:t>The primary and key secondary endpoints in all four pivotal studies were based on changes in seizure frequency, as assessed from daily seizure reports.</w:t>
      </w:r>
    </w:p>
    <w:p w14:paraId="4906FF3C" w14:textId="385004F6" w:rsidR="004E49EA" w:rsidRPr="004E49EA" w:rsidRDefault="00AD6FD0" w:rsidP="00211B5D">
      <w:pPr>
        <w:pStyle w:val="Heading6"/>
      </w:pPr>
      <w:r w:rsidRPr="00AD6FD0">
        <w:t>Lennox-</w:t>
      </w:r>
      <w:proofErr w:type="spellStart"/>
      <w:r w:rsidRPr="00AD6FD0">
        <w:t>Gastaut</w:t>
      </w:r>
      <w:proofErr w:type="spellEnd"/>
      <w:r w:rsidRPr="00AD6FD0">
        <w:t xml:space="preserve"> syndrome</w:t>
      </w:r>
      <w:r w:rsidR="004E49EA" w:rsidRPr="004E49EA">
        <w:t xml:space="preserve"> </w:t>
      </w:r>
      <w:r w:rsidR="00577CCF">
        <w:t>endpoints</w:t>
      </w:r>
    </w:p>
    <w:p w14:paraId="128C6871" w14:textId="04947BBC" w:rsidR="004C5B16" w:rsidRDefault="004E49EA" w:rsidP="00D61FF2">
      <w:r w:rsidRPr="004E49EA">
        <w:t xml:space="preserve">The primary endpoint for the LGS studies was the percentage change from </w:t>
      </w:r>
      <w:r w:rsidR="00CA00C4">
        <w:t>B</w:t>
      </w:r>
      <w:r w:rsidRPr="004E49EA">
        <w:t xml:space="preserve">aseline in drop seizure frequency during the treatment period, for CBD-OS compared with placebo. The choice of drop seizure, as the seizure type of primary interest for the trials in LGS, was consistent with the approach taken for the </w:t>
      </w:r>
      <w:r w:rsidR="008F2075">
        <w:t>CLB</w:t>
      </w:r>
      <w:r w:rsidRPr="004E49EA">
        <w:t xml:space="preserve"> development program in LGS, and key regulatory bodies approved this choice</w:t>
      </w:r>
      <w:r w:rsidR="004C5B16">
        <w:t>.</w:t>
      </w:r>
    </w:p>
    <w:p w14:paraId="74CA8DD6" w14:textId="58B0BB04" w:rsidR="004E49EA" w:rsidRPr="004E49EA" w:rsidRDefault="00AD6FD0" w:rsidP="00211B5D">
      <w:pPr>
        <w:pStyle w:val="Heading6"/>
      </w:pPr>
      <w:proofErr w:type="spellStart"/>
      <w:r w:rsidRPr="00AD6FD0">
        <w:t>Dravet</w:t>
      </w:r>
      <w:proofErr w:type="spellEnd"/>
      <w:r w:rsidRPr="00AD6FD0">
        <w:t xml:space="preserve"> syndrome</w:t>
      </w:r>
      <w:r w:rsidR="004E49EA" w:rsidRPr="004E49EA">
        <w:t xml:space="preserve"> </w:t>
      </w:r>
      <w:r w:rsidR="00577CCF">
        <w:t>endpoints</w:t>
      </w:r>
    </w:p>
    <w:p w14:paraId="19B0463A" w14:textId="2C8D5C1C" w:rsidR="004E49EA" w:rsidRPr="004E49EA" w:rsidRDefault="004E49EA" w:rsidP="00D61FF2">
      <w:r w:rsidRPr="004E49EA">
        <w:t xml:space="preserve">The primary endpoint for the DS studies was the change from </w:t>
      </w:r>
      <w:r w:rsidR="00CA00C4">
        <w:t>B</w:t>
      </w:r>
      <w:r w:rsidRPr="004E49EA">
        <w:t>aseline in convulsive seizure frequency during the treatment period, for CBD-OS compared with placebo. For Study DS-32, the endpoint was based on percentage change, whereas in Study DS-24, the endpoint was based on change in seizure frequency expressed as seizures per 28 days.</w:t>
      </w:r>
    </w:p>
    <w:p w14:paraId="1A82DFBC" w14:textId="4868120F" w:rsidR="004E49EA" w:rsidRPr="004E49EA" w:rsidRDefault="004E49EA" w:rsidP="00211B5D">
      <w:pPr>
        <w:pStyle w:val="Heading6"/>
      </w:pPr>
      <w:r w:rsidRPr="004E49EA">
        <w:t xml:space="preserve">Secondary </w:t>
      </w:r>
      <w:r w:rsidR="00AD6FD0">
        <w:t>e</w:t>
      </w:r>
      <w:r w:rsidRPr="004E49EA">
        <w:t>ndpoints</w:t>
      </w:r>
    </w:p>
    <w:p w14:paraId="29CDFFC6" w14:textId="70205E59" w:rsidR="004E49EA" w:rsidRPr="004E49EA" w:rsidRDefault="004E49EA" w:rsidP="00D61FF2">
      <w:r w:rsidRPr="004E49EA">
        <w:t xml:space="preserve">For all four pivotal trials, a key secondary endpoint was the proportion of patients who achieved at least a 50% reduction from </w:t>
      </w:r>
      <w:r w:rsidR="00E6288D">
        <w:t>B</w:t>
      </w:r>
      <w:r w:rsidRPr="004E49EA">
        <w:t>aseline in the seizure type of interest (drop seizure frequency for LGS, or convulsive seizure frequency for DS).</w:t>
      </w:r>
    </w:p>
    <w:p w14:paraId="5EDA058D" w14:textId="2A682A18" w:rsidR="004E49EA" w:rsidRPr="004E49EA" w:rsidRDefault="004E49EA" w:rsidP="00D61FF2">
      <w:r w:rsidRPr="004E49EA">
        <w:t xml:space="preserve">Other key secondary endpoints (used in the two LGS trials, and Study DS-24) included the change from </w:t>
      </w:r>
      <w:r w:rsidR="00E6288D">
        <w:t>B</w:t>
      </w:r>
      <w:r w:rsidRPr="004E49EA">
        <w:t>aseline in total seizure frequency during the treatment period, and the Subject/Caregiver Global Impression of Change (S/CGIC) 7 point scale score.</w:t>
      </w:r>
    </w:p>
    <w:p w14:paraId="6D13DC05" w14:textId="22A84CB9" w:rsidR="004E49EA" w:rsidRPr="004E49EA" w:rsidRDefault="004E49EA" w:rsidP="000169E3">
      <w:pPr>
        <w:pStyle w:val="Heading6"/>
      </w:pPr>
      <w:r w:rsidRPr="004E49EA">
        <w:t>Randomisation</w:t>
      </w:r>
    </w:p>
    <w:p w14:paraId="2DEC97F0" w14:textId="61431D3F" w:rsidR="004E49EA" w:rsidRPr="004E49EA" w:rsidRDefault="004E49EA" w:rsidP="00D61FF2">
      <w:r w:rsidRPr="004E49EA">
        <w:t>Randomisation was stratified by 4 age group</w:t>
      </w:r>
      <w:r w:rsidR="003C2004">
        <w:t>s for the two LGS trials (2 to under 6 years, 6</w:t>
      </w:r>
      <w:r w:rsidR="00E6288D">
        <w:t> </w:t>
      </w:r>
      <w:r w:rsidR="003C2004">
        <w:t>to under 12 years, 12 to under 18 years, and 18 to under</w:t>
      </w:r>
      <w:r w:rsidRPr="004E49EA">
        <w:t xml:space="preserve"> 56 years) and by 3 age grou</w:t>
      </w:r>
      <w:r w:rsidR="003C2004">
        <w:t>ps for the two DS trials (2 to under 6 years, 6 to under 13 years, and 13 to under</w:t>
      </w:r>
      <w:r w:rsidRPr="004E49EA">
        <w:t xml:space="preserve"> 19 years)</w:t>
      </w:r>
      <w:r w:rsidR="000169E3">
        <w:t>.</w:t>
      </w:r>
    </w:p>
    <w:p w14:paraId="688DB038" w14:textId="24F54992" w:rsidR="004E49EA" w:rsidRPr="004E49EA" w:rsidRDefault="004E49EA" w:rsidP="000169E3">
      <w:pPr>
        <w:pStyle w:val="Heading5"/>
      </w:pPr>
      <w:r w:rsidRPr="004E49EA">
        <w:t>Study LG</w:t>
      </w:r>
      <w:r w:rsidR="003C2004">
        <w:t>S-</w:t>
      </w:r>
      <w:r w:rsidRPr="004E49EA">
        <w:t>14</w:t>
      </w:r>
      <w:r w:rsidR="005F2ADD">
        <w:t xml:space="preserve"> (</w:t>
      </w:r>
      <w:r w:rsidR="005F2ADD">
        <w:rPr>
          <w:lang w:eastAsia="ja-JP"/>
        </w:rPr>
        <w:t>Study GWEP1414)</w:t>
      </w:r>
    </w:p>
    <w:p w14:paraId="1EAE52FA" w14:textId="10E09878" w:rsidR="004E49EA" w:rsidRPr="004E49EA" w:rsidRDefault="005F2ADD" w:rsidP="00D61FF2">
      <w:r>
        <w:rPr>
          <w:lang w:eastAsia="ja-JP"/>
        </w:rPr>
        <w:t xml:space="preserve">Study GWEP1414 (abbreviated as </w:t>
      </w:r>
      <w:r w:rsidR="004E49EA" w:rsidRPr="004E49EA">
        <w:t>Study LGS-14</w:t>
      </w:r>
      <w:r>
        <w:t xml:space="preserve"> in this document)</w:t>
      </w:r>
      <w:r w:rsidR="004E49EA" w:rsidRPr="004E49EA">
        <w:t xml:space="preserve"> was positive for its primary endpoint and for all</w:t>
      </w:r>
      <w:r w:rsidR="000169E3">
        <w:t xml:space="preserve"> of its key secondary endpoints;</w:t>
      </w:r>
      <w:r w:rsidR="004E49EA" w:rsidRPr="004E49EA">
        <w:t xml:space="preserve"> with both active dose groups showing a broad</w:t>
      </w:r>
      <w:r w:rsidR="000169E3">
        <w:t>ly similar benefit over placebo;</w:t>
      </w:r>
      <w:r w:rsidR="004E49EA" w:rsidRPr="004E49EA">
        <w:t xml:space="preserve"> although there was a trend to better numerical results with the higher dose </w:t>
      </w:r>
      <w:r w:rsidR="000169E3">
        <w:t xml:space="preserve">group. </w:t>
      </w:r>
      <w:r w:rsidR="004E49EA" w:rsidRPr="004E49EA">
        <w:t>(A formal statistical comparison of the two dose groups was not presented). Minor endpoints also generally favoured active treatment.</w:t>
      </w:r>
    </w:p>
    <w:p w14:paraId="2C470B18" w14:textId="1BA9E43A" w:rsidR="004C5B16" w:rsidRDefault="004E49EA" w:rsidP="00D61FF2">
      <w:r w:rsidRPr="004E49EA">
        <w:t>The median percentage change</w:t>
      </w:r>
      <w:r w:rsidR="006366ED">
        <w:t xml:space="preserve">s in the treatment period were -41.86%, -37.16% and </w:t>
      </w:r>
      <w:r w:rsidR="005F2ADD">
        <w:noBreakHyphen/>
      </w:r>
      <w:r w:rsidRPr="004E49EA">
        <w:t xml:space="preserve">17.17% for CBD-OS 20 mg/kg/day, CBD-OS 10 mg/kg/day and placebo. Median differences estimated by the Hodges–Lehmann </w:t>
      </w:r>
      <w:r w:rsidR="000169E3">
        <w:t xml:space="preserve">statistical </w:t>
      </w:r>
      <w:r w:rsidRPr="004E49EA">
        <w:t>method, relative to placebo, were 21.57% (95%</w:t>
      </w:r>
      <w:r w:rsidR="000169E3">
        <w:t xml:space="preserve"> </w:t>
      </w:r>
      <w:r w:rsidR="005F2ADD">
        <w:t>c</w:t>
      </w:r>
      <w:r w:rsidR="000169E3">
        <w:t xml:space="preserve">onfidence </w:t>
      </w:r>
      <w:r w:rsidR="005F2ADD">
        <w:t>i</w:t>
      </w:r>
      <w:r w:rsidR="000169E3">
        <w:t>nterval (</w:t>
      </w:r>
      <w:r w:rsidRPr="004E49EA">
        <w:t>CI</w:t>
      </w:r>
      <w:r w:rsidR="000169E3">
        <w:t>)</w:t>
      </w:r>
      <w:r w:rsidRPr="004E49EA">
        <w:t xml:space="preserve"> </w:t>
      </w:r>
      <w:r w:rsidR="000169E3">
        <w:t xml:space="preserve">= </w:t>
      </w:r>
      <w:r w:rsidR="006366ED">
        <w:t>-34.79, -6.67) and 19.19% (95%</w:t>
      </w:r>
      <w:r w:rsidR="00211B5D">
        <w:t xml:space="preserve"> </w:t>
      </w:r>
      <w:r w:rsidR="006366ED">
        <w:t xml:space="preserve">CI -31.24, </w:t>
      </w:r>
      <w:r w:rsidR="00211B5D">
        <w:t xml:space="preserve">   </w:t>
      </w:r>
      <w:r w:rsidR="006366ED">
        <w:t>-</w:t>
      </w:r>
      <w:r w:rsidRPr="004E49EA">
        <w:t xml:space="preserve">7.69) for CBD-OS 20 mg/kg/day and CBD-OS 10 mg/kg/day, respectively. For subjects not taking </w:t>
      </w:r>
      <w:r w:rsidR="008F2075">
        <w:t>CLB</w:t>
      </w:r>
      <w:r w:rsidRPr="004E49EA">
        <w:t>, the results were weaker, with an overall reduction of drop seizures of about 12%</w:t>
      </w:r>
      <w:r w:rsidR="000169E3">
        <w:t>, relative to the placebo group. F</w:t>
      </w:r>
      <w:r w:rsidRPr="004E49EA">
        <w:t>or this analysis, there was an adverse dose trend, with the lower dose group achieving a significant benefit over placebo but the higher dos</w:t>
      </w:r>
      <w:r w:rsidR="000169E3">
        <w:t xml:space="preserve">e group showing a reduction of approximately </w:t>
      </w:r>
      <w:r w:rsidRPr="004E49EA">
        <w:t>5%, relative to placebo, which was not significant</w:t>
      </w:r>
      <w:r w:rsidR="004C5B16">
        <w:t>.</w:t>
      </w:r>
    </w:p>
    <w:p w14:paraId="65CD9B17" w14:textId="2F8F6CA0" w:rsidR="004E49EA" w:rsidRPr="004E49EA" w:rsidRDefault="004E49EA" w:rsidP="00D61FF2">
      <w:r w:rsidRPr="004E49EA">
        <w:t xml:space="preserve">The </w:t>
      </w:r>
      <w:r w:rsidR="000169E3">
        <w:t>proportion of responders (with great</w:t>
      </w:r>
      <w:r w:rsidR="005D45B1">
        <w:t>er</w:t>
      </w:r>
      <w:r w:rsidR="000169E3">
        <w:t xml:space="preserve"> than or equal to</w:t>
      </w:r>
      <w:r w:rsidRPr="004E49EA">
        <w:t xml:space="preserve"> 50% reduction in drop seizure frequency) was greater in the 20 mg/kg/day group (39.5%) and 10 mg/kg/day group (35.6%) than the placebo group (14.5%). The difference in favour of active treatment was statistically significant for both the 20 mg/kg/day group (p</w:t>
      </w:r>
      <w:r w:rsidR="001F0053">
        <w:t xml:space="preserve"> </w:t>
      </w:r>
      <w:r w:rsidRPr="004E49EA">
        <w:t>=</w:t>
      </w:r>
      <w:r w:rsidR="001F0053">
        <w:t xml:space="preserve"> </w:t>
      </w:r>
      <w:r w:rsidRPr="004E49EA">
        <w:t>0.0006) and the 10 mg/kg/day group (p</w:t>
      </w:r>
      <w:r w:rsidR="001F0053">
        <w:t xml:space="preserve"> </w:t>
      </w:r>
      <w:r w:rsidRPr="004E49EA">
        <w:t>=</w:t>
      </w:r>
      <w:r w:rsidR="001F0053">
        <w:t xml:space="preserve"> </w:t>
      </w:r>
      <w:r w:rsidRPr="004E49EA">
        <w:t>0.0030).</w:t>
      </w:r>
    </w:p>
    <w:p w14:paraId="1BC3AE14" w14:textId="3F131623" w:rsidR="004E49EA" w:rsidRPr="004E49EA" w:rsidRDefault="004E49EA" w:rsidP="00D61FF2">
      <w:r w:rsidRPr="004E49EA">
        <w:t>A significantly greater median reduction</w:t>
      </w:r>
      <w:r w:rsidR="005D45B1">
        <w:t xml:space="preserve"> in total seizure frequency (28 </w:t>
      </w:r>
      <w:r w:rsidRPr="004E49EA">
        <w:t>day average) during the treatment period was seen in both the CBD-OS 20 mg/kg/day and the CBD-OS 10 mg/kg/day groups, relative to placebo (p</w:t>
      </w:r>
      <w:r w:rsidR="001F0053">
        <w:t xml:space="preserve"> </w:t>
      </w:r>
      <w:r w:rsidRPr="004E49EA">
        <w:t>=</w:t>
      </w:r>
      <w:r w:rsidR="001F0053">
        <w:t xml:space="preserve"> </w:t>
      </w:r>
      <w:r w:rsidRPr="004E49EA">
        <w:t>0.0091 and p</w:t>
      </w:r>
      <w:r w:rsidR="001F0053">
        <w:t xml:space="preserve"> </w:t>
      </w:r>
      <w:r w:rsidRPr="004E49EA">
        <w:t>=</w:t>
      </w:r>
      <w:r w:rsidR="001F0053">
        <w:t xml:space="preserve"> </w:t>
      </w:r>
      <w:r w:rsidRPr="004E49EA">
        <w:t>0.0015, respectively). The median percenta</w:t>
      </w:r>
      <w:r w:rsidR="005D45B1">
        <w:t>ge change during treatment was -38.40%, -36.44% and -</w:t>
      </w:r>
      <w:r w:rsidRPr="004E49EA">
        <w:t>18.47% in the 20</w:t>
      </w:r>
      <w:r w:rsidR="001F0053">
        <w:t> </w:t>
      </w:r>
      <w:r w:rsidRPr="004E49EA">
        <w:t>mg/kg/day, 10 mg/kg/day and placebo groups, respectively.</w:t>
      </w:r>
    </w:p>
    <w:p w14:paraId="4CD18DEA" w14:textId="021AD9A1" w:rsidR="004C5B16" w:rsidRDefault="004E49EA" w:rsidP="00D61FF2">
      <w:r w:rsidRPr="004E49EA">
        <w:t xml:space="preserve">The </w:t>
      </w:r>
      <w:r w:rsidR="0098789E">
        <w:t xml:space="preserve">Patients’ </w:t>
      </w:r>
      <w:r w:rsidRPr="004E49EA">
        <w:t>Global Impression of Change</w:t>
      </w:r>
      <w:r w:rsidR="0098789E">
        <w:t xml:space="preserve"> (PGIC) results</w:t>
      </w:r>
      <w:r w:rsidRPr="004E49EA">
        <w:t xml:space="preserve"> favoured active treatment, with a higher proportion of CBD-OS recipients showing at least some improvement</w:t>
      </w:r>
      <w:r w:rsidR="0098789E">
        <w:t>, compared to the placebo group:</w:t>
      </w:r>
      <w:r w:rsidRPr="004E49EA">
        <w:t xml:space="preserve"> 57.3%, 65.8% and 44.0%, respectively. Relative to placebo, the odds of imp</w:t>
      </w:r>
      <w:r w:rsidR="0098789E">
        <w:t xml:space="preserve">rovement were approximately 1.8 </w:t>
      </w:r>
      <w:r w:rsidRPr="004E49EA">
        <w:t>times in the 20 mg/kg/day group (</w:t>
      </w:r>
      <w:r w:rsidR="005F2ADD">
        <w:t>o</w:t>
      </w:r>
      <w:r w:rsidR="0098789E">
        <w:t xml:space="preserve">dds </w:t>
      </w:r>
      <w:r w:rsidR="005F2ADD">
        <w:t>r</w:t>
      </w:r>
      <w:r w:rsidR="0098789E">
        <w:t>atio (</w:t>
      </w:r>
      <w:r w:rsidRPr="004E49EA">
        <w:t>OR</w:t>
      </w:r>
      <w:r w:rsidR="0098789E">
        <w:t>)</w:t>
      </w:r>
      <w:r w:rsidRPr="004E49EA">
        <w:t>: 1.83; 95% CI: 1.02, 3.30; p</w:t>
      </w:r>
      <w:r w:rsidR="001F0053">
        <w:t xml:space="preserve"> </w:t>
      </w:r>
      <w:r w:rsidR="006925C2">
        <w:t>=</w:t>
      </w:r>
      <w:r w:rsidR="001F0053">
        <w:t xml:space="preserve"> </w:t>
      </w:r>
      <w:r w:rsidR="006925C2">
        <w:t xml:space="preserve">0.0439), and approximately 2.6 </w:t>
      </w:r>
      <w:r w:rsidRPr="004E49EA">
        <w:t>times in the 10</w:t>
      </w:r>
      <w:r w:rsidR="005F2ADD">
        <w:t> </w:t>
      </w:r>
      <w:r w:rsidRPr="004E49EA">
        <w:t>mg/kg/day group (OR: 2.57; 95% CI: 1.41, 4.66; p</w:t>
      </w:r>
      <w:r w:rsidR="001F0053">
        <w:t xml:space="preserve"> </w:t>
      </w:r>
      <w:r w:rsidRPr="004E49EA">
        <w:t>=</w:t>
      </w:r>
      <w:r w:rsidR="001F0053">
        <w:t xml:space="preserve"> </w:t>
      </w:r>
      <w:r w:rsidRPr="004E49EA">
        <w:t>0.0020)</w:t>
      </w:r>
      <w:r w:rsidR="004C5B16">
        <w:t>.</w:t>
      </w:r>
    </w:p>
    <w:p w14:paraId="5D9B8D94" w14:textId="3C8170CF" w:rsidR="004E49EA" w:rsidRPr="004E49EA" w:rsidRDefault="004E49EA" w:rsidP="00D61FF2">
      <w:r w:rsidRPr="004E49EA">
        <w:t xml:space="preserve">Overall, the study showed that CBD-OS, when added to other anticonvulsants, particularly </w:t>
      </w:r>
      <w:r w:rsidR="008F2075">
        <w:t>CLB</w:t>
      </w:r>
      <w:r w:rsidRPr="004E49EA">
        <w:t xml:space="preserve">, reduces the frequency of drop seizures. It remains unclear to what extent this is </w:t>
      </w:r>
      <w:r w:rsidR="006925C2">
        <w:t>due to elevated levels of N-CLB or due to a drug interaction;</w:t>
      </w:r>
      <w:r w:rsidRPr="004E49EA">
        <w:t xml:space="preserve"> but even in subjects not on </w:t>
      </w:r>
      <w:r w:rsidR="008F2075">
        <w:t>CLB</w:t>
      </w:r>
      <w:r w:rsidRPr="004E49EA">
        <w:t>, there were numerical trends in favour of active treatment, and one dose group achieved nominally significant superiority over placebo.</w:t>
      </w:r>
    </w:p>
    <w:p w14:paraId="339346AD" w14:textId="50EE0DBC" w:rsidR="004E49EA" w:rsidRPr="004E49EA" w:rsidRDefault="004E49EA" w:rsidP="000169E3">
      <w:pPr>
        <w:pStyle w:val="Heading5"/>
      </w:pPr>
      <w:r w:rsidRPr="004E49EA">
        <w:t>Study LGS-23</w:t>
      </w:r>
      <w:r w:rsidR="005F2ADD">
        <w:t xml:space="preserve"> (Study </w:t>
      </w:r>
      <w:r w:rsidR="005F2ADD">
        <w:rPr>
          <w:lang w:eastAsia="ja-JP"/>
        </w:rPr>
        <w:t>GWEP1423)</w:t>
      </w:r>
    </w:p>
    <w:p w14:paraId="340B2182" w14:textId="132B75B7" w:rsidR="004E49EA" w:rsidRPr="004E49EA" w:rsidRDefault="005F2ADD" w:rsidP="00D61FF2">
      <w:r>
        <w:rPr>
          <w:lang w:eastAsia="ja-JP"/>
        </w:rPr>
        <w:t xml:space="preserve">Study GWEP1423 (abbreviated as </w:t>
      </w:r>
      <w:r w:rsidR="004E49EA" w:rsidRPr="004E49EA">
        <w:t>Study LGS-23</w:t>
      </w:r>
      <w:r>
        <w:t xml:space="preserve"> in this document)</w:t>
      </w:r>
      <w:r w:rsidR="004E49EA" w:rsidRPr="004E49EA">
        <w:t xml:space="preserve"> demonstrated significant superiority for active treatment for the primary endpoint, key secondary endpoints, and most minor endpoints.</w:t>
      </w:r>
    </w:p>
    <w:p w14:paraId="2A1136B8" w14:textId="6A8C3017" w:rsidR="004E49EA" w:rsidRPr="004E49EA" w:rsidRDefault="004E49EA" w:rsidP="00D61FF2">
      <w:r w:rsidRPr="004E49EA">
        <w:t>For the primary endpoint, reduction drop seizure frequency relative to baseline, the reduction was greater in the active group (-43.9%) than the placebo group (-21.80%), and the difference between treatment groups was statistically significant (p</w:t>
      </w:r>
      <w:r w:rsidR="001F0053">
        <w:t xml:space="preserve"> </w:t>
      </w:r>
      <w:r w:rsidRPr="004E49EA">
        <w:t>=</w:t>
      </w:r>
      <w:r w:rsidR="001F0053">
        <w:t xml:space="preserve"> </w:t>
      </w:r>
      <w:r w:rsidRPr="004E49EA">
        <w:t xml:space="preserve">0.0135). The estimated median difference by the Hodges-Lehman </w:t>
      </w:r>
      <w:r w:rsidR="002F4239">
        <w:t>method</w:t>
      </w:r>
      <w:r w:rsidRPr="004E49EA">
        <w:t xml:space="preserve"> was an additional reduction of 17.2% (95%</w:t>
      </w:r>
      <w:r w:rsidR="00211B5D">
        <w:t xml:space="preserve"> </w:t>
      </w:r>
      <w:r w:rsidRPr="004E49EA">
        <w:t>CI -30.32, -4.09).</w:t>
      </w:r>
    </w:p>
    <w:p w14:paraId="716CF70D" w14:textId="77CE190C" w:rsidR="004E49EA" w:rsidRPr="004E49EA" w:rsidRDefault="004E49EA" w:rsidP="00D61FF2">
      <w:r w:rsidRPr="004E49EA">
        <w:t>The proportion of responders</w:t>
      </w:r>
      <w:r w:rsidR="002F4239">
        <w:t xml:space="preserve"> (patients with a reduction of greater or equal to </w:t>
      </w:r>
      <w:r w:rsidRPr="004E49EA">
        <w:t>50% from their baseline drop seizure frequency) was significantly greater in the CBD-OS group (38</w:t>
      </w:r>
      <w:r w:rsidR="005F2ADD">
        <w:t> </w:t>
      </w:r>
      <w:r w:rsidRPr="004E49EA">
        <w:t>subjects, 44.2%) than in the placebo group</w:t>
      </w:r>
      <w:r w:rsidR="00F66C6E">
        <w:t xml:space="preserve"> (20 subjects, 23.5%), with an OR</w:t>
      </w:r>
      <w:r w:rsidRPr="004E49EA">
        <w:t xml:space="preserve"> of 2.6 (p</w:t>
      </w:r>
      <w:r w:rsidR="001F0053">
        <w:t> </w:t>
      </w:r>
      <w:r w:rsidRPr="004E49EA">
        <w:t>=</w:t>
      </w:r>
      <w:r w:rsidR="001F0053">
        <w:t> </w:t>
      </w:r>
      <w:r w:rsidRPr="004E49EA">
        <w:t>0.0043).</w:t>
      </w:r>
    </w:p>
    <w:p w14:paraId="7C4E8F20" w14:textId="37935B72" w:rsidR="004E49EA" w:rsidRPr="004E49EA" w:rsidRDefault="004E49EA" w:rsidP="00D61FF2">
      <w:r w:rsidRPr="004E49EA">
        <w:t>For the total seizure frequency, the reduction relative to baseline was significantly greater in the CBD-OS group (−41.24%) than the placebo group (−13.70%, p</w:t>
      </w:r>
      <w:r w:rsidR="001F0053">
        <w:t xml:space="preserve"> </w:t>
      </w:r>
      <w:r w:rsidRPr="004E49EA">
        <w:t>=</w:t>
      </w:r>
      <w:r w:rsidR="001F0053">
        <w:t xml:space="preserve"> </w:t>
      </w:r>
      <w:r w:rsidRPr="004E49EA">
        <w:t>0.0005).</w:t>
      </w:r>
    </w:p>
    <w:p w14:paraId="6CD5C3EC" w14:textId="2B27E2C2" w:rsidR="004E49EA" w:rsidRPr="004E49EA" w:rsidRDefault="004E49EA" w:rsidP="00D61FF2">
      <w:r w:rsidRPr="004E49EA">
        <w:t xml:space="preserve">For the </w:t>
      </w:r>
      <w:r w:rsidR="00D525A5">
        <w:t>PGIC score</w:t>
      </w:r>
      <w:r w:rsidRPr="004E49EA">
        <w:t>, results were also superior with active treatment, with a greater proportion of CBD-OS recipients rated as improved (49 subjects, 58.3%) than plac</w:t>
      </w:r>
      <w:r w:rsidR="00F66C6E">
        <w:t>ebo patients (29 subjects, 34.1</w:t>
      </w:r>
      <w:r w:rsidRPr="004E49EA">
        <w:t>%), compared to their status before the trial. The difference in favour of CBD-OS was statistically significant (OR for improvement: 2.54; 95% CI: 1.45, 4.47; p</w:t>
      </w:r>
      <w:r w:rsidR="001F0053">
        <w:t xml:space="preserve"> </w:t>
      </w:r>
      <w:r w:rsidRPr="004E49EA">
        <w:t>=</w:t>
      </w:r>
      <w:r w:rsidR="001F0053">
        <w:t xml:space="preserve"> </w:t>
      </w:r>
      <w:r w:rsidRPr="004E49EA">
        <w:t>0.0012).</w:t>
      </w:r>
    </w:p>
    <w:p w14:paraId="5FCA13F7" w14:textId="1F7E5D0A" w:rsidR="004E49EA" w:rsidRPr="004E49EA" w:rsidRDefault="004E49EA" w:rsidP="00D61FF2">
      <w:r w:rsidRPr="004E49EA">
        <w:t>Overall, this study was consistent with the previously described study showing that CBD</w:t>
      </w:r>
      <w:r w:rsidR="001F0053">
        <w:noBreakHyphen/>
      </w:r>
      <w:r w:rsidRPr="004E49EA">
        <w:t xml:space="preserve">OS treatment, when added onto existing anticonvulsant agents to treat refractory </w:t>
      </w:r>
      <w:r w:rsidR="00F66C6E">
        <w:t>LGS</w:t>
      </w:r>
      <w:r w:rsidRPr="004E49EA">
        <w:t>, is associated with a modest but statistically robust reduction in drop seizures and total seizures. Subgroup analyses showed broadly similar results across all subgroups assessed, numerically favouring CBD-OS, but these analyses were often underpowered and statistical significance was often not achieved.</w:t>
      </w:r>
    </w:p>
    <w:p w14:paraId="666CE5D6" w14:textId="0B3A6951" w:rsidR="004E49EA" w:rsidRPr="004E49EA" w:rsidRDefault="004E49EA" w:rsidP="000169E3">
      <w:pPr>
        <w:pStyle w:val="Heading5"/>
      </w:pPr>
      <w:r w:rsidRPr="004E49EA">
        <w:t>Study DS-32</w:t>
      </w:r>
      <w:r w:rsidR="005F2ADD">
        <w:t xml:space="preserve"> (Study GWEP1332 Part B)</w:t>
      </w:r>
    </w:p>
    <w:p w14:paraId="7ABA2D49" w14:textId="7E415F3E" w:rsidR="004E49EA" w:rsidRPr="004E49EA" w:rsidRDefault="004E49EA" w:rsidP="00D61FF2">
      <w:r w:rsidRPr="004E49EA">
        <w:t xml:space="preserve"> </w:t>
      </w:r>
      <w:r w:rsidR="001F0053">
        <w:t xml:space="preserve">Study </w:t>
      </w:r>
      <w:r w:rsidRPr="004E49EA">
        <w:t>GWEP1332 Part B</w:t>
      </w:r>
      <w:r w:rsidR="005F2ADD">
        <w:t xml:space="preserve"> (abbreviated as </w:t>
      </w:r>
      <w:r w:rsidR="005F2ADD" w:rsidRPr="004E49EA">
        <w:t>Study DS-32</w:t>
      </w:r>
      <w:r w:rsidR="005F2ADD">
        <w:t xml:space="preserve"> in this document)</w:t>
      </w:r>
      <w:r w:rsidRPr="004E49EA">
        <w:t xml:space="preserve"> was a somewhat underpowered Phase </w:t>
      </w:r>
      <w:r w:rsidR="00351DA4">
        <w:t>II/III</w:t>
      </w:r>
      <w:r w:rsidRPr="004E49EA">
        <w:t xml:space="preserve"> efficacy study combined with a PK study (Part</w:t>
      </w:r>
      <w:r w:rsidR="005F2ADD">
        <w:t> </w:t>
      </w:r>
      <w:r w:rsidRPr="004E49EA">
        <w:t>A). It achieved signifi</w:t>
      </w:r>
      <w:r w:rsidR="00351DA4">
        <w:t xml:space="preserve">cance for its primary endpoint: </w:t>
      </w:r>
      <w:r w:rsidRPr="004E49EA">
        <w:t>reduction in convulsive seizure frequency in the</w:t>
      </w:r>
      <w:r w:rsidR="00351DA4">
        <w:t xml:space="preserve"> treatment period, relative to B</w:t>
      </w:r>
      <w:r w:rsidRPr="004E49EA">
        <w:t>aseline. The</w:t>
      </w:r>
      <w:r w:rsidR="00351DA4">
        <w:t xml:space="preserve"> median percentage change from B</w:t>
      </w:r>
      <w:r w:rsidRPr="004E49EA">
        <w:t>aseline in total convulsive seizure frequency during the treatment period was −38.94% in the CBD-OS group compared with −13.29% in the placebo group; the estimated between-group difference in the changes was -22.79%, significantly in favour of CBD-OS (95% CI: −41.06, −5.43; p</w:t>
      </w:r>
      <w:r w:rsidR="004104E4">
        <w:t xml:space="preserve"> </w:t>
      </w:r>
      <w:r w:rsidRPr="004E49EA">
        <w:t>=</w:t>
      </w:r>
      <w:r w:rsidR="004104E4">
        <w:t xml:space="preserve"> </w:t>
      </w:r>
      <w:r w:rsidRPr="004E49EA">
        <w:t>0.0123).</w:t>
      </w:r>
    </w:p>
    <w:p w14:paraId="536854F6" w14:textId="29B810D5" w:rsidR="004E49EA" w:rsidRPr="004E49EA" w:rsidRDefault="004E49EA" w:rsidP="00D61FF2">
      <w:r w:rsidRPr="004E49EA">
        <w:t xml:space="preserve">For the key secondary endpoint, the </w:t>
      </w:r>
      <w:r w:rsidR="0070555A">
        <w:t xml:space="preserve">proportion of subjects with a greater than or equal to </w:t>
      </w:r>
      <w:r w:rsidRPr="004E49EA">
        <w:t xml:space="preserve">50% reduction in convulsive seizures in the treatment period relative </w:t>
      </w:r>
      <w:r w:rsidR="0070555A">
        <w:t>to B</w:t>
      </w:r>
      <w:r w:rsidRPr="004E49EA">
        <w:t>aseline, there was a trend in favour of active treatment, but this did not reach statistical significance. The proportion o</w:t>
      </w:r>
      <w:r w:rsidR="0070555A">
        <w:t>f patients with a reduction of greater than or equal to</w:t>
      </w:r>
      <w:r w:rsidRPr="004E49EA">
        <w:t xml:space="preserve"> 50% was numerically greater in the CBD-OS group (42.6%) than in </w:t>
      </w:r>
      <w:r w:rsidR="0070555A">
        <w:t xml:space="preserve">the placebo group (27.1%). The </w:t>
      </w:r>
      <w:r w:rsidR="004104E4">
        <w:t>OR</w:t>
      </w:r>
      <w:r w:rsidRPr="004E49EA">
        <w:t xml:space="preserve"> was favourable, but the 95% </w:t>
      </w:r>
      <w:r w:rsidR="005D45B1">
        <w:t xml:space="preserve">CI </w:t>
      </w:r>
      <w:r w:rsidRPr="004E49EA">
        <w:t>included unity (OR: 2.00; 95% CI: 0.93, 4.30) and the difference between treatments was not statistically significant (p</w:t>
      </w:r>
      <w:r w:rsidR="004104E4">
        <w:t xml:space="preserve"> </w:t>
      </w:r>
      <w:r w:rsidRPr="004E49EA">
        <w:t>=</w:t>
      </w:r>
      <w:r w:rsidR="004104E4">
        <w:t xml:space="preserve"> </w:t>
      </w:r>
      <w:r w:rsidRPr="004E49EA">
        <w:t xml:space="preserve">0.0784) when analysed by the </w:t>
      </w:r>
      <w:r w:rsidR="0070555A">
        <w:t>Cochran-Mantel-</w:t>
      </w:r>
      <w:proofErr w:type="spellStart"/>
      <w:r w:rsidR="0070555A">
        <w:t>Haenszel</w:t>
      </w:r>
      <w:proofErr w:type="spellEnd"/>
      <w:r w:rsidR="0070555A">
        <w:t xml:space="preserve"> (</w:t>
      </w:r>
      <w:r w:rsidRPr="004E49EA">
        <w:t>CMH</w:t>
      </w:r>
      <w:r w:rsidR="0070555A">
        <w:t>)</w:t>
      </w:r>
      <w:r w:rsidRPr="004E49EA">
        <w:t xml:space="preserve"> test.</w:t>
      </w:r>
    </w:p>
    <w:p w14:paraId="64903C8E" w14:textId="156A7D65" w:rsidR="004E49EA" w:rsidRPr="004E49EA" w:rsidRDefault="004E49EA" w:rsidP="00D61FF2">
      <w:r w:rsidRPr="004E49EA">
        <w:t>Whether the remaining secondary endpoints should be considered significant depends on whether a correction is applied for multiplicity. In the EU, a hierarchical approach was adopted, with minor endpoints only c</w:t>
      </w:r>
      <w:r w:rsidR="0070555A">
        <w:t xml:space="preserve">onsidered significant if higher </w:t>
      </w:r>
      <w:r w:rsidRPr="004E49EA">
        <w:t xml:space="preserve">ranking endpoints had achieved significance. By this approach, the remaining endpoints were negative, although some achieved nominal significance. There was a borderline favourable result for the </w:t>
      </w:r>
      <w:r w:rsidR="0070555A">
        <w:t>CGIC score</w:t>
      </w:r>
      <w:r w:rsidRPr="004E49EA">
        <w:t xml:space="preserve">, with the 95% </w:t>
      </w:r>
      <w:r w:rsidR="005D45B1">
        <w:t>CI</w:t>
      </w:r>
      <w:r w:rsidRPr="004E49EA">
        <w:t xml:space="preserve"> for the estimated difference </w:t>
      </w:r>
      <w:r w:rsidR="00CE014C">
        <w:t>in CGIC reaching zero (95% CI: -</w:t>
      </w:r>
      <w:r w:rsidRPr="004E49EA">
        <w:t>1.0, 0.0 by the Hodges–Lehmann approach) but with a p-value that was n</w:t>
      </w:r>
      <w:r w:rsidR="0070555A">
        <w:t>ominally significant (p</w:t>
      </w:r>
      <w:r w:rsidR="004104E4">
        <w:t> </w:t>
      </w:r>
      <w:r w:rsidR="0070555A">
        <w:t>=</w:t>
      </w:r>
      <w:r w:rsidR="004104E4">
        <w:t> </w:t>
      </w:r>
      <w:r w:rsidR="0070555A">
        <w:t xml:space="preserve">0.0166; using </w:t>
      </w:r>
      <w:r w:rsidRPr="004E49EA">
        <w:t>Wilcoxon rank-sum test).</w:t>
      </w:r>
    </w:p>
    <w:p w14:paraId="0C6FEF9A" w14:textId="31594024" w:rsidR="004E49EA" w:rsidRPr="004E49EA" w:rsidRDefault="004E49EA" w:rsidP="00D61FF2">
      <w:r w:rsidRPr="004E49EA">
        <w:t xml:space="preserve">Overall, the study provided evidence that adding CBD-OS to a regimen including </w:t>
      </w:r>
      <w:r w:rsidR="008F2075">
        <w:t>CLB</w:t>
      </w:r>
      <w:r w:rsidRPr="004E49EA">
        <w:t xml:space="preserve"> may impro</w:t>
      </w:r>
      <w:r w:rsidR="0070555A">
        <w:t xml:space="preserve">ve seizure frequency by approximately </w:t>
      </w:r>
      <w:r w:rsidRPr="004E49EA">
        <w:t>23%, relative to placebo.</w:t>
      </w:r>
    </w:p>
    <w:p w14:paraId="3D479C85" w14:textId="6A04D4A3" w:rsidR="004E49EA" w:rsidRPr="004E49EA" w:rsidRDefault="004E49EA" w:rsidP="000169E3">
      <w:pPr>
        <w:pStyle w:val="Heading5"/>
      </w:pPr>
      <w:r w:rsidRPr="004E49EA">
        <w:t>Study DS-24</w:t>
      </w:r>
      <w:r w:rsidR="005F2ADD">
        <w:t xml:space="preserve"> (Study </w:t>
      </w:r>
      <w:r w:rsidR="005F2ADD">
        <w:rPr>
          <w:lang w:eastAsia="ja-JP"/>
        </w:rPr>
        <w:t>GWEP1424)</w:t>
      </w:r>
    </w:p>
    <w:p w14:paraId="514E095D" w14:textId="291F1E12" w:rsidR="004C5B16" w:rsidRDefault="004E49EA" w:rsidP="00D61FF2">
      <w:r w:rsidRPr="004E49EA">
        <w:t xml:space="preserve">For both dose groups, </w:t>
      </w:r>
      <w:r w:rsidR="005F2ADD">
        <w:t>S</w:t>
      </w:r>
      <w:r w:rsidRPr="004E49EA">
        <w:t>tudy</w:t>
      </w:r>
      <w:r w:rsidR="005F2ADD">
        <w:t xml:space="preserve"> GWEP1424 (abbreviated as Study DS-24 in this document)</w:t>
      </w:r>
      <w:r w:rsidRPr="004E49EA">
        <w:t xml:space="preserve"> was positive for its primary endpoint and for all three key secondary endpoints. The magnitude of the benefit was modest, but likely to represent a clinically worthwhile improvement for most clinicians and patients. Sensitivity analyses suggested that alternative analytical approaches could have led to negative results</w:t>
      </w:r>
      <w:r w:rsidR="004C5B16">
        <w:t>.</w:t>
      </w:r>
    </w:p>
    <w:p w14:paraId="32561C9C" w14:textId="1E3E263F" w:rsidR="004E49EA" w:rsidRPr="004E49EA" w:rsidRDefault="004E49EA" w:rsidP="00D61FF2">
      <w:r w:rsidRPr="004E49EA">
        <w:t>For the primary endpoint, percentage reduction in convulsive seizure frequency, the reduction relative to baseline was greater in both active dose groups than in the placebo group (10 mg/kg/day, 48.7% reduction; 20 mg/kg/day, 45.7% reduction; placebo, 26.9% reduction). By negative binomial regression, the difference between the 10 mg/kg/day group and the placebo group was highly significant (p</w:t>
      </w:r>
      <w:r w:rsidR="004104E4">
        <w:t xml:space="preserve"> </w:t>
      </w:r>
      <w:r w:rsidRPr="004E49EA">
        <w:t>=</w:t>
      </w:r>
      <w:r w:rsidR="004104E4">
        <w:t xml:space="preserve"> </w:t>
      </w:r>
      <w:r w:rsidRPr="004E49EA">
        <w:t>0.0095), while the difference between the 20 mg/kg/day group in the placebo group was mod</w:t>
      </w:r>
      <w:r w:rsidR="00D80A70">
        <w:t>erately significant (p</w:t>
      </w:r>
      <w:r w:rsidR="004104E4">
        <w:t> </w:t>
      </w:r>
      <w:r w:rsidR="00D80A70">
        <w:t>=</w:t>
      </w:r>
      <w:r w:rsidR="004104E4">
        <w:t> </w:t>
      </w:r>
      <w:r w:rsidR="00D80A70">
        <w:t>0.0299).</w:t>
      </w:r>
    </w:p>
    <w:p w14:paraId="2C946577" w14:textId="16D37871" w:rsidR="004E49EA" w:rsidRPr="004E49EA" w:rsidRDefault="004E49EA" w:rsidP="00D61FF2">
      <w:r w:rsidRPr="004E49EA">
        <w:t xml:space="preserve">For the percentage reduction in total seizure frequency, the reduction relative to </w:t>
      </w:r>
      <w:r w:rsidR="005F2ADD">
        <w:t>B</w:t>
      </w:r>
      <w:r w:rsidRPr="004E49EA">
        <w:t>aseline was greater in both active dose groups than in the placebo group. The median percentage reductions were 10 mg/kg/day, 56.4% reduction; 20 mg/kg/day, 47.3% reduction; placebo, 29.7% reduction). The differences between each active dose group and placebo were statistically significant by negative binomial regression (10 mg/kg/day, p</w:t>
      </w:r>
      <w:r w:rsidR="004104E4">
        <w:t xml:space="preserve"> </w:t>
      </w:r>
      <w:r w:rsidRPr="004E49EA">
        <w:t>=</w:t>
      </w:r>
      <w:r w:rsidR="004104E4">
        <w:t xml:space="preserve"> </w:t>
      </w:r>
      <w:r w:rsidRPr="004E49EA">
        <w:t>0.0003; 20 mg/kg/day</w:t>
      </w:r>
      <w:r w:rsidR="00D80A70">
        <w:t>,</w:t>
      </w:r>
      <w:r w:rsidRPr="004E49EA">
        <w:t xml:space="preserve"> p</w:t>
      </w:r>
      <w:r w:rsidR="004104E4">
        <w:t xml:space="preserve"> </w:t>
      </w:r>
      <w:r w:rsidRPr="004E49EA">
        <w:t>=</w:t>
      </w:r>
      <w:r w:rsidR="004104E4">
        <w:t xml:space="preserve"> </w:t>
      </w:r>
      <w:r w:rsidRPr="004E49EA">
        <w:t>0.0255).</w:t>
      </w:r>
    </w:p>
    <w:p w14:paraId="54054312" w14:textId="45962213" w:rsidR="004E49EA" w:rsidRPr="004E49EA" w:rsidRDefault="004E49EA" w:rsidP="00D61FF2">
      <w:r w:rsidRPr="004E49EA">
        <w:t>For the response rate, the proportion of subjects with a reduction in c</w:t>
      </w:r>
      <w:r w:rsidR="00D80A70">
        <w:t>onvulsive seizure frequency of greater than or equal to</w:t>
      </w:r>
      <w:r w:rsidRPr="004E49EA">
        <w:t xml:space="preserve"> 50% was higher in the CBD-OS 20 mg/kg/day group (49.3%) and 10 mg/kg/day group (43.9%) than the placebo group (26.2%), and the differences in proportions were statistically significant when analysed using a CMH test stratified by age (CBD-OS 10 mg/kg/day, p</w:t>
      </w:r>
      <w:r w:rsidR="004104E4">
        <w:t xml:space="preserve"> </w:t>
      </w:r>
      <w:r w:rsidRPr="004E49EA">
        <w:t>=</w:t>
      </w:r>
      <w:r w:rsidR="004104E4">
        <w:t xml:space="preserve"> </w:t>
      </w:r>
      <w:r w:rsidRPr="004E49EA">
        <w:t>0.0332; CBD-OS 20 mg/kg/day, p</w:t>
      </w:r>
      <w:r w:rsidR="004104E4">
        <w:t xml:space="preserve"> </w:t>
      </w:r>
      <w:r w:rsidRPr="004E49EA">
        <w:t>=</w:t>
      </w:r>
      <w:r w:rsidR="004104E4">
        <w:t xml:space="preserve"> </w:t>
      </w:r>
      <w:r w:rsidRPr="004E49EA">
        <w:t>0.0069).</w:t>
      </w:r>
    </w:p>
    <w:p w14:paraId="18F63153" w14:textId="66C5DAC4" w:rsidR="004E49EA" w:rsidRPr="004E49EA" w:rsidRDefault="00D80A70" w:rsidP="00D61FF2">
      <w:r>
        <w:t xml:space="preserve">For the </w:t>
      </w:r>
      <w:r w:rsidR="00CE014C">
        <w:t>PGIC scores</w:t>
      </w:r>
      <w:r w:rsidR="004E49EA" w:rsidRPr="004E49EA">
        <w:t xml:space="preserve">, the proportion of subjects with at least some improvement was significantly greater in the active dose groups. The proportion of </w:t>
      </w:r>
      <w:r>
        <w:t>patients with any improvement (‘slightly improved’, ‘much improved’, or ‘very much improved’</w:t>
      </w:r>
      <w:r w:rsidR="004E49EA" w:rsidRPr="004E49EA">
        <w:t>) at their last visit was higher in the and 10 mg/kg/day group (68.2%) and the 20 mg/kg/day group (60.6%) than in the placebo gro</w:t>
      </w:r>
      <w:r>
        <w:t xml:space="preserve">up (41.5%). The difference was </w:t>
      </w:r>
      <w:r w:rsidR="004E49EA" w:rsidRPr="004E49EA">
        <w:t>statistically significant using ordinal logistic regression (10 mg/kg/day, p</w:t>
      </w:r>
      <w:r w:rsidR="004104E4">
        <w:t xml:space="preserve"> </w:t>
      </w:r>
      <w:r w:rsidR="004E49EA" w:rsidRPr="004E49EA">
        <w:t>=</w:t>
      </w:r>
      <w:r w:rsidR="004104E4">
        <w:t xml:space="preserve"> </w:t>
      </w:r>
      <w:r w:rsidR="004E49EA" w:rsidRPr="004E49EA">
        <w:t>0.0009; 20 mg/kg/day, p=0.0279). A</w:t>
      </w:r>
      <w:r w:rsidR="005F2ADD">
        <w:t> </w:t>
      </w:r>
      <w:r w:rsidR="004E49EA" w:rsidRPr="004E49EA">
        <w:t>number of minor secondary endpoints were also positive, supporting the key findings.</w:t>
      </w:r>
    </w:p>
    <w:p w14:paraId="37CEED7B" w14:textId="1ECA6999" w:rsidR="004E49EA" w:rsidRPr="004E49EA" w:rsidRDefault="00D80A70" w:rsidP="00D61FF2">
      <w:r>
        <w:t>The c</w:t>
      </w:r>
      <w:r w:rsidR="004E49EA" w:rsidRPr="004E49EA">
        <w:t xml:space="preserve">linical evaluator suggests that CBD-OS improves seizure frequency when added to other anticonvulsants, particularly </w:t>
      </w:r>
      <w:r w:rsidR="008F2075">
        <w:t>CLB</w:t>
      </w:r>
      <w:r w:rsidR="004E49EA" w:rsidRPr="004E49EA">
        <w:t xml:space="preserve">. The magnitude of the benefit is modest, representing a reduction in seizure frequency of 19% to 22%, relative to placebo, and some of this is likely to be due to a PK interaction with </w:t>
      </w:r>
      <w:r w:rsidR="008F2075">
        <w:t>CLB</w:t>
      </w:r>
      <w:r w:rsidR="004E49EA" w:rsidRPr="004E49EA">
        <w:t>.</w:t>
      </w:r>
    </w:p>
    <w:p w14:paraId="18796798" w14:textId="4F668C16" w:rsidR="004E49EA" w:rsidRPr="004E49EA" w:rsidRDefault="004E49EA" w:rsidP="000169E3">
      <w:pPr>
        <w:pStyle w:val="Heading5"/>
      </w:pPr>
      <w:r w:rsidRPr="004E49EA">
        <w:t>Study GWEP1415</w:t>
      </w:r>
    </w:p>
    <w:p w14:paraId="1ACA7D54" w14:textId="77777777" w:rsidR="004C5B16" w:rsidRDefault="00B174AB" w:rsidP="00D61FF2">
      <w:r>
        <w:t xml:space="preserve">In the open </w:t>
      </w:r>
      <w:r w:rsidR="004E49EA" w:rsidRPr="004E49EA">
        <w:t>label extension study (</w:t>
      </w:r>
      <w:r w:rsidR="00960D00">
        <w:t xml:space="preserve">Study </w:t>
      </w:r>
      <w:r w:rsidR="004E49EA" w:rsidRPr="004E49EA">
        <w:t>GWEP1415), no major waning of efficacy was observed. The study appeared to be subject to marked withdrawal bias. Given the lack of a control group, no robust efficacy conclusions can be drawn</w:t>
      </w:r>
      <w:r w:rsidR="004C5B16">
        <w:t>.</w:t>
      </w:r>
    </w:p>
    <w:p w14:paraId="6F638E3A" w14:textId="1A7165C4" w:rsidR="004E49EA" w:rsidRPr="004E49EA" w:rsidRDefault="004E49EA" w:rsidP="00B21D3C">
      <w:pPr>
        <w:pStyle w:val="Heading5"/>
      </w:pPr>
      <w:r w:rsidRPr="004E49EA">
        <w:t xml:space="preserve">Extended </w:t>
      </w:r>
      <w:r w:rsidR="00075FD0" w:rsidRPr="004E49EA">
        <w:t>access progr</w:t>
      </w:r>
      <w:r w:rsidRPr="004E49EA">
        <w:t>am</w:t>
      </w:r>
    </w:p>
    <w:p w14:paraId="601F59EF" w14:textId="52C26B68" w:rsidR="009F3830" w:rsidRDefault="004E49EA" w:rsidP="00D61FF2">
      <w:r w:rsidRPr="004E49EA">
        <w:t>In the Extended Access Program, it broadly suggests that efficacy is maintained, but it is impossible to draw any firm conclusions in the absence of a control group.</w:t>
      </w:r>
    </w:p>
    <w:p w14:paraId="63F1ED5A" w14:textId="1DC5B5E3" w:rsidR="003E11A1" w:rsidRPr="00565C9B" w:rsidRDefault="008F2075" w:rsidP="009F3830">
      <w:pPr>
        <w:pStyle w:val="Heading5"/>
      </w:pPr>
      <w:r>
        <w:t>Clinical e</w:t>
      </w:r>
      <w:r w:rsidR="003E11A1" w:rsidRPr="00565C9B">
        <w:t>valuat</w:t>
      </w:r>
      <w:r>
        <w:t xml:space="preserve">or’s concerns on interactions of </w:t>
      </w:r>
      <w:proofErr w:type="spellStart"/>
      <w:r w:rsidR="00254133">
        <w:t>clobazam</w:t>
      </w:r>
      <w:proofErr w:type="spellEnd"/>
      <w:r w:rsidR="003E11A1" w:rsidRPr="00565C9B">
        <w:t xml:space="preserve"> and its metabolite with </w:t>
      </w:r>
      <w:r w:rsidR="00254133">
        <w:t>cannabidiol oral solution</w:t>
      </w:r>
    </w:p>
    <w:p w14:paraId="532B73A8" w14:textId="60E2B86A" w:rsidR="003E11A1" w:rsidRPr="003E11A1" w:rsidRDefault="00352A17" w:rsidP="00F335A7">
      <w:r w:rsidRPr="003E11A1">
        <w:t xml:space="preserve">Nearly </w:t>
      </w:r>
      <w:r w:rsidR="003E11A1" w:rsidRPr="003E11A1">
        <w:t>half the su</w:t>
      </w:r>
      <w:r w:rsidR="009F3830">
        <w:t xml:space="preserve">bjects were taking </w:t>
      </w:r>
      <w:r w:rsidR="008F2075">
        <w:t>CLB</w:t>
      </w:r>
      <w:r w:rsidR="009F3830">
        <w:t xml:space="preserve"> at B</w:t>
      </w:r>
      <w:r w:rsidR="003E11A1" w:rsidRPr="003E11A1">
        <w:t xml:space="preserve">aseline in </w:t>
      </w:r>
      <w:r w:rsidR="00243FDB" w:rsidRPr="003E11A1">
        <w:t>most of the submitted studies, and this may have contributed to the observed efficacy signal.</w:t>
      </w:r>
      <w:r w:rsidR="00243FDB">
        <w:t xml:space="preserve"> </w:t>
      </w:r>
      <w:r w:rsidR="003E11A1" w:rsidRPr="003E11A1">
        <w:t xml:space="preserve">Given that CBD administration increases exposure to the active metabolite of </w:t>
      </w:r>
      <w:r w:rsidR="00E705BD">
        <w:t>CLB</w:t>
      </w:r>
      <w:r w:rsidR="003E11A1" w:rsidRPr="003E11A1">
        <w:t>,</w:t>
      </w:r>
      <w:r w:rsidR="009F3830">
        <w:t xml:space="preserve"> N-CLB (and, to a lesser extent; </w:t>
      </w:r>
      <w:r w:rsidR="008F2075">
        <w:t>CLB</w:t>
      </w:r>
      <w:r w:rsidR="003E11A1" w:rsidRPr="003E11A1">
        <w:t xml:space="preserve">), some of the observed efficacy is likely to have been due to the pharmacological action of </w:t>
      </w:r>
      <w:r w:rsidR="008F2075">
        <w:t>CLB</w:t>
      </w:r>
      <w:r w:rsidR="003E11A1" w:rsidRPr="003E11A1">
        <w:t xml:space="preserve"> and N-CLB. Results in subjects not taking </w:t>
      </w:r>
      <w:r w:rsidR="008F2075">
        <w:t>CLB</w:t>
      </w:r>
      <w:r w:rsidR="003E11A1" w:rsidRPr="003E11A1">
        <w:t xml:space="preserve"> were numerically lower to those seen with subjects taking </w:t>
      </w:r>
      <w:r w:rsidR="008F2075">
        <w:t>CLB</w:t>
      </w:r>
      <w:r w:rsidR="003E11A1" w:rsidRPr="003E11A1">
        <w:t xml:space="preserve">, and for studies with two active dose groups, </w:t>
      </w:r>
      <w:r w:rsidR="002412F8" w:rsidRPr="003E11A1">
        <w:t xml:space="preserve">the discordance between those taking and not taking </w:t>
      </w:r>
      <w:r w:rsidR="002412F8">
        <w:t>CLB</w:t>
      </w:r>
      <w:r w:rsidR="002412F8" w:rsidRPr="003E11A1">
        <w:t xml:space="preserve"> was most evident for subjects assigned to CBD</w:t>
      </w:r>
      <w:r w:rsidR="002412F8">
        <w:noBreakHyphen/>
      </w:r>
      <w:r w:rsidR="002412F8" w:rsidRPr="003E11A1">
        <w:t>OS 20 mg/kg/day</w:t>
      </w:r>
      <w:r w:rsidR="009B54BD">
        <w:t>.</w:t>
      </w:r>
      <w:r w:rsidR="002412F8" w:rsidRPr="003E11A1" w:rsidDel="002412F8">
        <w:t xml:space="preserve"> </w:t>
      </w:r>
      <w:r w:rsidR="009F3830">
        <w:t xml:space="preserve">(see </w:t>
      </w:r>
      <w:r w:rsidR="009F3830" w:rsidRPr="00310E0C">
        <w:fldChar w:fldCharType="begin"/>
      </w:r>
      <w:r w:rsidR="009F3830" w:rsidRPr="00895D17">
        <w:instrText xml:space="preserve"> REF _Ref56181127 \h </w:instrText>
      </w:r>
      <w:r w:rsidR="005D69FD" w:rsidRPr="00895D17">
        <w:instrText xml:space="preserve"> \* MERGEFORMAT </w:instrText>
      </w:r>
      <w:r w:rsidR="009F3830" w:rsidRPr="00310E0C">
        <w:fldChar w:fldCharType="separate"/>
      </w:r>
      <w:r w:rsidR="00E0078F">
        <w:t>Table 3</w:t>
      </w:r>
      <w:r w:rsidR="009F3830" w:rsidRPr="00310E0C">
        <w:fldChar w:fldCharType="end"/>
      </w:r>
      <w:r w:rsidR="009F3830">
        <w:t>).</w:t>
      </w:r>
    </w:p>
    <w:p w14:paraId="2B1AACF3" w14:textId="37C793D1" w:rsidR="003E11A1" w:rsidRDefault="003E11A1" w:rsidP="00D61FF2">
      <w:r w:rsidRPr="003E11A1">
        <w:t>Considering just the primary endpoint in the 6 active dose groups of the 4 major studies, in p</w:t>
      </w:r>
      <w:r w:rsidR="00703951">
        <w:t xml:space="preserve">atients not taking </w:t>
      </w:r>
      <w:r w:rsidR="008F2075">
        <w:t>CLB</w:t>
      </w:r>
      <w:r w:rsidR="00703951">
        <w:t xml:space="preserve"> at B</w:t>
      </w:r>
      <w:r w:rsidRPr="003E11A1">
        <w:t>aseline, significant effect was demonstrated for only one of them (the 10 mg/kg/day group in Study LGS-14).</w:t>
      </w:r>
    </w:p>
    <w:p w14:paraId="277A360E" w14:textId="5192903D" w:rsidR="00565C9B" w:rsidRDefault="00565C9B" w:rsidP="00565C9B">
      <w:pPr>
        <w:pStyle w:val="TableTitle"/>
      </w:pPr>
      <w:bookmarkStart w:id="47" w:name="_Ref56181127"/>
      <w:r>
        <w:t xml:space="preserve">Table </w:t>
      </w:r>
      <w:r>
        <w:fldChar w:fldCharType="begin"/>
      </w:r>
      <w:r>
        <w:instrText>SEQ Table \* ARABIC</w:instrText>
      </w:r>
      <w:r>
        <w:fldChar w:fldCharType="separate"/>
      </w:r>
      <w:r w:rsidR="00E0078F">
        <w:rPr>
          <w:noProof/>
        </w:rPr>
        <w:t>3</w:t>
      </w:r>
      <w:r>
        <w:fldChar w:fldCharType="end"/>
      </w:r>
      <w:bookmarkEnd w:id="47"/>
      <w:r>
        <w:t xml:space="preserve">: </w:t>
      </w:r>
      <w:r w:rsidR="00CA00C4">
        <w:t xml:space="preserve">Pivotal studies </w:t>
      </w:r>
      <w:r>
        <w:t xml:space="preserve">Primary endpoint results </w:t>
      </w:r>
      <w:r w:rsidR="00CA00C4">
        <w:t>(change</w:t>
      </w:r>
      <w:r w:rsidR="00CA00C4" w:rsidRPr="004E49EA">
        <w:t xml:space="preserve"> in seizure frequency</w:t>
      </w:r>
      <w:r w:rsidR="00CA00C4">
        <w:t xml:space="preserve">) </w:t>
      </w:r>
      <w:r>
        <w:t xml:space="preserve">for subjects not taking </w:t>
      </w:r>
      <w:proofErr w:type="spellStart"/>
      <w:r w:rsidR="00CA00C4">
        <w:t>clobazam</w:t>
      </w:r>
      <w:proofErr w:type="spellEnd"/>
    </w:p>
    <w:tbl>
      <w:tblPr>
        <w:tblStyle w:val="TableTGAblue"/>
        <w:tblW w:w="0" w:type="auto"/>
        <w:tblLook w:val="04A0" w:firstRow="1" w:lastRow="0" w:firstColumn="1" w:lastColumn="0" w:noHBand="0" w:noVBand="1"/>
      </w:tblPr>
      <w:tblGrid>
        <w:gridCol w:w="1652"/>
        <w:gridCol w:w="948"/>
        <w:gridCol w:w="940"/>
        <w:gridCol w:w="1670"/>
        <w:gridCol w:w="919"/>
        <w:gridCol w:w="809"/>
        <w:gridCol w:w="1546"/>
      </w:tblGrid>
      <w:tr w:rsidR="00565C9B" w14:paraId="600715DA" w14:textId="0A939134" w:rsidTr="00A8768C">
        <w:trPr>
          <w:cnfStyle w:val="100000000000" w:firstRow="1" w:lastRow="0" w:firstColumn="0" w:lastColumn="0" w:oddVBand="0" w:evenVBand="0" w:oddHBand="0" w:evenHBand="0" w:firstRowFirstColumn="0" w:firstRowLastColumn="0" w:lastRowFirstColumn="0" w:lastRowLastColumn="0"/>
        </w:trPr>
        <w:tc>
          <w:tcPr>
            <w:tcW w:w="1652" w:type="dxa"/>
          </w:tcPr>
          <w:p w14:paraId="2E05AFBA" w14:textId="65A9223D" w:rsidR="00565C9B" w:rsidRPr="00A8768C" w:rsidRDefault="00565C9B" w:rsidP="00A8768C">
            <w:pPr>
              <w:ind w:left="0"/>
              <w:rPr>
                <w:sz w:val="20"/>
              </w:rPr>
            </w:pPr>
            <w:r w:rsidRPr="00A8768C">
              <w:rPr>
                <w:sz w:val="20"/>
              </w:rPr>
              <w:t>Study</w:t>
            </w:r>
          </w:p>
        </w:tc>
        <w:tc>
          <w:tcPr>
            <w:tcW w:w="1888" w:type="dxa"/>
            <w:gridSpan w:val="2"/>
          </w:tcPr>
          <w:p w14:paraId="2B333C3A" w14:textId="422A92E7" w:rsidR="00565C9B" w:rsidRPr="00A8768C" w:rsidRDefault="00565C9B" w:rsidP="00A8768C">
            <w:pPr>
              <w:ind w:left="0"/>
              <w:rPr>
                <w:sz w:val="20"/>
              </w:rPr>
            </w:pPr>
            <w:r w:rsidRPr="00A8768C">
              <w:rPr>
                <w:sz w:val="20"/>
              </w:rPr>
              <w:t>Study LGS-14</w:t>
            </w:r>
          </w:p>
        </w:tc>
        <w:tc>
          <w:tcPr>
            <w:tcW w:w="1670" w:type="dxa"/>
          </w:tcPr>
          <w:p w14:paraId="679A45C0" w14:textId="05770BDF" w:rsidR="00565C9B" w:rsidRPr="00A8768C" w:rsidRDefault="00565C9B" w:rsidP="00A8768C">
            <w:pPr>
              <w:ind w:left="0"/>
              <w:rPr>
                <w:sz w:val="20"/>
              </w:rPr>
            </w:pPr>
            <w:r w:rsidRPr="00A8768C">
              <w:rPr>
                <w:sz w:val="20"/>
              </w:rPr>
              <w:t>Study LGS-13</w:t>
            </w:r>
          </w:p>
        </w:tc>
        <w:tc>
          <w:tcPr>
            <w:tcW w:w="1728" w:type="dxa"/>
            <w:gridSpan w:val="2"/>
          </w:tcPr>
          <w:p w14:paraId="2472B7EF" w14:textId="7E6E174C" w:rsidR="00565C9B" w:rsidRPr="00A8768C" w:rsidRDefault="00565C9B" w:rsidP="00A8768C">
            <w:pPr>
              <w:ind w:left="0"/>
              <w:rPr>
                <w:sz w:val="20"/>
              </w:rPr>
            </w:pPr>
            <w:r w:rsidRPr="00A8768C">
              <w:rPr>
                <w:sz w:val="20"/>
              </w:rPr>
              <w:t>Study DS-32</w:t>
            </w:r>
          </w:p>
        </w:tc>
        <w:tc>
          <w:tcPr>
            <w:tcW w:w="1546" w:type="dxa"/>
          </w:tcPr>
          <w:p w14:paraId="5A36376E" w14:textId="3EBEC842" w:rsidR="00565C9B" w:rsidRPr="00A8768C" w:rsidRDefault="00565C9B" w:rsidP="00A8768C">
            <w:pPr>
              <w:ind w:left="0"/>
              <w:rPr>
                <w:sz w:val="20"/>
              </w:rPr>
            </w:pPr>
            <w:r w:rsidRPr="00A8768C">
              <w:rPr>
                <w:sz w:val="20"/>
              </w:rPr>
              <w:t>Study DS-24</w:t>
            </w:r>
          </w:p>
        </w:tc>
      </w:tr>
      <w:tr w:rsidR="00CA00C4" w14:paraId="1AE58622" w14:textId="6CF951FF" w:rsidTr="00A8768C">
        <w:tc>
          <w:tcPr>
            <w:tcW w:w="1652" w:type="dxa"/>
          </w:tcPr>
          <w:p w14:paraId="0ADE37B9" w14:textId="021CCBF3" w:rsidR="00565C9B" w:rsidRPr="00A8768C" w:rsidRDefault="00565C9B" w:rsidP="00A8768C">
            <w:pPr>
              <w:ind w:left="0"/>
              <w:rPr>
                <w:sz w:val="20"/>
              </w:rPr>
            </w:pPr>
            <w:r w:rsidRPr="00A8768C">
              <w:rPr>
                <w:sz w:val="20"/>
              </w:rPr>
              <w:t>Dose (mg/kg/day)</w:t>
            </w:r>
          </w:p>
        </w:tc>
        <w:tc>
          <w:tcPr>
            <w:tcW w:w="948" w:type="dxa"/>
          </w:tcPr>
          <w:p w14:paraId="6154E421" w14:textId="331D5DC1" w:rsidR="00565C9B" w:rsidRPr="00A8768C" w:rsidRDefault="00565C9B" w:rsidP="00D61FF2">
            <w:pPr>
              <w:rPr>
                <w:sz w:val="20"/>
              </w:rPr>
            </w:pPr>
            <w:r w:rsidRPr="00A8768C">
              <w:rPr>
                <w:sz w:val="20"/>
              </w:rPr>
              <w:t>10</w:t>
            </w:r>
          </w:p>
        </w:tc>
        <w:tc>
          <w:tcPr>
            <w:tcW w:w="940" w:type="dxa"/>
          </w:tcPr>
          <w:p w14:paraId="0A0C5A6D" w14:textId="700C0B87" w:rsidR="00565C9B" w:rsidRPr="00A8768C" w:rsidRDefault="00565C9B" w:rsidP="00D61FF2">
            <w:pPr>
              <w:rPr>
                <w:sz w:val="20"/>
              </w:rPr>
            </w:pPr>
            <w:r w:rsidRPr="00A8768C">
              <w:rPr>
                <w:sz w:val="20"/>
              </w:rPr>
              <w:t>20</w:t>
            </w:r>
          </w:p>
        </w:tc>
        <w:tc>
          <w:tcPr>
            <w:tcW w:w="1670" w:type="dxa"/>
          </w:tcPr>
          <w:p w14:paraId="16F5AD24" w14:textId="7B6C2A5A" w:rsidR="00565C9B" w:rsidRPr="00A8768C" w:rsidRDefault="00565C9B" w:rsidP="00D61FF2">
            <w:pPr>
              <w:rPr>
                <w:sz w:val="20"/>
              </w:rPr>
            </w:pPr>
            <w:r w:rsidRPr="00A8768C">
              <w:rPr>
                <w:sz w:val="20"/>
              </w:rPr>
              <w:t>20</w:t>
            </w:r>
          </w:p>
        </w:tc>
        <w:tc>
          <w:tcPr>
            <w:tcW w:w="919" w:type="dxa"/>
          </w:tcPr>
          <w:p w14:paraId="2916B039" w14:textId="0DF8E2AD" w:rsidR="00565C9B" w:rsidRPr="00A8768C" w:rsidRDefault="00565C9B" w:rsidP="00D61FF2">
            <w:pPr>
              <w:rPr>
                <w:sz w:val="20"/>
              </w:rPr>
            </w:pPr>
            <w:r w:rsidRPr="00A8768C">
              <w:rPr>
                <w:sz w:val="20"/>
              </w:rPr>
              <w:t>10</w:t>
            </w:r>
          </w:p>
        </w:tc>
        <w:tc>
          <w:tcPr>
            <w:tcW w:w="809" w:type="dxa"/>
          </w:tcPr>
          <w:p w14:paraId="69FFF1A0" w14:textId="136249CC" w:rsidR="00565C9B" w:rsidRPr="00A8768C" w:rsidRDefault="00565C9B" w:rsidP="00D61FF2">
            <w:pPr>
              <w:rPr>
                <w:sz w:val="20"/>
              </w:rPr>
            </w:pPr>
            <w:r w:rsidRPr="00A8768C">
              <w:rPr>
                <w:sz w:val="20"/>
              </w:rPr>
              <w:t>20</w:t>
            </w:r>
          </w:p>
        </w:tc>
        <w:tc>
          <w:tcPr>
            <w:tcW w:w="1546" w:type="dxa"/>
          </w:tcPr>
          <w:p w14:paraId="33CB9814" w14:textId="4B936C5B" w:rsidR="00565C9B" w:rsidRPr="00A8768C" w:rsidRDefault="00565C9B" w:rsidP="00D61FF2">
            <w:pPr>
              <w:rPr>
                <w:sz w:val="20"/>
              </w:rPr>
            </w:pPr>
            <w:r w:rsidRPr="00A8768C">
              <w:rPr>
                <w:sz w:val="20"/>
              </w:rPr>
              <w:t>20</w:t>
            </w:r>
          </w:p>
        </w:tc>
      </w:tr>
      <w:tr w:rsidR="00CA00C4" w14:paraId="0A362929" w14:textId="2495F53C" w:rsidTr="00A8768C">
        <w:tc>
          <w:tcPr>
            <w:tcW w:w="1652" w:type="dxa"/>
          </w:tcPr>
          <w:p w14:paraId="72577541" w14:textId="2C675307" w:rsidR="00565C9B" w:rsidRPr="00A8768C" w:rsidRDefault="00565C9B" w:rsidP="00A8768C">
            <w:pPr>
              <w:ind w:left="0"/>
              <w:rPr>
                <w:sz w:val="20"/>
              </w:rPr>
            </w:pPr>
            <w:r w:rsidRPr="00A8768C">
              <w:rPr>
                <w:sz w:val="20"/>
              </w:rPr>
              <w:t xml:space="preserve">Result in patients </w:t>
            </w:r>
            <w:r w:rsidR="00CA00C4" w:rsidRPr="00A8768C">
              <w:rPr>
                <w:sz w:val="20"/>
              </w:rPr>
              <w:t>not</w:t>
            </w:r>
            <w:r w:rsidRPr="00A8768C">
              <w:rPr>
                <w:sz w:val="20"/>
              </w:rPr>
              <w:t xml:space="preserve"> on </w:t>
            </w:r>
            <w:proofErr w:type="spellStart"/>
            <w:r w:rsidR="00CA00C4" w:rsidRPr="00A8768C">
              <w:rPr>
                <w:sz w:val="20"/>
              </w:rPr>
              <w:t>clobazam</w:t>
            </w:r>
            <w:proofErr w:type="spellEnd"/>
          </w:p>
        </w:tc>
        <w:tc>
          <w:tcPr>
            <w:tcW w:w="948" w:type="dxa"/>
          </w:tcPr>
          <w:p w14:paraId="62258962" w14:textId="4E683A58" w:rsidR="00565C9B" w:rsidRPr="00CA00C4" w:rsidRDefault="00565C9B" w:rsidP="00D61FF2">
            <w:r w:rsidRPr="00CA00C4">
              <w:t>+</w:t>
            </w:r>
          </w:p>
        </w:tc>
        <w:tc>
          <w:tcPr>
            <w:tcW w:w="940" w:type="dxa"/>
          </w:tcPr>
          <w:p w14:paraId="203A3394" w14:textId="6D618168" w:rsidR="00565C9B" w:rsidRPr="00CA00C4" w:rsidRDefault="00565C9B" w:rsidP="00D61FF2">
            <w:r w:rsidRPr="00CA00C4">
              <w:t>-</w:t>
            </w:r>
          </w:p>
        </w:tc>
        <w:tc>
          <w:tcPr>
            <w:tcW w:w="1670" w:type="dxa"/>
          </w:tcPr>
          <w:p w14:paraId="73D97D12" w14:textId="182E76F9" w:rsidR="00565C9B" w:rsidRPr="004E04C7" w:rsidRDefault="00565C9B" w:rsidP="00D61FF2">
            <w:r w:rsidRPr="004E04C7">
              <w:t>-</w:t>
            </w:r>
          </w:p>
        </w:tc>
        <w:tc>
          <w:tcPr>
            <w:tcW w:w="919" w:type="dxa"/>
          </w:tcPr>
          <w:p w14:paraId="56CC3DAB" w14:textId="7B35844F" w:rsidR="00565C9B" w:rsidRPr="009007CA" w:rsidRDefault="00565C9B" w:rsidP="00D61FF2">
            <w:r w:rsidRPr="009007CA">
              <w:t>-</w:t>
            </w:r>
          </w:p>
        </w:tc>
        <w:tc>
          <w:tcPr>
            <w:tcW w:w="809" w:type="dxa"/>
          </w:tcPr>
          <w:p w14:paraId="79A0003D" w14:textId="75520787" w:rsidR="00565C9B" w:rsidRPr="00AA0333" w:rsidRDefault="00565C9B" w:rsidP="00D61FF2">
            <w:r w:rsidRPr="00AA0333">
              <w:t>-</w:t>
            </w:r>
          </w:p>
        </w:tc>
        <w:tc>
          <w:tcPr>
            <w:tcW w:w="1546" w:type="dxa"/>
          </w:tcPr>
          <w:p w14:paraId="27EDBA97" w14:textId="718D02A7" w:rsidR="00565C9B" w:rsidRPr="00AA0333" w:rsidRDefault="00565C9B" w:rsidP="00D61FF2">
            <w:r w:rsidRPr="00AA0333">
              <w:t>-</w:t>
            </w:r>
          </w:p>
        </w:tc>
      </w:tr>
      <w:tr w:rsidR="00CA00C4" w14:paraId="7436CF7B" w14:textId="77777777" w:rsidTr="00A8768C">
        <w:tc>
          <w:tcPr>
            <w:tcW w:w="1652" w:type="dxa"/>
          </w:tcPr>
          <w:p w14:paraId="4ABA7CF0" w14:textId="38698E50" w:rsidR="00565C9B" w:rsidRPr="00A8768C" w:rsidRDefault="00565C9B" w:rsidP="00A8768C">
            <w:pPr>
              <w:ind w:left="0"/>
              <w:rPr>
                <w:sz w:val="20"/>
              </w:rPr>
            </w:pPr>
            <w:r w:rsidRPr="00A8768C">
              <w:rPr>
                <w:sz w:val="20"/>
              </w:rPr>
              <w:t xml:space="preserve">Result in patients on </w:t>
            </w:r>
            <w:proofErr w:type="spellStart"/>
            <w:r w:rsidR="00CA00C4" w:rsidRPr="00A8768C">
              <w:rPr>
                <w:sz w:val="20"/>
              </w:rPr>
              <w:t>clobazam</w:t>
            </w:r>
            <w:proofErr w:type="spellEnd"/>
          </w:p>
        </w:tc>
        <w:tc>
          <w:tcPr>
            <w:tcW w:w="948" w:type="dxa"/>
          </w:tcPr>
          <w:p w14:paraId="3BF16144" w14:textId="69D1CDF3" w:rsidR="00565C9B" w:rsidRPr="00CA00C4" w:rsidRDefault="00565C9B" w:rsidP="00D61FF2">
            <w:r w:rsidRPr="00CA00C4">
              <w:t>+</w:t>
            </w:r>
          </w:p>
        </w:tc>
        <w:tc>
          <w:tcPr>
            <w:tcW w:w="940" w:type="dxa"/>
          </w:tcPr>
          <w:p w14:paraId="6F57DF46" w14:textId="0A246611" w:rsidR="00565C9B" w:rsidRPr="00CA00C4" w:rsidRDefault="00565C9B" w:rsidP="00D61FF2">
            <w:r w:rsidRPr="00CA00C4">
              <w:t>+</w:t>
            </w:r>
          </w:p>
        </w:tc>
        <w:tc>
          <w:tcPr>
            <w:tcW w:w="1670" w:type="dxa"/>
          </w:tcPr>
          <w:p w14:paraId="191D6356" w14:textId="458C0D7F" w:rsidR="00565C9B" w:rsidRPr="004E04C7" w:rsidRDefault="00565C9B" w:rsidP="00D61FF2">
            <w:r w:rsidRPr="004E04C7">
              <w:t>+</w:t>
            </w:r>
          </w:p>
        </w:tc>
        <w:tc>
          <w:tcPr>
            <w:tcW w:w="919" w:type="dxa"/>
          </w:tcPr>
          <w:p w14:paraId="5559377F" w14:textId="2B15A3A7" w:rsidR="00565C9B" w:rsidRPr="009007CA" w:rsidRDefault="00565C9B" w:rsidP="00D61FF2">
            <w:r w:rsidRPr="009007CA">
              <w:t>+</w:t>
            </w:r>
          </w:p>
        </w:tc>
        <w:tc>
          <w:tcPr>
            <w:tcW w:w="809" w:type="dxa"/>
          </w:tcPr>
          <w:p w14:paraId="1778AB18" w14:textId="5975795A" w:rsidR="00565C9B" w:rsidRPr="00AA0333" w:rsidRDefault="00565C9B" w:rsidP="00D61FF2">
            <w:r w:rsidRPr="00AA0333">
              <w:t>+</w:t>
            </w:r>
          </w:p>
        </w:tc>
        <w:tc>
          <w:tcPr>
            <w:tcW w:w="1546" w:type="dxa"/>
          </w:tcPr>
          <w:p w14:paraId="0B486AD3" w14:textId="0A2029EF" w:rsidR="00565C9B" w:rsidRPr="00AA0333" w:rsidRDefault="00565C9B" w:rsidP="00D61FF2">
            <w:r w:rsidRPr="00AA0333">
              <w:t>+</w:t>
            </w:r>
          </w:p>
        </w:tc>
      </w:tr>
    </w:tbl>
    <w:p w14:paraId="4E03B4F4" w14:textId="20F9F135" w:rsidR="00703951" w:rsidRDefault="00703951" w:rsidP="00703951">
      <w:pPr>
        <w:pStyle w:val="TableDescription"/>
      </w:pPr>
      <w:r>
        <w:t xml:space="preserve">+ = </w:t>
      </w:r>
      <w:r w:rsidR="00CE2264">
        <w:t xml:space="preserve">Nominally </w:t>
      </w:r>
      <w:r>
        <w:t xml:space="preserve">significant effect, - = </w:t>
      </w:r>
      <w:proofErr w:type="spellStart"/>
      <w:r w:rsidR="00960D00">
        <w:t>nonsignificant</w:t>
      </w:r>
      <w:proofErr w:type="spellEnd"/>
      <w:r w:rsidR="00960D00">
        <w:t xml:space="preserve"> </w:t>
      </w:r>
      <w:r>
        <w:t>effect</w:t>
      </w:r>
    </w:p>
    <w:p w14:paraId="7C106172" w14:textId="0B767344" w:rsidR="00DF1904" w:rsidRPr="00DF1904" w:rsidRDefault="00DF1904" w:rsidP="00D61FF2">
      <w:r w:rsidRPr="00DF1904">
        <w:t xml:space="preserve">The clinical evaluator conceded that these studies were not specifically powered for analysis of subjects not on </w:t>
      </w:r>
      <w:r w:rsidR="00E705BD">
        <w:t>CLB</w:t>
      </w:r>
      <w:r w:rsidRPr="00DF1904">
        <w:t>. However, given the PK interaction between the two drugs the studies should have been designed with such an analysis in mind.</w:t>
      </w:r>
    </w:p>
    <w:p w14:paraId="6496E54A" w14:textId="0B122CF8" w:rsidR="00565C9B" w:rsidRDefault="00703951" w:rsidP="00D61FF2">
      <w:r>
        <w:t>Because of these concerns, the s</w:t>
      </w:r>
      <w:r w:rsidR="00DF1904" w:rsidRPr="00DF1904">
        <w:t xml:space="preserve">ponsor was asked to summarise the key results for LGS subjects, and for DS subjects, after exclusion of patients on </w:t>
      </w:r>
      <w:r w:rsidR="00E705BD">
        <w:t>CLB</w:t>
      </w:r>
      <w:r>
        <w:t>. The s</w:t>
      </w:r>
      <w:r w:rsidR="00DF1904" w:rsidRPr="00DF1904">
        <w:t xml:space="preserve">ponsor responded with the pooled analysis across all 4 studies in subjects not on </w:t>
      </w:r>
      <w:r w:rsidR="00E705BD">
        <w:t>CLB</w:t>
      </w:r>
      <w:r w:rsidR="00DF1904" w:rsidRPr="00DF1904">
        <w:t>,</w:t>
      </w:r>
      <w:r w:rsidR="00DF1904">
        <w:t xml:space="preserve"> producing</w:t>
      </w:r>
      <w:r w:rsidR="00165EA8">
        <w:t xml:space="preserve"> the following figure (shown as</w:t>
      </w:r>
      <w:r w:rsidR="00DF1904">
        <w:t xml:space="preserve"> </w:t>
      </w:r>
      <w:r w:rsidR="00DF1904">
        <w:fldChar w:fldCharType="begin"/>
      </w:r>
      <w:r w:rsidR="00DF1904">
        <w:instrText xml:space="preserve"> REF _Ref56009519 \h </w:instrText>
      </w:r>
      <w:r w:rsidR="00DF1904">
        <w:fldChar w:fldCharType="separate"/>
      </w:r>
      <w:r w:rsidR="00E0078F">
        <w:t xml:space="preserve">Figure </w:t>
      </w:r>
      <w:r w:rsidR="00E0078F">
        <w:rPr>
          <w:noProof/>
        </w:rPr>
        <w:t>2</w:t>
      </w:r>
      <w:r w:rsidR="00E0078F">
        <w:t>: Meta</w:t>
      </w:r>
      <w:r w:rsidR="00E0078F">
        <w:noBreakHyphen/>
        <w:t xml:space="preserve">analysis of negative binomial regression treatment estimates of primary seizure count by cannabidiol oral solution dose for patients not taking </w:t>
      </w:r>
      <w:proofErr w:type="spellStart"/>
      <w:r w:rsidR="00E0078F">
        <w:t>clobazam</w:t>
      </w:r>
      <w:proofErr w:type="spellEnd"/>
      <w:r w:rsidR="00E0078F">
        <w:t xml:space="preserve"> (intent to treat analysis set)</w:t>
      </w:r>
      <w:r w:rsidR="00DF1904">
        <w:fldChar w:fldCharType="end"/>
      </w:r>
      <w:r w:rsidR="00DF1904">
        <w:t xml:space="preserve"> below</w:t>
      </w:r>
      <w:r w:rsidR="00165EA8">
        <w:t>)</w:t>
      </w:r>
      <w:r w:rsidR="00DF1904">
        <w:t>.</w:t>
      </w:r>
    </w:p>
    <w:p w14:paraId="6AB6BEE9" w14:textId="71E52647" w:rsidR="00DF1904" w:rsidRDefault="00DF1904" w:rsidP="00075FD0">
      <w:pPr>
        <w:pStyle w:val="FigureTitle"/>
        <w:ind w:right="-568"/>
      </w:pPr>
      <w:bookmarkStart w:id="48" w:name="_Ref56009585"/>
      <w:bookmarkStart w:id="49" w:name="_Ref56009519"/>
      <w:r>
        <w:t xml:space="preserve">Figure </w:t>
      </w:r>
      <w:r>
        <w:fldChar w:fldCharType="begin"/>
      </w:r>
      <w:r>
        <w:instrText>SEQ Figure \* ARABIC</w:instrText>
      </w:r>
      <w:r>
        <w:fldChar w:fldCharType="separate"/>
      </w:r>
      <w:r w:rsidR="00E0078F">
        <w:rPr>
          <w:noProof/>
        </w:rPr>
        <w:t>2</w:t>
      </w:r>
      <w:r>
        <w:fldChar w:fldCharType="end"/>
      </w:r>
      <w:bookmarkEnd w:id="48"/>
      <w:r w:rsidR="00E705BD">
        <w:t>: Meta</w:t>
      </w:r>
      <w:r w:rsidR="00165EA8">
        <w:noBreakHyphen/>
      </w:r>
      <w:r>
        <w:t>analysis of negative binomial regression treatment estimates of primary se</w:t>
      </w:r>
      <w:r w:rsidR="00E705BD">
        <w:t xml:space="preserve">izure count by </w:t>
      </w:r>
      <w:r w:rsidR="00165EA8">
        <w:t>cannabidiol oral solution</w:t>
      </w:r>
      <w:r w:rsidR="00E705BD">
        <w:t xml:space="preserve"> dose for patients not taking </w:t>
      </w:r>
      <w:proofErr w:type="spellStart"/>
      <w:r w:rsidR="00165EA8">
        <w:t>clobazam</w:t>
      </w:r>
      <w:proofErr w:type="spellEnd"/>
      <w:r>
        <w:t xml:space="preserve"> (</w:t>
      </w:r>
      <w:r w:rsidR="00960D00">
        <w:t>intent to treat a</w:t>
      </w:r>
      <w:r>
        <w:t>nalysis set)</w:t>
      </w:r>
      <w:bookmarkEnd w:id="49"/>
    </w:p>
    <w:p w14:paraId="72499521" w14:textId="3DF34082" w:rsidR="00DF1904" w:rsidRDefault="00DF1904" w:rsidP="00D61FF2">
      <w:r>
        <w:rPr>
          <w:noProof/>
          <w:lang w:eastAsia="en-AU"/>
        </w:rPr>
        <w:drawing>
          <wp:inline distT="0" distB="0" distL="0" distR="0" wp14:anchorId="65F246C2" wp14:editId="0A8994FD">
            <wp:extent cx="5017273" cy="1247828"/>
            <wp:effectExtent l="0" t="0" r="0" b="9525"/>
            <wp:docPr id="2" name="Picture 2" descr="There were 3 pooled analyses of LGS + DS patients taking 3 different regimens of CBD-OS, versus placebo. For the 10 mg/kg/day regimen, treatment favours CBD-OS (TR:0.78, p=0.0540). &#10;For the 20 mg/kg/day regimen, treatment favours CBD-OS (TR: 0.8, p=0.1485)&#10;For the 10 + 20 mg/kg/day regimen, treatment favours CBD-OS (TR:0.85, p=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045943" cy="1254958"/>
                    </a:xfrm>
                    <a:prstGeom prst="rect">
                      <a:avLst/>
                    </a:prstGeom>
                  </pic:spPr>
                </pic:pic>
              </a:graphicData>
            </a:graphic>
          </wp:inline>
        </w:drawing>
      </w:r>
    </w:p>
    <w:p w14:paraId="37FEA0FB" w14:textId="08D6C6F3" w:rsidR="00165EA8" w:rsidRDefault="00165EA8" w:rsidP="00A8768C">
      <w:pPr>
        <w:pStyle w:val="FigureDescription"/>
      </w:pPr>
      <w:r>
        <w:t>LGS = Lennox-</w:t>
      </w:r>
      <w:proofErr w:type="spellStart"/>
      <w:r>
        <w:t>Gastaut</w:t>
      </w:r>
      <w:proofErr w:type="spellEnd"/>
      <w:r>
        <w:t xml:space="preserve"> syndrome (subjects); DS = </w:t>
      </w:r>
      <w:proofErr w:type="spellStart"/>
      <w:r>
        <w:t>Dravet</w:t>
      </w:r>
      <w:proofErr w:type="spellEnd"/>
      <w:r>
        <w:t xml:space="preserve"> syndrome (subjects); CBD OS = cannabidiol oral solution; CI = confidence interval.</w:t>
      </w:r>
    </w:p>
    <w:p w14:paraId="4C4731A6" w14:textId="27908891" w:rsidR="00DF1904" w:rsidRPr="00DF1904" w:rsidRDefault="006C755C" w:rsidP="00D61FF2">
      <w:r>
        <w:t>The c</w:t>
      </w:r>
      <w:r w:rsidR="00DF1904" w:rsidRPr="00DF1904">
        <w:t xml:space="preserve">linical evaluator questioned this approach, because it pools results obtained for different seizure types in different target populations, for different proposed indications, but it does provide a very rough estimate of whether the efficacy results support a finding of efficacy without the confounding effects of </w:t>
      </w:r>
      <w:r w:rsidR="00E705BD">
        <w:t>CLB</w:t>
      </w:r>
      <w:r w:rsidR="00DF1904" w:rsidRPr="00DF1904">
        <w:t xml:space="preserve"> interactions.</w:t>
      </w:r>
    </w:p>
    <w:p w14:paraId="7410FCBF" w14:textId="27505E93" w:rsidR="00DF1904" w:rsidRDefault="00DF1904" w:rsidP="00D61FF2">
      <w:r w:rsidRPr="00DF1904">
        <w:t xml:space="preserve">Of some concern, in subjects not on </w:t>
      </w:r>
      <w:r w:rsidR="00E705BD">
        <w:t>CLB</w:t>
      </w:r>
      <w:r w:rsidRPr="00DF1904">
        <w:t>, the efficacy of CBD seemed to be inferior at 20 mg/kg/day, compared to 10 mg/kg/day, as shown in</w:t>
      </w:r>
      <w:r w:rsidR="002A248D">
        <w:t xml:space="preserve"> </w:t>
      </w:r>
      <w:r w:rsidR="00AF3336">
        <w:fldChar w:fldCharType="begin"/>
      </w:r>
      <w:r w:rsidR="00AF3336">
        <w:instrText xml:space="preserve"> REF _Ref56009585 \h </w:instrText>
      </w:r>
      <w:r w:rsidR="00AF3336">
        <w:fldChar w:fldCharType="separate"/>
      </w:r>
      <w:r w:rsidR="00E0078F">
        <w:t xml:space="preserve">Figure </w:t>
      </w:r>
      <w:r w:rsidR="00E0078F">
        <w:rPr>
          <w:noProof/>
        </w:rPr>
        <w:t>2</w:t>
      </w:r>
      <w:r w:rsidR="00AF3336">
        <w:fldChar w:fldCharType="end"/>
      </w:r>
      <w:r w:rsidR="00552EE2">
        <w:t xml:space="preserve"> </w:t>
      </w:r>
      <w:r w:rsidR="00AF3336">
        <w:t>above</w:t>
      </w:r>
      <w:r w:rsidR="00552EE2">
        <w:t xml:space="preserve"> </w:t>
      </w:r>
      <w:r w:rsidR="00B06701">
        <w:t>(most of the DS patients were taking CLB)</w:t>
      </w:r>
      <w:r w:rsidRPr="006D3F1B">
        <w:t>.</w:t>
      </w:r>
      <w:r w:rsidRPr="00DF1904">
        <w:t xml:space="preserve"> In discussions with</w:t>
      </w:r>
      <w:r w:rsidR="00D818B9">
        <w:t xml:space="preserve"> the EMA about this issue, the s</w:t>
      </w:r>
      <w:r w:rsidRPr="00DF1904">
        <w:t>ponsor suggested that this could reflect worsened seizures in some CBD recipients exposed to higher CBD doses.</w:t>
      </w:r>
    </w:p>
    <w:p w14:paraId="3DE4666A" w14:textId="09F4DB35" w:rsidR="00F92C78" w:rsidRDefault="00F92C78" w:rsidP="00F92C78">
      <w:pPr>
        <w:pStyle w:val="FigureTitle"/>
      </w:pPr>
      <w:r>
        <w:t xml:space="preserve">Figure </w:t>
      </w:r>
      <w:r>
        <w:fldChar w:fldCharType="begin"/>
      </w:r>
      <w:r>
        <w:instrText>SEQ Figure \* ARABIC</w:instrText>
      </w:r>
      <w:r>
        <w:fldChar w:fldCharType="separate"/>
      </w:r>
      <w:r w:rsidR="00E0078F">
        <w:rPr>
          <w:noProof/>
        </w:rPr>
        <w:t>3</w:t>
      </w:r>
      <w:r>
        <w:fldChar w:fldCharType="end"/>
      </w:r>
      <w:r>
        <w:t xml:space="preserve">: Negative binomial regression analyses of </w:t>
      </w:r>
      <w:proofErr w:type="spellStart"/>
      <w:r w:rsidR="00165EA8">
        <w:t>clobazam</w:t>
      </w:r>
      <w:proofErr w:type="spellEnd"/>
      <w:r>
        <w:t xml:space="preserve"> use on </w:t>
      </w:r>
      <w:r w:rsidR="00960D00">
        <w:t xml:space="preserve">primary seizure count </w:t>
      </w:r>
      <w:r>
        <w:t>(</w:t>
      </w:r>
      <w:r w:rsidR="00960D00">
        <w:t>intent to treat</w:t>
      </w:r>
      <w:r w:rsidR="00165EA8">
        <w:t xml:space="preserve"> analysis set</w:t>
      </w:r>
      <w:r>
        <w:t>)</w:t>
      </w:r>
    </w:p>
    <w:p w14:paraId="5AF725FE" w14:textId="699F4246" w:rsidR="00F92C78" w:rsidRDefault="00F92C78" w:rsidP="00D61FF2">
      <w:r>
        <w:rPr>
          <w:noProof/>
          <w:lang w:eastAsia="en-AU"/>
        </w:rPr>
        <w:drawing>
          <wp:inline distT="0" distB="0" distL="0" distR="0" wp14:anchorId="3C5E4367" wp14:editId="6ECD8824">
            <wp:extent cx="5400040" cy="4500245"/>
            <wp:effectExtent l="0" t="0" r="0" b="0"/>
            <wp:docPr id="5" name="Picture 5" descr="This table breaks down each study by each treatment arm, disease state and includes stratified analyses of LGS, DS, and all trials. Most analyses except for 5 (all off clobazam) showed the treatment ratio favouring CBD-OS. All stratified analyses showed the probability of positive effect as over 88-9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400040" cy="4500245"/>
                    </a:xfrm>
                    <a:prstGeom prst="rect">
                      <a:avLst/>
                    </a:prstGeom>
                  </pic:spPr>
                </pic:pic>
              </a:graphicData>
            </a:graphic>
          </wp:inline>
        </w:drawing>
      </w:r>
    </w:p>
    <w:p w14:paraId="1DBE5F95" w14:textId="40990D7F" w:rsidR="00165EA8" w:rsidRDefault="00165EA8" w:rsidP="00552EE2">
      <w:pPr>
        <w:pStyle w:val="FigureDescription"/>
      </w:pPr>
      <w:r>
        <w:t>LGS = Lennox-</w:t>
      </w:r>
      <w:proofErr w:type="spellStart"/>
      <w:r>
        <w:t>Gastaut</w:t>
      </w:r>
      <w:proofErr w:type="spellEnd"/>
      <w:r>
        <w:t xml:space="preserve"> syndrome (subjects); DS = </w:t>
      </w:r>
      <w:proofErr w:type="spellStart"/>
      <w:r>
        <w:t>Dravet</w:t>
      </w:r>
      <w:proofErr w:type="spellEnd"/>
      <w:r>
        <w:t xml:space="preserve"> syndrome (subjects); CBD OS = cannabidiol oral solution; CLB = </w:t>
      </w:r>
      <w:proofErr w:type="spellStart"/>
      <w:r>
        <w:t>clobazam</w:t>
      </w:r>
      <w:proofErr w:type="spellEnd"/>
      <w:r>
        <w:t>; CI = confidence interval.</w:t>
      </w:r>
    </w:p>
    <w:p w14:paraId="07AA5A4D" w14:textId="0D961212" w:rsidR="00F92C78" w:rsidRDefault="006C755C" w:rsidP="00D61FF2">
      <w:r>
        <w:t>The s</w:t>
      </w:r>
      <w:r w:rsidR="00F92C78">
        <w:t xml:space="preserve">ponsor formed a similar analysis for the key secondary endpoint of </w:t>
      </w:r>
      <w:r w:rsidR="000A08C1">
        <w:t>r</w:t>
      </w:r>
      <w:r w:rsidR="00F92C78">
        <w:t xml:space="preserve">esponse </w:t>
      </w:r>
      <w:r w:rsidR="000A08C1">
        <w:t>r</w:t>
      </w:r>
      <w:r w:rsidR="00F92C78">
        <w:t>ate (and again focussed on relative results instead of absolute benefit)</w:t>
      </w:r>
      <w:r w:rsidR="00F63218">
        <w:t xml:space="preserve"> as shown in Figure 4, below</w:t>
      </w:r>
      <w:r w:rsidR="00F92C78">
        <w:t>.</w:t>
      </w:r>
    </w:p>
    <w:p w14:paraId="7FD6E5EB" w14:textId="1B3F4A3E" w:rsidR="00F92C78" w:rsidRDefault="00F92C78" w:rsidP="00F92C78">
      <w:pPr>
        <w:pStyle w:val="FigureTitle"/>
      </w:pPr>
      <w:r>
        <w:t xml:space="preserve">Figure </w:t>
      </w:r>
      <w:r>
        <w:fldChar w:fldCharType="begin"/>
      </w:r>
      <w:r>
        <w:instrText>SEQ Figure \* ARABIC</w:instrText>
      </w:r>
      <w:r>
        <w:fldChar w:fldCharType="separate"/>
      </w:r>
      <w:r w:rsidR="00E0078F">
        <w:rPr>
          <w:noProof/>
        </w:rPr>
        <w:t>4</w:t>
      </w:r>
      <w:r>
        <w:fldChar w:fldCharType="end"/>
      </w:r>
      <w:r>
        <w:t xml:space="preserve">: </w:t>
      </w:r>
      <w:r w:rsidR="00513DC5">
        <w:t>Meta</w:t>
      </w:r>
      <w:r w:rsidR="00F63218">
        <w:noBreakHyphen/>
      </w:r>
      <w:r w:rsidR="00513DC5">
        <w:t>analysis of logistic regression treatment estimates of primary seizure responders (</w:t>
      </w:r>
      <w:r w:rsidR="00075FD0" w:rsidRPr="00075FD0">
        <w:sym w:font="Symbol" w:char="F0B3"/>
      </w:r>
      <w:r w:rsidR="00513DC5">
        <w:t xml:space="preserve"> 50% r</w:t>
      </w:r>
      <w:r w:rsidRPr="008337DF">
        <w:t>edu</w:t>
      </w:r>
      <w:r w:rsidR="00513DC5">
        <w:t xml:space="preserve">ction from Baseline) by </w:t>
      </w:r>
      <w:r w:rsidR="00F63218">
        <w:t>cannabidiol oral solution</w:t>
      </w:r>
      <w:r w:rsidR="00513DC5">
        <w:t xml:space="preserve"> dose for patients not taking </w:t>
      </w:r>
      <w:proofErr w:type="spellStart"/>
      <w:r w:rsidR="00513DC5">
        <w:t>c</w:t>
      </w:r>
      <w:r w:rsidRPr="008337DF">
        <w:t>lobazam</w:t>
      </w:r>
      <w:proofErr w:type="spellEnd"/>
      <w:r w:rsidRPr="008337DF">
        <w:t xml:space="preserve"> (</w:t>
      </w:r>
      <w:r w:rsidR="000A08C1">
        <w:t>intent to treat</w:t>
      </w:r>
      <w:r w:rsidR="000A08C1" w:rsidRPr="008337DF">
        <w:t xml:space="preserve"> </w:t>
      </w:r>
      <w:r w:rsidR="000A08C1">
        <w:t>a</w:t>
      </w:r>
      <w:r w:rsidRPr="008337DF">
        <w:t xml:space="preserve">nalysis </w:t>
      </w:r>
      <w:r w:rsidR="00F63218">
        <w:t>s</w:t>
      </w:r>
      <w:r w:rsidRPr="008337DF">
        <w:t>et)</w:t>
      </w:r>
    </w:p>
    <w:p w14:paraId="2F7EE211" w14:textId="33D13D66" w:rsidR="00F92C78" w:rsidRDefault="00F92C78" w:rsidP="00D61FF2">
      <w:r w:rsidRPr="00F92C78">
        <w:rPr>
          <w:noProof/>
          <w:lang w:eastAsia="en-AU"/>
        </w:rPr>
        <w:drawing>
          <wp:inline distT="0" distB="0" distL="0" distR="0" wp14:anchorId="3F6B1F08" wp14:editId="2F251CDA">
            <wp:extent cx="5400040" cy="1002785"/>
            <wp:effectExtent l="0" t="0" r="0" b="6985"/>
            <wp:docPr id="6" name="Picture 6" descr="In pooled analyses of both disease states and in all treatment arms by dosage, all analyses showed an Odds Ratio favouring CB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002785"/>
                    </a:xfrm>
                    <a:prstGeom prst="rect">
                      <a:avLst/>
                    </a:prstGeom>
                    <a:noFill/>
                    <a:ln>
                      <a:noFill/>
                    </a:ln>
                  </pic:spPr>
                </pic:pic>
              </a:graphicData>
            </a:graphic>
          </wp:inline>
        </w:drawing>
      </w:r>
    </w:p>
    <w:p w14:paraId="7D2D3124" w14:textId="77178BAA" w:rsidR="00F63218" w:rsidRDefault="00F63218" w:rsidP="00552EE2">
      <w:pPr>
        <w:pStyle w:val="FigureDescription"/>
      </w:pPr>
      <w:r>
        <w:t>LGS = Lennox-</w:t>
      </w:r>
      <w:proofErr w:type="spellStart"/>
      <w:r>
        <w:t>Gastaut</w:t>
      </w:r>
      <w:proofErr w:type="spellEnd"/>
      <w:r>
        <w:t xml:space="preserve"> syndrome (subjects); DS = </w:t>
      </w:r>
      <w:proofErr w:type="spellStart"/>
      <w:r>
        <w:t>Dravet</w:t>
      </w:r>
      <w:proofErr w:type="spellEnd"/>
      <w:r>
        <w:t xml:space="preserve"> syndrome (subjects); CBD OS = cannabidiol oral solution; CI = confidence interval.</w:t>
      </w:r>
    </w:p>
    <w:p w14:paraId="6BC886DB" w14:textId="28E567BA" w:rsidR="00381D70" w:rsidRPr="00381D70" w:rsidRDefault="00381D70" w:rsidP="00D61FF2">
      <w:r w:rsidRPr="00381D70">
        <w:t>In response to the EMA, who expressed similar concerns about the efficacy of CBD i</w:t>
      </w:r>
      <w:r w:rsidR="00DE59CA">
        <w:t xml:space="preserve">n subjects off </w:t>
      </w:r>
      <w:r w:rsidR="00513DC5">
        <w:t>CLB</w:t>
      </w:r>
      <w:r w:rsidR="00DE59CA">
        <w:t>, the s</w:t>
      </w:r>
      <w:r w:rsidRPr="00381D70">
        <w:t>ponsor presented the same results slightly differently:</w:t>
      </w:r>
    </w:p>
    <w:p w14:paraId="06EA7A12" w14:textId="5D3189AE" w:rsidR="00381D70" w:rsidRPr="00381D70" w:rsidRDefault="00DE59CA" w:rsidP="00B21D3C">
      <w:pPr>
        <w:ind w:left="720"/>
      </w:pPr>
      <w:r>
        <w:t>‘</w:t>
      </w:r>
      <w:r w:rsidR="00381D70" w:rsidRPr="00381D70">
        <w:t xml:space="preserve">The proportion of patients not taking CLB with a </w:t>
      </w:r>
      <w:r w:rsidR="00075FD0" w:rsidRPr="00075FD0">
        <w:sym w:font="Symbol" w:char="F0B3"/>
      </w:r>
      <w:r w:rsidR="00381D70" w:rsidRPr="00381D70">
        <w:t xml:space="preserve"> 50% reduction from their baseline primary seizure frequency was 24.6% across the 10 mg/kg/day CBD-OS groups compared with 7.9% across the placebo groups; this difference in proportions was nomina</w:t>
      </w:r>
      <w:r w:rsidR="001B4F95">
        <w:t>lly statistically significant (p</w:t>
      </w:r>
      <w:r w:rsidR="00381D70" w:rsidRPr="00381D70">
        <w:t xml:space="preserve">=0.026). The </w:t>
      </w:r>
      <w:r w:rsidR="00075FD0" w:rsidRPr="00075FD0">
        <w:sym w:font="Symbol" w:char="F0B3"/>
      </w:r>
      <w:r w:rsidR="00381D70" w:rsidRPr="00381D70">
        <w:t xml:space="preserve"> 50% responder rate for patients not taking CLB across the 20 mg/kg/day CBD-OS groups was 28.8% compared with 15.7% across the placebo groups and this difference in proportions was also nomina</w:t>
      </w:r>
      <w:r w:rsidR="001B4F95">
        <w:t>lly statistically significant (p</w:t>
      </w:r>
      <w:r w:rsidR="00381D70" w:rsidRPr="00381D70">
        <w:t xml:space="preserve">=0.022). Importantly, CBD-OS at both 10 and 20 mg/kg/day increased the likelihood of achieving a </w:t>
      </w:r>
      <w:r w:rsidR="00075FD0" w:rsidRPr="00075FD0">
        <w:sym w:font="Symbol" w:char="F0B3"/>
      </w:r>
      <w:r w:rsidR="00381D70" w:rsidRPr="00381D70">
        <w:t xml:space="preserve"> 50% reduction in seizure frequency to a similar degree for patients taking or not taking CLB. These results support the presence of a clinically relevant treatment effect of CBD-OS that is independent of CLB therapy and that is observable both at the recommended 10 mg/kg/day maintenance dose and the maximum 20 mg/kg/day</w:t>
      </w:r>
      <w:r>
        <w:t xml:space="preserve"> dose.’</w:t>
      </w:r>
      <w:bookmarkStart w:id="50" w:name="_Ref57729132"/>
      <w:r w:rsidR="000A08C1">
        <w:rPr>
          <w:rStyle w:val="FootnoteReference"/>
        </w:rPr>
        <w:footnoteReference w:id="16"/>
      </w:r>
      <w:bookmarkEnd w:id="50"/>
    </w:p>
    <w:p w14:paraId="04A434DE" w14:textId="38F17035" w:rsidR="00381D70" w:rsidRDefault="00381D70" w:rsidP="00D61FF2">
      <w:r w:rsidRPr="00381D70">
        <w:t>This implies an attributabl</w:t>
      </w:r>
      <w:r w:rsidR="003C23D8">
        <w:t xml:space="preserve">e </w:t>
      </w:r>
      <w:r w:rsidR="000A08C1">
        <w:t>r</w:t>
      </w:r>
      <w:r w:rsidR="003C23D8">
        <w:t xml:space="preserve">esponse </w:t>
      </w:r>
      <w:r w:rsidR="000A08C1">
        <w:t>r</w:t>
      </w:r>
      <w:r w:rsidR="003C23D8">
        <w:t>ate of 16.7</w:t>
      </w:r>
      <w:r w:rsidR="000351A7" w:rsidRPr="00540D3D">
        <w:t xml:space="preserve"> percentage points</w:t>
      </w:r>
      <w:r w:rsidR="003C23D8">
        <w:t xml:space="preserve"> (24.6 </w:t>
      </w:r>
      <w:r w:rsidR="00F63218">
        <w:t>to</w:t>
      </w:r>
      <w:r w:rsidR="003C23D8">
        <w:t xml:space="preserve"> </w:t>
      </w:r>
      <w:r w:rsidRPr="00381D70">
        <w:t>7.9) fo</w:t>
      </w:r>
      <w:r w:rsidR="001B4F95">
        <w:t>r 10 mg/kg/day and 13.1</w:t>
      </w:r>
      <w:r w:rsidR="000351A7" w:rsidRPr="00540D3D">
        <w:t xml:space="preserve"> percentage points</w:t>
      </w:r>
      <w:r w:rsidR="001B4F95">
        <w:t xml:space="preserve"> (28.8 </w:t>
      </w:r>
      <w:r w:rsidR="00F63218">
        <w:t>to</w:t>
      </w:r>
      <w:r w:rsidR="003C23D8">
        <w:t xml:space="preserve"> </w:t>
      </w:r>
      <w:r w:rsidRPr="00381D70">
        <w:t>15.7) for CBD-OS 20</w:t>
      </w:r>
      <w:r w:rsidR="0008594B">
        <w:t> </w:t>
      </w:r>
      <w:r w:rsidRPr="00381D70">
        <w:t xml:space="preserve">mg/kg/day, meaning that about 6 to 8 subjects would need to be treated to achieve one attributable response (if it is accepted that it is appropriate to pool response for different seizure types across two different syndromes). For this endpoint, the difference between subjects on </w:t>
      </w:r>
      <w:r w:rsidR="00513DC5">
        <w:t>CLB and not on CLB</w:t>
      </w:r>
      <w:r w:rsidRPr="00381D70">
        <w:t xml:space="preserve"> was not as marked as observed with the primary endpoint. An adverse dose trend </w:t>
      </w:r>
      <w:r w:rsidR="00241913">
        <w:t>remains evident</w:t>
      </w:r>
      <w:r w:rsidRPr="00381D70">
        <w:t>, with better results on 10 mg/kg/day than on 20 mg/kg/day.</w:t>
      </w:r>
    </w:p>
    <w:p w14:paraId="5D3A438C" w14:textId="487C5390" w:rsidR="00381D70" w:rsidRDefault="00381D70" w:rsidP="00381D70">
      <w:pPr>
        <w:pStyle w:val="FigureTitle"/>
      </w:pPr>
      <w:r>
        <w:t xml:space="preserve">Figure </w:t>
      </w:r>
      <w:r>
        <w:fldChar w:fldCharType="begin"/>
      </w:r>
      <w:r>
        <w:instrText>SEQ Figure \* ARABIC</w:instrText>
      </w:r>
      <w:r>
        <w:fldChar w:fldCharType="separate"/>
      </w:r>
      <w:r w:rsidR="00E0078F">
        <w:rPr>
          <w:noProof/>
        </w:rPr>
        <w:t>5</w:t>
      </w:r>
      <w:r>
        <w:fldChar w:fldCharType="end"/>
      </w:r>
      <w:r>
        <w:t xml:space="preserve">: </w:t>
      </w:r>
      <w:r w:rsidR="00513DC5">
        <w:t xml:space="preserve">Logistic regression analyses of </w:t>
      </w:r>
      <w:proofErr w:type="spellStart"/>
      <w:r w:rsidR="0008594B">
        <w:t>clobazam</w:t>
      </w:r>
      <w:proofErr w:type="spellEnd"/>
      <w:r w:rsidR="00513DC5">
        <w:t xml:space="preserve"> use on primary seizure responders (</w:t>
      </w:r>
      <w:r w:rsidR="00075FD0" w:rsidRPr="00075FD0">
        <w:sym w:font="Symbol" w:char="F0B3"/>
      </w:r>
      <w:r w:rsidR="00513DC5">
        <w:t xml:space="preserve"> 50% r</w:t>
      </w:r>
      <w:r w:rsidRPr="00097CCE">
        <w:t>eduction from Baseline) (</w:t>
      </w:r>
      <w:r w:rsidR="00792414">
        <w:t>intent to treat a</w:t>
      </w:r>
      <w:r w:rsidRPr="00097CCE">
        <w:t xml:space="preserve">nalysis </w:t>
      </w:r>
      <w:r w:rsidR="00792414">
        <w:t>s</w:t>
      </w:r>
      <w:r w:rsidRPr="00097CCE">
        <w:t>et)</w:t>
      </w:r>
    </w:p>
    <w:p w14:paraId="016DAEF4" w14:textId="5D199E1F" w:rsidR="00381D70" w:rsidRDefault="00381D70" w:rsidP="00D61FF2">
      <w:r w:rsidRPr="00381D70">
        <w:rPr>
          <w:noProof/>
          <w:lang w:eastAsia="en-AU"/>
        </w:rPr>
        <w:drawing>
          <wp:inline distT="0" distB="0" distL="0" distR="0" wp14:anchorId="63A2C8ED" wp14:editId="3A72FE3A">
            <wp:extent cx="4532244" cy="3948285"/>
            <wp:effectExtent l="0" t="0" r="1905" b="0"/>
            <wp:docPr id="9" name="Picture 9" descr="This table shows most trial analyses has an Odds Ratio of favouring CBD-OS, except for the GWEP1423 (LGS) 10mg/kg/day CBD-OS OFF CLB, and GWEP1332B (DS) 20mg/kg/day CBD-OS OFF CLB. &#10;The stratified analysies of LGS, DS and All trials show that all of them have a probability of positive effect of over 88.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8785" cy="3980118"/>
                    </a:xfrm>
                    <a:prstGeom prst="rect">
                      <a:avLst/>
                    </a:prstGeom>
                    <a:noFill/>
                    <a:ln>
                      <a:noFill/>
                    </a:ln>
                  </pic:spPr>
                </pic:pic>
              </a:graphicData>
            </a:graphic>
          </wp:inline>
        </w:drawing>
      </w:r>
    </w:p>
    <w:p w14:paraId="3AD400E6" w14:textId="0135C781" w:rsidR="0008594B" w:rsidRDefault="0008594B" w:rsidP="005E5FB8">
      <w:pPr>
        <w:pStyle w:val="FigureDescription"/>
      </w:pPr>
      <w:r>
        <w:t>LGS = Lennox-</w:t>
      </w:r>
      <w:proofErr w:type="spellStart"/>
      <w:r>
        <w:t>Gastaut</w:t>
      </w:r>
      <w:proofErr w:type="spellEnd"/>
      <w:r>
        <w:t xml:space="preserve"> syndrome (subjects); DS = </w:t>
      </w:r>
      <w:proofErr w:type="spellStart"/>
      <w:r>
        <w:t>Dravet</w:t>
      </w:r>
      <w:proofErr w:type="spellEnd"/>
      <w:r>
        <w:t xml:space="preserve"> syndrome (subjects); CBD OS = cannabidiol oral solution; CLB = </w:t>
      </w:r>
      <w:proofErr w:type="spellStart"/>
      <w:r>
        <w:t>clobazam</w:t>
      </w:r>
      <w:proofErr w:type="spellEnd"/>
      <w:r>
        <w:t>; CI = confidence interval.</w:t>
      </w:r>
    </w:p>
    <w:p w14:paraId="55ECDF5B" w14:textId="183634F4" w:rsidR="00381D70" w:rsidRDefault="00381D70" w:rsidP="00D61FF2">
      <w:r w:rsidRPr="00381D70">
        <w:t>For other subgroup analyses, no consistent pat</w:t>
      </w:r>
      <w:r w:rsidR="00BB1B41">
        <w:t xml:space="preserve">terns emerged. </w:t>
      </w:r>
      <w:r w:rsidR="0008594B">
        <w:t xml:space="preserve">Figures 6 to 9 displayed below </w:t>
      </w:r>
      <w:r w:rsidRPr="00381D70">
        <w:t>show the primary results (change in seizure frequency</w:t>
      </w:r>
      <w:r w:rsidR="00513DC5">
        <w:t xml:space="preserve"> for primary seizure type) and </w:t>
      </w:r>
      <w:r w:rsidRPr="00381D70">
        <w:t>secondary results (</w:t>
      </w:r>
      <w:r w:rsidR="00792414">
        <w:t>r</w:t>
      </w:r>
      <w:r w:rsidRPr="00381D70">
        <w:t xml:space="preserve">esponder </w:t>
      </w:r>
      <w:r w:rsidR="00792414">
        <w:t>r</w:t>
      </w:r>
      <w:r w:rsidRPr="00381D70">
        <w:t>ates) for all four of the major efficacy studies, for the whole cohort and for key subgroups, including those not on</w:t>
      </w:r>
      <w:r w:rsidR="00513DC5">
        <w:t xml:space="preserve"> CLB</w:t>
      </w:r>
      <w:r w:rsidRPr="00381D70">
        <w:t>.</w:t>
      </w:r>
    </w:p>
    <w:p w14:paraId="7ADF70DF" w14:textId="0064FA09" w:rsidR="00381D70" w:rsidRDefault="00381D70" w:rsidP="00381D70">
      <w:pPr>
        <w:pStyle w:val="FigureTitle"/>
      </w:pPr>
      <w:bookmarkStart w:id="51" w:name="_Ref56424324"/>
      <w:r>
        <w:t xml:space="preserve">Figure </w:t>
      </w:r>
      <w:r>
        <w:fldChar w:fldCharType="begin"/>
      </w:r>
      <w:r>
        <w:instrText>SEQ Figure \* ARABIC</w:instrText>
      </w:r>
      <w:r>
        <w:fldChar w:fldCharType="separate"/>
      </w:r>
      <w:r w:rsidR="00E0078F">
        <w:rPr>
          <w:noProof/>
        </w:rPr>
        <w:t>6</w:t>
      </w:r>
      <w:r>
        <w:fldChar w:fldCharType="end"/>
      </w:r>
      <w:bookmarkEnd w:id="51"/>
      <w:r>
        <w:t xml:space="preserve">: </w:t>
      </w:r>
      <w:r w:rsidR="00513DC5">
        <w:t>Negative binomial r</w:t>
      </w:r>
      <w:r w:rsidRPr="007C768F">
        <w:t>egr</w:t>
      </w:r>
      <w:r w:rsidR="00513DC5">
        <w:t xml:space="preserve">ession effect modification analysis of drop seizure count during Baseline and treatment periods in LGS </w:t>
      </w:r>
      <w:r w:rsidR="0008594B">
        <w:t>Studies</w:t>
      </w:r>
      <w:r w:rsidRPr="007C768F">
        <w:t xml:space="preserve"> </w:t>
      </w:r>
      <w:r w:rsidR="008361E5">
        <w:t>LGS-14</w:t>
      </w:r>
      <w:r w:rsidRPr="007C768F">
        <w:t xml:space="preserve"> and </w:t>
      </w:r>
      <w:r w:rsidR="008361E5">
        <w:t>LGS-23</w:t>
      </w:r>
      <w:r w:rsidRPr="007C768F">
        <w:t xml:space="preserve"> (</w:t>
      </w:r>
      <w:r w:rsidR="0008594B">
        <w:t>intent to treat analysis set</w:t>
      </w:r>
      <w:r w:rsidRPr="007C768F">
        <w:t>)</w:t>
      </w:r>
    </w:p>
    <w:p w14:paraId="5C4D9551" w14:textId="694E04F4" w:rsidR="00381D70" w:rsidRDefault="00381D70" w:rsidP="00D61FF2">
      <w:r>
        <w:rPr>
          <w:noProof/>
          <w:lang w:eastAsia="en-AU"/>
        </w:rPr>
        <w:drawing>
          <wp:inline distT="0" distB="0" distL="0" distR="0" wp14:anchorId="086EA73E" wp14:editId="244034E1">
            <wp:extent cx="5295569" cy="2422984"/>
            <wp:effectExtent l="0" t="0" r="635" b="0"/>
            <wp:docPr id="10" name="Picture 10" descr="This table shows a comprehensive breakdown of Drop Seizure Count analyses results on LGS studies, divided by age, sex, region, use of other drugs including clobanam and total number of prior or current A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5299290" cy="2424686"/>
                    </a:xfrm>
                    <a:prstGeom prst="rect">
                      <a:avLst/>
                    </a:prstGeom>
                  </pic:spPr>
                </pic:pic>
              </a:graphicData>
            </a:graphic>
          </wp:inline>
        </w:drawing>
      </w:r>
    </w:p>
    <w:p w14:paraId="7120F541" w14:textId="32A30028" w:rsidR="0008594B" w:rsidRDefault="0008594B" w:rsidP="005E5FB8">
      <w:pPr>
        <w:pStyle w:val="FigureDescription"/>
      </w:pPr>
      <w:r>
        <w:t>LGS = Lennox-</w:t>
      </w:r>
      <w:proofErr w:type="spellStart"/>
      <w:r>
        <w:t>Gastaut</w:t>
      </w:r>
      <w:proofErr w:type="spellEnd"/>
      <w:r>
        <w:t xml:space="preserve"> syndrome (subjects); CBD OS = cannabidiol oral solution; CLB = </w:t>
      </w:r>
      <w:proofErr w:type="spellStart"/>
      <w:r>
        <w:t>clobazam</w:t>
      </w:r>
      <w:proofErr w:type="spellEnd"/>
      <w:r>
        <w:t>; CI = confidence interval.</w:t>
      </w:r>
    </w:p>
    <w:p w14:paraId="4B79C5A4" w14:textId="3A4D454F" w:rsidR="00381D70" w:rsidRDefault="00381D70" w:rsidP="00381D70">
      <w:pPr>
        <w:pStyle w:val="FigureTitle"/>
      </w:pPr>
      <w:bookmarkStart w:id="52" w:name="_Ref56424335"/>
      <w:r>
        <w:t xml:space="preserve">Figure </w:t>
      </w:r>
      <w:r>
        <w:fldChar w:fldCharType="begin"/>
      </w:r>
      <w:r>
        <w:instrText>SEQ Figure \* ARABIC</w:instrText>
      </w:r>
      <w:r>
        <w:fldChar w:fldCharType="separate"/>
      </w:r>
      <w:r w:rsidR="00E0078F">
        <w:rPr>
          <w:noProof/>
        </w:rPr>
        <w:t>7</w:t>
      </w:r>
      <w:r>
        <w:fldChar w:fldCharType="end"/>
      </w:r>
      <w:bookmarkEnd w:id="52"/>
      <w:r>
        <w:t xml:space="preserve">: </w:t>
      </w:r>
      <w:r w:rsidR="00513DC5">
        <w:t>Logistic regression effect modification analysis of drop seizure r</w:t>
      </w:r>
      <w:r w:rsidRPr="00876B62">
        <w:t>e</w:t>
      </w:r>
      <w:r w:rsidR="00513DC5">
        <w:t>sponders (</w:t>
      </w:r>
      <w:r w:rsidR="00075FD0" w:rsidRPr="00075FD0">
        <w:sym w:font="Symbol" w:char="F0B3"/>
      </w:r>
      <w:r w:rsidR="00075FD0">
        <w:t xml:space="preserve"> </w:t>
      </w:r>
      <w:r w:rsidR="00513DC5">
        <w:t>50% r</w:t>
      </w:r>
      <w:r w:rsidRPr="00876B62">
        <w:t>educ</w:t>
      </w:r>
      <w:r w:rsidR="00513DC5">
        <w:t xml:space="preserve">tion from Baseline) during the treatment period in LGS </w:t>
      </w:r>
      <w:r w:rsidR="0008594B">
        <w:t>Studies </w:t>
      </w:r>
      <w:r w:rsidR="008361E5">
        <w:t>LGS-14</w:t>
      </w:r>
      <w:r w:rsidRPr="00876B62">
        <w:t xml:space="preserve"> and </w:t>
      </w:r>
      <w:r w:rsidR="008361E5">
        <w:t>LGS-23</w:t>
      </w:r>
      <w:r w:rsidRPr="00876B62">
        <w:t xml:space="preserve"> </w:t>
      </w:r>
      <w:r w:rsidR="0008594B">
        <w:t>(intention to treat</w:t>
      </w:r>
      <w:r w:rsidRPr="00876B62">
        <w:t xml:space="preserve"> </w:t>
      </w:r>
      <w:r w:rsidR="0008594B">
        <w:t>a</w:t>
      </w:r>
      <w:r w:rsidRPr="00876B62">
        <w:t xml:space="preserve">nalysis </w:t>
      </w:r>
      <w:r w:rsidR="0008594B">
        <w:t>s</w:t>
      </w:r>
      <w:r w:rsidRPr="00876B62">
        <w:t>et)</w:t>
      </w:r>
    </w:p>
    <w:p w14:paraId="7C3C5A66" w14:textId="1BF0B7FF" w:rsidR="00381D70" w:rsidRDefault="00381D70" w:rsidP="00D61FF2">
      <w:r>
        <w:rPr>
          <w:noProof/>
          <w:lang w:eastAsia="en-AU"/>
        </w:rPr>
        <w:drawing>
          <wp:inline distT="0" distB="0" distL="0" distR="0" wp14:anchorId="263FCB1E" wp14:editId="3ABB37E6">
            <wp:extent cx="5400040" cy="2623820"/>
            <wp:effectExtent l="0" t="0" r="0" b="5080"/>
            <wp:docPr id="11" name="Picture 11" descr="This table shows a comprehensive breakdown of Drop Seizure Responders analyses results on LGS studies, divided by age, sex, region, use of other drugs including clobanam and total number of prior or current A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400040" cy="2623820"/>
                    </a:xfrm>
                    <a:prstGeom prst="rect">
                      <a:avLst/>
                    </a:prstGeom>
                  </pic:spPr>
                </pic:pic>
              </a:graphicData>
            </a:graphic>
          </wp:inline>
        </w:drawing>
      </w:r>
    </w:p>
    <w:p w14:paraId="7CCF7153" w14:textId="65DCC7C3" w:rsidR="0008594B" w:rsidRDefault="0008594B" w:rsidP="005E5FB8">
      <w:pPr>
        <w:pStyle w:val="FigureDescription"/>
      </w:pPr>
      <w:r>
        <w:t>LGS = Lennox-</w:t>
      </w:r>
      <w:proofErr w:type="spellStart"/>
      <w:r>
        <w:t>Gastaut</w:t>
      </w:r>
      <w:proofErr w:type="spellEnd"/>
      <w:r>
        <w:t xml:space="preserve"> syndrome (subjects); CBD OS = cannabidiol oral solution; CLB = </w:t>
      </w:r>
      <w:proofErr w:type="spellStart"/>
      <w:r>
        <w:t>clobazam</w:t>
      </w:r>
      <w:proofErr w:type="spellEnd"/>
      <w:r>
        <w:t>; CI = confidence interval.</w:t>
      </w:r>
    </w:p>
    <w:p w14:paraId="7B89EDE2" w14:textId="2E07F21C" w:rsidR="00381D70" w:rsidRDefault="00381D70" w:rsidP="00381D70">
      <w:pPr>
        <w:pStyle w:val="FigureTitle"/>
      </w:pPr>
      <w:bookmarkStart w:id="53" w:name="_Ref56424343"/>
      <w:r>
        <w:t xml:space="preserve">Figure </w:t>
      </w:r>
      <w:r>
        <w:fldChar w:fldCharType="begin"/>
      </w:r>
      <w:r>
        <w:instrText>SEQ Figure \* ARABIC</w:instrText>
      </w:r>
      <w:r>
        <w:fldChar w:fldCharType="separate"/>
      </w:r>
      <w:r w:rsidR="00E0078F">
        <w:rPr>
          <w:noProof/>
        </w:rPr>
        <w:t>8</w:t>
      </w:r>
      <w:r>
        <w:fldChar w:fldCharType="end"/>
      </w:r>
      <w:bookmarkEnd w:id="53"/>
      <w:r>
        <w:t xml:space="preserve">: </w:t>
      </w:r>
      <w:r w:rsidR="00513DC5">
        <w:t xml:space="preserve">Negative binomial regression effect modification analysis of convulsive seizure count during Baseline and treatment periods in DS </w:t>
      </w:r>
      <w:r w:rsidR="0008594B">
        <w:t>Studies</w:t>
      </w:r>
      <w:r w:rsidRPr="00D41869">
        <w:t xml:space="preserve"> </w:t>
      </w:r>
      <w:r w:rsidR="00D24AB4">
        <w:t>DS-24</w:t>
      </w:r>
      <w:r w:rsidRPr="00D41869">
        <w:t xml:space="preserve"> and </w:t>
      </w:r>
      <w:r w:rsidR="00D24AB4">
        <w:t xml:space="preserve">DS-32 Part </w:t>
      </w:r>
      <w:r w:rsidRPr="00D41869">
        <w:t>B (</w:t>
      </w:r>
      <w:r w:rsidR="0008594B">
        <w:t>intent to treat</w:t>
      </w:r>
      <w:r w:rsidRPr="00D41869">
        <w:t xml:space="preserve"> </w:t>
      </w:r>
      <w:r w:rsidR="0008594B">
        <w:t>a</w:t>
      </w:r>
      <w:r w:rsidRPr="00D41869">
        <w:t xml:space="preserve">nalysis </w:t>
      </w:r>
      <w:r w:rsidR="0008594B">
        <w:t>s</w:t>
      </w:r>
      <w:r w:rsidRPr="00D41869">
        <w:t>et)</w:t>
      </w:r>
    </w:p>
    <w:p w14:paraId="4AD204B9" w14:textId="70FD1514" w:rsidR="008E0104" w:rsidRDefault="00381D70" w:rsidP="00D61FF2">
      <w:r>
        <w:rPr>
          <w:noProof/>
          <w:lang w:eastAsia="en-AU"/>
        </w:rPr>
        <w:drawing>
          <wp:inline distT="0" distB="0" distL="0" distR="0" wp14:anchorId="24F0FFB2" wp14:editId="74AD5FF1">
            <wp:extent cx="5400040" cy="2429510"/>
            <wp:effectExtent l="0" t="0" r="0" b="8890"/>
            <wp:docPr id="12" name="Picture 12" descr="This table shows a comprehensive breakdown of Convulsive Seizure Count analyses results on DS studies, divided by age, sex, region, use of other drugs including clobanam and total number of prior or current A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400040" cy="2429510"/>
                    </a:xfrm>
                    <a:prstGeom prst="rect">
                      <a:avLst/>
                    </a:prstGeom>
                  </pic:spPr>
                </pic:pic>
              </a:graphicData>
            </a:graphic>
          </wp:inline>
        </w:drawing>
      </w:r>
    </w:p>
    <w:p w14:paraId="381E83FF" w14:textId="4F68BD03" w:rsidR="0008594B" w:rsidRDefault="0008594B" w:rsidP="005E5FB8">
      <w:pPr>
        <w:pStyle w:val="FigureDescription"/>
      </w:pPr>
      <w:r>
        <w:t xml:space="preserve">DS = </w:t>
      </w:r>
      <w:proofErr w:type="spellStart"/>
      <w:r>
        <w:t>Dravet</w:t>
      </w:r>
      <w:proofErr w:type="spellEnd"/>
      <w:r>
        <w:t xml:space="preserve"> syndrome (subjects); CBD OS = cannabidiol oral solution; CLB = </w:t>
      </w:r>
      <w:proofErr w:type="spellStart"/>
      <w:r>
        <w:t>clobazam</w:t>
      </w:r>
      <w:proofErr w:type="spellEnd"/>
      <w:r>
        <w:t>; CI = confidence interval.</w:t>
      </w:r>
    </w:p>
    <w:p w14:paraId="54C5AB12" w14:textId="770D1930" w:rsidR="008E0104" w:rsidRDefault="008E0104" w:rsidP="00826094">
      <w:pPr>
        <w:pStyle w:val="FigureTitle"/>
      </w:pPr>
      <w:bookmarkStart w:id="54" w:name="_Ref56424349"/>
      <w:r>
        <w:t xml:space="preserve">Figure </w:t>
      </w:r>
      <w:r>
        <w:fldChar w:fldCharType="begin"/>
      </w:r>
      <w:r>
        <w:instrText>SEQ Figure \* ARABIC</w:instrText>
      </w:r>
      <w:r>
        <w:fldChar w:fldCharType="separate"/>
      </w:r>
      <w:r w:rsidR="00E0078F">
        <w:rPr>
          <w:noProof/>
        </w:rPr>
        <w:t>9</w:t>
      </w:r>
      <w:r>
        <w:fldChar w:fldCharType="end"/>
      </w:r>
      <w:bookmarkEnd w:id="54"/>
      <w:r>
        <w:t xml:space="preserve">: </w:t>
      </w:r>
      <w:r w:rsidR="00513DC5">
        <w:t>Logistic regression effect modification analysis of convulsive seizure responders (</w:t>
      </w:r>
      <w:r w:rsidR="00075FD0" w:rsidRPr="00075FD0">
        <w:sym w:font="Symbol" w:char="F0B3"/>
      </w:r>
      <w:r w:rsidR="00513DC5">
        <w:t xml:space="preserve"> 50% r</w:t>
      </w:r>
      <w:r w:rsidRPr="00462634">
        <w:t>educ</w:t>
      </w:r>
      <w:r w:rsidR="00513DC5">
        <w:t>tion from Baseline) during the t</w:t>
      </w:r>
      <w:r w:rsidRPr="00462634">
        <w:t>reatmen</w:t>
      </w:r>
      <w:r w:rsidR="00513DC5">
        <w:t>t period in DS</w:t>
      </w:r>
      <w:r w:rsidR="0008594B">
        <w:t> Studies</w:t>
      </w:r>
      <w:r w:rsidRPr="00462634">
        <w:t xml:space="preserve"> </w:t>
      </w:r>
      <w:r w:rsidR="00D24AB4">
        <w:t>DS-24</w:t>
      </w:r>
      <w:r w:rsidRPr="00462634">
        <w:t xml:space="preserve"> and </w:t>
      </w:r>
      <w:r w:rsidR="00D24AB4">
        <w:t xml:space="preserve">DS-32 Part </w:t>
      </w:r>
      <w:r w:rsidRPr="00462634">
        <w:t>B (</w:t>
      </w:r>
      <w:r w:rsidR="0008594B">
        <w:t>intent to treat</w:t>
      </w:r>
      <w:r w:rsidRPr="00462634">
        <w:t xml:space="preserve"> </w:t>
      </w:r>
      <w:r w:rsidR="0008594B">
        <w:t>a</w:t>
      </w:r>
      <w:r w:rsidRPr="00462634">
        <w:t xml:space="preserve">nalysis </w:t>
      </w:r>
      <w:r w:rsidR="0008594B">
        <w:t>s</w:t>
      </w:r>
      <w:r w:rsidRPr="00462634">
        <w:t>et)</w:t>
      </w:r>
    </w:p>
    <w:p w14:paraId="16BC8BA0" w14:textId="5BD1ECDE" w:rsidR="008E0104" w:rsidRDefault="008E0104" w:rsidP="00D61FF2">
      <w:r>
        <w:rPr>
          <w:noProof/>
          <w:lang w:eastAsia="en-AU"/>
        </w:rPr>
        <w:drawing>
          <wp:inline distT="0" distB="0" distL="0" distR="0" wp14:anchorId="1C7A4221" wp14:editId="5B01A6AB">
            <wp:extent cx="5400040" cy="2425700"/>
            <wp:effectExtent l="0" t="0" r="0" b="0"/>
            <wp:docPr id="13" name="Picture 13" descr="This table shows a comprehensive breakdown of Convulsive Seizure Responders analyses results on DS studies, divided by age, sex, region, use of other drugs including clobanam and total number of prior or current A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5400040" cy="2425700"/>
                    </a:xfrm>
                    <a:prstGeom prst="rect">
                      <a:avLst/>
                    </a:prstGeom>
                  </pic:spPr>
                </pic:pic>
              </a:graphicData>
            </a:graphic>
          </wp:inline>
        </w:drawing>
      </w:r>
    </w:p>
    <w:p w14:paraId="1F78F012" w14:textId="77B4E621" w:rsidR="0008594B" w:rsidRDefault="0008594B" w:rsidP="005E5FB8">
      <w:pPr>
        <w:pStyle w:val="FigureDescription"/>
      </w:pPr>
      <w:r>
        <w:t xml:space="preserve">DS = </w:t>
      </w:r>
      <w:proofErr w:type="spellStart"/>
      <w:r>
        <w:t>Dravet</w:t>
      </w:r>
      <w:proofErr w:type="spellEnd"/>
      <w:r>
        <w:t xml:space="preserve"> syndrome (subjects); CBD OS = cannabidiol oral solution; CLB = </w:t>
      </w:r>
      <w:proofErr w:type="spellStart"/>
      <w:r>
        <w:t>clobazam</w:t>
      </w:r>
      <w:proofErr w:type="spellEnd"/>
      <w:r>
        <w:t>; CI = confidence interval.</w:t>
      </w:r>
    </w:p>
    <w:p w14:paraId="66AD7ED3" w14:textId="4BF93747" w:rsidR="008E0104" w:rsidRPr="00F70E6F" w:rsidRDefault="008E0104" w:rsidP="00B21D3C">
      <w:pPr>
        <w:pStyle w:val="Heading6"/>
      </w:pPr>
      <w:r w:rsidRPr="00F70E6F">
        <w:t xml:space="preserve">Conclusions of the </w:t>
      </w:r>
      <w:r w:rsidR="00792414">
        <w:t>European Medicines Agency</w:t>
      </w:r>
      <w:r w:rsidR="00792414" w:rsidRPr="00F70E6F">
        <w:t xml:space="preserve"> </w:t>
      </w:r>
      <w:r w:rsidRPr="00F70E6F">
        <w:t xml:space="preserve">Scientific Advisory Group </w:t>
      </w:r>
    </w:p>
    <w:p w14:paraId="28E75B44" w14:textId="3C0E0507" w:rsidR="008E0104" w:rsidRPr="008E0104" w:rsidRDefault="005370AF" w:rsidP="00D61FF2">
      <w:r>
        <w:t>Because of on</w:t>
      </w:r>
      <w:r w:rsidR="008E0104" w:rsidRPr="008E0104">
        <w:t xml:space="preserve">going concerns about the quality of the evidence supporting CBD use in patients not on </w:t>
      </w:r>
      <w:r w:rsidR="00464B0E">
        <w:t>CLB</w:t>
      </w:r>
      <w:r w:rsidR="008E0104" w:rsidRPr="008E0104">
        <w:t>, the EMA asked fo</w:t>
      </w:r>
      <w:r>
        <w:t>r an opinion from a Scientific A</w:t>
      </w:r>
      <w:r w:rsidR="008E0104" w:rsidRPr="008E0104">
        <w:t>dvisory Group (SAG). The group’s opinions were summarised by the EMA as follows:</w:t>
      </w:r>
      <w:r w:rsidR="00792414">
        <w:fldChar w:fldCharType="begin"/>
      </w:r>
      <w:r w:rsidR="00792414">
        <w:instrText xml:space="preserve"> NOTEREF _Ref57729132 \f \h </w:instrText>
      </w:r>
      <w:r w:rsidR="00792414">
        <w:fldChar w:fldCharType="separate"/>
      </w:r>
      <w:r w:rsidR="00E0078F" w:rsidRPr="00E0078F">
        <w:rPr>
          <w:rStyle w:val="FootnoteReference"/>
        </w:rPr>
        <w:t>15</w:t>
      </w:r>
      <w:r w:rsidR="00792414">
        <w:fldChar w:fldCharType="end"/>
      </w:r>
    </w:p>
    <w:p w14:paraId="027CDDE9" w14:textId="77777777" w:rsidR="004C5B16" w:rsidRDefault="00792414" w:rsidP="00B21D3C">
      <w:pPr>
        <w:ind w:left="720"/>
      </w:pPr>
      <w:r>
        <w:t>‘</w:t>
      </w:r>
      <w:r w:rsidR="008E0104" w:rsidRPr="008E0104">
        <w:t>SAG experts were split in their position about an indi</w:t>
      </w:r>
      <w:r w:rsidR="005370AF">
        <w:t>cation that clearly excludes off</w:t>
      </w:r>
      <w:r w:rsidR="008E0104" w:rsidRPr="008E0104">
        <w:t xml:space="preserve"> </w:t>
      </w:r>
      <w:r w:rsidR="00464B0E">
        <w:t>CLB</w:t>
      </w:r>
      <w:r w:rsidR="008E0104" w:rsidRPr="008E0104">
        <w:t xml:space="preserve"> patients. Although it</w:t>
      </w:r>
      <w:r w:rsidR="005370AF">
        <w:t xml:space="preserve"> was considered that data in off</w:t>
      </w:r>
      <w:r w:rsidR="00464B0E">
        <w:t xml:space="preserve"> CLB</w:t>
      </w:r>
      <w:r w:rsidR="008E0104" w:rsidRPr="008E0104">
        <w:t xml:space="preserve"> patients could indicate efficacy, no consensus could be reached regarding a restricted indication to this specific group</w:t>
      </w:r>
      <w:r w:rsidR="004C5B16">
        <w:t>.</w:t>
      </w:r>
    </w:p>
    <w:p w14:paraId="519B1258" w14:textId="6536CDAA" w:rsidR="008E0104" w:rsidRDefault="008E0104" w:rsidP="00B21D3C">
      <w:pPr>
        <w:ind w:left="720"/>
      </w:pPr>
      <w:r w:rsidRPr="008E0104">
        <w:t xml:space="preserve">Some members supported this restricted indication, which should be based on the evidence provided by the trials. Additionally, they expressed concerns that a different approach will increase the use of CBD instead of </w:t>
      </w:r>
      <w:r w:rsidR="00464B0E">
        <w:t>CLB</w:t>
      </w:r>
      <w:r w:rsidRPr="008E0104">
        <w:t>. However, the argument that CBD will then be prescr</w:t>
      </w:r>
      <w:r w:rsidR="005370AF">
        <w:t xml:space="preserve">ibed off </w:t>
      </w:r>
      <w:r w:rsidRPr="008E0104">
        <w:t>label, even if the current level of evidence does not support this, was not considered a valid argument to hav</w:t>
      </w:r>
      <w:r w:rsidR="005370AF">
        <w:t>e an indication for patients off</w:t>
      </w:r>
      <w:r w:rsidR="00464B0E">
        <w:t xml:space="preserve"> CLB</w:t>
      </w:r>
      <w:r w:rsidRPr="008E0104">
        <w:t xml:space="preserve"> in the absence of proven efficacy.</w:t>
      </w:r>
    </w:p>
    <w:p w14:paraId="7439B183" w14:textId="77777777" w:rsidR="008E0104" w:rsidRPr="008E0104" w:rsidRDefault="008E0104" w:rsidP="00B21D3C">
      <w:pPr>
        <w:ind w:left="720"/>
      </w:pPr>
      <w:r w:rsidRPr="008E0104">
        <w:t xml:space="preserve">Other experts, including the patient representatives, were against a restriction, stating the following reasons: </w:t>
      </w:r>
    </w:p>
    <w:p w14:paraId="118EB2C0" w14:textId="77777777" w:rsidR="004C5B16" w:rsidRDefault="008E0104" w:rsidP="00B21D3C">
      <w:pPr>
        <w:pStyle w:val="ListBullet"/>
        <w:ind w:left="1080"/>
      </w:pPr>
      <w:r w:rsidRPr="008E0104">
        <w:t xml:space="preserve">Such an indication will require the use of </w:t>
      </w:r>
      <w:r w:rsidR="00464B0E">
        <w:t>CLB</w:t>
      </w:r>
      <w:r w:rsidRPr="008E0104">
        <w:t xml:space="preserve"> in order to prescribe CBD, thus patients who cannot tolerate </w:t>
      </w:r>
      <w:r w:rsidR="00464B0E">
        <w:t>CLB</w:t>
      </w:r>
      <w:r w:rsidRPr="008E0104">
        <w:t xml:space="preserve"> (often observed in children) will not be given the option to use CBD for treatment. This situation was highlighted by the patient representatives as undesirable</w:t>
      </w:r>
      <w:r w:rsidR="004C5B16">
        <w:t>.</w:t>
      </w:r>
    </w:p>
    <w:p w14:paraId="5E8E8CC0" w14:textId="0B59DD62" w:rsidR="005370AF" w:rsidRDefault="008E0104" w:rsidP="00B21D3C">
      <w:pPr>
        <w:pStyle w:val="ListBullet"/>
        <w:ind w:left="1080"/>
      </w:pPr>
      <w:r w:rsidRPr="008E0104">
        <w:t>It is likely that a restricted indication may not be followed in pr</w:t>
      </w:r>
      <w:r w:rsidR="007C12E8">
        <w:t xml:space="preserve">actice – it will potentiate off </w:t>
      </w:r>
      <w:r w:rsidRPr="008E0104">
        <w:t xml:space="preserve">label use </w:t>
      </w:r>
    </w:p>
    <w:p w14:paraId="0DEAF49E" w14:textId="1CF88B39" w:rsidR="008E0104" w:rsidRPr="008E0104" w:rsidRDefault="008E0104" w:rsidP="00B21D3C">
      <w:pPr>
        <w:pStyle w:val="ListBullet"/>
        <w:ind w:left="1080"/>
      </w:pPr>
      <w:r w:rsidRPr="008E0104">
        <w:t>Individual patients may still exist that will show clinically relevant benefit and having an additional effective treatment option is appreciated.</w:t>
      </w:r>
      <w:r w:rsidR="00792414">
        <w:t>’</w:t>
      </w:r>
    </w:p>
    <w:p w14:paraId="09B7149D" w14:textId="4FF796CF" w:rsidR="008E0104" w:rsidRPr="008E0104" w:rsidRDefault="008E0104" w:rsidP="00B21D3C">
      <w:pPr>
        <w:pStyle w:val="Heading6"/>
      </w:pPr>
      <w:r w:rsidRPr="008E0104">
        <w:t>E</w:t>
      </w:r>
      <w:r w:rsidR="0008594B">
        <w:t>uropean Medicines Agency</w:t>
      </w:r>
      <w:r w:rsidRPr="008E0104">
        <w:t xml:space="preserve"> </w:t>
      </w:r>
      <w:r w:rsidR="00792414">
        <w:t>c</w:t>
      </w:r>
      <w:r w:rsidRPr="008E0104">
        <w:t>onclusion</w:t>
      </w:r>
      <w:r w:rsidR="0008594B">
        <w:t>s</w:t>
      </w:r>
    </w:p>
    <w:p w14:paraId="4F9E7BE3" w14:textId="3B8BD5F0" w:rsidR="008E0104" w:rsidRPr="008E0104" w:rsidRDefault="008E0104" w:rsidP="00D61FF2">
      <w:r w:rsidRPr="008E0104">
        <w:t>The EMA drew the following conclusions about t</w:t>
      </w:r>
      <w:r w:rsidR="007C12E8">
        <w:t>he overall evidence of efficacy</w:t>
      </w:r>
      <w:r w:rsidR="00792414">
        <w:t>.</w:t>
      </w:r>
      <w:r w:rsidR="00792414">
        <w:fldChar w:fldCharType="begin"/>
      </w:r>
      <w:r w:rsidR="00792414">
        <w:instrText xml:space="preserve"> NOTEREF _Ref57729132 \f \h </w:instrText>
      </w:r>
      <w:r w:rsidR="00792414">
        <w:fldChar w:fldCharType="separate"/>
      </w:r>
      <w:r w:rsidR="00E0078F" w:rsidRPr="00E0078F">
        <w:rPr>
          <w:rStyle w:val="FootnoteReference"/>
        </w:rPr>
        <w:t>15</w:t>
      </w:r>
      <w:r w:rsidR="00792414">
        <w:fldChar w:fldCharType="end"/>
      </w:r>
    </w:p>
    <w:p w14:paraId="14BD592C" w14:textId="77777777" w:rsidR="004C5B16" w:rsidRDefault="00BC7ED8" w:rsidP="00316FBF">
      <w:pPr>
        <w:ind w:left="720"/>
      </w:pPr>
      <w:r>
        <w:t>‘</w:t>
      </w:r>
      <w:r w:rsidR="008E0104" w:rsidRPr="008E0104">
        <w:t xml:space="preserve">Clinical efficacy in </w:t>
      </w:r>
      <w:r w:rsidR="00F518E9">
        <w:t>LGS</w:t>
      </w:r>
      <w:r w:rsidR="008E0104" w:rsidRPr="008E0104">
        <w:t xml:space="preserve"> and D</w:t>
      </w:r>
      <w:r w:rsidR="00F518E9">
        <w:t>S</w:t>
      </w:r>
      <w:r w:rsidR="008E0104" w:rsidRPr="008E0104">
        <w:t>, two serious, rare, treatment resistant epileptic encephalopathies, was evaluated in four pivotal trials in which the primary outcome measure was reduction in drop seizure frequency and convulsive seizure frequency, respectively. These are considered clinically relevant endpoints. The primary endpoint was met in all four s</w:t>
      </w:r>
      <w:r>
        <w:t xml:space="preserve">tudies with an approximately 40 to </w:t>
      </w:r>
      <w:r w:rsidR="008E0104" w:rsidRPr="008E0104">
        <w:t>50% median reduction of seizure frequency in the active groups as comp</w:t>
      </w:r>
      <w:r>
        <w:t xml:space="preserve">ared to approximately median 15 to </w:t>
      </w:r>
      <w:r w:rsidR="008E0104" w:rsidRPr="008E0104">
        <w:t xml:space="preserve">25% in the placebo groups. In </w:t>
      </w:r>
      <w:r w:rsidR="00F518E9">
        <w:t>LGS</w:t>
      </w:r>
      <w:r w:rsidR="008E0104" w:rsidRPr="008E0104">
        <w:t xml:space="preserve">, the primary analysis was supported by the statistically significant results of key secondary endpoints including responder analyses and </w:t>
      </w:r>
      <w:r w:rsidR="00CE014C">
        <w:t>PGIC scores</w:t>
      </w:r>
      <w:r w:rsidR="008E0104" w:rsidRPr="008E0104">
        <w:t>. In terms of drop seizure free days, the treatment diff</w:t>
      </w:r>
      <w:r w:rsidR="00E26343">
        <w:t xml:space="preserve">erence in LGS corresponded to 3 to </w:t>
      </w:r>
      <w:r w:rsidR="008E0104" w:rsidRPr="008E0104">
        <w:t xml:space="preserve">5 drop seizure free days per 28 days. In </w:t>
      </w:r>
      <w:r w:rsidR="00F518E9">
        <w:t>DS</w:t>
      </w:r>
      <w:r w:rsidR="008E0104" w:rsidRPr="008E0104">
        <w:t>, the key secondary endpoint (responder analysis) was not met in one study (</w:t>
      </w:r>
      <w:r w:rsidR="00E26343">
        <w:t xml:space="preserve">Study </w:t>
      </w:r>
      <w:r w:rsidR="00E26343" w:rsidRPr="00E05842">
        <w:rPr>
          <w:rFonts w:cs="Cambria"/>
          <w:iCs/>
          <w:color w:val="001422"/>
        </w:rPr>
        <w:t>DS-32</w:t>
      </w:r>
      <w:r w:rsidR="00D24AB4">
        <w:t xml:space="preserve"> Part </w:t>
      </w:r>
      <w:r w:rsidR="008E0104" w:rsidRPr="008E0104">
        <w:t>B) whereas in the other study (</w:t>
      </w:r>
      <w:r w:rsidR="00E26343">
        <w:t xml:space="preserve">Study </w:t>
      </w:r>
      <w:r w:rsidR="00E26343" w:rsidRPr="00E05842">
        <w:rPr>
          <w:rFonts w:cs="Cambria"/>
          <w:iCs/>
          <w:color w:val="001422"/>
        </w:rPr>
        <w:t>DS-24</w:t>
      </w:r>
      <w:r w:rsidR="008E0104" w:rsidRPr="008E0104">
        <w:t>) the key secondary analyses reached the statistical significance, supporting the results of the primary analyses</w:t>
      </w:r>
      <w:r w:rsidR="004C5B16">
        <w:t>.</w:t>
      </w:r>
    </w:p>
    <w:p w14:paraId="49592854" w14:textId="77777777" w:rsidR="004C5B16" w:rsidRDefault="00BC7ED8" w:rsidP="00316FBF">
      <w:pPr>
        <w:ind w:left="720"/>
      </w:pPr>
      <w:r>
        <w:t>‘</w:t>
      </w:r>
      <w:r w:rsidR="008E0104" w:rsidRPr="008E0104">
        <w:t xml:space="preserve">Whereas the presented studies demonstrated that CBD-OS had an effect in both LGS and DS, the effect appeared mainly driven by the effect observed in </w:t>
      </w:r>
      <w:r w:rsidR="00464B0E">
        <w:t>CLB</w:t>
      </w:r>
      <w:r w:rsidR="008E0104" w:rsidRPr="008E0104">
        <w:t xml:space="preserve"> treated patients whereas the effect in patients off </w:t>
      </w:r>
      <w:r w:rsidR="00464B0E">
        <w:t>CLB</w:t>
      </w:r>
      <w:r w:rsidR="008E0104" w:rsidRPr="008E0104">
        <w:t xml:space="preserve"> was smaller or not detectable. The CHMP does not consider that it has been convincingly demonstrated that the effect size in off </w:t>
      </w:r>
      <w:r w:rsidR="00464B0E">
        <w:t>CLB</w:t>
      </w:r>
      <w:r w:rsidR="008E0104" w:rsidRPr="008E0104">
        <w:t xml:space="preserve"> LGS and DS patients treated with other combined treatments is statistically and clinically relevant, hence that it does not support the indication initially claimed with any kind of drug combination</w:t>
      </w:r>
      <w:r w:rsidR="004C5B16">
        <w:t>.</w:t>
      </w:r>
    </w:p>
    <w:p w14:paraId="799502D8" w14:textId="77777777" w:rsidR="004C5B16" w:rsidRDefault="00BC7ED8" w:rsidP="00316FBF">
      <w:pPr>
        <w:ind w:left="720"/>
      </w:pPr>
      <w:r>
        <w:t>‘</w:t>
      </w:r>
      <w:r w:rsidR="008E0104" w:rsidRPr="008E0104">
        <w:t xml:space="preserve">Therefore, the CHMP considers that the presented efficacy data supports the application for </w:t>
      </w:r>
      <w:proofErr w:type="spellStart"/>
      <w:r w:rsidR="008E0104" w:rsidRPr="008E0104">
        <w:t>Epidyolex</w:t>
      </w:r>
      <w:proofErr w:type="spellEnd"/>
      <w:r w:rsidR="008E0104" w:rsidRPr="008E0104">
        <w:t xml:space="preserve"> in the treatment of use as adjunctive therapy of seizures associated with </w:t>
      </w:r>
      <w:r w:rsidR="00316FBF">
        <w:t>LGS</w:t>
      </w:r>
      <w:r w:rsidR="008E0104" w:rsidRPr="008E0104">
        <w:t xml:space="preserve"> or </w:t>
      </w:r>
      <w:r w:rsidR="00316FBF">
        <w:t>DS</w:t>
      </w:r>
      <w:r w:rsidR="008E0104" w:rsidRPr="008E0104">
        <w:t xml:space="preserve"> in conjunction with </w:t>
      </w:r>
      <w:r w:rsidR="00464B0E">
        <w:t>CLB</w:t>
      </w:r>
      <w:r w:rsidR="008E0104" w:rsidRPr="008E0104">
        <w:t xml:space="preserve"> only, for patients 2 years of age and older.</w:t>
      </w:r>
      <w:r>
        <w:t>’</w:t>
      </w:r>
      <w:r w:rsidR="004C5B16">
        <w:t>.</w:t>
      </w:r>
    </w:p>
    <w:p w14:paraId="5782DABB" w14:textId="7C6CEB8A" w:rsidR="008E0104" w:rsidRPr="008E0104" w:rsidRDefault="008E0104" w:rsidP="00B21D3C">
      <w:pPr>
        <w:pStyle w:val="Heading6"/>
      </w:pPr>
      <w:r w:rsidRPr="008E0104">
        <w:t xml:space="preserve">Periodic </w:t>
      </w:r>
      <w:r w:rsidR="00792414" w:rsidRPr="008E0104">
        <w:t>benefit-risk evaluation report</w:t>
      </w:r>
    </w:p>
    <w:p w14:paraId="520E228E" w14:textId="1E193667" w:rsidR="008E0104" w:rsidRPr="008E0104" w:rsidRDefault="00CE00A2" w:rsidP="00D61FF2">
      <w:r>
        <w:t>The s</w:t>
      </w:r>
      <w:r w:rsidR="008E0104" w:rsidRPr="008E0104">
        <w:t>pons</w:t>
      </w:r>
      <w:r w:rsidR="00E26343">
        <w:t xml:space="preserve">or submitted a </w:t>
      </w:r>
      <w:r w:rsidR="00792414">
        <w:t>periodic benefit-</w:t>
      </w:r>
      <w:r w:rsidR="00792414" w:rsidRPr="008E0104">
        <w:t>risk evaluation report</w:t>
      </w:r>
      <w:r w:rsidR="008E0104" w:rsidRPr="008E0104">
        <w:t xml:space="preserve"> (PBRE</w:t>
      </w:r>
      <w:r>
        <w:t>R) in response to a rolling q</w:t>
      </w:r>
      <w:r w:rsidR="008E0104" w:rsidRPr="008E0104">
        <w:t>uestion; this repo</w:t>
      </w:r>
      <w:r w:rsidR="00507667">
        <w:t xml:space="preserve">rt had an approval date of 24 February </w:t>
      </w:r>
      <w:r w:rsidR="008E0104" w:rsidRPr="008E0104">
        <w:t>2020.</w:t>
      </w:r>
    </w:p>
    <w:p w14:paraId="5645A72F" w14:textId="7E272188" w:rsidR="00792414" w:rsidRDefault="00CE00A2" w:rsidP="00D61FF2">
      <w:r>
        <w:t>In that report, the s</w:t>
      </w:r>
      <w:r w:rsidR="008E0104" w:rsidRPr="008E0104">
        <w:t xml:space="preserve">ponsor </w:t>
      </w:r>
      <w:r w:rsidR="009D0228">
        <w:t>makes</w:t>
      </w:r>
      <w:r w:rsidR="008E0104" w:rsidRPr="008E0104">
        <w:t xml:space="preserve"> the following statement concedi</w:t>
      </w:r>
      <w:r>
        <w:t xml:space="preserve">ng the weakness of the evidence </w:t>
      </w:r>
      <w:r w:rsidR="008E0104" w:rsidRPr="008E0104">
        <w:t>establishing efficac</w:t>
      </w:r>
      <w:r>
        <w:t xml:space="preserve">y in subjects not on </w:t>
      </w:r>
      <w:r w:rsidR="00464B0E">
        <w:t>CLB</w:t>
      </w:r>
      <w:r>
        <w:t>:</w:t>
      </w:r>
      <w:r w:rsidR="009D0228">
        <w:rPr>
          <w:rStyle w:val="FootnoteReference"/>
        </w:rPr>
        <w:footnoteReference w:id="17"/>
      </w:r>
    </w:p>
    <w:p w14:paraId="03508DA3" w14:textId="2A5C2005" w:rsidR="008E0104" w:rsidRPr="008E0104" w:rsidRDefault="00CE00A2" w:rsidP="00B21D3C">
      <w:pPr>
        <w:ind w:left="720"/>
      </w:pPr>
      <w:r>
        <w:t>‘</w:t>
      </w:r>
      <w:r w:rsidR="008E0104" w:rsidRPr="008E0104">
        <w:t xml:space="preserve">Results of a subgroup analysis of patients treated with </w:t>
      </w:r>
      <w:r w:rsidR="00464B0E">
        <w:t>CLB</w:t>
      </w:r>
      <w:r w:rsidR="008E0104" w:rsidRPr="008E0104">
        <w:t xml:space="preserve"> compared to patients treated without </w:t>
      </w:r>
      <w:r w:rsidR="00464B0E">
        <w:t>CLB</w:t>
      </w:r>
      <w:r w:rsidR="008E0104" w:rsidRPr="008E0104">
        <w:t xml:space="preserve">, indicated that there is residual statistical uncertainty regarding the treatment effect of cannabidiol in patients not taking </w:t>
      </w:r>
      <w:r w:rsidR="00464B0E">
        <w:t>CLB</w:t>
      </w:r>
      <w:r w:rsidR="008E0104" w:rsidRPr="008E0104">
        <w:t>. In this population, eff</w:t>
      </w:r>
      <w:r>
        <w:t>icacy has not been established.’</w:t>
      </w:r>
    </w:p>
    <w:p w14:paraId="445656D8" w14:textId="0549D8E4" w:rsidR="008E0104" w:rsidRPr="008E0104" w:rsidRDefault="004E04C7" w:rsidP="00B21D3C">
      <w:pPr>
        <w:pStyle w:val="Heading6"/>
      </w:pPr>
      <w:r>
        <w:t xml:space="preserve">United States </w:t>
      </w:r>
      <w:r w:rsidR="00792414">
        <w:t>Food and Drug Administration</w:t>
      </w:r>
      <w:r w:rsidR="00792414" w:rsidRPr="008E0104">
        <w:t xml:space="preserve"> </w:t>
      </w:r>
      <w:r w:rsidR="008E0104" w:rsidRPr="008E0104">
        <w:t>position</w:t>
      </w:r>
    </w:p>
    <w:p w14:paraId="3F4E71E4" w14:textId="2145C5EA" w:rsidR="008E0104" w:rsidRPr="008E0104" w:rsidRDefault="004E04C7" w:rsidP="00D61FF2">
      <w:r>
        <w:t xml:space="preserve">The US </w:t>
      </w:r>
      <w:r w:rsidR="008E0104" w:rsidRPr="008E0104">
        <w:t>FDA</w:t>
      </w:r>
      <w:r w:rsidR="00CE00A2">
        <w:t>’s</w:t>
      </w:r>
      <w:r w:rsidR="008E0104" w:rsidRPr="008E0104">
        <w:t xml:space="preserve"> position (along with </w:t>
      </w:r>
      <w:proofErr w:type="spellStart"/>
      <w:r w:rsidR="008E0104" w:rsidRPr="008E0104">
        <w:t>SwissMedic</w:t>
      </w:r>
      <w:proofErr w:type="spellEnd"/>
      <w:r w:rsidR="008E0104" w:rsidRPr="008E0104">
        <w:t xml:space="preserve">) differs from the above conclusion. </w:t>
      </w:r>
      <w:r w:rsidR="00CE00A2">
        <w:t xml:space="preserve">The </w:t>
      </w:r>
      <w:r w:rsidR="008E0104" w:rsidRPr="008E0104">
        <w:t>FDA clinical pharmacology reviewer drew the following conclusion:</w:t>
      </w:r>
      <w:r w:rsidR="00792414">
        <w:fldChar w:fldCharType="begin"/>
      </w:r>
      <w:r w:rsidR="00792414">
        <w:instrText xml:space="preserve"> NOTEREF _Ref57729416 \f \h </w:instrText>
      </w:r>
      <w:r w:rsidR="00792414">
        <w:fldChar w:fldCharType="separate"/>
      </w:r>
      <w:r w:rsidR="00E0078F" w:rsidRPr="00E0078F">
        <w:rPr>
          <w:rStyle w:val="FootnoteReference"/>
        </w:rPr>
        <w:t>11</w:t>
      </w:r>
      <w:r w:rsidR="00792414">
        <w:fldChar w:fldCharType="end"/>
      </w:r>
    </w:p>
    <w:p w14:paraId="25C76E3F" w14:textId="0CD486B7" w:rsidR="008E0104" w:rsidRDefault="00CE00A2" w:rsidP="00464B0E">
      <w:pPr>
        <w:ind w:left="720"/>
      </w:pPr>
      <w:r>
        <w:t>‘</w:t>
      </w:r>
      <w:proofErr w:type="spellStart"/>
      <w:r w:rsidR="008E0104" w:rsidRPr="008E0104">
        <w:t>Clobazam</w:t>
      </w:r>
      <w:proofErr w:type="spellEnd"/>
      <w:r w:rsidR="008E0104" w:rsidRPr="008E0104">
        <w:t xml:space="preserve"> (CLB) is metabolized by CYP3A4</w:t>
      </w:r>
      <w:r w:rsidR="00A641C4">
        <w:t>,</w:t>
      </w:r>
      <w:r w:rsidR="00A641C4" w:rsidRPr="00A641C4">
        <w:rPr>
          <w:vertAlign w:val="superscript"/>
        </w:rPr>
        <w:fldChar w:fldCharType="begin"/>
      </w:r>
      <w:r w:rsidR="00A641C4" w:rsidRPr="00A641C4">
        <w:rPr>
          <w:vertAlign w:val="superscript"/>
        </w:rPr>
        <w:instrText xml:space="preserve"> NOTEREF _Ref56592448 \h  \* MERGEFORMAT </w:instrText>
      </w:r>
      <w:r w:rsidR="00A641C4" w:rsidRPr="00A641C4">
        <w:rPr>
          <w:vertAlign w:val="superscript"/>
        </w:rPr>
      </w:r>
      <w:r w:rsidR="00A641C4" w:rsidRPr="00A641C4">
        <w:rPr>
          <w:vertAlign w:val="superscript"/>
        </w:rPr>
        <w:fldChar w:fldCharType="separate"/>
      </w:r>
      <w:r w:rsidR="00E0078F">
        <w:rPr>
          <w:vertAlign w:val="superscript"/>
        </w:rPr>
        <w:t>9</w:t>
      </w:r>
      <w:r w:rsidR="00A641C4" w:rsidRPr="00A641C4">
        <w:rPr>
          <w:vertAlign w:val="superscript"/>
        </w:rPr>
        <w:fldChar w:fldCharType="end"/>
      </w:r>
      <w:r w:rsidR="008E0104" w:rsidRPr="008E0104">
        <w:t xml:space="preserve"> and to a lesser extent by CYP2C19 and CYP2B6, to the active metabolite </w:t>
      </w:r>
      <w:proofErr w:type="spellStart"/>
      <w:r w:rsidR="008E0104" w:rsidRPr="008E0104">
        <w:t>norclobazam</w:t>
      </w:r>
      <w:proofErr w:type="spellEnd"/>
      <w:r w:rsidR="008E0104" w:rsidRPr="008E0104">
        <w:t xml:space="preserve"> (N-CL</w:t>
      </w:r>
      <w:r w:rsidR="00EA501C">
        <w:t>B), which is thought to have one third</w:t>
      </w:r>
      <w:r w:rsidR="008E0104" w:rsidRPr="008E0104">
        <w:t xml:space="preserve"> to </w:t>
      </w:r>
      <w:r w:rsidR="00EA501C">
        <w:t xml:space="preserve">one fifth </w:t>
      </w:r>
      <w:r w:rsidR="008E0104" w:rsidRPr="008E0104">
        <w:t xml:space="preserve">the activity of </w:t>
      </w:r>
      <w:r w:rsidR="00464B0E">
        <w:t>CLB</w:t>
      </w:r>
      <w:r w:rsidR="008E0104" w:rsidRPr="008E0104">
        <w:t>. N-CLB is metabolized by CYP2C19. CBD is known to inhibit the CYP2C19 enzyme and is therefore predicted to increase CLB and N-CLB levels. No increase in CLB levels was observed in clinical trials, but exposures to N-CLB were found to be up to 300% higher in the CBD arm compared to the placebo arm in the controlled trials. Based on this increase in N</w:t>
      </w:r>
      <w:r w:rsidR="00EA501C">
        <w:t>-</w:t>
      </w:r>
      <w:r w:rsidR="008E0104" w:rsidRPr="008E0104">
        <w:t xml:space="preserve">CLB levels, the applicant explored the potential impact of </w:t>
      </w:r>
      <w:r w:rsidR="00464B0E">
        <w:t>CLB</w:t>
      </w:r>
      <w:r w:rsidR="008E0104" w:rsidRPr="008E0104">
        <w:t xml:space="preserve"> use and N-CLB levels on the efficacy findings; that is, whether changes in N-CLB levels could explain some or all of the effect of CBD. The applicant conducted a number of subgroup analyses in the pivotal studies for LGS and DS. Clinical pharmacology team at FDA determined that because of the small numbers of patients in the subgroups and variability in the data, the analyses were not adequately powered to allow reliable evaluation of the effects of CBD independent of </w:t>
      </w:r>
      <w:r w:rsidR="00464B0E">
        <w:t>CLB</w:t>
      </w:r>
      <w:r w:rsidR="008E0104" w:rsidRPr="008E0104">
        <w:t xml:space="preserve">. Additionally, the large number of concomitant medications used by patients made it difficult to </w:t>
      </w:r>
      <w:proofErr w:type="spellStart"/>
      <w:r w:rsidR="008E0104" w:rsidRPr="008E0104">
        <w:t>analyze</w:t>
      </w:r>
      <w:proofErr w:type="spellEnd"/>
      <w:r w:rsidR="008E0104" w:rsidRPr="008E0104">
        <w:t xml:space="preserve"> the effects of </w:t>
      </w:r>
      <w:r w:rsidR="00464B0E">
        <w:t>CLB</w:t>
      </w:r>
      <w:r w:rsidR="008E0104" w:rsidRPr="008E0104">
        <w:t xml:space="preserve"> alone. In an attempt to </w:t>
      </w:r>
      <w:r w:rsidR="00464B0E" w:rsidRPr="008E0104">
        <w:t>further</w:t>
      </w:r>
      <w:r w:rsidR="008E0104" w:rsidRPr="008E0104">
        <w:t xml:space="preserve"> explore this issue, the applicant conducted an analysis of concomitant </w:t>
      </w:r>
      <w:proofErr w:type="spellStart"/>
      <w:r w:rsidR="008E0104" w:rsidRPr="008E0104">
        <w:t>stiripentol</w:t>
      </w:r>
      <w:proofErr w:type="spellEnd"/>
      <w:r w:rsidR="008E0104" w:rsidRPr="008E0104">
        <w:t xml:space="preserve"> (STP) use in Study 1332B</w:t>
      </w:r>
      <w:bookmarkStart w:id="55" w:name="_Ref56592756"/>
      <w:r w:rsidR="00A641C4">
        <w:t>.</w:t>
      </w:r>
      <w:bookmarkStart w:id="56" w:name="_Ref56593320"/>
      <w:r w:rsidR="00A641C4">
        <w:rPr>
          <w:rStyle w:val="FootnoteReference"/>
        </w:rPr>
        <w:footnoteReference w:id="18"/>
      </w:r>
      <w:bookmarkEnd w:id="55"/>
      <w:bookmarkEnd w:id="56"/>
      <w:r w:rsidR="008E0104" w:rsidRPr="008E0104">
        <w:t xml:space="preserve"> STP was used by a subset of patients in Study 1332B</w:t>
      </w:r>
      <w:r w:rsidR="0099141E">
        <w:t>;</w:t>
      </w:r>
      <w:r w:rsidR="0099141E" w:rsidRPr="0099141E">
        <w:rPr>
          <w:vertAlign w:val="superscript"/>
        </w:rPr>
        <w:fldChar w:fldCharType="begin"/>
      </w:r>
      <w:r w:rsidR="0099141E" w:rsidRPr="0099141E">
        <w:rPr>
          <w:vertAlign w:val="superscript"/>
        </w:rPr>
        <w:instrText xml:space="preserve"> NOTEREF _Ref56593320 \h </w:instrText>
      </w:r>
      <w:r w:rsidR="0099141E">
        <w:rPr>
          <w:vertAlign w:val="superscript"/>
        </w:rPr>
        <w:instrText xml:space="preserve"> \* MERGEFORMAT </w:instrText>
      </w:r>
      <w:r w:rsidR="0099141E" w:rsidRPr="0099141E">
        <w:rPr>
          <w:vertAlign w:val="superscript"/>
        </w:rPr>
      </w:r>
      <w:r w:rsidR="0099141E" w:rsidRPr="0099141E">
        <w:rPr>
          <w:vertAlign w:val="superscript"/>
        </w:rPr>
        <w:fldChar w:fldCharType="separate"/>
      </w:r>
      <w:r w:rsidR="00E0078F">
        <w:rPr>
          <w:vertAlign w:val="superscript"/>
        </w:rPr>
        <w:t>17</w:t>
      </w:r>
      <w:r w:rsidR="0099141E" w:rsidRPr="0099141E">
        <w:rPr>
          <w:vertAlign w:val="superscript"/>
        </w:rPr>
        <w:fldChar w:fldCharType="end"/>
      </w:r>
      <w:r w:rsidR="008E0104" w:rsidRPr="008E0104">
        <w:t xml:space="preserve">for DS (STP was not used in the LGS studies). STP, like CBD, inhibits the CYP2C19 enzyme. Patients who were taking </w:t>
      </w:r>
      <w:r w:rsidR="00464B0E">
        <w:t>CLB</w:t>
      </w:r>
      <w:r w:rsidR="008E0104" w:rsidRPr="008E0104">
        <w:t xml:space="preserve"> and STP at baseline did not show a further increase of N-CLB levels following the initiation of CBD, but did have improved seizure control. The applicant hypothesizes that CLB and N-CLB levels were already maximally increased by STP-induced inhibition of CYP2C19, and patients did not appear to experience further augmentation of the CYP2C19 inhibition with the initiation of CBD. An analysis of the patients taking </w:t>
      </w:r>
      <w:r w:rsidR="00464B0E">
        <w:t>CLB</w:t>
      </w:r>
      <w:r w:rsidR="008E0104" w:rsidRPr="008E0104">
        <w:t xml:space="preserve"> and STP showed that CBD was superior to placebo, with 80% of patients sho</w:t>
      </w:r>
      <w:r w:rsidR="00D07B18">
        <w:t>wing a reduction in seizures, versus</w:t>
      </w:r>
      <w:r w:rsidR="00EA501C">
        <w:t xml:space="preserve"> 50% on placebo (</w:t>
      </w:r>
      <w:r w:rsidR="00EA501C">
        <w:fldChar w:fldCharType="begin"/>
      </w:r>
      <w:r w:rsidR="00EA501C">
        <w:instrText xml:space="preserve"> REF _Ref56429422 \h </w:instrText>
      </w:r>
      <w:r w:rsidR="00EA501C">
        <w:fldChar w:fldCharType="separate"/>
      </w:r>
      <w:r w:rsidR="00E0078F">
        <w:t xml:space="preserve">Figure </w:t>
      </w:r>
      <w:r w:rsidR="00E0078F">
        <w:rPr>
          <w:noProof/>
        </w:rPr>
        <w:t>10</w:t>
      </w:r>
      <w:r w:rsidR="00EA501C">
        <w:fldChar w:fldCharType="end"/>
      </w:r>
      <w:bookmarkStart w:id="57" w:name="_Ref56683728"/>
      <w:r w:rsidR="00792414">
        <w:t>, below).</w:t>
      </w:r>
      <w:bookmarkEnd w:id="57"/>
      <w:r w:rsidR="00EA501C">
        <w:t xml:space="preserve"> </w:t>
      </w:r>
      <w:r w:rsidR="008E0104" w:rsidRPr="008E0104">
        <w:t>As STP was not used in the LGS studies, this analysis could not be conducted in the LGS population.</w:t>
      </w:r>
      <w:r w:rsidR="00EA501C">
        <w:t xml:space="preserve"> </w:t>
      </w:r>
      <w:r w:rsidR="008E0104" w:rsidRPr="008E0104">
        <w:t xml:space="preserve">Overall, the FDA clinical pharmacology review team believes that this observation supports the </w:t>
      </w:r>
      <w:r w:rsidR="00D07B18">
        <w:t>sponsor</w:t>
      </w:r>
      <w:r w:rsidR="008E0104" w:rsidRPr="008E0104">
        <w:t>’s claim that CBD has an effect on seizures that is independent o</w:t>
      </w:r>
      <w:r>
        <w:t>f its ability to increase N-CLB</w:t>
      </w:r>
      <w:r w:rsidR="00EA501C">
        <w:t>.’</w:t>
      </w:r>
    </w:p>
    <w:p w14:paraId="7B9C00EC" w14:textId="340265DE" w:rsidR="00193017" w:rsidRDefault="00193017" w:rsidP="00193017">
      <w:pPr>
        <w:pStyle w:val="FigureTitle"/>
      </w:pPr>
      <w:bookmarkStart w:id="58" w:name="_Ref56429422"/>
      <w:r>
        <w:t xml:space="preserve">Figure </w:t>
      </w:r>
      <w:r>
        <w:fldChar w:fldCharType="begin"/>
      </w:r>
      <w:r>
        <w:instrText>SEQ Figure \* ARABIC</w:instrText>
      </w:r>
      <w:r>
        <w:fldChar w:fldCharType="separate"/>
      </w:r>
      <w:r w:rsidR="00E0078F">
        <w:rPr>
          <w:noProof/>
        </w:rPr>
        <w:t>10</w:t>
      </w:r>
      <w:r>
        <w:fldChar w:fldCharType="end"/>
      </w:r>
      <w:bookmarkEnd w:id="58"/>
      <w:r w:rsidR="005A3358">
        <w:rPr>
          <w:noProof/>
        </w:rPr>
        <w:t>:</w:t>
      </w:r>
      <w:r>
        <w:t xml:space="preserve"> </w:t>
      </w:r>
      <w:r w:rsidR="00F7063C">
        <w:t xml:space="preserve">Study DS-32 Part B </w:t>
      </w:r>
      <w:r w:rsidRPr="00C3716A">
        <w:t>Cumulati</w:t>
      </w:r>
      <w:r w:rsidR="00464B0E">
        <w:t>ve distribution of seizure reduction by treatment arm (p</w:t>
      </w:r>
      <w:r w:rsidRPr="00C3716A">
        <w:t xml:space="preserve">atients taking </w:t>
      </w:r>
      <w:proofErr w:type="spellStart"/>
      <w:r w:rsidR="005A3358">
        <w:rPr>
          <w:szCs w:val="20"/>
        </w:rPr>
        <w:t>clobazam</w:t>
      </w:r>
      <w:proofErr w:type="spellEnd"/>
      <w:r w:rsidRPr="00C3716A">
        <w:t xml:space="preserve"> and </w:t>
      </w:r>
      <w:proofErr w:type="spellStart"/>
      <w:r w:rsidR="005A3358">
        <w:t>stiripentol</w:t>
      </w:r>
      <w:proofErr w:type="spellEnd"/>
      <w:r w:rsidRPr="00C3716A">
        <w:t>)</w:t>
      </w:r>
    </w:p>
    <w:p w14:paraId="59004E91" w14:textId="15ECAA68" w:rsidR="008E0104" w:rsidRDefault="00D937F1" w:rsidP="00D61FF2">
      <w:r>
        <w:rPr>
          <w:noProof/>
          <w:lang w:eastAsia="en-AU"/>
        </w:rPr>
        <w:drawing>
          <wp:inline distT="0" distB="0" distL="0" distR="0" wp14:anchorId="335204F7" wp14:editId="6288D1D5">
            <wp:extent cx="2127006" cy="1779432"/>
            <wp:effectExtent l="0" t="0" r="6985" b="0"/>
            <wp:docPr id="4" name="Picture 4" descr="This graph shows 50% of 14 placebo patients reduced seizures, and 80% of 23 CBD-OS patients reduced seizures (theshold being the vertical dotte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7006" cy="1779432"/>
                    </a:xfrm>
                    <a:prstGeom prst="rect">
                      <a:avLst/>
                    </a:prstGeom>
                  </pic:spPr>
                </pic:pic>
              </a:graphicData>
            </a:graphic>
          </wp:inline>
        </w:drawing>
      </w:r>
    </w:p>
    <w:p w14:paraId="7ADA589E" w14:textId="647CDB65" w:rsidR="005A3358" w:rsidRDefault="005A3358" w:rsidP="00B21D3C">
      <w:pPr>
        <w:pStyle w:val="TableDescription"/>
      </w:pPr>
      <w:r>
        <w:t>Source: FDA summary review.</w:t>
      </w:r>
      <w:r>
        <w:fldChar w:fldCharType="begin"/>
      </w:r>
      <w:r>
        <w:instrText xml:space="preserve"> NOTEREF _Ref57729416 \f \h  \* MERGEFORMAT </w:instrText>
      </w:r>
      <w:r>
        <w:fldChar w:fldCharType="separate"/>
      </w:r>
      <w:r w:rsidR="00E0078F" w:rsidRPr="00E0078F">
        <w:rPr>
          <w:rStyle w:val="FootnoteReference"/>
        </w:rPr>
        <w:t>11</w:t>
      </w:r>
      <w:r>
        <w:fldChar w:fldCharType="end"/>
      </w:r>
      <w:r w:rsidR="00F7063C">
        <w:t xml:space="preserve"> CBD-OS = cannabidiol oral solution.</w:t>
      </w:r>
    </w:p>
    <w:p w14:paraId="5BBC4FBF" w14:textId="7ABF524A" w:rsidR="00193017" w:rsidRDefault="009D0228" w:rsidP="00D61FF2">
      <w:r>
        <w:t>In Studies LGS-14 and LGS-23, patients taking placebo without concomitant CLB had a greater reduction in seizure frequency than patients taking CBD (</w:t>
      </w:r>
      <w:r>
        <w:fldChar w:fldCharType="begin"/>
      </w:r>
      <w:r>
        <w:instrText xml:space="preserve"> REF _Ref56431713 \h </w:instrText>
      </w:r>
      <w:r>
        <w:fldChar w:fldCharType="separate"/>
      </w:r>
      <w:r w:rsidR="00E0078F">
        <w:t xml:space="preserve">Figure </w:t>
      </w:r>
      <w:r w:rsidR="00E0078F">
        <w:rPr>
          <w:noProof/>
        </w:rPr>
        <w:t>11</w:t>
      </w:r>
      <w:r w:rsidR="00E0078F">
        <w:t xml:space="preserve">: Study LGS-14 Cumulative distribution functions for drop seizures: 20mg/kg/day cannabidiol oral solution versus placebo by </w:t>
      </w:r>
      <w:proofErr w:type="spellStart"/>
      <w:r w:rsidR="00E0078F">
        <w:t>clobazam</w:t>
      </w:r>
      <w:proofErr w:type="spellEnd"/>
      <w:r w:rsidR="00E0078F">
        <w:t xml:space="preserve"> use (treatment period, intent to treat analysis set)</w:t>
      </w:r>
      <w:r>
        <w:fldChar w:fldCharType="end"/>
      </w:r>
      <w:r>
        <w:fldChar w:fldCharType="begin"/>
      </w:r>
      <w:r>
        <w:instrText xml:space="preserve"> REF _Ref56010617 \h </w:instrText>
      </w:r>
      <w:r>
        <w:fldChar w:fldCharType="separate"/>
      </w:r>
      <w:r w:rsidR="00E0078F">
        <w:t xml:space="preserve">Figure </w:t>
      </w:r>
      <w:r w:rsidR="00E0078F">
        <w:rPr>
          <w:noProof/>
        </w:rPr>
        <w:t>11</w:t>
      </w:r>
      <w:r>
        <w:fldChar w:fldCharType="end"/>
      </w:r>
      <w:r>
        <w:t>).</w:t>
      </w:r>
    </w:p>
    <w:p w14:paraId="17B55F92" w14:textId="285DE921" w:rsidR="00193017" w:rsidRDefault="00193017" w:rsidP="00193017">
      <w:pPr>
        <w:pStyle w:val="FigureTitle"/>
      </w:pPr>
      <w:bookmarkStart w:id="59" w:name="_Ref56010617"/>
      <w:bookmarkStart w:id="60" w:name="_Ref56431713"/>
      <w:r>
        <w:t xml:space="preserve">Figure </w:t>
      </w:r>
      <w:r>
        <w:fldChar w:fldCharType="begin"/>
      </w:r>
      <w:r>
        <w:instrText>SEQ Figure \* ARABIC</w:instrText>
      </w:r>
      <w:r>
        <w:fldChar w:fldCharType="separate"/>
      </w:r>
      <w:r w:rsidR="00E0078F">
        <w:rPr>
          <w:noProof/>
        </w:rPr>
        <w:t>11</w:t>
      </w:r>
      <w:r>
        <w:fldChar w:fldCharType="end"/>
      </w:r>
      <w:bookmarkEnd w:id="59"/>
      <w:r>
        <w:t xml:space="preserve">: </w:t>
      </w:r>
      <w:r w:rsidR="00931DB8">
        <w:t>Study LGS-14</w:t>
      </w:r>
      <w:r>
        <w:t xml:space="preserve"> </w:t>
      </w:r>
      <w:r w:rsidR="00F7063C">
        <w:t>C</w:t>
      </w:r>
      <w:r>
        <w:t>umulative distribution functions for d</w:t>
      </w:r>
      <w:r w:rsidR="0003733C">
        <w:t xml:space="preserve">rop seizures: 20mg/kg/day </w:t>
      </w:r>
      <w:r w:rsidR="00F7063C">
        <w:t>cannabidiol oral solution</w:t>
      </w:r>
      <w:r w:rsidR="0003733C">
        <w:t xml:space="preserve"> versus</w:t>
      </w:r>
      <w:r>
        <w:t xml:space="preserve"> placebo by </w:t>
      </w:r>
      <w:proofErr w:type="spellStart"/>
      <w:r w:rsidR="00F7063C">
        <w:t>clobazam</w:t>
      </w:r>
      <w:proofErr w:type="spellEnd"/>
      <w:r>
        <w:t xml:space="preserve"> use (treatment period, </w:t>
      </w:r>
      <w:r w:rsidR="00931DB8">
        <w:t xml:space="preserve">intent to treat </w:t>
      </w:r>
      <w:r>
        <w:t>analysis set)</w:t>
      </w:r>
      <w:bookmarkEnd w:id="60"/>
    </w:p>
    <w:p w14:paraId="1C4C3993" w14:textId="5B7A7309" w:rsidR="004C5B16" w:rsidRDefault="00193017" w:rsidP="00D61FF2">
      <w:r>
        <w:rPr>
          <w:noProof/>
          <w:lang w:eastAsia="en-AU"/>
        </w:rPr>
        <w:drawing>
          <wp:inline distT="0" distB="0" distL="0" distR="0" wp14:anchorId="6F593CC9" wp14:editId="12368F97">
            <wp:extent cx="5400040" cy="2878455"/>
            <wp:effectExtent l="0" t="0" r="0" b="0"/>
            <wp:docPr id="15" name="Picture 15" descr="For patients currently taking clobazam, 70% of the Placebo group had a reduction in drop seizures compared to approx 85% of CBD-OS patients.&#10;&#10;However, for patients not currently taking clobazam, the % of placebo and CBD-OS groups having a reduction in drop seizures were almost identical at aroun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5400040" cy="2878455"/>
                    </a:xfrm>
                    <a:prstGeom prst="rect">
                      <a:avLst/>
                    </a:prstGeom>
                  </pic:spPr>
                </pic:pic>
              </a:graphicData>
            </a:graphic>
          </wp:inline>
        </w:drawing>
      </w:r>
    </w:p>
    <w:p w14:paraId="039C0919" w14:textId="73C29171" w:rsidR="00F7063C" w:rsidRDefault="00F7063C" w:rsidP="00E135A6">
      <w:pPr>
        <w:pStyle w:val="FootnoteText"/>
      </w:pPr>
      <w:r>
        <w:t xml:space="preserve">CBD-OS = cannabidiol oral solution; CLB = </w:t>
      </w:r>
      <w:proofErr w:type="spellStart"/>
      <w:r>
        <w:t>clobazam</w:t>
      </w:r>
      <w:proofErr w:type="spellEnd"/>
    </w:p>
    <w:p w14:paraId="39663C6A" w14:textId="1B20C5FD" w:rsidR="00193017" w:rsidRDefault="00193017" w:rsidP="00D61FF2">
      <w:r>
        <w:t>Patients on CBD 10 mg/kg/day without CLB had a greater reduction in seizure frequency than patients on placebo, when the seizures improved (change in seizure frequency &gt;</w:t>
      </w:r>
      <w:r w:rsidR="00294FF2">
        <w:t xml:space="preserve"> </w:t>
      </w:r>
      <w:r>
        <w:t>0%). There was no difference between CBD and placebo, if the patient’s seizure</w:t>
      </w:r>
      <w:r w:rsidR="008B4D37">
        <w:t>s worsened</w:t>
      </w:r>
      <w:r>
        <w:t xml:space="preserve"> (</w:t>
      </w:r>
      <w:r w:rsidR="00294FF2">
        <w:t>that is</w:t>
      </w:r>
      <w:r>
        <w:t>, change in seizure frequency &lt;</w:t>
      </w:r>
      <w:r w:rsidR="00294FF2">
        <w:t xml:space="preserve"> </w:t>
      </w:r>
      <w:r>
        <w:t>0%) (</w:t>
      </w:r>
      <w:r w:rsidR="00294FF2">
        <w:fldChar w:fldCharType="begin"/>
      </w:r>
      <w:r w:rsidR="00294FF2">
        <w:instrText xml:space="preserve"> REF _Ref56432177 \h  \* MERGEFORMAT </w:instrText>
      </w:r>
      <w:r w:rsidR="00294FF2">
        <w:fldChar w:fldCharType="separate"/>
      </w:r>
      <w:r w:rsidR="00E0078F">
        <w:t xml:space="preserve">Figure </w:t>
      </w:r>
      <w:r w:rsidR="00E0078F">
        <w:rPr>
          <w:noProof/>
        </w:rPr>
        <w:t>12</w:t>
      </w:r>
      <w:r w:rsidR="00E0078F">
        <w:t xml:space="preserve">: Study LGS-14 Cumulative distribution functions for drop seizures: 10mg/kg/day cannabidiol oral solution versus placebo by </w:t>
      </w:r>
      <w:proofErr w:type="spellStart"/>
      <w:r w:rsidR="00E0078F">
        <w:rPr>
          <w:szCs w:val="20"/>
        </w:rPr>
        <w:t>clobazam</w:t>
      </w:r>
      <w:proofErr w:type="spellEnd"/>
      <w:r w:rsidR="00E0078F">
        <w:t xml:space="preserve"> use (treatment period, intent to treat analysis set)</w:t>
      </w:r>
      <w:r w:rsidR="00294FF2">
        <w:fldChar w:fldCharType="end"/>
      </w:r>
      <w:r>
        <w:t>)</w:t>
      </w:r>
    </w:p>
    <w:p w14:paraId="7A71B5C2" w14:textId="1254CFD1" w:rsidR="00193017" w:rsidRDefault="00193017" w:rsidP="00193017">
      <w:pPr>
        <w:pStyle w:val="FigureTitle"/>
      </w:pPr>
      <w:bookmarkStart w:id="61" w:name="_Ref56010702"/>
      <w:bookmarkStart w:id="62" w:name="_Ref56432177"/>
      <w:r>
        <w:t xml:space="preserve">Figure </w:t>
      </w:r>
      <w:r>
        <w:fldChar w:fldCharType="begin"/>
      </w:r>
      <w:r>
        <w:instrText>SEQ Figure \* ARABIC</w:instrText>
      </w:r>
      <w:r>
        <w:fldChar w:fldCharType="separate"/>
      </w:r>
      <w:r w:rsidR="00E0078F">
        <w:rPr>
          <w:noProof/>
        </w:rPr>
        <w:t>12</w:t>
      </w:r>
      <w:r>
        <w:fldChar w:fldCharType="end"/>
      </w:r>
      <w:bookmarkEnd w:id="61"/>
      <w:r>
        <w:t xml:space="preserve">: </w:t>
      </w:r>
      <w:r w:rsidR="00107A6D">
        <w:t>Study LGS-14</w:t>
      </w:r>
      <w:r>
        <w:t xml:space="preserve"> </w:t>
      </w:r>
      <w:r w:rsidR="00E1404F">
        <w:t>C</w:t>
      </w:r>
      <w:r>
        <w:t>umulative distribution functions for d</w:t>
      </w:r>
      <w:r w:rsidR="0003733C">
        <w:t xml:space="preserve">rop seizures: 10mg/kg/day </w:t>
      </w:r>
      <w:r w:rsidR="00107A6D">
        <w:t xml:space="preserve">cannabidiol </w:t>
      </w:r>
      <w:r w:rsidR="00E1404F">
        <w:t xml:space="preserve">oral solution </w:t>
      </w:r>
      <w:r w:rsidR="0003733C">
        <w:t>versus</w:t>
      </w:r>
      <w:r>
        <w:t xml:space="preserve"> placebo by </w:t>
      </w:r>
      <w:proofErr w:type="spellStart"/>
      <w:r w:rsidR="00107A6D">
        <w:rPr>
          <w:szCs w:val="20"/>
        </w:rPr>
        <w:t>clobazam</w:t>
      </w:r>
      <w:proofErr w:type="spellEnd"/>
      <w:r>
        <w:t xml:space="preserve"> use (treatment period, </w:t>
      </w:r>
      <w:r w:rsidR="00107A6D">
        <w:t xml:space="preserve">intent to treat </w:t>
      </w:r>
      <w:r>
        <w:t>analysis set)</w:t>
      </w:r>
      <w:bookmarkEnd w:id="62"/>
    </w:p>
    <w:p w14:paraId="597FECD6" w14:textId="5F91F478" w:rsidR="00D67B39" w:rsidRDefault="00193017" w:rsidP="00D61FF2">
      <w:r>
        <w:rPr>
          <w:noProof/>
          <w:lang w:eastAsia="en-AU"/>
        </w:rPr>
        <w:drawing>
          <wp:inline distT="0" distB="0" distL="0" distR="0" wp14:anchorId="72062279" wp14:editId="35FD90FD">
            <wp:extent cx="5400040" cy="2840990"/>
            <wp:effectExtent l="0" t="0" r="0" b="0"/>
            <wp:docPr id="16" name="Picture 16" descr="Patients on CBD 10 mg/kg/day without CLB had a greater reduction in seizure frequency than patients on placebo, when the seizures improved (change in seizure frequency &gt; 0%). There was no difference between CBD and placebo, if the patient’s seizures worsened (that is, change in seizure frequency &l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5400040" cy="2840990"/>
                    </a:xfrm>
                    <a:prstGeom prst="rect">
                      <a:avLst/>
                    </a:prstGeom>
                  </pic:spPr>
                </pic:pic>
              </a:graphicData>
            </a:graphic>
          </wp:inline>
        </w:drawing>
      </w:r>
    </w:p>
    <w:p w14:paraId="7D5C8917" w14:textId="5ED7A777" w:rsidR="00E1404F" w:rsidRDefault="00E1404F" w:rsidP="002C35DC">
      <w:pPr>
        <w:pStyle w:val="FigureDescription"/>
      </w:pPr>
      <w:r>
        <w:t xml:space="preserve">CBD-OS = cannabidiol oral solution; CLB = </w:t>
      </w:r>
      <w:proofErr w:type="spellStart"/>
      <w:r>
        <w:t>clobazam</w:t>
      </w:r>
      <w:proofErr w:type="spellEnd"/>
      <w:r>
        <w:t>.</w:t>
      </w:r>
    </w:p>
    <w:p w14:paraId="165591A9" w14:textId="11F9E488" w:rsidR="00D67B39" w:rsidRPr="00D67B39" w:rsidRDefault="00D67B39" w:rsidP="00D61FF2">
      <w:r w:rsidRPr="00D67B39">
        <w:t>Overall, there were no clear trends in these analyses, making it difficult to determine if presence or absence of concomitant CLB had any impact on the efficacy of CBD.</w:t>
      </w:r>
    </w:p>
    <w:p w14:paraId="6BC1C939" w14:textId="77777777" w:rsidR="00D67B39" w:rsidRPr="00D67B39" w:rsidRDefault="00D67B39" w:rsidP="00F032D4">
      <w:pPr>
        <w:pStyle w:val="Heading4"/>
      </w:pPr>
      <w:r w:rsidRPr="00D67B39">
        <w:t xml:space="preserve">Safety </w:t>
      </w:r>
    </w:p>
    <w:p w14:paraId="04517ED4" w14:textId="3AC0E85C" w:rsidR="00D67B39" w:rsidRPr="00D67B39" w:rsidRDefault="00D67B39" w:rsidP="00D61FF2">
      <w:r w:rsidRPr="00D67B39">
        <w:t>The safety data for CBD reveal several import</w:t>
      </w:r>
      <w:r w:rsidR="00A27DDC">
        <w:t>ant risks, acknowledged by the s</w:t>
      </w:r>
      <w:r w:rsidRPr="00D67B39">
        <w:t>ponsor:</w:t>
      </w:r>
    </w:p>
    <w:p w14:paraId="4169C711" w14:textId="159ED8AE" w:rsidR="00A27DDC" w:rsidRDefault="00D67B39" w:rsidP="00D67B39">
      <w:pPr>
        <w:pStyle w:val="ListBullet"/>
      </w:pPr>
      <w:r w:rsidRPr="00D67B39">
        <w:t>hepatocellular injury,</w:t>
      </w:r>
    </w:p>
    <w:p w14:paraId="08E34CEE" w14:textId="09EB5B17" w:rsidR="00A27DDC" w:rsidRDefault="00D67B39" w:rsidP="00D67B39">
      <w:pPr>
        <w:pStyle w:val="ListBullet"/>
      </w:pPr>
      <w:r w:rsidRPr="00D67B39">
        <w:t>somnolence and sedation,</w:t>
      </w:r>
    </w:p>
    <w:p w14:paraId="1A7C2DAC" w14:textId="25122699" w:rsidR="00A27DDC" w:rsidRDefault="00D67B39" w:rsidP="00D67B39">
      <w:pPr>
        <w:pStyle w:val="ListBullet"/>
      </w:pPr>
      <w:r w:rsidRPr="00D67B39">
        <w:t>lethargy,</w:t>
      </w:r>
    </w:p>
    <w:p w14:paraId="449BA71B" w14:textId="445F799F" w:rsidR="00A27DDC" w:rsidRDefault="00D67B39" w:rsidP="00D67B39">
      <w:pPr>
        <w:pStyle w:val="ListBullet"/>
      </w:pPr>
      <w:r w:rsidRPr="00D67B39">
        <w:t>pneumonia, and</w:t>
      </w:r>
    </w:p>
    <w:p w14:paraId="76AF85B0" w14:textId="1DC9B1E3" w:rsidR="00D67B39" w:rsidRPr="00D67B39" w:rsidRDefault="00A27DDC" w:rsidP="00D67B39">
      <w:pPr>
        <w:pStyle w:val="ListBullet"/>
      </w:pPr>
      <w:r>
        <w:t>r</w:t>
      </w:r>
      <w:r w:rsidR="00D67B39" w:rsidRPr="00D67B39">
        <w:t>ash / hypersensitivity reactions.</w:t>
      </w:r>
    </w:p>
    <w:p w14:paraId="46A8A035" w14:textId="5DBA253C" w:rsidR="00D67B39" w:rsidRPr="00D67B39" w:rsidRDefault="00D67B39" w:rsidP="00D61FF2">
      <w:r w:rsidRPr="00D67B39">
        <w:t>There are also several potential risks, some of them based on issues observed with other anticonvulsants, for which the evidence is currently inconclusive:</w:t>
      </w:r>
    </w:p>
    <w:p w14:paraId="330A3C0C" w14:textId="49334B7C" w:rsidR="00A27DDC" w:rsidRDefault="00D67B39" w:rsidP="00D67B39">
      <w:pPr>
        <w:pStyle w:val="ListBullet"/>
      </w:pPr>
      <w:r w:rsidRPr="00D67B39">
        <w:t>suicidality (a class effect),</w:t>
      </w:r>
    </w:p>
    <w:p w14:paraId="0C44DDE0" w14:textId="4FE3A1F9" w:rsidR="00A27DDC" w:rsidRDefault="00D67B39" w:rsidP="00D67B39">
      <w:pPr>
        <w:pStyle w:val="ListBullet"/>
      </w:pPr>
      <w:r w:rsidRPr="00D67B39">
        <w:t>seizure worsening,</w:t>
      </w:r>
    </w:p>
    <w:p w14:paraId="1D82642D" w14:textId="6AC9A3B2" w:rsidR="00A27DDC" w:rsidRDefault="00D67B39" w:rsidP="00D67B39">
      <w:pPr>
        <w:pStyle w:val="ListBullet"/>
      </w:pPr>
      <w:r w:rsidRPr="00D67B39">
        <w:t>aggression,</w:t>
      </w:r>
    </w:p>
    <w:p w14:paraId="4D98914B" w14:textId="5499E67D" w:rsidR="00A27DDC" w:rsidRDefault="00D67B39" w:rsidP="00D67B39">
      <w:pPr>
        <w:pStyle w:val="ListBullet"/>
      </w:pPr>
      <w:r w:rsidRPr="00D67B39">
        <w:t>euphoria, and</w:t>
      </w:r>
    </w:p>
    <w:p w14:paraId="7A0234D5" w14:textId="2F2C28F2" w:rsidR="00D67B39" w:rsidRPr="00D67B39" w:rsidRDefault="00A27DDC" w:rsidP="00D67B39">
      <w:pPr>
        <w:pStyle w:val="ListBullet"/>
      </w:pPr>
      <w:r>
        <w:t>c</w:t>
      </w:r>
      <w:r w:rsidR="00D67B39" w:rsidRPr="00D67B39">
        <w:t>ognitive impairment.</w:t>
      </w:r>
    </w:p>
    <w:p w14:paraId="41B1C8C3" w14:textId="3E6E9286" w:rsidR="00D67B39" w:rsidRPr="00D67B39" w:rsidRDefault="00D67B39" w:rsidP="00D61FF2">
      <w:r w:rsidRPr="00D67B39">
        <w:t>Seizure worsening appeared to be most common in subjects taking CBD 20 mg/kg/day without concurrent</w:t>
      </w:r>
      <w:r w:rsidR="00E1404F">
        <w:t>ly taking</w:t>
      </w:r>
      <w:r w:rsidRPr="00D67B39">
        <w:t xml:space="preserve"> </w:t>
      </w:r>
      <w:r w:rsidR="003E6010">
        <w:t>CLB</w:t>
      </w:r>
      <w:r w:rsidRPr="00D67B39">
        <w:t>. A slight excess of urinary retention was noted in the major</w:t>
      </w:r>
      <w:r w:rsidR="00A27DDC">
        <w:t xml:space="preserve"> studies, and is listed by the s</w:t>
      </w:r>
      <w:r w:rsidRPr="00D67B39">
        <w:t>ponsor as a potential risk, but this observation is of unknown significance. Important missing information in relation to safety is the effect of taking CBD while preg</w:t>
      </w:r>
      <w:r w:rsidR="00A27DDC">
        <w:t xml:space="preserve">nant or lactating, and the long </w:t>
      </w:r>
      <w:r w:rsidRPr="00D67B39">
        <w:t>term safety of CBD.</w:t>
      </w:r>
    </w:p>
    <w:p w14:paraId="5C6FC491" w14:textId="3F29E9D1" w:rsidR="00D67B39" w:rsidRPr="00D67B39" w:rsidRDefault="00D67B39" w:rsidP="00A27DDC">
      <w:pPr>
        <w:pStyle w:val="Heading5"/>
      </w:pPr>
      <w:r w:rsidRPr="00D67B39">
        <w:t xml:space="preserve">Drug </w:t>
      </w:r>
      <w:r w:rsidR="00107A6D" w:rsidRPr="00D67B39">
        <w:t>induced liver injury</w:t>
      </w:r>
    </w:p>
    <w:p w14:paraId="46D4E5D0" w14:textId="2ED1BE77" w:rsidR="00D67B39" w:rsidRPr="00D67B39" w:rsidRDefault="00D67B39" w:rsidP="00D61FF2">
      <w:r w:rsidRPr="00D67B39">
        <w:t>One of the most important identified ri</w:t>
      </w:r>
      <w:r w:rsidR="00A27DDC">
        <w:t xml:space="preserve">sks for CBD is the risk of drug </w:t>
      </w:r>
      <w:r w:rsidRPr="00D67B39">
        <w:t>induced liver injury</w:t>
      </w:r>
      <w:r w:rsidR="00E1404F">
        <w:t xml:space="preserve"> (DILI)</w:t>
      </w:r>
      <w:r w:rsidRPr="00D67B39">
        <w:t>.</w:t>
      </w:r>
      <w:r w:rsidR="00AA0333">
        <w:rPr>
          <w:rStyle w:val="FootnoteReference"/>
        </w:rPr>
        <w:footnoteReference w:id="19"/>
      </w:r>
      <w:r w:rsidRPr="00D67B39">
        <w:t xml:space="preserve"> Risk factors for abnormal liver function included concurrent use of </w:t>
      </w:r>
      <w:r w:rsidR="003E6010">
        <w:t>CLB</w:t>
      </w:r>
      <w:r w:rsidRPr="00D67B39">
        <w:t xml:space="preserve"> or valproate,</w:t>
      </w:r>
      <w:r w:rsidR="00A27DDC">
        <w:t xml:space="preserve"> </w:t>
      </w:r>
      <w:r w:rsidRPr="00D67B39">
        <w:t>abnormal baseline liver function, an</w:t>
      </w:r>
      <w:r w:rsidR="00645B30">
        <w:t>d use of a higher dose of CBD. The c</w:t>
      </w:r>
      <w:r w:rsidRPr="00D67B39">
        <w:t>linical evaluator has highlighted the possibility that regular consumption in the fed state would also be expected to be a risk factor for liver injury.</w:t>
      </w:r>
    </w:p>
    <w:p w14:paraId="70812F0E" w14:textId="2321DDB0" w:rsidR="00D67B39" w:rsidRPr="00D67B39" w:rsidRDefault="00D67B39" w:rsidP="00D61FF2">
      <w:r w:rsidRPr="00D67B39">
        <w:t xml:space="preserve">There were no cases satisfying </w:t>
      </w:r>
      <w:proofErr w:type="spellStart"/>
      <w:r w:rsidRPr="00D67B39">
        <w:t>Hy’s</w:t>
      </w:r>
      <w:proofErr w:type="spellEnd"/>
      <w:r w:rsidRPr="00D67B39">
        <w:t xml:space="preserve"> Law.</w:t>
      </w:r>
      <w:r w:rsidR="00656BEB">
        <w:rPr>
          <w:rStyle w:val="FootnoteReference"/>
        </w:rPr>
        <w:footnoteReference w:id="20"/>
      </w:r>
      <w:r w:rsidRPr="00D67B39">
        <w:t xml:space="preserve"> In general, the PI contains appropriate warnings about this issue, apart</w:t>
      </w:r>
      <w:r w:rsidR="00645B30">
        <w:t xml:space="preserve"> from in relation to severe pre</w:t>
      </w:r>
      <w:r w:rsidR="00107A6D">
        <w:t>-</w:t>
      </w:r>
      <w:r w:rsidRPr="00D67B39">
        <w:t>ex</w:t>
      </w:r>
      <w:r w:rsidR="00645B30">
        <w:t>isting hepatic impairment. The s</w:t>
      </w:r>
      <w:r w:rsidRPr="00D67B39">
        <w:t xml:space="preserve">ponsor recommends dose reduction in patients with severe hepatic impairment, but it would be more prudent to avoid this CBD in this context, given that further worsening due to </w:t>
      </w:r>
      <w:r w:rsidR="00656BEB">
        <w:t>DILI</w:t>
      </w:r>
      <w:r w:rsidRPr="00D67B39">
        <w:t xml:space="preserve"> could be extremely serious or fatal. The combination of CBD and valproate should be taken with extreme caution; especially if liver function</w:t>
      </w:r>
      <w:r w:rsidR="00645B30">
        <w:t xml:space="preserve"> tests are already abnormal at B</w:t>
      </w:r>
      <w:r w:rsidRPr="00D67B39">
        <w:t>aseline.</w:t>
      </w:r>
    </w:p>
    <w:p w14:paraId="26F72BC4" w14:textId="26F77425" w:rsidR="00D67B39" w:rsidRPr="00D67B39" w:rsidRDefault="00D67B39" w:rsidP="00D61FF2">
      <w:r w:rsidRPr="00D67B39">
        <w:t>CBD was also associated with some tolerability issues, with an excess of vomiting and diarrhoea. CBD was associated with an increased risk of anaemia (observed in 27% of subjects), but this was generally not sustained. CBD was associated with rash, but it is unclear whether it increases the risk of severe hypersensitivity reactions.</w:t>
      </w:r>
    </w:p>
    <w:p w14:paraId="295F7AA7" w14:textId="77777777" w:rsidR="004C5B16" w:rsidRDefault="00645B30" w:rsidP="00D61FF2">
      <w:r>
        <w:t>The c</w:t>
      </w:r>
      <w:r w:rsidR="00D67B39" w:rsidRPr="00D67B39">
        <w:t>linical evaluator on reviewing bo</w:t>
      </w:r>
      <w:r>
        <w:t>th efficacy and safety findings</w:t>
      </w:r>
      <w:r w:rsidR="00D67B39" w:rsidRPr="00D67B39">
        <w:t xml:space="preserve"> suggest that CBD should primarily be used in subjects on </w:t>
      </w:r>
      <w:r w:rsidR="003E6010">
        <w:t>CLB</w:t>
      </w:r>
      <w:r w:rsidR="00D67B39" w:rsidRPr="00D67B39">
        <w:t>. The safety of the CBD</w:t>
      </w:r>
      <w:r w:rsidR="00107A6D">
        <w:t xml:space="preserve"> and </w:t>
      </w:r>
      <w:r w:rsidR="003E6010">
        <w:t>CLB</w:t>
      </w:r>
      <w:r w:rsidR="00D67B39" w:rsidRPr="00D67B39">
        <w:t xml:space="preserve"> combination was broadly similar to the overall safety profile of CBD, but with an increased risk of sedation and a mildly increased risk of abnormal liver function</w:t>
      </w:r>
      <w:r w:rsidR="004C5B16">
        <w:t>.</w:t>
      </w:r>
    </w:p>
    <w:p w14:paraId="0368EC38" w14:textId="4411CE82" w:rsidR="00D67B39" w:rsidRDefault="00D67B39" w:rsidP="00D61FF2">
      <w:r w:rsidRPr="00D67B39">
        <w:t>The proposed PI acknowledges the following adverse events associated with CBD use</w:t>
      </w:r>
      <w:r w:rsidR="00656BEB">
        <w:t xml:space="preserve">, as shown in </w:t>
      </w:r>
      <w:r w:rsidR="00645B30">
        <w:fldChar w:fldCharType="begin"/>
      </w:r>
      <w:r w:rsidR="00645B30">
        <w:instrText xml:space="preserve"> REF _Ref56433212 \h </w:instrText>
      </w:r>
      <w:r w:rsidR="00645B30">
        <w:fldChar w:fldCharType="separate"/>
      </w:r>
      <w:r w:rsidR="00E0078F">
        <w:t xml:space="preserve">Table </w:t>
      </w:r>
      <w:r w:rsidR="00E0078F">
        <w:rPr>
          <w:noProof/>
        </w:rPr>
        <w:t>4</w:t>
      </w:r>
      <w:r w:rsidR="00645B30">
        <w:fldChar w:fldCharType="end"/>
      </w:r>
      <w:r w:rsidR="00107A6D">
        <w:t>.</w:t>
      </w:r>
    </w:p>
    <w:p w14:paraId="0DF7EB3B" w14:textId="6B69BE14" w:rsidR="00A7434F" w:rsidRDefault="00A7434F" w:rsidP="00A7434F">
      <w:pPr>
        <w:pStyle w:val="TableTitle"/>
      </w:pPr>
      <w:bookmarkStart w:id="63" w:name="_Ref56433212"/>
      <w:r>
        <w:t xml:space="preserve">Table </w:t>
      </w:r>
      <w:r>
        <w:fldChar w:fldCharType="begin"/>
      </w:r>
      <w:r>
        <w:instrText>SEQ Table \* ARABIC</w:instrText>
      </w:r>
      <w:r>
        <w:fldChar w:fldCharType="separate"/>
      </w:r>
      <w:r w:rsidR="00E0078F">
        <w:rPr>
          <w:noProof/>
        </w:rPr>
        <w:t>4</w:t>
      </w:r>
      <w:r>
        <w:fldChar w:fldCharType="end"/>
      </w:r>
      <w:bookmarkEnd w:id="63"/>
      <w:r>
        <w:t>: Tabulated list of adverse reactions</w:t>
      </w:r>
      <w:r w:rsidR="00B522B5">
        <w:t xml:space="preserve"> associated with </w:t>
      </w:r>
      <w:r w:rsidR="00611A85">
        <w:t>cannabidiol</w:t>
      </w:r>
      <w:r w:rsidR="00B522B5">
        <w:t xml:space="preserve"> use</w:t>
      </w:r>
    </w:p>
    <w:tbl>
      <w:tblPr>
        <w:tblStyle w:val="TableTGAblue"/>
        <w:tblW w:w="0" w:type="auto"/>
        <w:tblLook w:val="04A0" w:firstRow="1" w:lastRow="0" w:firstColumn="1" w:lastColumn="0" w:noHBand="0" w:noVBand="1"/>
      </w:tblPr>
      <w:tblGrid>
        <w:gridCol w:w="2126"/>
        <w:gridCol w:w="1914"/>
        <w:gridCol w:w="4320"/>
      </w:tblGrid>
      <w:tr w:rsidR="00A7434F" w14:paraId="67E67501" w14:textId="77777777" w:rsidTr="00E135A6">
        <w:trPr>
          <w:cnfStyle w:val="100000000000" w:firstRow="1" w:lastRow="0" w:firstColumn="0" w:lastColumn="0" w:oddVBand="0" w:evenVBand="0" w:oddHBand="0" w:evenHBand="0" w:firstRowFirstColumn="0" w:firstRowLastColumn="0" w:lastRowFirstColumn="0" w:lastRowLastColumn="0"/>
        </w:trPr>
        <w:tc>
          <w:tcPr>
            <w:tcW w:w="2126" w:type="dxa"/>
          </w:tcPr>
          <w:p w14:paraId="57605B7E" w14:textId="3A2309EF" w:rsidR="00A7434F" w:rsidRPr="00B522B5" w:rsidRDefault="00A7434F" w:rsidP="00D61FF2">
            <w:pPr>
              <w:rPr>
                <w:sz w:val="20"/>
                <w:szCs w:val="20"/>
              </w:rPr>
            </w:pPr>
            <w:r w:rsidRPr="00B522B5">
              <w:rPr>
                <w:sz w:val="20"/>
                <w:szCs w:val="20"/>
              </w:rPr>
              <w:t>System Organ Class</w:t>
            </w:r>
          </w:p>
        </w:tc>
        <w:tc>
          <w:tcPr>
            <w:tcW w:w="1914" w:type="dxa"/>
          </w:tcPr>
          <w:p w14:paraId="26A2D2EE" w14:textId="735C73B4" w:rsidR="00A7434F" w:rsidRPr="00B522B5" w:rsidRDefault="00A7434F" w:rsidP="00D61FF2">
            <w:pPr>
              <w:rPr>
                <w:sz w:val="20"/>
                <w:szCs w:val="20"/>
              </w:rPr>
            </w:pPr>
            <w:r w:rsidRPr="00B522B5">
              <w:rPr>
                <w:sz w:val="20"/>
                <w:szCs w:val="20"/>
              </w:rPr>
              <w:t>Frequency</w:t>
            </w:r>
          </w:p>
        </w:tc>
        <w:tc>
          <w:tcPr>
            <w:tcW w:w="4320" w:type="dxa"/>
          </w:tcPr>
          <w:p w14:paraId="4F82CC5A" w14:textId="73F68379" w:rsidR="00A7434F" w:rsidRPr="00B522B5" w:rsidRDefault="00A7434F" w:rsidP="00D61FF2">
            <w:pPr>
              <w:rPr>
                <w:sz w:val="20"/>
                <w:szCs w:val="20"/>
              </w:rPr>
            </w:pPr>
            <w:r w:rsidRPr="00B522B5">
              <w:rPr>
                <w:sz w:val="20"/>
                <w:szCs w:val="20"/>
              </w:rPr>
              <w:t>Adverse reactions from clinical trials</w:t>
            </w:r>
          </w:p>
        </w:tc>
      </w:tr>
      <w:tr w:rsidR="00A7434F" w14:paraId="73E8B2B8" w14:textId="77777777" w:rsidTr="00E135A6">
        <w:tc>
          <w:tcPr>
            <w:tcW w:w="2126" w:type="dxa"/>
          </w:tcPr>
          <w:p w14:paraId="0F239F2D" w14:textId="6A77243B" w:rsidR="00A7434F" w:rsidRPr="00B522B5" w:rsidRDefault="00A7434F" w:rsidP="00D61FF2">
            <w:pPr>
              <w:rPr>
                <w:sz w:val="20"/>
                <w:szCs w:val="20"/>
              </w:rPr>
            </w:pPr>
            <w:r w:rsidRPr="00B522B5">
              <w:rPr>
                <w:sz w:val="20"/>
                <w:szCs w:val="20"/>
              </w:rPr>
              <w:t>Infections and infestations</w:t>
            </w:r>
          </w:p>
        </w:tc>
        <w:tc>
          <w:tcPr>
            <w:tcW w:w="1914" w:type="dxa"/>
          </w:tcPr>
          <w:p w14:paraId="649E45D5" w14:textId="166B0AB2" w:rsidR="00A7434F" w:rsidRPr="00B522B5" w:rsidRDefault="00A7434F" w:rsidP="00D61FF2">
            <w:pPr>
              <w:rPr>
                <w:sz w:val="20"/>
                <w:szCs w:val="20"/>
              </w:rPr>
            </w:pPr>
            <w:r w:rsidRPr="00B522B5">
              <w:rPr>
                <w:sz w:val="20"/>
                <w:szCs w:val="20"/>
              </w:rPr>
              <w:t>Common</w:t>
            </w:r>
          </w:p>
        </w:tc>
        <w:tc>
          <w:tcPr>
            <w:tcW w:w="4320" w:type="dxa"/>
          </w:tcPr>
          <w:p w14:paraId="26E9D6F8" w14:textId="6B98B01F" w:rsidR="00A7434F" w:rsidRPr="00B522B5" w:rsidRDefault="00A7434F" w:rsidP="00D61FF2">
            <w:pPr>
              <w:rPr>
                <w:sz w:val="20"/>
                <w:szCs w:val="20"/>
              </w:rPr>
            </w:pPr>
            <w:proofErr w:type="spellStart"/>
            <w:r w:rsidRPr="00B522B5">
              <w:rPr>
                <w:sz w:val="20"/>
                <w:szCs w:val="20"/>
              </w:rPr>
              <w:t>Pneumonia</w:t>
            </w:r>
            <w:r w:rsidR="00107A6D">
              <w:rPr>
                <w:sz w:val="20"/>
                <w:szCs w:val="20"/>
              </w:rPr>
              <w:t>,</w:t>
            </w:r>
            <w:r w:rsidRPr="00B522B5">
              <w:rPr>
                <w:sz w:val="20"/>
                <w:szCs w:val="20"/>
                <w:vertAlign w:val="superscript"/>
              </w:rPr>
              <w:t>a</w:t>
            </w:r>
            <w:proofErr w:type="spellEnd"/>
            <w:r w:rsidRPr="00B522B5">
              <w:rPr>
                <w:sz w:val="20"/>
                <w:szCs w:val="20"/>
              </w:rPr>
              <w:t xml:space="preserve"> bronchitis, </w:t>
            </w:r>
            <w:proofErr w:type="spellStart"/>
            <w:r w:rsidRPr="00B522B5">
              <w:rPr>
                <w:sz w:val="20"/>
                <w:szCs w:val="20"/>
              </w:rPr>
              <w:t>nasopharyngitis</w:t>
            </w:r>
            <w:proofErr w:type="spellEnd"/>
            <w:r w:rsidRPr="00B522B5">
              <w:rPr>
                <w:sz w:val="20"/>
                <w:szCs w:val="20"/>
              </w:rPr>
              <w:t>, urinary tract infection</w:t>
            </w:r>
          </w:p>
        </w:tc>
      </w:tr>
      <w:tr w:rsidR="00A7434F" w14:paraId="317D6DCE" w14:textId="77777777" w:rsidTr="00E135A6">
        <w:trPr>
          <w:trHeight w:val="198"/>
        </w:trPr>
        <w:tc>
          <w:tcPr>
            <w:tcW w:w="2126" w:type="dxa"/>
            <w:vMerge w:val="restart"/>
          </w:tcPr>
          <w:p w14:paraId="411D39C0" w14:textId="152CDF5D" w:rsidR="00A7434F" w:rsidRPr="00B522B5" w:rsidRDefault="00A7434F" w:rsidP="00D61FF2">
            <w:pPr>
              <w:rPr>
                <w:sz w:val="20"/>
                <w:szCs w:val="20"/>
              </w:rPr>
            </w:pPr>
            <w:r w:rsidRPr="00B522B5">
              <w:rPr>
                <w:sz w:val="20"/>
                <w:szCs w:val="20"/>
              </w:rPr>
              <w:t>Metabolism and nutrition disorders</w:t>
            </w:r>
          </w:p>
        </w:tc>
        <w:tc>
          <w:tcPr>
            <w:tcW w:w="1914" w:type="dxa"/>
          </w:tcPr>
          <w:p w14:paraId="193D4CCD" w14:textId="1AEA789D" w:rsidR="00A7434F" w:rsidRPr="00B522B5" w:rsidRDefault="00A7434F" w:rsidP="00D61FF2">
            <w:pPr>
              <w:rPr>
                <w:sz w:val="20"/>
                <w:szCs w:val="20"/>
              </w:rPr>
            </w:pPr>
            <w:r w:rsidRPr="00B522B5">
              <w:rPr>
                <w:sz w:val="20"/>
                <w:szCs w:val="20"/>
              </w:rPr>
              <w:t>Very common</w:t>
            </w:r>
          </w:p>
        </w:tc>
        <w:tc>
          <w:tcPr>
            <w:tcW w:w="4320" w:type="dxa"/>
          </w:tcPr>
          <w:p w14:paraId="5FB803FA" w14:textId="5A3E7670" w:rsidR="00A7434F" w:rsidRPr="00B522B5" w:rsidRDefault="00A7434F" w:rsidP="00D61FF2">
            <w:pPr>
              <w:rPr>
                <w:sz w:val="20"/>
                <w:szCs w:val="20"/>
              </w:rPr>
            </w:pPr>
            <w:r w:rsidRPr="00B522B5">
              <w:rPr>
                <w:sz w:val="20"/>
                <w:szCs w:val="20"/>
              </w:rPr>
              <w:t>Decreased appetite</w:t>
            </w:r>
          </w:p>
        </w:tc>
      </w:tr>
      <w:tr w:rsidR="00A7434F" w14:paraId="799A9DDB" w14:textId="77777777" w:rsidTr="00E135A6">
        <w:trPr>
          <w:trHeight w:val="198"/>
        </w:trPr>
        <w:tc>
          <w:tcPr>
            <w:tcW w:w="2126" w:type="dxa"/>
            <w:vMerge/>
          </w:tcPr>
          <w:p w14:paraId="10099C65" w14:textId="77777777" w:rsidR="00A7434F" w:rsidRPr="00B522B5" w:rsidRDefault="00A7434F" w:rsidP="00645B30">
            <w:pPr>
              <w:spacing w:before="0" w:after="0" w:line="240" w:lineRule="auto"/>
              <w:rPr>
                <w:sz w:val="20"/>
                <w:szCs w:val="20"/>
              </w:rPr>
            </w:pPr>
          </w:p>
        </w:tc>
        <w:tc>
          <w:tcPr>
            <w:tcW w:w="1914" w:type="dxa"/>
          </w:tcPr>
          <w:p w14:paraId="5BC18B9B" w14:textId="1D22C71B" w:rsidR="00A7434F" w:rsidRPr="00B522B5" w:rsidRDefault="00A7434F" w:rsidP="00D61FF2">
            <w:pPr>
              <w:rPr>
                <w:sz w:val="20"/>
                <w:szCs w:val="20"/>
              </w:rPr>
            </w:pPr>
            <w:r w:rsidRPr="00B522B5">
              <w:rPr>
                <w:sz w:val="20"/>
                <w:szCs w:val="20"/>
              </w:rPr>
              <w:t>Common</w:t>
            </w:r>
          </w:p>
        </w:tc>
        <w:tc>
          <w:tcPr>
            <w:tcW w:w="4320" w:type="dxa"/>
          </w:tcPr>
          <w:p w14:paraId="2B15AD00" w14:textId="45D6C069" w:rsidR="00A7434F" w:rsidRPr="00B522B5" w:rsidRDefault="00A7434F" w:rsidP="00D61FF2">
            <w:pPr>
              <w:rPr>
                <w:sz w:val="20"/>
                <w:szCs w:val="20"/>
              </w:rPr>
            </w:pPr>
            <w:r w:rsidRPr="00B522B5">
              <w:rPr>
                <w:sz w:val="20"/>
                <w:szCs w:val="20"/>
              </w:rPr>
              <w:t>Increased appetite</w:t>
            </w:r>
          </w:p>
        </w:tc>
      </w:tr>
      <w:tr w:rsidR="00A7434F" w14:paraId="2DF367AE" w14:textId="77777777" w:rsidTr="00E135A6">
        <w:tc>
          <w:tcPr>
            <w:tcW w:w="2126" w:type="dxa"/>
          </w:tcPr>
          <w:p w14:paraId="5A7F499B" w14:textId="58159482" w:rsidR="00A7434F" w:rsidRPr="00B522B5" w:rsidRDefault="00A7434F" w:rsidP="00D61FF2">
            <w:pPr>
              <w:rPr>
                <w:sz w:val="20"/>
                <w:szCs w:val="20"/>
              </w:rPr>
            </w:pPr>
            <w:r w:rsidRPr="00B522B5">
              <w:rPr>
                <w:sz w:val="20"/>
                <w:szCs w:val="20"/>
              </w:rPr>
              <w:t>Psychiatric disorders</w:t>
            </w:r>
          </w:p>
        </w:tc>
        <w:tc>
          <w:tcPr>
            <w:tcW w:w="1914" w:type="dxa"/>
          </w:tcPr>
          <w:p w14:paraId="603797CC" w14:textId="53601385" w:rsidR="00A7434F" w:rsidRPr="00B522B5" w:rsidRDefault="00A7434F" w:rsidP="00D61FF2">
            <w:pPr>
              <w:rPr>
                <w:sz w:val="20"/>
                <w:szCs w:val="20"/>
              </w:rPr>
            </w:pPr>
            <w:r w:rsidRPr="00B522B5">
              <w:rPr>
                <w:sz w:val="20"/>
                <w:szCs w:val="20"/>
              </w:rPr>
              <w:t>Common</w:t>
            </w:r>
          </w:p>
        </w:tc>
        <w:tc>
          <w:tcPr>
            <w:tcW w:w="4320" w:type="dxa"/>
          </w:tcPr>
          <w:p w14:paraId="4FC75ACE" w14:textId="5EFCA2DA" w:rsidR="00A7434F" w:rsidRPr="00B522B5" w:rsidRDefault="00A7434F" w:rsidP="00D61FF2">
            <w:pPr>
              <w:rPr>
                <w:sz w:val="20"/>
                <w:szCs w:val="20"/>
              </w:rPr>
            </w:pPr>
            <w:r w:rsidRPr="00B522B5">
              <w:rPr>
                <w:sz w:val="20"/>
                <w:szCs w:val="20"/>
              </w:rPr>
              <w:t>Irritability, insomnia, aggression, abnormal behaviour, agitation</w:t>
            </w:r>
          </w:p>
        </w:tc>
      </w:tr>
      <w:tr w:rsidR="00B7628C" w14:paraId="477EAB4C" w14:textId="77777777" w:rsidTr="00E135A6">
        <w:trPr>
          <w:trHeight w:val="190"/>
        </w:trPr>
        <w:tc>
          <w:tcPr>
            <w:tcW w:w="2126" w:type="dxa"/>
            <w:vMerge w:val="restart"/>
          </w:tcPr>
          <w:p w14:paraId="5DDD5100" w14:textId="75B3A1FF" w:rsidR="00B7628C" w:rsidRPr="00B522B5" w:rsidRDefault="00B7628C" w:rsidP="00D61FF2">
            <w:pPr>
              <w:rPr>
                <w:sz w:val="20"/>
                <w:szCs w:val="20"/>
              </w:rPr>
            </w:pPr>
            <w:r w:rsidRPr="00B522B5">
              <w:rPr>
                <w:sz w:val="20"/>
                <w:szCs w:val="20"/>
              </w:rPr>
              <w:t>Nervous system disorders</w:t>
            </w:r>
          </w:p>
        </w:tc>
        <w:tc>
          <w:tcPr>
            <w:tcW w:w="1914" w:type="dxa"/>
          </w:tcPr>
          <w:p w14:paraId="0E7952C2" w14:textId="0D062854" w:rsidR="00B7628C" w:rsidRPr="00B522B5" w:rsidRDefault="00B7628C" w:rsidP="00D61FF2">
            <w:pPr>
              <w:rPr>
                <w:sz w:val="20"/>
                <w:szCs w:val="20"/>
              </w:rPr>
            </w:pPr>
            <w:r w:rsidRPr="00B522B5">
              <w:rPr>
                <w:sz w:val="20"/>
                <w:szCs w:val="20"/>
              </w:rPr>
              <w:t>Very common</w:t>
            </w:r>
          </w:p>
        </w:tc>
        <w:tc>
          <w:tcPr>
            <w:tcW w:w="4320" w:type="dxa"/>
          </w:tcPr>
          <w:p w14:paraId="5F688337" w14:textId="154F03D9" w:rsidR="00B7628C" w:rsidRPr="00B522B5" w:rsidRDefault="00656BEB" w:rsidP="00D61FF2">
            <w:pPr>
              <w:rPr>
                <w:sz w:val="20"/>
                <w:szCs w:val="20"/>
              </w:rPr>
            </w:pPr>
            <w:proofErr w:type="spellStart"/>
            <w:r>
              <w:rPr>
                <w:sz w:val="20"/>
                <w:szCs w:val="20"/>
              </w:rPr>
              <w:t>S</w:t>
            </w:r>
            <w:r w:rsidR="00B7628C" w:rsidRPr="00B522B5">
              <w:rPr>
                <w:sz w:val="20"/>
                <w:szCs w:val="20"/>
              </w:rPr>
              <w:t>omnolence</w:t>
            </w:r>
            <w:r w:rsidR="00B7628C" w:rsidRPr="00B522B5">
              <w:rPr>
                <w:sz w:val="20"/>
                <w:szCs w:val="20"/>
                <w:vertAlign w:val="superscript"/>
              </w:rPr>
              <w:t>a</w:t>
            </w:r>
            <w:proofErr w:type="spellEnd"/>
          </w:p>
        </w:tc>
      </w:tr>
      <w:tr w:rsidR="00B7628C" w14:paraId="2B0EC2D8" w14:textId="77777777" w:rsidTr="00E135A6">
        <w:trPr>
          <w:trHeight w:val="190"/>
        </w:trPr>
        <w:tc>
          <w:tcPr>
            <w:tcW w:w="2126" w:type="dxa"/>
            <w:vMerge/>
          </w:tcPr>
          <w:p w14:paraId="3253CBB9" w14:textId="77777777" w:rsidR="00B7628C" w:rsidRPr="00B522B5" w:rsidRDefault="00B7628C" w:rsidP="00645B30">
            <w:pPr>
              <w:spacing w:before="0" w:after="0" w:line="240" w:lineRule="auto"/>
              <w:rPr>
                <w:sz w:val="20"/>
                <w:szCs w:val="20"/>
              </w:rPr>
            </w:pPr>
          </w:p>
        </w:tc>
        <w:tc>
          <w:tcPr>
            <w:tcW w:w="1914" w:type="dxa"/>
          </w:tcPr>
          <w:p w14:paraId="53BB51AC" w14:textId="4810F622" w:rsidR="00B7628C" w:rsidRPr="00B522B5" w:rsidRDefault="00B7628C" w:rsidP="00D61FF2">
            <w:pPr>
              <w:rPr>
                <w:sz w:val="20"/>
                <w:szCs w:val="20"/>
              </w:rPr>
            </w:pPr>
            <w:r w:rsidRPr="00B522B5">
              <w:rPr>
                <w:sz w:val="20"/>
                <w:szCs w:val="20"/>
              </w:rPr>
              <w:t>Common</w:t>
            </w:r>
          </w:p>
        </w:tc>
        <w:tc>
          <w:tcPr>
            <w:tcW w:w="4320" w:type="dxa"/>
          </w:tcPr>
          <w:p w14:paraId="543908AD" w14:textId="5ACF1F98" w:rsidR="00B7628C" w:rsidRPr="00B522B5" w:rsidRDefault="00B7628C" w:rsidP="00D61FF2">
            <w:pPr>
              <w:rPr>
                <w:sz w:val="20"/>
                <w:szCs w:val="20"/>
              </w:rPr>
            </w:pPr>
            <w:r w:rsidRPr="00B522B5">
              <w:rPr>
                <w:sz w:val="20"/>
                <w:szCs w:val="20"/>
              </w:rPr>
              <w:t>Lethargy, drooling, tremor</w:t>
            </w:r>
          </w:p>
        </w:tc>
      </w:tr>
      <w:tr w:rsidR="00B7628C" w14:paraId="592BE80B" w14:textId="77777777" w:rsidTr="00E135A6">
        <w:trPr>
          <w:trHeight w:val="190"/>
        </w:trPr>
        <w:tc>
          <w:tcPr>
            <w:tcW w:w="2126" w:type="dxa"/>
          </w:tcPr>
          <w:p w14:paraId="16D22DC4" w14:textId="15C25CC7" w:rsidR="00B7628C" w:rsidRPr="00B522B5" w:rsidRDefault="00B7628C" w:rsidP="00D61FF2">
            <w:pPr>
              <w:rPr>
                <w:sz w:val="20"/>
                <w:szCs w:val="20"/>
              </w:rPr>
            </w:pPr>
            <w:r w:rsidRPr="00B522B5">
              <w:rPr>
                <w:sz w:val="20"/>
                <w:szCs w:val="20"/>
              </w:rPr>
              <w:t>Respiratory, thoracic and mediastinal disorders</w:t>
            </w:r>
          </w:p>
        </w:tc>
        <w:tc>
          <w:tcPr>
            <w:tcW w:w="1914" w:type="dxa"/>
          </w:tcPr>
          <w:p w14:paraId="183279B1" w14:textId="0D5EC90D" w:rsidR="00B7628C" w:rsidRPr="00B522B5" w:rsidRDefault="00B7628C" w:rsidP="00D61FF2">
            <w:pPr>
              <w:rPr>
                <w:sz w:val="20"/>
                <w:szCs w:val="20"/>
              </w:rPr>
            </w:pPr>
            <w:r w:rsidRPr="00B522B5">
              <w:rPr>
                <w:sz w:val="20"/>
                <w:szCs w:val="20"/>
              </w:rPr>
              <w:t>Common</w:t>
            </w:r>
          </w:p>
        </w:tc>
        <w:tc>
          <w:tcPr>
            <w:tcW w:w="4320" w:type="dxa"/>
          </w:tcPr>
          <w:p w14:paraId="63734BB2" w14:textId="42FF6FAE" w:rsidR="00B7628C" w:rsidRPr="00B522B5" w:rsidRDefault="00645B30" w:rsidP="00D61FF2">
            <w:pPr>
              <w:rPr>
                <w:sz w:val="20"/>
                <w:szCs w:val="20"/>
              </w:rPr>
            </w:pPr>
            <w:r w:rsidRPr="00B522B5">
              <w:rPr>
                <w:sz w:val="20"/>
                <w:szCs w:val="20"/>
              </w:rPr>
              <w:t>C</w:t>
            </w:r>
            <w:r w:rsidR="00B7628C" w:rsidRPr="00B522B5">
              <w:rPr>
                <w:sz w:val="20"/>
                <w:szCs w:val="20"/>
              </w:rPr>
              <w:t>ough</w:t>
            </w:r>
          </w:p>
        </w:tc>
      </w:tr>
      <w:tr w:rsidR="00B7628C" w14:paraId="06939FD1" w14:textId="77777777" w:rsidTr="00E135A6">
        <w:trPr>
          <w:trHeight w:val="190"/>
        </w:trPr>
        <w:tc>
          <w:tcPr>
            <w:tcW w:w="2126" w:type="dxa"/>
          </w:tcPr>
          <w:p w14:paraId="47E2FCC8" w14:textId="0B9E064B" w:rsidR="00B7628C" w:rsidRPr="00B522B5" w:rsidRDefault="00B7628C" w:rsidP="00D61FF2">
            <w:pPr>
              <w:rPr>
                <w:sz w:val="20"/>
                <w:szCs w:val="20"/>
              </w:rPr>
            </w:pPr>
            <w:r w:rsidRPr="00B522B5">
              <w:rPr>
                <w:sz w:val="20"/>
                <w:szCs w:val="20"/>
              </w:rPr>
              <w:t>Gastrointestinal disorders</w:t>
            </w:r>
          </w:p>
        </w:tc>
        <w:tc>
          <w:tcPr>
            <w:tcW w:w="1914" w:type="dxa"/>
          </w:tcPr>
          <w:p w14:paraId="6A0867EF" w14:textId="51A62746" w:rsidR="00B7628C" w:rsidRPr="00B522B5" w:rsidRDefault="00B7628C" w:rsidP="00D61FF2">
            <w:pPr>
              <w:rPr>
                <w:sz w:val="20"/>
                <w:szCs w:val="20"/>
              </w:rPr>
            </w:pPr>
            <w:r w:rsidRPr="00B522B5">
              <w:rPr>
                <w:sz w:val="20"/>
                <w:szCs w:val="20"/>
              </w:rPr>
              <w:t>Very common</w:t>
            </w:r>
          </w:p>
        </w:tc>
        <w:tc>
          <w:tcPr>
            <w:tcW w:w="4320" w:type="dxa"/>
          </w:tcPr>
          <w:p w14:paraId="5F882F83" w14:textId="228F2B8B" w:rsidR="00B7628C" w:rsidRPr="00B522B5" w:rsidRDefault="00B7628C" w:rsidP="00D61FF2">
            <w:pPr>
              <w:rPr>
                <w:sz w:val="20"/>
                <w:szCs w:val="20"/>
              </w:rPr>
            </w:pPr>
            <w:r w:rsidRPr="00B522B5">
              <w:rPr>
                <w:sz w:val="20"/>
                <w:szCs w:val="20"/>
              </w:rPr>
              <w:t>Diarrhoea, vomiting</w:t>
            </w:r>
          </w:p>
        </w:tc>
      </w:tr>
      <w:tr w:rsidR="00B7628C" w14:paraId="79C939ED" w14:textId="77777777" w:rsidTr="00E135A6">
        <w:trPr>
          <w:trHeight w:val="190"/>
        </w:trPr>
        <w:tc>
          <w:tcPr>
            <w:tcW w:w="2126" w:type="dxa"/>
          </w:tcPr>
          <w:p w14:paraId="348D2C7D" w14:textId="0EB087B5" w:rsidR="00B7628C" w:rsidRPr="00B522B5" w:rsidRDefault="00B7628C" w:rsidP="00D61FF2">
            <w:pPr>
              <w:rPr>
                <w:sz w:val="20"/>
                <w:szCs w:val="20"/>
              </w:rPr>
            </w:pPr>
            <w:r w:rsidRPr="00B522B5">
              <w:rPr>
                <w:sz w:val="20"/>
                <w:szCs w:val="20"/>
              </w:rPr>
              <w:t>Hepatobiliary disorders</w:t>
            </w:r>
          </w:p>
        </w:tc>
        <w:tc>
          <w:tcPr>
            <w:tcW w:w="1914" w:type="dxa"/>
          </w:tcPr>
          <w:p w14:paraId="26F07F91" w14:textId="4E9A2110" w:rsidR="00B7628C" w:rsidRPr="00B522B5" w:rsidRDefault="00B7628C" w:rsidP="00D61FF2">
            <w:pPr>
              <w:rPr>
                <w:sz w:val="20"/>
                <w:szCs w:val="20"/>
              </w:rPr>
            </w:pPr>
            <w:r w:rsidRPr="00B522B5">
              <w:rPr>
                <w:sz w:val="20"/>
                <w:szCs w:val="20"/>
              </w:rPr>
              <w:t>Common</w:t>
            </w:r>
          </w:p>
        </w:tc>
        <w:tc>
          <w:tcPr>
            <w:tcW w:w="4320" w:type="dxa"/>
          </w:tcPr>
          <w:p w14:paraId="735AB471" w14:textId="3B48D84E" w:rsidR="00B7628C" w:rsidRPr="00B522B5" w:rsidRDefault="00107A6D" w:rsidP="00D61FF2">
            <w:pPr>
              <w:rPr>
                <w:sz w:val="20"/>
                <w:szCs w:val="20"/>
              </w:rPr>
            </w:pPr>
            <w:r w:rsidRPr="00107A6D">
              <w:rPr>
                <w:sz w:val="20"/>
                <w:szCs w:val="20"/>
              </w:rPr>
              <w:t xml:space="preserve">Aspartate transaminase </w:t>
            </w:r>
            <w:r>
              <w:rPr>
                <w:sz w:val="20"/>
                <w:szCs w:val="20"/>
              </w:rPr>
              <w:t>(</w:t>
            </w:r>
            <w:r w:rsidR="00B7628C" w:rsidRPr="00B522B5">
              <w:rPr>
                <w:sz w:val="20"/>
                <w:szCs w:val="20"/>
              </w:rPr>
              <w:t>AST</w:t>
            </w:r>
            <w:r>
              <w:rPr>
                <w:sz w:val="20"/>
                <w:szCs w:val="20"/>
              </w:rPr>
              <w:t>)</w:t>
            </w:r>
            <w:r w:rsidR="00B7628C" w:rsidRPr="00B522B5">
              <w:rPr>
                <w:sz w:val="20"/>
                <w:szCs w:val="20"/>
              </w:rPr>
              <w:t xml:space="preserve"> increased, </w:t>
            </w:r>
            <w:r w:rsidRPr="00107A6D">
              <w:rPr>
                <w:sz w:val="20"/>
                <w:szCs w:val="20"/>
              </w:rPr>
              <w:t>alanine aminotransferase</w:t>
            </w:r>
            <w:r>
              <w:rPr>
                <w:sz w:val="20"/>
                <w:szCs w:val="20"/>
              </w:rPr>
              <w:t xml:space="preserve"> (</w:t>
            </w:r>
            <w:r w:rsidR="00B7628C" w:rsidRPr="00B522B5">
              <w:rPr>
                <w:sz w:val="20"/>
                <w:szCs w:val="20"/>
              </w:rPr>
              <w:t>ALT</w:t>
            </w:r>
            <w:r>
              <w:rPr>
                <w:sz w:val="20"/>
                <w:szCs w:val="20"/>
              </w:rPr>
              <w:t>)</w:t>
            </w:r>
            <w:r w:rsidR="00B7628C" w:rsidRPr="00B522B5">
              <w:rPr>
                <w:sz w:val="20"/>
                <w:szCs w:val="20"/>
              </w:rPr>
              <w:t xml:space="preserve"> increased, </w:t>
            </w:r>
            <w:r>
              <w:rPr>
                <w:sz w:val="20"/>
                <w:szCs w:val="20"/>
              </w:rPr>
              <w:t>g</w:t>
            </w:r>
            <w:r w:rsidRPr="00107A6D">
              <w:rPr>
                <w:sz w:val="20"/>
                <w:szCs w:val="20"/>
              </w:rPr>
              <w:t>amma-</w:t>
            </w:r>
            <w:proofErr w:type="spellStart"/>
            <w:r w:rsidRPr="00107A6D">
              <w:rPr>
                <w:sz w:val="20"/>
                <w:szCs w:val="20"/>
              </w:rPr>
              <w:t>glutamyl</w:t>
            </w:r>
            <w:proofErr w:type="spellEnd"/>
            <w:r w:rsidRPr="00107A6D">
              <w:rPr>
                <w:sz w:val="20"/>
                <w:szCs w:val="20"/>
              </w:rPr>
              <w:t xml:space="preserve"> transferase</w:t>
            </w:r>
            <w:r>
              <w:rPr>
                <w:sz w:val="20"/>
                <w:szCs w:val="20"/>
              </w:rPr>
              <w:t xml:space="preserve"> (</w:t>
            </w:r>
            <w:r w:rsidR="00B7628C" w:rsidRPr="00B522B5">
              <w:rPr>
                <w:sz w:val="20"/>
                <w:szCs w:val="20"/>
              </w:rPr>
              <w:t>GGT</w:t>
            </w:r>
            <w:r>
              <w:rPr>
                <w:sz w:val="20"/>
                <w:szCs w:val="20"/>
              </w:rPr>
              <w:t>)</w:t>
            </w:r>
            <w:r w:rsidR="00B7628C" w:rsidRPr="00B522B5">
              <w:rPr>
                <w:sz w:val="20"/>
                <w:szCs w:val="20"/>
              </w:rPr>
              <w:t xml:space="preserve"> increased, liver function test abnormal</w:t>
            </w:r>
          </w:p>
        </w:tc>
      </w:tr>
      <w:tr w:rsidR="00B7628C" w14:paraId="2B635029" w14:textId="77777777" w:rsidTr="00E135A6">
        <w:trPr>
          <w:trHeight w:val="190"/>
        </w:trPr>
        <w:tc>
          <w:tcPr>
            <w:tcW w:w="2126" w:type="dxa"/>
          </w:tcPr>
          <w:p w14:paraId="35598499" w14:textId="540FF32D" w:rsidR="00B7628C" w:rsidRPr="00B522B5" w:rsidRDefault="00B7628C" w:rsidP="00D61FF2">
            <w:pPr>
              <w:rPr>
                <w:sz w:val="20"/>
                <w:szCs w:val="20"/>
              </w:rPr>
            </w:pPr>
            <w:r w:rsidRPr="00B522B5">
              <w:rPr>
                <w:sz w:val="20"/>
                <w:szCs w:val="20"/>
              </w:rPr>
              <w:t>Skin and subcutaneous tissue disorders</w:t>
            </w:r>
          </w:p>
        </w:tc>
        <w:tc>
          <w:tcPr>
            <w:tcW w:w="1914" w:type="dxa"/>
          </w:tcPr>
          <w:p w14:paraId="4640A5D7" w14:textId="0AB6F077" w:rsidR="00B7628C" w:rsidRPr="00B522B5" w:rsidRDefault="00B7628C" w:rsidP="00D61FF2">
            <w:pPr>
              <w:rPr>
                <w:sz w:val="20"/>
                <w:szCs w:val="20"/>
              </w:rPr>
            </w:pPr>
            <w:r w:rsidRPr="00B522B5">
              <w:rPr>
                <w:sz w:val="20"/>
                <w:szCs w:val="20"/>
              </w:rPr>
              <w:t>Common</w:t>
            </w:r>
          </w:p>
        </w:tc>
        <w:tc>
          <w:tcPr>
            <w:tcW w:w="4320" w:type="dxa"/>
          </w:tcPr>
          <w:p w14:paraId="39271527" w14:textId="04406B4C" w:rsidR="00B7628C" w:rsidRPr="00B522B5" w:rsidRDefault="00645B30" w:rsidP="00D61FF2">
            <w:pPr>
              <w:rPr>
                <w:sz w:val="20"/>
                <w:szCs w:val="20"/>
              </w:rPr>
            </w:pPr>
            <w:r w:rsidRPr="00B522B5">
              <w:rPr>
                <w:sz w:val="20"/>
                <w:szCs w:val="20"/>
              </w:rPr>
              <w:t>R</w:t>
            </w:r>
            <w:r w:rsidR="00B7628C" w:rsidRPr="00B522B5">
              <w:rPr>
                <w:sz w:val="20"/>
                <w:szCs w:val="20"/>
              </w:rPr>
              <w:t>ash</w:t>
            </w:r>
          </w:p>
        </w:tc>
      </w:tr>
      <w:tr w:rsidR="00B7628C" w14:paraId="132192ED" w14:textId="77777777" w:rsidTr="00E135A6">
        <w:trPr>
          <w:trHeight w:val="190"/>
        </w:trPr>
        <w:tc>
          <w:tcPr>
            <w:tcW w:w="2126" w:type="dxa"/>
          </w:tcPr>
          <w:p w14:paraId="6940FEBC" w14:textId="09DC0469" w:rsidR="00B7628C" w:rsidRPr="00B522B5" w:rsidRDefault="00B7628C" w:rsidP="00D61FF2">
            <w:pPr>
              <w:rPr>
                <w:sz w:val="20"/>
                <w:szCs w:val="20"/>
              </w:rPr>
            </w:pPr>
            <w:r w:rsidRPr="00B522B5">
              <w:rPr>
                <w:sz w:val="20"/>
                <w:szCs w:val="20"/>
              </w:rPr>
              <w:t>General disorders and administration site conditions</w:t>
            </w:r>
          </w:p>
        </w:tc>
        <w:tc>
          <w:tcPr>
            <w:tcW w:w="1914" w:type="dxa"/>
          </w:tcPr>
          <w:p w14:paraId="7D79610A" w14:textId="36665AE8" w:rsidR="00B7628C" w:rsidRPr="00B522B5" w:rsidRDefault="00B7628C" w:rsidP="00D61FF2">
            <w:pPr>
              <w:rPr>
                <w:sz w:val="20"/>
                <w:szCs w:val="20"/>
              </w:rPr>
            </w:pPr>
            <w:r w:rsidRPr="00B522B5">
              <w:rPr>
                <w:sz w:val="20"/>
                <w:szCs w:val="20"/>
              </w:rPr>
              <w:t>Very common</w:t>
            </w:r>
          </w:p>
        </w:tc>
        <w:tc>
          <w:tcPr>
            <w:tcW w:w="4320" w:type="dxa"/>
          </w:tcPr>
          <w:p w14:paraId="348CA84E" w14:textId="2F37AD41" w:rsidR="00B7628C" w:rsidRPr="00B522B5" w:rsidRDefault="00656BEB" w:rsidP="00D61FF2">
            <w:pPr>
              <w:rPr>
                <w:sz w:val="20"/>
                <w:szCs w:val="20"/>
              </w:rPr>
            </w:pPr>
            <w:proofErr w:type="spellStart"/>
            <w:r>
              <w:rPr>
                <w:sz w:val="20"/>
                <w:szCs w:val="20"/>
              </w:rPr>
              <w:t>O</w:t>
            </w:r>
            <w:r w:rsidR="00B7628C" w:rsidRPr="00B522B5">
              <w:rPr>
                <w:sz w:val="20"/>
                <w:szCs w:val="20"/>
              </w:rPr>
              <w:t>yrexia</w:t>
            </w:r>
            <w:proofErr w:type="spellEnd"/>
            <w:r w:rsidR="00B7628C" w:rsidRPr="00B522B5">
              <w:rPr>
                <w:sz w:val="20"/>
                <w:szCs w:val="20"/>
              </w:rPr>
              <w:t>, fatigue</w:t>
            </w:r>
          </w:p>
        </w:tc>
      </w:tr>
      <w:tr w:rsidR="00B7628C" w14:paraId="0B7AEDDD" w14:textId="77777777" w:rsidTr="00E135A6">
        <w:trPr>
          <w:trHeight w:val="190"/>
        </w:trPr>
        <w:tc>
          <w:tcPr>
            <w:tcW w:w="2126" w:type="dxa"/>
          </w:tcPr>
          <w:p w14:paraId="74D31C23" w14:textId="0FC2B2AD" w:rsidR="00B7628C" w:rsidRPr="00B522B5" w:rsidRDefault="00B7628C" w:rsidP="00D61FF2">
            <w:pPr>
              <w:rPr>
                <w:sz w:val="20"/>
                <w:szCs w:val="20"/>
              </w:rPr>
            </w:pPr>
            <w:r w:rsidRPr="00B522B5">
              <w:rPr>
                <w:sz w:val="20"/>
                <w:szCs w:val="20"/>
              </w:rPr>
              <w:t>Investigations</w:t>
            </w:r>
          </w:p>
        </w:tc>
        <w:tc>
          <w:tcPr>
            <w:tcW w:w="1914" w:type="dxa"/>
          </w:tcPr>
          <w:p w14:paraId="61EB643F" w14:textId="22D865FF" w:rsidR="00B7628C" w:rsidRPr="00B522B5" w:rsidRDefault="00B7628C" w:rsidP="00D61FF2">
            <w:pPr>
              <w:rPr>
                <w:sz w:val="20"/>
                <w:szCs w:val="20"/>
              </w:rPr>
            </w:pPr>
            <w:r w:rsidRPr="00B522B5">
              <w:rPr>
                <w:sz w:val="20"/>
                <w:szCs w:val="20"/>
              </w:rPr>
              <w:t>Common</w:t>
            </w:r>
          </w:p>
        </w:tc>
        <w:tc>
          <w:tcPr>
            <w:tcW w:w="4320" w:type="dxa"/>
          </w:tcPr>
          <w:p w14:paraId="1E71B6B5" w14:textId="793A3148" w:rsidR="00B7628C" w:rsidRPr="00B522B5" w:rsidRDefault="00645B30" w:rsidP="00D61FF2">
            <w:pPr>
              <w:rPr>
                <w:sz w:val="20"/>
                <w:szCs w:val="20"/>
              </w:rPr>
            </w:pPr>
            <w:r w:rsidRPr="00B522B5">
              <w:rPr>
                <w:sz w:val="20"/>
                <w:szCs w:val="20"/>
              </w:rPr>
              <w:t>W</w:t>
            </w:r>
            <w:r w:rsidR="00B7628C" w:rsidRPr="00B522B5">
              <w:rPr>
                <w:sz w:val="20"/>
                <w:szCs w:val="20"/>
              </w:rPr>
              <w:t>eight decreased</w:t>
            </w:r>
          </w:p>
        </w:tc>
      </w:tr>
    </w:tbl>
    <w:p w14:paraId="14679FE8" w14:textId="5183333A" w:rsidR="00B7628C" w:rsidRDefault="00645B30" w:rsidP="00645B30">
      <w:pPr>
        <w:pStyle w:val="TableDescription"/>
      </w:pPr>
      <w:r>
        <w:t>a</w:t>
      </w:r>
      <w:r w:rsidR="00B7628C">
        <w:t xml:space="preserve"> = grouped terms: Pneumonia: pneumonia, pneumonia </w:t>
      </w:r>
      <w:r w:rsidR="00107A6D">
        <w:t>r</w:t>
      </w:r>
      <w:r w:rsidR="00107A6D" w:rsidRPr="00107A6D">
        <w:t>espiratory syncytial virus</w:t>
      </w:r>
      <w:r w:rsidR="00B7628C">
        <w:t xml:space="preserve">, pneumonia </w:t>
      </w:r>
      <w:proofErr w:type="spellStart"/>
      <w:r w:rsidR="00B7628C">
        <w:t>mycoplasmal</w:t>
      </w:r>
      <w:proofErr w:type="spellEnd"/>
      <w:r w:rsidR="00B7628C">
        <w:t>, pneumonia adenoviral, pneumon</w:t>
      </w:r>
      <w:r>
        <w:t xml:space="preserve">ia viral, aspiration pneumonia. </w:t>
      </w:r>
      <w:r w:rsidR="00B7628C">
        <w:t>Somnolence: somnolence, sedation.</w:t>
      </w:r>
    </w:p>
    <w:p w14:paraId="31511475" w14:textId="091144BF" w:rsidR="004B156B" w:rsidRDefault="004B156B" w:rsidP="00645B30">
      <w:pPr>
        <w:pStyle w:val="TableDescription"/>
      </w:pPr>
      <w:r w:rsidRPr="004B156B">
        <w:t xml:space="preserve">Very common: </w:t>
      </w:r>
      <w:r w:rsidR="00075FD0" w:rsidRPr="00075FD0">
        <w:sym w:font="Symbol" w:char="F0B3"/>
      </w:r>
      <w:r w:rsidRPr="004B156B">
        <w:t xml:space="preserve"> 1/10; common: </w:t>
      </w:r>
      <w:r w:rsidR="00075FD0" w:rsidRPr="00075FD0">
        <w:sym w:font="Symbol" w:char="F0B3"/>
      </w:r>
      <w:r w:rsidRPr="004B156B">
        <w:t xml:space="preserve"> 1/100 to &lt; 1/10</w:t>
      </w:r>
      <w:r>
        <w:t xml:space="preserve">; uncommon: </w:t>
      </w:r>
      <w:r w:rsidR="00075FD0" w:rsidRPr="00075FD0">
        <w:sym w:font="Symbol" w:char="F0B3"/>
      </w:r>
      <w:r>
        <w:t xml:space="preserve"> 1/1000 to &lt; 1/100.</w:t>
      </w:r>
    </w:p>
    <w:p w14:paraId="5F4FA58A" w14:textId="4AB68E1B" w:rsidR="00AE2750" w:rsidRPr="000E7AE6" w:rsidRDefault="00AE2750" w:rsidP="00645B30">
      <w:pPr>
        <w:pStyle w:val="Heading5"/>
      </w:pPr>
      <w:r w:rsidRPr="000E7AE6">
        <w:t>Food effect on safety</w:t>
      </w:r>
    </w:p>
    <w:p w14:paraId="0D8E912D" w14:textId="00CD6CCB" w:rsidR="00AE2750" w:rsidRPr="00AE2750" w:rsidRDefault="00AE2750" w:rsidP="00D61FF2">
      <w:r w:rsidRPr="00AE2750">
        <w:t>The strong food effect associated with CBD also raises safety concerns. Switching from administration in the fed state to administration in the fasted state would constitute an abrupt reduction in exposure that would increase the risk of seizures. Switching from fasted to fed administration would potentially cause major issues with tolerance, sedative side effects, potenti</w:t>
      </w:r>
      <w:r w:rsidR="00CC695B">
        <w:t>al seizure exacerbation, and on</w:t>
      </w:r>
      <w:r w:rsidRPr="00AE2750">
        <w:t xml:space="preserve">going heightened risk of liver injury. This risk has been </w:t>
      </w:r>
      <w:r w:rsidR="00CC695B">
        <w:t>addressed adequately in the PI: ‘</w:t>
      </w:r>
      <w:r w:rsidRPr="00AE2750">
        <w:t xml:space="preserve">Food may increase </w:t>
      </w:r>
      <w:proofErr w:type="spellStart"/>
      <w:r w:rsidR="00470695">
        <w:t>Epidyolex</w:t>
      </w:r>
      <w:proofErr w:type="spellEnd"/>
      <w:r w:rsidR="00A51F95" w:rsidRPr="00AE2750">
        <w:t xml:space="preserve"> </w:t>
      </w:r>
      <w:r w:rsidRPr="00AE2750">
        <w:t>levels and therefore it should be taken consistently either with or without foo</w:t>
      </w:r>
      <w:r w:rsidR="00CC695B">
        <w:t>d, including the ketogenic diet’</w:t>
      </w:r>
      <w:r w:rsidRPr="00AE2750">
        <w:t>.</w:t>
      </w:r>
    </w:p>
    <w:p w14:paraId="3A08A7A7" w14:textId="02CB7DD8" w:rsidR="00AE2750" w:rsidRPr="00AE2750" w:rsidRDefault="00CC695B" w:rsidP="00D61FF2">
      <w:r>
        <w:t>The c</w:t>
      </w:r>
      <w:r w:rsidR="00AE2750" w:rsidRPr="00AE2750">
        <w:t xml:space="preserve">linical evaluator also raised the similar concerns on safety grounds about the effect of weight on the PK and thereby affecting </w:t>
      </w:r>
      <w:r w:rsidR="00930E77">
        <w:t>the safety profile of the CBD; b</w:t>
      </w:r>
      <w:r w:rsidR="00AE2750" w:rsidRPr="00AE2750">
        <w:t xml:space="preserve">ut </w:t>
      </w:r>
      <w:r>
        <w:t xml:space="preserve">the evaluator </w:t>
      </w:r>
      <w:r w:rsidR="00AE2750" w:rsidRPr="00AE2750">
        <w:t xml:space="preserve">concludes with the </w:t>
      </w:r>
      <w:r>
        <w:t>following: ‘</w:t>
      </w:r>
      <w:r w:rsidR="00AE2750" w:rsidRPr="00AE2750">
        <w:t>Overall, the safety of CBD is likely to be acceptable, but care will be needed to titrate doses to minimise tolerability issues, and some patient</w:t>
      </w:r>
      <w:r>
        <w:t xml:space="preserve">s are likely to experience drug </w:t>
      </w:r>
      <w:r w:rsidR="00AE2750" w:rsidRPr="00AE2750">
        <w:t>induced liver in</w:t>
      </w:r>
      <w:r>
        <w:t xml:space="preserve">jury. Many aspects for the dose </w:t>
      </w:r>
      <w:r w:rsidR="00AE2750" w:rsidRPr="00AE2750">
        <w:t>response relationship and the effects of prandial status remain uncertain</w:t>
      </w:r>
      <w:r>
        <w:t>’</w:t>
      </w:r>
      <w:r w:rsidR="00AE2750" w:rsidRPr="00AE2750">
        <w:t>.</w:t>
      </w:r>
    </w:p>
    <w:p w14:paraId="19DB67B0" w14:textId="77777777" w:rsidR="008E7846" w:rsidRDefault="00386150" w:rsidP="007B6132">
      <w:pPr>
        <w:pStyle w:val="Heading3"/>
        <w:rPr>
          <w:lang w:eastAsia="en-AU"/>
        </w:rPr>
      </w:pPr>
      <w:bookmarkStart w:id="64" w:name="_Toc62725623"/>
      <w:r>
        <w:rPr>
          <w:lang w:eastAsia="en-AU"/>
        </w:rPr>
        <w:t>Risk m</w:t>
      </w:r>
      <w:r w:rsidR="008E7846">
        <w:rPr>
          <w:lang w:eastAsia="en-AU"/>
        </w:rPr>
        <w:t xml:space="preserve">anagement </w:t>
      </w:r>
      <w:r>
        <w:rPr>
          <w:lang w:eastAsia="en-AU"/>
        </w:rPr>
        <w:t>p</w:t>
      </w:r>
      <w:r w:rsidR="008E7846">
        <w:rPr>
          <w:lang w:eastAsia="en-AU"/>
        </w:rPr>
        <w:t>lan</w:t>
      </w:r>
      <w:bookmarkEnd w:id="42"/>
      <w:bookmarkEnd w:id="64"/>
    </w:p>
    <w:p w14:paraId="0FABEB5A" w14:textId="20C47A22" w:rsidR="00AE2750" w:rsidRDefault="00107A6D" w:rsidP="00D61FF2">
      <w:r>
        <w:t xml:space="preserve">The sponsor provided </w:t>
      </w:r>
      <w:r w:rsidR="00930E77">
        <w:t>EU-RMP version</w:t>
      </w:r>
      <w:r w:rsidR="004C5B16">
        <w:t xml:space="preserve"> </w:t>
      </w:r>
      <w:r w:rsidR="00930E77" w:rsidRPr="00AE2750">
        <w:t xml:space="preserve">1.0 (dated 2 July 2019; </w:t>
      </w:r>
      <w:r w:rsidR="00134561">
        <w:t>data lock point (</w:t>
      </w:r>
      <w:r w:rsidR="00930E77" w:rsidRPr="00AE2750">
        <w:t>DLP</w:t>
      </w:r>
      <w:r w:rsidR="00134561">
        <w:t>)</w:t>
      </w:r>
      <w:r w:rsidR="00930E77" w:rsidRPr="00AE2750">
        <w:t xml:space="preserve"> 1</w:t>
      </w:r>
      <w:r w:rsidR="00EE5D72">
        <w:t> </w:t>
      </w:r>
      <w:r w:rsidR="00930E77" w:rsidRPr="00AE2750">
        <w:t>May</w:t>
      </w:r>
      <w:r w:rsidR="00EE5D72">
        <w:t> </w:t>
      </w:r>
      <w:r w:rsidR="00930E77" w:rsidRPr="00AE2750">
        <w:t xml:space="preserve">2017) and </w:t>
      </w:r>
      <w:r w:rsidR="00134561">
        <w:t>Australian specific annex (</w:t>
      </w:r>
      <w:r w:rsidR="00930E77" w:rsidRPr="00AE2750">
        <w:t>ASA</w:t>
      </w:r>
      <w:r w:rsidR="00134561">
        <w:t>)</w:t>
      </w:r>
      <w:r w:rsidR="00930E77" w:rsidRPr="00AE2750">
        <w:t xml:space="preserve"> version 1.0 (dated 13 January 2020)</w:t>
      </w:r>
      <w:r w:rsidR="00930E77">
        <w:t xml:space="preserve"> </w:t>
      </w:r>
      <w:r>
        <w:t>with the initial submission</w:t>
      </w:r>
      <w:r w:rsidR="00930E77">
        <w:t>.</w:t>
      </w:r>
    </w:p>
    <w:p w14:paraId="4ADB5AE2" w14:textId="2603A63A" w:rsidR="00107A6D" w:rsidRPr="00AE2750" w:rsidRDefault="00107A6D" w:rsidP="00D61FF2">
      <w:r w:rsidRPr="00107A6D">
        <w:t xml:space="preserve">In response to </w:t>
      </w:r>
      <w:r>
        <w:t>questions from the TGA</w:t>
      </w:r>
      <w:r w:rsidRPr="00107A6D">
        <w:t>, the sponsor has submitted an updated ASA but has continued to label it as ASA version 1.0 (dated 23 March 2020). The sponsor has also submitted EU-RMP version 1.0 (dated 2 July 2019; DLP 1 May 2017).</w:t>
      </w:r>
    </w:p>
    <w:p w14:paraId="689A4138" w14:textId="243972B1" w:rsidR="007D53B6" w:rsidRDefault="007D53B6" w:rsidP="00D61FF2">
      <w:r>
        <w:t>The summary of safety concerns and their associated risk monitoring and mitigation strate</w:t>
      </w:r>
      <w:r w:rsidR="00BF5014">
        <w:t xml:space="preserve">gies are summarised in </w:t>
      </w:r>
      <w:r w:rsidR="00BF5014">
        <w:fldChar w:fldCharType="begin"/>
      </w:r>
      <w:r w:rsidR="00BF5014">
        <w:instrText xml:space="preserve"> REF _Ref56437270 \h </w:instrText>
      </w:r>
      <w:r w:rsidR="00BF5014">
        <w:fldChar w:fldCharType="separate"/>
      </w:r>
      <w:r w:rsidR="00E0078F">
        <w:t xml:space="preserve">Table </w:t>
      </w:r>
      <w:r w:rsidR="00E0078F">
        <w:rPr>
          <w:noProof/>
        </w:rPr>
        <w:t>5</w:t>
      </w:r>
      <w:r w:rsidR="00BF5014">
        <w:fldChar w:fldCharType="end"/>
      </w:r>
      <w:r w:rsidR="00134561">
        <w:t>.</w:t>
      </w:r>
      <w:r>
        <w:rPr>
          <w:rStyle w:val="FootnoteReference"/>
        </w:rPr>
        <w:footnoteReference w:id="21"/>
      </w:r>
    </w:p>
    <w:p w14:paraId="4F311D81" w14:textId="5AA9EF81" w:rsidR="00BF5014" w:rsidRDefault="00BF5014" w:rsidP="00BF5014">
      <w:pPr>
        <w:pStyle w:val="TableTitle"/>
      </w:pPr>
      <w:bookmarkStart w:id="65" w:name="_Ref56437270"/>
      <w:r>
        <w:t xml:space="preserve">Table </w:t>
      </w:r>
      <w:r>
        <w:fldChar w:fldCharType="begin"/>
      </w:r>
      <w:r>
        <w:instrText>SEQ Table \* ARABIC</w:instrText>
      </w:r>
      <w:r>
        <w:fldChar w:fldCharType="separate"/>
      </w:r>
      <w:r w:rsidR="00E0078F">
        <w:rPr>
          <w:noProof/>
        </w:rPr>
        <w:t>5</w:t>
      </w:r>
      <w:r>
        <w:fldChar w:fldCharType="end"/>
      </w:r>
      <w:bookmarkEnd w:id="65"/>
      <w:r>
        <w:t xml:space="preserve">: Summary of </w:t>
      </w:r>
      <w:r w:rsidR="00134561">
        <w:t>s</w:t>
      </w:r>
      <w:r>
        <w:t xml:space="preserve">afety </w:t>
      </w:r>
      <w:r w:rsidR="00134561">
        <w:t>c</w:t>
      </w:r>
      <w:r>
        <w:t>oncerns</w:t>
      </w:r>
    </w:p>
    <w:tbl>
      <w:tblPr>
        <w:tblStyle w:val="TableTGAblue"/>
        <w:tblW w:w="5000" w:type="pct"/>
        <w:tblLayout w:type="fixed"/>
        <w:tblLook w:val="04A0" w:firstRow="1" w:lastRow="0" w:firstColumn="1" w:lastColumn="0" w:noHBand="0" w:noVBand="1"/>
      </w:tblPr>
      <w:tblGrid>
        <w:gridCol w:w="1348"/>
        <w:gridCol w:w="1796"/>
        <w:gridCol w:w="1242"/>
        <w:gridCol w:w="1381"/>
        <w:gridCol w:w="1244"/>
        <w:gridCol w:w="1483"/>
      </w:tblGrid>
      <w:tr w:rsidR="00AE2750" w:rsidRPr="00134561" w14:paraId="71DE9F4E" w14:textId="77777777" w:rsidTr="00580F9A">
        <w:trPr>
          <w:cnfStyle w:val="100000000000" w:firstRow="1" w:lastRow="0" w:firstColumn="0" w:lastColumn="0" w:oddVBand="0" w:evenVBand="0" w:oddHBand="0" w:evenHBand="0" w:firstRowFirstColumn="0" w:firstRowLastColumn="0" w:lastRowFirstColumn="0" w:lastRowLastColumn="0"/>
          <w:trHeight w:val="248"/>
        </w:trPr>
        <w:tc>
          <w:tcPr>
            <w:tcW w:w="1850" w:type="pct"/>
            <w:gridSpan w:val="2"/>
            <w:vMerge w:val="restart"/>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0070C0"/>
          </w:tcPr>
          <w:p w14:paraId="7EF209AE" w14:textId="77777777" w:rsidR="00AE2750" w:rsidRPr="00134561" w:rsidRDefault="00AE2750" w:rsidP="00B21D3C">
            <w:pPr>
              <w:ind w:left="0" w:right="0"/>
            </w:pPr>
            <w:r w:rsidRPr="00134561">
              <w:t>Summary of safety concerns</w:t>
            </w:r>
          </w:p>
        </w:tc>
        <w:tc>
          <w:tcPr>
            <w:tcW w:w="1544" w:type="pct"/>
            <w:gridSpan w:val="2"/>
            <w:tcBorders>
              <w:top w:val="single" w:sz="4" w:space="0" w:color="auto"/>
              <w:left w:val="single" w:sz="4" w:space="0" w:color="auto"/>
              <w:bottom w:val="single" w:sz="4" w:space="0" w:color="auto"/>
              <w:right w:val="single" w:sz="4" w:space="0" w:color="auto"/>
              <w:tl2br w:val="none" w:sz="0" w:space="0" w:color="auto"/>
              <w:tr2bl w:val="none" w:sz="0" w:space="0" w:color="auto"/>
            </w:tcBorders>
            <w:shd w:val="clear" w:color="auto" w:fill="0070C0"/>
          </w:tcPr>
          <w:p w14:paraId="266A612F" w14:textId="77777777" w:rsidR="00AE2750" w:rsidRPr="00134561" w:rsidRDefault="00AE2750" w:rsidP="00B21D3C">
            <w:pPr>
              <w:ind w:left="0" w:right="0"/>
            </w:pPr>
            <w:r w:rsidRPr="00134561">
              <w:t>Pharmacovigilance</w:t>
            </w:r>
          </w:p>
        </w:tc>
        <w:tc>
          <w:tcPr>
            <w:tcW w:w="1606" w:type="pct"/>
            <w:gridSpan w:val="2"/>
            <w:tcBorders>
              <w:top w:val="single" w:sz="4" w:space="0" w:color="auto"/>
              <w:left w:val="single" w:sz="4" w:space="0" w:color="auto"/>
              <w:bottom w:val="none" w:sz="0" w:space="0" w:color="auto"/>
              <w:right w:val="single" w:sz="4" w:space="0" w:color="auto"/>
              <w:tl2br w:val="none" w:sz="0" w:space="0" w:color="auto"/>
              <w:tr2bl w:val="none" w:sz="0" w:space="0" w:color="auto"/>
            </w:tcBorders>
            <w:shd w:val="clear" w:color="auto" w:fill="0070C0"/>
          </w:tcPr>
          <w:p w14:paraId="5A1EFD0C" w14:textId="77777777" w:rsidR="00AE2750" w:rsidRPr="00134561" w:rsidRDefault="00AE2750" w:rsidP="00B21D3C">
            <w:pPr>
              <w:ind w:left="0" w:right="0"/>
            </w:pPr>
            <w:r w:rsidRPr="00134561">
              <w:t>Risk minimisation</w:t>
            </w:r>
          </w:p>
        </w:tc>
      </w:tr>
      <w:tr w:rsidR="00BF5014" w:rsidRPr="00134561" w14:paraId="0F2EE8EB" w14:textId="77777777" w:rsidTr="00580F9A">
        <w:trPr>
          <w:cnfStyle w:val="100000000000" w:firstRow="1" w:lastRow="0" w:firstColumn="0" w:lastColumn="0" w:oddVBand="0" w:evenVBand="0" w:oddHBand="0" w:evenHBand="0" w:firstRowFirstColumn="0" w:firstRowLastColumn="0" w:lastRowFirstColumn="0" w:lastRowLastColumn="0"/>
          <w:trHeight w:val="247"/>
        </w:trPr>
        <w:tc>
          <w:tcPr>
            <w:tcW w:w="1850" w:type="pct"/>
            <w:gridSpan w:val="2"/>
            <w:vMerge/>
            <w:tcBorders>
              <w:left w:val="single" w:sz="4" w:space="0" w:color="auto"/>
              <w:bottom w:val="single" w:sz="4" w:space="0" w:color="auto"/>
              <w:right w:val="single" w:sz="4" w:space="0" w:color="auto"/>
            </w:tcBorders>
            <w:shd w:val="clear" w:color="auto" w:fill="0070C0"/>
          </w:tcPr>
          <w:p w14:paraId="04926D66" w14:textId="77777777" w:rsidR="00AE2750" w:rsidRPr="00134561" w:rsidRDefault="00AE2750" w:rsidP="00610F77">
            <w:pPr>
              <w:spacing w:before="0" w:after="0"/>
              <w:ind w:left="0" w:right="0"/>
              <w:rPr>
                <w:sz w:val="19"/>
                <w:szCs w:val="19"/>
              </w:rPr>
            </w:pPr>
          </w:p>
        </w:tc>
        <w:tc>
          <w:tcPr>
            <w:tcW w:w="731" w:type="pct"/>
            <w:tcBorders>
              <w:top w:val="single" w:sz="4" w:space="0" w:color="auto"/>
              <w:left w:val="single" w:sz="4" w:space="0" w:color="auto"/>
              <w:bottom w:val="single" w:sz="4" w:space="0" w:color="auto"/>
              <w:right w:val="single" w:sz="4" w:space="0" w:color="auto"/>
            </w:tcBorders>
            <w:shd w:val="clear" w:color="auto" w:fill="0070C0"/>
          </w:tcPr>
          <w:p w14:paraId="007B917D" w14:textId="77777777" w:rsidR="00AE2750" w:rsidRPr="00580F9A" w:rsidRDefault="00AE2750" w:rsidP="00610F77">
            <w:pPr>
              <w:ind w:left="0" w:right="0"/>
            </w:pPr>
            <w:r w:rsidRPr="00580F9A">
              <w:t>Routine</w:t>
            </w:r>
          </w:p>
        </w:tc>
        <w:tc>
          <w:tcPr>
            <w:tcW w:w="813" w:type="pct"/>
            <w:tcBorders>
              <w:top w:val="single" w:sz="4" w:space="0" w:color="auto"/>
              <w:left w:val="single" w:sz="4" w:space="0" w:color="auto"/>
              <w:bottom w:val="single" w:sz="4" w:space="0" w:color="auto"/>
              <w:right w:val="single" w:sz="4" w:space="0" w:color="auto"/>
            </w:tcBorders>
            <w:shd w:val="clear" w:color="auto" w:fill="0070C0"/>
          </w:tcPr>
          <w:p w14:paraId="1F891B10" w14:textId="77777777" w:rsidR="00AE2750" w:rsidRPr="00580F9A" w:rsidRDefault="00AE2750" w:rsidP="00610F77">
            <w:pPr>
              <w:ind w:left="0" w:right="0"/>
            </w:pPr>
            <w:r w:rsidRPr="00580F9A">
              <w:t>Additional</w:t>
            </w:r>
          </w:p>
        </w:tc>
        <w:tc>
          <w:tcPr>
            <w:tcW w:w="732" w:type="pct"/>
            <w:tcBorders>
              <w:left w:val="single" w:sz="4" w:space="0" w:color="auto"/>
              <w:bottom w:val="single" w:sz="4" w:space="0" w:color="auto"/>
              <w:right w:val="single" w:sz="4" w:space="0" w:color="auto"/>
            </w:tcBorders>
            <w:shd w:val="clear" w:color="auto" w:fill="0070C0"/>
          </w:tcPr>
          <w:p w14:paraId="69E0068F" w14:textId="77777777" w:rsidR="00AE2750" w:rsidRPr="00580F9A" w:rsidRDefault="00AE2750" w:rsidP="00610F77">
            <w:pPr>
              <w:ind w:left="0" w:right="0"/>
            </w:pPr>
            <w:r w:rsidRPr="00580F9A">
              <w:t>Routine</w:t>
            </w:r>
          </w:p>
        </w:tc>
        <w:tc>
          <w:tcPr>
            <w:tcW w:w="873" w:type="pct"/>
            <w:tcBorders>
              <w:left w:val="single" w:sz="4" w:space="0" w:color="auto"/>
              <w:bottom w:val="single" w:sz="4" w:space="0" w:color="auto"/>
              <w:right w:val="single" w:sz="4" w:space="0" w:color="auto"/>
            </w:tcBorders>
            <w:shd w:val="clear" w:color="auto" w:fill="0070C0"/>
          </w:tcPr>
          <w:p w14:paraId="526887CF" w14:textId="77777777" w:rsidR="00AE2750" w:rsidRPr="00580F9A" w:rsidRDefault="00AE2750" w:rsidP="00610F77">
            <w:pPr>
              <w:ind w:left="0" w:right="0"/>
            </w:pPr>
            <w:r w:rsidRPr="00580F9A">
              <w:t>Additional</w:t>
            </w:r>
          </w:p>
        </w:tc>
      </w:tr>
      <w:tr w:rsidR="00BF5014" w:rsidRPr="00134561" w14:paraId="4C175461" w14:textId="77777777" w:rsidTr="00B21D3C">
        <w:tc>
          <w:tcPr>
            <w:tcW w:w="794" w:type="pct"/>
            <w:vMerge w:val="restart"/>
            <w:tcBorders>
              <w:top w:val="single" w:sz="4" w:space="0" w:color="auto"/>
            </w:tcBorders>
          </w:tcPr>
          <w:p w14:paraId="15AA353F" w14:textId="77777777" w:rsidR="00AE2750" w:rsidRPr="00134561" w:rsidRDefault="00AE2750" w:rsidP="00B21D3C">
            <w:pPr>
              <w:ind w:left="0" w:right="0"/>
            </w:pPr>
            <w:r w:rsidRPr="00134561">
              <w:t>Important identified risks</w:t>
            </w:r>
          </w:p>
        </w:tc>
        <w:tc>
          <w:tcPr>
            <w:tcW w:w="1057" w:type="pct"/>
            <w:tcBorders>
              <w:top w:val="single" w:sz="4" w:space="0" w:color="auto"/>
            </w:tcBorders>
          </w:tcPr>
          <w:p w14:paraId="3DC97C5E" w14:textId="62BD50BA" w:rsidR="00AE2750" w:rsidRPr="00134561" w:rsidRDefault="004A0EDE" w:rsidP="00B21D3C">
            <w:pPr>
              <w:ind w:left="0" w:right="0"/>
            </w:pPr>
            <w:r w:rsidRPr="00134561">
              <w:t>Hepatocellular injury</w:t>
            </w:r>
          </w:p>
        </w:tc>
        <w:tc>
          <w:tcPr>
            <w:tcW w:w="731" w:type="pct"/>
            <w:tcBorders>
              <w:top w:val="single" w:sz="4" w:space="0" w:color="auto"/>
            </w:tcBorders>
            <w:vAlign w:val="center"/>
          </w:tcPr>
          <w:p w14:paraId="75B4EAC0" w14:textId="0B24FEBB" w:rsidR="00AE2750" w:rsidRPr="00134561" w:rsidRDefault="00796772" w:rsidP="00B21D3C">
            <w:pPr>
              <w:ind w:left="0" w:right="0"/>
            </w:pPr>
            <w:r w:rsidRPr="00134561">
              <w:rPr>
                <w:rFonts w:ascii="Wingdings" w:eastAsia="Wingdings" w:hAnsi="Wingdings" w:cs="Wingdings"/>
              </w:rPr>
              <w:t></w:t>
            </w:r>
            <w:r w:rsidRPr="00134561">
              <w:t>*</w:t>
            </w:r>
          </w:p>
        </w:tc>
        <w:tc>
          <w:tcPr>
            <w:tcW w:w="813" w:type="pct"/>
            <w:tcBorders>
              <w:top w:val="single" w:sz="4" w:space="0" w:color="auto"/>
            </w:tcBorders>
            <w:vAlign w:val="center"/>
          </w:tcPr>
          <w:p w14:paraId="389EC854" w14:textId="32373DE0" w:rsidR="00AE2750" w:rsidRPr="00134561" w:rsidRDefault="00796772" w:rsidP="00B21D3C">
            <w:pPr>
              <w:ind w:left="0" w:right="0"/>
            </w:pPr>
            <w:r w:rsidRPr="00134561">
              <w:rPr>
                <w:rFonts w:ascii="Wingdings" w:eastAsia="Wingdings" w:hAnsi="Wingdings" w:cs="Wingdings"/>
              </w:rPr>
              <w:t></w:t>
            </w:r>
            <w:r w:rsidRPr="00134561">
              <w:t>+</w:t>
            </w:r>
          </w:p>
        </w:tc>
        <w:tc>
          <w:tcPr>
            <w:tcW w:w="732" w:type="pct"/>
            <w:tcBorders>
              <w:top w:val="single" w:sz="4" w:space="0" w:color="auto"/>
            </w:tcBorders>
            <w:vAlign w:val="center"/>
          </w:tcPr>
          <w:p w14:paraId="3E780CAB" w14:textId="3B97C141" w:rsidR="00AE2750" w:rsidRPr="00134561" w:rsidRDefault="00796772" w:rsidP="00B21D3C">
            <w:pPr>
              <w:ind w:left="0" w:right="0"/>
            </w:pPr>
            <w:r w:rsidRPr="00134561">
              <w:rPr>
                <w:rFonts w:ascii="Wingdings" w:eastAsia="Wingdings" w:hAnsi="Wingdings" w:cs="Wingdings"/>
              </w:rPr>
              <w:t></w:t>
            </w:r>
          </w:p>
        </w:tc>
        <w:tc>
          <w:tcPr>
            <w:tcW w:w="873" w:type="pct"/>
            <w:tcBorders>
              <w:top w:val="single" w:sz="4" w:space="0" w:color="auto"/>
            </w:tcBorders>
            <w:vAlign w:val="center"/>
          </w:tcPr>
          <w:p w14:paraId="1E8AC0E8" w14:textId="47CA8D4D" w:rsidR="00AE2750" w:rsidRPr="00134561" w:rsidRDefault="00796772" w:rsidP="00B21D3C">
            <w:pPr>
              <w:ind w:left="0" w:right="0"/>
            </w:pPr>
            <w:r w:rsidRPr="00134561">
              <w:t>-</w:t>
            </w:r>
          </w:p>
        </w:tc>
      </w:tr>
      <w:tr w:rsidR="00BF5014" w:rsidRPr="00134561" w14:paraId="24B710D7" w14:textId="77777777" w:rsidTr="00B21D3C">
        <w:tc>
          <w:tcPr>
            <w:tcW w:w="794" w:type="pct"/>
            <w:vMerge/>
          </w:tcPr>
          <w:p w14:paraId="360CEDBF" w14:textId="77777777" w:rsidR="00AE2750" w:rsidRPr="00134561" w:rsidRDefault="00AE2750" w:rsidP="00610F77">
            <w:pPr>
              <w:spacing w:before="0" w:after="0"/>
              <w:ind w:left="0" w:right="0"/>
              <w:rPr>
                <w:sz w:val="19"/>
                <w:szCs w:val="19"/>
              </w:rPr>
            </w:pPr>
          </w:p>
        </w:tc>
        <w:tc>
          <w:tcPr>
            <w:tcW w:w="1057" w:type="pct"/>
            <w:tcBorders>
              <w:top w:val="single" w:sz="4" w:space="0" w:color="auto"/>
              <w:bottom w:val="single" w:sz="4" w:space="0" w:color="auto"/>
            </w:tcBorders>
          </w:tcPr>
          <w:p w14:paraId="2909906E" w14:textId="1068435D" w:rsidR="00AE2750" w:rsidRPr="00134561" w:rsidRDefault="004A0EDE" w:rsidP="00610F77">
            <w:pPr>
              <w:ind w:left="0" w:right="0"/>
            </w:pPr>
            <w:r w:rsidRPr="00134561">
              <w:t xml:space="preserve">Somnolence and </w:t>
            </w:r>
            <w:r w:rsidR="00134561">
              <w:t>s</w:t>
            </w:r>
            <w:r w:rsidRPr="00134561">
              <w:t>edation</w:t>
            </w:r>
          </w:p>
        </w:tc>
        <w:tc>
          <w:tcPr>
            <w:tcW w:w="731" w:type="pct"/>
            <w:vAlign w:val="center"/>
          </w:tcPr>
          <w:p w14:paraId="6EF68FD8" w14:textId="33941C45" w:rsidR="00AE2750" w:rsidRPr="00134561" w:rsidRDefault="00796772" w:rsidP="00610F77">
            <w:pPr>
              <w:ind w:left="0" w:right="0"/>
            </w:pPr>
            <w:r w:rsidRPr="00134561">
              <w:rPr>
                <w:rFonts w:ascii="Wingdings" w:eastAsia="Wingdings" w:hAnsi="Wingdings" w:cs="Wingdings"/>
              </w:rPr>
              <w:t></w:t>
            </w:r>
          </w:p>
        </w:tc>
        <w:tc>
          <w:tcPr>
            <w:tcW w:w="813" w:type="pct"/>
            <w:vAlign w:val="center"/>
          </w:tcPr>
          <w:p w14:paraId="03F9410A" w14:textId="60FCD2D4" w:rsidR="00AE2750" w:rsidRPr="00134561" w:rsidRDefault="00796772" w:rsidP="00610F77">
            <w:pPr>
              <w:ind w:left="0" w:right="0"/>
            </w:pPr>
            <w:r w:rsidRPr="00134561">
              <w:rPr>
                <w:rFonts w:ascii="Wingdings" w:eastAsia="Wingdings" w:hAnsi="Wingdings" w:cs="Wingdings"/>
              </w:rPr>
              <w:t></w:t>
            </w:r>
            <w:r w:rsidRPr="00134561">
              <w:t>+</w:t>
            </w:r>
          </w:p>
        </w:tc>
        <w:tc>
          <w:tcPr>
            <w:tcW w:w="732" w:type="pct"/>
            <w:vAlign w:val="center"/>
          </w:tcPr>
          <w:p w14:paraId="0C40E1F2" w14:textId="30F46CA2" w:rsidR="00AE2750" w:rsidRPr="00134561" w:rsidRDefault="00796772" w:rsidP="00610F77">
            <w:pPr>
              <w:ind w:left="0" w:right="0"/>
            </w:pPr>
            <w:r w:rsidRPr="00134561">
              <w:rPr>
                <w:rFonts w:ascii="Wingdings" w:eastAsia="Wingdings" w:hAnsi="Wingdings" w:cs="Wingdings"/>
              </w:rPr>
              <w:t></w:t>
            </w:r>
          </w:p>
        </w:tc>
        <w:tc>
          <w:tcPr>
            <w:tcW w:w="873" w:type="pct"/>
            <w:vAlign w:val="center"/>
          </w:tcPr>
          <w:p w14:paraId="3028B511" w14:textId="6AAC26E9" w:rsidR="00AE2750" w:rsidRPr="00134561" w:rsidRDefault="00796772" w:rsidP="00610F77">
            <w:pPr>
              <w:ind w:left="0" w:right="0"/>
            </w:pPr>
            <w:r w:rsidRPr="00134561">
              <w:t>-</w:t>
            </w:r>
          </w:p>
        </w:tc>
      </w:tr>
      <w:tr w:rsidR="00BF5014" w:rsidRPr="00134561" w14:paraId="3DE0AB7F" w14:textId="77777777" w:rsidTr="00B21D3C">
        <w:tc>
          <w:tcPr>
            <w:tcW w:w="794" w:type="pct"/>
            <w:vMerge/>
          </w:tcPr>
          <w:p w14:paraId="1E0DBC68" w14:textId="77777777" w:rsidR="00AE2750" w:rsidRPr="00134561" w:rsidRDefault="00AE2750" w:rsidP="00610F77">
            <w:pPr>
              <w:spacing w:before="0" w:after="0"/>
              <w:ind w:left="0" w:right="0"/>
              <w:rPr>
                <w:sz w:val="19"/>
                <w:szCs w:val="19"/>
              </w:rPr>
            </w:pPr>
          </w:p>
        </w:tc>
        <w:tc>
          <w:tcPr>
            <w:tcW w:w="1057" w:type="pct"/>
            <w:tcBorders>
              <w:top w:val="single" w:sz="4" w:space="0" w:color="auto"/>
            </w:tcBorders>
          </w:tcPr>
          <w:p w14:paraId="1001B362" w14:textId="0AECF1DF" w:rsidR="00AE2750" w:rsidRPr="00134561" w:rsidRDefault="004A0EDE" w:rsidP="00610F77">
            <w:pPr>
              <w:ind w:left="0" w:right="0"/>
            </w:pPr>
            <w:r w:rsidRPr="00134561">
              <w:t>Lethargy</w:t>
            </w:r>
          </w:p>
        </w:tc>
        <w:tc>
          <w:tcPr>
            <w:tcW w:w="731" w:type="pct"/>
            <w:vAlign w:val="center"/>
          </w:tcPr>
          <w:p w14:paraId="2C4B62A9" w14:textId="00E1E7A4" w:rsidR="00AE2750" w:rsidRPr="00134561" w:rsidRDefault="00796772" w:rsidP="00610F77">
            <w:pPr>
              <w:ind w:left="0" w:right="0"/>
            </w:pPr>
            <w:r w:rsidRPr="00134561">
              <w:rPr>
                <w:rFonts w:ascii="Wingdings" w:eastAsia="Wingdings" w:hAnsi="Wingdings" w:cs="Wingdings"/>
              </w:rPr>
              <w:t></w:t>
            </w:r>
          </w:p>
        </w:tc>
        <w:tc>
          <w:tcPr>
            <w:tcW w:w="813" w:type="pct"/>
            <w:vAlign w:val="center"/>
          </w:tcPr>
          <w:p w14:paraId="6314BFBD" w14:textId="4B6CD043" w:rsidR="00AE2750" w:rsidRPr="00134561" w:rsidRDefault="00796772" w:rsidP="00610F77">
            <w:pPr>
              <w:ind w:left="0" w:right="0"/>
            </w:pPr>
            <w:r w:rsidRPr="00134561">
              <w:rPr>
                <w:rFonts w:ascii="Wingdings" w:eastAsia="Wingdings" w:hAnsi="Wingdings" w:cs="Wingdings"/>
              </w:rPr>
              <w:t></w:t>
            </w:r>
            <w:r w:rsidRPr="00134561">
              <w:t>+</w:t>
            </w:r>
          </w:p>
        </w:tc>
        <w:tc>
          <w:tcPr>
            <w:tcW w:w="732" w:type="pct"/>
            <w:vAlign w:val="center"/>
          </w:tcPr>
          <w:p w14:paraId="2E0CA767" w14:textId="0DC4D39F" w:rsidR="00AE2750" w:rsidRPr="00134561" w:rsidRDefault="00796772" w:rsidP="00610F77">
            <w:pPr>
              <w:ind w:left="0" w:right="0"/>
            </w:pPr>
            <w:r w:rsidRPr="00134561">
              <w:rPr>
                <w:rFonts w:ascii="Wingdings" w:eastAsia="Wingdings" w:hAnsi="Wingdings" w:cs="Wingdings"/>
              </w:rPr>
              <w:t></w:t>
            </w:r>
          </w:p>
        </w:tc>
        <w:tc>
          <w:tcPr>
            <w:tcW w:w="873" w:type="pct"/>
            <w:vAlign w:val="center"/>
          </w:tcPr>
          <w:p w14:paraId="367EE9EB" w14:textId="2BD4B10E" w:rsidR="00AE2750" w:rsidRPr="00134561" w:rsidRDefault="00796772" w:rsidP="00610F77">
            <w:pPr>
              <w:ind w:left="0" w:right="0"/>
            </w:pPr>
            <w:r w:rsidRPr="00134561">
              <w:t>-</w:t>
            </w:r>
          </w:p>
        </w:tc>
      </w:tr>
      <w:tr w:rsidR="00BF5014" w:rsidRPr="00134561" w14:paraId="02A6B45B" w14:textId="77777777" w:rsidTr="00B21D3C">
        <w:tc>
          <w:tcPr>
            <w:tcW w:w="794" w:type="pct"/>
            <w:vMerge/>
          </w:tcPr>
          <w:p w14:paraId="6F1FF9C8" w14:textId="77777777" w:rsidR="00AE2750" w:rsidRPr="00134561" w:rsidRDefault="00AE2750" w:rsidP="00610F77">
            <w:pPr>
              <w:spacing w:before="0" w:after="0"/>
              <w:ind w:left="0" w:right="0"/>
              <w:rPr>
                <w:sz w:val="19"/>
                <w:szCs w:val="19"/>
              </w:rPr>
            </w:pPr>
          </w:p>
        </w:tc>
        <w:tc>
          <w:tcPr>
            <w:tcW w:w="1057" w:type="pct"/>
          </w:tcPr>
          <w:p w14:paraId="38BE54E9" w14:textId="3F07BC7F" w:rsidR="00AE2750" w:rsidRPr="00134561" w:rsidRDefault="004A0EDE" w:rsidP="00610F77">
            <w:pPr>
              <w:ind w:left="0" w:right="0"/>
            </w:pPr>
            <w:r w:rsidRPr="00134561">
              <w:t>Pneumonia</w:t>
            </w:r>
          </w:p>
        </w:tc>
        <w:tc>
          <w:tcPr>
            <w:tcW w:w="731" w:type="pct"/>
            <w:vAlign w:val="center"/>
          </w:tcPr>
          <w:p w14:paraId="78CC2DCE" w14:textId="5F311769" w:rsidR="00AE2750" w:rsidRPr="00134561" w:rsidRDefault="00796772" w:rsidP="00610F77">
            <w:pPr>
              <w:ind w:left="0" w:right="0"/>
            </w:pPr>
            <w:r w:rsidRPr="00134561">
              <w:rPr>
                <w:rFonts w:ascii="Wingdings" w:eastAsia="Wingdings" w:hAnsi="Wingdings" w:cs="Wingdings"/>
              </w:rPr>
              <w:t></w:t>
            </w:r>
            <w:r w:rsidRPr="00134561">
              <w:t>*</w:t>
            </w:r>
          </w:p>
        </w:tc>
        <w:tc>
          <w:tcPr>
            <w:tcW w:w="813" w:type="pct"/>
            <w:vAlign w:val="center"/>
          </w:tcPr>
          <w:p w14:paraId="4C063CC2" w14:textId="43ACE775" w:rsidR="00AE2750" w:rsidRPr="00134561" w:rsidRDefault="00796772" w:rsidP="00610F77">
            <w:pPr>
              <w:ind w:left="0" w:right="0"/>
            </w:pPr>
            <w:r w:rsidRPr="00134561">
              <w:rPr>
                <w:rFonts w:ascii="Wingdings" w:eastAsia="Wingdings" w:hAnsi="Wingdings" w:cs="Wingdings"/>
              </w:rPr>
              <w:t></w:t>
            </w:r>
            <w:r w:rsidRPr="00134561">
              <w:t>+</w:t>
            </w:r>
          </w:p>
        </w:tc>
        <w:tc>
          <w:tcPr>
            <w:tcW w:w="732" w:type="pct"/>
            <w:vAlign w:val="center"/>
          </w:tcPr>
          <w:p w14:paraId="2655C14F" w14:textId="6B7BD532" w:rsidR="00AE2750" w:rsidRPr="00134561" w:rsidRDefault="00796772" w:rsidP="00610F77">
            <w:pPr>
              <w:ind w:left="0" w:right="0"/>
            </w:pPr>
            <w:r w:rsidRPr="00134561">
              <w:rPr>
                <w:rFonts w:ascii="Wingdings" w:eastAsia="Wingdings" w:hAnsi="Wingdings" w:cs="Wingdings"/>
              </w:rPr>
              <w:t></w:t>
            </w:r>
          </w:p>
        </w:tc>
        <w:tc>
          <w:tcPr>
            <w:tcW w:w="873" w:type="pct"/>
            <w:vAlign w:val="center"/>
          </w:tcPr>
          <w:p w14:paraId="42E5BD94" w14:textId="78C1EAFD" w:rsidR="00AE2750" w:rsidRPr="00134561" w:rsidRDefault="00796772" w:rsidP="00610F77">
            <w:pPr>
              <w:ind w:left="0" w:right="0"/>
            </w:pPr>
            <w:r w:rsidRPr="00134561">
              <w:t>-</w:t>
            </w:r>
          </w:p>
        </w:tc>
      </w:tr>
      <w:tr w:rsidR="00BF5014" w:rsidRPr="00134561" w14:paraId="3E8E8B8F" w14:textId="77777777" w:rsidTr="00B21D3C">
        <w:tc>
          <w:tcPr>
            <w:tcW w:w="794" w:type="pct"/>
            <w:vMerge/>
          </w:tcPr>
          <w:p w14:paraId="5061B583" w14:textId="77777777" w:rsidR="00AE2750" w:rsidRPr="00134561" w:rsidRDefault="00AE2750" w:rsidP="00610F77">
            <w:pPr>
              <w:spacing w:before="0" w:after="0"/>
              <w:ind w:left="0" w:right="0"/>
              <w:rPr>
                <w:sz w:val="19"/>
                <w:szCs w:val="19"/>
              </w:rPr>
            </w:pPr>
          </w:p>
        </w:tc>
        <w:tc>
          <w:tcPr>
            <w:tcW w:w="1057" w:type="pct"/>
          </w:tcPr>
          <w:p w14:paraId="4F7D541C" w14:textId="26D72EBA" w:rsidR="00AE2750" w:rsidRPr="00134561" w:rsidRDefault="004A0EDE" w:rsidP="00610F77">
            <w:pPr>
              <w:ind w:left="0" w:right="0"/>
            </w:pPr>
            <w:r w:rsidRPr="00134561">
              <w:t>Rash hypersensitivity reactions</w:t>
            </w:r>
          </w:p>
        </w:tc>
        <w:tc>
          <w:tcPr>
            <w:tcW w:w="731" w:type="pct"/>
            <w:vAlign w:val="center"/>
          </w:tcPr>
          <w:p w14:paraId="161087C6" w14:textId="1AE505F9" w:rsidR="00AE2750" w:rsidRPr="00134561" w:rsidRDefault="00796772" w:rsidP="00610F77">
            <w:pPr>
              <w:ind w:left="0" w:right="0"/>
            </w:pPr>
            <w:r w:rsidRPr="00134561">
              <w:rPr>
                <w:rFonts w:ascii="Wingdings" w:eastAsia="Wingdings" w:hAnsi="Wingdings" w:cs="Wingdings"/>
              </w:rPr>
              <w:t></w:t>
            </w:r>
            <w:r w:rsidRPr="00134561">
              <w:t>*</w:t>
            </w:r>
          </w:p>
        </w:tc>
        <w:tc>
          <w:tcPr>
            <w:tcW w:w="813" w:type="pct"/>
            <w:vAlign w:val="center"/>
          </w:tcPr>
          <w:p w14:paraId="133562FE" w14:textId="55E9F149" w:rsidR="00AE2750" w:rsidRPr="00134561" w:rsidRDefault="00796772" w:rsidP="00610F77">
            <w:pPr>
              <w:ind w:left="0" w:right="0"/>
            </w:pPr>
            <w:r w:rsidRPr="00134561">
              <w:rPr>
                <w:rFonts w:ascii="Wingdings" w:eastAsia="Wingdings" w:hAnsi="Wingdings" w:cs="Wingdings"/>
              </w:rPr>
              <w:t></w:t>
            </w:r>
            <w:r w:rsidRPr="00134561">
              <w:t>+</w:t>
            </w:r>
          </w:p>
        </w:tc>
        <w:tc>
          <w:tcPr>
            <w:tcW w:w="732" w:type="pct"/>
            <w:vAlign w:val="center"/>
          </w:tcPr>
          <w:p w14:paraId="02235643" w14:textId="7729B58C" w:rsidR="00AE2750" w:rsidRPr="00134561" w:rsidRDefault="00796772" w:rsidP="00610F77">
            <w:pPr>
              <w:ind w:left="0" w:right="0"/>
            </w:pPr>
            <w:r w:rsidRPr="00134561">
              <w:rPr>
                <w:rFonts w:ascii="Wingdings" w:eastAsia="Wingdings" w:hAnsi="Wingdings" w:cs="Wingdings"/>
              </w:rPr>
              <w:t></w:t>
            </w:r>
          </w:p>
        </w:tc>
        <w:tc>
          <w:tcPr>
            <w:tcW w:w="873" w:type="pct"/>
            <w:vAlign w:val="center"/>
          </w:tcPr>
          <w:p w14:paraId="20B0ED5B" w14:textId="7A5E6702" w:rsidR="00AE2750" w:rsidRPr="00134561" w:rsidRDefault="00796772" w:rsidP="00610F77">
            <w:pPr>
              <w:ind w:left="0" w:right="0"/>
            </w:pPr>
            <w:r w:rsidRPr="00134561">
              <w:t>-</w:t>
            </w:r>
          </w:p>
        </w:tc>
      </w:tr>
      <w:tr w:rsidR="00BF5014" w:rsidRPr="00134561" w14:paraId="1A1E1161" w14:textId="77777777" w:rsidTr="00B21D3C">
        <w:trPr>
          <w:trHeight w:val="80"/>
        </w:trPr>
        <w:tc>
          <w:tcPr>
            <w:tcW w:w="794" w:type="pct"/>
            <w:vMerge w:val="restart"/>
          </w:tcPr>
          <w:p w14:paraId="6BF786BF" w14:textId="1EFB747B" w:rsidR="00AE2750" w:rsidRPr="00134561" w:rsidRDefault="00AE2750" w:rsidP="00B21D3C">
            <w:pPr>
              <w:ind w:left="0" w:right="0"/>
            </w:pPr>
            <w:r w:rsidRPr="00134561">
              <w:t>Important potential risks</w:t>
            </w:r>
          </w:p>
        </w:tc>
        <w:tc>
          <w:tcPr>
            <w:tcW w:w="1057" w:type="pct"/>
          </w:tcPr>
          <w:p w14:paraId="11F93D68" w14:textId="28286033" w:rsidR="00AE2750" w:rsidRPr="00134561" w:rsidRDefault="004A0EDE" w:rsidP="00B21D3C">
            <w:pPr>
              <w:ind w:left="0" w:right="0"/>
            </w:pPr>
            <w:r w:rsidRPr="00134561">
              <w:t>Suicidality</w:t>
            </w:r>
          </w:p>
        </w:tc>
        <w:tc>
          <w:tcPr>
            <w:tcW w:w="731" w:type="pct"/>
            <w:vAlign w:val="center"/>
          </w:tcPr>
          <w:p w14:paraId="21B5878A" w14:textId="2D558D34" w:rsidR="00AE2750" w:rsidRPr="00134561" w:rsidRDefault="009A385A" w:rsidP="00B21D3C">
            <w:pPr>
              <w:ind w:left="0" w:right="0"/>
            </w:pPr>
            <w:r w:rsidRPr="00134561">
              <w:rPr>
                <w:rFonts w:ascii="Wingdings" w:eastAsia="Wingdings" w:hAnsi="Wingdings" w:cs="Wingdings"/>
              </w:rPr>
              <w:t></w:t>
            </w:r>
          </w:p>
        </w:tc>
        <w:tc>
          <w:tcPr>
            <w:tcW w:w="813" w:type="pct"/>
            <w:vAlign w:val="center"/>
          </w:tcPr>
          <w:p w14:paraId="4C1D7AEB" w14:textId="28772606" w:rsidR="00AE2750" w:rsidRPr="00134561" w:rsidRDefault="00796772" w:rsidP="00B21D3C">
            <w:pPr>
              <w:ind w:left="0" w:right="0"/>
            </w:pPr>
            <w:r w:rsidRPr="00134561">
              <w:rPr>
                <w:rFonts w:ascii="Wingdings" w:eastAsia="Wingdings" w:hAnsi="Wingdings" w:cs="Wingdings"/>
              </w:rPr>
              <w:t></w:t>
            </w:r>
            <w:r w:rsidRPr="00134561">
              <w:t>+</w:t>
            </w:r>
          </w:p>
        </w:tc>
        <w:tc>
          <w:tcPr>
            <w:tcW w:w="732" w:type="pct"/>
            <w:vAlign w:val="center"/>
          </w:tcPr>
          <w:p w14:paraId="220175A5" w14:textId="6ED56610" w:rsidR="00AE2750" w:rsidRPr="00134561" w:rsidRDefault="009A385A" w:rsidP="00B21D3C">
            <w:pPr>
              <w:ind w:left="0" w:right="0"/>
            </w:pPr>
            <w:r w:rsidRPr="00134561">
              <w:rPr>
                <w:rFonts w:ascii="Wingdings" w:eastAsia="Wingdings" w:hAnsi="Wingdings" w:cs="Wingdings"/>
              </w:rPr>
              <w:t></w:t>
            </w:r>
          </w:p>
        </w:tc>
        <w:tc>
          <w:tcPr>
            <w:tcW w:w="873" w:type="pct"/>
            <w:vAlign w:val="center"/>
          </w:tcPr>
          <w:p w14:paraId="2D0B007A" w14:textId="3C18478A" w:rsidR="00AE2750" w:rsidRPr="00134561" w:rsidRDefault="009A385A" w:rsidP="00B21D3C">
            <w:pPr>
              <w:ind w:left="0" w:right="0"/>
            </w:pPr>
            <w:r w:rsidRPr="00134561">
              <w:t>-</w:t>
            </w:r>
          </w:p>
        </w:tc>
      </w:tr>
      <w:tr w:rsidR="00BF5014" w:rsidRPr="00134561" w14:paraId="1982DA33" w14:textId="77777777" w:rsidTr="00B21D3C">
        <w:trPr>
          <w:trHeight w:val="79"/>
        </w:trPr>
        <w:tc>
          <w:tcPr>
            <w:tcW w:w="794" w:type="pct"/>
            <w:vMerge/>
          </w:tcPr>
          <w:p w14:paraId="2988CC23" w14:textId="77777777" w:rsidR="00AE2750" w:rsidRPr="00134561" w:rsidRDefault="00AE2750" w:rsidP="00610F77">
            <w:pPr>
              <w:spacing w:before="0" w:after="0"/>
              <w:ind w:left="0" w:right="0"/>
              <w:rPr>
                <w:sz w:val="19"/>
                <w:szCs w:val="19"/>
              </w:rPr>
            </w:pPr>
          </w:p>
        </w:tc>
        <w:tc>
          <w:tcPr>
            <w:tcW w:w="1057" w:type="pct"/>
          </w:tcPr>
          <w:p w14:paraId="000C196F" w14:textId="2FFF5B12" w:rsidR="00AE2750" w:rsidRPr="00134561" w:rsidRDefault="004A0EDE" w:rsidP="00610F77">
            <w:pPr>
              <w:ind w:left="0" w:right="0"/>
            </w:pPr>
            <w:r w:rsidRPr="00134561">
              <w:t>Seizure worsening</w:t>
            </w:r>
          </w:p>
        </w:tc>
        <w:tc>
          <w:tcPr>
            <w:tcW w:w="731" w:type="pct"/>
            <w:vAlign w:val="center"/>
          </w:tcPr>
          <w:p w14:paraId="6B386C12" w14:textId="2412DEC0" w:rsidR="00AE2750" w:rsidRPr="00134561" w:rsidRDefault="009A385A" w:rsidP="00610F77">
            <w:pPr>
              <w:ind w:left="0" w:right="0"/>
            </w:pPr>
            <w:r w:rsidRPr="00134561">
              <w:rPr>
                <w:rFonts w:ascii="Wingdings" w:eastAsia="Wingdings" w:hAnsi="Wingdings" w:cs="Wingdings"/>
              </w:rPr>
              <w:t></w:t>
            </w:r>
          </w:p>
        </w:tc>
        <w:tc>
          <w:tcPr>
            <w:tcW w:w="813" w:type="pct"/>
            <w:vAlign w:val="center"/>
          </w:tcPr>
          <w:p w14:paraId="6E96E9F2" w14:textId="7055793C" w:rsidR="00AE2750" w:rsidRPr="00134561" w:rsidRDefault="00796772" w:rsidP="00610F77">
            <w:pPr>
              <w:ind w:left="0" w:right="0"/>
            </w:pPr>
            <w:r w:rsidRPr="00134561">
              <w:rPr>
                <w:rFonts w:ascii="Wingdings" w:eastAsia="Wingdings" w:hAnsi="Wingdings" w:cs="Wingdings"/>
              </w:rPr>
              <w:t></w:t>
            </w:r>
            <w:r w:rsidRPr="00134561">
              <w:t>+</w:t>
            </w:r>
          </w:p>
        </w:tc>
        <w:tc>
          <w:tcPr>
            <w:tcW w:w="732" w:type="pct"/>
            <w:vAlign w:val="center"/>
          </w:tcPr>
          <w:p w14:paraId="2E99D6AF" w14:textId="7BCF5185" w:rsidR="00AE2750" w:rsidRPr="00134561" w:rsidRDefault="009A385A" w:rsidP="00610F77">
            <w:pPr>
              <w:ind w:left="0" w:right="0"/>
            </w:pPr>
            <w:r w:rsidRPr="00134561">
              <w:rPr>
                <w:rFonts w:ascii="Wingdings" w:eastAsia="Wingdings" w:hAnsi="Wingdings" w:cs="Wingdings"/>
              </w:rPr>
              <w:t></w:t>
            </w:r>
          </w:p>
        </w:tc>
        <w:tc>
          <w:tcPr>
            <w:tcW w:w="873" w:type="pct"/>
            <w:vAlign w:val="center"/>
          </w:tcPr>
          <w:p w14:paraId="5ECDD575" w14:textId="533D08A6" w:rsidR="00AE2750" w:rsidRPr="00134561" w:rsidRDefault="009A385A" w:rsidP="00610F77">
            <w:pPr>
              <w:ind w:left="0" w:right="0"/>
            </w:pPr>
            <w:r w:rsidRPr="00134561">
              <w:t>-</w:t>
            </w:r>
          </w:p>
        </w:tc>
      </w:tr>
      <w:tr w:rsidR="00BF5014" w:rsidRPr="00134561" w14:paraId="7D9F612B" w14:textId="77777777" w:rsidTr="00B21D3C">
        <w:trPr>
          <w:trHeight w:val="79"/>
        </w:trPr>
        <w:tc>
          <w:tcPr>
            <w:tcW w:w="794" w:type="pct"/>
            <w:vMerge/>
          </w:tcPr>
          <w:p w14:paraId="4BF99132" w14:textId="77777777" w:rsidR="00AE2750" w:rsidRPr="00134561" w:rsidRDefault="00AE2750" w:rsidP="00610F77">
            <w:pPr>
              <w:spacing w:before="0" w:after="0"/>
              <w:ind w:left="0" w:right="0"/>
              <w:rPr>
                <w:sz w:val="19"/>
                <w:szCs w:val="19"/>
              </w:rPr>
            </w:pPr>
          </w:p>
        </w:tc>
        <w:tc>
          <w:tcPr>
            <w:tcW w:w="1057" w:type="pct"/>
          </w:tcPr>
          <w:p w14:paraId="40440D9F" w14:textId="72559382" w:rsidR="00AE2750" w:rsidRPr="00134561" w:rsidRDefault="004A0EDE" w:rsidP="00610F77">
            <w:pPr>
              <w:ind w:left="0" w:right="0"/>
            </w:pPr>
            <w:r w:rsidRPr="00134561">
              <w:t>Aggression</w:t>
            </w:r>
          </w:p>
        </w:tc>
        <w:tc>
          <w:tcPr>
            <w:tcW w:w="731" w:type="pct"/>
            <w:vAlign w:val="center"/>
          </w:tcPr>
          <w:p w14:paraId="0DCB5A2B" w14:textId="11BD9292" w:rsidR="00AE2750" w:rsidRPr="00134561" w:rsidRDefault="009A385A" w:rsidP="00610F77">
            <w:pPr>
              <w:ind w:left="0" w:right="0"/>
            </w:pPr>
            <w:r w:rsidRPr="00134561">
              <w:rPr>
                <w:rFonts w:ascii="Wingdings" w:eastAsia="Wingdings" w:hAnsi="Wingdings" w:cs="Wingdings"/>
              </w:rPr>
              <w:t></w:t>
            </w:r>
          </w:p>
        </w:tc>
        <w:tc>
          <w:tcPr>
            <w:tcW w:w="813" w:type="pct"/>
            <w:vAlign w:val="center"/>
          </w:tcPr>
          <w:p w14:paraId="4D4EC916" w14:textId="27688E0E" w:rsidR="00AE2750" w:rsidRPr="00134561" w:rsidRDefault="00796772" w:rsidP="00610F77">
            <w:pPr>
              <w:ind w:left="0" w:right="0"/>
            </w:pPr>
            <w:r w:rsidRPr="00134561">
              <w:rPr>
                <w:rFonts w:ascii="Wingdings" w:eastAsia="Wingdings" w:hAnsi="Wingdings" w:cs="Wingdings"/>
              </w:rPr>
              <w:t></w:t>
            </w:r>
            <w:r w:rsidRPr="00134561">
              <w:t>+</w:t>
            </w:r>
          </w:p>
        </w:tc>
        <w:tc>
          <w:tcPr>
            <w:tcW w:w="732" w:type="pct"/>
            <w:vAlign w:val="center"/>
          </w:tcPr>
          <w:p w14:paraId="628523F0" w14:textId="7FC2BC18" w:rsidR="00AE2750" w:rsidRPr="00134561" w:rsidRDefault="009A385A" w:rsidP="00610F77">
            <w:pPr>
              <w:ind w:left="0" w:right="0"/>
            </w:pPr>
            <w:r w:rsidRPr="00134561">
              <w:rPr>
                <w:rFonts w:ascii="Wingdings" w:eastAsia="Wingdings" w:hAnsi="Wingdings" w:cs="Wingdings"/>
              </w:rPr>
              <w:t></w:t>
            </w:r>
          </w:p>
        </w:tc>
        <w:tc>
          <w:tcPr>
            <w:tcW w:w="873" w:type="pct"/>
            <w:vAlign w:val="center"/>
          </w:tcPr>
          <w:p w14:paraId="28C08AF3" w14:textId="42E10193" w:rsidR="00AE2750" w:rsidRPr="00134561" w:rsidRDefault="009A385A" w:rsidP="00610F77">
            <w:pPr>
              <w:ind w:left="0" w:right="0"/>
            </w:pPr>
            <w:r w:rsidRPr="00134561">
              <w:t>-</w:t>
            </w:r>
          </w:p>
        </w:tc>
      </w:tr>
      <w:tr w:rsidR="00BF5014" w:rsidRPr="00134561" w14:paraId="6214DB59" w14:textId="77777777" w:rsidTr="00B21D3C">
        <w:trPr>
          <w:trHeight w:val="79"/>
        </w:trPr>
        <w:tc>
          <w:tcPr>
            <w:tcW w:w="794" w:type="pct"/>
            <w:vMerge/>
          </w:tcPr>
          <w:p w14:paraId="665FA71B" w14:textId="77777777" w:rsidR="00AE2750" w:rsidRPr="00134561" w:rsidRDefault="00AE2750" w:rsidP="00610F77">
            <w:pPr>
              <w:spacing w:before="0" w:after="0"/>
              <w:ind w:left="0" w:right="0"/>
              <w:rPr>
                <w:sz w:val="19"/>
                <w:szCs w:val="19"/>
              </w:rPr>
            </w:pPr>
          </w:p>
        </w:tc>
        <w:tc>
          <w:tcPr>
            <w:tcW w:w="1057" w:type="pct"/>
          </w:tcPr>
          <w:p w14:paraId="7E9A93A4" w14:textId="5808D77D" w:rsidR="00AE2750" w:rsidRPr="00134561" w:rsidRDefault="004A0EDE" w:rsidP="00610F77">
            <w:pPr>
              <w:ind w:left="0" w:right="0"/>
            </w:pPr>
            <w:r w:rsidRPr="00134561">
              <w:t>Euphoria</w:t>
            </w:r>
          </w:p>
        </w:tc>
        <w:tc>
          <w:tcPr>
            <w:tcW w:w="731" w:type="pct"/>
            <w:vAlign w:val="center"/>
          </w:tcPr>
          <w:p w14:paraId="0B1EFCCF" w14:textId="0C12A40D" w:rsidR="00AE2750" w:rsidRPr="00134561" w:rsidRDefault="009A385A" w:rsidP="00610F77">
            <w:pPr>
              <w:ind w:left="0" w:right="0"/>
            </w:pPr>
            <w:r w:rsidRPr="00134561">
              <w:rPr>
                <w:rFonts w:ascii="Wingdings" w:eastAsia="Wingdings" w:hAnsi="Wingdings" w:cs="Wingdings"/>
              </w:rPr>
              <w:t></w:t>
            </w:r>
          </w:p>
        </w:tc>
        <w:tc>
          <w:tcPr>
            <w:tcW w:w="813" w:type="pct"/>
            <w:vAlign w:val="center"/>
          </w:tcPr>
          <w:p w14:paraId="3ED538FD" w14:textId="4875BF52" w:rsidR="00AE2750" w:rsidRPr="00134561" w:rsidRDefault="00796772" w:rsidP="00610F77">
            <w:pPr>
              <w:ind w:left="0" w:right="0"/>
            </w:pPr>
            <w:r w:rsidRPr="00134561">
              <w:rPr>
                <w:rFonts w:ascii="Wingdings" w:eastAsia="Wingdings" w:hAnsi="Wingdings" w:cs="Wingdings"/>
              </w:rPr>
              <w:t></w:t>
            </w:r>
            <w:r w:rsidRPr="00134561">
              <w:t>+</w:t>
            </w:r>
          </w:p>
        </w:tc>
        <w:tc>
          <w:tcPr>
            <w:tcW w:w="732" w:type="pct"/>
            <w:vAlign w:val="center"/>
          </w:tcPr>
          <w:p w14:paraId="14F806B3" w14:textId="0A049800" w:rsidR="00AE2750" w:rsidRPr="00134561" w:rsidRDefault="009A385A" w:rsidP="00610F77">
            <w:pPr>
              <w:ind w:left="0" w:right="0"/>
            </w:pPr>
            <w:r w:rsidRPr="00134561">
              <w:rPr>
                <w:rFonts w:ascii="Wingdings" w:eastAsia="Wingdings" w:hAnsi="Wingdings" w:cs="Wingdings"/>
              </w:rPr>
              <w:t></w:t>
            </w:r>
          </w:p>
        </w:tc>
        <w:tc>
          <w:tcPr>
            <w:tcW w:w="873" w:type="pct"/>
            <w:vAlign w:val="center"/>
          </w:tcPr>
          <w:p w14:paraId="0A25AAC4" w14:textId="5084D0D4" w:rsidR="00AE2750" w:rsidRPr="00134561" w:rsidRDefault="009A385A" w:rsidP="00610F77">
            <w:pPr>
              <w:ind w:left="0" w:right="0"/>
            </w:pPr>
            <w:r w:rsidRPr="00134561">
              <w:t>-</w:t>
            </w:r>
          </w:p>
        </w:tc>
      </w:tr>
      <w:tr w:rsidR="00BF5014" w:rsidRPr="00134561" w14:paraId="20BA6FD6" w14:textId="77777777" w:rsidTr="00B21D3C">
        <w:trPr>
          <w:trHeight w:val="79"/>
        </w:trPr>
        <w:tc>
          <w:tcPr>
            <w:tcW w:w="794" w:type="pct"/>
            <w:vMerge/>
          </w:tcPr>
          <w:p w14:paraId="552FBD5F" w14:textId="77777777" w:rsidR="00AE2750" w:rsidRPr="00134561" w:rsidRDefault="00AE2750" w:rsidP="00610F77">
            <w:pPr>
              <w:spacing w:before="0" w:after="0"/>
              <w:ind w:left="0" w:right="0"/>
              <w:rPr>
                <w:sz w:val="19"/>
                <w:szCs w:val="19"/>
              </w:rPr>
            </w:pPr>
          </w:p>
        </w:tc>
        <w:tc>
          <w:tcPr>
            <w:tcW w:w="1057" w:type="pct"/>
          </w:tcPr>
          <w:p w14:paraId="2380CFC3" w14:textId="663FBA96" w:rsidR="00AE2750" w:rsidRPr="00134561" w:rsidRDefault="00BF5014" w:rsidP="00610F77">
            <w:pPr>
              <w:ind w:left="0" w:right="0"/>
            </w:pPr>
            <w:r w:rsidRPr="00134561">
              <w:t xml:space="preserve">Impact on </w:t>
            </w:r>
            <w:r w:rsidR="004A0EDE" w:rsidRPr="00134561">
              <w:t>cognitive development</w:t>
            </w:r>
          </w:p>
        </w:tc>
        <w:tc>
          <w:tcPr>
            <w:tcW w:w="731" w:type="pct"/>
            <w:vAlign w:val="center"/>
          </w:tcPr>
          <w:p w14:paraId="1FAF350C" w14:textId="3F6BB92A" w:rsidR="00AE2750" w:rsidRPr="00134561" w:rsidRDefault="009A385A" w:rsidP="00610F77">
            <w:pPr>
              <w:ind w:left="0" w:right="0"/>
            </w:pPr>
            <w:r w:rsidRPr="00134561">
              <w:rPr>
                <w:rFonts w:ascii="Wingdings" w:eastAsia="Wingdings" w:hAnsi="Wingdings" w:cs="Wingdings"/>
              </w:rPr>
              <w:t></w:t>
            </w:r>
          </w:p>
        </w:tc>
        <w:tc>
          <w:tcPr>
            <w:tcW w:w="813" w:type="pct"/>
            <w:vAlign w:val="center"/>
          </w:tcPr>
          <w:p w14:paraId="1F92D298" w14:textId="726BF12D" w:rsidR="00AE2750" w:rsidRPr="00134561" w:rsidRDefault="00796772" w:rsidP="00610F77">
            <w:pPr>
              <w:ind w:left="0" w:right="0"/>
            </w:pPr>
            <w:r w:rsidRPr="00134561">
              <w:rPr>
                <w:rFonts w:ascii="Wingdings" w:eastAsia="Wingdings" w:hAnsi="Wingdings" w:cs="Wingdings"/>
              </w:rPr>
              <w:t></w:t>
            </w:r>
            <w:r w:rsidRPr="00134561">
              <w:t>+</w:t>
            </w:r>
          </w:p>
        </w:tc>
        <w:tc>
          <w:tcPr>
            <w:tcW w:w="732" w:type="pct"/>
            <w:vAlign w:val="center"/>
          </w:tcPr>
          <w:p w14:paraId="5EA5E4C3" w14:textId="58D90192" w:rsidR="00AE2750" w:rsidRPr="00134561" w:rsidRDefault="009A385A" w:rsidP="00610F77">
            <w:pPr>
              <w:ind w:left="0" w:right="0"/>
            </w:pPr>
            <w:r w:rsidRPr="00134561">
              <w:rPr>
                <w:rFonts w:ascii="Wingdings" w:eastAsia="Wingdings" w:hAnsi="Wingdings" w:cs="Wingdings"/>
              </w:rPr>
              <w:t></w:t>
            </w:r>
          </w:p>
        </w:tc>
        <w:tc>
          <w:tcPr>
            <w:tcW w:w="873" w:type="pct"/>
            <w:vAlign w:val="center"/>
          </w:tcPr>
          <w:p w14:paraId="1D45FAFD" w14:textId="6EDFBE62" w:rsidR="00AE2750" w:rsidRPr="00134561" w:rsidRDefault="009A385A" w:rsidP="00610F77">
            <w:pPr>
              <w:ind w:left="0" w:right="0"/>
            </w:pPr>
            <w:r w:rsidRPr="00134561">
              <w:t>-</w:t>
            </w:r>
          </w:p>
        </w:tc>
      </w:tr>
      <w:tr w:rsidR="00BF5014" w:rsidRPr="00134561" w14:paraId="6EFC9AFA" w14:textId="77777777" w:rsidTr="00B21D3C">
        <w:trPr>
          <w:trHeight w:val="500"/>
        </w:trPr>
        <w:tc>
          <w:tcPr>
            <w:tcW w:w="794" w:type="pct"/>
            <w:vMerge/>
          </w:tcPr>
          <w:p w14:paraId="4773413A" w14:textId="77777777" w:rsidR="00BF5014" w:rsidRPr="00134561" w:rsidRDefault="00BF5014" w:rsidP="00610F77">
            <w:pPr>
              <w:spacing w:before="0" w:after="0"/>
              <w:ind w:left="0" w:right="0"/>
              <w:rPr>
                <w:sz w:val="19"/>
                <w:szCs w:val="19"/>
              </w:rPr>
            </w:pPr>
          </w:p>
        </w:tc>
        <w:tc>
          <w:tcPr>
            <w:tcW w:w="1057" w:type="pct"/>
          </w:tcPr>
          <w:p w14:paraId="2B9A2464" w14:textId="521C1475" w:rsidR="00BF5014" w:rsidRPr="00134561" w:rsidRDefault="00BF5014" w:rsidP="00610F77">
            <w:pPr>
              <w:ind w:left="0" w:right="0"/>
            </w:pPr>
            <w:r w:rsidRPr="00134561">
              <w:t>Urinary retention</w:t>
            </w:r>
          </w:p>
        </w:tc>
        <w:tc>
          <w:tcPr>
            <w:tcW w:w="731" w:type="pct"/>
            <w:vAlign w:val="center"/>
          </w:tcPr>
          <w:p w14:paraId="5372CD65" w14:textId="71A67025" w:rsidR="00BF5014" w:rsidRPr="00134561" w:rsidRDefault="00BF5014" w:rsidP="00610F77">
            <w:pPr>
              <w:ind w:left="0" w:right="0"/>
            </w:pPr>
            <w:r w:rsidRPr="00134561">
              <w:rPr>
                <w:rFonts w:ascii="Wingdings" w:eastAsia="Wingdings" w:hAnsi="Wingdings" w:cs="Wingdings"/>
              </w:rPr>
              <w:t></w:t>
            </w:r>
          </w:p>
        </w:tc>
        <w:tc>
          <w:tcPr>
            <w:tcW w:w="813" w:type="pct"/>
            <w:vAlign w:val="center"/>
          </w:tcPr>
          <w:p w14:paraId="763E76F3" w14:textId="7DB17931" w:rsidR="00BF5014" w:rsidRPr="00134561" w:rsidRDefault="00BF5014" w:rsidP="00610F77">
            <w:pPr>
              <w:ind w:left="0" w:right="0"/>
            </w:pPr>
            <w:r w:rsidRPr="00134561">
              <w:rPr>
                <w:rFonts w:ascii="Wingdings" w:eastAsia="Wingdings" w:hAnsi="Wingdings" w:cs="Wingdings"/>
              </w:rPr>
              <w:t></w:t>
            </w:r>
            <w:r w:rsidRPr="00134561">
              <w:t>+</w:t>
            </w:r>
          </w:p>
        </w:tc>
        <w:tc>
          <w:tcPr>
            <w:tcW w:w="732" w:type="pct"/>
            <w:vAlign w:val="center"/>
          </w:tcPr>
          <w:p w14:paraId="5566519F" w14:textId="79EDFBA5" w:rsidR="00BF5014" w:rsidRPr="00134561" w:rsidRDefault="00BF5014" w:rsidP="00610F77">
            <w:pPr>
              <w:ind w:left="0" w:right="0"/>
            </w:pPr>
            <w:r w:rsidRPr="00134561">
              <w:rPr>
                <w:rFonts w:ascii="Wingdings" w:eastAsia="Wingdings" w:hAnsi="Wingdings" w:cs="Wingdings"/>
              </w:rPr>
              <w:t></w:t>
            </w:r>
          </w:p>
        </w:tc>
        <w:tc>
          <w:tcPr>
            <w:tcW w:w="873" w:type="pct"/>
            <w:vAlign w:val="center"/>
          </w:tcPr>
          <w:p w14:paraId="515618A7" w14:textId="680997B1" w:rsidR="00BF5014" w:rsidRPr="00134561" w:rsidRDefault="00BF5014" w:rsidP="00610F77">
            <w:pPr>
              <w:ind w:left="0" w:right="0"/>
            </w:pPr>
            <w:r w:rsidRPr="00134561">
              <w:t>-</w:t>
            </w:r>
          </w:p>
        </w:tc>
      </w:tr>
      <w:tr w:rsidR="00BF5014" w:rsidRPr="00134561" w14:paraId="42C212CF" w14:textId="77777777" w:rsidTr="00B21D3C">
        <w:tc>
          <w:tcPr>
            <w:tcW w:w="794" w:type="pct"/>
            <w:vMerge w:val="restart"/>
          </w:tcPr>
          <w:p w14:paraId="0E8D6D8A" w14:textId="77777777" w:rsidR="00AE2750" w:rsidRPr="00134561" w:rsidRDefault="00AE2750" w:rsidP="00B21D3C">
            <w:pPr>
              <w:ind w:left="0" w:right="0"/>
            </w:pPr>
            <w:r w:rsidRPr="00134561">
              <w:t>Missing information</w:t>
            </w:r>
          </w:p>
        </w:tc>
        <w:tc>
          <w:tcPr>
            <w:tcW w:w="1057" w:type="pct"/>
            <w:tcBorders>
              <w:top w:val="single" w:sz="4" w:space="0" w:color="auto"/>
              <w:bottom w:val="single" w:sz="4" w:space="0" w:color="auto"/>
            </w:tcBorders>
          </w:tcPr>
          <w:p w14:paraId="62AFFC8E" w14:textId="35E60713" w:rsidR="00AE2750" w:rsidRPr="00134561" w:rsidRDefault="004A0EDE" w:rsidP="00B21D3C">
            <w:pPr>
              <w:ind w:left="0" w:right="0"/>
            </w:pPr>
            <w:r w:rsidRPr="00134561">
              <w:t>Exposure during pregnancy and lactation</w:t>
            </w:r>
          </w:p>
        </w:tc>
        <w:tc>
          <w:tcPr>
            <w:tcW w:w="731" w:type="pct"/>
            <w:vAlign w:val="center"/>
          </w:tcPr>
          <w:p w14:paraId="1478C0FC" w14:textId="3EC70DC6" w:rsidR="00AE2750" w:rsidRPr="00134561" w:rsidRDefault="009A385A" w:rsidP="00B21D3C">
            <w:pPr>
              <w:ind w:left="0" w:right="0"/>
            </w:pPr>
            <w:r w:rsidRPr="00134561">
              <w:rPr>
                <w:rFonts w:ascii="Wingdings" w:eastAsia="Wingdings" w:hAnsi="Wingdings" w:cs="Wingdings"/>
              </w:rPr>
              <w:t></w:t>
            </w:r>
          </w:p>
        </w:tc>
        <w:tc>
          <w:tcPr>
            <w:tcW w:w="813" w:type="pct"/>
            <w:vAlign w:val="center"/>
          </w:tcPr>
          <w:p w14:paraId="77903E83" w14:textId="462F98C7" w:rsidR="00AE2750" w:rsidRPr="00134561" w:rsidRDefault="00796772" w:rsidP="00B21D3C">
            <w:pPr>
              <w:ind w:left="0" w:right="0"/>
            </w:pPr>
            <w:r w:rsidRPr="00134561">
              <w:rPr>
                <w:rFonts w:ascii="Wingdings" w:eastAsia="Wingdings" w:hAnsi="Wingdings" w:cs="Wingdings"/>
              </w:rPr>
              <w:t></w:t>
            </w:r>
            <w:r w:rsidRPr="00134561">
              <w:t>+</w:t>
            </w:r>
            <w:r w:rsidR="009A385A" w:rsidRPr="00134561">
              <w:t>+</w:t>
            </w:r>
          </w:p>
        </w:tc>
        <w:tc>
          <w:tcPr>
            <w:tcW w:w="732" w:type="pct"/>
            <w:vAlign w:val="center"/>
          </w:tcPr>
          <w:p w14:paraId="73BB25EB" w14:textId="263841F9" w:rsidR="00AE2750" w:rsidRPr="00134561" w:rsidRDefault="00B7039A" w:rsidP="00B21D3C">
            <w:pPr>
              <w:ind w:left="0" w:right="0"/>
            </w:pPr>
            <w:r w:rsidRPr="00134561">
              <w:rPr>
                <w:rFonts w:ascii="Wingdings" w:eastAsia="Wingdings" w:hAnsi="Wingdings" w:cs="Wingdings"/>
              </w:rPr>
              <w:t></w:t>
            </w:r>
          </w:p>
        </w:tc>
        <w:tc>
          <w:tcPr>
            <w:tcW w:w="873" w:type="pct"/>
            <w:vAlign w:val="center"/>
          </w:tcPr>
          <w:p w14:paraId="6DAA8BCC" w14:textId="2314E0A4" w:rsidR="00AE2750" w:rsidRPr="00134561" w:rsidRDefault="00B7039A" w:rsidP="00B21D3C">
            <w:pPr>
              <w:ind w:left="0" w:right="0"/>
            </w:pPr>
            <w:r w:rsidRPr="00134561">
              <w:t>-</w:t>
            </w:r>
          </w:p>
        </w:tc>
      </w:tr>
      <w:tr w:rsidR="00BF5014" w:rsidRPr="00134561" w14:paraId="07818BBD" w14:textId="77777777" w:rsidTr="00B21D3C">
        <w:tc>
          <w:tcPr>
            <w:tcW w:w="794" w:type="pct"/>
            <w:vMerge/>
          </w:tcPr>
          <w:p w14:paraId="2A587939" w14:textId="77777777" w:rsidR="00AE2750" w:rsidRPr="00134561" w:rsidRDefault="00AE2750" w:rsidP="00610F77">
            <w:pPr>
              <w:spacing w:before="0" w:after="0"/>
              <w:ind w:left="0" w:right="0"/>
              <w:rPr>
                <w:sz w:val="19"/>
                <w:szCs w:val="19"/>
              </w:rPr>
            </w:pPr>
          </w:p>
        </w:tc>
        <w:tc>
          <w:tcPr>
            <w:tcW w:w="1057" w:type="pct"/>
            <w:tcBorders>
              <w:top w:val="single" w:sz="4" w:space="0" w:color="auto"/>
            </w:tcBorders>
          </w:tcPr>
          <w:p w14:paraId="1F2F5A5F" w14:textId="54AA4409" w:rsidR="00AE2750" w:rsidRPr="00134561" w:rsidRDefault="004A0EDE" w:rsidP="00610F77">
            <w:pPr>
              <w:ind w:left="0" w:right="0"/>
            </w:pPr>
            <w:r w:rsidRPr="00134561">
              <w:t>Long-term safety</w:t>
            </w:r>
          </w:p>
        </w:tc>
        <w:tc>
          <w:tcPr>
            <w:tcW w:w="731" w:type="pct"/>
            <w:vAlign w:val="center"/>
          </w:tcPr>
          <w:p w14:paraId="76AAC01B" w14:textId="751CA891" w:rsidR="00AE2750" w:rsidRPr="00134561" w:rsidRDefault="009A385A" w:rsidP="00610F77">
            <w:pPr>
              <w:ind w:left="0" w:right="0"/>
            </w:pPr>
            <w:r w:rsidRPr="00134561">
              <w:rPr>
                <w:rFonts w:ascii="Wingdings" w:eastAsia="Wingdings" w:hAnsi="Wingdings" w:cs="Wingdings"/>
              </w:rPr>
              <w:t></w:t>
            </w:r>
          </w:p>
        </w:tc>
        <w:tc>
          <w:tcPr>
            <w:tcW w:w="813" w:type="pct"/>
            <w:vAlign w:val="center"/>
          </w:tcPr>
          <w:p w14:paraId="0F98C499" w14:textId="49DB4EC6" w:rsidR="00AE2750" w:rsidRPr="00134561" w:rsidRDefault="009A385A" w:rsidP="00610F77">
            <w:pPr>
              <w:ind w:left="0" w:right="0"/>
            </w:pPr>
            <w:r w:rsidRPr="00134561">
              <w:rPr>
                <w:rFonts w:ascii="Wingdings" w:eastAsia="Wingdings" w:hAnsi="Wingdings" w:cs="Wingdings"/>
              </w:rPr>
              <w:t></w:t>
            </w:r>
            <w:r w:rsidRPr="00134561">
              <w:t>+</w:t>
            </w:r>
          </w:p>
        </w:tc>
        <w:tc>
          <w:tcPr>
            <w:tcW w:w="732" w:type="pct"/>
            <w:vAlign w:val="center"/>
          </w:tcPr>
          <w:p w14:paraId="72BACD90" w14:textId="6865EFB6" w:rsidR="00AE2750" w:rsidRPr="00134561" w:rsidRDefault="00B7039A" w:rsidP="00610F77">
            <w:pPr>
              <w:ind w:left="0" w:right="0"/>
            </w:pPr>
            <w:r w:rsidRPr="00134561">
              <w:rPr>
                <w:rFonts w:ascii="Wingdings" w:eastAsia="Wingdings" w:hAnsi="Wingdings" w:cs="Wingdings"/>
              </w:rPr>
              <w:t></w:t>
            </w:r>
          </w:p>
        </w:tc>
        <w:tc>
          <w:tcPr>
            <w:tcW w:w="873" w:type="pct"/>
            <w:vAlign w:val="center"/>
          </w:tcPr>
          <w:p w14:paraId="036CFF0F" w14:textId="7F0F1142" w:rsidR="00AE2750" w:rsidRPr="00134561" w:rsidRDefault="00B7039A" w:rsidP="00610F77">
            <w:pPr>
              <w:ind w:left="0" w:right="0"/>
            </w:pPr>
            <w:r w:rsidRPr="00134561">
              <w:t>-</w:t>
            </w:r>
          </w:p>
        </w:tc>
      </w:tr>
    </w:tbl>
    <w:p w14:paraId="062ED477" w14:textId="54849711" w:rsidR="009A385A" w:rsidRDefault="009A385A" w:rsidP="00BF5014">
      <w:pPr>
        <w:pStyle w:val="TableDescription"/>
      </w:pPr>
      <w:r>
        <w:t>*specific adverse drug reaction follow up forms</w:t>
      </w:r>
    </w:p>
    <w:p w14:paraId="7B225393" w14:textId="2F590C04" w:rsidR="009A385A" w:rsidRDefault="009A385A" w:rsidP="00BF5014">
      <w:pPr>
        <w:pStyle w:val="TableDescription"/>
      </w:pPr>
      <w:r>
        <w:t>+ Category 3 post-marketing observational cohort study</w:t>
      </w:r>
    </w:p>
    <w:p w14:paraId="2BBE87C2" w14:textId="4433B851" w:rsidR="009A385A" w:rsidRDefault="009A385A" w:rsidP="00BF5014">
      <w:pPr>
        <w:pStyle w:val="TableDescription"/>
      </w:pPr>
      <w:r>
        <w:t>++ Pregnancy registries</w:t>
      </w:r>
    </w:p>
    <w:p w14:paraId="7B7A9AD7" w14:textId="2300E8D6" w:rsidR="00B7039A" w:rsidRPr="00B7039A" w:rsidRDefault="00B7039A" w:rsidP="00D61FF2">
      <w:r w:rsidRPr="00B7039A">
        <w:t>Subject to the evaluation of the nonclinical and clinical aspects of the safety specifications, the summary of safety concerns is considered acceptable from an RMP perspective.</w:t>
      </w:r>
    </w:p>
    <w:p w14:paraId="563DE243" w14:textId="79B772DA" w:rsidR="00F20074" w:rsidRDefault="00B7039A" w:rsidP="00D61FF2">
      <w:r w:rsidRPr="00B7039A">
        <w:t>The sponsor was asked to clarify if the same pharmacovigilance plan as in the EU will be implemented in Austra</w:t>
      </w:r>
      <w:r w:rsidR="00F20074">
        <w:t xml:space="preserve">lia including the use of follow </w:t>
      </w:r>
      <w:r w:rsidRPr="00B7039A">
        <w:t xml:space="preserve">up forms and ‘enhanced pharmacovigilance plan’ </w:t>
      </w:r>
      <w:r w:rsidR="00F20074">
        <w:t xml:space="preserve">and to provide copies of follow </w:t>
      </w:r>
      <w:r w:rsidRPr="00B7039A">
        <w:t>up forms for review. The sponsor was also asked to clarify if Australian patien</w:t>
      </w:r>
      <w:r w:rsidR="00F20074">
        <w:t xml:space="preserve">ts will be included in the post </w:t>
      </w:r>
      <w:r w:rsidRPr="00B7039A">
        <w:t>marketing observational cohort study.</w:t>
      </w:r>
      <w:r w:rsidR="00F20074">
        <w:t xml:space="preserve"> T</w:t>
      </w:r>
      <w:r w:rsidRPr="00B7039A">
        <w:t xml:space="preserve">he sponsor has confirmed that the pharmacovigilance plan in Australia will include the </w:t>
      </w:r>
      <w:r w:rsidR="00F20074">
        <w:t xml:space="preserve">same follow </w:t>
      </w:r>
      <w:r w:rsidRPr="00B7039A">
        <w:t>up forms and ‘enhanced pharmacovigilance plan’ as in the</w:t>
      </w:r>
      <w:r w:rsidR="00F20074">
        <w:t xml:space="preserve"> EU and has provided the follow up forms for </w:t>
      </w:r>
      <w:r w:rsidRPr="00B7039A">
        <w:t>review. The sponsor has stated that Australian patients w</w:t>
      </w:r>
      <w:r w:rsidR="00F20074">
        <w:t xml:space="preserve">ill not be included in the post </w:t>
      </w:r>
      <w:r w:rsidRPr="00B7039A">
        <w:t xml:space="preserve">marketing observational cohort study and has provided adequate justification for the extrapolation of the findings from the study to Australian patients. The </w:t>
      </w:r>
      <w:r w:rsidR="008271C1">
        <w:t>p</w:t>
      </w:r>
      <w:r w:rsidRPr="00B7039A">
        <w:t>harmacovigilance plan is considered accept</w:t>
      </w:r>
      <w:r w:rsidR="00F20074">
        <w:t>able from an RMP perspective.</w:t>
      </w:r>
    </w:p>
    <w:p w14:paraId="5181E4D4" w14:textId="5F141C46" w:rsidR="00B7039A" w:rsidRPr="00B7039A" w:rsidRDefault="00B7039A" w:rsidP="00D61FF2">
      <w:r w:rsidRPr="00B7039A">
        <w:t xml:space="preserve">Only routine risk minimisation activities have been proposed for all safety concerns using draft PI and </w:t>
      </w:r>
      <w:r w:rsidR="008271C1">
        <w:t>Consumer Medicines Information (</w:t>
      </w:r>
      <w:r w:rsidRPr="00B7039A">
        <w:t>CMI</w:t>
      </w:r>
      <w:r w:rsidR="008271C1">
        <w:t>)</w:t>
      </w:r>
      <w:r w:rsidRPr="00B7039A">
        <w:t xml:space="preserve"> (contains ‘</w:t>
      </w:r>
      <w:r w:rsidRPr="00E135A6">
        <w:rPr>
          <w:i/>
        </w:rPr>
        <w:t>Instructions For Use’</w:t>
      </w:r>
      <w:r w:rsidRPr="00B7039A">
        <w:t xml:space="preserve">). The sponsor was asked to include the </w:t>
      </w:r>
      <w:r w:rsidRPr="00E135A6">
        <w:rPr>
          <w:i/>
        </w:rPr>
        <w:t>‘Instruc</w:t>
      </w:r>
      <w:r w:rsidR="00F20074" w:rsidRPr="00E135A6">
        <w:rPr>
          <w:i/>
        </w:rPr>
        <w:t>tions For Use’</w:t>
      </w:r>
      <w:r w:rsidR="00F20074">
        <w:t xml:space="preserve"> as </w:t>
      </w:r>
      <w:r w:rsidR="00C45EB1">
        <w:t xml:space="preserve">a </w:t>
      </w:r>
      <w:r w:rsidR="00F20074">
        <w:t>package insert.</w:t>
      </w:r>
      <w:r w:rsidRPr="00B7039A">
        <w:t xml:space="preserve"> The sponsor has now stated that the CMI, which contains the ‘</w:t>
      </w:r>
      <w:r w:rsidRPr="00E135A6">
        <w:rPr>
          <w:i/>
        </w:rPr>
        <w:t>Instructions For Use’</w:t>
      </w:r>
      <w:r w:rsidRPr="00B7039A">
        <w:t>, will be included as package insert. This approach is acceptable.</w:t>
      </w:r>
    </w:p>
    <w:p w14:paraId="274F8775" w14:textId="77777777" w:rsidR="008E7846" w:rsidRDefault="00AA0ED0" w:rsidP="008E7846">
      <w:pPr>
        <w:pStyle w:val="Heading3"/>
      </w:pPr>
      <w:bookmarkStart w:id="66" w:name="_Toc247691531"/>
      <w:bookmarkStart w:id="67" w:name="_Toc314842515"/>
      <w:bookmarkStart w:id="68" w:name="_Toc196046505"/>
      <w:bookmarkStart w:id="69" w:name="_Toc196046949"/>
      <w:bookmarkStart w:id="70" w:name="_Toc62725624"/>
      <w:r>
        <w:t>Risk-benefit a</w:t>
      </w:r>
      <w:r w:rsidR="008E7846">
        <w:t>nalysis</w:t>
      </w:r>
      <w:bookmarkEnd w:id="66"/>
      <w:bookmarkEnd w:id="67"/>
      <w:bookmarkEnd w:id="70"/>
    </w:p>
    <w:p w14:paraId="310C5195" w14:textId="77777777" w:rsidR="00D23139" w:rsidRDefault="007D53B6" w:rsidP="00D23139">
      <w:pPr>
        <w:pStyle w:val="Heading4"/>
      </w:pPr>
      <w:r>
        <w:t>Delegate’s considerations</w:t>
      </w:r>
    </w:p>
    <w:p w14:paraId="6F261C3B" w14:textId="51AED3CF" w:rsidR="00B7039A" w:rsidRPr="00B7039A" w:rsidRDefault="00B7039A" w:rsidP="00D61FF2">
      <w:pPr>
        <w:pStyle w:val="Heading5"/>
      </w:pPr>
      <w:r>
        <w:t xml:space="preserve">Summary of </w:t>
      </w:r>
      <w:r w:rsidR="00134561">
        <w:t>k</w:t>
      </w:r>
      <w:r w:rsidRPr="00B7039A">
        <w:t>ey issues</w:t>
      </w:r>
    </w:p>
    <w:p w14:paraId="1286853E" w14:textId="3B009A0B" w:rsidR="00D61FF2" w:rsidRDefault="00B7039A" w:rsidP="00D61FF2">
      <w:pPr>
        <w:pStyle w:val="ListBullet"/>
      </w:pPr>
      <w:r w:rsidRPr="00B7039A">
        <w:t xml:space="preserve">Significant drug interaction observed between </w:t>
      </w:r>
      <w:r w:rsidR="003B2F00">
        <w:t>CLB</w:t>
      </w:r>
      <w:r w:rsidR="00D61FF2">
        <w:t xml:space="preserve"> (and its metabolite) </w:t>
      </w:r>
      <w:r w:rsidR="003B2F00">
        <w:t>on CBD-OS</w:t>
      </w:r>
      <w:r w:rsidRPr="00B7039A">
        <w:t xml:space="preserve"> and thereby affecting its efficacy and safety profile.</w:t>
      </w:r>
    </w:p>
    <w:p w14:paraId="6EE6B74F" w14:textId="2A29D183" w:rsidR="00D61FF2" w:rsidRDefault="00B7039A" w:rsidP="00D61FF2">
      <w:pPr>
        <w:pStyle w:val="ListBullet"/>
      </w:pPr>
      <w:r w:rsidRPr="00B7039A">
        <w:t>Status of</w:t>
      </w:r>
      <w:r w:rsidR="008271C1">
        <w:t xml:space="preserve"> an</w:t>
      </w:r>
      <w:r w:rsidRPr="00B7039A">
        <w:t xml:space="preserve"> additional QT study is ongoing as per FDA review</w:t>
      </w:r>
      <w:r w:rsidR="00134561">
        <w:t>.</w:t>
      </w:r>
      <w:r w:rsidR="00E135A6" w:rsidRPr="00E135A6">
        <w:rPr>
          <w:vertAlign w:val="superscript"/>
        </w:rPr>
        <w:fldChar w:fldCharType="begin"/>
      </w:r>
      <w:r w:rsidR="00E135A6" w:rsidRPr="00E135A6">
        <w:rPr>
          <w:vertAlign w:val="superscript"/>
        </w:rPr>
        <w:instrText xml:space="preserve"> NOTEREF _Ref61602716 \h </w:instrText>
      </w:r>
      <w:r w:rsidR="00E135A6">
        <w:rPr>
          <w:vertAlign w:val="superscript"/>
        </w:rPr>
        <w:instrText xml:space="preserve"> \* MERGEFORMAT </w:instrText>
      </w:r>
      <w:r w:rsidR="00E135A6" w:rsidRPr="00E135A6">
        <w:rPr>
          <w:vertAlign w:val="superscript"/>
        </w:rPr>
      </w:r>
      <w:r w:rsidR="00E135A6" w:rsidRPr="00E135A6">
        <w:rPr>
          <w:vertAlign w:val="superscript"/>
        </w:rPr>
        <w:fldChar w:fldCharType="separate"/>
      </w:r>
      <w:r w:rsidR="00E0078F">
        <w:rPr>
          <w:vertAlign w:val="superscript"/>
        </w:rPr>
        <w:t>10</w:t>
      </w:r>
      <w:r w:rsidR="00E135A6" w:rsidRPr="00E135A6">
        <w:rPr>
          <w:vertAlign w:val="superscript"/>
        </w:rPr>
        <w:fldChar w:fldCharType="end"/>
      </w:r>
      <w:r w:rsidR="00E135A6" w:rsidRPr="00E135A6">
        <w:rPr>
          <w:vertAlign w:val="superscript"/>
        </w:rPr>
        <w:t xml:space="preserve">, </w:t>
      </w:r>
      <w:r w:rsidR="00E135A6" w:rsidRPr="00E135A6">
        <w:rPr>
          <w:vertAlign w:val="superscript"/>
        </w:rPr>
        <w:fldChar w:fldCharType="begin"/>
      </w:r>
      <w:r w:rsidR="00E135A6" w:rsidRPr="00E135A6">
        <w:rPr>
          <w:vertAlign w:val="superscript"/>
        </w:rPr>
        <w:instrText xml:space="preserve"> NOTEREF _Ref57729416 \h </w:instrText>
      </w:r>
      <w:r w:rsidR="00E135A6">
        <w:rPr>
          <w:vertAlign w:val="superscript"/>
        </w:rPr>
        <w:instrText xml:space="preserve"> \* MERGEFORMAT </w:instrText>
      </w:r>
      <w:r w:rsidR="00E135A6" w:rsidRPr="00E135A6">
        <w:rPr>
          <w:vertAlign w:val="superscript"/>
        </w:rPr>
      </w:r>
      <w:r w:rsidR="00E135A6" w:rsidRPr="00E135A6">
        <w:rPr>
          <w:vertAlign w:val="superscript"/>
        </w:rPr>
        <w:fldChar w:fldCharType="separate"/>
      </w:r>
      <w:r w:rsidR="00E0078F">
        <w:rPr>
          <w:vertAlign w:val="superscript"/>
        </w:rPr>
        <w:t>11</w:t>
      </w:r>
      <w:r w:rsidR="00E135A6" w:rsidRPr="00E135A6">
        <w:rPr>
          <w:vertAlign w:val="superscript"/>
        </w:rPr>
        <w:fldChar w:fldCharType="end"/>
      </w:r>
      <w:r w:rsidR="00E135A6" w:rsidRPr="00E135A6">
        <w:t xml:space="preserve"> </w:t>
      </w:r>
    </w:p>
    <w:p w14:paraId="0D87243C" w14:textId="43199D88" w:rsidR="00D61FF2" w:rsidRDefault="00B7039A" w:rsidP="00D61FF2">
      <w:pPr>
        <w:pStyle w:val="ListBullet"/>
      </w:pPr>
      <w:r w:rsidRPr="00B7039A">
        <w:t>Prandial status and its impact on exposure of CBD-OS</w:t>
      </w:r>
      <w:r w:rsidR="00134561">
        <w:t>.</w:t>
      </w:r>
    </w:p>
    <w:p w14:paraId="2C17C5F6" w14:textId="48BD4FEF" w:rsidR="00D61FF2" w:rsidRDefault="00B7039A" w:rsidP="00D61FF2">
      <w:pPr>
        <w:pStyle w:val="ListBullet"/>
      </w:pPr>
      <w:r w:rsidRPr="00B7039A">
        <w:t>Weight based dosing or fixed dosing of CBD-OS</w:t>
      </w:r>
      <w:r w:rsidR="00134561">
        <w:t>.</w:t>
      </w:r>
    </w:p>
    <w:p w14:paraId="363DC72B" w14:textId="21B06263" w:rsidR="00B7039A" w:rsidRPr="00B7039A" w:rsidRDefault="00B7039A" w:rsidP="00D61FF2">
      <w:pPr>
        <w:pStyle w:val="ListBullet"/>
      </w:pPr>
      <w:r w:rsidRPr="00B7039A">
        <w:t xml:space="preserve">Absence of adequate </w:t>
      </w:r>
      <w:proofErr w:type="spellStart"/>
      <w:r w:rsidRPr="00B7039A">
        <w:t>toxicokinetic</w:t>
      </w:r>
      <w:proofErr w:type="spellEnd"/>
      <w:r w:rsidRPr="00B7039A">
        <w:t xml:space="preserve"> and carcinogenicity studies for cannabidiol as well as the lack of toxicology studies for 7-COOH-CBD, however it should not preclude registration</w:t>
      </w:r>
      <w:r w:rsidR="002F2E2C">
        <w:t>,</w:t>
      </w:r>
      <w:r w:rsidRPr="00B7039A">
        <w:t xml:space="preserve"> as per </w:t>
      </w:r>
      <w:r w:rsidR="00D61FF2">
        <w:t xml:space="preserve">the nonclinical </w:t>
      </w:r>
      <w:r w:rsidRPr="00B7039A">
        <w:t>reviewer</w:t>
      </w:r>
      <w:r w:rsidR="00D61FF2">
        <w:t>’s comments</w:t>
      </w:r>
      <w:r w:rsidRPr="00B7039A">
        <w:t>.</w:t>
      </w:r>
    </w:p>
    <w:p w14:paraId="32D7DC02" w14:textId="06BB2C49" w:rsidR="00B7039A" w:rsidRPr="00B7039A" w:rsidRDefault="00B7039A" w:rsidP="00D61FF2">
      <w:pPr>
        <w:pStyle w:val="Heading5"/>
      </w:pPr>
      <w:r w:rsidRPr="00B7039A">
        <w:t>Discussion</w:t>
      </w:r>
    </w:p>
    <w:p w14:paraId="1E20053B" w14:textId="06E3715E" w:rsidR="00B7039A" w:rsidRPr="00B7039A" w:rsidRDefault="00B7039A" w:rsidP="00D61FF2">
      <w:r w:rsidRPr="00B7039A">
        <w:t xml:space="preserve">Both </w:t>
      </w:r>
      <w:r w:rsidR="00C17B79">
        <w:t>Lennox-</w:t>
      </w:r>
      <w:proofErr w:type="spellStart"/>
      <w:r w:rsidR="00C17B79">
        <w:t>Gastault</w:t>
      </w:r>
      <w:proofErr w:type="spellEnd"/>
      <w:r w:rsidR="00C17B79">
        <w:t xml:space="preserve"> syndrome (</w:t>
      </w:r>
      <w:r w:rsidRPr="00B7039A">
        <w:t>LGS</w:t>
      </w:r>
      <w:r w:rsidR="00C17B79">
        <w:t>)</w:t>
      </w:r>
      <w:r w:rsidRPr="00B7039A">
        <w:t xml:space="preserve"> and </w:t>
      </w:r>
      <w:proofErr w:type="spellStart"/>
      <w:r w:rsidR="00C17B79">
        <w:t>Dravet</w:t>
      </w:r>
      <w:proofErr w:type="spellEnd"/>
      <w:r w:rsidR="00C17B79">
        <w:t xml:space="preserve"> syndrome (</w:t>
      </w:r>
      <w:r w:rsidRPr="00B7039A">
        <w:t>DS</w:t>
      </w:r>
      <w:r w:rsidR="00C17B79">
        <w:t>)</w:t>
      </w:r>
      <w:r w:rsidRPr="00B7039A">
        <w:t xml:space="preserve"> are rare, serious, refractory epileptic syndromes affecting children early in life. Both conditions are associated with seizures as well as a high risk of impaired cognition and/or severe neuropsychological disturbances. Currently available antiepileptic treatment such as valproate, </w:t>
      </w:r>
      <w:proofErr w:type="spellStart"/>
      <w:r w:rsidR="008271C1">
        <w:t>clobazam</w:t>
      </w:r>
      <w:proofErr w:type="spellEnd"/>
      <w:r w:rsidR="00D2700E">
        <w:t xml:space="preserve"> (CLB)</w:t>
      </w:r>
      <w:r w:rsidRPr="00B7039A">
        <w:t xml:space="preserve">, clonazepam, </w:t>
      </w:r>
      <w:proofErr w:type="spellStart"/>
      <w:r w:rsidRPr="00B7039A">
        <w:t>felbamate</w:t>
      </w:r>
      <w:proofErr w:type="spellEnd"/>
      <w:r w:rsidRPr="00B7039A">
        <w:t xml:space="preserve">, lamotrigine, </w:t>
      </w:r>
      <w:proofErr w:type="spellStart"/>
      <w:r w:rsidRPr="00B7039A">
        <w:t>rufinamide</w:t>
      </w:r>
      <w:proofErr w:type="spellEnd"/>
      <w:r w:rsidRPr="00B7039A">
        <w:t xml:space="preserve">, </w:t>
      </w:r>
      <w:proofErr w:type="spellStart"/>
      <w:r w:rsidRPr="00B7039A">
        <w:t>topiramate</w:t>
      </w:r>
      <w:proofErr w:type="spellEnd"/>
      <w:r w:rsidRPr="00B7039A">
        <w:t xml:space="preserve">, and </w:t>
      </w:r>
      <w:proofErr w:type="spellStart"/>
      <w:r w:rsidRPr="00B7039A">
        <w:t>ethosuximide</w:t>
      </w:r>
      <w:proofErr w:type="spellEnd"/>
      <w:r w:rsidRPr="00B7039A">
        <w:t xml:space="preserve"> rarely succeeds in keeping the children free of seizures and the risk of </w:t>
      </w:r>
      <w:r w:rsidR="00364BBF">
        <w:t>SUDEP</w:t>
      </w:r>
      <w:r w:rsidRPr="00B7039A">
        <w:t xml:space="preserve"> remains high. Thus, there remains a clear unmet medical need. In that respect, the statistically significant reduction in seizure frequency offered by </w:t>
      </w:r>
      <w:r w:rsidR="00D2700E">
        <w:t>cannabidiol oral solution (</w:t>
      </w:r>
      <w:r w:rsidRPr="00B7039A">
        <w:t>CBD-OS</w:t>
      </w:r>
      <w:r w:rsidR="00D2700E">
        <w:t>)</w:t>
      </w:r>
      <w:r w:rsidRPr="00B7039A">
        <w:t xml:space="preserve"> constitutes a favourable effect in this difficult to treat population of LGS and DS.</w:t>
      </w:r>
    </w:p>
    <w:p w14:paraId="4D756D5E" w14:textId="659CB76D" w:rsidR="00B7039A" w:rsidRPr="00B7039A" w:rsidRDefault="00B7039A" w:rsidP="00D61FF2">
      <w:r w:rsidRPr="00B7039A">
        <w:t xml:space="preserve">Overall, </w:t>
      </w:r>
      <w:r w:rsidR="008271C1">
        <w:t xml:space="preserve">the </w:t>
      </w:r>
      <w:r w:rsidRPr="00B7039A">
        <w:t xml:space="preserve">PK and PD data provided was sufficient to support the proposed usage in the treatment of LGS and DS. </w:t>
      </w:r>
      <w:r w:rsidR="008271C1">
        <w:t>The r</w:t>
      </w:r>
      <w:r w:rsidRPr="00B7039A">
        <w:t xml:space="preserve">eported PK results appear consistent across the studies. Oral bioavailability of CBD-OS was approximately 6.5 % in fasting conditions. CBD-OS appears rapidly in plasma with a </w:t>
      </w:r>
      <w:proofErr w:type="spellStart"/>
      <w:r w:rsidR="00CD1E60">
        <w:t>T</w:t>
      </w:r>
      <w:r w:rsidR="00CD1E60" w:rsidRPr="00CD1E60">
        <w:rPr>
          <w:vertAlign w:val="subscript"/>
        </w:rPr>
        <w:t>max</w:t>
      </w:r>
      <w:proofErr w:type="spellEnd"/>
      <w:r w:rsidR="00CD1E60">
        <w:t xml:space="preserve"> </w:t>
      </w:r>
      <w:r w:rsidRPr="00B7039A">
        <w:t>of</w:t>
      </w:r>
      <w:r w:rsidR="00364BBF">
        <w:t xml:space="preserve"> around 3 hours (range from 2.5 to </w:t>
      </w:r>
      <w:r w:rsidRPr="00B7039A">
        <w:t>5 hours) at steady state.</w:t>
      </w:r>
    </w:p>
    <w:p w14:paraId="48EE46A7" w14:textId="5D9BA1E4" w:rsidR="004C5B16" w:rsidRDefault="00B7039A" w:rsidP="00D61FF2">
      <w:r w:rsidRPr="00B7039A">
        <w:t xml:space="preserve">Concomitant intake of food greatly increases AUC and </w:t>
      </w:r>
      <w:proofErr w:type="spellStart"/>
      <w:r w:rsidRPr="00B7039A">
        <w:t>C</w:t>
      </w:r>
      <w:r w:rsidRPr="00364BBF">
        <w:rPr>
          <w:vertAlign w:val="subscript"/>
        </w:rPr>
        <w:t>max</w:t>
      </w:r>
      <w:proofErr w:type="spellEnd"/>
      <w:r w:rsidR="00364BBF">
        <w:t xml:space="preserve"> exposure to CBD-OS (about 4</w:t>
      </w:r>
      <w:r w:rsidR="008271C1">
        <w:t> </w:t>
      </w:r>
      <w:r w:rsidRPr="00B7039A">
        <w:t xml:space="preserve">fold) </w:t>
      </w:r>
      <w:r w:rsidR="00364BBF">
        <w:t xml:space="preserve">and active metabolites (about 2 </w:t>
      </w:r>
      <w:r w:rsidRPr="00B7039A">
        <w:t xml:space="preserve">fold) in healthy volunteers. It is unknown how this affects efficacy and safety as no restrictions related to concomitant food intake were included in the </w:t>
      </w:r>
      <w:r w:rsidR="008271C1">
        <w:t>Phase III</w:t>
      </w:r>
      <w:r w:rsidRPr="00B7039A">
        <w:t xml:space="preserve"> clinical studies. However, as the dose of CBD-OS is gradually titrated according to efficacy and safety, this uncertainty is considered manageable if CBD-OS is administered consistently either with or without food intake as reflected in the proposed PI</w:t>
      </w:r>
      <w:r w:rsidR="004C5B16">
        <w:t>.</w:t>
      </w:r>
    </w:p>
    <w:p w14:paraId="7D2DAB2C" w14:textId="78A211B5" w:rsidR="004C5B16" w:rsidRDefault="00B7039A" w:rsidP="00D61FF2">
      <w:pPr>
        <w:rPr>
          <w:rFonts w:cs="Cambria"/>
        </w:rPr>
      </w:pPr>
      <w:r w:rsidRPr="00B7039A">
        <w:t>In the LGS and one of the DS studies, clinically meaningful and statistically significant reductions in seizure frequency were demonstrated and supported by a responder analysis that CBD-OS (at doses of both 20 mg/kg/day and 10 mg/kg/day), compared to placebo, significantly increases the nu</w:t>
      </w:r>
      <w:r w:rsidR="00364BBF">
        <w:t>mber of patients achieving a 50</w:t>
      </w:r>
      <w:r w:rsidRPr="00B7039A">
        <w:t>% reduction in primary seizure frequency. A reduction of 50% in the frequency of seizures is considered a clinically relevant effect</w:t>
      </w:r>
      <w:r w:rsidR="004C5B16">
        <w:rPr>
          <w:rFonts w:cs="Cambria"/>
        </w:rPr>
        <w:t>.</w:t>
      </w:r>
    </w:p>
    <w:p w14:paraId="36C60E65" w14:textId="01F62169" w:rsidR="00B7039A" w:rsidRPr="00B7039A" w:rsidRDefault="00B7039A" w:rsidP="00D61FF2">
      <w:r w:rsidRPr="00B7039A">
        <w:t xml:space="preserve">In Study </w:t>
      </w:r>
      <w:r w:rsidR="00364BBF">
        <w:t>LGS-14</w:t>
      </w:r>
      <w:r w:rsidRPr="00B7039A">
        <w:t xml:space="preserve"> in LGS, the median percentage change from </w:t>
      </w:r>
      <w:r w:rsidR="008271C1">
        <w:t>B</w:t>
      </w:r>
      <w:r w:rsidRPr="00B7039A">
        <w:t>aseline in drop seizure (atonic, tonic, or tonic-</w:t>
      </w:r>
      <w:proofErr w:type="spellStart"/>
      <w:r w:rsidRPr="00B7039A">
        <w:t>clonic</w:t>
      </w:r>
      <w:proofErr w:type="spellEnd"/>
      <w:r w:rsidRPr="00B7039A">
        <w:t xml:space="preserve"> seizures that could have led to a fall) frequency per 28 days was 37.2 in the 10 mg/kg/day group and 41.9 in the 20 mg/kg group CBD groups compared to 17.2 in the placebo group (p</w:t>
      </w:r>
      <w:r w:rsidR="002F2E2C">
        <w:t xml:space="preserve"> </w:t>
      </w:r>
      <w:r w:rsidRPr="00B7039A">
        <w:t>=</w:t>
      </w:r>
      <w:r w:rsidR="002F2E2C">
        <w:t xml:space="preserve"> </w:t>
      </w:r>
      <w:r w:rsidRPr="00B7039A">
        <w:t>0.002 and p</w:t>
      </w:r>
      <w:r w:rsidR="002F2E2C">
        <w:t xml:space="preserve"> </w:t>
      </w:r>
      <w:r w:rsidRPr="00B7039A">
        <w:t>=</w:t>
      </w:r>
      <w:r w:rsidR="002F2E2C">
        <w:t xml:space="preserve"> </w:t>
      </w:r>
      <w:r w:rsidRPr="00B7039A">
        <w:t>0.005, respectively). In Study</w:t>
      </w:r>
      <w:r w:rsidR="008271C1">
        <w:t> </w:t>
      </w:r>
      <w:r w:rsidR="00364BBF">
        <w:t>LGS-23</w:t>
      </w:r>
      <w:r w:rsidRPr="00B7039A">
        <w:t xml:space="preserve"> in LGS, the median percentage change from </w:t>
      </w:r>
      <w:r w:rsidR="008271C1">
        <w:t>B</w:t>
      </w:r>
      <w:r w:rsidRPr="00B7039A">
        <w:t xml:space="preserve">aseline in drop seizure frequency per 28 days </w:t>
      </w:r>
      <w:r w:rsidR="00A51F95">
        <w:t xml:space="preserve">was </w:t>
      </w:r>
      <w:r w:rsidRPr="00B7039A">
        <w:t>43.9 in the 20 mg/kg/day CBD group and 21.8 in the placebo group (p</w:t>
      </w:r>
      <w:r w:rsidR="002F2E2C">
        <w:t> </w:t>
      </w:r>
      <w:r w:rsidRPr="00B7039A">
        <w:t>=</w:t>
      </w:r>
      <w:r w:rsidR="002F2E2C">
        <w:t> </w:t>
      </w:r>
      <w:r w:rsidRPr="00B7039A">
        <w:t xml:space="preserve">0.014). In </w:t>
      </w:r>
      <w:r w:rsidR="001620BF">
        <w:t xml:space="preserve">Study </w:t>
      </w:r>
      <w:r w:rsidR="001620BF" w:rsidRPr="00E05842">
        <w:rPr>
          <w:rFonts w:cs="Cambria"/>
          <w:iCs/>
          <w:color w:val="001422"/>
        </w:rPr>
        <w:t>DS-32</w:t>
      </w:r>
      <w:r w:rsidR="001620BF">
        <w:rPr>
          <w:rFonts w:cs="Cambria"/>
          <w:iCs/>
          <w:color w:val="001422"/>
        </w:rPr>
        <w:t xml:space="preserve"> Part B</w:t>
      </w:r>
      <w:r w:rsidRPr="00B7039A">
        <w:t xml:space="preserve"> in DS, the median percentage change from </w:t>
      </w:r>
      <w:r w:rsidR="008271C1">
        <w:t>B</w:t>
      </w:r>
      <w:r w:rsidRPr="00B7039A">
        <w:t>aseline in convulsiv</w:t>
      </w:r>
      <w:r w:rsidR="001620BF">
        <w:t xml:space="preserve">e seizure (tonic, </w:t>
      </w:r>
      <w:proofErr w:type="spellStart"/>
      <w:r w:rsidR="001620BF">
        <w:t>clonic</w:t>
      </w:r>
      <w:proofErr w:type="spellEnd"/>
      <w:r w:rsidR="001620BF">
        <w:t>, tonic-</w:t>
      </w:r>
      <w:proofErr w:type="spellStart"/>
      <w:r w:rsidRPr="00B7039A">
        <w:t>clonic</w:t>
      </w:r>
      <w:proofErr w:type="spellEnd"/>
      <w:r w:rsidRPr="00B7039A">
        <w:t>, or atonic) frequency per 28</w:t>
      </w:r>
      <w:r w:rsidR="002F2E2C">
        <w:t> </w:t>
      </w:r>
      <w:r w:rsidRPr="00B7039A">
        <w:t>days was 38.9 in the CBD group and 13.3 in the placebo group (p</w:t>
      </w:r>
      <w:r w:rsidR="002F2E2C">
        <w:t xml:space="preserve"> </w:t>
      </w:r>
      <w:r w:rsidRPr="00B7039A">
        <w:t>=</w:t>
      </w:r>
      <w:r w:rsidR="002F2E2C">
        <w:t xml:space="preserve"> </w:t>
      </w:r>
      <w:r w:rsidRPr="00B7039A">
        <w:t>0.012). The results from these three adequate and well-controlled studies provide substantial evidence of the effectiveness of CBD for the treatment of seizures associated with LGS and DS.</w:t>
      </w:r>
    </w:p>
    <w:p w14:paraId="6E1906FA" w14:textId="25684BC2" w:rsidR="004C5B16" w:rsidRDefault="00364BBF" w:rsidP="00D61FF2">
      <w:r>
        <w:t>The c</w:t>
      </w:r>
      <w:r w:rsidR="00B7039A" w:rsidRPr="00B7039A">
        <w:t>linical evaluator has highlighted some uncertainties about the favourable effect of CB</w:t>
      </w:r>
      <w:r w:rsidR="001620BF">
        <w:t>D-OS, particularly linked to co</w:t>
      </w:r>
      <w:r w:rsidR="008271C1">
        <w:t>-</w:t>
      </w:r>
      <w:r w:rsidR="00B7039A" w:rsidRPr="00B7039A">
        <w:t xml:space="preserve">administration of </w:t>
      </w:r>
      <w:r>
        <w:t>CLB</w:t>
      </w:r>
      <w:r w:rsidR="00B7039A" w:rsidRPr="00B7039A">
        <w:t xml:space="preserve">, as the effect of CBD-OS without concomitant </w:t>
      </w:r>
      <w:r w:rsidR="003E6010">
        <w:t>CLB</w:t>
      </w:r>
      <w:r w:rsidR="00B7039A" w:rsidRPr="00B7039A">
        <w:t xml:space="preserve"> was relatively smaller. Some of the difference in apparent effect size, between patients treated with and without </w:t>
      </w:r>
      <w:r w:rsidR="003B2F00">
        <w:t>CLB</w:t>
      </w:r>
      <w:r w:rsidR="00B7039A" w:rsidRPr="00B7039A">
        <w:t>, may be asc</w:t>
      </w:r>
      <w:r w:rsidR="001620BF">
        <w:t>ribed to the bi</w:t>
      </w:r>
      <w:r w:rsidR="00B7039A" w:rsidRPr="00B7039A">
        <w:t xml:space="preserve">directional pharmacokinetic interaction with </w:t>
      </w:r>
      <w:r>
        <w:t>CLB</w:t>
      </w:r>
      <w:r w:rsidR="00B7039A" w:rsidRPr="00B7039A">
        <w:t xml:space="preserve"> (leading to increased </w:t>
      </w:r>
      <w:r>
        <w:t>CLB</w:t>
      </w:r>
      <w:r w:rsidR="00B7039A" w:rsidRPr="00B7039A">
        <w:t xml:space="preserve"> active metabolite N-CLB concentrations and increased CBD active metabolite 7-OH-CBD concentrations). CBD-OS and </w:t>
      </w:r>
      <w:r>
        <w:t xml:space="preserve">CLB have a complex 2 </w:t>
      </w:r>
      <w:r w:rsidR="00B7039A" w:rsidRPr="00B7039A">
        <w:t xml:space="preserve">way metabolic interaction. CBD-OS inhibits CYP2C19 which is required to metabolise the active </w:t>
      </w:r>
      <w:r>
        <w:t>CLB</w:t>
      </w:r>
      <w:r w:rsidR="00B7039A" w:rsidRPr="00B7039A">
        <w:t xml:space="preserve"> metabolite N-CLB. This leads to a 2 to 4 fold increase in N-CLB and an approximate 1.5-fold increase in 7-OH-CBD concentrations that may partially explain the treatment difference. In the pivotal trials, a substantial proportion of patients received </w:t>
      </w:r>
      <w:r w:rsidR="003E6010">
        <w:t>CLB</w:t>
      </w:r>
      <w:r w:rsidR="00B7039A" w:rsidRPr="00B7039A">
        <w:t xml:space="preserve"> concomitant treatment at </w:t>
      </w:r>
      <w:r w:rsidR="008271C1">
        <w:t>B</w:t>
      </w:r>
      <w:r w:rsidR="00B7039A" w:rsidRPr="00B7039A">
        <w:t>aseline (approximately 50% in LGS and 65% in DS)</w:t>
      </w:r>
      <w:r w:rsidR="004C5B16">
        <w:t>.</w:t>
      </w:r>
    </w:p>
    <w:p w14:paraId="48F20CEA" w14:textId="1AA968C7" w:rsidR="00B7039A" w:rsidRPr="00B7039A" w:rsidRDefault="00B7039A" w:rsidP="00D61FF2">
      <w:r w:rsidRPr="00B7039A">
        <w:t xml:space="preserve">The sponsor performed a number of analyses, attempting to examine for such an effect. In all pivotal trials, performing the primary analysis on the subgroup of patients on CLB and the subgroup of patients not on CLB consistently revealed larger treatment effect sizes in the CLB subgroups than in the non-CLB subgroups. However, certain factors affected the ability to draw definite conclusions. For </w:t>
      </w:r>
      <w:r w:rsidR="00364BBF">
        <w:t xml:space="preserve">example, PK data for CLB and </w:t>
      </w:r>
      <w:r w:rsidR="002F2E2C">
        <w:t>N-</w:t>
      </w:r>
      <w:r w:rsidRPr="00B7039A">
        <w:t xml:space="preserve">CLB were not collected; therefore, the investigators could not control for increases in CLB or </w:t>
      </w:r>
      <w:r w:rsidR="002F2E2C">
        <w:t>N-</w:t>
      </w:r>
      <w:r w:rsidRPr="00B7039A">
        <w:t>CLB during the treatment period. Additionally, assessing the effect of a single drug was difficult, as many patients were on multiple concomitant AEDs, so separating out the impact of one concomitant drug among many is difficult. There are clearly good arguments on either side on whether to restrict the use of CBD-OS</w:t>
      </w:r>
      <w:r w:rsidR="00364BBF">
        <w:t xml:space="preserve"> to patients already receiving CLB</w:t>
      </w:r>
      <w:r w:rsidRPr="00B7039A">
        <w:t xml:space="preserve"> or not. The </w:t>
      </w:r>
      <w:r w:rsidR="008271C1">
        <w:t>Advisory Committee on Medicines (</w:t>
      </w:r>
      <w:r w:rsidRPr="00B7039A">
        <w:t>ACM</w:t>
      </w:r>
      <w:r w:rsidR="008271C1">
        <w:t xml:space="preserve">) </w:t>
      </w:r>
      <w:r w:rsidRPr="00B7039A">
        <w:t>deliberation on this particular topic will be key to make the final decision.</w:t>
      </w:r>
    </w:p>
    <w:p w14:paraId="08E635FE" w14:textId="660A1A0E" w:rsidR="00B7039A" w:rsidRPr="00B7039A" w:rsidRDefault="00B7039A" w:rsidP="00D61FF2">
      <w:r w:rsidRPr="00B7039A">
        <w:t xml:space="preserve">Four controlled trials in LGS and DS primarily provided the safety data, with the open label extension trial and EAP providing additional supportive data. There was adequate exposure to allow for an assessment of safety. The most commonly observed adverse events in controlled clinical trials that occurred </w:t>
      </w:r>
      <w:r w:rsidR="00364BBF">
        <w:t xml:space="preserve">with a greater incidence in CBD </w:t>
      </w:r>
      <w:r w:rsidRPr="00B7039A">
        <w:t>treated patients than on placebo were in the following categories: central nervous system (</w:t>
      </w:r>
      <w:r w:rsidR="00364BBF">
        <w:t>such as</w:t>
      </w:r>
      <w:r w:rsidRPr="00B7039A">
        <w:t xml:space="preserve"> somnolence, tremor and sedation), gastrointestinal (</w:t>
      </w:r>
      <w:r w:rsidR="00364BBF">
        <w:t xml:space="preserve">such as </w:t>
      </w:r>
      <w:r w:rsidRPr="00B7039A">
        <w:t>vomiting and diarrhoea), hepatic (</w:t>
      </w:r>
      <w:r w:rsidR="00364BBF">
        <w:t>such as</w:t>
      </w:r>
      <w:r w:rsidRPr="00B7039A">
        <w:t xml:space="preserve"> transaminase elevations), and infections (</w:t>
      </w:r>
      <w:r w:rsidR="00364BBF">
        <w:t>such as</w:t>
      </w:r>
      <w:r w:rsidRPr="00B7039A">
        <w:t xml:space="preserve"> pneumonia). These events were generally mild to moderate in severity. There were 21 deaths in the development program; however, as the patients were generally ill with multiple comorbidities, none of the deaths could be attributed to CBD.</w:t>
      </w:r>
    </w:p>
    <w:p w14:paraId="5C1B6BCA" w14:textId="5949CA35" w:rsidR="004C5B16" w:rsidRDefault="00B7039A" w:rsidP="00D61FF2">
      <w:r w:rsidRPr="00B7039A">
        <w:t>Treatment with CBD-OS is clearly associated with an increased risk of hepatotoxicity. In particular, patients with concomitant t</w:t>
      </w:r>
      <w:r w:rsidR="00364BBF">
        <w:t>reatment with valproate and pre</w:t>
      </w:r>
      <w:r w:rsidR="00C17B79">
        <w:t>-</w:t>
      </w:r>
      <w:r w:rsidRPr="00B7039A">
        <w:t xml:space="preserve">existing elevated transaminases are prone to experience additional elevation of transaminases. This risk is considered manageable and acceptable taking into consideration the seriousness of the conditions intended to be treated, including the grave prognosis for these children. These patients are usually cared for in a </w:t>
      </w:r>
      <w:r w:rsidR="00806BCE">
        <w:t xml:space="preserve">clinical </w:t>
      </w:r>
      <w:r w:rsidRPr="00B7039A">
        <w:t>setting and by physicians that are capable of and experienced in handling these safety issues</w:t>
      </w:r>
      <w:r w:rsidR="004C5B16">
        <w:t>.</w:t>
      </w:r>
    </w:p>
    <w:p w14:paraId="464CB1F4" w14:textId="6AAB22EC" w:rsidR="004C5B16" w:rsidRDefault="00B7039A" w:rsidP="00D61FF2">
      <w:r w:rsidRPr="00B7039A">
        <w:t xml:space="preserve">Overall, the benefit-risk profile established by the data in the application support the approval of CBD-OS for the treatment of seizures associated with </w:t>
      </w:r>
      <w:r w:rsidR="003B2F00">
        <w:t>LGS</w:t>
      </w:r>
      <w:r w:rsidRPr="00B7039A">
        <w:t xml:space="preserve"> or </w:t>
      </w:r>
      <w:r w:rsidR="003B2F00">
        <w:t>DS</w:t>
      </w:r>
      <w:r w:rsidRPr="00B7039A">
        <w:t xml:space="preserve"> for patients </w:t>
      </w:r>
      <w:r w:rsidR="00C17B79">
        <w:t xml:space="preserve">aged </w:t>
      </w:r>
      <w:r w:rsidRPr="00B7039A">
        <w:t>2</w:t>
      </w:r>
      <w:r w:rsidR="00C17B79">
        <w:t> </w:t>
      </w:r>
      <w:r w:rsidRPr="00B7039A">
        <w:t>years of age and older</w:t>
      </w:r>
      <w:r w:rsidR="004C5B16">
        <w:t>.</w:t>
      </w:r>
    </w:p>
    <w:p w14:paraId="44B7B8BC" w14:textId="77777777" w:rsidR="00C17B79" w:rsidRDefault="00B7039A" w:rsidP="00364BBF">
      <w:pPr>
        <w:pStyle w:val="Heading5"/>
      </w:pPr>
      <w:r w:rsidRPr="00B7039A">
        <w:t>Deficiencies of the data</w:t>
      </w:r>
    </w:p>
    <w:p w14:paraId="14CEA839" w14:textId="5A6C63ED" w:rsidR="00B7039A" w:rsidRPr="00B7039A" w:rsidRDefault="00C17B79" w:rsidP="002C35DC">
      <w:r>
        <w:t>Identified deficiencies include data on:</w:t>
      </w:r>
    </w:p>
    <w:p w14:paraId="0898D4B0" w14:textId="2E62C6AC" w:rsidR="00364BBF" w:rsidRDefault="00025575" w:rsidP="00D61FF2">
      <w:pPr>
        <w:pStyle w:val="ListBullet"/>
      </w:pPr>
      <w:r>
        <w:t>e</w:t>
      </w:r>
      <w:r w:rsidR="00B7039A" w:rsidRPr="00B7039A">
        <w:t>xposure during pregnancy and lactation</w:t>
      </w:r>
    </w:p>
    <w:p w14:paraId="455B6B1D" w14:textId="793EA766" w:rsidR="00364BBF" w:rsidRDefault="00025575" w:rsidP="00D61FF2">
      <w:pPr>
        <w:pStyle w:val="ListBullet"/>
      </w:pPr>
      <w:r>
        <w:t>l</w:t>
      </w:r>
      <w:r w:rsidR="00364BBF">
        <w:t xml:space="preserve">ong </w:t>
      </w:r>
      <w:r w:rsidR="00B7039A" w:rsidRPr="00B7039A">
        <w:t>term safety</w:t>
      </w:r>
    </w:p>
    <w:p w14:paraId="6C9D1065" w14:textId="2F656B9F" w:rsidR="00B7039A" w:rsidRPr="00B7039A" w:rsidRDefault="00B7039A" w:rsidP="00D61FF2">
      <w:pPr>
        <w:pStyle w:val="ListBullet"/>
      </w:pPr>
      <w:proofErr w:type="spellStart"/>
      <w:r w:rsidRPr="00B7039A">
        <w:t>QTc</w:t>
      </w:r>
      <w:proofErr w:type="spellEnd"/>
      <w:r w:rsidRPr="00B7039A">
        <w:t xml:space="preserve"> </w:t>
      </w:r>
      <w:r w:rsidR="00C17B79">
        <w:t>s</w:t>
      </w:r>
      <w:r w:rsidRPr="00B7039A">
        <w:t>tudy</w:t>
      </w:r>
      <w:r w:rsidR="00025575">
        <w:t>.</w:t>
      </w:r>
      <w:r w:rsidR="00025575" w:rsidRPr="00056D9F">
        <w:rPr>
          <w:vertAlign w:val="superscript"/>
        </w:rPr>
        <w:fldChar w:fldCharType="begin"/>
      </w:r>
      <w:r w:rsidR="00025575" w:rsidRPr="00056D9F">
        <w:rPr>
          <w:vertAlign w:val="superscript"/>
        </w:rPr>
        <w:instrText xml:space="preserve"> NOTEREF _Ref61602716 \h </w:instrText>
      </w:r>
      <w:r w:rsidR="00025575">
        <w:rPr>
          <w:vertAlign w:val="superscript"/>
        </w:rPr>
        <w:instrText xml:space="preserve"> \* MERGEFORMAT </w:instrText>
      </w:r>
      <w:r w:rsidR="00025575" w:rsidRPr="00056D9F">
        <w:rPr>
          <w:vertAlign w:val="superscript"/>
        </w:rPr>
      </w:r>
      <w:r w:rsidR="00025575" w:rsidRPr="00056D9F">
        <w:rPr>
          <w:vertAlign w:val="superscript"/>
        </w:rPr>
        <w:fldChar w:fldCharType="separate"/>
      </w:r>
      <w:r w:rsidR="00E0078F">
        <w:rPr>
          <w:vertAlign w:val="superscript"/>
        </w:rPr>
        <w:t>10</w:t>
      </w:r>
      <w:r w:rsidR="00025575" w:rsidRPr="00056D9F">
        <w:rPr>
          <w:vertAlign w:val="superscript"/>
        </w:rPr>
        <w:fldChar w:fldCharType="end"/>
      </w:r>
    </w:p>
    <w:p w14:paraId="608AD5BF" w14:textId="2B6DDEAF" w:rsidR="00B7039A" w:rsidRPr="00B7039A" w:rsidRDefault="00B7039A" w:rsidP="00364BBF">
      <w:pPr>
        <w:pStyle w:val="Heading5"/>
      </w:pPr>
      <w:r w:rsidRPr="00B7039A">
        <w:t>Conditions of registration</w:t>
      </w:r>
    </w:p>
    <w:p w14:paraId="4936DF52" w14:textId="31049DC4" w:rsidR="00B7039A" w:rsidRPr="00B7039A" w:rsidRDefault="00B7039A" w:rsidP="00D61FF2">
      <w:r w:rsidRPr="00B7039A">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59222BF2" w14:textId="77777777" w:rsidR="00B7039A" w:rsidRPr="00B7039A" w:rsidRDefault="00B7039A" w:rsidP="00D61FF2">
      <w:r w:rsidRPr="00B7039A">
        <w:t xml:space="preserve">The suggested wording is: </w:t>
      </w:r>
    </w:p>
    <w:p w14:paraId="0EFCD6FB" w14:textId="17A2FDA2" w:rsidR="00B7039A" w:rsidRPr="00B7039A" w:rsidRDefault="003B2F00" w:rsidP="003B2F00">
      <w:pPr>
        <w:ind w:left="720"/>
      </w:pPr>
      <w:r>
        <w:t>‘</w:t>
      </w:r>
      <w:r w:rsidR="00B7039A" w:rsidRPr="00B7039A">
        <w:t xml:space="preserve">The </w:t>
      </w:r>
      <w:proofErr w:type="spellStart"/>
      <w:r w:rsidR="002F2E2C" w:rsidRPr="00B7039A">
        <w:t>Epidyolex</w:t>
      </w:r>
      <w:proofErr w:type="spellEnd"/>
      <w:r w:rsidR="00B7039A" w:rsidRPr="00B7039A">
        <w:t xml:space="preserve"> EU-Risk Management Plan (RMP) (version 1.0, dated 2 July 2019, data lock point 1 May 2017), with Australian Specific Annex (version 1.0, dated 23</w:t>
      </w:r>
      <w:r w:rsidR="00C17B79">
        <w:t> </w:t>
      </w:r>
      <w:r w:rsidR="00B7039A" w:rsidRPr="00B7039A">
        <w:t>March 2020), included with submission PM-2020-00157-1-1, and any subsequent revisions, as agreed with the TGA wi</w:t>
      </w:r>
      <w:r>
        <w:t>ll be implemented in Australia.’</w:t>
      </w:r>
    </w:p>
    <w:p w14:paraId="14D01C86" w14:textId="19254468" w:rsidR="00B7039A" w:rsidRPr="00B7039A" w:rsidRDefault="00B7039A" w:rsidP="00D61FF2">
      <w:r w:rsidRPr="00B7039A">
        <w:t>The following wording is recommended for the PSUR requirement:</w:t>
      </w:r>
    </w:p>
    <w:p w14:paraId="33AF8477" w14:textId="77777777" w:rsidR="004C5B16" w:rsidRDefault="003B2F00" w:rsidP="003B2F00">
      <w:pPr>
        <w:ind w:left="720"/>
      </w:pPr>
      <w:r>
        <w:t>‘</w:t>
      </w:r>
      <w:r w:rsidR="00B7039A" w:rsidRPr="00B7039A">
        <w:t>An obligatory component of risk management plans is routine pharmacovigilance. Routine pharmacovigilance includes the submission of periodic safety update reports (PSURs)</w:t>
      </w:r>
      <w:r w:rsidR="004C5B16">
        <w:t>.</w:t>
      </w:r>
    </w:p>
    <w:p w14:paraId="284C5CE5" w14:textId="77777777" w:rsidR="004C5B16" w:rsidRDefault="003B2F00" w:rsidP="003B2F00">
      <w:pPr>
        <w:ind w:left="720"/>
      </w:pPr>
      <w:r>
        <w:t>‘</w:t>
      </w:r>
      <w:r w:rsidR="00B7039A" w:rsidRPr="00B7039A">
        <w:t>Reports are to be provided in line with the current published list of EU reference dates and frequency of submission of PSURs until the period covered by such reports is not less than three years from the date of this approval letter</w:t>
      </w:r>
      <w:r w:rsidR="004C5B16">
        <w:t>.</w:t>
      </w:r>
    </w:p>
    <w:p w14:paraId="1FEC4830" w14:textId="77777777" w:rsidR="004C5B16" w:rsidRDefault="003B2F00" w:rsidP="003B2F00">
      <w:pPr>
        <w:ind w:left="720"/>
      </w:pPr>
      <w:r>
        <w:t>‘</w:t>
      </w:r>
      <w:r w:rsidR="00B7039A" w:rsidRPr="00B7039A">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r w:rsidR="004C5B16">
        <w:t>.</w:t>
      </w:r>
    </w:p>
    <w:p w14:paraId="1FF1E8F0" w14:textId="14947F82" w:rsidR="00B7039A" w:rsidRPr="00B7039A" w:rsidRDefault="00B7039A" w:rsidP="00FA76EC">
      <w:r w:rsidRPr="00B7039A">
        <w:t xml:space="preserve">As </w:t>
      </w:r>
      <w:proofErr w:type="spellStart"/>
      <w:r w:rsidRPr="00B7039A">
        <w:t>E</w:t>
      </w:r>
      <w:r w:rsidR="003B2F00">
        <w:t>pidyolex</w:t>
      </w:r>
      <w:proofErr w:type="spellEnd"/>
      <w:r w:rsidRPr="00B7039A">
        <w:t xml:space="preserve"> is a new chemical entity, it should be included in the Black Triangle Scheme as a condition of registration. The following wording is recommended for the condition of registration:</w:t>
      </w:r>
    </w:p>
    <w:p w14:paraId="4DBE69A5" w14:textId="21FE82D5" w:rsidR="00B7039A" w:rsidRDefault="003B2F00" w:rsidP="003B2F00">
      <w:pPr>
        <w:ind w:left="720"/>
      </w:pPr>
      <w:r>
        <w:t>‘</w:t>
      </w:r>
      <w:proofErr w:type="spellStart"/>
      <w:r>
        <w:t>Epidyolex</w:t>
      </w:r>
      <w:proofErr w:type="spellEnd"/>
      <w:r w:rsidR="00B7039A" w:rsidRPr="00B7039A">
        <w:t xml:space="preserve"> (cannabidiol) is to be included in the Black Triangle Scheme. The PI and CMI for </w:t>
      </w:r>
      <w:proofErr w:type="spellStart"/>
      <w:r>
        <w:t>Epidyolex</w:t>
      </w:r>
      <w:proofErr w:type="spellEnd"/>
      <w:r w:rsidR="00B7039A" w:rsidRPr="00B7039A">
        <w:t xml:space="preserve"> must include the black triangle symbol and mandatory accompanying text for five years, which starts from the date that the sponsor notifies the TGA of supply of the product.</w:t>
      </w:r>
      <w:r>
        <w:t>’</w:t>
      </w:r>
    </w:p>
    <w:p w14:paraId="3BEDED50" w14:textId="25FCE4AB" w:rsidR="002F2E2C" w:rsidRDefault="002F2E2C" w:rsidP="00610F77">
      <w:pPr>
        <w:pStyle w:val="Heading5"/>
      </w:pPr>
      <w:r>
        <w:t>Conclusion</w:t>
      </w:r>
    </w:p>
    <w:p w14:paraId="109971DA" w14:textId="77777777" w:rsidR="002F2E2C" w:rsidRDefault="002F2E2C" w:rsidP="002F2E2C">
      <w:r w:rsidRPr="00B7039A">
        <w:t xml:space="preserve">Overall, </w:t>
      </w:r>
      <w:proofErr w:type="spellStart"/>
      <w:r w:rsidRPr="00B7039A">
        <w:t>Epidyolex</w:t>
      </w:r>
      <w:proofErr w:type="spellEnd"/>
      <w:r w:rsidRPr="00B7039A">
        <w:t xml:space="preserve"> is approvable as the quality, nonclinical and cli</w:t>
      </w:r>
      <w:r>
        <w:t xml:space="preserve">nical evaluators (subjected to PI </w:t>
      </w:r>
      <w:r w:rsidRPr="00B7039A">
        <w:t>changes) have</w:t>
      </w:r>
      <w:r>
        <w:t xml:space="preserve"> all recommended approval. The D</w:t>
      </w:r>
      <w:r w:rsidRPr="00B7039A">
        <w:t xml:space="preserve">elegate considers that sufficient data and justification have been provided to support the registration of </w:t>
      </w:r>
      <w:proofErr w:type="spellStart"/>
      <w:r w:rsidRPr="00B7039A">
        <w:t>Epidyolex</w:t>
      </w:r>
      <w:proofErr w:type="spellEnd"/>
      <w:r w:rsidRPr="00B7039A">
        <w:t xml:space="preserve"> on quality, safety and efficacy grounds </w:t>
      </w:r>
      <w:r>
        <w:t>for the following indication:</w:t>
      </w:r>
    </w:p>
    <w:p w14:paraId="69B1805A" w14:textId="77777777" w:rsidR="002F2E2C" w:rsidRDefault="002F2E2C" w:rsidP="002F2E2C">
      <w:pPr>
        <w:ind w:left="720"/>
        <w:rPr>
          <w:i/>
          <w:iCs/>
          <w:sz w:val="23"/>
          <w:szCs w:val="23"/>
        </w:rPr>
      </w:pPr>
      <w:r>
        <w:rPr>
          <w:i/>
          <w:iCs/>
        </w:rPr>
        <w:t>A</w:t>
      </w:r>
      <w:r w:rsidRPr="00B7039A">
        <w:rPr>
          <w:i/>
          <w:iCs/>
        </w:rPr>
        <w:t xml:space="preserve">s adjunctive therapy of seizures associated with Lennox- </w:t>
      </w:r>
      <w:proofErr w:type="spellStart"/>
      <w:r w:rsidRPr="00B7039A">
        <w:rPr>
          <w:i/>
          <w:iCs/>
        </w:rPr>
        <w:t>Gastaut</w:t>
      </w:r>
      <w:proofErr w:type="spellEnd"/>
      <w:r w:rsidRPr="00B7039A">
        <w:rPr>
          <w:i/>
          <w:iCs/>
        </w:rPr>
        <w:t xml:space="preserve"> syndrome (LGS) or </w:t>
      </w:r>
      <w:proofErr w:type="spellStart"/>
      <w:r w:rsidRPr="00B7039A">
        <w:rPr>
          <w:i/>
          <w:iCs/>
        </w:rPr>
        <w:t>Dravet</w:t>
      </w:r>
      <w:proofErr w:type="spellEnd"/>
      <w:r w:rsidRPr="00B7039A">
        <w:rPr>
          <w:i/>
          <w:iCs/>
        </w:rPr>
        <w:t xml:space="preserve"> syndrome (DS) for patients 2 years of age and older</w:t>
      </w:r>
      <w:r>
        <w:t>.</w:t>
      </w:r>
    </w:p>
    <w:p w14:paraId="71DD3F0C" w14:textId="77F13CB0" w:rsidR="002F2E2C" w:rsidRPr="00B7039A" w:rsidRDefault="002F2E2C" w:rsidP="00610F77">
      <w:r w:rsidRPr="003B2F00">
        <w:t>The question on whether to amend the indication suggested by clinical evaluator will need to be revisited after the deliberations of ACM.</w:t>
      </w:r>
    </w:p>
    <w:p w14:paraId="1DBB60E5" w14:textId="77777777" w:rsidR="002F2E2C" w:rsidRDefault="00D23139" w:rsidP="00610F77">
      <w:pPr>
        <w:pStyle w:val="Heading4"/>
      </w:pPr>
      <w:r w:rsidRPr="00D23139">
        <w:t>Proposed action</w:t>
      </w:r>
    </w:p>
    <w:p w14:paraId="77ACBD67" w14:textId="1B3E97A5" w:rsidR="002F2E2C" w:rsidRDefault="002F2E2C" w:rsidP="002F2E2C">
      <w:r>
        <w:t xml:space="preserve">The Delegate has no reason to say, at this time, that the application for </w:t>
      </w:r>
      <w:proofErr w:type="spellStart"/>
      <w:r>
        <w:t>Epidyolex</w:t>
      </w:r>
      <w:proofErr w:type="spellEnd"/>
      <w:r>
        <w:t xml:space="preserve"> should not be approved for registration.</w:t>
      </w:r>
    </w:p>
    <w:p w14:paraId="39101E7A" w14:textId="38EB0969" w:rsidR="00D23139" w:rsidRDefault="002F2E2C" w:rsidP="00610F77">
      <w:r>
        <w:t>Any approval is subject to taking into account all issues arising from the ACM deliberations and finalising matters pertaining to the PI, to the satisfaction of the TGA.</w:t>
      </w:r>
    </w:p>
    <w:p w14:paraId="1DB744B7" w14:textId="315DBDFD" w:rsidR="007D53B6" w:rsidRDefault="007D53B6" w:rsidP="00610F77">
      <w:pPr>
        <w:pStyle w:val="Heading4"/>
      </w:pPr>
      <w:r>
        <w:t xml:space="preserve">Request for Advisory Committee on Medicines </w:t>
      </w:r>
      <w:r w:rsidR="003B2F00">
        <w:t>advice</w:t>
      </w:r>
    </w:p>
    <w:p w14:paraId="4764CEE9" w14:textId="1835A5B3" w:rsidR="000819A9" w:rsidRPr="00B7039A" w:rsidRDefault="000819A9" w:rsidP="00D61FF2">
      <w:r w:rsidRPr="00B7039A">
        <w:t>The Committee is requested to provide advice on the following specific issues:</w:t>
      </w:r>
    </w:p>
    <w:p w14:paraId="304073CD" w14:textId="00C83EC3" w:rsidR="00E550DE" w:rsidRPr="00E550DE" w:rsidRDefault="000819A9" w:rsidP="00D61FF2">
      <w:pPr>
        <w:pStyle w:val="Numberbullet0"/>
      </w:pPr>
      <w:r w:rsidRPr="00B7039A">
        <w:t>What are</w:t>
      </w:r>
      <w:r w:rsidR="00C17B79">
        <w:t xml:space="preserve"> the</w:t>
      </w:r>
      <w:r w:rsidRPr="00B7039A">
        <w:t xml:space="preserve"> ACM’s views on the efficacy of CBD-OS and to what extent is there sufficient clinical trial evidence to support the proposed indication of </w:t>
      </w:r>
      <w:r w:rsidRPr="00B7039A">
        <w:rPr>
          <w:i/>
          <w:iCs/>
        </w:rPr>
        <w:t xml:space="preserve">adjunctive therapy of seizures associated with Lennox </w:t>
      </w:r>
      <w:proofErr w:type="spellStart"/>
      <w:r w:rsidRPr="00B7039A">
        <w:rPr>
          <w:i/>
          <w:iCs/>
        </w:rPr>
        <w:t>Gastaut</w:t>
      </w:r>
      <w:proofErr w:type="spellEnd"/>
      <w:r w:rsidRPr="00B7039A">
        <w:rPr>
          <w:i/>
          <w:iCs/>
        </w:rPr>
        <w:t xml:space="preserve"> syndrome (LGS) or </w:t>
      </w:r>
      <w:proofErr w:type="spellStart"/>
      <w:r w:rsidRPr="00B7039A">
        <w:rPr>
          <w:i/>
          <w:iCs/>
        </w:rPr>
        <w:t>Dravet</w:t>
      </w:r>
      <w:proofErr w:type="spellEnd"/>
      <w:r w:rsidRPr="00B7039A">
        <w:rPr>
          <w:i/>
          <w:iCs/>
        </w:rPr>
        <w:t xml:space="preserve"> syndrome (DS) for patients 2 years of age and older?</w:t>
      </w:r>
    </w:p>
    <w:p w14:paraId="70865459" w14:textId="1576777E" w:rsidR="00E550DE" w:rsidRDefault="000819A9" w:rsidP="00D61FF2">
      <w:pPr>
        <w:pStyle w:val="Numberbullet0"/>
      </w:pPr>
      <w:r w:rsidRPr="00B7039A">
        <w:t xml:space="preserve">What are </w:t>
      </w:r>
      <w:r w:rsidR="00C17B79">
        <w:t xml:space="preserve">the </w:t>
      </w:r>
      <w:r w:rsidRPr="00B7039A">
        <w:t>ACM’s views on restricting the indicatio</w:t>
      </w:r>
      <w:r w:rsidR="00E550DE">
        <w:t xml:space="preserve">n of </w:t>
      </w:r>
      <w:proofErr w:type="spellStart"/>
      <w:r w:rsidR="00E550DE">
        <w:t>Epidyolex</w:t>
      </w:r>
      <w:proofErr w:type="spellEnd"/>
      <w:r w:rsidR="00E550DE">
        <w:t xml:space="preserve"> to be used with </w:t>
      </w:r>
      <w:proofErr w:type="spellStart"/>
      <w:r w:rsidR="00E550DE">
        <w:t>c</w:t>
      </w:r>
      <w:r w:rsidRPr="00B7039A">
        <w:t>lobazam</w:t>
      </w:r>
      <w:proofErr w:type="spellEnd"/>
      <w:r w:rsidRPr="00B7039A">
        <w:t xml:space="preserve"> only?</w:t>
      </w:r>
    </w:p>
    <w:p w14:paraId="18AFAD37" w14:textId="4894A969" w:rsidR="00E550DE" w:rsidRDefault="000819A9" w:rsidP="00D61FF2">
      <w:pPr>
        <w:pStyle w:val="Numberbullet0"/>
      </w:pPr>
      <w:r w:rsidRPr="00B7039A">
        <w:t xml:space="preserve">What are </w:t>
      </w:r>
      <w:r w:rsidR="00C17B79">
        <w:t xml:space="preserve">the </w:t>
      </w:r>
      <w:r w:rsidRPr="00B7039A">
        <w:t>ACM’s views on weight based dosing?</w:t>
      </w:r>
    </w:p>
    <w:p w14:paraId="6C5CB32C" w14:textId="6C648DC8" w:rsidR="00E550DE" w:rsidRDefault="000819A9" w:rsidP="00D61FF2">
      <w:pPr>
        <w:pStyle w:val="Numberbullet0"/>
      </w:pPr>
      <w:r w:rsidRPr="00B7039A">
        <w:t>Does the ACM consider that the effect of food on the exposure adequately addressed in the PI?</w:t>
      </w:r>
    </w:p>
    <w:p w14:paraId="07E39F09" w14:textId="68A01F93" w:rsidR="00E550DE" w:rsidRDefault="000819A9" w:rsidP="00D61FF2">
      <w:pPr>
        <w:pStyle w:val="Numberbullet0"/>
      </w:pPr>
      <w:r w:rsidRPr="00B7039A">
        <w:t xml:space="preserve">Does the ACM consider that the safety of </w:t>
      </w:r>
      <w:proofErr w:type="spellStart"/>
      <w:r w:rsidRPr="00B7039A">
        <w:t>Epidyolex</w:t>
      </w:r>
      <w:proofErr w:type="spellEnd"/>
      <w:r w:rsidRPr="00B7039A">
        <w:t xml:space="preserve"> for the proposed new indication is sufficiently well characterised and communicated in the PI?</w:t>
      </w:r>
    </w:p>
    <w:p w14:paraId="182D26DB" w14:textId="61E83639" w:rsidR="000819A9" w:rsidRPr="00B7039A" w:rsidRDefault="000819A9" w:rsidP="00D61FF2">
      <w:pPr>
        <w:pStyle w:val="Numberbullet0"/>
      </w:pPr>
      <w:r w:rsidRPr="00B7039A">
        <w:t>The Committee is also requested to provide advice on any other issues that it thinks may be relevant to a decision on whether or not to approve this application.</w:t>
      </w:r>
    </w:p>
    <w:p w14:paraId="47CA81D2" w14:textId="77777777" w:rsidR="008E7846" w:rsidRDefault="008E7846" w:rsidP="007D53B6">
      <w:pPr>
        <w:pStyle w:val="Heading4"/>
      </w:pPr>
      <w:r w:rsidRPr="00E15EF4">
        <w:t xml:space="preserve">Advisory Committee </w:t>
      </w:r>
      <w:r w:rsidR="007D53B6" w:rsidRPr="00E15EF4">
        <w:t>c</w:t>
      </w:r>
      <w:r w:rsidRPr="00E15EF4">
        <w:t>onsiderations</w:t>
      </w:r>
      <w:r w:rsidR="00456765">
        <w:rPr>
          <w:rStyle w:val="FootnoteReference"/>
        </w:rPr>
        <w:footnoteReference w:id="22"/>
      </w:r>
    </w:p>
    <w:p w14:paraId="3EE3234A" w14:textId="24751129" w:rsidR="008E7846" w:rsidRDefault="00456765" w:rsidP="00D61FF2">
      <w:r w:rsidRPr="00456765">
        <w:t>The Advisory Committee on Medicines (ACM), having considered the evaluations and the Delegate’s overview, as well as the sponsor’s response to these documents, advised the following</w:t>
      </w:r>
      <w:r w:rsidR="00920E81">
        <w:t>.</w:t>
      </w:r>
    </w:p>
    <w:p w14:paraId="6CDB5B29" w14:textId="48D3FAC8" w:rsidR="000819A9" w:rsidRDefault="00C17B79" w:rsidP="00E15EF4">
      <w:pPr>
        <w:pStyle w:val="Heading4"/>
      </w:pPr>
      <w:r>
        <w:t>Specific advice</w:t>
      </w:r>
      <w:r w:rsidR="00056D9F">
        <w:t xml:space="preserve"> to the Delegate</w:t>
      </w:r>
    </w:p>
    <w:p w14:paraId="36451CB8" w14:textId="3F3A21BF" w:rsidR="000819A9" w:rsidRDefault="000819A9" w:rsidP="00C907CB">
      <w:r w:rsidRPr="003B7154">
        <w:t>The ACM advised the following in response to the Delegate’s specific request for advice</w:t>
      </w:r>
      <w:r w:rsidR="00920E81">
        <w:t>.</w:t>
      </w:r>
    </w:p>
    <w:p w14:paraId="7F79BB7C" w14:textId="5887DB99" w:rsidR="000819A9" w:rsidRPr="00FA76EC" w:rsidRDefault="000819A9" w:rsidP="00C907CB">
      <w:pPr>
        <w:pStyle w:val="Numberbullet0"/>
        <w:numPr>
          <w:ilvl w:val="0"/>
          <w:numId w:val="36"/>
        </w:numPr>
        <w:rPr>
          <w:b/>
          <w:i/>
          <w:noProof/>
        </w:rPr>
      </w:pPr>
      <w:r w:rsidRPr="00FA76EC">
        <w:rPr>
          <w:b/>
          <w:i/>
          <w:noProof/>
        </w:rPr>
        <w:t xml:space="preserve">What are </w:t>
      </w:r>
      <w:r w:rsidR="00C17B79">
        <w:rPr>
          <w:b/>
          <w:i/>
          <w:noProof/>
        </w:rPr>
        <w:t xml:space="preserve">the </w:t>
      </w:r>
      <w:r w:rsidRPr="00FA76EC">
        <w:rPr>
          <w:b/>
          <w:i/>
          <w:noProof/>
        </w:rPr>
        <w:t>ACM’s views on the efficacy of CBD-OS and to what extent is there sufficient clinical trial evidence to support the proposed indication of adjunctive therapy of seizures associated with Lennox Gastaut syndrome (LGS) or Dravet syndrome (DS) for patients 2 years of age and older?</w:t>
      </w:r>
    </w:p>
    <w:p w14:paraId="1DAFBB43" w14:textId="2A6270CA" w:rsidR="000819A9" w:rsidRDefault="000819A9" w:rsidP="00C907CB">
      <w:pPr>
        <w:rPr>
          <w:noProof/>
        </w:rPr>
      </w:pPr>
      <w:r>
        <w:rPr>
          <w:noProof/>
        </w:rPr>
        <w:t xml:space="preserve">The ACM was of the view that there is sufficient evidence for the efficacy of </w:t>
      </w:r>
      <w:r w:rsidR="00C56CCE">
        <w:rPr>
          <w:noProof/>
        </w:rPr>
        <w:t>CBD-OS</w:t>
      </w:r>
      <w:r>
        <w:rPr>
          <w:noProof/>
        </w:rPr>
        <w:t xml:space="preserve"> in LGS and DS for patients aged 2 years and older. The ACM advised that the c</w:t>
      </w:r>
      <w:r w:rsidRPr="003F4B1D">
        <w:rPr>
          <w:noProof/>
        </w:rPr>
        <w:t>linical trial evidenc</w:t>
      </w:r>
      <w:r>
        <w:rPr>
          <w:noProof/>
        </w:rPr>
        <w:t>e is strong, the number of patients is reasonable considering these are rare diseases, and the c</w:t>
      </w:r>
      <w:r w:rsidRPr="003F4B1D">
        <w:rPr>
          <w:noProof/>
        </w:rPr>
        <w:t xml:space="preserve">onduct of </w:t>
      </w:r>
      <w:r>
        <w:rPr>
          <w:noProof/>
        </w:rPr>
        <w:t xml:space="preserve">the </w:t>
      </w:r>
      <w:r w:rsidRPr="003F4B1D">
        <w:rPr>
          <w:noProof/>
        </w:rPr>
        <w:t>trials is excellent.</w:t>
      </w:r>
    </w:p>
    <w:p w14:paraId="654BCB2A" w14:textId="7CC32AA9" w:rsidR="000819A9" w:rsidRPr="00FB19C8" w:rsidRDefault="000819A9" w:rsidP="00C907CB">
      <w:pPr>
        <w:rPr>
          <w:noProof/>
        </w:rPr>
      </w:pPr>
      <w:r>
        <w:rPr>
          <w:noProof/>
        </w:rPr>
        <w:t>The ACM considered whether it would be appropriate to remove the age requirement for DS only, as the epilepsy is often at its worst in these patients between</w:t>
      </w:r>
      <w:r w:rsidRPr="003F4B1D">
        <w:rPr>
          <w:noProof/>
        </w:rPr>
        <w:t xml:space="preserve"> 9 months and 2 years of age</w:t>
      </w:r>
      <w:r>
        <w:rPr>
          <w:noProof/>
        </w:rPr>
        <w:t>. The ACM was of the view that compassionate access and open label use thus far appears to indicate that E</w:t>
      </w:r>
      <w:r w:rsidR="00C56CCE">
        <w:rPr>
          <w:noProof/>
        </w:rPr>
        <w:t>pidyloex</w:t>
      </w:r>
      <w:r>
        <w:rPr>
          <w:noProof/>
        </w:rPr>
        <w:t xml:space="preserve"> is safe to use in patients under 2 years of age, although these data are limited. On balance, the ACM advised that the indication should remain for 2 years and older, as the clinical trials submitted did not have sufficient evidence for efficacy and safety in patients under 2 years of age.</w:t>
      </w:r>
    </w:p>
    <w:p w14:paraId="3AFB63B8" w14:textId="54990345" w:rsidR="000819A9" w:rsidRPr="00610F77" w:rsidRDefault="000819A9" w:rsidP="00C907CB">
      <w:pPr>
        <w:pStyle w:val="Numberbullet0"/>
        <w:numPr>
          <w:ilvl w:val="0"/>
          <w:numId w:val="36"/>
        </w:numPr>
        <w:rPr>
          <w:b/>
          <w:i/>
          <w:noProof/>
        </w:rPr>
      </w:pPr>
      <w:r w:rsidRPr="00610F77">
        <w:rPr>
          <w:b/>
          <w:i/>
          <w:noProof/>
        </w:rPr>
        <w:t xml:space="preserve">What are </w:t>
      </w:r>
      <w:r w:rsidR="00C17B79">
        <w:rPr>
          <w:b/>
          <w:i/>
          <w:noProof/>
        </w:rPr>
        <w:t xml:space="preserve">the </w:t>
      </w:r>
      <w:r w:rsidRPr="00610F77">
        <w:rPr>
          <w:b/>
          <w:i/>
          <w:noProof/>
        </w:rPr>
        <w:t>ACM’s views on restricting the indication of E</w:t>
      </w:r>
      <w:r w:rsidR="00C56CCE" w:rsidRPr="00610F77">
        <w:rPr>
          <w:b/>
          <w:i/>
          <w:noProof/>
        </w:rPr>
        <w:t>pidyolex</w:t>
      </w:r>
      <w:r w:rsidRPr="00610F77">
        <w:rPr>
          <w:b/>
          <w:i/>
          <w:noProof/>
        </w:rPr>
        <w:t xml:space="preserve"> to be used with clobazam only?</w:t>
      </w:r>
    </w:p>
    <w:p w14:paraId="3E13B9B6" w14:textId="342D83B7" w:rsidR="000819A9" w:rsidRPr="00FB19C8" w:rsidRDefault="000819A9" w:rsidP="00C907CB">
      <w:pPr>
        <w:rPr>
          <w:noProof/>
        </w:rPr>
      </w:pPr>
      <w:r>
        <w:rPr>
          <w:noProof/>
        </w:rPr>
        <w:t>The ACM advised that the indication of E</w:t>
      </w:r>
      <w:r w:rsidR="00C56CCE">
        <w:rPr>
          <w:noProof/>
        </w:rPr>
        <w:t>pidyolex</w:t>
      </w:r>
      <w:r>
        <w:rPr>
          <w:noProof/>
        </w:rPr>
        <w:t xml:space="preserve"> should not be restricted to use with </w:t>
      </w:r>
      <w:r w:rsidR="00C56CCE">
        <w:rPr>
          <w:noProof/>
        </w:rPr>
        <w:t>CLB</w:t>
      </w:r>
      <w:r>
        <w:rPr>
          <w:noProof/>
        </w:rPr>
        <w:t xml:space="preserve">. This is based on consideration of the significant drug-drug interactions of </w:t>
      </w:r>
      <w:r w:rsidR="005F75FB">
        <w:rPr>
          <w:noProof/>
        </w:rPr>
        <w:t>CBD-OS</w:t>
      </w:r>
      <w:r>
        <w:rPr>
          <w:noProof/>
        </w:rPr>
        <w:t xml:space="preserve"> and </w:t>
      </w:r>
      <w:r w:rsidR="005F75FB">
        <w:rPr>
          <w:noProof/>
        </w:rPr>
        <w:t>CLB</w:t>
      </w:r>
      <w:r>
        <w:rPr>
          <w:noProof/>
        </w:rPr>
        <w:t>, as well as a recently published metanalysis of the four pivotal randomis</w:t>
      </w:r>
      <w:r w:rsidR="005F75FB">
        <w:rPr>
          <w:noProof/>
        </w:rPr>
        <w:t xml:space="preserve">ed placebo </w:t>
      </w:r>
      <w:r w:rsidRPr="00EE40D0">
        <w:rPr>
          <w:noProof/>
        </w:rPr>
        <w:t xml:space="preserve">controlled trials </w:t>
      </w:r>
      <w:r>
        <w:rPr>
          <w:noProof/>
        </w:rPr>
        <w:t>which indicate g</w:t>
      </w:r>
      <w:r w:rsidRPr="001212C1">
        <w:rPr>
          <w:noProof/>
        </w:rPr>
        <w:t>reater seizure effe</w:t>
      </w:r>
      <w:r>
        <w:rPr>
          <w:noProof/>
        </w:rPr>
        <w:t xml:space="preserve">cts and a greater burden of adverse events when </w:t>
      </w:r>
      <w:r w:rsidR="005F75FB">
        <w:rPr>
          <w:noProof/>
        </w:rPr>
        <w:t>CBD</w:t>
      </w:r>
      <w:r w:rsidRPr="001212C1">
        <w:rPr>
          <w:noProof/>
        </w:rPr>
        <w:t xml:space="preserve"> is combined with </w:t>
      </w:r>
      <w:r w:rsidR="005F75FB">
        <w:rPr>
          <w:noProof/>
        </w:rPr>
        <w:t>CLB</w:t>
      </w:r>
      <w:r w:rsidR="00920E81">
        <w:rPr>
          <w:noProof/>
        </w:rPr>
        <w:t>.</w:t>
      </w:r>
      <w:r w:rsidR="005F75FB">
        <w:rPr>
          <w:rStyle w:val="FootnoteReference"/>
          <w:noProof/>
        </w:rPr>
        <w:footnoteReference w:id="23"/>
      </w:r>
      <w:r w:rsidRPr="001212C1">
        <w:rPr>
          <w:noProof/>
        </w:rPr>
        <w:t xml:space="preserve"> </w:t>
      </w:r>
      <w:r>
        <w:rPr>
          <w:noProof/>
        </w:rPr>
        <w:t xml:space="preserve">The ACM was of the view that the use of </w:t>
      </w:r>
      <w:r w:rsidR="00C907CB">
        <w:rPr>
          <w:noProof/>
        </w:rPr>
        <w:t>CLB</w:t>
      </w:r>
      <w:r>
        <w:rPr>
          <w:noProof/>
        </w:rPr>
        <w:t xml:space="preserve"> should be left up to the individual prescriber.</w:t>
      </w:r>
    </w:p>
    <w:p w14:paraId="40DA9367" w14:textId="40F49EB2" w:rsidR="000819A9" w:rsidRPr="00610F77" w:rsidRDefault="000819A9" w:rsidP="00C907CB">
      <w:pPr>
        <w:pStyle w:val="Numberbullet0"/>
        <w:numPr>
          <w:ilvl w:val="0"/>
          <w:numId w:val="36"/>
        </w:numPr>
        <w:rPr>
          <w:b/>
          <w:i/>
          <w:noProof/>
        </w:rPr>
      </w:pPr>
      <w:r w:rsidRPr="00610F77">
        <w:rPr>
          <w:b/>
          <w:i/>
          <w:noProof/>
        </w:rPr>
        <w:t xml:space="preserve">What are </w:t>
      </w:r>
      <w:r w:rsidR="00C17B79">
        <w:rPr>
          <w:b/>
          <w:i/>
          <w:noProof/>
        </w:rPr>
        <w:t xml:space="preserve">the </w:t>
      </w:r>
      <w:r w:rsidRPr="00610F77">
        <w:rPr>
          <w:b/>
          <w:i/>
          <w:noProof/>
        </w:rPr>
        <w:t>ACM’s views on weight based dosing?</w:t>
      </w:r>
    </w:p>
    <w:p w14:paraId="1BE501D8" w14:textId="672C0678" w:rsidR="000819A9" w:rsidRPr="00FB19C8" w:rsidRDefault="00C907CB" w:rsidP="00C907CB">
      <w:pPr>
        <w:rPr>
          <w:noProof/>
        </w:rPr>
      </w:pPr>
      <w:r>
        <w:rPr>
          <w:noProof/>
        </w:rPr>
        <w:t xml:space="preserve">The ACM advised that weight </w:t>
      </w:r>
      <w:r w:rsidR="000819A9">
        <w:rPr>
          <w:noProof/>
        </w:rPr>
        <w:t xml:space="preserve">based dosing is an acceptable and safe method of dosing, and discussed the possibility of developing </w:t>
      </w:r>
      <w:r w:rsidR="000819A9" w:rsidRPr="001212C1">
        <w:rPr>
          <w:noProof/>
        </w:rPr>
        <w:t xml:space="preserve">guidelines for </w:t>
      </w:r>
      <w:r w:rsidR="000819A9">
        <w:rPr>
          <w:noProof/>
        </w:rPr>
        <w:t>a maximum total dose for adult patients.</w:t>
      </w:r>
    </w:p>
    <w:p w14:paraId="64F6F0AF" w14:textId="5FA54714" w:rsidR="000819A9" w:rsidRPr="00610F77" w:rsidRDefault="000819A9" w:rsidP="00C907CB">
      <w:pPr>
        <w:pStyle w:val="Numberbullet0"/>
        <w:numPr>
          <w:ilvl w:val="0"/>
          <w:numId w:val="36"/>
        </w:numPr>
        <w:rPr>
          <w:b/>
          <w:i/>
          <w:noProof/>
        </w:rPr>
      </w:pPr>
      <w:r w:rsidRPr="00610F77">
        <w:rPr>
          <w:b/>
          <w:i/>
          <w:noProof/>
        </w:rPr>
        <w:t>Does the ACM consider that the effect of food on the exposure adequately addressed in the PI?</w:t>
      </w:r>
    </w:p>
    <w:p w14:paraId="6DE7A080" w14:textId="446FF346" w:rsidR="000819A9" w:rsidRPr="00FB19C8" w:rsidRDefault="000819A9" w:rsidP="00C907CB">
      <w:pPr>
        <w:rPr>
          <w:noProof/>
        </w:rPr>
      </w:pPr>
      <w:r>
        <w:rPr>
          <w:noProof/>
        </w:rPr>
        <w:t xml:space="preserve">The ACM was of the view that </w:t>
      </w:r>
      <w:r w:rsidRPr="00FB19C8">
        <w:rPr>
          <w:noProof/>
        </w:rPr>
        <w:t xml:space="preserve">the effect of food on the exposure </w:t>
      </w:r>
      <w:r>
        <w:rPr>
          <w:noProof/>
        </w:rPr>
        <w:t xml:space="preserve">has been </w:t>
      </w:r>
      <w:r w:rsidRPr="00FB19C8">
        <w:rPr>
          <w:noProof/>
        </w:rPr>
        <w:t>adequately addressed in the PI</w:t>
      </w:r>
      <w:r>
        <w:rPr>
          <w:noProof/>
        </w:rPr>
        <w:t>.</w:t>
      </w:r>
    </w:p>
    <w:p w14:paraId="6602BFA8" w14:textId="04638066" w:rsidR="000819A9" w:rsidRPr="00610F77" w:rsidRDefault="000819A9" w:rsidP="00C907CB">
      <w:pPr>
        <w:pStyle w:val="Numberbullet0"/>
        <w:numPr>
          <w:ilvl w:val="0"/>
          <w:numId w:val="36"/>
        </w:numPr>
        <w:rPr>
          <w:b/>
          <w:i/>
          <w:noProof/>
        </w:rPr>
      </w:pPr>
      <w:r w:rsidRPr="00610F77">
        <w:rPr>
          <w:b/>
          <w:i/>
          <w:noProof/>
        </w:rPr>
        <w:t>Does the ACM consider that the safety of E</w:t>
      </w:r>
      <w:r w:rsidR="00C907CB" w:rsidRPr="00610F77">
        <w:rPr>
          <w:b/>
          <w:i/>
          <w:noProof/>
        </w:rPr>
        <w:t>pidyolex</w:t>
      </w:r>
      <w:r w:rsidRPr="00610F77">
        <w:rPr>
          <w:b/>
          <w:i/>
          <w:noProof/>
        </w:rPr>
        <w:t xml:space="preserve"> for the proposed new indication is sufficiently well characterised and communicated in the PI?</w:t>
      </w:r>
    </w:p>
    <w:p w14:paraId="400CDF27" w14:textId="601B304C" w:rsidR="000819A9" w:rsidRPr="00FB19C8" w:rsidRDefault="000819A9" w:rsidP="00C907CB">
      <w:pPr>
        <w:rPr>
          <w:noProof/>
        </w:rPr>
      </w:pPr>
      <w:r>
        <w:rPr>
          <w:noProof/>
        </w:rPr>
        <w:t xml:space="preserve">The ACM was of the view that </w:t>
      </w:r>
      <w:r w:rsidRPr="00FB19C8">
        <w:rPr>
          <w:noProof/>
        </w:rPr>
        <w:t xml:space="preserve">the </w:t>
      </w:r>
      <w:r>
        <w:rPr>
          <w:noProof/>
        </w:rPr>
        <w:t>safety of E</w:t>
      </w:r>
      <w:r w:rsidR="00C907CB">
        <w:rPr>
          <w:noProof/>
        </w:rPr>
        <w:t>pidyolex</w:t>
      </w:r>
      <w:r>
        <w:rPr>
          <w:noProof/>
        </w:rPr>
        <w:t xml:space="preserve"> has been </w:t>
      </w:r>
      <w:r w:rsidRPr="00FB19C8">
        <w:rPr>
          <w:noProof/>
        </w:rPr>
        <w:t>adequately addressed in the PI</w:t>
      </w:r>
      <w:r>
        <w:rPr>
          <w:noProof/>
        </w:rPr>
        <w:t>.</w:t>
      </w:r>
    </w:p>
    <w:p w14:paraId="64C52B18" w14:textId="36E638DF" w:rsidR="000819A9" w:rsidRPr="00610F77" w:rsidRDefault="000819A9" w:rsidP="00C907CB">
      <w:pPr>
        <w:pStyle w:val="Numberbullet0"/>
        <w:numPr>
          <w:ilvl w:val="0"/>
          <w:numId w:val="36"/>
        </w:numPr>
        <w:rPr>
          <w:b/>
          <w:i/>
        </w:rPr>
      </w:pPr>
      <w:r w:rsidRPr="00610F77">
        <w:rPr>
          <w:b/>
          <w:i/>
          <w:noProof/>
        </w:rPr>
        <w:t>The Committee is also requested to provide advice on any other issues that it thinks may be relevant to a decision on whether or not to approve this application.</w:t>
      </w:r>
    </w:p>
    <w:p w14:paraId="264A847A" w14:textId="5F5983EB" w:rsidR="000819A9" w:rsidRPr="00C907CB" w:rsidRDefault="000819A9" w:rsidP="00C907CB">
      <w:pPr>
        <w:rPr>
          <w:lang w:val="en-GB"/>
        </w:rPr>
      </w:pPr>
      <w:r>
        <w:rPr>
          <w:lang w:val="en-GB"/>
        </w:rPr>
        <w:t>The ACM considered that in current practice the definition of LGS is ambiguous and expressed concer</w:t>
      </w:r>
      <w:r w:rsidR="00C907CB">
        <w:rPr>
          <w:lang w:val="en-GB"/>
        </w:rPr>
        <w:t xml:space="preserve">n that this would result in </w:t>
      </w:r>
      <w:proofErr w:type="spellStart"/>
      <w:r w:rsidR="00C907CB">
        <w:rPr>
          <w:lang w:val="en-GB"/>
        </w:rPr>
        <w:t>mis</w:t>
      </w:r>
      <w:r>
        <w:rPr>
          <w:lang w:val="en-GB"/>
        </w:rPr>
        <w:t>prescribing</w:t>
      </w:r>
      <w:proofErr w:type="spellEnd"/>
      <w:r>
        <w:rPr>
          <w:lang w:val="en-GB"/>
        </w:rPr>
        <w:t xml:space="preserve">. The ACM advised that the less ambiguous criteria used in the trials should be applied to the definition of LGS for the purposes of prescribing </w:t>
      </w:r>
      <w:proofErr w:type="spellStart"/>
      <w:r>
        <w:rPr>
          <w:lang w:val="en-GB"/>
        </w:rPr>
        <w:t>E</w:t>
      </w:r>
      <w:r w:rsidR="00C907CB">
        <w:rPr>
          <w:lang w:val="en-GB"/>
        </w:rPr>
        <w:t>pidyolex</w:t>
      </w:r>
      <w:proofErr w:type="spellEnd"/>
      <w:r>
        <w:rPr>
          <w:lang w:val="en-GB"/>
        </w:rPr>
        <w:t>.</w:t>
      </w:r>
    </w:p>
    <w:p w14:paraId="1FEBE80A" w14:textId="249CF7BE" w:rsidR="000819A9" w:rsidRDefault="000819A9" w:rsidP="00C907CB">
      <w:r>
        <w:t>The ACM advised that the PI should state that treatment should b</w:t>
      </w:r>
      <w:r w:rsidR="00C907CB">
        <w:t xml:space="preserve">e initiated by an appropriately </w:t>
      </w:r>
      <w:r>
        <w:t>trained neurologist.</w:t>
      </w:r>
    </w:p>
    <w:p w14:paraId="619101B3" w14:textId="4401D670" w:rsidR="000819A9" w:rsidRDefault="000819A9" w:rsidP="00C907CB">
      <w:r>
        <w:rPr>
          <w:lang w:val="en-GB"/>
        </w:rPr>
        <w:t xml:space="preserve">The ACM recommended that the PI should include a statement that </w:t>
      </w:r>
      <w:proofErr w:type="spellStart"/>
      <w:r>
        <w:rPr>
          <w:lang w:val="en-GB"/>
        </w:rPr>
        <w:t>E</w:t>
      </w:r>
      <w:r w:rsidR="00C907CB">
        <w:rPr>
          <w:lang w:val="en-GB"/>
        </w:rPr>
        <w:t>pidyolex</w:t>
      </w:r>
      <w:proofErr w:type="spellEnd"/>
      <w:r>
        <w:rPr>
          <w:lang w:val="en-GB"/>
        </w:rPr>
        <w:t xml:space="preserve"> should only be used following failure of common drugs for DS (s</w:t>
      </w:r>
      <w:r w:rsidRPr="003F4B1D">
        <w:rPr>
          <w:lang w:val="en-GB"/>
        </w:rPr>
        <w:t xml:space="preserve">odium valproate, </w:t>
      </w:r>
      <w:proofErr w:type="spellStart"/>
      <w:r w:rsidR="00C17B79">
        <w:rPr>
          <w:lang w:val="en-GB"/>
        </w:rPr>
        <w:t>clobazam</w:t>
      </w:r>
      <w:proofErr w:type="spellEnd"/>
      <w:r w:rsidRPr="003F4B1D">
        <w:rPr>
          <w:lang w:val="en-GB"/>
        </w:rPr>
        <w:t xml:space="preserve">, </w:t>
      </w:r>
      <w:proofErr w:type="spellStart"/>
      <w:r w:rsidRPr="003F4B1D">
        <w:rPr>
          <w:lang w:val="en-GB"/>
        </w:rPr>
        <w:t>stiripentol</w:t>
      </w:r>
      <w:proofErr w:type="spellEnd"/>
      <w:r w:rsidRPr="003F4B1D">
        <w:rPr>
          <w:lang w:val="en-GB"/>
        </w:rPr>
        <w:t xml:space="preserve">, and </w:t>
      </w:r>
      <w:proofErr w:type="spellStart"/>
      <w:r w:rsidRPr="003F4B1D">
        <w:rPr>
          <w:lang w:val="en-GB"/>
        </w:rPr>
        <w:t>topiramate</w:t>
      </w:r>
      <w:proofErr w:type="spellEnd"/>
      <w:r>
        <w:rPr>
          <w:lang w:val="en-GB"/>
        </w:rPr>
        <w:t>) and LGS (s</w:t>
      </w:r>
      <w:r w:rsidRPr="003F4B1D">
        <w:rPr>
          <w:lang w:val="en-GB"/>
        </w:rPr>
        <w:t xml:space="preserve">odium valproate, </w:t>
      </w:r>
      <w:proofErr w:type="spellStart"/>
      <w:r w:rsidR="00C17B79">
        <w:rPr>
          <w:lang w:val="en-GB"/>
        </w:rPr>
        <w:t>clobazam</w:t>
      </w:r>
      <w:proofErr w:type="spellEnd"/>
      <w:r w:rsidR="00C17B79">
        <w:rPr>
          <w:lang w:val="en-GB"/>
        </w:rPr>
        <w:t xml:space="preserve"> </w:t>
      </w:r>
      <w:r>
        <w:rPr>
          <w:lang w:val="en-GB"/>
        </w:rPr>
        <w:t>and l</w:t>
      </w:r>
      <w:r w:rsidRPr="00A13A9A">
        <w:rPr>
          <w:lang w:val="en-GB"/>
        </w:rPr>
        <w:t>amotrigine</w:t>
      </w:r>
      <w:r>
        <w:rPr>
          <w:lang w:val="en-GB"/>
        </w:rPr>
        <w:t>).</w:t>
      </w:r>
    </w:p>
    <w:p w14:paraId="44AD9033" w14:textId="5AE3FAED" w:rsidR="000819A9" w:rsidRDefault="000819A9" w:rsidP="00C907CB">
      <w:r>
        <w:t>The ACM advised that it would be ben</w:t>
      </w:r>
      <w:r w:rsidR="00C03775">
        <w:t>eficial to have some kind of de</w:t>
      </w:r>
      <w:r w:rsidR="00C17B79">
        <w:t>-</w:t>
      </w:r>
      <w:r>
        <w:t>prescribing</w:t>
      </w:r>
      <w:r w:rsidRPr="00DE4F11">
        <w:t xml:space="preserve"> criteria </w:t>
      </w:r>
      <w:r>
        <w:t>or</w:t>
      </w:r>
      <w:r w:rsidRPr="00DE4F11">
        <w:t xml:space="preserve"> statement</w:t>
      </w:r>
      <w:r w:rsidR="00C03775">
        <w:t xml:space="preserve"> in the PI regarding de</w:t>
      </w:r>
      <w:r w:rsidR="00C17B79">
        <w:t>-</w:t>
      </w:r>
      <w:r>
        <w:t xml:space="preserve">prescribing due to lack of efficacy. This is particularly relevant to avoid unnecessary </w:t>
      </w:r>
      <w:r w:rsidRPr="00DE4F11">
        <w:t>exp</w:t>
      </w:r>
      <w:r>
        <w:t xml:space="preserve">osure to </w:t>
      </w:r>
      <w:r w:rsidR="00C03775">
        <w:t>CBD-OS</w:t>
      </w:r>
      <w:r>
        <w:t xml:space="preserve"> in young children, for whom l</w:t>
      </w:r>
      <w:r w:rsidRPr="00DE4F11">
        <w:t>on</w:t>
      </w:r>
      <w:r>
        <w:t>g term safety data is</w:t>
      </w:r>
      <w:r w:rsidRPr="00DE4F11">
        <w:t xml:space="preserve"> lacking.</w:t>
      </w:r>
    </w:p>
    <w:p w14:paraId="550808AC" w14:textId="35051AEF" w:rsidR="000819A9" w:rsidRPr="003B7154" w:rsidRDefault="000819A9" w:rsidP="00C907CB">
      <w:r>
        <w:t>The ACM expressed concern</w:t>
      </w:r>
      <w:r w:rsidRPr="00386E49">
        <w:t xml:space="preserve"> that</w:t>
      </w:r>
      <w:r>
        <w:t xml:space="preserve"> the</w:t>
      </w:r>
      <w:r w:rsidRPr="00386E49">
        <w:t xml:space="preserve"> statement in the PI </w:t>
      </w:r>
      <w:r>
        <w:t xml:space="preserve">regarding driving </w:t>
      </w:r>
      <w:r w:rsidRPr="00386E49">
        <w:t>might endorse driving while on the product</w:t>
      </w:r>
      <w:r>
        <w:t>, and suggested that modification of the wording to draw attention to intoxication and legal considerations for driving may be necessary</w:t>
      </w:r>
      <w:r w:rsidRPr="00386E49">
        <w:t>.</w:t>
      </w:r>
    </w:p>
    <w:p w14:paraId="3041998F" w14:textId="77777777" w:rsidR="000819A9" w:rsidRDefault="000819A9" w:rsidP="00E15EF4">
      <w:pPr>
        <w:pStyle w:val="Heading4"/>
      </w:pPr>
      <w:r>
        <w:t>ACM conclusion</w:t>
      </w:r>
    </w:p>
    <w:p w14:paraId="5FACCC14" w14:textId="33972088" w:rsidR="000819A9" w:rsidRDefault="000819A9" w:rsidP="00D61FF2">
      <w:r w:rsidRPr="007E73DB">
        <w:t xml:space="preserve">The </w:t>
      </w:r>
      <w:r w:rsidRPr="00C12AE4">
        <w:t xml:space="preserve">ACM considered this product to have an </w:t>
      </w:r>
      <w:r w:rsidRPr="001E4AEE">
        <w:t>overall positive</w:t>
      </w:r>
      <w:r w:rsidR="00C03775">
        <w:t xml:space="preserve"> benefit </w:t>
      </w:r>
      <w:r w:rsidRPr="00C12AE4">
        <w:t>risk profile</w:t>
      </w:r>
      <w:r>
        <w:t xml:space="preserve"> for the indication:</w:t>
      </w:r>
    </w:p>
    <w:p w14:paraId="4C304A5D" w14:textId="5122C976" w:rsidR="000819A9" w:rsidRDefault="000819A9" w:rsidP="00610F77">
      <w:pPr>
        <w:ind w:left="720"/>
      </w:pPr>
      <w:r w:rsidRPr="00C03775">
        <w:rPr>
          <w:i/>
          <w:noProof/>
        </w:rPr>
        <w:t>E</w:t>
      </w:r>
      <w:r w:rsidR="00C03775" w:rsidRPr="00C03775">
        <w:rPr>
          <w:i/>
          <w:noProof/>
        </w:rPr>
        <w:t>pidyolex</w:t>
      </w:r>
      <w:r w:rsidRPr="00C03775">
        <w:rPr>
          <w:i/>
          <w:noProof/>
        </w:rPr>
        <w:t xml:space="preserve"> is indicated for use as adjunctive therapy of seizures associated with Lennox- Gastaut syndrome (LGS) or Dravet syndrome (DS) for pat</w:t>
      </w:r>
      <w:r w:rsidR="00F31785">
        <w:rPr>
          <w:i/>
          <w:noProof/>
        </w:rPr>
        <w:t>ients 2 years of age and older.</w:t>
      </w:r>
    </w:p>
    <w:p w14:paraId="551F2356" w14:textId="77777777" w:rsidR="008E7846" w:rsidRPr="002E238E" w:rsidRDefault="008E7846" w:rsidP="008E7846">
      <w:pPr>
        <w:pStyle w:val="Heading3"/>
      </w:pPr>
      <w:bookmarkStart w:id="71" w:name="_Toc247691532"/>
      <w:bookmarkStart w:id="72" w:name="_Toc314842516"/>
      <w:bookmarkStart w:id="73" w:name="_Toc62725625"/>
      <w:bookmarkEnd w:id="30"/>
      <w:bookmarkEnd w:id="68"/>
      <w:bookmarkEnd w:id="69"/>
      <w:r>
        <w:t>Outcome</w:t>
      </w:r>
      <w:bookmarkEnd w:id="71"/>
      <w:bookmarkEnd w:id="72"/>
      <w:bookmarkEnd w:id="73"/>
    </w:p>
    <w:p w14:paraId="37A3DA11" w14:textId="054216E2" w:rsidR="007D53B6" w:rsidRDefault="007D53B6" w:rsidP="00D61FF2">
      <w:bookmarkStart w:id="74" w:name="_Toc247691533"/>
      <w:bookmarkStart w:id="75" w:name="_Toc314842517"/>
      <w:r>
        <w:t xml:space="preserve">Based on a review of quality, safety and efficacy, </w:t>
      </w:r>
      <w:r w:rsidR="00C17B79">
        <w:t xml:space="preserve">the </w:t>
      </w:r>
      <w:r>
        <w:t xml:space="preserve">TGA approved the registration of </w:t>
      </w:r>
      <w:proofErr w:type="spellStart"/>
      <w:r w:rsidR="00284387">
        <w:t>Epidyolex</w:t>
      </w:r>
      <w:proofErr w:type="spellEnd"/>
      <w:r w:rsidR="00284387">
        <w:t xml:space="preserve"> </w:t>
      </w:r>
      <w:r w:rsidR="00B30FE9">
        <w:t>(</w:t>
      </w:r>
      <w:r w:rsidR="00284387">
        <w:t>cannabidiol</w:t>
      </w:r>
      <w:r w:rsidR="00B30FE9">
        <w:t>)</w:t>
      </w:r>
      <w:r w:rsidR="00284387">
        <w:t xml:space="preserve"> 100</w:t>
      </w:r>
      <w:r w:rsidR="00D2700E">
        <w:t xml:space="preserve"> </w:t>
      </w:r>
      <w:r w:rsidR="00284387">
        <w:t>mg/mL oral liquid solution bottle</w:t>
      </w:r>
      <w:r w:rsidR="001F4286">
        <w:t>,</w:t>
      </w:r>
      <w:r w:rsidR="00284387">
        <w:t xml:space="preserve"> </w:t>
      </w:r>
      <w:r>
        <w:t>indicated for</w:t>
      </w:r>
      <w:r w:rsidR="000819A9">
        <w:t>:</w:t>
      </w:r>
    </w:p>
    <w:p w14:paraId="02D26C20" w14:textId="4003C2A0" w:rsidR="007D53B6" w:rsidRPr="00B30FE9" w:rsidRDefault="001F4286" w:rsidP="00610F77">
      <w:pPr>
        <w:ind w:left="720"/>
        <w:rPr>
          <w:i/>
        </w:rPr>
      </w:pPr>
      <w:r w:rsidRPr="001F4286">
        <w:rPr>
          <w:i/>
          <w:noProof/>
        </w:rPr>
        <w:t>Epidyolex is indicated for use as</w:t>
      </w:r>
      <w:r w:rsidRPr="001F4286" w:rsidDel="001F4286">
        <w:rPr>
          <w:i/>
          <w:noProof/>
        </w:rPr>
        <w:t xml:space="preserve"> </w:t>
      </w:r>
      <w:r w:rsidR="000819A9" w:rsidRPr="00B30FE9">
        <w:rPr>
          <w:i/>
          <w:noProof/>
        </w:rPr>
        <w:t>adjunctive therapy of s</w:t>
      </w:r>
      <w:r w:rsidR="00B30FE9" w:rsidRPr="00B30FE9">
        <w:rPr>
          <w:i/>
          <w:noProof/>
        </w:rPr>
        <w:t>eizures associated with Lennox-</w:t>
      </w:r>
      <w:r w:rsidR="000819A9" w:rsidRPr="00B30FE9">
        <w:rPr>
          <w:i/>
          <w:noProof/>
        </w:rPr>
        <w:t>Gastaut syndrome (LGS) or Dravet syndrome (DS) for patients 2 years of age and older.</w:t>
      </w:r>
    </w:p>
    <w:p w14:paraId="5A106CFE" w14:textId="77777777" w:rsidR="00D23139" w:rsidRPr="00D23139" w:rsidRDefault="00D23139" w:rsidP="00D23139">
      <w:pPr>
        <w:pStyle w:val="Heading4"/>
      </w:pPr>
      <w:r w:rsidRPr="00D23139">
        <w:t>Specific conditions of registration applying to these goods</w:t>
      </w:r>
    </w:p>
    <w:p w14:paraId="0E7969AF" w14:textId="2BCF6423" w:rsidR="00F86779" w:rsidRDefault="00F86779" w:rsidP="00B30FE9">
      <w:pPr>
        <w:pStyle w:val="ListBullet"/>
      </w:pPr>
      <w:proofErr w:type="spellStart"/>
      <w:r>
        <w:t>Epidyo</w:t>
      </w:r>
      <w:r w:rsidR="00D2700E">
        <w:t>l</w:t>
      </w:r>
      <w:r>
        <w:t>ex</w:t>
      </w:r>
      <w:proofErr w:type="spellEnd"/>
      <w:r w:rsidR="0014421D">
        <w:t xml:space="preserve"> (cannabidiol) is to be included in the Black Triangle Scheme. The PI and</w:t>
      </w:r>
      <w:r>
        <w:t xml:space="preserve"> </w:t>
      </w:r>
      <w:r w:rsidR="0014421D">
        <w:t xml:space="preserve">CMI for </w:t>
      </w:r>
      <w:proofErr w:type="spellStart"/>
      <w:r>
        <w:t>Epidyolex</w:t>
      </w:r>
      <w:proofErr w:type="spellEnd"/>
      <w:r w:rsidR="0014421D">
        <w:t xml:space="preserve"> must include the black triangle symbol and mandatory</w:t>
      </w:r>
      <w:r>
        <w:t xml:space="preserve"> </w:t>
      </w:r>
      <w:r w:rsidR="0014421D">
        <w:t>accompanying text for five years, which starts from the date that the sponsor notifies</w:t>
      </w:r>
      <w:r>
        <w:t xml:space="preserve"> </w:t>
      </w:r>
      <w:r w:rsidR="0014421D">
        <w:t>the TGA of supply of the product.</w:t>
      </w:r>
    </w:p>
    <w:p w14:paraId="2F76563C" w14:textId="28A71E7F" w:rsidR="0014421D" w:rsidRDefault="0014421D" w:rsidP="00B30FE9">
      <w:pPr>
        <w:pStyle w:val="ListBullet"/>
      </w:pPr>
      <w:r>
        <w:t xml:space="preserve">The </w:t>
      </w:r>
      <w:proofErr w:type="spellStart"/>
      <w:r w:rsidR="00F86779">
        <w:t>Epidyo</w:t>
      </w:r>
      <w:r w:rsidR="00D2700E">
        <w:t>l</w:t>
      </w:r>
      <w:r w:rsidR="00F86779">
        <w:t>ex</w:t>
      </w:r>
      <w:proofErr w:type="spellEnd"/>
      <w:r>
        <w:t xml:space="preserve"> EU-Risk Management Plan (RMP) (version 1.0, dated 2 July 2019,</w:t>
      </w:r>
      <w:r w:rsidR="00F86779">
        <w:t xml:space="preserve"> </w:t>
      </w:r>
      <w:r>
        <w:t>data lock point 1 May 2017), with Australian Specific Annex (version 1.0, dated 23</w:t>
      </w:r>
      <w:r w:rsidR="00F86779">
        <w:t xml:space="preserve"> </w:t>
      </w:r>
      <w:r>
        <w:t>March 2020), included with submission PM-2020-00157-1-1, and any subsequent</w:t>
      </w:r>
      <w:r w:rsidR="00F86779">
        <w:t xml:space="preserve"> </w:t>
      </w:r>
      <w:r>
        <w:t>revisions, as agreed with the TGA will be implemented in Australia.</w:t>
      </w:r>
    </w:p>
    <w:p w14:paraId="56E0F794" w14:textId="5F8420FA" w:rsidR="0014421D" w:rsidRDefault="0014421D" w:rsidP="00610F77">
      <w:pPr>
        <w:pStyle w:val="ListBullet"/>
        <w:numPr>
          <w:ilvl w:val="0"/>
          <w:numId w:val="0"/>
        </w:numPr>
        <w:ind w:left="360"/>
      </w:pPr>
      <w:r>
        <w:t>An obligatory component of risk management plans is routine pharmacovigilance.</w:t>
      </w:r>
      <w:r w:rsidR="00F86779">
        <w:t xml:space="preserve"> </w:t>
      </w:r>
      <w:r>
        <w:t>Routine pharmacovigilance includes the submission of periodic safety update</w:t>
      </w:r>
      <w:r w:rsidR="00F86779">
        <w:t xml:space="preserve"> </w:t>
      </w:r>
      <w:r>
        <w:t>reports (PSURs).</w:t>
      </w:r>
    </w:p>
    <w:p w14:paraId="1AD1B8CD" w14:textId="6B4E4C77" w:rsidR="0014421D" w:rsidRDefault="0014421D" w:rsidP="00F86779">
      <w:pPr>
        <w:ind w:left="360"/>
      </w:pPr>
      <w:r>
        <w:t>Reports are to be provided in line with the current published list of EU reference</w:t>
      </w:r>
      <w:r w:rsidR="00F86779">
        <w:t xml:space="preserve"> </w:t>
      </w:r>
      <w:r>
        <w:t>dates and frequency of submission of PSURs until the period covered by such reports</w:t>
      </w:r>
      <w:r w:rsidR="00F86779">
        <w:t xml:space="preserve"> </w:t>
      </w:r>
      <w:r>
        <w:t xml:space="preserve">is not less than three years from the date of </w:t>
      </w:r>
      <w:r w:rsidR="001F4286">
        <w:t xml:space="preserve">the </w:t>
      </w:r>
      <w:r>
        <w:t>approval letter.</w:t>
      </w:r>
    </w:p>
    <w:p w14:paraId="79C12C1B" w14:textId="6F612E61" w:rsidR="00456765" w:rsidRDefault="0014421D" w:rsidP="00F86779">
      <w:pPr>
        <w:ind w:left="360"/>
      </w:pPr>
      <w:r>
        <w:t>The reports are to at least meet the requirements for PSURs as described in the</w:t>
      </w:r>
      <w:r w:rsidR="00F86779">
        <w:t xml:space="preserve"> </w:t>
      </w:r>
      <w:r>
        <w:t>European Medicines Agency’s Guideline on good pharmacovigilance practices (GVP)</w:t>
      </w:r>
      <w:r w:rsidR="00F86779">
        <w:t xml:space="preserve"> </w:t>
      </w:r>
      <w:r>
        <w:t>Module VII-periodic safety update report (Rev 1), Part VII.B Structures and</w:t>
      </w:r>
      <w:r w:rsidR="00F86779">
        <w:t xml:space="preserve"> </w:t>
      </w:r>
      <w:r>
        <w:t>processes. Note that submission of a PSUR does not constitute an application to vary</w:t>
      </w:r>
      <w:r w:rsidR="00F86779">
        <w:t xml:space="preserve"> </w:t>
      </w:r>
      <w:r>
        <w:t>the registration.</w:t>
      </w:r>
    </w:p>
    <w:p w14:paraId="1BBBCB8A" w14:textId="77777777" w:rsidR="008E7846" w:rsidRDefault="00A80B5B" w:rsidP="00D23139">
      <w:pPr>
        <w:pStyle w:val="Heading2"/>
      </w:pPr>
      <w:bookmarkStart w:id="76" w:name="_Toc62725626"/>
      <w:r>
        <w:t xml:space="preserve">Attachment 1. </w:t>
      </w:r>
      <w:r w:rsidR="008E7846">
        <w:t xml:space="preserve">Product </w:t>
      </w:r>
      <w:r w:rsidR="00AA0ED0">
        <w:t>I</w:t>
      </w:r>
      <w:r w:rsidR="008E7846">
        <w:t>nformation</w:t>
      </w:r>
      <w:bookmarkEnd w:id="74"/>
      <w:bookmarkEnd w:id="75"/>
      <w:bookmarkEnd w:id="76"/>
    </w:p>
    <w:p w14:paraId="4791CA2C" w14:textId="03869EDF" w:rsidR="004C5B16" w:rsidRDefault="006136D7" w:rsidP="00D61FF2">
      <w:pPr>
        <w:rPr>
          <w:lang w:eastAsia="ja-JP"/>
        </w:rPr>
      </w:pPr>
      <w:r w:rsidRPr="002B3624">
        <w:t xml:space="preserve">The </w:t>
      </w:r>
      <w:r>
        <w:t>PI</w:t>
      </w:r>
      <w:r w:rsidRPr="002B3624">
        <w:t xml:space="preserve"> for </w:t>
      </w:r>
      <w:proofErr w:type="spellStart"/>
      <w:r w:rsidR="001F4286">
        <w:t>Epidyolex</w:t>
      </w:r>
      <w:proofErr w:type="spellEnd"/>
      <w:r w:rsidR="001F4286"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3" w:history="1">
        <w:r w:rsidR="007C6B9B" w:rsidRPr="007C6B9B">
          <w:rPr>
            <w:rStyle w:val="Hyperlink"/>
          </w:rPr>
          <w:t>https://www.tga.gov.au/product-information-pi</w:t>
        </w:r>
      </w:hyperlink>
      <w:r w:rsidR="007C6B9B" w:rsidRPr="007C6B9B">
        <w:t>&gt;.</w:t>
      </w:r>
    </w:p>
    <w:p w14:paraId="687A462D" w14:textId="6E8D8E1C"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4F4E8A1" w14:textId="77777777" w:rsidTr="00A05FA4">
        <w:trPr>
          <w:trHeight w:hRule="exact" w:val="704"/>
        </w:trPr>
        <w:tc>
          <w:tcPr>
            <w:tcW w:w="9175" w:type="dxa"/>
          </w:tcPr>
          <w:p w14:paraId="35E31DA4" w14:textId="77777777" w:rsidR="001C32CD" w:rsidRPr="00487162" w:rsidRDefault="001C32CD" w:rsidP="00A05FA4">
            <w:pPr>
              <w:pStyle w:val="TGASignoff"/>
            </w:pPr>
            <w:r w:rsidRPr="00487162">
              <w:t>Therapeutic Goods Administration</w:t>
            </w:r>
          </w:p>
        </w:tc>
      </w:tr>
      <w:tr w:rsidR="001C32CD" w:rsidRPr="004C239D" w14:paraId="62BBBD28" w14:textId="77777777" w:rsidTr="00A05FA4">
        <w:trPr>
          <w:trHeight w:val="1221"/>
        </w:trPr>
        <w:tc>
          <w:tcPr>
            <w:tcW w:w="9175" w:type="dxa"/>
            <w:tcMar>
              <w:top w:w="28" w:type="dxa"/>
            </w:tcMar>
          </w:tcPr>
          <w:p w14:paraId="228D5057" w14:textId="77777777" w:rsidR="001C32CD" w:rsidRPr="00487162" w:rsidRDefault="001C32CD" w:rsidP="00A05FA4">
            <w:pPr>
              <w:pStyle w:val="Address"/>
            </w:pPr>
            <w:r w:rsidRPr="00487162">
              <w:t>PO Box 100 Woden ACT 2606 Australia</w:t>
            </w:r>
          </w:p>
          <w:p w14:paraId="224FEA01" w14:textId="5E899066" w:rsidR="001C32CD" w:rsidRPr="00487162" w:rsidRDefault="001C32CD" w:rsidP="00A05FA4">
            <w:pPr>
              <w:pStyle w:val="Address"/>
            </w:pPr>
            <w:r w:rsidRPr="00487162">
              <w:t xml:space="preserve">Email: </w:t>
            </w:r>
            <w:hyperlink r:id="rId38" w:history="1">
              <w:r w:rsidRPr="004C239D">
                <w:rPr>
                  <w:rStyle w:val="Hyperlink"/>
                </w:rPr>
                <w:t>info@tga.gov.au</w:t>
              </w:r>
            </w:hyperlink>
            <w:r w:rsidR="004C5B16">
              <w:t xml:space="preserve"> </w:t>
            </w:r>
            <w:r w:rsidRPr="00487162">
              <w:t>Phone: 1800 020 653</w:t>
            </w:r>
            <w:r w:rsidR="004C5B16">
              <w:t xml:space="preserve"> </w:t>
            </w:r>
            <w:r w:rsidRPr="00487162">
              <w:t>Fax: 02 6232 8605</w:t>
            </w:r>
          </w:p>
          <w:p w14:paraId="6ED0FE61" w14:textId="5E758C85" w:rsidR="001C32CD" w:rsidRPr="004C239D" w:rsidRDefault="002C043B" w:rsidP="00A05FA4">
            <w:pPr>
              <w:pStyle w:val="Address"/>
              <w:spacing w:line="260" w:lineRule="atLeast"/>
              <w:rPr>
                <w:b/>
                <w:color w:val="0000FF"/>
                <w:u w:val="single"/>
              </w:rPr>
            </w:pPr>
            <w:hyperlink r:id="rId39" w:history="1">
              <w:r w:rsidR="007C6B9B" w:rsidRPr="007C6B9B">
                <w:rPr>
                  <w:rStyle w:val="Hyperlink"/>
                  <w:b/>
                </w:rPr>
                <w:t>https://www.tga.gov.au</w:t>
              </w:r>
            </w:hyperlink>
          </w:p>
        </w:tc>
      </w:tr>
    </w:tbl>
    <w:p w14:paraId="5754935A" w14:textId="77777777" w:rsidR="00774E1D" w:rsidRPr="008A5E0B" w:rsidRDefault="00774E1D" w:rsidP="00D61FF2"/>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2E9EC" w16cex:dateUtc="2020-12-15T15:53:00Z"/>
  <w16cex:commentExtensible w16cex:durableId="2382E9C5" w16cex:dateUtc="2020-12-15T15:52:00Z"/>
  <w16cex:commentExtensible w16cex:durableId="23831511" w16cex:dateUtc="2020-12-15T18:57:00Z"/>
  <w16cex:commentExtensible w16cex:durableId="2382EC0F" w16cex:dateUtc="2020-12-15T16:02:00Z"/>
  <w16cex:commentExtensible w16cex:durableId="2382EEC0" w16cex:dateUtc="2020-12-15T16:13:00Z"/>
  <w16cex:commentExtensible w16cex:durableId="2382EF13" w16cex:dateUtc="2020-12-15T16:15:00Z"/>
  <w16cex:commentExtensible w16cex:durableId="2383190D" w16cex:dateUtc="2020-12-15T19:14:00Z"/>
  <w16cex:commentExtensible w16cex:durableId="23831A67" w16cex:dateUtc="2020-12-15T19:20:00Z"/>
  <w16cex:commentExtensible w16cex:durableId="2382F009" w16cex:dateUtc="2020-12-15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315988" w16cid:durableId="2382E9EC"/>
  <w16cid:commentId w16cid:paraId="43742134" w16cid:durableId="2383B0C3"/>
  <w16cid:commentId w16cid:paraId="237EBCE9" w16cid:durableId="2382E9C5"/>
  <w16cid:commentId w16cid:paraId="6508758D" w16cid:durableId="23831511"/>
  <w16cid:commentId w16cid:paraId="59FD30EF" w16cid:durableId="2382EC0F"/>
  <w16cid:commentId w16cid:paraId="74E2FCB9" w16cid:durableId="2382DBDF"/>
  <w16cid:commentId w16cid:paraId="2FA73DCB" w16cid:durableId="2382EEC0"/>
  <w16cid:commentId w16cid:paraId="6098EC2C" w16cid:durableId="2382EF13"/>
  <w16cid:commentId w16cid:paraId="607C7FC1" w16cid:durableId="2383190D"/>
  <w16cid:commentId w16cid:paraId="2B0C888D" w16cid:durableId="23831A67"/>
  <w16cid:commentId w16cid:paraId="3C9EBFA8" w16cid:durableId="2382F0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E6EA8" w14:textId="77777777" w:rsidR="002C043B" w:rsidRDefault="002C043B" w:rsidP="00C40A36">
      <w:pPr>
        <w:spacing w:after="0"/>
      </w:pPr>
      <w:r>
        <w:separator/>
      </w:r>
    </w:p>
  </w:endnote>
  <w:endnote w:type="continuationSeparator" w:id="0">
    <w:p w14:paraId="76DCC8AE" w14:textId="77777777" w:rsidR="002C043B" w:rsidRDefault="002C043B" w:rsidP="00C40A36">
      <w:pPr>
        <w:spacing w:after="0"/>
      </w:pPr>
      <w:r>
        <w:continuationSeparator/>
      </w:r>
    </w:p>
  </w:endnote>
  <w:endnote w:type="continuationNotice" w:id="1">
    <w:p w14:paraId="501623C5" w14:textId="77777777" w:rsidR="002C043B" w:rsidRDefault="002C04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746AD" w14:textId="77777777" w:rsidR="002C043B" w:rsidRDefault="002C0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C043B" w:rsidRPr="00487162" w14:paraId="077D2348" w14:textId="77777777" w:rsidTr="00DB750B">
      <w:trPr>
        <w:trHeight w:val="269"/>
      </w:trPr>
      <w:tc>
        <w:tcPr>
          <w:tcW w:w="7371" w:type="dxa"/>
          <w:tcMar>
            <w:top w:w="142" w:type="dxa"/>
            <w:bottom w:w="0" w:type="dxa"/>
          </w:tcMar>
        </w:tcPr>
        <w:p w14:paraId="353D9E17" w14:textId="5992A5C9" w:rsidR="002C043B" w:rsidRPr="00487162" w:rsidRDefault="002C043B" w:rsidP="002F02C2">
          <w:pPr>
            <w:pStyle w:val="Footer"/>
          </w:pPr>
          <w:r w:rsidRPr="00487162">
            <w:t>AusPA</w:t>
          </w:r>
          <w:r>
            <w:t xml:space="preserve">R - </w:t>
          </w:r>
          <w:r w:rsidRPr="00937CC5">
            <w:t>EPIDYOLEX - cannabidiol - Emerge Health Pty Ltd - PM-2020-00157-1-1</w:t>
          </w:r>
          <w:r>
            <w:br/>
            <w:t>Final – 15 January 2021</w:t>
          </w:r>
        </w:p>
      </w:tc>
      <w:tc>
        <w:tcPr>
          <w:tcW w:w="1490" w:type="dxa"/>
          <w:tcMar>
            <w:top w:w="142" w:type="dxa"/>
            <w:bottom w:w="0" w:type="dxa"/>
          </w:tcMar>
        </w:tcPr>
        <w:p w14:paraId="17E6ACBA" w14:textId="1DAF6090" w:rsidR="002C043B" w:rsidRPr="00487162" w:rsidRDefault="002C043B" w:rsidP="00DB750B">
          <w:pPr>
            <w:pStyle w:val="Footer"/>
            <w:jc w:val="right"/>
          </w:pPr>
          <w:r w:rsidRPr="00487162">
            <w:t xml:space="preserve">Page </w:t>
          </w:r>
          <w:r>
            <w:fldChar w:fldCharType="begin"/>
          </w:r>
          <w:r>
            <w:instrText xml:space="preserve"> PAGE  \* Arabic </w:instrText>
          </w:r>
          <w:r>
            <w:fldChar w:fldCharType="separate"/>
          </w:r>
          <w:r w:rsidR="00580F9A">
            <w:rPr>
              <w:noProof/>
            </w:rPr>
            <w:t>42</w:t>
          </w:r>
          <w:r>
            <w:fldChar w:fldCharType="end"/>
          </w:r>
          <w:r w:rsidRPr="00487162">
            <w:t xml:space="preserve"> of </w:t>
          </w:r>
          <w:r>
            <w:fldChar w:fldCharType="begin"/>
          </w:r>
          <w:r>
            <w:instrText>NUMPAGES  \* Arabic</w:instrText>
          </w:r>
          <w:r>
            <w:fldChar w:fldCharType="separate"/>
          </w:r>
          <w:r w:rsidR="00580F9A">
            <w:rPr>
              <w:noProof/>
            </w:rPr>
            <w:t>43</w:t>
          </w:r>
          <w:r>
            <w:fldChar w:fldCharType="end"/>
          </w:r>
        </w:p>
      </w:tc>
    </w:tr>
  </w:tbl>
  <w:p w14:paraId="66BF2E1C" w14:textId="77777777" w:rsidR="002C043B" w:rsidRDefault="002C043B"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9E2BF" w14:textId="77777777" w:rsidR="002C043B" w:rsidRDefault="002C04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C043B" w:rsidRPr="00487162" w14:paraId="34B1E6EE" w14:textId="77777777" w:rsidTr="00E45619">
      <w:trPr>
        <w:trHeight w:val="269"/>
      </w:trPr>
      <w:tc>
        <w:tcPr>
          <w:tcW w:w="4519" w:type="dxa"/>
          <w:tcBorders>
            <w:top w:val="single" w:sz="4" w:space="0" w:color="auto"/>
          </w:tcBorders>
          <w:tcMar>
            <w:top w:w="142" w:type="dxa"/>
            <w:bottom w:w="0" w:type="dxa"/>
          </w:tcMar>
        </w:tcPr>
        <w:p w14:paraId="2C12F250" w14:textId="77777777" w:rsidR="002C043B" w:rsidRPr="00487162" w:rsidRDefault="002C043B" w:rsidP="00FE1DEE">
          <w:pPr>
            <w:pStyle w:val="Footer"/>
          </w:pPr>
          <w:r w:rsidRPr="00487162">
            <w:t>Document title, Part #, Section # - Section title</w:t>
          </w:r>
        </w:p>
        <w:p w14:paraId="6DE6BE6D" w14:textId="77777777" w:rsidR="002C043B" w:rsidRPr="00487162" w:rsidRDefault="002C043B" w:rsidP="00FE1DEE">
          <w:pPr>
            <w:pStyle w:val="Footer"/>
          </w:pPr>
          <w:r w:rsidRPr="00487162">
            <w:t>V1.0 October 2010</w:t>
          </w:r>
        </w:p>
      </w:tc>
      <w:tc>
        <w:tcPr>
          <w:tcW w:w="4342" w:type="dxa"/>
          <w:tcBorders>
            <w:top w:val="single" w:sz="4" w:space="0" w:color="auto"/>
          </w:tcBorders>
          <w:tcMar>
            <w:top w:w="142" w:type="dxa"/>
            <w:bottom w:w="0" w:type="dxa"/>
          </w:tcMar>
        </w:tcPr>
        <w:p w14:paraId="482453DB" w14:textId="77777777" w:rsidR="002C043B" w:rsidRPr="00487162" w:rsidRDefault="002C043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w:t>
          </w:r>
          <w:r>
            <w:fldChar w:fldCharType="end"/>
          </w:r>
        </w:p>
      </w:tc>
    </w:tr>
  </w:tbl>
  <w:p w14:paraId="27F5014B" w14:textId="77777777" w:rsidR="002C043B" w:rsidRDefault="002C04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39F1B" w14:textId="77777777" w:rsidR="002C043B" w:rsidRPr="001C32CD" w:rsidRDefault="002C043B"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C043B" w14:paraId="545E5EE0" w14:textId="77777777" w:rsidTr="0010601F">
      <w:trPr>
        <w:trHeight w:val="108"/>
      </w:trPr>
      <w:tc>
        <w:tcPr>
          <w:tcW w:w="8875" w:type="dxa"/>
          <w:gridSpan w:val="2"/>
          <w:tcBorders>
            <w:bottom w:val="single" w:sz="4" w:space="0" w:color="auto"/>
          </w:tcBorders>
          <w:tcMar>
            <w:right w:w="284" w:type="dxa"/>
          </w:tcMar>
        </w:tcPr>
        <w:p w14:paraId="683B5FFF" w14:textId="77777777" w:rsidR="002C043B" w:rsidRDefault="002C043B" w:rsidP="006E08B3">
          <w:pPr>
            <w:pStyle w:val="Heading3"/>
          </w:pPr>
          <w:r>
            <w:t>Copyright</w:t>
          </w:r>
        </w:p>
        <w:p w14:paraId="48DEB44B" w14:textId="77777777" w:rsidR="002C043B" w:rsidRDefault="002C043B" w:rsidP="006E08B3">
          <w:r>
            <w:rPr>
              <w:rFonts w:cs="Arial"/>
            </w:rPr>
            <w:t>©</w:t>
          </w:r>
          <w:r>
            <w:t xml:space="preserve"> Commonwealth of Australia [add year]</w:t>
          </w:r>
        </w:p>
        <w:p w14:paraId="22B78859" w14:textId="77777777" w:rsidR="002C043B" w:rsidRDefault="002C043B" w:rsidP="006E08B3"/>
        <w:p w14:paraId="75F695C5" w14:textId="77777777" w:rsidR="002C043B" w:rsidRDefault="002C043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FDCA5CC" w14:textId="77777777" w:rsidR="002C043B" w:rsidRDefault="002C043B" w:rsidP="006E08B3"/>
        <w:p w14:paraId="1ED14712" w14:textId="77777777" w:rsidR="002C043B" w:rsidRDefault="002C043B" w:rsidP="006E08B3">
          <w:pPr>
            <w:pStyle w:val="Heading3"/>
          </w:pPr>
          <w:r>
            <w:t>Confidentiality</w:t>
          </w:r>
        </w:p>
        <w:p w14:paraId="5DA04DB6" w14:textId="77777777" w:rsidR="002C043B" w:rsidRDefault="002C043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9D22697" w14:textId="77777777" w:rsidR="002C043B" w:rsidRDefault="002C043B" w:rsidP="006E08B3"/>
        <w:p w14:paraId="3E1F6924" w14:textId="77777777" w:rsidR="002C043B" w:rsidRDefault="002C043B" w:rsidP="006E08B3">
          <w:r>
            <w:t>For submission made by individuals, all personal details, other than your name, will be removed from your submission before it is published on the TGA’s Internet site.</w:t>
          </w:r>
        </w:p>
        <w:p w14:paraId="56114E56" w14:textId="77777777" w:rsidR="002C043B" w:rsidRDefault="002C043B" w:rsidP="006E08B3"/>
        <w:p w14:paraId="70F72549" w14:textId="77777777" w:rsidR="002C043B" w:rsidRDefault="002C043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C043B" w14:paraId="6DBFDDE9" w14:textId="77777777" w:rsidTr="0010601F">
      <w:trPr>
        <w:trHeight w:val="417"/>
      </w:trPr>
      <w:tc>
        <w:tcPr>
          <w:tcW w:w="4519" w:type="dxa"/>
          <w:tcBorders>
            <w:top w:val="single" w:sz="4" w:space="0" w:color="auto"/>
          </w:tcBorders>
          <w:tcMar>
            <w:top w:w="142" w:type="dxa"/>
            <w:bottom w:w="0" w:type="dxa"/>
          </w:tcMar>
        </w:tcPr>
        <w:p w14:paraId="436A8CDE" w14:textId="77777777" w:rsidR="002C043B" w:rsidRDefault="002C043B" w:rsidP="006E08B3">
          <w:r>
            <w:t>Document title, Part #, Section # - Section title</w:t>
          </w:r>
        </w:p>
        <w:p w14:paraId="69AB0427" w14:textId="77777777" w:rsidR="002C043B" w:rsidRDefault="002C043B" w:rsidP="006E08B3">
          <w:r>
            <w:t>V1.0 October 2010</w:t>
          </w:r>
        </w:p>
      </w:tc>
      <w:tc>
        <w:tcPr>
          <w:tcW w:w="4356" w:type="dxa"/>
          <w:tcBorders>
            <w:top w:val="single" w:sz="4" w:space="0" w:color="auto"/>
          </w:tcBorders>
          <w:tcMar>
            <w:top w:w="142" w:type="dxa"/>
            <w:bottom w:w="0" w:type="dxa"/>
          </w:tcMar>
        </w:tcPr>
        <w:p w14:paraId="60CB2E66" w14:textId="77777777" w:rsidR="002C043B" w:rsidRDefault="002C043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w:t>
          </w:r>
          <w:r>
            <w:fldChar w:fldCharType="end"/>
          </w:r>
          <w:r>
            <w:t xml:space="preserve">  </w:t>
          </w:r>
        </w:p>
      </w:tc>
    </w:tr>
  </w:tbl>
  <w:p w14:paraId="74B13232" w14:textId="77777777" w:rsidR="002C043B" w:rsidRDefault="002C043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34440" w14:textId="77777777" w:rsidR="002C043B" w:rsidRDefault="002C043B" w:rsidP="00C40A36">
      <w:pPr>
        <w:spacing w:after="0"/>
      </w:pPr>
      <w:r>
        <w:separator/>
      </w:r>
    </w:p>
  </w:footnote>
  <w:footnote w:type="continuationSeparator" w:id="0">
    <w:p w14:paraId="236955BC" w14:textId="77777777" w:rsidR="002C043B" w:rsidRDefault="002C043B" w:rsidP="00C40A36">
      <w:pPr>
        <w:spacing w:after="0"/>
      </w:pPr>
      <w:r>
        <w:continuationSeparator/>
      </w:r>
    </w:p>
  </w:footnote>
  <w:footnote w:type="continuationNotice" w:id="1">
    <w:p w14:paraId="0686BE1F" w14:textId="77777777" w:rsidR="002C043B" w:rsidRDefault="002C043B">
      <w:pPr>
        <w:spacing w:before="0" w:after="0" w:line="240" w:lineRule="auto"/>
      </w:pPr>
    </w:p>
  </w:footnote>
  <w:footnote w:id="2">
    <w:p w14:paraId="191B8BF6" w14:textId="77777777" w:rsidR="002C043B" w:rsidRDefault="002C043B">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7B2C231E" w14:textId="3D3B633A" w:rsidR="002C043B" w:rsidRDefault="002C043B" w:rsidP="004819BE">
      <w:pPr>
        <w:pStyle w:val="FootnoteText"/>
      </w:pPr>
      <w:r>
        <w:rPr>
          <w:rStyle w:val="FootnoteReference"/>
        </w:rPr>
        <w:footnoteRef/>
      </w:r>
      <w:r>
        <w:t xml:space="preserve"> Emerge Health Pty Ltd was the sponsor throughout the duration of the application. Sponsorship was changed to </w:t>
      </w:r>
      <w:proofErr w:type="spellStart"/>
      <w:r>
        <w:t>Chiesi</w:t>
      </w:r>
      <w:proofErr w:type="spellEnd"/>
      <w:r>
        <w:t xml:space="preserve"> Australia Pty Ltd after registration.</w:t>
      </w:r>
    </w:p>
  </w:footnote>
  <w:footnote w:id="4">
    <w:p w14:paraId="0F462903" w14:textId="7760738A" w:rsidR="002C043B" w:rsidRPr="008A48B2" w:rsidRDefault="002C043B">
      <w:pPr>
        <w:pStyle w:val="FootnoteText"/>
        <w:rPr>
          <w:lang w:val="en-US"/>
        </w:rPr>
      </w:pPr>
      <w:r>
        <w:rPr>
          <w:rStyle w:val="FootnoteReference"/>
        </w:rPr>
        <w:footnoteRef/>
      </w:r>
      <w:r>
        <w:t xml:space="preserve"> </w:t>
      </w:r>
      <w:r>
        <w:rPr>
          <w:b/>
        </w:rPr>
        <w:t>Orphan drugs</w:t>
      </w:r>
      <w:r w:rsidRPr="00023C84">
        <w:t xml:space="preserve"> are often developed to treat small and very specific patient populations who suffer from rare diseases and conditions. In order to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5">
    <w:p w14:paraId="7188CC15" w14:textId="0786EE47" w:rsidR="002C043B" w:rsidRPr="008A48B2" w:rsidRDefault="002C043B">
      <w:pPr>
        <w:pStyle w:val="FootnoteText"/>
        <w:rPr>
          <w:lang w:val="en-US"/>
        </w:rPr>
      </w:pPr>
      <w:r>
        <w:rPr>
          <w:rStyle w:val="FootnoteReference"/>
        </w:rPr>
        <w:footnoteRef/>
      </w:r>
      <w:r>
        <w:t xml:space="preserve"> </w:t>
      </w:r>
      <w:r w:rsidRPr="003F5E93">
        <w:t xml:space="preserve">The TGA has implemented a </w:t>
      </w:r>
      <w:r w:rsidRPr="005E733C">
        <w:rPr>
          <w:b/>
        </w:rPr>
        <w:t>P</w:t>
      </w:r>
      <w:r w:rsidRPr="008A48B2">
        <w:rPr>
          <w:b/>
        </w:rPr>
        <w:t>riority pathway</w:t>
      </w:r>
      <w:r w:rsidRPr="003F5E93">
        <w:t xml:space="preserve"> for the registration of novel prescription medicines for Australian patients. The priority pathway provides a formal mechanism for faster assessment of vital and life-saving prescription medicines. </w:t>
      </w:r>
    </w:p>
  </w:footnote>
  <w:footnote w:id="6">
    <w:p w14:paraId="4AD459DE" w14:textId="03CD94C6" w:rsidR="002C043B" w:rsidRDefault="002C043B">
      <w:pPr>
        <w:pStyle w:val="FootnoteText"/>
      </w:pPr>
      <w:r>
        <w:rPr>
          <w:rStyle w:val="FootnoteReference"/>
        </w:rPr>
        <w:footnoteRef/>
      </w:r>
      <w:r>
        <w:t xml:space="preserve"> European Medicines Agency, </w:t>
      </w:r>
      <w:r w:rsidRPr="00503D2B">
        <w:t>Clinical investigation of medicinal products in the treatment of epileptic disorders</w:t>
      </w:r>
      <w:r>
        <w:t xml:space="preserve">, CPMP/EWP/566/1998 Rev. 2 </w:t>
      </w:r>
      <w:proofErr w:type="spellStart"/>
      <w:r>
        <w:t>Corr</w:t>
      </w:r>
      <w:proofErr w:type="spellEnd"/>
      <w:r>
        <w:t>, Effective from 1 August 2010.</w:t>
      </w:r>
    </w:p>
  </w:footnote>
  <w:footnote w:id="7">
    <w:p w14:paraId="1F12ADF5" w14:textId="3CA03CB0" w:rsidR="002C043B" w:rsidRDefault="002C043B" w:rsidP="00F2295E">
      <w:pPr>
        <w:pStyle w:val="FootnoteText"/>
      </w:pPr>
      <w:r>
        <w:rPr>
          <w:rStyle w:val="FootnoteReference"/>
        </w:rPr>
        <w:footnoteRef/>
      </w:r>
      <w:r>
        <w:t xml:space="preserve"> </w:t>
      </w:r>
      <w:r w:rsidRPr="00211B5D">
        <w:rPr>
          <w:b/>
        </w:rPr>
        <w:t>Australian Pregnancy Category B2</w:t>
      </w:r>
      <w:r>
        <w:t xml:space="preserve">: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 Studies in animals are inadequate or may be lacking, but available data show no evidence of an increased occurrence of </w:t>
      </w:r>
      <w:proofErr w:type="spellStart"/>
      <w:r>
        <w:t>fetal</w:t>
      </w:r>
      <w:proofErr w:type="spellEnd"/>
      <w:r>
        <w:t xml:space="preserve"> damage.</w:t>
      </w:r>
    </w:p>
  </w:footnote>
  <w:footnote w:id="8">
    <w:p w14:paraId="14FE6F22" w14:textId="1A8A49DE" w:rsidR="002C043B" w:rsidRPr="00211B5D" w:rsidRDefault="002C043B">
      <w:pPr>
        <w:pStyle w:val="FootnoteText"/>
        <w:rPr>
          <w:lang w:val="en-US"/>
        </w:rPr>
      </w:pPr>
      <w:r>
        <w:rPr>
          <w:rStyle w:val="FootnoteReference"/>
        </w:rPr>
        <w:footnoteRef/>
      </w:r>
      <w:r>
        <w:t xml:space="preserve"> </w:t>
      </w:r>
      <w:proofErr w:type="spellStart"/>
      <w:r>
        <w:t>Sativex</w:t>
      </w:r>
      <w:proofErr w:type="spellEnd"/>
      <w:r>
        <w:t xml:space="preserve"> is the tradename for an </w:t>
      </w:r>
      <w:proofErr w:type="spellStart"/>
      <w:r>
        <w:t>oromucosal</w:t>
      </w:r>
      <w:proofErr w:type="spellEnd"/>
      <w:r>
        <w:t xml:space="preserve"> </w:t>
      </w:r>
      <w:proofErr w:type="spellStart"/>
      <w:r>
        <w:t>nabiximols</w:t>
      </w:r>
      <w:proofErr w:type="spellEnd"/>
      <w:r>
        <w:t xml:space="preserve"> spray. One of the components of </w:t>
      </w:r>
      <w:proofErr w:type="spellStart"/>
      <w:r>
        <w:t>Sativex</w:t>
      </w:r>
      <w:proofErr w:type="spellEnd"/>
      <w:r>
        <w:t xml:space="preserve"> is cannabidiol.</w:t>
      </w:r>
    </w:p>
  </w:footnote>
  <w:footnote w:id="9">
    <w:p w14:paraId="11384C0C" w14:textId="4D78987B" w:rsidR="002C043B" w:rsidRDefault="002C043B">
      <w:pPr>
        <w:pStyle w:val="FootnoteText"/>
      </w:pPr>
      <w:r>
        <w:rPr>
          <w:rStyle w:val="FootnoteReference"/>
        </w:rPr>
        <w:footnoteRef/>
      </w:r>
      <w:r>
        <w:t xml:space="preserve"> See the Efficacy section for explanation of study names.</w:t>
      </w:r>
    </w:p>
  </w:footnote>
  <w:footnote w:id="10">
    <w:p w14:paraId="30F9C1D1" w14:textId="70D2DE48" w:rsidR="002C043B" w:rsidRPr="00A44656" w:rsidRDefault="002C043B" w:rsidP="0041169A">
      <w:pPr>
        <w:pStyle w:val="FootnoteText"/>
        <w:spacing w:before="120" w:after="120"/>
        <w:rPr>
          <w:b/>
          <w:lang w:eastAsia="ja-JP"/>
        </w:rPr>
      </w:pPr>
      <w:r>
        <w:rPr>
          <w:rStyle w:val="FootnoteReference"/>
        </w:rPr>
        <w:footnoteRef/>
      </w:r>
      <w:r>
        <w:t xml:space="preserve"> </w:t>
      </w:r>
      <w:r>
        <w:rPr>
          <w:b/>
          <w:lang w:eastAsia="ja-JP"/>
        </w:rPr>
        <w:t xml:space="preserve">Cytochrome P450 (CYP) enzymes: </w:t>
      </w:r>
      <w:r>
        <w:rPr>
          <w:lang w:eastAsia="ja-JP"/>
        </w:rPr>
        <w:t xml:space="preserve">CYPs are the major enzymes involved in drug metabolism, accounting for large part of the total metabolism. Most drugs undergo deactivation by CYPs, either directly or by facilitated excretion from the body. Also, many substances are </w:t>
      </w:r>
      <w:proofErr w:type="spellStart"/>
      <w:r>
        <w:rPr>
          <w:lang w:eastAsia="ja-JP"/>
        </w:rPr>
        <w:t>bioactivated</w:t>
      </w:r>
      <w:proofErr w:type="spellEnd"/>
      <w:r>
        <w:rPr>
          <w:lang w:eastAsia="ja-JP"/>
        </w:rPr>
        <w:t xml:space="preserve"> by CYPs to form their active compounds.</w:t>
      </w:r>
      <w:r>
        <w:rPr>
          <w:b/>
          <w:lang w:eastAsia="ja-JP"/>
        </w:rPr>
        <w:t xml:space="preserve"> </w:t>
      </w:r>
      <w:r>
        <w:rPr>
          <w:lang w:eastAsia="ja-JP"/>
        </w:rP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1">
    <w:p w14:paraId="73015275" w14:textId="77777777" w:rsidR="002C043B" w:rsidRDefault="002C043B" w:rsidP="0092287E">
      <w:pPr>
        <w:pStyle w:val="FootnoteText"/>
      </w:pPr>
      <w:r>
        <w:rPr>
          <w:rStyle w:val="FootnoteReference"/>
        </w:rPr>
        <w:footnoteRef/>
      </w:r>
      <w:r>
        <w:t xml:space="preserve"> The </w:t>
      </w:r>
      <w:r w:rsidRPr="00211B5D">
        <w:rPr>
          <w:b/>
        </w:rPr>
        <w:t>QT interval</w:t>
      </w:r>
      <w:r>
        <w:t xml:space="preserve"> is the time from the start of the QRS wave complex to the end of the corresponding T wave. It approximates to the time taken for ventricular depolarisation and repolarisation, that is to say, the period of ventricular systole from ventricular </w:t>
      </w:r>
      <w:proofErr w:type="spellStart"/>
      <w:r>
        <w:t>isovolumetric</w:t>
      </w:r>
      <w:proofErr w:type="spellEnd"/>
      <w:r>
        <w:t xml:space="preserve"> contraction to </w:t>
      </w:r>
      <w:proofErr w:type="spellStart"/>
      <w:r>
        <w:t>isovolumetric</w:t>
      </w:r>
      <w:proofErr w:type="spellEnd"/>
      <w:r>
        <w:t xml:space="preserve"> relaxation.</w:t>
      </w:r>
    </w:p>
    <w:p w14:paraId="0045B7B5" w14:textId="21100CB3" w:rsidR="002C043B" w:rsidRPr="00211B5D" w:rsidRDefault="002C043B" w:rsidP="0092287E">
      <w:pPr>
        <w:pStyle w:val="FootnoteText"/>
        <w:rPr>
          <w:lang w:val="en-US"/>
        </w:rPr>
      </w:pPr>
      <w:r>
        <w:t xml:space="preserve">The </w:t>
      </w:r>
      <w:r w:rsidRPr="00211B5D">
        <w:rPr>
          <w:b/>
        </w:rPr>
        <w:t>corrected QT interval</w:t>
      </w:r>
      <w:r>
        <w:t xml:space="preserve"> (</w:t>
      </w:r>
      <w:proofErr w:type="spellStart"/>
      <w:r w:rsidRPr="00211B5D">
        <w:rPr>
          <w:b/>
        </w:rPr>
        <w:t>QTc</w:t>
      </w:r>
      <w:proofErr w:type="spellEnd"/>
      <w:r>
        <w:t>) estimates the QT interval at a standard heart rate. This allows comparison of QT values over time at different heart rates and improves detection of patients at increased risk of arrhythmias.</w:t>
      </w:r>
    </w:p>
  </w:footnote>
  <w:footnote w:id="12">
    <w:p w14:paraId="019275BD" w14:textId="363BF3DF" w:rsidR="002C043B" w:rsidRDefault="002C043B">
      <w:pPr>
        <w:pStyle w:val="FootnoteText"/>
      </w:pPr>
      <w:r>
        <w:rPr>
          <w:rStyle w:val="FootnoteReference"/>
        </w:rPr>
        <w:footnoteRef/>
      </w:r>
      <w:r>
        <w:t xml:space="preserve"> </w:t>
      </w:r>
      <w:r w:rsidRPr="000161CD">
        <w:t xml:space="preserve">FDA, </w:t>
      </w:r>
      <w:proofErr w:type="spellStart"/>
      <w:r w:rsidRPr="000161CD">
        <w:t>Center</w:t>
      </w:r>
      <w:proofErr w:type="spellEnd"/>
      <w:r w:rsidRPr="000161CD">
        <w:t xml:space="preserve"> for Drug Evaluation and Research</w:t>
      </w:r>
      <w:r>
        <w:t xml:space="preserve"> (CDER), Summary Review, </w:t>
      </w:r>
      <w:proofErr w:type="spellStart"/>
      <w:r>
        <w:t>Epidiolex</w:t>
      </w:r>
      <w:proofErr w:type="spellEnd"/>
      <w:r>
        <w:t xml:space="preserve"> (cannabidiol) 100 mg/mL oral solution, Application 210365Orig1s000, 22 June 2018. Available from the FDA website.</w:t>
      </w:r>
    </w:p>
  </w:footnote>
  <w:footnote w:id="13">
    <w:p w14:paraId="5B8DAE63" w14:textId="6DAEF787" w:rsidR="002C043B" w:rsidRDefault="002C043B">
      <w:pPr>
        <w:pStyle w:val="FootnoteText"/>
      </w:pPr>
      <w:r>
        <w:rPr>
          <w:rStyle w:val="FootnoteReference"/>
        </w:rPr>
        <w:footnoteRef/>
      </w:r>
      <w:r>
        <w:t xml:space="preserve"> These trials include two pivotal efficacy studies; four safety, tolerability and PK studies; two drug</w:t>
      </w:r>
      <w:r>
        <w:noBreakHyphen/>
        <w:t xml:space="preserve">drug interaction studies; one study on the effect of CBD on the </w:t>
      </w:r>
      <w:proofErr w:type="spellStart"/>
      <w:r>
        <w:t>QTc</w:t>
      </w:r>
      <w:proofErr w:type="spellEnd"/>
      <w:r>
        <w:t xml:space="preserve"> interval; and one study of CBD effect on CYP3A4 probe midazolam.</w:t>
      </w:r>
    </w:p>
  </w:footnote>
  <w:footnote w:id="14">
    <w:p w14:paraId="4F4E3617" w14:textId="01FDA728" w:rsidR="002C043B" w:rsidRPr="00DD705B" w:rsidRDefault="002C043B">
      <w:pPr>
        <w:pStyle w:val="FootnoteText"/>
        <w:rPr>
          <w:szCs w:val="18"/>
        </w:rPr>
      </w:pPr>
      <w:r>
        <w:rPr>
          <w:rStyle w:val="FootnoteReference"/>
        </w:rPr>
        <w:footnoteRef/>
      </w:r>
      <w:r>
        <w:t xml:space="preserve"> </w:t>
      </w:r>
      <w:r w:rsidRPr="00F335A7">
        <w:rPr>
          <w:rStyle w:val="FooterChar"/>
          <w:sz w:val="18"/>
          <w:szCs w:val="18"/>
        </w:rPr>
        <w:t>The Epilepsy Study Consortium (TESC) is a group of scientific investigators from academic medical research centres who are dedicated to accelerating the development of new therapies in epilepsy to improve patient care.</w:t>
      </w:r>
    </w:p>
  </w:footnote>
  <w:footnote w:id="15">
    <w:p w14:paraId="15CA2F73" w14:textId="39CE7AB0" w:rsidR="002C043B" w:rsidRDefault="002C043B">
      <w:pPr>
        <w:pStyle w:val="FootnoteText"/>
      </w:pPr>
      <w:r>
        <w:rPr>
          <w:rStyle w:val="FootnoteReference"/>
        </w:rPr>
        <w:footnoteRef/>
      </w:r>
      <w:r>
        <w:t xml:space="preserve"> Sponsor clarification: The dosing regimen recommended for registration consists of 2 dose increments over 8 days to reach 10 mg/kg/day, which is consistent with the timing of titration to 10 mg/kg/day used in the pivotal studies, with fewer dose increments, to benefit patients, caregivers, and prescribers. Recommended titration to 20 mg/kg/day is based on clinical evaluation and is slower than that used in the pivotal studies, in which 20 mg/kg/day was achieved within 14 days.</w:t>
      </w:r>
    </w:p>
  </w:footnote>
  <w:footnote w:id="16">
    <w:p w14:paraId="41E2A1CE" w14:textId="18F633C4" w:rsidR="002C043B" w:rsidRDefault="002C043B" w:rsidP="000A08C1">
      <w:pPr>
        <w:pStyle w:val="FootnoteText"/>
      </w:pPr>
      <w:r>
        <w:rPr>
          <w:rStyle w:val="FootnoteReference"/>
        </w:rPr>
        <w:footnoteRef/>
      </w:r>
      <w:r>
        <w:t xml:space="preserve"> EMA, European Public Assessment Report (EPAR), </w:t>
      </w:r>
      <w:proofErr w:type="spellStart"/>
      <w:r>
        <w:t>Epidyolex</w:t>
      </w:r>
      <w:proofErr w:type="spellEnd"/>
      <w:r>
        <w:t xml:space="preserve"> (cannabidiol), </w:t>
      </w:r>
      <w:r w:rsidRPr="00071232">
        <w:t>EMA/458106/2019</w:t>
      </w:r>
      <w:r>
        <w:t>, 25 July 2019. Available from the EMA Website.</w:t>
      </w:r>
    </w:p>
  </w:footnote>
  <w:footnote w:id="17">
    <w:p w14:paraId="7C94A522" w14:textId="79D6B90B" w:rsidR="002C043B" w:rsidRDefault="002C043B">
      <w:pPr>
        <w:pStyle w:val="FootnoteText"/>
      </w:pPr>
      <w:r>
        <w:rPr>
          <w:rStyle w:val="FootnoteReference"/>
        </w:rPr>
        <w:footnoteRef/>
      </w:r>
      <w:r>
        <w:t xml:space="preserve"> Sponsor clarification: </w:t>
      </w:r>
      <w:r w:rsidRPr="008E0104">
        <w:t>statement</w:t>
      </w:r>
      <w:r>
        <w:t xml:space="preserve"> from the EU Summary of Product Characteristics (</w:t>
      </w:r>
      <w:proofErr w:type="spellStart"/>
      <w:r>
        <w:t>SmPC</w:t>
      </w:r>
      <w:proofErr w:type="spellEnd"/>
      <w:r>
        <w:t>) description of efficacy in the approved indication in the EU.</w:t>
      </w:r>
    </w:p>
  </w:footnote>
  <w:footnote w:id="18">
    <w:p w14:paraId="2794F803" w14:textId="3DD1FAF4" w:rsidR="002C043B" w:rsidRDefault="002C043B">
      <w:pPr>
        <w:pStyle w:val="FootnoteText"/>
      </w:pPr>
      <w:r>
        <w:rPr>
          <w:rStyle w:val="FootnoteReference"/>
        </w:rPr>
        <w:footnoteRef/>
      </w:r>
      <w:r>
        <w:t xml:space="preserve"> Sponsor’s Study GWEP1332 Part B (abbreviated as Study DS-32 Part B in this document).</w:t>
      </w:r>
    </w:p>
  </w:footnote>
  <w:footnote w:id="19">
    <w:p w14:paraId="7DCB85DC" w14:textId="77777777" w:rsidR="002C043B" w:rsidRDefault="002C043B">
      <w:pPr>
        <w:pStyle w:val="FootnoteText"/>
      </w:pPr>
      <w:r>
        <w:rPr>
          <w:rStyle w:val="FootnoteReference"/>
        </w:rPr>
        <w:footnoteRef/>
      </w:r>
      <w:r>
        <w:t xml:space="preserve"> </w:t>
      </w:r>
      <w:r w:rsidRPr="00E135A6">
        <w:rPr>
          <w:b/>
        </w:rPr>
        <w:t>Drug induced liver injury</w:t>
      </w:r>
      <w:r w:rsidRPr="00AA0333">
        <w:t xml:space="preserve"> (</w:t>
      </w:r>
      <w:r w:rsidRPr="00E135A6">
        <w:rPr>
          <w:b/>
        </w:rPr>
        <w:t>DILI</w:t>
      </w:r>
      <w:r w:rsidRPr="00AA0333">
        <w:t xml:space="preserve">) also known </w:t>
      </w:r>
      <w:r>
        <w:t xml:space="preserve">as drug-induced </w:t>
      </w:r>
      <w:proofErr w:type="spellStart"/>
      <w:r>
        <w:t>hepatoxicity</w:t>
      </w:r>
      <w:proofErr w:type="spellEnd"/>
      <w:r>
        <w:t>, includes both</w:t>
      </w:r>
      <w:r w:rsidRPr="00AA0333">
        <w:t xml:space="preserve"> acute or chronic liver damage caused by a prescription, over the counter (OTC) or complementary medicine. </w:t>
      </w:r>
      <w:proofErr w:type="spellStart"/>
      <w:r w:rsidRPr="00AA0333">
        <w:t>Hepatoxicity</w:t>
      </w:r>
      <w:proofErr w:type="spellEnd"/>
      <w:r w:rsidRPr="00AA0333">
        <w:t xml:space="preserve"> due to type A reactions, or intrinsic DILI</w:t>
      </w:r>
      <w:r>
        <w:t>,</w:t>
      </w:r>
      <w:r w:rsidRPr="00AA0333">
        <w:t xml:space="preserve"> is typically dose-related and occurs in a large proportion of in</w:t>
      </w:r>
      <w:r>
        <w:t xml:space="preserve">dividuals exposed to the drug and </w:t>
      </w:r>
      <w:r w:rsidRPr="00AA0333">
        <w:t>(predictable) and onset is within a s</w:t>
      </w:r>
      <w:r>
        <w:t>hort time span (hours to days).</w:t>
      </w:r>
    </w:p>
    <w:p w14:paraId="3F849D3E" w14:textId="23689291" w:rsidR="002C043B" w:rsidRPr="00E135A6" w:rsidRDefault="002C043B">
      <w:pPr>
        <w:pStyle w:val="FootnoteText"/>
        <w:rPr>
          <w:lang w:val="en-US"/>
        </w:rPr>
      </w:pPr>
      <w:r w:rsidRPr="00AA0333">
        <w:t>Idiosyncratic DILI is not closely dose-related, and occurs in only a small proportion of exposed susceptible individuals (unpredictable) and exhibits a variable latency to onset of days to weeks.</w:t>
      </w:r>
    </w:p>
  </w:footnote>
  <w:footnote w:id="20">
    <w:p w14:paraId="491A04C2" w14:textId="2F9ECAA0" w:rsidR="002C043B" w:rsidRPr="00E135A6" w:rsidRDefault="002C043B">
      <w:pPr>
        <w:pStyle w:val="FootnoteText"/>
        <w:rPr>
          <w:lang w:val="en-US"/>
        </w:rPr>
      </w:pPr>
      <w:r>
        <w:rPr>
          <w:rStyle w:val="FootnoteReference"/>
        </w:rPr>
        <w:footnoteRef/>
      </w:r>
      <w:r>
        <w:t xml:space="preserve"> </w:t>
      </w:r>
      <w:proofErr w:type="spellStart"/>
      <w:r w:rsidRPr="00E135A6">
        <w:rPr>
          <w:b/>
        </w:rPr>
        <w:t>Hy’s</w:t>
      </w:r>
      <w:proofErr w:type="spellEnd"/>
      <w:r w:rsidRPr="00E135A6">
        <w:rPr>
          <w:b/>
        </w:rPr>
        <w:t xml:space="preserve"> Law</w:t>
      </w:r>
      <w:r w:rsidRPr="00656BEB">
        <w:t xml:space="preserve">: Evidence of hepatocellular injury with a rise in alanine aminotransferase (ALT) and/or aspartate aminotransferase (AST) &gt; 3 x the upper limit of normal (ULN) and total bilirubin &gt; 2 x ULN, and no other reason to explain rise in aminotransferases and </w:t>
      </w:r>
      <w:r>
        <w:t xml:space="preserve">total bilirubin. </w:t>
      </w:r>
      <w:proofErr w:type="spellStart"/>
      <w:r>
        <w:t>Hy's</w:t>
      </w:r>
      <w:proofErr w:type="spellEnd"/>
      <w:r>
        <w:t xml:space="preserve"> L</w:t>
      </w:r>
      <w:r w:rsidRPr="00656BEB">
        <w:t>aw is a rule of thumb that a patient is at high risk of a fatal drug-induced liver injury</w:t>
      </w:r>
      <w:r>
        <w:t xml:space="preserve"> (DILI)</w:t>
      </w:r>
      <w:r w:rsidRPr="00656BEB">
        <w:t xml:space="preserve"> if given a medication that causes hepatocellular injury with jaundice.</w:t>
      </w:r>
    </w:p>
  </w:footnote>
  <w:footnote w:id="21">
    <w:p w14:paraId="50D5256C" w14:textId="77777777" w:rsidR="002C043B" w:rsidRDefault="002C043B"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1C097DE6" w14:textId="77777777" w:rsidR="002C043B" w:rsidRDefault="002C043B" w:rsidP="007D53B6">
      <w:pPr>
        <w:pStyle w:val="FootnoteText"/>
      </w:pPr>
      <w:r w:rsidRPr="007D53B6">
        <w:rPr>
          <w:i/>
        </w:rPr>
        <w:t>Routine pharmacovigilance</w:t>
      </w:r>
      <w:r>
        <w:t xml:space="preserve"> practices involve the following activities:</w:t>
      </w:r>
    </w:p>
    <w:p w14:paraId="332F95FB" w14:textId="77777777" w:rsidR="002C043B" w:rsidRDefault="002C043B" w:rsidP="007D53B6">
      <w:pPr>
        <w:pStyle w:val="FootnoteText"/>
        <w:numPr>
          <w:ilvl w:val="0"/>
          <w:numId w:val="32"/>
        </w:numPr>
        <w:ind w:left="284" w:hanging="284"/>
      </w:pPr>
      <w:r>
        <w:t>All suspected adverse reactions that are reported to the personnel of the company are collected and collated in an accessible manner;</w:t>
      </w:r>
    </w:p>
    <w:p w14:paraId="43998537" w14:textId="77777777" w:rsidR="002C043B" w:rsidRDefault="002C043B" w:rsidP="007D53B6">
      <w:pPr>
        <w:pStyle w:val="FootnoteText"/>
        <w:numPr>
          <w:ilvl w:val="0"/>
          <w:numId w:val="32"/>
        </w:numPr>
        <w:ind w:left="284" w:hanging="284"/>
      </w:pPr>
      <w:r>
        <w:t>Reporting to regulatory authorities;</w:t>
      </w:r>
    </w:p>
    <w:p w14:paraId="7398704F" w14:textId="77777777" w:rsidR="002C043B" w:rsidRDefault="002C043B" w:rsidP="007D53B6">
      <w:pPr>
        <w:pStyle w:val="FootnoteText"/>
        <w:numPr>
          <w:ilvl w:val="0"/>
          <w:numId w:val="32"/>
        </w:numPr>
        <w:ind w:left="284" w:hanging="284"/>
      </w:pPr>
      <w:r>
        <w:t>Continuous monitoring of the safety profiles of approved products including signal detection and updating of labelling;</w:t>
      </w:r>
    </w:p>
    <w:p w14:paraId="3A198507" w14:textId="77777777" w:rsidR="002C043B" w:rsidRDefault="002C043B" w:rsidP="007D53B6">
      <w:pPr>
        <w:pStyle w:val="FootnoteText"/>
        <w:numPr>
          <w:ilvl w:val="0"/>
          <w:numId w:val="32"/>
        </w:numPr>
        <w:ind w:left="284" w:hanging="284"/>
      </w:pPr>
      <w:r>
        <w:t>Submission of PSURs;</w:t>
      </w:r>
    </w:p>
    <w:p w14:paraId="001140FA" w14:textId="77777777" w:rsidR="002C043B" w:rsidRDefault="002C043B" w:rsidP="007D53B6">
      <w:pPr>
        <w:pStyle w:val="FootnoteText"/>
        <w:numPr>
          <w:ilvl w:val="0"/>
          <w:numId w:val="32"/>
        </w:numPr>
        <w:ind w:left="284" w:hanging="284"/>
      </w:pPr>
      <w:r>
        <w:t>Meeting other local regulatory agency requirements.</w:t>
      </w:r>
    </w:p>
  </w:footnote>
  <w:footnote w:id="22">
    <w:p w14:paraId="788F54D3" w14:textId="77777777" w:rsidR="002C043B" w:rsidRDefault="002C043B"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DB6081B" w14:textId="77777777" w:rsidR="002C043B" w:rsidRPr="00456765" w:rsidRDefault="002C043B"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23">
    <w:p w14:paraId="09A9B309" w14:textId="5ECABA13" w:rsidR="002C043B" w:rsidRDefault="002C043B">
      <w:pPr>
        <w:pStyle w:val="FootnoteText"/>
        <w:rPr>
          <w:lang w:eastAsia="en-AU"/>
        </w:rPr>
      </w:pPr>
      <w:r>
        <w:rPr>
          <w:rStyle w:val="FootnoteReference"/>
        </w:rPr>
        <w:footnoteRef/>
      </w:r>
      <w:r>
        <w:t xml:space="preserve"> </w:t>
      </w:r>
      <w:proofErr w:type="spellStart"/>
      <w:r>
        <w:rPr>
          <w:lang w:val="en-GB"/>
        </w:rPr>
        <w:t>Bialer</w:t>
      </w:r>
      <w:proofErr w:type="spellEnd"/>
      <w:r>
        <w:rPr>
          <w:lang w:val="en-GB"/>
        </w:rPr>
        <w:t xml:space="preserve"> and </w:t>
      </w:r>
      <w:proofErr w:type="spellStart"/>
      <w:r>
        <w:rPr>
          <w:lang w:val="en-GB"/>
        </w:rPr>
        <w:t>Perucca</w:t>
      </w:r>
      <w:proofErr w:type="spellEnd"/>
      <w:r>
        <w:rPr>
          <w:lang w:val="en-GB"/>
        </w:rPr>
        <w:t xml:space="preserve">. </w:t>
      </w:r>
      <w:r w:rsidRPr="005F75FB">
        <w:rPr>
          <w:lang w:eastAsia="en-AU"/>
        </w:rPr>
        <w:t xml:space="preserve">Does cannabidiol have </w:t>
      </w:r>
      <w:proofErr w:type="spellStart"/>
      <w:r w:rsidRPr="005F75FB">
        <w:rPr>
          <w:lang w:eastAsia="en-AU"/>
        </w:rPr>
        <w:t>antiseizure</w:t>
      </w:r>
      <w:proofErr w:type="spellEnd"/>
      <w:r w:rsidRPr="005F75FB">
        <w:rPr>
          <w:lang w:eastAsia="en-AU"/>
        </w:rPr>
        <w:t xml:space="preserve"> activity independent of its interactions with </w:t>
      </w:r>
      <w:proofErr w:type="spellStart"/>
      <w:r w:rsidRPr="005F75FB">
        <w:rPr>
          <w:lang w:eastAsia="en-AU"/>
        </w:rPr>
        <w:t>clobazam</w:t>
      </w:r>
      <w:proofErr w:type="spellEnd"/>
      <w:r w:rsidRPr="005F75FB">
        <w:rPr>
          <w:lang w:eastAsia="en-AU"/>
        </w:rPr>
        <w:t>? An appraisal of the evidence from randomized controlled trials</w:t>
      </w:r>
      <w:r>
        <w:rPr>
          <w:lang w:eastAsia="en-AU"/>
        </w:rPr>
        <w:t xml:space="preserve">. </w:t>
      </w:r>
      <w:proofErr w:type="spellStart"/>
      <w:r w:rsidRPr="001212C1">
        <w:rPr>
          <w:i/>
          <w:lang w:val="en-GB"/>
        </w:rPr>
        <w:t>Epilepsi</w:t>
      </w:r>
      <w:r>
        <w:rPr>
          <w:i/>
          <w:lang w:val="en-GB"/>
        </w:rPr>
        <w:t>a</w:t>
      </w:r>
      <w:proofErr w:type="spellEnd"/>
      <w:r>
        <w:rPr>
          <w:i/>
          <w:lang w:val="en-GB"/>
        </w:rPr>
        <w:t>,</w:t>
      </w:r>
      <w:r w:rsidRPr="005F75FB">
        <w:rPr>
          <w:lang w:val="en-GB"/>
        </w:rPr>
        <w:t xml:space="preserve"> 2020</w:t>
      </w:r>
      <w:r>
        <w:rPr>
          <w:i/>
          <w:lang w:val="en-GB"/>
        </w:rPr>
        <w:t>;</w:t>
      </w:r>
      <w:r>
        <w:rPr>
          <w:lang w:val="en-GB"/>
        </w:rPr>
        <w:t>61(6):1082-9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9A4A" w14:textId="77777777" w:rsidR="002C043B" w:rsidRDefault="002C0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126DE" w14:textId="77777777" w:rsidR="002C043B" w:rsidRDefault="002C043B"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07D95" w14:textId="77777777" w:rsidR="002C043B" w:rsidRDefault="002C043B">
    <w:pPr>
      <w:rPr>
        <w:noProof/>
        <w:lang w:eastAsia="en-AU"/>
      </w:rPr>
    </w:pPr>
    <w:r w:rsidRPr="00347824">
      <w:rPr>
        <w:noProof/>
        <w:lang w:eastAsia="en-AU"/>
      </w:rPr>
      <w:drawing>
        <wp:anchor distT="0" distB="0" distL="114300" distR="114300" simplePos="0" relativeHeight="251658240" behindDoc="1" locked="0" layoutInCell="1" allowOverlap="1" wp14:anchorId="1BBA2C24" wp14:editId="503C29D5">
          <wp:simplePos x="0" y="0"/>
          <wp:positionH relativeFrom="column">
            <wp:posOffset>-1089660</wp:posOffset>
          </wp:positionH>
          <wp:positionV relativeFrom="paragraph">
            <wp:posOffset>-585470</wp:posOffset>
          </wp:positionV>
          <wp:extent cx="7572375" cy="10706100"/>
          <wp:effectExtent l="19050" t="0" r="0" b="0"/>
          <wp:wrapNone/>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39E9120" w14:textId="070F3B80" w:rsidR="002C043B" w:rsidRDefault="002C043B"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EA1F" w14:textId="77777777" w:rsidR="002C043B" w:rsidRDefault="002C04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B863" w14:textId="77777777" w:rsidR="002C043B" w:rsidRDefault="002C043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EBA6A" w14:textId="77777777" w:rsidR="002C043B" w:rsidRDefault="002C043B">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5DF28" w14:textId="77777777" w:rsidR="002C043B" w:rsidRDefault="002C04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018B" w14:textId="77777777" w:rsidR="002C043B" w:rsidRDefault="002C043B"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E00A1" w14:textId="77777777" w:rsidR="002C043B" w:rsidRDefault="002C043B" w:rsidP="006E08B3">
    <w:r>
      <w:t>Therapeutic Goods Administration</w:t>
    </w:r>
  </w:p>
  <w:p w14:paraId="05FB0C8A" w14:textId="77777777" w:rsidR="002C043B" w:rsidRDefault="002C043B"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242058A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multilevel"/>
    <w:tmpl w:val="B8320B0A"/>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5B0AE90A"/>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501B7F"/>
    <w:multiLevelType w:val="hybridMultilevel"/>
    <w:tmpl w:val="3B54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CF7085"/>
    <w:multiLevelType w:val="hybridMultilevel"/>
    <w:tmpl w:val="B38449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3F76A6"/>
    <w:multiLevelType w:val="hybridMultilevel"/>
    <w:tmpl w:val="1A1ABC44"/>
    <w:lvl w:ilvl="0" w:tplc="F530E874">
      <w:start w:val="1"/>
      <w:numFmt w:val="bullet"/>
      <w:lvlText w:val=""/>
      <w:lvlJc w:val="left"/>
      <w:pPr>
        <w:tabs>
          <w:tab w:val="num" w:pos="720"/>
        </w:tabs>
        <w:ind w:left="720" w:hanging="360"/>
      </w:pPr>
      <w:rPr>
        <w:rFonts w:ascii="Wingdings" w:hAnsi="Wingdings" w:hint="default"/>
      </w:rPr>
    </w:lvl>
    <w:lvl w:ilvl="1" w:tplc="594E81E4">
      <w:start w:val="1"/>
      <w:numFmt w:val="bullet"/>
      <w:lvlText w:val=""/>
      <w:lvlJc w:val="left"/>
      <w:pPr>
        <w:tabs>
          <w:tab w:val="num" w:pos="1440"/>
        </w:tabs>
        <w:ind w:left="1440" w:hanging="360"/>
      </w:pPr>
      <w:rPr>
        <w:rFonts w:ascii="Wingdings" w:hAnsi="Wingdings" w:hint="default"/>
      </w:rPr>
    </w:lvl>
    <w:lvl w:ilvl="2" w:tplc="9E30276C" w:tentative="1">
      <w:start w:val="1"/>
      <w:numFmt w:val="bullet"/>
      <w:lvlText w:val=""/>
      <w:lvlJc w:val="left"/>
      <w:pPr>
        <w:tabs>
          <w:tab w:val="num" w:pos="2160"/>
        </w:tabs>
        <w:ind w:left="2160" w:hanging="360"/>
      </w:pPr>
      <w:rPr>
        <w:rFonts w:ascii="Wingdings" w:hAnsi="Wingdings" w:hint="default"/>
      </w:rPr>
    </w:lvl>
    <w:lvl w:ilvl="3" w:tplc="DB529CCC" w:tentative="1">
      <w:start w:val="1"/>
      <w:numFmt w:val="bullet"/>
      <w:lvlText w:val=""/>
      <w:lvlJc w:val="left"/>
      <w:pPr>
        <w:tabs>
          <w:tab w:val="num" w:pos="2880"/>
        </w:tabs>
        <w:ind w:left="2880" w:hanging="360"/>
      </w:pPr>
      <w:rPr>
        <w:rFonts w:ascii="Wingdings" w:hAnsi="Wingdings" w:hint="default"/>
      </w:rPr>
    </w:lvl>
    <w:lvl w:ilvl="4" w:tplc="E2DEFFC0" w:tentative="1">
      <w:start w:val="1"/>
      <w:numFmt w:val="bullet"/>
      <w:lvlText w:val=""/>
      <w:lvlJc w:val="left"/>
      <w:pPr>
        <w:tabs>
          <w:tab w:val="num" w:pos="3600"/>
        </w:tabs>
        <w:ind w:left="3600" w:hanging="360"/>
      </w:pPr>
      <w:rPr>
        <w:rFonts w:ascii="Wingdings" w:hAnsi="Wingdings" w:hint="default"/>
      </w:rPr>
    </w:lvl>
    <w:lvl w:ilvl="5" w:tplc="3512468A" w:tentative="1">
      <w:start w:val="1"/>
      <w:numFmt w:val="bullet"/>
      <w:lvlText w:val=""/>
      <w:lvlJc w:val="left"/>
      <w:pPr>
        <w:tabs>
          <w:tab w:val="num" w:pos="4320"/>
        </w:tabs>
        <w:ind w:left="4320" w:hanging="360"/>
      </w:pPr>
      <w:rPr>
        <w:rFonts w:ascii="Wingdings" w:hAnsi="Wingdings" w:hint="default"/>
      </w:rPr>
    </w:lvl>
    <w:lvl w:ilvl="6" w:tplc="A0DE052C" w:tentative="1">
      <w:start w:val="1"/>
      <w:numFmt w:val="bullet"/>
      <w:lvlText w:val=""/>
      <w:lvlJc w:val="left"/>
      <w:pPr>
        <w:tabs>
          <w:tab w:val="num" w:pos="5040"/>
        </w:tabs>
        <w:ind w:left="5040" w:hanging="360"/>
      </w:pPr>
      <w:rPr>
        <w:rFonts w:ascii="Wingdings" w:hAnsi="Wingdings" w:hint="default"/>
      </w:rPr>
    </w:lvl>
    <w:lvl w:ilvl="7" w:tplc="D4DA6380" w:tentative="1">
      <w:start w:val="1"/>
      <w:numFmt w:val="bullet"/>
      <w:lvlText w:val=""/>
      <w:lvlJc w:val="left"/>
      <w:pPr>
        <w:tabs>
          <w:tab w:val="num" w:pos="5760"/>
        </w:tabs>
        <w:ind w:left="5760" w:hanging="360"/>
      </w:pPr>
      <w:rPr>
        <w:rFonts w:ascii="Wingdings" w:hAnsi="Wingdings" w:hint="default"/>
      </w:rPr>
    </w:lvl>
    <w:lvl w:ilvl="8" w:tplc="9CBC5BD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95731"/>
    <w:multiLevelType w:val="hybridMultilevel"/>
    <w:tmpl w:val="6756D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1E1F5D"/>
    <w:multiLevelType w:val="hybridMultilevel"/>
    <w:tmpl w:val="4658F4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6"/>
  </w:num>
  <w:num w:numId="29">
    <w:abstractNumId w:val="6"/>
  </w:num>
  <w:num w:numId="30">
    <w:abstractNumId w:val="13"/>
  </w:num>
  <w:num w:numId="31">
    <w:abstractNumId w:val="4"/>
  </w:num>
  <w:num w:numId="32">
    <w:abstractNumId w:val="15"/>
  </w:num>
  <w:num w:numId="33">
    <w:abstractNumId w:val="12"/>
  </w:num>
  <w:num w:numId="34">
    <w:abstractNumId w:val="11"/>
  </w:num>
  <w:num w:numId="35">
    <w:abstractNumId w:val="8"/>
  </w:num>
  <w:num w:numId="36">
    <w:abstractNumId w:val="5"/>
    <w:lvlOverride w:ilvl="0">
      <w:startOverride w:val="1"/>
    </w:lvlOverride>
  </w:num>
  <w:num w:numId="37">
    <w:abstractNumId w:val="9"/>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6" w:nlCheck="1" w:checkStyle="0"/>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s-ES"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s-ES" w:vendorID="64" w:dllVersion="131078"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4CE"/>
    <w:rsid w:val="00002031"/>
    <w:rsid w:val="00002EE1"/>
    <w:rsid w:val="00003258"/>
    <w:rsid w:val="00004734"/>
    <w:rsid w:val="00004B36"/>
    <w:rsid w:val="00006AFB"/>
    <w:rsid w:val="00006B22"/>
    <w:rsid w:val="00006FAB"/>
    <w:rsid w:val="0001276A"/>
    <w:rsid w:val="00012B14"/>
    <w:rsid w:val="000154F7"/>
    <w:rsid w:val="000157A1"/>
    <w:rsid w:val="000161CD"/>
    <w:rsid w:val="000169E3"/>
    <w:rsid w:val="00016C2B"/>
    <w:rsid w:val="00017F1A"/>
    <w:rsid w:val="00023D09"/>
    <w:rsid w:val="000246AE"/>
    <w:rsid w:val="0002487B"/>
    <w:rsid w:val="00025575"/>
    <w:rsid w:val="00025A85"/>
    <w:rsid w:val="00025C67"/>
    <w:rsid w:val="000260AB"/>
    <w:rsid w:val="00032BC8"/>
    <w:rsid w:val="00032CA5"/>
    <w:rsid w:val="000351A7"/>
    <w:rsid w:val="0003733C"/>
    <w:rsid w:val="000408CF"/>
    <w:rsid w:val="00044772"/>
    <w:rsid w:val="0004541C"/>
    <w:rsid w:val="0005559E"/>
    <w:rsid w:val="000563E3"/>
    <w:rsid w:val="00056D9F"/>
    <w:rsid w:val="000576D7"/>
    <w:rsid w:val="00057B06"/>
    <w:rsid w:val="000604D6"/>
    <w:rsid w:val="00062669"/>
    <w:rsid w:val="000634D9"/>
    <w:rsid w:val="00065501"/>
    <w:rsid w:val="00066234"/>
    <w:rsid w:val="00066890"/>
    <w:rsid w:val="00066AE6"/>
    <w:rsid w:val="00067F57"/>
    <w:rsid w:val="00071257"/>
    <w:rsid w:val="000734D8"/>
    <w:rsid w:val="00073DD6"/>
    <w:rsid w:val="000742E9"/>
    <w:rsid w:val="00075FD0"/>
    <w:rsid w:val="00077775"/>
    <w:rsid w:val="00080809"/>
    <w:rsid w:val="000819A9"/>
    <w:rsid w:val="000822BB"/>
    <w:rsid w:val="0008594B"/>
    <w:rsid w:val="00085FF3"/>
    <w:rsid w:val="00086BB8"/>
    <w:rsid w:val="00090471"/>
    <w:rsid w:val="00094DF2"/>
    <w:rsid w:val="0009604B"/>
    <w:rsid w:val="000968A8"/>
    <w:rsid w:val="00096AA7"/>
    <w:rsid w:val="00097624"/>
    <w:rsid w:val="000A08C1"/>
    <w:rsid w:val="000A194E"/>
    <w:rsid w:val="000A2F6A"/>
    <w:rsid w:val="000A3AED"/>
    <w:rsid w:val="000A7732"/>
    <w:rsid w:val="000B1BFB"/>
    <w:rsid w:val="000B3532"/>
    <w:rsid w:val="000B3A75"/>
    <w:rsid w:val="000B4114"/>
    <w:rsid w:val="000C00C2"/>
    <w:rsid w:val="000C1153"/>
    <w:rsid w:val="000C12C7"/>
    <w:rsid w:val="000C2990"/>
    <w:rsid w:val="000C2E45"/>
    <w:rsid w:val="000C35AD"/>
    <w:rsid w:val="000C4403"/>
    <w:rsid w:val="000C5F3F"/>
    <w:rsid w:val="000C690F"/>
    <w:rsid w:val="000C773A"/>
    <w:rsid w:val="000D1295"/>
    <w:rsid w:val="000D1BA0"/>
    <w:rsid w:val="000D1C1D"/>
    <w:rsid w:val="000D2128"/>
    <w:rsid w:val="000D391B"/>
    <w:rsid w:val="000D3D6D"/>
    <w:rsid w:val="000D4FC7"/>
    <w:rsid w:val="000E4312"/>
    <w:rsid w:val="000E6196"/>
    <w:rsid w:val="000E7AE6"/>
    <w:rsid w:val="000F26B6"/>
    <w:rsid w:val="000F4869"/>
    <w:rsid w:val="000F5B42"/>
    <w:rsid w:val="000F6E6F"/>
    <w:rsid w:val="000F7876"/>
    <w:rsid w:val="00100903"/>
    <w:rsid w:val="00101E5D"/>
    <w:rsid w:val="00102D02"/>
    <w:rsid w:val="00103A58"/>
    <w:rsid w:val="00103ABC"/>
    <w:rsid w:val="0010601F"/>
    <w:rsid w:val="0010788A"/>
    <w:rsid w:val="00107A31"/>
    <w:rsid w:val="00107A6D"/>
    <w:rsid w:val="00107BCA"/>
    <w:rsid w:val="00110EA5"/>
    <w:rsid w:val="00112F56"/>
    <w:rsid w:val="0011712F"/>
    <w:rsid w:val="00121057"/>
    <w:rsid w:val="00121A40"/>
    <w:rsid w:val="00124ACD"/>
    <w:rsid w:val="00125318"/>
    <w:rsid w:val="001265CE"/>
    <w:rsid w:val="001305A2"/>
    <w:rsid w:val="00132970"/>
    <w:rsid w:val="001330B0"/>
    <w:rsid w:val="00133238"/>
    <w:rsid w:val="00133A1B"/>
    <w:rsid w:val="001340D5"/>
    <w:rsid w:val="00134561"/>
    <w:rsid w:val="001350AC"/>
    <w:rsid w:val="00135484"/>
    <w:rsid w:val="0013551F"/>
    <w:rsid w:val="001374A9"/>
    <w:rsid w:val="0014197B"/>
    <w:rsid w:val="00142CC2"/>
    <w:rsid w:val="0014421D"/>
    <w:rsid w:val="001447CD"/>
    <w:rsid w:val="00145B72"/>
    <w:rsid w:val="001476FF"/>
    <w:rsid w:val="00151004"/>
    <w:rsid w:val="001516B1"/>
    <w:rsid w:val="00152DF7"/>
    <w:rsid w:val="00153A5E"/>
    <w:rsid w:val="00154EBB"/>
    <w:rsid w:val="00155B74"/>
    <w:rsid w:val="00156316"/>
    <w:rsid w:val="001577B5"/>
    <w:rsid w:val="00160E5D"/>
    <w:rsid w:val="00161181"/>
    <w:rsid w:val="00161F96"/>
    <w:rsid w:val="001620BF"/>
    <w:rsid w:val="00162D14"/>
    <w:rsid w:val="00163780"/>
    <w:rsid w:val="00165389"/>
    <w:rsid w:val="00165EA8"/>
    <w:rsid w:val="00167495"/>
    <w:rsid w:val="00167F80"/>
    <w:rsid w:val="00172D80"/>
    <w:rsid w:val="0017693F"/>
    <w:rsid w:val="0018110E"/>
    <w:rsid w:val="00181684"/>
    <w:rsid w:val="001821E1"/>
    <w:rsid w:val="001843C6"/>
    <w:rsid w:val="001850E0"/>
    <w:rsid w:val="00186932"/>
    <w:rsid w:val="00191EA0"/>
    <w:rsid w:val="00193017"/>
    <w:rsid w:val="00194D7F"/>
    <w:rsid w:val="00196058"/>
    <w:rsid w:val="001A03AF"/>
    <w:rsid w:val="001A2158"/>
    <w:rsid w:val="001A37BD"/>
    <w:rsid w:val="001A525F"/>
    <w:rsid w:val="001A5C48"/>
    <w:rsid w:val="001A7845"/>
    <w:rsid w:val="001B09F9"/>
    <w:rsid w:val="001B2DEC"/>
    <w:rsid w:val="001B43FA"/>
    <w:rsid w:val="001B4AF3"/>
    <w:rsid w:val="001B4F95"/>
    <w:rsid w:val="001B5C90"/>
    <w:rsid w:val="001B6015"/>
    <w:rsid w:val="001B6448"/>
    <w:rsid w:val="001B6814"/>
    <w:rsid w:val="001B6C6D"/>
    <w:rsid w:val="001C06C6"/>
    <w:rsid w:val="001C32CD"/>
    <w:rsid w:val="001C515D"/>
    <w:rsid w:val="001C52F0"/>
    <w:rsid w:val="001C6381"/>
    <w:rsid w:val="001C7061"/>
    <w:rsid w:val="001C74CC"/>
    <w:rsid w:val="001C78C7"/>
    <w:rsid w:val="001D2984"/>
    <w:rsid w:val="001D3F4F"/>
    <w:rsid w:val="001D45C5"/>
    <w:rsid w:val="001D4C3E"/>
    <w:rsid w:val="001D5E1F"/>
    <w:rsid w:val="001E07CF"/>
    <w:rsid w:val="001E15FD"/>
    <w:rsid w:val="001E59F1"/>
    <w:rsid w:val="001E7B4C"/>
    <w:rsid w:val="001F0053"/>
    <w:rsid w:val="001F118C"/>
    <w:rsid w:val="001F2CEE"/>
    <w:rsid w:val="001F4286"/>
    <w:rsid w:val="001F49EB"/>
    <w:rsid w:val="001F6CBA"/>
    <w:rsid w:val="00201D4E"/>
    <w:rsid w:val="0020555E"/>
    <w:rsid w:val="00206F3F"/>
    <w:rsid w:val="002076C9"/>
    <w:rsid w:val="002109B3"/>
    <w:rsid w:val="00211B5D"/>
    <w:rsid w:val="002163D3"/>
    <w:rsid w:val="002175D9"/>
    <w:rsid w:val="00220AE6"/>
    <w:rsid w:val="00220B8A"/>
    <w:rsid w:val="00223F4B"/>
    <w:rsid w:val="0022547B"/>
    <w:rsid w:val="002257F3"/>
    <w:rsid w:val="002265D5"/>
    <w:rsid w:val="002318DA"/>
    <w:rsid w:val="00233456"/>
    <w:rsid w:val="002339A5"/>
    <w:rsid w:val="00234808"/>
    <w:rsid w:val="00235A9C"/>
    <w:rsid w:val="002412F8"/>
    <w:rsid w:val="00241913"/>
    <w:rsid w:val="00242170"/>
    <w:rsid w:val="002429F6"/>
    <w:rsid w:val="002431CE"/>
    <w:rsid w:val="002437FC"/>
    <w:rsid w:val="00243FDB"/>
    <w:rsid w:val="00250271"/>
    <w:rsid w:val="002535C6"/>
    <w:rsid w:val="002537E8"/>
    <w:rsid w:val="00254133"/>
    <w:rsid w:val="0025630D"/>
    <w:rsid w:val="00257848"/>
    <w:rsid w:val="002578E8"/>
    <w:rsid w:val="0026017A"/>
    <w:rsid w:val="0026138B"/>
    <w:rsid w:val="00262E1E"/>
    <w:rsid w:val="00264342"/>
    <w:rsid w:val="002651C7"/>
    <w:rsid w:val="002663CB"/>
    <w:rsid w:val="00267286"/>
    <w:rsid w:val="002679F7"/>
    <w:rsid w:val="00267A8F"/>
    <w:rsid w:val="002703FE"/>
    <w:rsid w:val="0027084A"/>
    <w:rsid w:val="00271220"/>
    <w:rsid w:val="00272162"/>
    <w:rsid w:val="00274DDD"/>
    <w:rsid w:val="00280265"/>
    <w:rsid w:val="00284387"/>
    <w:rsid w:val="00286434"/>
    <w:rsid w:val="00286C59"/>
    <w:rsid w:val="00287D9C"/>
    <w:rsid w:val="00291957"/>
    <w:rsid w:val="00292DD2"/>
    <w:rsid w:val="002942D1"/>
    <w:rsid w:val="00294FF2"/>
    <w:rsid w:val="0029501A"/>
    <w:rsid w:val="002A248D"/>
    <w:rsid w:val="002A24CE"/>
    <w:rsid w:val="002A2F34"/>
    <w:rsid w:val="002A3721"/>
    <w:rsid w:val="002A4964"/>
    <w:rsid w:val="002A77E8"/>
    <w:rsid w:val="002A7BE5"/>
    <w:rsid w:val="002B0024"/>
    <w:rsid w:val="002B1638"/>
    <w:rsid w:val="002B3624"/>
    <w:rsid w:val="002C043B"/>
    <w:rsid w:val="002C35DC"/>
    <w:rsid w:val="002C3970"/>
    <w:rsid w:val="002C3CA1"/>
    <w:rsid w:val="002C4143"/>
    <w:rsid w:val="002C6C70"/>
    <w:rsid w:val="002D0952"/>
    <w:rsid w:val="002D56FA"/>
    <w:rsid w:val="002E0379"/>
    <w:rsid w:val="002E0DA7"/>
    <w:rsid w:val="002E40B3"/>
    <w:rsid w:val="002E4C9A"/>
    <w:rsid w:val="002E702C"/>
    <w:rsid w:val="002F02C2"/>
    <w:rsid w:val="002F07F5"/>
    <w:rsid w:val="002F11F8"/>
    <w:rsid w:val="002F2E2C"/>
    <w:rsid w:val="002F3F56"/>
    <w:rsid w:val="002F4239"/>
    <w:rsid w:val="002F44B5"/>
    <w:rsid w:val="002F5122"/>
    <w:rsid w:val="002F5C15"/>
    <w:rsid w:val="002F7113"/>
    <w:rsid w:val="00304B83"/>
    <w:rsid w:val="00307BFE"/>
    <w:rsid w:val="003109EE"/>
    <w:rsid w:val="00310E0C"/>
    <w:rsid w:val="00311AC0"/>
    <w:rsid w:val="00316FBF"/>
    <w:rsid w:val="003176FC"/>
    <w:rsid w:val="0032583B"/>
    <w:rsid w:val="00327883"/>
    <w:rsid w:val="00333004"/>
    <w:rsid w:val="003333D1"/>
    <w:rsid w:val="00333CAD"/>
    <w:rsid w:val="00335504"/>
    <w:rsid w:val="00335EAA"/>
    <w:rsid w:val="00335FE4"/>
    <w:rsid w:val="00337D8A"/>
    <w:rsid w:val="00340C18"/>
    <w:rsid w:val="00341BBB"/>
    <w:rsid w:val="0034364A"/>
    <w:rsid w:val="003442FD"/>
    <w:rsid w:val="00345848"/>
    <w:rsid w:val="00346DD7"/>
    <w:rsid w:val="00347824"/>
    <w:rsid w:val="00350567"/>
    <w:rsid w:val="00351DA4"/>
    <w:rsid w:val="003521E8"/>
    <w:rsid w:val="0035233B"/>
    <w:rsid w:val="003526D2"/>
    <w:rsid w:val="00352A17"/>
    <w:rsid w:val="003548C3"/>
    <w:rsid w:val="00354B4F"/>
    <w:rsid w:val="00354E22"/>
    <w:rsid w:val="00360840"/>
    <w:rsid w:val="00360A13"/>
    <w:rsid w:val="00364BBF"/>
    <w:rsid w:val="00370967"/>
    <w:rsid w:val="00370CE3"/>
    <w:rsid w:val="00370D0A"/>
    <w:rsid w:val="003728F3"/>
    <w:rsid w:val="003735BC"/>
    <w:rsid w:val="0037496E"/>
    <w:rsid w:val="00376A27"/>
    <w:rsid w:val="003771EC"/>
    <w:rsid w:val="00377805"/>
    <w:rsid w:val="00381D70"/>
    <w:rsid w:val="00383221"/>
    <w:rsid w:val="00384ECA"/>
    <w:rsid w:val="00386150"/>
    <w:rsid w:val="003874CE"/>
    <w:rsid w:val="00390900"/>
    <w:rsid w:val="00391C90"/>
    <w:rsid w:val="00391CA1"/>
    <w:rsid w:val="00392A97"/>
    <w:rsid w:val="003931C7"/>
    <w:rsid w:val="00393EE0"/>
    <w:rsid w:val="00395986"/>
    <w:rsid w:val="00395BE5"/>
    <w:rsid w:val="003A0051"/>
    <w:rsid w:val="003A0696"/>
    <w:rsid w:val="003A236D"/>
    <w:rsid w:val="003A2C5B"/>
    <w:rsid w:val="003A4D29"/>
    <w:rsid w:val="003A58B1"/>
    <w:rsid w:val="003A6E49"/>
    <w:rsid w:val="003A7F6C"/>
    <w:rsid w:val="003B02CC"/>
    <w:rsid w:val="003B2446"/>
    <w:rsid w:val="003B2F00"/>
    <w:rsid w:val="003B46AD"/>
    <w:rsid w:val="003B4D60"/>
    <w:rsid w:val="003B4EFF"/>
    <w:rsid w:val="003B7455"/>
    <w:rsid w:val="003B7E39"/>
    <w:rsid w:val="003C1E1C"/>
    <w:rsid w:val="003C2004"/>
    <w:rsid w:val="003C23D8"/>
    <w:rsid w:val="003C3469"/>
    <w:rsid w:val="003C58DC"/>
    <w:rsid w:val="003C7C17"/>
    <w:rsid w:val="003D1980"/>
    <w:rsid w:val="003D1E62"/>
    <w:rsid w:val="003D5041"/>
    <w:rsid w:val="003D637E"/>
    <w:rsid w:val="003D770D"/>
    <w:rsid w:val="003E0B99"/>
    <w:rsid w:val="003E11A1"/>
    <w:rsid w:val="003E1A07"/>
    <w:rsid w:val="003E2486"/>
    <w:rsid w:val="003E24D0"/>
    <w:rsid w:val="003E3208"/>
    <w:rsid w:val="003E6010"/>
    <w:rsid w:val="003F0B04"/>
    <w:rsid w:val="003F2FBC"/>
    <w:rsid w:val="003F5A09"/>
    <w:rsid w:val="003F5E93"/>
    <w:rsid w:val="0040122C"/>
    <w:rsid w:val="0040134E"/>
    <w:rsid w:val="0040390B"/>
    <w:rsid w:val="0040398D"/>
    <w:rsid w:val="00405DEA"/>
    <w:rsid w:val="00407C00"/>
    <w:rsid w:val="004104E4"/>
    <w:rsid w:val="0041169A"/>
    <w:rsid w:val="004133F0"/>
    <w:rsid w:val="00415315"/>
    <w:rsid w:val="00415D71"/>
    <w:rsid w:val="004242DD"/>
    <w:rsid w:val="00425126"/>
    <w:rsid w:val="00425293"/>
    <w:rsid w:val="00431107"/>
    <w:rsid w:val="004334C7"/>
    <w:rsid w:val="00436A7A"/>
    <w:rsid w:val="00437276"/>
    <w:rsid w:val="00440A2D"/>
    <w:rsid w:val="00441C3F"/>
    <w:rsid w:val="00444A66"/>
    <w:rsid w:val="00444D1A"/>
    <w:rsid w:val="004505FD"/>
    <w:rsid w:val="0045186A"/>
    <w:rsid w:val="004549EE"/>
    <w:rsid w:val="004564A7"/>
    <w:rsid w:val="00456765"/>
    <w:rsid w:val="00460036"/>
    <w:rsid w:val="004617BF"/>
    <w:rsid w:val="00462DBE"/>
    <w:rsid w:val="00462DF0"/>
    <w:rsid w:val="00463658"/>
    <w:rsid w:val="004637A0"/>
    <w:rsid w:val="00463DEA"/>
    <w:rsid w:val="00464B0E"/>
    <w:rsid w:val="00467F30"/>
    <w:rsid w:val="00470055"/>
    <w:rsid w:val="00470695"/>
    <w:rsid w:val="004722CC"/>
    <w:rsid w:val="00472D86"/>
    <w:rsid w:val="004741BD"/>
    <w:rsid w:val="00475BC4"/>
    <w:rsid w:val="004819BE"/>
    <w:rsid w:val="00481BA7"/>
    <w:rsid w:val="00482E51"/>
    <w:rsid w:val="004845B7"/>
    <w:rsid w:val="004848A0"/>
    <w:rsid w:val="00490483"/>
    <w:rsid w:val="00490832"/>
    <w:rsid w:val="004936E4"/>
    <w:rsid w:val="00494E60"/>
    <w:rsid w:val="0049585F"/>
    <w:rsid w:val="00495AD4"/>
    <w:rsid w:val="00497487"/>
    <w:rsid w:val="004974A0"/>
    <w:rsid w:val="004A0EDE"/>
    <w:rsid w:val="004A2771"/>
    <w:rsid w:val="004A5A76"/>
    <w:rsid w:val="004A6189"/>
    <w:rsid w:val="004A7390"/>
    <w:rsid w:val="004B0879"/>
    <w:rsid w:val="004B156B"/>
    <w:rsid w:val="004B18ED"/>
    <w:rsid w:val="004B1B59"/>
    <w:rsid w:val="004B1B5F"/>
    <w:rsid w:val="004B1F91"/>
    <w:rsid w:val="004B2627"/>
    <w:rsid w:val="004B5F79"/>
    <w:rsid w:val="004B7B76"/>
    <w:rsid w:val="004C19A5"/>
    <w:rsid w:val="004C1E51"/>
    <w:rsid w:val="004C239D"/>
    <w:rsid w:val="004C2DCA"/>
    <w:rsid w:val="004C4FBE"/>
    <w:rsid w:val="004C5B16"/>
    <w:rsid w:val="004C61D2"/>
    <w:rsid w:val="004D4645"/>
    <w:rsid w:val="004D549F"/>
    <w:rsid w:val="004D54A5"/>
    <w:rsid w:val="004D5BBF"/>
    <w:rsid w:val="004D63F8"/>
    <w:rsid w:val="004D65F3"/>
    <w:rsid w:val="004E04C7"/>
    <w:rsid w:val="004E3F3B"/>
    <w:rsid w:val="004E49EA"/>
    <w:rsid w:val="004E4F08"/>
    <w:rsid w:val="004E6A0B"/>
    <w:rsid w:val="004E7A86"/>
    <w:rsid w:val="004F0C4A"/>
    <w:rsid w:val="004F0F38"/>
    <w:rsid w:val="004F47D6"/>
    <w:rsid w:val="004F4874"/>
    <w:rsid w:val="004F647E"/>
    <w:rsid w:val="00500337"/>
    <w:rsid w:val="00500922"/>
    <w:rsid w:val="00500BFC"/>
    <w:rsid w:val="00501921"/>
    <w:rsid w:val="00503D2B"/>
    <w:rsid w:val="00507667"/>
    <w:rsid w:val="005118F5"/>
    <w:rsid w:val="0051191B"/>
    <w:rsid w:val="00513DC5"/>
    <w:rsid w:val="00517B64"/>
    <w:rsid w:val="00517E1A"/>
    <w:rsid w:val="0052064B"/>
    <w:rsid w:val="005215AA"/>
    <w:rsid w:val="00522BD4"/>
    <w:rsid w:val="005260AA"/>
    <w:rsid w:val="00530354"/>
    <w:rsid w:val="0053292F"/>
    <w:rsid w:val="00533C99"/>
    <w:rsid w:val="005353D6"/>
    <w:rsid w:val="0053625B"/>
    <w:rsid w:val="005363C6"/>
    <w:rsid w:val="005370AF"/>
    <w:rsid w:val="00537AA7"/>
    <w:rsid w:val="00540D3D"/>
    <w:rsid w:val="005434C6"/>
    <w:rsid w:val="00543B39"/>
    <w:rsid w:val="00544F9A"/>
    <w:rsid w:val="005454A4"/>
    <w:rsid w:val="00546154"/>
    <w:rsid w:val="00546459"/>
    <w:rsid w:val="00546D3E"/>
    <w:rsid w:val="00547CF4"/>
    <w:rsid w:val="00547F29"/>
    <w:rsid w:val="00550003"/>
    <w:rsid w:val="00550096"/>
    <w:rsid w:val="00550BCA"/>
    <w:rsid w:val="00550D9F"/>
    <w:rsid w:val="00552534"/>
    <w:rsid w:val="00552D07"/>
    <w:rsid w:val="00552EE2"/>
    <w:rsid w:val="00554F51"/>
    <w:rsid w:val="00554F69"/>
    <w:rsid w:val="00555280"/>
    <w:rsid w:val="005556DC"/>
    <w:rsid w:val="00557FF9"/>
    <w:rsid w:val="00562327"/>
    <w:rsid w:val="0056476D"/>
    <w:rsid w:val="0056499B"/>
    <w:rsid w:val="00565C9B"/>
    <w:rsid w:val="00565D0A"/>
    <w:rsid w:val="00567A1E"/>
    <w:rsid w:val="005711D5"/>
    <w:rsid w:val="00573290"/>
    <w:rsid w:val="0057379E"/>
    <w:rsid w:val="00575C07"/>
    <w:rsid w:val="00576378"/>
    <w:rsid w:val="00576C79"/>
    <w:rsid w:val="00577130"/>
    <w:rsid w:val="00577945"/>
    <w:rsid w:val="00577CCF"/>
    <w:rsid w:val="00577E38"/>
    <w:rsid w:val="00580F9A"/>
    <w:rsid w:val="0058276E"/>
    <w:rsid w:val="00584600"/>
    <w:rsid w:val="00585322"/>
    <w:rsid w:val="005857C6"/>
    <w:rsid w:val="005876C1"/>
    <w:rsid w:val="005913D1"/>
    <w:rsid w:val="00592F6E"/>
    <w:rsid w:val="00593AD1"/>
    <w:rsid w:val="00594FBF"/>
    <w:rsid w:val="005A05D2"/>
    <w:rsid w:val="005A27F6"/>
    <w:rsid w:val="005A3358"/>
    <w:rsid w:val="005A351E"/>
    <w:rsid w:val="005A68B6"/>
    <w:rsid w:val="005B32DD"/>
    <w:rsid w:val="005B55F6"/>
    <w:rsid w:val="005C02B6"/>
    <w:rsid w:val="005C1C5B"/>
    <w:rsid w:val="005C1DC1"/>
    <w:rsid w:val="005C5570"/>
    <w:rsid w:val="005C5B66"/>
    <w:rsid w:val="005C79A4"/>
    <w:rsid w:val="005D0A88"/>
    <w:rsid w:val="005D45B1"/>
    <w:rsid w:val="005D5442"/>
    <w:rsid w:val="005D5FBA"/>
    <w:rsid w:val="005D69FD"/>
    <w:rsid w:val="005E1D2B"/>
    <w:rsid w:val="005E4D7C"/>
    <w:rsid w:val="005E50DC"/>
    <w:rsid w:val="005E5C28"/>
    <w:rsid w:val="005E5FB8"/>
    <w:rsid w:val="005E733C"/>
    <w:rsid w:val="005F09C3"/>
    <w:rsid w:val="005F0BE5"/>
    <w:rsid w:val="005F1C5B"/>
    <w:rsid w:val="005F1DA1"/>
    <w:rsid w:val="005F2ADD"/>
    <w:rsid w:val="005F4110"/>
    <w:rsid w:val="005F52B4"/>
    <w:rsid w:val="005F649D"/>
    <w:rsid w:val="005F75FB"/>
    <w:rsid w:val="00601DAD"/>
    <w:rsid w:val="00602048"/>
    <w:rsid w:val="00603A1B"/>
    <w:rsid w:val="00603F32"/>
    <w:rsid w:val="00605972"/>
    <w:rsid w:val="00605AD4"/>
    <w:rsid w:val="006060D3"/>
    <w:rsid w:val="0060654C"/>
    <w:rsid w:val="00610F77"/>
    <w:rsid w:val="0061198B"/>
    <w:rsid w:val="00611A85"/>
    <w:rsid w:val="00611B27"/>
    <w:rsid w:val="00612A17"/>
    <w:rsid w:val="006136D7"/>
    <w:rsid w:val="006176E8"/>
    <w:rsid w:val="00617ABF"/>
    <w:rsid w:val="00622C7D"/>
    <w:rsid w:val="00625909"/>
    <w:rsid w:val="00625A6E"/>
    <w:rsid w:val="00626D07"/>
    <w:rsid w:val="00632398"/>
    <w:rsid w:val="006366ED"/>
    <w:rsid w:val="00640553"/>
    <w:rsid w:val="00640FC3"/>
    <w:rsid w:val="006419E1"/>
    <w:rsid w:val="00642020"/>
    <w:rsid w:val="006430EE"/>
    <w:rsid w:val="00645B30"/>
    <w:rsid w:val="00647373"/>
    <w:rsid w:val="0065168E"/>
    <w:rsid w:val="006532A6"/>
    <w:rsid w:val="0065337B"/>
    <w:rsid w:val="00653A75"/>
    <w:rsid w:val="0065419D"/>
    <w:rsid w:val="00656BEB"/>
    <w:rsid w:val="00656FFC"/>
    <w:rsid w:val="006603BC"/>
    <w:rsid w:val="006604D8"/>
    <w:rsid w:val="00661AA5"/>
    <w:rsid w:val="006648BB"/>
    <w:rsid w:val="00664A5B"/>
    <w:rsid w:val="006651D6"/>
    <w:rsid w:val="00665B4C"/>
    <w:rsid w:val="0066735C"/>
    <w:rsid w:val="00674109"/>
    <w:rsid w:val="00674F67"/>
    <w:rsid w:val="006763D2"/>
    <w:rsid w:val="00680C08"/>
    <w:rsid w:val="00681652"/>
    <w:rsid w:val="00687C3E"/>
    <w:rsid w:val="00687F37"/>
    <w:rsid w:val="006916A0"/>
    <w:rsid w:val="006925C2"/>
    <w:rsid w:val="006931B1"/>
    <w:rsid w:val="0069325A"/>
    <w:rsid w:val="00693361"/>
    <w:rsid w:val="00693A87"/>
    <w:rsid w:val="00696722"/>
    <w:rsid w:val="00697967"/>
    <w:rsid w:val="006A029D"/>
    <w:rsid w:val="006A15C0"/>
    <w:rsid w:val="006A24CC"/>
    <w:rsid w:val="006A25C4"/>
    <w:rsid w:val="006A4D25"/>
    <w:rsid w:val="006A4E27"/>
    <w:rsid w:val="006A5562"/>
    <w:rsid w:val="006A56C7"/>
    <w:rsid w:val="006A58A8"/>
    <w:rsid w:val="006A77E4"/>
    <w:rsid w:val="006B0E0C"/>
    <w:rsid w:val="006C32A9"/>
    <w:rsid w:val="006C3E2A"/>
    <w:rsid w:val="006C48A1"/>
    <w:rsid w:val="006C5915"/>
    <w:rsid w:val="006C642F"/>
    <w:rsid w:val="006C7292"/>
    <w:rsid w:val="006C755C"/>
    <w:rsid w:val="006D03E5"/>
    <w:rsid w:val="006D118E"/>
    <w:rsid w:val="006D223F"/>
    <w:rsid w:val="006D354A"/>
    <w:rsid w:val="006D3F1B"/>
    <w:rsid w:val="006D5D3E"/>
    <w:rsid w:val="006E08B3"/>
    <w:rsid w:val="006E7832"/>
    <w:rsid w:val="006E7A92"/>
    <w:rsid w:val="006E7B8A"/>
    <w:rsid w:val="006E7C1A"/>
    <w:rsid w:val="006F0909"/>
    <w:rsid w:val="006F17AC"/>
    <w:rsid w:val="006F25B8"/>
    <w:rsid w:val="006F2B63"/>
    <w:rsid w:val="006F4633"/>
    <w:rsid w:val="006F572E"/>
    <w:rsid w:val="006F68EF"/>
    <w:rsid w:val="006FA643"/>
    <w:rsid w:val="00700BFD"/>
    <w:rsid w:val="00703951"/>
    <w:rsid w:val="007046D6"/>
    <w:rsid w:val="0070555A"/>
    <w:rsid w:val="00705DB0"/>
    <w:rsid w:val="00706DE1"/>
    <w:rsid w:val="007127FA"/>
    <w:rsid w:val="00712CAF"/>
    <w:rsid w:val="00713299"/>
    <w:rsid w:val="00722B57"/>
    <w:rsid w:val="00724CC8"/>
    <w:rsid w:val="00730F8A"/>
    <w:rsid w:val="00733033"/>
    <w:rsid w:val="007353A4"/>
    <w:rsid w:val="00735A8C"/>
    <w:rsid w:val="007414FD"/>
    <w:rsid w:val="0074253D"/>
    <w:rsid w:val="0074429B"/>
    <w:rsid w:val="007504BF"/>
    <w:rsid w:val="007533DE"/>
    <w:rsid w:val="00753FF2"/>
    <w:rsid w:val="00755AEC"/>
    <w:rsid w:val="00756F51"/>
    <w:rsid w:val="00760F3D"/>
    <w:rsid w:val="007615BC"/>
    <w:rsid w:val="007621A9"/>
    <w:rsid w:val="00762F05"/>
    <w:rsid w:val="007652FF"/>
    <w:rsid w:val="007673CE"/>
    <w:rsid w:val="00770CAC"/>
    <w:rsid w:val="00770EF1"/>
    <w:rsid w:val="00773EF7"/>
    <w:rsid w:val="00774276"/>
    <w:rsid w:val="007742DD"/>
    <w:rsid w:val="00774E1D"/>
    <w:rsid w:val="007752EA"/>
    <w:rsid w:val="00775C8F"/>
    <w:rsid w:val="00775CC3"/>
    <w:rsid w:val="0077642F"/>
    <w:rsid w:val="007765D8"/>
    <w:rsid w:val="0077675A"/>
    <w:rsid w:val="00776E06"/>
    <w:rsid w:val="0077700D"/>
    <w:rsid w:val="00780355"/>
    <w:rsid w:val="007819FD"/>
    <w:rsid w:val="00782860"/>
    <w:rsid w:val="0078398B"/>
    <w:rsid w:val="0078478B"/>
    <w:rsid w:val="00785717"/>
    <w:rsid w:val="00785721"/>
    <w:rsid w:val="00790467"/>
    <w:rsid w:val="00791020"/>
    <w:rsid w:val="00792414"/>
    <w:rsid w:val="00793A59"/>
    <w:rsid w:val="00794423"/>
    <w:rsid w:val="007957D0"/>
    <w:rsid w:val="00795DC2"/>
    <w:rsid w:val="00796772"/>
    <w:rsid w:val="0079769A"/>
    <w:rsid w:val="007A21CA"/>
    <w:rsid w:val="007A250A"/>
    <w:rsid w:val="007A46F5"/>
    <w:rsid w:val="007A4BFD"/>
    <w:rsid w:val="007A6505"/>
    <w:rsid w:val="007B32A6"/>
    <w:rsid w:val="007B552F"/>
    <w:rsid w:val="007B6132"/>
    <w:rsid w:val="007B6E9F"/>
    <w:rsid w:val="007C1216"/>
    <w:rsid w:val="007C12E8"/>
    <w:rsid w:val="007C1AF7"/>
    <w:rsid w:val="007C2BB7"/>
    <w:rsid w:val="007C400D"/>
    <w:rsid w:val="007C6B9B"/>
    <w:rsid w:val="007C70DE"/>
    <w:rsid w:val="007D2C1A"/>
    <w:rsid w:val="007D3034"/>
    <w:rsid w:val="007D4B3F"/>
    <w:rsid w:val="007D4D89"/>
    <w:rsid w:val="007D53B6"/>
    <w:rsid w:val="007D724E"/>
    <w:rsid w:val="007F057A"/>
    <w:rsid w:val="007F494A"/>
    <w:rsid w:val="007F6D6E"/>
    <w:rsid w:val="007F7EDA"/>
    <w:rsid w:val="00800CE8"/>
    <w:rsid w:val="008020EC"/>
    <w:rsid w:val="0080517D"/>
    <w:rsid w:val="00805D27"/>
    <w:rsid w:val="008063B6"/>
    <w:rsid w:val="00806BCE"/>
    <w:rsid w:val="00806DCB"/>
    <w:rsid w:val="00811D40"/>
    <w:rsid w:val="00815100"/>
    <w:rsid w:val="008203E9"/>
    <w:rsid w:val="00821776"/>
    <w:rsid w:val="00821AA8"/>
    <w:rsid w:val="0082355B"/>
    <w:rsid w:val="00826094"/>
    <w:rsid w:val="008271C1"/>
    <w:rsid w:val="00830C61"/>
    <w:rsid w:val="00831C66"/>
    <w:rsid w:val="00831F57"/>
    <w:rsid w:val="008321F5"/>
    <w:rsid w:val="00832369"/>
    <w:rsid w:val="00833952"/>
    <w:rsid w:val="00834660"/>
    <w:rsid w:val="00835010"/>
    <w:rsid w:val="008361E5"/>
    <w:rsid w:val="008367A8"/>
    <w:rsid w:val="00836BC2"/>
    <w:rsid w:val="00836E22"/>
    <w:rsid w:val="00840954"/>
    <w:rsid w:val="008418BE"/>
    <w:rsid w:val="00846262"/>
    <w:rsid w:val="0084676E"/>
    <w:rsid w:val="00847AA9"/>
    <w:rsid w:val="0085156D"/>
    <w:rsid w:val="00852B28"/>
    <w:rsid w:val="00854285"/>
    <w:rsid w:val="008544C8"/>
    <w:rsid w:val="0085641B"/>
    <w:rsid w:val="00857136"/>
    <w:rsid w:val="00857D8D"/>
    <w:rsid w:val="00865F36"/>
    <w:rsid w:val="00875A6B"/>
    <w:rsid w:val="0088304D"/>
    <w:rsid w:val="00884AC2"/>
    <w:rsid w:val="00885B11"/>
    <w:rsid w:val="008863B4"/>
    <w:rsid w:val="00886D15"/>
    <w:rsid w:val="00887DD8"/>
    <w:rsid w:val="00891249"/>
    <w:rsid w:val="00891BA9"/>
    <w:rsid w:val="00892684"/>
    <w:rsid w:val="008927CF"/>
    <w:rsid w:val="00895D17"/>
    <w:rsid w:val="00896018"/>
    <w:rsid w:val="008960DD"/>
    <w:rsid w:val="0089635C"/>
    <w:rsid w:val="008A12AB"/>
    <w:rsid w:val="008A1A1D"/>
    <w:rsid w:val="008A2B9D"/>
    <w:rsid w:val="008A3D38"/>
    <w:rsid w:val="008A3D9F"/>
    <w:rsid w:val="008A48B2"/>
    <w:rsid w:val="008A5E0B"/>
    <w:rsid w:val="008A6D59"/>
    <w:rsid w:val="008B1C4E"/>
    <w:rsid w:val="008B4059"/>
    <w:rsid w:val="008B4B03"/>
    <w:rsid w:val="008B4D37"/>
    <w:rsid w:val="008B50BA"/>
    <w:rsid w:val="008B538D"/>
    <w:rsid w:val="008B596F"/>
    <w:rsid w:val="008B7F20"/>
    <w:rsid w:val="008C159F"/>
    <w:rsid w:val="008C1623"/>
    <w:rsid w:val="008C1850"/>
    <w:rsid w:val="008C2092"/>
    <w:rsid w:val="008C4843"/>
    <w:rsid w:val="008C51A9"/>
    <w:rsid w:val="008C5FEA"/>
    <w:rsid w:val="008C67B7"/>
    <w:rsid w:val="008D2E7D"/>
    <w:rsid w:val="008D6F9B"/>
    <w:rsid w:val="008E0104"/>
    <w:rsid w:val="008E27BC"/>
    <w:rsid w:val="008E50B4"/>
    <w:rsid w:val="008E5930"/>
    <w:rsid w:val="008E781B"/>
    <w:rsid w:val="008E7846"/>
    <w:rsid w:val="008F02E5"/>
    <w:rsid w:val="008F1CCC"/>
    <w:rsid w:val="008F1D18"/>
    <w:rsid w:val="008F2075"/>
    <w:rsid w:val="008F2967"/>
    <w:rsid w:val="008F2B6C"/>
    <w:rsid w:val="008F442A"/>
    <w:rsid w:val="008F4BB8"/>
    <w:rsid w:val="008F6943"/>
    <w:rsid w:val="009003CF"/>
    <w:rsid w:val="009007CA"/>
    <w:rsid w:val="00902A21"/>
    <w:rsid w:val="009036B3"/>
    <w:rsid w:val="0090408C"/>
    <w:rsid w:val="009045E5"/>
    <w:rsid w:val="00905A16"/>
    <w:rsid w:val="00906038"/>
    <w:rsid w:val="009070F6"/>
    <w:rsid w:val="009076FE"/>
    <w:rsid w:val="00907CB3"/>
    <w:rsid w:val="009121CF"/>
    <w:rsid w:val="0091523F"/>
    <w:rsid w:val="00920330"/>
    <w:rsid w:val="00920E81"/>
    <w:rsid w:val="009219D7"/>
    <w:rsid w:val="0092287E"/>
    <w:rsid w:val="00922D53"/>
    <w:rsid w:val="00923B70"/>
    <w:rsid w:val="00924229"/>
    <w:rsid w:val="00924482"/>
    <w:rsid w:val="00924A20"/>
    <w:rsid w:val="0092794E"/>
    <w:rsid w:val="00930237"/>
    <w:rsid w:val="00930E77"/>
    <w:rsid w:val="00931DB8"/>
    <w:rsid w:val="00933582"/>
    <w:rsid w:val="009349FC"/>
    <w:rsid w:val="00937C17"/>
    <w:rsid w:val="00937C4B"/>
    <w:rsid w:val="00937CC5"/>
    <w:rsid w:val="00940A89"/>
    <w:rsid w:val="00941F77"/>
    <w:rsid w:val="00946EA5"/>
    <w:rsid w:val="00957229"/>
    <w:rsid w:val="009578F7"/>
    <w:rsid w:val="00960520"/>
    <w:rsid w:val="00960C9E"/>
    <w:rsid w:val="00960D00"/>
    <w:rsid w:val="00963C08"/>
    <w:rsid w:val="00965069"/>
    <w:rsid w:val="00965BEF"/>
    <w:rsid w:val="00972993"/>
    <w:rsid w:val="00974CAD"/>
    <w:rsid w:val="00974D28"/>
    <w:rsid w:val="009752A5"/>
    <w:rsid w:val="00980690"/>
    <w:rsid w:val="00980CEA"/>
    <w:rsid w:val="00982D76"/>
    <w:rsid w:val="00983B14"/>
    <w:rsid w:val="009851F9"/>
    <w:rsid w:val="0098585A"/>
    <w:rsid w:val="00985A2E"/>
    <w:rsid w:val="0098789E"/>
    <w:rsid w:val="0099141E"/>
    <w:rsid w:val="00997139"/>
    <w:rsid w:val="009A2803"/>
    <w:rsid w:val="009A2B14"/>
    <w:rsid w:val="009A2F52"/>
    <w:rsid w:val="009A385A"/>
    <w:rsid w:val="009A4CED"/>
    <w:rsid w:val="009A50B7"/>
    <w:rsid w:val="009A58BD"/>
    <w:rsid w:val="009A6219"/>
    <w:rsid w:val="009A690D"/>
    <w:rsid w:val="009A70C9"/>
    <w:rsid w:val="009A79F0"/>
    <w:rsid w:val="009B1D12"/>
    <w:rsid w:val="009B416B"/>
    <w:rsid w:val="009B482F"/>
    <w:rsid w:val="009B54BD"/>
    <w:rsid w:val="009B5A40"/>
    <w:rsid w:val="009C243E"/>
    <w:rsid w:val="009C4097"/>
    <w:rsid w:val="009C4BD5"/>
    <w:rsid w:val="009C5C4F"/>
    <w:rsid w:val="009C5F71"/>
    <w:rsid w:val="009C7402"/>
    <w:rsid w:val="009C7CC1"/>
    <w:rsid w:val="009D0228"/>
    <w:rsid w:val="009D0CC1"/>
    <w:rsid w:val="009D3374"/>
    <w:rsid w:val="009D620F"/>
    <w:rsid w:val="009D756F"/>
    <w:rsid w:val="009D771A"/>
    <w:rsid w:val="009D7B77"/>
    <w:rsid w:val="009E0BB0"/>
    <w:rsid w:val="009E3C06"/>
    <w:rsid w:val="009E3FBB"/>
    <w:rsid w:val="009E50FA"/>
    <w:rsid w:val="009E51A9"/>
    <w:rsid w:val="009E54B9"/>
    <w:rsid w:val="009E59C2"/>
    <w:rsid w:val="009E6ABD"/>
    <w:rsid w:val="009F3830"/>
    <w:rsid w:val="009F7353"/>
    <w:rsid w:val="00A00D2E"/>
    <w:rsid w:val="00A01AA3"/>
    <w:rsid w:val="00A038DA"/>
    <w:rsid w:val="00A0442A"/>
    <w:rsid w:val="00A04572"/>
    <w:rsid w:val="00A04F85"/>
    <w:rsid w:val="00A05F3A"/>
    <w:rsid w:val="00A05FA4"/>
    <w:rsid w:val="00A07035"/>
    <w:rsid w:val="00A102CE"/>
    <w:rsid w:val="00A102E4"/>
    <w:rsid w:val="00A1219C"/>
    <w:rsid w:val="00A122A9"/>
    <w:rsid w:val="00A12C42"/>
    <w:rsid w:val="00A14DF7"/>
    <w:rsid w:val="00A15D0C"/>
    <w:rsid w:val="00A2141C"/>
    <w:rsid w:val="00A2156A"/>
    <w:rsid w:val="00A22D57"/>
    <w:rsid w:val="00A232AA"/>
    <w:rsid w:val="00A251CD"/>
    <w:rsid w:val="00A27424"/>
    <w:rsid w:val="00A27DDC"/>
    <w:rsid w:val="00A313A8"/>
    <w:rsid w:val="00A3246D"/>
    <w:rsid w:val="00A32F29"/>
    <w:rsid w:val="00A34D7D"/>
    <w:rsid w:val="00A36FA7"/>
    <w:rsid w:val="00A40D17"/>
    <w:rsid w:val="00A4231C"/>
    <w:rsid w:val="00A42DBA"/>
    <w:rsid w:val="00A44026"/>
    <w:rsid w:val="00A44656"/>
    <w:rsid w:val="00A44DDB"/>
    <w:rsid w:val="00A475B7"/>
    <w:rsid w:val="00A47AF7"/>
    <w:rsid w:val="00A47C3E"/>
    <w:rsid w:val="00A50226"/>
    <w:rsid w:val="00A51F95"/>
    <w:rsid w:val="00A53E07"/>
    <w:rsid w:val="00A54770"/>
    <w:rsid w:val="00A60259"/>
    <w:rsid w:val="00A607A9"/>
    <w:rsid w:val="00A60BAD"/>
    <w:rsid w:val="00A619C1"/>
    <w:rsid w:val="00A640DD"/>
    <w:rsid w:val="00A641C4"/>
    <w:rsid w:val="00A65FBA"/>
    <w:rsid w:val="00A6632B"/>
    <w:rsid w:val="00A709BE"/>
    <w:rsid w:val="00A70E4B"/>
    <w:rsid w:val="00A7434F"/>
    <w:rsid w:val="00A747A0"/>
    <w:rsid w:val="00A74C67"/>
    <w:rsid w:val="00A75A5D"/>
    <w:rsid w:val="00A77F87"/>
    <w:rsid w:val="00A80B5B"/>
    <w:rsid w:val="00A839CA"/>
    <w:rsid w:val="00A84E36"/>
    <w:rsid w:val="00A85D52"/>
    <w:rsid w:val="00A8768C"/>
    <w:rsid w:val="00A90423"/>
    <w:rsid w:val="00A91C77"/>
    <w:rsid w:val="00A91F25"/>
    <w:rsid w:val="00A94AFA"/>
    <w:rsid w:val="00A964D1"/>
    <w:rsid w:val="00A9668D"/>
    <w:rsid w:val="00A978C7"/>
    <w:rsid w:val="00AA0333"/>
    <w:rsid w:val="00AA0ED0"/>
    <w:rsid w:val="00AA1C9C"/>
    <w:rsid w:val="00AA484C"/>
    <w:rsid w:val="00AB2086"/>
    <w:rsid w:val="00AB4FF9"/>
    <w:rsid w:val="00AC2B40"/>
    <w:rsid w:val="00AC2BB2"/>
    <w:rsid w:val="00AC2C3C"/>
    <w:rsid w:val="00AC512D"/>
    <w:rsid w:val="00AC5203"/>
    <w:rsid w:val="00AC622B"/>
    <w:rsid w:val="00AC6CA9"/>
    <w:rsid w:val="00AD0083"/>
    <w:rsid w:val="00AD03F9"/>
    <w:rsid w:val="00AD3935"/>
    <w:rsid w:val="00AD4DE4"/>
    <w:rsid w:val="00AD6C99"/>
    <w:rsid w:val="00AD6FD0"/>
    <w:rsid w:val="00AE1EF5"/>
    <w:rsid w:val="00AE2750"/>
    <w:rsid w:val="00AE3C16"/>
    <w:rsid w:val="00AE45B6"/>
    <w:rsid w:val="00AE65EB"/>
    <w:rsid w:val="00AE67A7"/>
    <w:rsid w:val="00AE7E2D"/>
    <w:rsid w:val="00AE7F47"/>
    <w:rsid w:val="00AF1D94"/>
    <w:rsid w:val="00AF3336"/>
    <w:rsid w:val="00AF3FC5"/>
    <w:rsid w:val="00AF60C5"/>
    <w:rsid w:val="00B009C6"/>
    <w:rsid w:val="00B01548"/>
    <w:rsid w:val="00B05392"/>
    <w:rsid w:val="00B06701"/>
    <w:rsid w:val="00B10711"/>
    <w:rsid w:val="00B10AB6"/>
    <w:rsid w:val="00B11EC4"/>
    <w:rsid w:val="00B130C5"/>
    <w:rsid w:val="00B13EBD"/>
    <w:rsid w:val="00B14909"/>
    <w:rsid w:val="00B156A1"/>
    <w:rsid w:val="00B16E99"/>
    <w:rsid w:val="00B174AB"/>
    <w:rsid w:val="00B21D29"/>
    <w:rsid w:val="00B21D3C"/>
    <w:rsid w:val="00B25034"/>
    <w:rsid w:val="00B30FE9"/>
    <w:rsid w:val="00B31130"/>
    <w:rsid w:val="00B31333"/>
    <w:rsid w:val="00B32BC2"/>
    <w:rsid w:val="00B33588"/>
    <w:rsid w:val="00B33863"/>
    <w:rsid w:val="00B349B6"/>
    <w:rsid w:val="00B34B35"/>
    <w:rsid w:val="00B3587E"/>
    <w:rsid w:val="00B37309"/>
    <w:rsid w:val="00B375C2"/>
    <w:rsid w:val="00B37D17"/>
    <w:rsid w:val="00B4175E"/>
    <w:rsid w:val="00B41C85"/>
    <w:rsid w:val="00B41D53"/>
    <w:rsid w:val="00B4259C"/>
    <w:rsid w:val="00B452CE"/>
    <w:rsid w:val="00B46D97"/>
    <w:rsid w:val="00B5137F"/>
    <w:rsid w:val="00B522B5"/>
    <w:rsid w:val="00B53930"/>
    <w:rsid w:val="00B54C25"/>
    <w:rsid w:val="00B56B0A"/>
    <w:rsid w:val="00B57A0B"/>
    <w:rsid w:val="00B57E03"/>
    <w:rsid w:val="00B64046"/>
    <w:rsid w:val="00B7039A"/>
    <w:rsid w:val="00B7506E"/>
    <w:rsid w:val="00B751FC"/>
    <w:rsid w:val="00B7620C"/>
    <w:rsid w:val="00B7628C"/>
    <w:rsid w:val="00B76607"/>
    <w:rsid w:val="00B76B91"/>
    <w:rsid w:val="00B77EB1"/>
    <w:rsid w:val="00B80109"/>
    <w:rsid w:val="00B811C6"/>
    <w:rsid w:val="00B84B38"/>
    <w:rsid w:val="00B8530E"/>
    <w:rsid w:val="00B855B0"/>
    <w:rsid w:val="00B857EB"/>
    <w:rsid w:val="00B86B1C"/>
    <w:rsid w:val="00B87BF0"/>
    <w:rsid w:val="00B92E08"/>
    <w:rsid w:val="00B940A9"/>
    <w:rsid w:val="00B95A25"/>
    <w:rsid w:val="00BA032F"/>
    <w:rsid w:val="00BA035E"/>
    <w:rsid w:val="00BA530A"/>
    <w:rsid w:val="00BA740E"/>
    <w:rsid w:val="00BB1B41"/>
    <w:rsid w:val="00BC1763"/>
    <w:rsid w:val="00BC26A3"/>
    <w:rsid w:val="00BC2A7C"/>
    <w:rsid w:val="00BC5AAF"/>
    <w:rsid w:val="00BC622A"/>
    <w:rsid w:val="00BC7ED8"/>
    <w:rsid w:val="00BD1BA5"/>
    <w:rsid w:val="00BD36D0"/>
    <w:rsid w:val="00BD3B15"/>
    <w:rsid w:val="00BD5612"/>
    <w:rsid w:val="00BD618C"/>
    <w:rsid w:val="00BD718C"/>
    <w:rsid w:val="00BE0A78"/>
    <w:rsid w:val="00BE118A"/>
    <w:rsid w:val="00BE184D"/>
    <w:rsid w:val="00BE1A4E"/>
    <w:rsid w:val="00BE4F91"/>
    <w:rsid w:val="00BE56BD"/>
    <w:rsid w:val="00BE79F0"/>
    <w:rsid w:val="00BF046D"/>
    <w:rsid w:val="00BF1190"/>
    <w:rsid w:val="00BF3774"/>
    <w:rsid w:val="00BF5014"/>
    <w:rsid w:val="00BF5D04"/>
    <w:rsid w:val="00BF6AF6"/>
    <w:rsid w:val="00C009AA"/>
    <w:rsid w:val="00C01FD5"/>
    <w:rsid w:val="00C03775"/>
    <w:rsid w:val="00C05B85"/>
    <w:rsid w:val="00C1164D"/>
    <w:rsid w:val="00C119D6"/>
    <w:rsid w:val="00C1378F"/>
    <w:rsid w:val="00C13960"/>
    <w:rsid w:val="00C16861"/>
    <w:rsid w:val="00C17B79"/>
    <w:rsid w:val="00C201DD"/>
    <w:rsid w:val="00C222F8"/>
    <w:rsid w:val="00C32664"/>
    <w:rsid w:val="00C346AB"/>
    <w:rsid w:val="00C404A6"/>
    <w:rsid w:val="00C4075E"/>
    <w:rsid w:val="00C40A36"/>
    <w:rsid w:val="00C42993"/>
    <w:rsid w:val="00C42AD2"/>
    <w:rsid w:val="00C441DE"/>
    <w:rsid w:val="00C44419"/>
    <w:rsid w:val="00C45E7B"/>
    <w:rsid w:val="00C45EB1"/>
    <w:rsid w:val="00C46018"/>
    <w:rsid w:val="00C471B1"/>
    <w:rsid w:val="00C525A2"/>
    <w:rsid w:val="00C52E24"/>
    <w:rsid w:val="00C56CCE"/>
    <w:rsid w:val="00C6316B"/>
    <w:rsid w:val="00C634A9"/>
    <w:rsid w:val="00C64586"/>
    <w:rsid w:val="00C65120"/>
    <w:rsid w:val="00C6549C"/>
    <w:rsid w:val="00C65D00"/>
    <w:rsid w:val="00C66511"/>
    <w:rsid w:val="00C67478"/>
    <w:rsid w:val="00C70A36"/>
    <w:rsid w:val="00C70D53"/>
    <w:rsid w:val="00C71DC2"/>
    <w:rsid w:val="00C72C52"/>
    <w:rsid w:val="00C72F32"/>
    <w:rsid w:val="00C73D0B"/>
    <w:rsid w:val="00C74F5C"/>
    <w:rsid w:val="00C75226"/>
    <w:rsid w:val="00C759C9"/>
    <w:rsid w:val="00C772FF"/>
    <w:rsid w:val="00C77F4F"/>
    <w:rsid w:val="00C80137"/>
    <w:rsid w:val="00C801AF"/>
    <w:rsid w:val="00C80256"/>
    <w:rsid w:val="00C80762"/>
    <w:rsid w:val="00C82311"/>
    <w:rsid w:val="00C83D58"/>
    <w:rsid w:val="00C87975"/>
    <w:rsid w:val="00C907CB"/>
    <w:rsid w:val="00C923AD"/>
    <w:rsid w:val="00C93A0C"/>
    <w:rsid w:val="00C94CD4"/>
    <w:rsid w:val="00C971C3"/>
    <w:rsid w:val="00C9747E"/>
    <w:rsid w:val="00CA00C4"/>
    <w:rsid w:val="00CA4A8B"/>
    <w:rsid w:val="00CA60B5"/>
    <w:rsid w:val="00CA75FD"/>
    <w:rsid w:val="00CB03BC"/>
    <w:rsid w:val="00CB387A"/>
    <w:rsid w:val="00CB4902"/>
    <w:rsid w:val="00CB617A"/>
    <w:rsid w:val="00CB66B6"/>
    <w:rsid w:val="00CB6BC0"/>
    <w:rsid w:val="00CC1738"/>
    <w:rsid w:val="00CC1B7C"/>
    <w:rsid w:val="00CC366D"/>
    <w:rsid w:val="00CC695B"/>
    <w:rsid w:val="00CC727F"/>
    <w:rsid w:val="00CD1E60"/>
    <w:rsid w:val="00CD2ED6"/>
    <w:rsid w:val="00CE00A2"/>
    <w:rsid w:val="00CE014C"/>
    <w:rsid w:val="00CE18C0"/>
    <w:rsid w:val="00CE2264"/>
    <w:rsid w:val="00CE2C02"/>
    <w:rsid w:val="00CE424C"/>
    <w:rsid w:val="00CE4472"/>
    <w:rsid w:val="00CE772B"/>
    <w:rsid w:val="00CF15C3"/>
    <w:rsid w:val="00CF28D6"/>
    <w:rsid w:val="00CF2B6F"/>
    <w:rsid w:val="00CF2C49"/>
    <w:rsid w:val="00CF2F3E"/>
    <w:rsid w:val="00CF58B6"/>
    <w:rsid w:val="00CF5A9E"/>
    <w:rsid w:val="00CF5DAD"/>
    <w:rsid w:val="00D0062D"/>
    <w:rsid w:val="00D017ED"/>
    <w:rsid w:val="00D031E4"/>
    <w:rsid w:val="00D040D3"/>
    <w:rsid w:val="00D04C65"/>
    <w:rsid w:val="00D07B18"/>
    <w:rsid w:val="00D07D09"/>
    <w:rsid w:val="00D14022"/>
    <w:rsid w:val="00D153D8"/>
    <w:rsid w:val="00D201D2"/>
    <w:rsid w:val="00D224FE"/>
    <w:rsid w:val="00D23139"/>
    <w:rsid w:val="00D24AB4"/>
    <w:rsid w:val="00D2700E"/>
    <w:rsid w:val="00D27D2C"/>
    <w:rsid w:val="00D31AA5"/>
    <w:rsid w:val="00D364C6"/>
    <w:rsid w:val="00D425BB"/>
    <w:rsid w:val="00D43402"/>
    <w:rsid w:val="00D43FC7"/>
    <w:rsid w:val="00D45322"/>
    <w:rsid w:val="00D453FA"/>
    <w:rsid w:val="00D50539"/>
    <w:rsid w:val="00D50EAE"/>
    <w:rsid w:val="00D51B4D"/>
    <w:rsid w:val="00D525A5"/>
    <w:rsid w:val="00D540D1"/>
    <w:rsid w:val="00D5511A"/>
    <w:rsid w:val="00D573AA"/>
    <w:rsid w:val="00D6137D"/>
    <w:rsid w:val="00D61FF2"/>
    <w:rsid w:val="00D6258A"/>
    <w:rsid w:val="00D62FFA"/>
    <w:rsid w:val="00D64672"/>
    <w:rsid w:val="00D6493E"/>
    <w:rsid w:val="00D67371"/>
    <w:rsid w:val="00D67B39"/>
    <w:rsid w:val="00D7195D"/>
    <w:rsid w:val="00D720E6"/>
    <w:rsid w:val="00D7301E"/>
    <w:rsid w:val="00D76C6E"/>
    <w:rsid w:val="00D77667"/>
    <w:rsid w:val="00D77DE0"/>
    <w:rsid w:val="00D80A70"/>
    <w:rsid w:val="00D818B9"/>
    <w:rsid w:val="00D82787"/>
    <w:rsid w:val="00D83AE1"/>
    <w:rsid w:val="00D855D4"/>
    <w:rsid w:val="00D85880"/>
    <w:rsid w:val="00D87C3C"/>
    <w:rsid w:val="00D902C9"/>
    <w:rsid w:val="00D92C22"/>
    <w:rsid w:val="00D92D3F"/>
    <w:rsid w:val="00D93466"/>
    <w:rsid w:val="00D937F1"/>
    <w:rsid w:val="00D93C79"/>
    <w:rsid w:val="00D951B3"/>
    <w:rsid w:val="00DA0AE3"/>
    <w:rsid w:val="00DA1124"/>
    <w:rsid w:val="00DA1493"/>
    <w:rsid w:val="00DA1F52"/>
    <w:rsid w:val="00DA2B53"/>
    <w:rsid w:val="00DA2BCB"/>
    <w:rsid w:val="00DA413B"/>
    <w:rsid w:val="00DA64CB"/>
    <w:rsid w:val="00DB06B8"/>
    <w:rsid w:val="00DB185B"/>
    <w:rsid w:val="00DB29F1"/>
    <w:rsid w:val="00DB5A01"/>
    <w:rsid w:val="00DB6124"/>
    <w:rsid w:val="00DB750B"/>
    <w:rsid w:val="00DB75B7"/>
    <w:rsid w:val="00DC0A2F"/>
    <w:rsid w:val="00DC1522"/>
    <w:rsid w:val="00DC1948"/>
    <w:rsid w:val="00DC3B30"/>
    <w:rsid w:val="00DC4EBB"/>
    <w:rsid w:val="00DC515F"/>
    <w:rsid w:val="00DC6226"/>
    <w:rsid w:val="00DC6E02"/>
    <w:rsid w:val="00DD204F"/>
    <w:rsid w:val="00DD2883"/>
    <w:rsid w:val="00DD28CD"/>
    <w:rsid w:val="00DD50F9"/>
    <w:rsid w:val="00DD5AAB"/>
    <w:rsid w:val="00DD705B"/>
    <w:rsid w:val="00DE02AE"/>
    <w:rsid w:val="00DE39D1"/>
    <w:rsid w:val="00DE59CA"/>
    <w:rsid w:val="00DE7E72"/>
    <w:rsid w:val="00DF10FF"/>
    <w:rsid w:val="00DF1904"/>
    <w:rsid w:val="00DF1D7F"/>
    <w:rsid w:val="00DF4BE4"/>
    <w:rsid w:val="00E0078F"/>
    <w:rsid w:val="00E0098E"/>
    <w:rsid w:val="00E02382"/>
    <w:rsid w:val="00E0284D"/>
    <w:rsid w:val="00E02FB4"/>
    <w:rsid w:val="00E053C2"/>
    <w:rsid w:val="00E05842"/>
    <w:rsid w:val="00E10F25"/>
    <w:rsid w:val="00E135A6"/>
    <w:rsid w:val="00E13FC7"/>
    <w:rsid w:val="00E1404F"/>
    <w:rsid w:val="00E149FF"/>
    <w:rsid w:val="00E15EF4"/>
    <w:rsid w:val="00E16482"/>
    <w:rsid w:val="00E175FE"/>
    <w:rsid w:val="00E20571"/>
    <w:rsid w:val="00E229CF"/>
    <w:rsid w:val="00E235F7"/>
    <w:rsid w:val="00E23659"/>
    <w:rsid w:val="00E239D4"/>
    <w:rsid w:val="00E25484"/>
    <w:rsid w:val="00E26130"/>
    <w:rsid w:val="00E26343"/>
    <w:rsid w:val="00E2654B"/>
    <w:rsid w:val="00E2711E"/>
    <w:rsid w:val="00E33B44"/>
    <w:rsid w:val="00E34A75"/>
    <w:rsid w:val="00E40B22"/>
    <w:rsid w:val="00E43CA2"/>
    <w:rsid w:val="00E44ED1"/>
    <w:rsid w:val="00E45619"/>
    <w:rsid w:val="00E45738"/>
    <w:rsid w:val="00E4588F"/>
    <w:rsid w:val="00E46496"/>
    <w:rsid w:val="00E46DA3"/>
    <w:rsid w:val="00E47A5C"/>
    <w:rsid w:val="00E51BB1"/>
    <w:rsid w:val="00E550DE"/>
    <w:rsid w:val="00E55414"/>
    <w:rsid w:val="00E55813"/>
    <w:rsid w:val="00E55CB0"/>
    <w:rsid w:val="00E56D3A"/>
    <w:rsid w:val="00E571B1"/>
    <w:rsid w:val="00E57B38"/>
    <w:rsid w:val="00E614EA"/>
    <w:rsid w:val="00E62412"/>
    <w:rsid w:val="00E624A5"/>
    <w:rsid w:val="00E6288D"/>
    <w:rsid w:val="00E63A05"/>
    <w:rsid w:val="00E64357"/>
    <w:rsid w:val="00E644F9"/>
    <w:rsid w:val="00E64BA4"/>
    <w:rsid w:val="00E64FE2"/>
    <w:rsid w:val="00E705BD"/>
    <w:rsid w:val="00E7257A"/>
    <w:rsid w:val="00E7342C"/>
    <w:rsid w:val="00E7344E"/>
    <w:rsid w:val="00E741C4"/>
    <w:rsid w:val="00E754A5"/>
    <w:rsid w:val="00E7635C"/>
    <w:rsid w:val="00E77635"/>
    <w:rsid w:val="00E82665"/>
    <w:rsid w:val="00E91FDD"/>
    <w:rsid w:val="00E96FC9"/>
    <w:rsid w:val="00EA00CD"/>
    <w:rsid w:val="00EA501C"/>
    <w:rsid w:val="00EA59A7"/>
    <w:rsid w:val="00EA77CF"/>
    <w:rsid w:val="00EB0197"/>
    <w:rsid w:val="00EB0798"/>
    <w:rsid w:val="00EB19D3"/>
    <w:rsid w:val="00EB40AD"/>
    <w:rsid w:val="00EB586E"/>
    <w:rsid w:val="00EB5A5A"/>
    <w:rsid w:val="00EB5FC8"/>
    <w:rsid w:val="00EB7A54"/>
    <w:rsid w:val="00EC0582"/>
    <w:rsid w:val="00EC463D"/>
    <w:rsid w:val="00EC4B3D"/>
    <w:rsid w:val="00EC59DA"/>
    <w:rsid w:val="00EC5DA4"/>
    <w:rsid w:val="00EC7A85"/>
    <w:rsid w:val="00EC7CD0"/>
    <w:rsid w:val="00ED0738"/>
    <w:rsid w:val="00ED23E1"/>
    <w:rsid w:val="00ED2922"/>
    <w:rsid w:val="00ED3115"/>
    <w:rsid w:val="00ED32C3"/>
    <w:rsid w:val="00ED3CAD"/>
    <w:rsid w:val="00ED5282"/>
    <w:rsid w:val="00ED5A41"/>
    <w:rsid w:val="00EE1DE8"/>
    <w:rsid w:val="00EE27C2"/>
    <w:rsid w:val="00EE5D72"/>
    <w:rsid w:val="00EE7BC8"/>
    <w:rsid w:val="00EE7D49"/>
    <w:rsid w:val="00EF0BFE"/>
    <w:rsid w:val="00EF2548"/>
    <w:rsid w:val="00EF4BAD"/>
    <w:rsid w:val="00EF59DC"/>
    <w:rsid w:val="00F00EBF"/>
    <w:rsid w:val="00F032D4"/>
    <w:rsid w:val="00F033EC"/>
    <w:rsid w:val="00F04F68"/>
    <w:rsid w:val="00F072F5"/>
    <w:rsid w:val="00F10719"/>
    <w:rsid w:val="00F12670"/>
    <w:rsid w:val="00F13319"/>
    <w:rsid w:val="00F14B27"/>
    <w:rsid w:val="00F14F9F"/>
    <w:rsid w:val="00F179B1"/>
    <w:rsid w:val="00F20074"/>
    <w:rsid w:val="00F2295E"/>
    <w:rsid w:val="00F2427C"/>
    <w:rsid w:val="00F2592D"/>
    <w:rsid w:val="00F264B3"/>
    <w:rsid w:val="00F26AB5"/>
    <w:rsid w:val="00F3148D"/>
    <w:rsid w:val="00F31785"/>
    <w:rsid w:val="00F325C5"/>
    <w:rsid w:val="00F32FE0"/>
    <w:rsid w:val="00F335A7"/>
    <w:rsid w:val="00F35298"/>
    <w:rsid w:val="00F41344"/>
    <w:rsid w:val="00F429D2"/>
    <w:rsid w:val="00F42AB9"/>
    <w:rsid w:val="00F45D20"/>
    <w:rsid w:val="00F46D11"/>
    <w:rsid w:val="00F47333"/>
    <w:rsid w:val="00F4747F"/>
    <w:rsid w:val="00F47E37"/>
    <w:rsid w:val="00F518E9"/>
    <w:rsid w:val="00F52C58"/>
    <w:rsid w:val="00F52F5A"/>
    <w:rsid w:val="00F53C07"/>
    <w:rsid w:val="00F541E0"/>
    <w:rsid w:val="00F54B65"/>
    <w:rsid w:val="00F54C3B"/>
    <w:rsid w:val="00F575DA"/>
    <w:rsid w:val="00F63218"/>
    <w:rsid w:val="00F640B6"/>
    <w:rsid w:val="00F64ACB"/>
    <w:rsid w:val="00F6571B"/>
    <w:rsid w:val="00F66C6E"/>
    <w:rsid w:val="00F66DF2"/>
    <w:rsid w:val="00F66E23"/>
    <w:rsid w:val="00F66E99"/>
    <w:rsid w:val="00F6750B"/>
    <w:rsid w:val="00F67D9A"/>
    <w:rsid w:val="00F700E5"/>
    <w:rsid w:val="00F7063C"/>
    <w:rsid w:val="00F7067A"/>
    <w:rsid w:val="00F70E6F"/>
    <w:rsid w:val="00F7362D"/>
    <w:rsid w:val="00F73B1C"/>
    <w:rsid w:val="00F80E40"/>
    <w:rsid w:val="00F848D9"/>
    <w:rsid w:val="00F84DC7"/>
    <w:rsid w:val="00F85602"/>
    <w:rsid w:val="00F85B3B"/>
    <w:rsid w:val="00F86779"/>
    <w:rsid w:val="00F92A87"/>
    <w:rsid w:val="00F92C78"/>
    <w:rsid w:val="00F94B0A"/>
    <w:rsid w:val="00FA057F"/>
    <w:rsid w:val="00FA0839"/>
    <w:rsid w:val="00FA08EA"/>
    <w:rsid w:val="00FA5069"/>
    <w:rsid w:val="00FA5B82"/>
    <w:rsid w:val="00FA639E"/>
    <w:rsid w:val="00FA76EC"/>
    <w:rsid w:val="00FB17D4"/>
    <w:rsid w:val="00FB1CA1"/>
    <w:rsid w:val="00FB2798"/>
    <w:rsid w:val="00FB342F"/>
    <w:rsid w:val="00FB4CA3"/>
    <w:rsid w:val="00FB684B"/>
    <w:rsid w:val="00FC1FCA"/>
    <w:rsid w:val="00FC25E4"/>
    <w:rsid w:val="00FC2753"/>
    <w:rsid w:val="00FC362C"/>
    <w:rsid w:val="00FC4EF7"/>
    <w:rsid w:val="00FC5195"/>
    <w:rsid w:val="00FC55EB"/>
    <w:rsid w:val="00FC7D69"/>
    <w:rsid w:val="00FD0824"/>
    <w:rsid w:val="00FD119B"/>
    <w:rsid w:val="00FD1B87"/>
    <w:rsid w:val="00FD1EDC"/>
    <w:rsid w:val="00FD389D"/>
    <w:rsid w:val="00FD4570"/>
    <w:rsid w:val="00FD7B56"/>
    <w:rsid w:val="00FD7C85"/>
    <w:rsid w:val="00FD7CB0"/>
    <w:rsid w:val="00FE03D8"/>
    <w:rsid w:val="00FE1DEE"/>
    <w:rsid w:val="00FE5CC4"/>
    <w:rsid w:val="00FF07EB"/>
    <w:rsid w:val="00FF2126"/>
    <w:rsid w:val="00FF3B63"/>
    <w:rsid w:val="00FF5755"/>
    <w:rsid w:val="00FF69BE"/>
    <w:rsid w:val="00FF7B93"/>
    <w:rsid w:val="0325A9FC"/>
    <w:rsid w:val="08444E78"/>
    <w:rsid w:val="09DB320B"/>
    <w:rsid w:val="11117669"/>
    <w:rsid w:val="14C16490"/>
    <w:rsid w:val="17B1D6B9"/>
    <w:rsid w:val="181D8509"/>
    <w:rsid w:val="1874382B"/>
    <w:rsid w:val="19261B1C"/>
    <w:rsid w:val="198F87D9"/>
    <w:rsid w:val="200C0A52"/>
    <w:rsid w:val="2150FFEC"/>
    <w:rsid w:val="22B6BBB0"/>
    <w:rsid w:val="235B065E"/>
    <w:rsid w:val="26DF54C2"/>
    <w:rsid w:val="2856C655"/>
    <w:rsid w:val="2A1DD5FB"/>
    <w:rsid w:val="2A64D93A"/>
    <w:rsid w:val="2D079D58"/>
    <w:rsid w:val="339B0097"/>
    <w:rsid w:val="3429B930"/>
    <w:rsid w:val="389D23F2"/>
    <w:rsid w:val="38A56713"/>
    <w:rsid w:val="38B239B9"/>
    <w:rsid w:val="397EAFEF"/>
    <w:rsid w:val="39A73646"/>
    <w:rsid w:val="3AE0DB79"/>
    <w:rsid w:val="3F538450"/>
    <w:rsid w:val="3FE405A6"/>
    <w:rsid w:val="402A7B4E"/>
    <w:rsid w:val="42FFDEA9"/>
    <w:rsid w:val="43B1E6D4"/>
    <w:rsid w:val="450FB774"/>
    <w:rsid w:val="46147775"/>
    <w:rsid w:val="464209C6"/>
    <w:rsid w:val="5237C7C1"/>
    <w:rsid w:val="52D2AB57"/>
    <w:rsid w:val="54FEC98D"/>
    <w:rsid w:val="55638E64"/>
    <w:rsid w:val="55764280"/>
    <w:rsid w:val="5625A37E"/>
    <w:rsid w:val="56DD9266"/>
    <w:rsid w:val="5A8B67D6"/>
    <w:rsid w:val="5D3B4A6D"/>
    <w:rsid w:val="5E904C8C"/>
    <w:rsid w:val="63F1A270"/>
    <w:rsid w:val="64B4CEA6"/>
    <w:rsid w:val="678E1099"/>
    <w:rsid w:val="6993FCAC"/>
    <w:rsid w:val="6B5E43A4"/>
    <w:rsid w:val="6D523BE5"/>
    <w:rsid w:val="6F7D5D36"/>
    <w:rsid w:val="73524723"/>
    <w:rsid w:val="75C35293"/>
    <w:rsid w:val="7C65A6C9"/>
    <w:rsid w:val="7CEF8FA9"/>
    <w:rsid w:val="7DC6887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798FD45"/>
  <w15:docId w15:val="{8B830624-900A-416B-90DA-61E44EE8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C043B"/>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E614E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819A9"/>
    <w:pPr>
      <w:spacing w:before="180" w:after="180"/>
      <w:ind w:left="720"/>
      <w:contextualSpacing/>
    </w:pPr>
    <w:rPr>
      <w:rFonts w:cstheme="minorBidi"/>
    </w:rPr>
  </w:style>
  <w:style w:type="character" w:customStyle="1" w:styleId="UnresolvedMention">
    <w:name w:val="Unresolved Mention"/>
    <w:basedOn w:val="DefaultParagraphFont"/>
    <w:uiPriority w:val="99"/>
    <w:unhideWhenUsed/>
    <w:rsid w:val="00B56B0A"/>
    <w:rPr>
      <w:color w:val="605E5C"/>
      <w:shd w:val="clear" w:color="auto" w:fill="E1DFDD"/>
    </w:rPr>
  </w:style>
  <w:style w:type="character" w:customStyle="1" w:styleId="Mention">
    <w:name w:val="Mention"/>
    <w:basedOn w:val="DefaultParagraphFont"/>
    <w:uiPriority w:val="99"/>
    <w:unhideWhenUsed/>
    <w:rsid w:val="00B56B0A"/>
    <w:rPr>
      <w:color w:val="2B579A"/>
      <w:shd w:val="clear" w:color="auto" w:fill="E1DFDD"/>
    </w:rPr>
  </w:style>
  <w:style w:type="paragraph" w:styleId="NormalWeb">
    <w:name w:val="Normal (Web)"/>
    <w:basedOn w:val="Normal"/>
    <w:uiPriority w:val="99"/>
    <w:semiHidden/>
    <w:unhideWhenUsed/>
    <w:rsid w:val="00B56B0A"/>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802626">
      <w:bodyDiv w:val="1"/>
      <w:marLeft w:val="0"/>
      <w:marRight w:val="0"/>
      <w:marTop w:val="0"/>
      <w:marBottom w:val="0"/>
      <w:divBdr>
        <w:top w:val="none" w:sz="0" w:space="0" w:color="auto"/>
        <w:left w:val="none" w:sz="0" w:space="0" w:color="auto"/>
        <w:bottom w:val="none" w:sz="0" w:space="0" w:color="auto"/>
        <w:right w:val="none" w:sz="0" w:space="0" w:color="auto"/>
      </w:divBdr>
    </w:div>
    <w:div w:id="829448708">
      <w:bodyDiv w:val="1"/>
      <w:marLeft w:val="0"/>
      <w:marRight w:val="0"/>
      <w:marTop w:val="0"/>
      <w:marBottom w:val="0"/>
      <w:divBdr>
        <w:top w:val="none" w:sz="0" w:space="0" w:color="auto"/>
        <w:left w:val="none" w:sz="0" w:space="0" w:color="auto"/>
        <w:bottom w:val="none" w:sz="0" w:space="0" w:color="auto"/>
        <w:right w:val="none" w:sz="0" w:space="0" w:color="auto"/>
      </w:divBdr>
    </w:div>
    <w:div w:id="915551222">
      <w:bodyDiv w:val="1"/>
      <w:marLeft w:val="0"/>
      <w:marRight w:val="0"/>
      <w:marTop w:val="0"/>
      <w:marBottom w:val="0"/>
      <w:divBdr>
        <w:top w:val="none" w:sz="0" w:space="0" w:color="auto"/>
        <w:left w:val="none" w:sz="0" w:space="0" w:color="auto"/>
        <w:bottom w:val="none" w:sz="0" w:space="0" w:color="auto"/>
        <w:right w:val="none" w:sz="0" w:space="0" w:color="auto"/>
      </w:divBdr>
      <w:divsChild>
        <w:div w:id="601424409">
          <w:marLeft w:val="1714"/>
          <w:marRight w:val="0"/>
          <w:marTop w:val="115"/>
          <w:marBottom w:val="0"/>
          <w:divBdr>
            <w:top w:val="none" w:sz="0" w:space="0" w:color="auto"/>
            <w:left w:val="none" w:sz="0" w:space="0" w:color="auto"/>
            <w:bottom w:val="none" w:sz="0" w:space="0" w:color="auto"/>
            <w:right w:val="none" w:sz="0" w:space="0" w:color="auto"/>
          </w:divBdr>
        </w:div>
        <w:div w:id="870151094">
          <w:marLeft w:val="1714"/>
          <w:marRight w:val="0"/>
          <w:marTop w:val="115"/>
          <w:marBottom w:val="0"/>
          <w:divBdr>
            <w:top w:val="none" w:sz="0" w:space="0" w:color="auto"/>
            <w:left w:val="none" w:sz="0" w:space="0" w:color="auto"/>
            <w:bottom w:val="none" w:sz="0" w:space="0" w:color="auto"/>
            <w:right w:val="none" w:sz="0" w:space="0" w:color="auto"/>
          </w:divBdr>
        </w:div>
      </w:divsChild>
    </w:div>
    <w:div w:id="1003776318">
      <w:bodyDiv w:val="1"/>
      <w:marLeft w:val="0"/>
      <w:marRight w:val="0"/>
      <w:marTop w:val="0"/>
      <w:marBottom w:val="0"/>
      <w:divBdr>
        <w:top w:val="none" w:sz="0" w:space="0" w:color="auto"/>
        <w:left w:val="none" w:sz="0" w:space="0" w:color="auto"/>
        <w:bottom w:val="none" w:sz="0" w:space="0" w:color="auto"/>
        <w:right w:val="none" w:sz="0" w:space="0" w:color="auto"/>
      </w:divBdr>
    </w:div>
    <w:div w:id="1024406604">
      <w:bodyDiv w:val="1"/>
      <w:marLeft w:val="0"/>
      <w:marRight w:val="0"/>
      <w:marTop w:val="0"/>
      <w:marBottom w:val="0"/>
      <w:divBdr>
        <w:top w:val="none" w:sz="0" w:space="0" w:color="auto"/>
        <w:left w:val="none" w:sz="0" w:space="0" w:color="auto"/>
        <w:bottom w:val="none" w:sz="0" w:space="0" w:color="auto"/>
        <w:right w:val="none" w:sz="0" w:space="0" w:color="auto"/>
      </w:divBdr>
    </w:div>
    <w:div w:id="1278178711">
      <w:bodyDiv w:val="1"/>
      <w:marLeft w:val="0"/>
      <w:marRight w:val="0"/>
      <w:marTop w:val="0"/>
      <w:marBottom w:val="0"/>
      <w:divBdr>
        <w:top w:val="none" w:sz="0" w:space="0" w:color="auto"/>
        <w:left w:val="none" w:sz="0" w:space="0" w:color="auto"/>
        <w:bottom w:val="none" w:sz="0" w:space="0" w:color="auto"/>
        <w:right w:val="none" w:sz="0" w:space="0" w:color="auto"/>
      </w:divBdr>
    </w:div>
    <w:div w:id="1564871631">
      <w:bodyDiv w:val="1"/>
      <w:marLeft w:val="0"/>
      <w:marRight w:val="0"/>
      <w:marTop w:val="0"/>
      <w:marBottom w:val="0"/>
      <w:divBdr>
        <w:top w:val="none" w:sz="0" w:space="0" w:color="auto"/>
        <w:left w:val="none" w:sz="0" w:space="0" w:color="auto"/>
        <w:bottom w:val="none" w:sz="0" w:space="0" w:color="auto"/>
        <w:right w:val="none" w:sz="0" w:space="0" w:color="auto"/>
      </w:divBdr>
    </w:div>
    <w:div w:id="1625505932">
      <w:bodyDiv w:val="1"/>
      <w:marLeft w:val="0"/>
      <w:marRight w:val="0"/>
      <w:marTop w:val="0"/>
      <w:marBottom w:val="0"/>
      <w:divBdr>
        <w:top w:val="none" w:sz="0" w:space="0" w:color="auto"/>
        <w:left w:val="none" w:sz="0" w:space="0" w:color="auto"/>
        <w:bottom w:val="none" w:sz="0" w:space="0" w:color="auto"/>
        <w:right w:val="none" w:sz="0" w:space="0" w:color="auto"/>
      </w:divBdr>
    </w:div>
    <w:div w:id="164115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ga.copyright@tga.gov.au"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yperlink" Target="https://www.tga.gov.au" TargetMode="External"/><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eader" Target="header4.xml"/><Relationship Id="rId42" Type="http://schemas.openxmlformats.org/officeDocument/2006/relationships/footer" Target="footer5.xml"/><Relationship Id="rId50"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hyperlink" Target="https://www.tga.gov.au/product-information-pi"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tga.gov.au/product-information-pi" TargetMode="External"/><Relationship Id="rId29" Type="http://schemas.openxmlformats.org/officeDocument/2006/relationships/image" Target="media/image10.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5.xml"/><Relationship Id="rId43"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6ACAE3A9CF5D408C57B564CADBCB8D" ma:contentTypeVersion="36" ma:contentTypeDescription="Create a new document." ma:contentTypeScope="" ma:versionID="ac248a44ca95c5c9b0a1181a14f65526">
  <xsd:schema xmlns:xsd="http://www.w3.org/2001/XMLSchema" xmlns:xs="http://www.w3.org/2001/XMLSchema" xmlns:p="http://schemas.microsoft.com/office/2006/metadata/properties" xmlns:ns2="ad649d17-acc0-405f-85f4-e2c694b31a37" xmlns:ns3="a115da04-8395-478b-ab13-95947c04b152" targetNamespace="http://schemas.microsoft.com/office/2006/metadata/properties" ma:root="true" ma:fieldsID="de7b084cb45c7b8e3a56385621b556a8" ns2:_="" ns3:_="">
    <xsd:import namespace="ad649d17-acc0-405f-85f4-e2c694b31a37"/>
    <xsd:import namespace="a115da04-8395-478b-ab13-95947c04b1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3:_dlc_DocId" minOccurs="0"/>
                <xsd:element ref="ns3:_dlc_DocIdUrl" minOccurs="0"/>
                <xsd:element ref="ns3:_dlc_DocIdPersistId" minOccurs="0"/>
                <xsd:element ref="ns2:MediaServiceAutoKeyPoints" minOccurs="0"/>
                <xsd:element ref="ns2:MediaServiceKeyPoint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49d17-acc0-405f-85f4-e2c694b31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5da04-8395-478b-ab13-95947c04b1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format="Hyperlink"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d649d17-acc0-405f-85f4-e2c694b31a37"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0CCD1-6227-4E2E-8285-DBAFDD0478CD}">
  <ds:schemaRefs>
    <ds:schemaRef ds:uri="http://schemas.microsoft.com/sharepoint/v3/contenttype/forms"/>
  </ds:schemaRefs>
</ds:datastoreItem>
</file>

<file path=customXml/itemProps2.xml><?xml version="1.0" encoding="utf-8"?>
<ds:datastoreItem xmlns:ds="http://schemas.openxmlformats.org/officeDocument/2006/customXml" ds:itemID="{C50ECD95-D1DA-4F88-9A65-EC6AEEB15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49d17-acc0-405f-85f4-e2c694b31a37"/>
    <ds:schemaRef ds:uri="a115da04-8395-478b-ab13-95947c04b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8EB93-D137-4AA8-BB73-DFA6830FC382}">
  <ds:schemaRefs>
    <ds:schemaRef ds:uri="http://schemas.microsoft.com/sharepoint/events"/>
  </ds:schemaRefs>
</ds:datastoreItem>
</file>

<file path=customXml/itemProps4.xml><?xml version="1.0" encoding="utf-8"?>
<ds:datastoreItem xmlns:ds="http://schemas.openxmlformats.org/officeDocument/2006/customXml" ds:itemID="{5279605F-52E6-43EB-8EDE-CA5EE15336A5}">
  <ds:schemaRefs>
    <ds:schemaRef ds:uri="http://schemas.microsoft.com/office/2006/documentManagement/types"/>
    <ds:schemaRef ds:uri="http://schemas.microsoft.com/office/infopath/2007/PartnerControls"/>
    <ds:schemaRef ds:uri="ad649d17-acc0-405f-85f4-e2c694b31a37"/>
    <ds:schemaRef ds:uri="http://purl.org/dc/elements/1.1/"/>
    <ds:schemaRef ds:uri="http://schemas.microsoft.com/office/2006/metadata/properties"/>
    <ds:schemaRef ds:uri="a115da04-8395-478b-ab13-95947c04b152"/>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30D3E447-3666-4D0C-8889-32BDB6F3E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43</Pages>
  <Words>14249</Words>
  <Characters>81221</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Australian public assessment report for Cannabidiol</vt:lpstr>
    </vt:vector>
  </TitlesOfParts>
  <Company>Department of Health Therapeutic Goods Administration</Company>
  <LinksUpToDate>false</LinksUpToDate>
  <CharactersWithSpaces>95280</CharactersWithSpaces>
  <SharedDoc>false</SharedDoc>
  <HLinks>
    <vt:vector size="132" baseType="variant">
      <vt:variant>
        <vt:i4>3473445</vt:i4>
      </vt:variant>
      <vt:variant>
        <vt:i4>236</vt:i4>
      </vt:variant>
      <vt:variant>
        <vt:i4>0</vt:i4>
      </vt:variant>
      <vt:variant>
        <vt:i4>5</vt:i4>
      </vt:variant>
      <vt:variant>
        <vt:lpwstr>https://www.tga.gov.au/</vt:lpwstr>
      </vt:variant>
      <vt:variant>
        <vt:lpwstr/>
      </vt:variant>
      <vt:variant>
        <vt:i4>5242926</vt:i4>
      </vt:variant>
      <vt:variant>
        <vt:i4>233</vt:i4>
      </vt:variant>
      <vt:variant>
        <vt:i4>0</vt:i4>
      </vt:variant>
      <vt:variant>
        <vt:i4>5</vt:i4>
      </vt:variant>
      <vt:variant>
        <vt:lpwstr>mailto:info@tga.gov.au</vt:lpwstr>
      </vt:variant>
      <vt:variant>
        <vt:lpwstr/>
      </vt:variant>
      <vt:variant>
        <vt:i4>4194312</vt:i4>
      </vt:variant>
      <vt:variant>
        <vt:i4>230</vt:i4>
      </vt:variant>
      <vt:variant>
        <vt:i4>0</vt:i4>
      </vt:variant>
      <vt:variant>
        <vt:i4>5</vt:i4>
      </vt:variant>
      <vt:variant>
        <vt:lpwstr>https://www.tga.gov.au/product-information-pi</vt:lpwstr>
      </vt:variant>
      <vt:variant>
        <vt:lpwstr/>
      </vt:variant>
      <vt:variant>
        <vt:i4>4194312</vt:i4>
      </vt:variant>
      <vt:variant>
        <vt:i4>111</vt:i4>
      </vt:variant>
      <vt:variant>
        <vt:i4>0</vt:i4>
      </vt:variant>
      <vt:variant>
        <vt:i4>5</vt:i4>
      </vt:variant>
      <vt:variant>
        <vt:lpwstr>https://www.tga.gov.au/product-information-pi</vt:lpwstr>
      </vt:variant>
      <vt:variant>
        <vt:lpwstr/>
      </vt:variant>
      <vt:variant>
        <vt:i4>1114160</vt:i4>
      </vt:variant>
      <vt:variant>
        <vt:i4>98</vt:i4>
      </vt:variant>
      <vt:variant>
        <vt:i4>0</vt:i4>
      </vt:variant>
      <vt:variant>
        <vt:i4>5</vt:i4>
      </vt:variant>
      <vt:variant>
        <vt:lpwstr/>
      </vt:variant>
      <vt:variant>
        <vt:lpwstr>_Toc58572821</vt:lpwstr>
      </vt:variant>
      <vt:variant>
        <vt:i4>1048624</vt:i4>
      </vt:variant>
      <vt:variant>
        <vt:i4>92</vt:i4>
      </vt:variant>
      <vt:variant>
        <vt:i4>0</vt:i4>
      </vt:variant>
      <vt:variant>
        <vt:i4>5</vt:i4>
      </vt:variant>
      <vt:variant>
        <vt:lpwstr/>
      </vt:variant>
      <vt:variant>
        <vt:lpwstr>_Toc58572820</vt:lpwstr>
      </vt:variant>
      <vt:variant>
        <vt:i4>1638451</vt:i4>
      </vt:variant>
      <vt:variant>
        <vt:i4>86</vt:i4>
      </vt:variant>
      <vt:variant>
        <vt:i4>0</vt:i4>
      </vt:variant>
      <vt:variant>
        <vt:i4>5</vt:i4>
      </vt:variant>
      <vt:variant>
        <vt:lpwstr/>
      </vt:variant>
      <vt:variant>
        <vt:lpwstr>_Toc58572819</vt:lpwstr>
      </vt:variant>
      <vt:variant>
        <vt:i4>1572915</vt:i4>
      </vt:variant>
      <vt:variant>
        <vt:i4>80</vt:i4>
      </vt:variant>
      <vt:variant>
        <vt:i4>0</vt:i4>
      </vt:variant>
      <vt:variant>
        <vt:i4>5</vt:i4>
      </vt:variant>
      <vt:variant>
        <vt:lpwstr/>
      </vt:variant>
      <vt:variant>
        <vt:lpwstr>_Toc58572818</vt:lpwstr>
      </vt:variant>
      <vt:variant>
        <vt:i4>1507379</vt:i4>
      </vt:variant>
      <vt:variant>
        <vt:i4>74</vt:i4>
      </vt:variant>
      <vt:variant>
        <vt:i4>0</vt:i4>
      </vt:variant>
      <vt:variant>
        <vt:i4>5</vt:i4>
      </vt:variant>
      <vt:variant>
        <vt:lpwstr/>
      </vt:variant>
      <vt:variant>
        <vt:lpwstr>_Toc58572817</vt:lpwstr>
      </vt:variant>
      <vt:variant>
        <vt:i4>1441843</vt:i4>
      </vt:variant>
      <vt:variant>
        <vt:i4>68</vt:i4>
      </vt:variant>
      <vt:variant>
        <vt:i4>0</vt:i4>
      </vt:variant>
      <vt:variant>
        <vt:i4>5</vt:i4>
      </vt:variant>
      <vt:variant>
        <vt:lpwstr/>
      </vt:variant>
      <vt:variant>
        <vt:lpwstr>_Toc58572816</vt:lpwstr>
      </vt:variant>
      <vt:variant>
        <vt:i4>1376307</vt:i4>
      </vt:variant>
      <vt:variant>
        <vt:i4>62</vt:i4>
      </vt:variant>
      <vt:variant>
        <vt:i4>0</vt:i4>
      </vt:variant>
      <vt:variant>
        <vt:i4>5</vt:i4>
      </vt:variant>
      <vt:variant>
        <vt:lpwstr/>
      </vt:variant>
      <vt:variant>
        <vt:lpwstr>_Toc58572815</vt:lpwstr>
      </vt:variant>
      <vt:variant>
        <vt:i4>1310771</vt:i4>
      </vt:variant>
      <vt:variant>
        <vt:i4>56</vt:i4>
      </vt:variant>
      <vt:variant>
        <vt:i4>0</vt:i4>
      </vt:variant>
      <vt:variant>
        <vt:i4>5</vt:i4>
      </vt:variant>
      <vt:variant>
        <vt:lpwstr/>
      </vt:variant>
      <vt:variant>
        <vt:lpwstr>_Toc58572814</vt:lpwstr>
      </vt:variant>
      <vt:variant>
        <vt:i4>1245235</vt:i4>
      </vt:variant>
      <vt:variant>
        <vt:i4>50</vt:i4>
      </vt:variant>
      <vt:variant>
        <vt:i4>0</vt:i4>
      </vt:variant>
      <vt:variant>
        <vt:i4>5</vt:i4>
      </vt:variant>
      <vt:variant>
        <vt:lpwstr/>
      </vt:variant>
      <vt:variant>
        <vt:lpwstr>_Toc58572813</vt:lpwstr>
      </vt:variant>
      <vt:variant>
        <vt:i4>1179699</vt:i4>
      </vt:variant>
      <vt:variant>
        <vt:i4>44</vt:i4>
      </vt:variant>
      <vt:variant>
        <vt:i4>0</vt:i4>
      </vt:variant>
      <vt:variant>
        <vt:i4>5</vt:i4>
      </vt:variant>
      <vt:variant>
        <vt:lpwstr/>
      </vt:variant>
      <vt:variant>
        <vt:lpwstr>_Toc58572812</vt:lpwstr>
      </vt:variant>
      <vt:variant>
        <vt:i4>1114163</vt:i4>
      </vt:variant>
      <vt:variant>
        <vt:i4>38</vt:i4>
      </vt:variant>
      <vt:variant>
        <vt:i4>0</vt:i4>
      </vt:variant>
      <vt:variant>
        <vt:i4>5</vt:i4>
      </vt:variant>
      <vt:variant>
        <vt:lpwstr/>
      </vt:variant>
      <vt:variant>
        <vt:lpwstr>_Toc58572811</vt:lpwstr>
      </vt:variant>
      <vt:variant>
        <vt:i4>1048627</vt:i4>
      </vt:variant>
      <vt:variant>
        <vt:i4>32</vt:i4>
      </vt:variant>
      <vt:variant>
        <vt:i4>0</vt:i4>
      </vt:variant>
      <vt:variant>
        <vt:i4>5</vt:i4>
      </vt:variant>
      <vt:variant>
        <vt:lpwstr/>
      </vt:variant>
      <vt:variant>
        <vt:lpwstr>_Toc58572810</vt:lpwstr>
      </vt:variant>
      <vt:variant>
        <vt:i4>1638450</vt:i4>
      </vt:variant>
      <vt:variant>
        <vt:i4>26</vt:i4>
      </vt:variant>
      <vt:variant>
        <vt:i4>0</vt:i4>
      </vt:variant>
      <vt:variant>
        <vt:i4>5</vt:i4>
      </vt:variant>
      <vt:variant>
        <vt:lpwstr/>
      </vt:variant>
      <vt:variant>
        <vt:lpwstr>_Toc58572809</vt:lpwstr>
      </vt:variant>
      <vt:variant>
        <vt:i4>1572914</vt:i4>
      </vt:variant>
      <vt:variant>
        <vt:i4>20</vt:i4>
      </vt:variant>
      <vt:variant>
        <vt:i4>0</vt:i4>
      </vt:variant>
      <vt:variant>
        <vt:i4>5</vt:i4>
      </vt:variant>
      <vt:variant>
        <vt:lpwstr/>
      </vt:variant>
      <vt:variant>
        <vt:lpwstr>_Toc58572808</vt:lpwstr>
      </vt:variant>
      <vt:variant>
        <vt:i4>1507378</vt:i4>
      </vt:variant>
      <vt:variant>
        <vt:i4>14</vt:i4>
      </vt:variant>
      <vt:variant>
        <vt:i4>0</vt:i4>
      </vt:variant>
      <vt:variant>
        <vt:i4>5</vt:i4>
      </vt:variant>
      <vt:variant>
        <vt:lpwstr/>
      </vt:variant>
      <vt:variant>
        <vt:lpwstr>_Toc58572807</vt:lpwstr>
      </vt:variant>
      <vt:variant>
        <vt:i4>1441842</vt:i4>
      </vt:variant>
      <vt:variant>
        <vt:i4>8</vt:i4>
      </vt:variant>
      <vt:variant>
        <vt:i4>0</vt:i4>
      </vt:variant>
      <vt:variant>
        <vt:i4>5</vt:i4>
      </vt:variant>
      <vt:variant>
        <vt:lpwstr/>
      </vt:variant>
      <vt:variant>
        <vt:lpwstr>_Toc58572806</vt:lpwstr>
      </vt:variant>
      <vt:variant>
        <vt:i4>6291548</vt:i4>
      </vt:variant>
      <vt:variant>
        <vt:i4>3</vt:i4>
      </vt:variant>
      <vt:variant>
        <vt:i4>0</vt:i4>
      </vt:variant>
      <vt:variant>
        <vt:i4>5</vt:i4>
      </vt:variant>
      <vt:variant>
        <vt:lpwstr>mailto:tga.copyright@tga.gov.au</vt:lpwstr>
      </vt:variant>
      <vt:variant>
        <vt:lpwstr/>
      </vt:variant>
      <vt:variant>
        <vt:i4>3473445</vt:i4>
      </vt:variant>
      <vt:variant>
        <vt:i4>0</vt:i4>
      </vt:variant>
      <vt:variant>
        <vt:i4>0</vt:i4>
      </vt:variant>
      <vt:variant>
        <vt:i4>5</vt:i4>
      </vt:variant>
      <vt:variant>
        <vt:lpwstr>https://www.tga.gov.au/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Cannabidiol</dc:title>
  <dc:subject>prescription medicines</dc:subject>
  <dc:creator>Therapeutic Goods Administration</dc:creator>
  <cp:keywords/>
  <cp:lastPrinted>2019-08-14T04:30:00Z</cp:lastPrinted>
  <dcterms:created xsi:type="dcterms:W3CDTF">2021-01-27T23:45:00Z</dcterms:created>
  <dcterms:modified xsi:type="dcterms:W3CDTF">2021-01-28T00:27:00Z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0x0101007A6ACAE3A9CF5D408C57B564CADBCB8D</vt:lpwstr>
  </property>
  <property fmtid="{D5CDD505-2E9C-101B-9397-08002B2CF9AE}" pid="3" name="la06b187399149f2a3edd9b4c742390e">
    <vt:lpwstr>TBD|e619ca5a-7e67-451b-a174-deef354960dc</vt:lpwstr>
  </property>
  <property fmtid="{D5CDD505-2E9C-101B-9397-08002B2CF9AE}" pid="4" name="TaxCatchAll">
    <vt:lpwstr>65;#TBD|e619ca5a-7e67-451b-a174-deef354960dc;#1;#CBD|b160fb82-96e8-49ca-bf7c-8c48995abc65</vt:lpwstr>
  </property>
  <property fmtid="{D5CDD505-2E9C-101B-9397-08002B2CF9AE}" pid="5" name="ld78854e09184ffbab43d67d34e5dd09">
    <vt:lpwstr>CBD|b160fb82-96e8-49ca-bf7c-8c48995abc65</vt:lpwstr>
  </property>
  <property fmtid="{D5CDD505-2E9C-101B-9397-08002B2CF9AE}" pid="6" name="oc595d34c7a743f28c9816f3b61de44b">
    <vt:lpwstr/>
  </property>
  <property fmtid="{D5CDD505-2E9C-101B-9397-08002B2CF9AE}" pid="7" name="Document_x0020_Type">
    <vt:lpwstr/>
  </property>
  <property fmtid="{D5CDD505-2E9C-101B-9397-08002B2CF9AE}" pid="8" name="Document_x0020_Sub_x0020_Type">
    <vt:lpwstr/>
  </property>
  <property fmtid="{D5CDD505-2E9C-101B-9397-08002B2CF9AE}" pid="9" name="Application Number">
    <vt:lpwstr>65;#TBD|e619ca5a-7e67-451b-a174-deef354960dc</vt:lpwstr>
  </property>
  <property fmtid="{D5CDD505-2E9C-101B-9397-08002B2CF9AE}" pid="10" name="Product">
    <vt:lpwstr>1;#CBD|b160fb82-96e8-49ca-bf7c-8c48995abc65</vt:lpwstr>
  </property>
  <property fmtid="{D5CDD505-2E9C-101B-9397-08002B2CF9AE}" pid="11" name="bca91c8288424b6db19724c7f3225b3a">
    <vt:lpwstr/>
  </property>
  <property fmtid="{D5CDD505-2E9C-101B-9397-08002B2CF9AE}" pid="12" name="Drug_x0020_Products">
    <vt:lpwstr/>
  </property>
  <property fmtid="{D5CDD505-2E9C-101B-9397-08002B2CF9AE}" pid="13" name="mf7cf9f255284b3c971f331b8b5afe3c">
    <vt:lpwstr/>
  </property>
  <property fmtid="{D5CDD505-2E9C-101B-9397-08002B2CF9AE}" pid="14" name="Functional_x0020_Area">
    <vt:lpwstr/>
  </property>
  <property fmtid="{D5CDD505-2E9C-101B-9397-08002B2CF9AE}" pid="15" name="Application_x0020_Type">
    <vt:lpwstr/>
  </property>
  <property fmtid="{D5CDD505-2E9C-101B-9397-08002B2CF9AE}" pid="16" name="Indication">
    <vt:lpwstr/>
  </property>
  <property fmtid="{D5CDD505-2E9C-101B-9397-08002B2CF9AE}" pid="17" name="Country">
    <vt:lpwstr/>
  </property>
  <property fmtid="{D5CDD505-2E9C-101B-9397-08002B2CF9AE}" pid="18" name="c616f0994aad48c88eaad5503af16255">
    <vt:lpwstr/>
  </property>
  <property fmtid="{D5CDD505-2E9C-101B-9397-08002B2CF9AE}" pid="19" name="ab55ea2921254e459c46f92f5b936f78">
    <vt:lpwstr/>
  </property>
  <property fmtid="{D5CDD505-2E9C-101B-9397-08002B2CF9AE}" pid="20" name="g5a6844f77744dea80ba1a47b2ab3b4b">
    <vt:lpwstr/>
  </property>
  <property fmtid="{D5CDD505-2E9C-101B-9397-08002B2CF9AE}" pid="21" name="kd5f0641026c438597c768fdc842c657">
    <vt:lpwstr/>
  </property>
  <property fmtid="{D5CDD505-2E9C-101B-9397-08002B2CF9AE}" pid="22" name="Document Type">
    <vt:lpwstr/>
  </property>
  <property fmtid="{D5CDD505-2E9C-101B-9397-08002B2CF9AE}" pid="23" name="Drug Products">
    <vt:lpwstr/>
  </property>
  <property fmtid="{D5CDD505-2E9C-101B-9397-08002B2CF9AE}" pid="24" name="Document Sub Type">
    <vt:lpwstr/>
  </property>
  <property fmtid="{D5CDD505-2E9C-101B-9397-08002B2CF9AE}" pid="25" name="Functional Area">
    <vt:lpwstr/>
  </property>
  <property fmtid="{D5CDD505-2E9C-101B-9397-08002B2CF9AE}" pid="26" name="Application Type">
    <vt:lpwstr/>
  </property>
</Properties>
</file>