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297C2A" w:rsidP="000966DD">
            <w:pPr>
              <w:rPr>
                <w:rFonts w:ascii="Arial" w:hAnsi="Arial" w:cs="Arial"/>
                <w:b/>
                <w:color w:val="002C47"/>
                <w:sz w:val="36"/>
                <w:szCs w:val="36"/>
              </w:rPr>
            </w:pPr>
            <w:r>
              <w:rPr>
                <w:rFonts w:ascii="Arial" w:hAnsi="Arial" w:cs="Arial"/>
                <w:b/>
                <w:color w:val="002C47"/>
                <w:sz w:val="36"/>
                <w:szCs w:val="36"/>
              </w:rPr>
              <w:t>August</w:t>
            </w:r>
            <w:r w:rsidR="000966DD">
              <w:rPr>
                <w:rFonts w:ascii="Arial" w:hAnsi="Arial" w:cs="Arial"/>
                <w:b/>
                <w:color w:val="002C47"/>
                <w:sz w:val="36"/>
                <w:szCs w:val="36"/>
              </w:rPr>
              <w:t xml:space="preserve">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0966DD">
            <w:pPr>
              <w:pStyle w:val="Title"/>
              <w:rPr>
                <w:color w:val="FFFFFF" w:themeColor="background1"/>
              </w:rPr>
            </w:pPr>
            <w:r w:rsidRPr="00A964D1">
              <w:rPr>
                <w:color w:val="FFFFFF" w:themeColor="background1"/>
              </w:rPr>
              <w:t xml:space="preserve">Australian Public Assessment Report for </w:t>
            </w:r>
            <w:r w:rsidR="000966DD">
              <w:rPr>
                <w:color w:val="FFFFFF" w:themeColor="background1"/>
              </w:rPr>
              <w:t>c</w:t>
            </w:r>
            <w:r w:rsidR="000966DD" w:rsidRPr="000966DD">
              <w:rPr>
                <w:color w:val="FFFFFF" w:themeColor="background1"/>
              </w:rPr>
              <w:t>alcipotriol and betamethasone (as dipropionate)</w:t>
            </w:r>
          </w:p>
        </w:tc>
      </w:tr>
      <w:tr w:rsidR="0032583B" w:rsidRPr="00B64760" w:rsidTr="0032583B">
        <w:tc>
          <w:tcPr>
            <w:tcW w:w="9079" w:type="dxa"/>
          </w:tcPr>
          <w:p w:rsidR="0032583B" w:rsidRPr="008E7846" w:rsidRDefault="000966DD" w:rsidP="000966DD">
            <w:pPr>
              <w:pStyle w:val="Subtitle"/>
              <w:rPr>
                <w:color w:val="FFFFFF" w:themeColor="background1"/>
              </w:rPr>
            </w:pPr>
            <w:r>
              <w:rPr>
                <w:color w:val="FFFFFF" w:themeColor="background1"/>
              </w:rPr>
              <w:t xml:space="preserve">Proprietary Product Name: </w:t>
            </w:r>
            <w:proofErr w:type="spellStart"/>
            <w:r w:rsidRPr="000966DD">
              <w:rPr>
                <w:color w:val="FFFFFF" w:themeColor="background1"/>
              </w:rPr>
              <w:t>Daivobet</w:t>
            </w:r>
            <w:proofErr w:type="spellEnd"/>
            <w:r>
              <w:rPr>
                <w:color w:val="FFFFFF" w:themeColor="background1"/>
              </w:rPr>
              <w:t xml:space="preserve"> 50/500</w:t>
            </w:r>
          </w:p>
        </w:tc>
      </w:tr>
      <w:tr w:rsidR="0032583B" w:rsidRPr="00B64760" w:rsidTr="0032583B">
        <w:trPr>
          <w:trHeight w:val="486"/>
        </w:trPr>
        <w:tc>
          <w:tcPr>
            <w:tcW w:w="9079" w:type="dxa"/>
          </w:tcPr>
          <w:p w:rsidR="0032583B" w:rsidRPr="008E7846" w:rsidRDefault="000966DD" w:rsidP="000966DD">
            <w:pPr>
              <w:pStyle w:val="Subtitle"/>
              <w:rPr>
                <w:color w:val="FFFFFF" w:themeColor="background1"/>
              </w:rPr>
            </w:pPr>
            <w:r>
              <w:rPr>
                <w:color w:val="FFFFFF" w:themeColor="background1"/>
              </w:rPr>
              <w:t xml:space="preserve">Sponsor: Leo </w:t>
            </w:r>
            <w:proofErr w:type="spellStart"/>
            <w:r>
              <w:rPr>
                <w:color w:val="FFFFFF" w:themeColor="background1"/>
              </w:rPr>
              <w:t>Pharma</w:t>
            </w:r>
            <w:proofErr w:type="spellEnd"/>
            <w:r>
              <w:rPr>
                <w:color w:val="FFFFFF" w:themeColor="background1"/>
              </w:rPr>
              <w:t xml:space="preserve"> Pty Ltd</w:t>
            </w:r>
            <w:r w:rsidR="0032583B" w:rsidRPr="008E7846">
              <w:rPr>
                <w:color w:val="FFFFFF" w:themeColor="background1"/>
              </w:rPr>
              <w:t xml:space="preserve"> </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AD0083" w:rsidRPr="00607888">
          <w:rPr>
            <w:rStyle w:val="Hyperlink"/>
          </w:rPr>
          <w:t>http://ww.tga.gov.au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92A3C" w:rsidRDefault="005C0FF9">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8490571" w:history="1">
            <w:r w:rsidR="00592A3C" w:rsidRPr="003B655A">
              <w:rPr>
                <w:rStyle w:val="Hyperlink"/>
                <w:noProof/>
              </w:rPr>
              <w:t>I. Introduction to product submission</w:t>
            </w:r>
            <w:r w:rsidR="00592A3C">
              <w:rPr>
                <w:noProof/>
                <w:webHidden/>
              </w:rPr>
              <w:tab/>
            </w:r>
            <w:r>
              <w:rPr>
                <w:noProof/>
                <w:webHidden/>
              </w:rPr>
              <w:fldChar w:fldCharType="begin"/>
            </w:r>
            <w:r w:rsidR="00592A3C">
              <w:rPr>
                <w:noProof/>
                <w:webHidden/>
              </w:rPr>
              <w:instrText xml:space="preserve"> PAGEREF _Toc368490571 \h </w:instrText>
            </w:r>
            <w:r>
              <w:rPr>
                <w:noProof/>
                <w:webHidden/>
              </w:rPr>
            </w:r>
            <w:r>
              <w:rPr>
                <w:noProof/>
                <w:webHidden/>
              </w:rPr>
              <w:fldChar w:fldCharType="separate"/>
            </w:r>
            <w:r w:rsidR="00592A3C">
              <w:rPr>
                <w:noProof/>
                <w:webHidden/>
              </w:rPr>
              <w:t>4</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72" w:history="1">
            <w:r w:rsidR="00592A3C" w:rsidRPr="003B655A">
              <w:rPr>
                <w:rStyle w:val="Hyperlink"/>
                <w:noProof/>
                <w:lang w:eastAsia="en-AU"/>
              </w:rPr>
              <w:t>Submission details</w:t>
            </w:r>
            <w:r w:rsidR="00592A3C">
              <w:rPr>
                <w:noProof/>
                <w:webHidden/>
              </w:rPr>
              <w:tab/>
            </w:r>
            <w:r>
              <w:rPr>
                <w:noProof/>
                <w:webHidden/>
              </w:rPr>
              <w:fldChar w:fldCharType="begin"/>
            </w:r>
            <w:r w:rsidR="00592A3C">
              <w:rPr>
                <w:noProof/>
                <w:webHidden/>
              </w:rPr>
              <w:instrText xml:space="preserve"> PAGEREF _Toc368490572 \h </w:instrText>
            </w:r>
            <w:r>
              <w:rPr>
                <w:noProof/>
                <w:webHidden/>
              </w:rPr>
            </w:r>
            <w:r>
              <w:rPr>
                <w:noProof/>
                <w:webHidden/>
              </w:rPr>
              <w:fldChar w:fldCharType="separate"/>
            </w:r>
            <w:r w:rsidR="00592A3C">
              <w:rPr>
                <w:noProof/>
                <w:webHidden/>
              </w:rPr>
              <w:t>4</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73" w:history="1">
            <w:r w:rsidR="00592A3C" w:rsidRPr="003B655A">
              <w:rPr>
                <w:rStyle w:val="Hyperlink"/>
                <w:noProof/>
              </w:rPr>
              <w:t>Product background</w:t>
            </w:r>
            <w:r w:rsidR="00592A3C">
              <w:rPr>
                <w:noProof/>
                <w:webHidden/>
              </w:rPr>
              <w:tab/>
            </w:r>
            <w:r>
              <w:rPr>
                <w:noProof/>
                <w:webHidden/>
              </w:rPr>
              <w:fldChar w:fldCharType="begin"/>
            </w:r>
            <w:r w:rsidR="00592A3C">
              <w:rPr>
                <w:noProof/>
                <w:webHidden/>
              </w:rPr>
              <w:instrText xml:space="preserve"> PAGEREF _Toc368490573 \h </w:instrText>
            </w:r>
            <w:r>
              <w:rPr>
                <w:noProof/>
                <w:webHidden/>
              </w:rPr>
            </w:r>
            <w:r>
              <w:rPr>
                <w:noProof/>
                <w:webHidden/>
              </w:rPr>
              <w:fldChar w:fldCharType="separate"/>
            </w:r>
            <w:r w:rsidR="00592A3C">
              <w:rPr>
                <w:noProof/>
                <w:webHidden/>
              </w:rPr>
              <w:t>4</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74" w:history="1">
            <w:r w:rsidR="00592A3C" w:rsidRPr="003B655A">
              <w:rPr>
                <w:rStyle w:val="Hyperlink"/>
                <w:noProof/>
              </w:rPr>
              <w:t>Regulatory status</w:t>
            </w:r>
            <w:r w:rsidR="00592A3C">
              <w:rPr>
                <w:noProof/>
                <w:webHidden/>
              </w:rPr>
              <w:tab/>
            </w:r>
            <w:r>
              <w:rPr>
                <w:noProof/>
                <w:webHidden/>
              </w:rPr>
              <w:fldChar w:fldCharType="begin"/>
            </w:r>
            <w:r w:rsidR="00592A3C">
              <w:rPr>
                <w:noProof/>
                <w:webHidden/>
              </w:rPr>
              <w:instrText xml:space="preserve"> PAGEREF _Toc368490574 \h </w:instrText>
            </w:r>
            <w:r>
              <w:rPr>
                <w:noProof/>
                <w:webHidden/>
              </w:rPr>
            </w:r>
            <w:r>
              <w:rPr>
                <w:noProof/>
                <w:webHidden/>
              </w:rPr>
              <w:fldChar w:fldCharType="separate"/>
            </w:r>
            <w:r w:rsidR="00592A3C">
              <w:rPr>
                <w:noProof/>
                <w:webHidden/>
              </w:rPr>
              <w:t>5</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75" w:history="1">
            <w:r w:rsidR="00592A3C" w:rsidRPr="003B655A">
              <w:rPr>
                <w:rStyle w:val="Hyperlink"/>
                <w:noProof/>
              </w:rPr>
              <w:t>Product Information</w:t>
            </w:r>
            <w:r w:rsidR="00592A3C">
              <w:rPr>
                <w:noProof/>
                <w:webHidden/>
              </w:rPr>
              <w:tab/>
            </w:r>
            <w:r>
              <w:rPr>
                <w:noProof/>
                <w:webHidden/>
              </w:rPr>
              <w:fldChar w:fldCharType="begin"/>
            </w:r>
            <w:r w:rsidR="00592A3C">
              <w:rPr>
                <w:noProof/>
                <w:webHidden/>
              </w:rPr>
              <w:instrText xml:space="preserve"> PAGEREF _Toc368490575 \h </w:instrText>
            </w:r>
            <w:r>
              <w:rPr>
                <w:noProof/>
                <w:webHidden/>
              </w:rPr>
            </w:r>
            <w:r>
              <w:rPr>
                <w:noProof/>
                <w:webHidden/>
              </w:rPr>
              <w:fldChar w:fldCharType="separate"/>
            </w:r>
            <w:r w:rsidR="00592A3C">
              <w:rPr>
                <w:noProof/>
                <w:webHidden/>
              </w:rPr>
              <w:t>5</w:t>
            </w:r>
            <w:r>
              <w:rPr>
                <w:noProof/>
                <w:webHidden/>
              </w:rPr>
              <w:fldChar w:fldCharType="end"/>
            </w:r>
          </w:hyperlink>
        </w:p>
        <w:p w:rsidR="00592A3C" w:rsidRDefault="005C0FF9">
          <w:pPr>
            <w:pStyle w:val="TOC2"/>
            <w:rPr>
              <w:rFonts w:asciiTheme="minorHAnsi" w:eastAsiaTheme="minorEastAsia" w:hAnsiTheme="minorHAnsi" w:cstheme="minorBidi"/>
              <w:b w:val="0"/>
              <w:noProof/>
              <w:sz w:val="22"/>
              <w:lang w:eastAsia="en-AU"/>
            </w:rPr>
          </w:pPr>
          <w:hyperlink w:anchor="_Toc368490576" w:history="1">
            <w:r w:rsidR="00592A3C" w:rsidRPr="003B655A">
              <w:rPr>
                <w:rStyle w:val="Hyperlink"/>
                <w:noProof/>
              </w:rPr>
              <w:t>II. Quality findings</w:t>
            </w:r>
            <w:r w:rsidR="00592A3C">
              <w:rPr>
                <w:noProof/>
                <w:webHidden/>
              </w:rPr>
              <w:tab/>
            </w:r>
            <w:r>
              <w:rPr>
                <w:noProof/>
                <w:webHidden/>
              </w:rPr>
              <w:fldChar w:fldCharType="begin"/>
            </w:r>
            <w:r w:rsidR="00592A3C">
              <w:rPr>
                <w:noProof/>
                <w:webHidden/>
              </w:rPr>
              <w:instrText xml:space="preserve"> PAGEREF _Toc368490576 \h </w:instrText>
            </w:r>
            <w:r>
              <w:rPr>
                <w:noProof/>
                <w:webHidden/>
              </w:rPr>
            </w:r>
            <w:r>
              <w:rPr>
                <w:noProof/>
                <w:webHidden/>
              </w:rPr>
              <w:fldChar w:fldCharType="separate"/>
            </w:r>
            <w:r w:rsidR="00592A3C">
              <w:rPr>
                <w:noProof/>
                <w:webHidden/>
              </w:rPr>
              <w:t>5</w:t>
            </w:r>
            <w:r>
              <w:rPr>
                <w:noProof/>
                <w:webHidden/>
              </w:rPr>
              <w:fldChar w:fldCharType="end"/>
            </w:r>
          </w:hyperlink>
        </w:p>
        <w:p w:rsidR="00592A3C" w:rsidRDefault="005C0FF9">
          <w:pPr>
            <w:pStyle w:val="TOC2"/>
            <w:rPr>
              <w:rFonts w:asciiTheme="minorHAnsi" w:eastAsiaTheme="minorEastAsia" w:hAnsiTheme="minorHAnsi" w:cstheme="minorBidi"/>
              <w:b w:val="0"/>
              <w:noProof/>
              <w:sz w:val="22"/>
              <w:lang w:eastAsia="en-AU"/>
            </w:rPr>
          </w:pPr>
          <w:hyperlink w:anchor="_Toc368490577" w:history="1">
            <w:r w:rsidR="00592A3C" w:rsidRPr="003B655A">
              <w:rPr>
                <w:rStyle w:val="Hyperlink"/>
                <w:noProof/>
              </w:rPr>
              <w:t>III. Nonclinical findings</w:t>
            </w:r>
            <w:r w:rsidR="00592A3C">
              <w:rPr>
                <w:noProof/>
                <w:webHidden/>
              </w:rPr>
              <w:tab/>
            </w:r>
            <w:r>
              <w:rPr>
                <w:noProof/>
                <w:webHidden/>
              </w:rPr>
              <w:fldChar w:fldCharType="begin"/>
            </w:r>
            <w:r w:rsidR="00592A3C">
              <w:rPr>
                <w:noProof/>
                <w:webHidden/>
              </w:rPr>
              <w:instrText xml:space="preserve"> PAGEREF _Toc368490577 \h </w:instrText>
            </w:r>
            <w:r>
              <w:rPr>
                <w:noProof/>
                <w:webHidden/>
              </w:rPr>
            </w:r>
            <w:r>
              <w:rPr>
                <w:noProof/>
                <w:webHidden/>
              </w:rPr>
              <w:fldChar w:fldCharType="separate"/>
            </w:r>
            <w:r w:rsidR="00592A3C">
              <w:rPr>
                <w:noProof/>
                <w:webHidden/>
              </w:rPr>
              <w:t>5</w:t>
            </w:r>
            <w:r>
              <w:rPr>
                <w:noProof/>
                <w:webHidden/>
              </w:rPr>
              <w:fldChar w:fldCharType="end"/>
            </w:r>
          </w:hyperlink>
        </w:p>
        <w:p w:rsidR="00592A3C" w:rsidRDefault="005C0FF9">
          <w:pPr>
            <w:pStyle w:val="TOC2"/>
            <w:rPr>
              <w:rFonts w:asciiTheme="minorHAnsi" w:eastAsiaTheme="minorEastAsia" w:hAnsiTheme="minorHAnsi" w:cstheme="minorBidi"/>
              <w:b w:val="0"/>
              <w:noProof/>
              <w:sz w:val="22"/>
              <w:lang w:eastAsia="en-AU"/>
            </w:rPr>
          </w:pPr>
          <w:hyperlink w:anchor="_Toc368490578" w:history="1">
            <w:r w:rsidR="00592A3C" w:rsidRPr="003B655A">
              <w:rPr>
                <w:rStyle w:val="Hyperlink"/>
                <w:noProof/>
              </w:rPr>
              <w:t>IV. Clinical findings</w:t>
            </w:r>
            <w:r w:rsidR="00592A3C">
              <w:rPr>
                <w:noProof/>
                <w:webHidden/>
              </w:rPr>
              <w:tab/>
            </w:r>
            <w:r>
              <w:rPr>
                <w:noProof/>
                <w:webHidden/>
              </w:rPr>
              <w:fldChar w:fldCharType="begin"/>
            </w:r>
            <w:r w:rsidR="00592A3C">
              <w:rPr>
                <w:noProof/>
                <w:webHidden/>
              </w:rPr>
              <w:instrText xml:space="preserve"> PAGEREF _Toc368490578 \h </w:instrText>
            </w:r>
            <w:r>
              <w:rPr>
                <w:noProof/>
                <w:webHidden/>
              </w:rPr>
            </w:r>
            <w:r>
              <w:rPr>
                <w:noProof/>
                <w:webHidden/>
              </w:rPr>
              <w:fldChar w:fldCharType="separate"/>
            </w:r>
            <w:r w:rsidR="00592A3C">
              <w:rPr>
                <w:noProof/>
                <w:webHidden/>
              </w:rPr>
              <w:t>5</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79" w:history="1">
            <w:r w:rsidR="00592A3C" w:rsidRPr="003B655A">
              <w:rPr>
                <w:rStyle w:val="Hyperlink"/>
                <w:noProof/>
              </w:rPr>
              <w:t>Introduction</w:t>
            </w:r>
            <w:r w:rsidR="00592A3C">
              <w:rPr>
                <w:noProof/>
                <w:webHidden/>
              </w:rPr>
              <w:tab/>
            </w:r>
            <w:r>
              <w:rPr>
                <w:noProof/>
                <w:webHidden/>
              </w:rPr>
              <w:fldChar w:fldCharType="begin"/>
            </w:r>
            <w:r w:rsidR="00592A3C">
              <w:rPr>
                <w:noProof/>
                <w:webHidden/>
              </w:rPr>
              <w:instrText xml:space="preserve"> PAGEREF _Toc368490579 \h </w:instrText>
            </w:r>
            <w:r>
              <w:rPr>
                <w:noProof/>
                <w:webHidden/>
              </w:rPr>
            </w:r>
            <w:r>
              <w:rPr>
                <w:noProof/>
                <w:webHidden/>
              </w:rPr>
              <w:fldChar w:fldCharType="separate"/>
            </w:r>
            <w:r w:rsidR="00592A3C">
              <w:rPr>
                <w:noProof/>
                <w:webHidden/>
              </w:rPr>
              <w:t>5</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0" w:history="1">
            <w:r w:rsidR="00592A3C" w:rsidRPr="003B655A">
              <w:rPr>
                <w:rStyle w:val="Hyperlink"/>
                <w:noProof/>
              </w:rPr>
              <w:t>Pharmacokinetics</w:t>
            </w:r>
            <w:r w:rsidR="00592A3C">
              <w:rPr>
                <w:noProof/>
                <w:webHidden/>
              </w:rPr>
              <w:tab/>
            </w:r>
            <w:r>
              <w:rPr>
                <w:noProof/>
                <w:webHidden/>
              </w:rPr>
              <w:fldChar w:fldCharType="begin"/>
            </w:r>
            <w:r w:rsidR="00592A3C">
              <w:rPr>
                <w:noProof/>
                <w:webHidden/>
              </w:rPr>
              <w:instrText xml:space="preserve"> PAGEREF _Toc368490580 \h </w:instrText>
            </w:r>
            <w:r>
              <w:rPr>
                <w:noProof/>
                <w:webHidden/>
              </w:rPr>
            </w:r>
            <w:r>
              <w:rPr>
                <w:noProof/>
                <w:webHidden/>
              </w:rPr>
              <w:fldChar w:fldCharType="separate"/>
            </w:r>
            <w:r w:rsidR="00592A3C">
              <w:rPr>
                <w:noProof/>
                <w:webHidden/>
              </w:rPr>
              <w:t>11</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1" w:history="1">
            <w:r w:rsidR="00592A3C" w:rsidRPr="003B655A">
              <w:rPr>
                <w:rStyle w:val="Hyperlink"/>
                <w:noProof/>
              </w:rPr>
              <w:t>Pharmacodynamics</w:t>
            </w:r>
            <w:r w:rsidR="00592A3C">
              <w:rPr>
                <w:noProof/>
                <w:webHidden/>
              </w:rPr>
              <w:tab/>
            </w:r>
            <w:r>
              <w:rPr>
                <w:noProof/>
                <w:webHidden/>
              </w:rPr>
              <w:fldChar w:fldCharType="begin"/>
            </w:r>
            <w:r w:rsidR="00592A3C">
              <w:rPr>
                <w:noProof/>
                <w:webHidden/>
              </w:rPr>
              <w:instrText xml:space="preserve"> PAGEREF _Toc368490581 \h </w:instrText>
            </w:r>
            <w:r>
              <w:rPr>
                <w:noProof/>
                <w:webHidden/>
              </w:rPr>
            </w:r>
            <w:r>
              <w:rPr>
                <w:noProof/>
                <w:webHidden/>
              </w:rPr>
              <w:fldChar w:fldCharType="separate"/>
            </w:r>
            <w:r w:rsidR="00592A3C">
              <w:rPr>
                <w:noProof/>
                <w:webHidden/>
              </w:rPr>
              <w:t>12</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2" w:history="1">
            <w:r w:rsidR="00592A3C" w:rsidRPr="003B655A">
              <w:rPr>
                <w:rStyle w:val="Hyperlink"/>
                <w:noProof/>
              </w:rPr>
              <w:t>Dosage selection for the pivotal studies</w:t>
            </w:r>
            <w:r w:rsidR="00592A3C">
              <w:rPr>
                <w:noProof/>
                <w:webHidden/>
              </w:rPr>
              <w:tab/>
            </w:r>
            <w:r>
              <w:rPr>
                <w:noProof/>
                <w:webHidden/>
              </w:rPr>
              <w:fldChar w:fldCharType="begin"/>
            </w:r>
            <w:r w:rsidR="00592A3C">
              <w:rPr>
                <w:noProof/>
                <w:webHidden/>
              </w:rPr>
              <w:instrText xml:space="preserve"> PAGEREF _Toc368490582 \h </w:instrText>
            </w:r>
            <w:r>
              <w:rPr>
                <w:noProof/>
                <w:webHidden/>
              </w:rPr>
            </w:r>
            <w:r>
              <w:rPr>
                <w:noProof/>
                <w:webHidden/>
              </w:rPr>
              <w:fldChar w:fldCharType="separate"/>
            </w:r>
            <w:r w:rsidR="00592A3C">
              <w:rPr>
                <w:noProof/>
                <w:webHidden/>
              </w:rPr>
              <w:t>13</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3" w:history="1">
            <w:r w:rsidR="00592A3C" w:rsidRPr="003B655A">
              <w:rPr>
                <w:rStyle w:val="Hyperlink"/>
                <w:noProof/>
              </w:rPr>
              <w:t>Efficacy</w:t>
            </w:r>
            <w:r w:rsidR="00592A3C">
              <w:rPr>
                <w:noProof/>
                <w:webHidden/>
              </w:rPr>
              <w:tab/>
            </w:r>
            <w:r>
              <w:rPr>
                <w:noProof/>
                <w:webHidden/>
              </w:rPr>
              <w:fldChar w:fldCharType="begin"/>
            </w:r>
            <w:r w:rsidR="00592A3C">
              <w:rPr>
                <w:noProof/>
                <w:webHidden/>
              </w:rPr>
              <w:instrText xml:space="preserve"> PAGEREF _Toc368490583 \h </w:instrText>
            </w:r>
            <w:r>
              <w:rPr>
                <w:noProof/>
                <w:webHidden/>
              </w:rPr>
            </w:r>
            <w:r>
              <w:rPr>
                <w:noProof/>
                <w:webHidden/>
              </w:rPr>
              <w:fldChar w:fldCharType="separate"/>
            </w:r>
            <w:r w:rsidR="00592A3C">
              <w:rPr>
                <w:noProof/>
                <w:webHidden/>
              </w:rPr>
              <w:t>13</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4" w:history="1">
            <w:r w:rsidR="00592A3C" w:rsidRPr="003B655A">
              <w:rPr>
                <w:rStyle w:val="Hyperlink"/>
                <w:noProof/>
              </w:rPr>
              <w:t>Safety</w:t>
            </w:r>
            <w:r w:rsidR="00592A3C">
              <w:rPr>
                <w:noProof/>
                <w:webHidden/>
              </w:rPr>
              <w:tab/>
            </w:r>
            <w:r>
              <w:rPr>
                <w:noProof/>
                <w:webHidden/>
              </w:rPr>
              <w:fldChar w:fldCharType="begin"/>
            </w:r>
            <w:r w:rsidR="00592A3C">
              <w:rPr>
                <w:noProof/>
                <w:webHidden/>
              </w:rPr>
              <w:instrText xml:space="preserve"> PAGEREF _Toc368490584 \h </w:instrText>
            </w:r>
            <w:r>
              <w:rPr>
                <w:noProof/>
                <w:webHidden/>
              </w:rPr>
            </w:r>
            <w:r>
              <w:rPr>
                <w:noProof/>
                <w:webHidden/>
              </w:rPr>
              <w:fldChar w:fldCharType="separate"/>
            </w:r>
            <w:r w:rsidR="00592A3C">
              <w:rPr>
                <w:noProof/>
                <w:webHidden/>
              </w:rPr>
              <w:t>16</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5" w:history="1">
            <w:r w:rsidR="00592A3C" w:rsidRPr="003B655A">
              <w:rPr>
                <w:rStyle w:val="Hyperlink"/>
                <w:noProof/>
              </w:rPr>
              <w:t>First round benefit-risk assessment</w:t>
            </w:r>
            <w:r w:rsidR="00592A3C">
              <w:rPr>
                <w:noProof/>
                <w:webHidden/>
              </w:rPr>
              <w:tab/>
            </w:r>
            <w:r>
              <w:rPr>
                <w:noProof/>
                <w:webHidden/>
              </w:rPr>
              <w:fldChar w:fldCharType="begin"/>
            </w:r>
            <w:r w:rsidR="00592A3C">
              <w:rPr>
                <w:noProof/>
                <w:webHidden/>
              </w:rPr>
              <w:instrText xml:space="preserve"> PAGEREF _Toc368490585 \h </w:instrText>
            </w:r>
            <w:r>
              <w:rPr>
                <w:noProof/>
                <w:webHidden/>
              </w:rPr>
            </w:r>
            <w:r>
              <w:rPr>
                <w:noProof/>
                <w:webHidden/>
              </w:rPr>
              <w:fldChar w:fldCharType="separate"/>
            </w:r>
            <w:r w:rsidR="00592A3C">
              <w:rPr>
                <w:noProof/>
                <w:webHidden/>
              </w:rPr>
              <w:t>19</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6" w:history="1">
            <w:r w:rsidR="00592A3C" w:rsidRPr="003B655A">
              <w:rPr>
                <w:rStyle w:val="Hyperlink"/>
                <w:noProof/>
              </w:rPr>
              <w:t>First round recommendation regarding authorisation</w:t>
            </w:r>
            <w:r w:rsidR="00592A3C">
              <w:rPr>
                <w:noProof/>
                <w:webHidden/>
              </w:rPr>
              <w:tab/>
            </w:r>
            <w:r>
              <w:rPr>
                <w:noProof/>
                <w:webHidden/>
              </w:rPr>
              <w:fldChar w:fldCharType="begin"/>
            </w:r>
            <w:r w:rsidR="00592A3C">
              <w:rPr>
                <w:noProof/>
                <w:webHidden/>
              </w:rPr>
              <w:instrText xml:space="preserve"> PAGEREF _Toc368490586 \h </w:instrText>
            </w:r>
            <w:r>
              <w:rPr>
                <w:noProof/>
                <w:webHidden/>
              </w:rPr>
            </w:r>
            <w:r>
              <w:rPr>
                <w:noProof/>
                <w:webHidden/>
              </w:rPr>
              <w:fldChar w:fldCharType="separate"/>
            </w:r>
            <w:r w:rsidR="00592A3C">
              <w:rPr>
                <w:noProof/>
                <w:webHidden/>
              </w:rPr>
              <w:t>20</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7" w:history="1">
            <w:r w:rsidR="00592A3C" w:rsidRPr="003B655A">
              <w:rPr>
                <w:rStyle w:val="Hyperlink"/>
                <w:noProof/>
              </w:rPr>
              <w:t>Clinical questions and evaluation of responses</w:t>
            </w:r>
            <w:r w:rsidR="00592A3C">
              <w:rPr>
                <w:noProof/>
                <w:webHidden/>
              </w:rPr>
              <w:tab/>
            </w:r>
            <w:r>
              <w:rPr>
                <w:noProof/>
                <w:webHidden/>
              </w:rPr>
              <w:fldChar w:fldCharType="begin"/>
            </w:r>
            <w:r w:rsidR="00592A3C">
              <w:rPr>
                <w:noProof/>
                <w:webHidden/>
              </w:rPr>
              <w:instrText xml:space="preserve"> PAGEREF _Toc368490587 \h </w:instrText>
            </w:r>
            <w:r>
              <w:rPr>
                <w:noProof/>
                <w:webHidden/>
              </w:rPr>
            </w:r>
            <w:r>
              <w:rPr>
                <w:noProof/>
                <w:webHidden/>
              </w:rPr>
              <w:fldChar w:fldCharType="separate"/>
            </w:r>
            <w:r w:rsidR="00592A3C">
              <w:rPr>
                <w:noProof/>
                <w:webHidden/>
              </w:rPr>
              <w:t>20</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8" w:history="1">
            <w:r w:rsidR="00592A3C" w:rsidRPr="003B655A">
              <w:rPr>
                <w:rStyle w:val="Hyperlink"/>
                <w:noProof/>
              </w:rPr>
              <w:t>Second round benefit-risk assessment</w:t>
            </w:r>
            <w:r w:rsidR="00592A3C">
              <w:rPr>
                <w:noProof/>
                <w:webHidden/>
              </w:rPr>
              <w:tab/>
            </w:r>
            <w:r>
              <w:rPr>
                <w:noProof/>
                <w:webHidden/>
              </w:rPr>
              <w:fldChar w:fldCharType="begin"/>
            </w:r>
            <w:r w:rsidR="00592A3C">
              <w:rPr>
                <w:noProof/>
                <w:webHidden/>
              </w:rPr>
              <w:instrText xml:space="preserve"> PAGEREF _Toc368490588 \h </w:instrText>
            </w:r>
            <w:r>
              <w:rPr>
                <w:noProof/>
                <w:webHidden/>
              </w:rPr>
            </w:r>
            <w:r>
              <w:rPr>
                <w:noProof/>
                <w:webHidden/>
              </w:rPr>
              <w:fldChar w:fldCharType="separate"/>
            </w:r>
            <w:r w:rsidR="00592A3C">
              <w:rPr>
                <w:noProof/>
                <w:webHidden/>
              </w:rPr>
              <w:t>22</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89" w:history="1">
            <w:r w:rsidR="00592A3C" w:rsidRPr="003B655A">
              <w:rPr>
                <w:rStyle w:val="Hyperlink"/>
                <w:noProof/>
              </w:rPr>
              <w:t>Second round recommendation regarding authorisation</w:t>
            </w:r>
            <w:r w:rsidR="00592A3C">
              <w:rPr>
                <w:noProof/>
                <w:webHidden/>
              </w:rPr>
              <w:tab/>
            </w:r>
            <w:r>
              <w:rPr>
                <w:noProof/>
                <w:webHidden/>
              </w:rPr>
              <w:fldChar w:fldCharType="begin"/>
            </w:r>
            <w:r w:rsidR="00592A3C">
              <w:rPr>
                <w:noProof/>
                <w:webHidden/>
              </w:rPr>
              <w:instrText xml:space="preserve"> PAGEREF _Toc368490589 \h </w:instrText>
            </w:r>
            <w:r>
              <w:rPr>
                <w:noProof/>
                <w:webHidden/>
              </w:rPr>
            </w:r>
            <w:r>
              <w:rPr>
                <w:noProof/>
                <w:webHidden/>
              </w:rPr>
              <w:fldChar w:fldCharType="separate"/>
            </w:r>
            <w:r w:rsidR="00592A3C">
              <w:rPr>
                <w:noProof/>
                <w:webHidden/>
              </w:rPr>
              <w:t>22</w:t>
            </w:r>
            <w:r>
              <w:rPr>
                <w:noProof/>
                <w:webHidden/>
              </w:rPr>
              <w:fldChar w:fldCharType="end"/>
            </w:r>
          </w:hyperlink>
        </w:p>
        <w:p w:rsidR="00592A3C" w:rsidRDefault="005C0FF9">
          <w:pPr>
            <w:pStyle w:val="TOC2"/>
            <w:rPr>
              <w:rFonts w:asciiTheme="minorHAnsi" w:eastAsiaTheme="minorEastAsia" w:hAnsiTheme="minorHAnsi" w:cstheme="minorBidi"/>
              <w:b w:val="0"/>
              <w:noProof/>
              <w:sz w:val="22"/>
              <w:lang w:eastAsia="en-AU"/>
            </w:rPr>
          </w:pPr>
          <w:hyperlink w:anchor="_Toc368490590" w:history="1">
            <w:r w:rsidR="00592A3C" w:rsidRPr="003B655A">
              <w:rPr>
                <w:rStyle w:val="Hyperlink"/>
                <w:noProof/>
              </w:rPr>
              <w:t>V. Pharmacovigilance findings</w:t>
            </w:r>
            <w:r w:rsidR="00592A3C">
              <w:rPr>
                <w:noProof/>
                <w:webHidden/>
              </w:rPr>
              <w:tab/>
            </w:r>
            <w:r>
              <w:rPr>
                <w:noProof/>
                <w:webHidden/>
              </w:rPr>
              <w:fldChar w:fldCharType="begin"/>
            </w:r>
            <w:r w:rsidR="00592A3C">
              <w:rPr>
                <w:noProof/>
                <w:webHidden/>
              </w:rPr>
              <w:instrText xml:space="preserve"> PAGEREF _Toc368490590 \h </w:instrText>
            </w:r>
            <w:r>
              <w:rPr>
                <w:noProof/>
                <w:webHidden/>
              </w:rPr>
            </w:r>
            <w:r>
              <w:rPr>
                <w:noProof/>
                <w:webHidden/>
              </w:rPr>
              <w:fldChar w:fldCharType="separate"/>
            </w:r>
            <w:r w:rsidR="00592A3C">
              <w:rPr>
                <w:noProof/>
                <w:webHidden/>
              </w:rPr>
              <w:t>22</w:t>
            </w:r>
            <w:r>
              <w:rPr>
                <w:noProof/>
                <w:webHidden/>
              </w:rPr>
              <w:fldChar w:fldCharType="end"/>
            </w:r>
          </w:hyperlink>
        </w:p>
        <w:p w:rsidR="00592A3C" w:rsidRDefault="005C0FF9">
          <w:pPr>
            <w:pStyle w:val="TOC2"/>
            <w:rPr>
              <w:rFonts w:asciiTheme="minorHAnsi" w:eastAsiaTheme="minorEastAsia" w:hAnsiTheme="minorHAnsi" w:cstheme="minorBidi"/>
              <w:b w:val="0"/>
              <w:noProof/>
              <w:sz w:val="22"/>
              <w:lang w:eastAsia="en-AU"/>
            </w:rPr>
          </w:pPr>
          <w:hyperlink w:anchor="_Toc368490591" w:history="1">
            <w:r w:rsidR="00592A3C" w:rsidRPr="003B655A">
              <w:rPr>
                <w:rStyle w:val="Hyperlink"/>
                <w:noProof/>
              </w:rPr>
              <w:t>VI. Overall conclusion and risk/benefit assessment</w:t>
            </w:r>
            <w:r w:rsidR="00592A3C">
              <w:rPr>
                <w:noProof/>
                <w:webHidden/>
              </w:rPr>
              <w:tab/>
            </w:r>
            <w:r>
              <w:rPr>
                <w:noProof/>
                <w:webHidden/>
              </w:rPr>
              <w:fldChar w:fldCharType="begin"/>
            </w:r>
            <w:r w:rsidR="00592A3C">
              <w:rPr>
                <w:noProof/>
                <w:webHidden/>
              </w:rPr>
              <w:instrText xml:space="preserve"> PAGEREF _Toc368490591 \h </w:instrText>
            </w:r>
            <w:r>
              <w:rPr>
                <w:noProof/>
                <w:webHidden/>
              </w:rPr>
            </w:r>
            <w:r>
              <w:rPr>
                <w:noProof/>
                <w:webHidden/>
              </w:rPr>
              <w:fldChar w:fldCharType="separate"/>
            </w:r>
            <w:r w:rsidR="00592A3C">
              <w:rPr>
                <w:noProof/>
                <w:webHidden/>
              </w:rPr>
              <w:t>22</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92" w:history="1">
            <w:r w:rsidR="00592A3C" w:rsidRPr="003B655A">
              <w:rPr>
                <w:rStyle w:val="Hyperlink"/>
                <w:noProof/>
              </w:rPr>
              <w:t>Quality</w:t>
            </w:r>
            <w:r w:rsidR="00592A3C">
              <w:rPr>
                <w:noProof/>
                <w:webHidden/>
              </w:rPr>
              <w:tab/>
            </w:r>
            <w:r>
              <w:rPr>
                <w:noProof/>
                <w:webHidden/>
              </w:rPr>
              <w:fldChar w:fldCharType="begin"/>
            </w:r>
            <w:r w:rsidR="00592A3C">
              <w:rPr>
                <w:noProof/>
                <w:webHidden/>
              </w:rPr>
              <w:instrText xml:space="preserve"> PAGEREF _Toc368490592 \h </w:instrText>
            </w:r>
            <w:r>
              <w:rPr>
                <w:noProof/>
                <w:webHidden/>
              </w:rPr>
            </w:r>
            <w:r>
              <w:rPr>
                <w:noProof/>
                <w:webHidden/>
              </w:rPr>
              <w:fldChar w:fldCharType="separate"/>
            </w:r>
            <w:r w:rsidR="00592A3C">
              <w:rPr>
                <w:noProof/>
                <w:webHidden/>
              </w:rPr>
              <w:t>22</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93" w:history="1">
            <w:r w:rsidR="00592A3C" w:rsidRPr="003B655A">
              <w:rPr>
                <w:rStyle w:val="Hyperlink"/>
                <w:noProof/>
              </w:rPr>
              <w:t>Nonclinical</w:t>
            </w:r>
            <w:r w:rsidR="00592A3C">
              <w:rPr>
                <w:noProof/>
                <w:webHidden/>
              </w:rPr>
              <w:tab/>
            </w:r>
            <w:r>
              <w:rPr>
                <w:noProof/>
                <w:webHidden/>
              </w:rPr>
              <w:fldChar w:fldCharType="begin"/>
            </w:r>
            <w:r w:rsidR="00592A3C">
              <w:rPr>
                <w:noProof/>
                <w:webHidden/>
              </w:rPr>
              <w:instrText xml:space="preserve"> PAGEREF _Toc368490593 \h </w:instrText>
            </w:r>
            <w:r>
              <w:rPr>
                <w:noProof/>
                <w:webHidden/>
              </w:rPr>
            </w:r>
            <w:r>
              <w:rPr>
                <w:noProof/>
                <w:webHidden/>
              </w:rPr>
              <w:fldChar w:fldCharType="separate"/>
            </w:r>
            <w:r w:rsidR="00592A3C">
              <w:rPr>
                <w:noProof/>
                <w:webHidden/>
              </w:rPr>
              <w:t>23</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94" w:history="1">
            <w:r w:rsidR="00592A3C" w:rsidRPr="003B655A">
              <w:rPr>
                <w:rStyle w:val="Hyperlink"/>
                <w:noProof/>
              </w:rPr>
              <w:t>Clinical</w:t>
            </w:r>
            <w:r w:rsidR="00592A3C">
              <w:rPr>
                <w:noProof/>
                <w:webHidden/>
              </w:rPr>
              <w:tab/>
            </w:r>
            <w:r>
              <w:rPr>
                <w:noProof/>
                <w:webHidden/>
              </w:rPr>
              <w:fldChar w:fldCharType="begin"/>
            </w:r>
            <w:r w:rsidR="00592A3C">
              <w:rPr>
                <w:noProof/>
                <w:webHidden/>
              </w:rPr>
              <w:instrText xml:space="preserve"> PAGEREF _Toc368490594 \h </w:instrText>
            </w:r>
            <w:r>
              <w:rPr>
                <w:noProof/>
                <w:webHidden/>
              </w:rPr>
            </w:r>
            <w:r>
              <w:rPr>
                <w:noProof/>
                <w:webHidden/>
              </w:rPr>
              <w:fldChar w:fldCharType="separate"/>
            </w:r>
            <w:r w:rsidR="00592A3C">
              <w:rPr>
                <w:noProof/>
                <w:webHidden/>
              </w:rPr>
              <w:t>23</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95" w:history="1">
            <w:r w:rsidR="00592A3C" w:rsidRPr="003B655A">
              <w:rPr>
                <w:rStyle w:val="Hyperlink"/>
                <w:noProof/>
              </w:rPr>
              <w:t>Risk management plan</w:t>
            </w:r>
            <w:r w:rsidR="00592A3C">
              <w:rPr>
                <w:noProof/>
                <w:webHidden/>
              </w:rPr>
              <w:tab/>
            </w:r>
            <w:r>
              <w:rPr>
                <w:noProof/>
                <w:webHidden/>
              </w:rPr>
              <w:fldChar w:fldCharType="begin"/>
            </w:r>
            <w:r w:rsidR="00592A3C">
              <w:rPr>
                <w:noProof/>
                <w:webHidden/>
              </w:rPr>
              <w:instrText xml:space="preserve"> PAGEREF _Toc368490595 \h </w:instrText>
            </w:r>
            <w:r>
              <w:rPr>
                <w:noProof/>
                <w:webHidden/>
              </w:rPr>
            </w:r>
            <w:r>
              <w:rPr>
                <w:noProof/>
                <w:webHidden/>
              </w:rPr>
              <w:fldChar w:fldCharType="separate"/>
            </w:r>
            <w:r w:rsidR="00592A3C">
              <w:rPr>
                <w:noProof/>
                <w:webHidden/>
              </w:rPr>
              <w:t>33</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96" w:history="1">
            <w:r w:rsidR="00592A3C" w:rsidRPr="003B655A">
              <w:rPr>
                <w:rStyle w:val="Hyperlink"/>
                <w:noProof/>
              </w:rPr>
              <w:t>Risk-benefit analysis</w:t>
            </w:r>
            <w:r w:rsidR="00592A3C">
              <w:rPr>
                <w:noProof/>
                <w:webHidden/>
              </w:rPr>
              <w:tab/>
            </w:r>
            <w:r>
              <w:rPr>
                <w:noProof/>
                <w:webHidden/>
              </w:rPr>
              <w:fldChar w:fldCharType="begin"/>
            </w:r>
            <w:r w:rsidR="00592A3C">
              <w:rPr>
                <w:noProof/>
                <w:webHidden/>
              </w:rPr>
              <w:instrText xml:space="preserve"> PAGEREF _Toc368490596 \h </w:instrText>
            </w:r>
            <w:r>
              <w:rPr>
                <w:noProof/>
                <w:webHidden/>
              </w:rPr>
            </w:r>
            <w:r>
              <w:rPr>
                <w:noProof/>
                <w:webHidden/>
              </w:rPr>
              <w:fldChar w:fldCharType="separate"/>
            </w:r>
            <w:r w:rsidR="00592A3C">
              <w:rPr>
                <w:noProof/>
                <w:webHidden/>
              </w:rPr>
              <w:t>34</w:t>
            </w:r>
            <w:r>
              <w:rPr>
                <w:noProof/>
                <w:webHidden/>
              </w:rPr>
              <w:fldChar w:fldCharType="end"/>
            </w:r>
          </w:hyperlink>
        </w:p>
        <w:p w:rsidR="00592A3C" w:rsidRDefault="005C0FF9">
          <w:pPr>
            <w:pStyle w:val="TOC3"/>
            <w:rPr>
              <w:rFonts w:asciiTheme="minorHAnsi" w:eastAsiaTheme="minorEastAsia" w:hAnsiTheme="minorHAnsi" w:cstheme="minorBidi"/>
              <w:noProof/>
              <w:lang w:eastAsia="en-AU"/>
            </w:rPr>
          </w:pPr>
          <w:hyperlink w:anchor="_Toc368490597" w:history="1">
            <w:r w:rsidR="00592A3C" w:rsidRPr="003B655A">
              <w:rPr>
                <w:rStyle w:val="Hyperlink"/>
                <w:noProof/>
              </w:rPr>
              <w:t>Outcome</w:t>
            </w:r>
            <w:r w:rsidR="00592A3C">
              <w:rPr>
                <w:noProof/>
                <w:webHidden/>
              </w:rPr>
              <w:tab/>
            </w:r>
            <w:r>
              <w:rPr>
                <w:noProof/>
                <w:webHidden/>
              </w:rPr>
              <w:fldChar w:fldCharType="begin"/>
            </w:r>
            <w:r w:rsidR="00592A3C">
              <w:rPr>
                <w:noProof/>
                <w:webHidden/>
              </w:rPr>
              <w:instrText xml:space="preserve"> PAGEREF _Toc368490597 \h </w:instrText>
            </w:r>
            <w:r>
              <w:rPr>
                <w:noProof/>
                <w:webHidden/>
              </w:rPr>
            </w:r>
            <w:r>
              <w:rPr>
                <w:noProof/>
                <w:webHidden/>
              </w:rPr>
              <w:fldChar w:fldCharType="separate"/>
            </w:r>
            <w:r w:rsidR="00592A3C">
              <w:rPr>
                <w:noProof/>
                <w:webHidden/>
              </w:rPr>
              <w:t>36</w:t>
            </w:r>
            <w:r>
              <w:rPr>
                <w:noProof/>
                <w:webHidden/>
              </w:rPr>
              <w:fldChar w:fldCharType="end"/>
            </w:r>
          </w:hyperlink>
        </w:p>
        <w:p w:rsidR="00592A3C" w:rsidRDefault="005C0FF9">
          <w:pPr>
            <w:pStyle w:val="TOC2"/>
            <w:tabs>
              <w:tab w:val="left" w:pos="2448"/>
            </w:tabs>
            <w:rPr>
              <w:rFonts w:asciiTheme="minorHAnsi" w:eastAsiaTheme="minorEastAsia" w:hAnsiTheme="minorHAnsi" w:cstheme="minorBidi"/>
              <w:b w:val="0"/>
              <w:noProof/>
              <w:sz w:val="22"/>
              <w:lang w:eastAsia="en-AU"/>
            </w:rPr>
          </w:pPr>
          <w:hyperlink w:anchor="_Toc368490598" w:history="1">
            <w:r w:rsidR="00592A3C" w:rsidRPr="003B655A">
              <w:rPr>
                <w:rStyle w:val="Hyperlink"/>
                <w:noProof/>
              </w:rPr>
              <w:t>Attachment 1.</w:t>
            </w:r>
            <w:r w:rsidR="00592A3C">
              <w:rPr>
                <w:rFonts w:asciiTheme="minorHAnsi" w:eastAsiaTheme="minorEastAsia" w:hAnsiTheme="minorHAnsi" w:cstheme="minorBidi"/>
                <w:b w:val="0"/>
                <w:noProof/>
                <w:sz w:val="22"/>
                <w:lang w:eastAsia="en-AU"/>
              </w:rPr>
              <w:tab/>
            </w:r>
            <w:r w:rsidR="00592A3C" w:rsidRPr="003B655A">
              <w:rPr>
                <w:rStyle w:val="Hyperlink"/>
                <w:noProof/>
              </w:rPr>
              <w:t>Product Information</w:t>
            </w:r>
            <w:r w:rsidR="00592A3C">
              <w:rPr>
                <w:noProof/>
                <w:webHidden/>
              </w:rPr>
              <w:tab/>
            </w:r>
            <w:r>
              <w:rPr>
                <w:noProof/>
                <w:webHidden/>
              </w:rPr>
              <w:fldChar w:fldCharType="begin"/>
            </w:r>
            <w:r w:rsidR="00592A3C">
              <w:rPr>
                <w:noProof/>
                <w:webHidden/>
              </w:rPr>
              <w:instrText xml:space="preserve"> PAGEREF _Toc368490598 \h </w:instrText>
            </w:r>
            <w:r>
              <w:rPr>
                <w:noProof/>
                <w:webHidden/>
              </w:rPr>
            </w:r>
            <w:r>
              <w:rPr>
                <w:noProof/>
                <w:webHidden/>
              </w:rPr>
              <w:fldChar w:fldCharType="separate"/>
            </w:r>
            <w:r w:rsidR="00592A3C">
              <w:rPr>
                <w:noProof/>
                <w:webHidden/>
              </w:rPr>
              <w:t>36</w:t>
            </w:r>
            <w:r>
              <w:rPr>
                <w:noProof/>
                <w:webHidden/>
              </w:rPr>
              <w:fldChar w:fldCharType="end"/>
            </w:r>
          </w:hyperlink>
        </w:p>
        <w:p w:rsidR="00592A3C" w:rsidRDefault="005C0FF9">
          <w:pPr>
            <w:pStyle w:val="TOC2"/>
            <w:rPr>
              <w:rFonts w:asciiTheme="minorHAnsi" w:eastAsiaTheme="minorEastAsia" w:hAnsiTheme="minorHAnsi" w:cstheme="minorBidi"/>
              <w:b w:val="0"/>
              <w:noProof/>
              <w:sz w:val="22"/>
              <w:lang w:eastAsia="en-AU"/>
            </w:rPr>
          </w:pPr>
          <w:hyperlink w:anchor="_Toc368490599" w:history="1">
            <w:r w:rsidR="00592A3C" w:rsidRPr="003B655A">
              <w:rPr>
                <w:rStyle w:val="Hyperlink"/>
                <w:noProof/>
                <w:lang w:eastAsia="en-AU"/>
              </w:rPr>
              <w:t>Attachment 2. Extract from the Clinical Evaluation Report</w:t>
            </w:r>
            <w:r w:rsidR="00592A3C">
              <w:rPr>
                <w:noProof/>
                <w:webHidden/>
              </w:rPr>
              <w:tab/>
            </w:r>
            <w:r>
              <w:rPr>
                <w:noProof/>
                <w:webHidden/>
              </w:rPr>
              <w:fldChar w:fldCharType="begin"/>
            </w:r>
            <w:r w:rsidR="00592A3C">
              <w:rPr>
                <w:noProof/>
                <w:webHidden/>
              </w:rPr>
              <w:instrText xml:space="preserve"> PAGEREF _Toc368490599 \h </w:instrText>
            </w:r>
            <w:r>
              <w:rPr>
                <w:noProof/>
                <w:webHidden/>
              </w:rPr>
            </w:r>
            <w:r>
              <w:rPr>
                <w:noProof/>
                <w:webHidden/>
              </w:rPr>
              <w:fldChar w:fldCharType="separate"/>
            </w:r>
            <w:r w:rsidR="00592A3C">
              <w:rPr>
                <w:noProof/>
                <w:webHidden/>
              </w:rPr>
              <w:t>36</w:t>
            </w:r>
            <w:r>
              <w:rPr>
                <w:noProof/>
                <w:webHidden/>
              </w:rPr>
              <w:fldChar w:fldCharType="end"/>
            </w:r>
          </w:hyperlink>
        </w:p>
        <w:p w:rsidR="003A7F6C" w:rsidRPr="00B811C6" w:rsidRDefault="005C0FF9" w:rsidP="00B811C6">
          <w:pPr>
            <w:pStyle w:val="TOC2"/>
          </w:pPr>
          <w:r>
            <w:fldChar w:fldCharType="end"/>
          </w:r>
        </w:p>
      </w:sdtContent>
    </w:sdt>
    <w:bookmarkStart w:id="2" w:name="_Toc314842482" w:displacedByCustomXml="prev"/>
    <w:p w:rsidR="000966DD" w:rsidRDefault="000966DD">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68490571"/>
      <w:r>
        <w:t>I.</w:t>
      </w:r>
      <w:r w:rsidR="008E7846">
        <w:t xml:space="preserve"> Introduction to product submission</w:t>
      </w:r>
      <w:bookmarkEnd w:id="3"/>
      <w:bookmarkEnd w:id="2"/>
      <w:bookmarkEnd w:id="0"/>
    </w:p>
    <w:p w:rsidR="008E7846" w:rsidRDefault="008E7846" w:rsidP="00404B47">
      <w:pPr>
        <w:pStyle w:val="Heading3"/>
        <w:rPr>
          <w:lang w:eastAsia="en-AU"/>
        </w:rPr>
      </w:pPr>
      <w:bookmarkStart w:id="4" w:name="_Toc247691502"/>
      <w:bookmarkStart w:id="5" w:name="_Toc314842483"/>
      <w:bookmarkStart w:id="6" w:name="_Toc368490572"/>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404B47" w:rsidRDefault="008E7846" w:rsidP="00404B47">
            <w:pPr>
              <w:rPr>
                <w:i/>
              </w:rPr>
            </w:pPr>
            <w:r w:rsidRPr="00404B47">
              <w:rPr>
                <w:i/>
              </w:rPr>
              <w:t>Type of Submission</w:t>
            </w:r>
          </w:p>
        </w:tc>
        <w:tc>
          <w:tcPr>
            <w:tcW w:w="6590" w:type="dxa"/>
          </w:tcPr>
          <w:p w:rsidR="008E7846" w:rsidRPr="003D1E62" w:rsidRDefault="000966DD" w:rsidP="00404B47">
            <w:r>
              <w:t xml:space="preserve">Extension of indications </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0966DD">
            <w:r w:rsidRPr="003D1E62">
              <w:t xml:space="preserve">Approved </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0966DD" w:rsidP="003D1E62">
            <w:r>
              <w:t>19 March 2013</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0966DD" w:rsidP="000966DD">
            <w:pPr>
              <w:rPr>
                <w:i/>
              </w:rPr>
            </w:pPr>
            <w:r>
              <w:rPr>
                <w:i/>
              </w:rPr>
              <w:t>Active ingredient</w:t>
            </w:r>
            <w:r w:rsidR="008E7846" w:rsidRPr="00487162">
              <w:rPr>
                <w:i/>
              </w:rPr>
              <w:t xml:space="preserve">s: </w:t>
            </w:r>
          </w:p>
        </w:tc>
        <w:tc>
          <w:tcPr>
            <w:tcW w:w="6307" w:type="dxa"/>
          </w:tcPr>
          <w:p w:rsidR="008E7846" w:rsidRPr="00487162" w:rsidRDefault="000966DD" w:rsidP="000966DD">
            <w:r w:rsidRPr="000966DD">
              <w:t xml:space="preserve">calcipotriol and betamethasone (as dipropionate) </w:t>
            </w:r>
          </w:p>
        </w:tc>
      </w:tr>
      <w:tr w:rsidR="008E7846" w:rsidRPr="00487162" w:rsidTr="00BF1190">
        <w:tc>
          <w:tcPr>
            <w:tcW w:w="2907" w:type="dxa"/>
          </w:tcPr>
          <w:p w:rsidR="008E7846" w:rsidRPr="00487162" w:rsidRDefault="000966DD" w:rsidP="00E45619">
            <w:pPr>
              <w:rPr>
                <w:i/>
              </w:rPr>
            </w:pPr>
            <w:r>
              <w:rPr>
                <w:i/>
              </w:rPr>
              <w:t>Product Name</w:t>
            </w:r>
            <w:r w:rsidR="008E7846" w:rsidRPr="00487162">
              <w:rPr>
                <w:i/>
              </w:rPr>
              <w:t xml:space="preserve">: </w:t>
            </w:r>
          </w:p>
        </w:tc>
        <w:tc>
          <w:tcPr>
            <w:tcW w:w="6307" w:type="dxa"/>
          </w:tcPr>
          <w:p w:rsidR="008E7846" w:rsidRPr="00487162" w:rsidRDefault="000966DD" w:rsidP="000966DD">
            <w:r w:rsidRPr="000966DD">
              <w:t xml:space="preserve">Daivobet 50/500 </w:t>
            </w:r>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0966DD" w:rsidRDefault="000966DD" w:rsidP="000966DD">
            <w:pPr>
              <w:spacing w:before="0" w:after="0"/>
            </w:pPr>
            <w:r>
              <w:t xml:space="preserve">LEO </w:t>
            </w:r>
            <w:proofErr w:type="spellStart"/>
            <w:r>
              <w:t>Pharma</w:t>
            </w:r>
            <w:proofErr w:type="spellEnd"/>
            <w:r>
              <w:t xml:space="preserve"> Pty Ltd</w:t>
            </w:r>
          </w:p>
          <w:p w:rsidR="000966DD" w:rsidRDefault="000966DD" w:rsidP="000966DD">
            <w:pPr>
              <w:spacing w:before="0" w:after="0"/>
            </w:pPr>
            <w:r>
              <w:t>Level 3, Tower 1, 25 Montpelier Road</w:t>
            </w:r>
          </w:p>
          <w:p w:rsidR="008E7846" w:rsidRPr="00487162" w:rsidRDefault="000966DD" w:rsidP="000966DD">
            <w:pPr>
              <w:spacing w:before="0" w:after="0"/>
            </w:pPr>
            <w:r>
              <w:t>Bowen Hills, QLD 4006</w:t>
            </w:r>
          </w:p>
        </w:tc>
      </w:tr>
      <w:tr w:rsidR="008E7846" w:rsidRPr="00487162" w:rsidTr="00BF1190">
        <w:tc>
          <w:tcPr>
            <w:tcW w:w="2907" w:type="dxa"/>
          </w:tcPr>
          <w:p w:rsidR="008E7846" w:rsidRPr="00487162" w:rsidRDefault="000966DD" w:rsidP="00E45619">
            <w:pPr>
              <w:rPr>
                <w:i/>
              </w:rPr>
            </w:pPr>
            <w:r>
              <w:rPr>
                <w:i/>
              </w:rPr>
              <w:t>Dose form</w:t>
            </w:r>
            <w:r w:rsidR="008E7846" w:rsidRPr="00487162">
              <w:rPr>
                <w:i/>
              </w:rPr>
              <w:t xml:space="preserve">: </w:t>
            </w:r>
          </w:p>
        </w:tc>
        <w:tc>
          <w:tcPr>
            <w:tcW w:w="6307" w:type="dxa"/>
          </w:tcPr>
          <w:p w:rsidR="008E7846" w:rsidRPr="00487162" w:rsidRDefault="000966DD" w:rsidP="00E45619">
            <w:r>
              <w:t>Gel</w:t>
            </w:r>
          </w:p>
        </w:tc>
      </w:tr>
      <w:tr w:rsidR="008E7846" w:rsidRPr="00487162" w:rsidTr="00BF1190">
        <w:tc>
          <w:tcPr>
            <w:tcW w:w="2907" w:type="dxa"/>
          </w:tcPr>
          <w:p w:rsidR="008E7846" w:rsidRPr="00487162" w:rsidRDefault="000966DD" w:rsidP="00E45619">
            <w:pPr>
              <w:rPr>
                <w:i/>
              </w:rPr>
            </w:pPr>
            <w:r>
              <w:rPr>
                <w:i/>
              </w:rPr>
              <w:t>Strength</w:t>
            </w:r>
            <w:r w:rsidR="008E7846" w:rsidRPr="00487162">
              <w:rPr>
                <w:i/>
              </w:rPr>
              <w:t xml:space="preserve">: </w:t>
            </w:r>
          </w:p>
        </w:tc>
        <w:tc>
          <w:tcPr>
            <w:tcW w:w="6307" w:type="dxa"/>
          </w:tcPr>
          <w:p w:rsidR="008E7846" w:rsidRPr="00487162" w:rsidRDefault="000966DD" w:rsidP="005F1ABF">
            <w:r w:rsidRPr="000966DD">
              <w:t xml:space="preserve">50 µg/g </w:t>
            </w:r>
            <w:r w:rsidR="005F1ABF">
              <w:t xml:space="preserve">(calcipotriol) </w:t>
            </w:r>
            <w:r w:rsidRPr="000966DD">
              <w:t xml:space="preserve">and </w:t>
            </w:r>
            <w:r w:rsidR="005F1ABF">
              <w:t>500 µg/g (</w:t>
            </w:r>
            <w:r w:rsidRPr="000966DD">
              <w:t>betamethasone</w:t>
            </w:r>
            <w:r w:rsidR="005F1ABF">
              <w:t xml:space="preserve">, </w:t>
            </w:r>
            <w:r w:rsidRPr="000966DD">
              <w:t xml:space="preserve">as dipropionate) </w:t>
            </w:r>
          </w:p>
        </w:tc>
      </w:tr>
      <w:tr w:rsidR="008E7846" w:rsidRPr="00487162" w:rsidTr="00BF1190">
        <w:tc>
          <w:tcPr>
            <w:tcW w:w="2907" w:type="dxa"/>
          </w:tcPr>
          <w:p w:rsidR="008E7846" w:rsidRPr="00487162" w:rsidRDefault="000966DD" w:rsidP="00E45619">
            <w:pPr>
              <w:rPr>
                <w:i/>
              </w:rPr>
            </w:pPr>
            <w:r>
              <w:rPr>
                <w:i/>
              </w:rPr>
              <w:t>Container</w:t>
            </w:r>
            <w:r w:rsidR="008E7846" w:rsidRPr="00487162">
              <w:rPr>
                <w:i/>
              </w:rPr>
              <w:t>:</w:t>
            </w:r>
          </w:p>
        </w:tc>
        <w:tc>
          <w:tcPr>
            <w:tcW w:w="6307" w:type="dxa"/>
          </w:tcPr>
          <w:p w:rsidR="008E7846" w:rsidRPr="00487162" w:rsidRDefault="000966DD" w:rsidP="00E45619">
            <w:r>
              <w:t>Bottle</w:t>
            </w:r>
          </w:p>
        </w:tc>
      </w:tr>
      <w:tr w:rsidR="008E7846" w:rsidRPr="00487162" w:rsidTr="00BF1190">
        <w:tc>
          <w:tcPr>
            <w:tcW w:w="2907" w:type="dxa"/>
          </w:tcPr>
          <w:p w:rsidR="008E7846" w:rsidRPr="00487162" w:rsidRDefault="008E7846" w:rsidP="000966DD">
            <w:pPr>
              <w:rPr>
                <w:i/>
              </w:rPr>
            </w:pPr>
            <w:r w:rsidRPr="00487162">
              <w:rPr>
                <w:i/>
              </w:rPr>
              <w:t>Pack size:</w:t>
            </w:r>
          </w:p>
        </w:tc>
        <w:tc>
          <w:tcPr>
            <w:tcW w:w="6307" w:type="dxa"/>
          </w:tcPr>
          <w:p w:rsidR="008E7846" w:rsidRPr="00487162" w:rsidRDefault="000966DD" w:rsidP="00E45619">
            <w:r>
              <w:t>4 g, 15 g, 30 g, 60 g, 2 x 60 g</w:t>
            </w:r>
          </w:p>
        </w:tc>
      </w:tr>
      <w:tr w:rsidR="008E7846" w:rsidRPr="00487162" w:rsidTr="00BF1190">
        <w:tc>
          <w:tcPr>
            <w:tcW w:w="2907" w:type="dxa"/>
          </w:tcPr>
          <w:p w:rsidR="008E7846" w:rsidRPr="00487162" w:rsidRDefault="008E7846" w:rsidP="00E45619">
            <w:pPr>
              <w:rPr>
                <w:i/>
              </w:rPr>
            </w:pPr>
            <w:r w:rsidRPr="00487162">
              <w:rPr>
                <w:i/>
              </w:rPr>
              <w:t>Approved Therapeutic use:</w:t>
            </w:r>
          </w:p>
        </w:tc>
        <w:tc>
          <w:tcPr>
            <w:tcW w:w="6307" w:type="dxa"/>
          </w:tcPr>
          <w:p w:rsidR="005F1ABF" w:rsidRDefault="000966DD" w:rsidP="000966DD">
            <w:r w:rsidRPr="000966DD">
              <w:t xml:space="preserve">Topical treatment of scalp psoriasis. </w:t>
            </w:r>
          </w:p>
          <w:p w:rsidR="008E7846" w:rsidRPr="00487162" w:rsidRDefault="000966DD" w:rsidP="000966DD">
            <w:pPr>
              <w:rPr>
                <w:rFonts w:eastAsia="MS Mincho"/>
                <w:lang w:eastAsia="ja-JP"/>
              </w:rPr>
            </w:pPr>
            <w:r w:rsidRPr="000966DD">
              <w:t>Topical treatment of mild to moderate plaque psoriasis on the body in adults.</w:t>
            </w:r>
          </w:p>
        </w:tc>
      </w:tr>
      <w:tr w:rsidR="008E7846" w:rsidRPr="00487162" w:rsidTr="00BF1190">
        <w:tc>
          <w:tcPr>
            <w:tcW w:w="2907" w:type="dxa"/>
          </w:tcPr>
          <w:p w:rsidR="008E7846" w:rsidRPr="00487162" w:rsidRDefault="000966DD" w:rsidP="00E45619">
            <w:pPr>
              <w:rPr>
                <w:i/>
              </w:rPr>
            </w:pPr>
            <w:r>
              <w:rPr>
                <w:i/>
              </w:rPr>
              <w:t>Route</w:t>
            </w:r>
            <w:r w:rsidR="008E7846" w:rsidRPr="00487162">
              <w:rPr>
                <w:i/>
              </w:rPr>
              <w:t xml:space="preserve"> of administration:</w:t>
            </w:r>
          </w:p>
        </w:tc>
        <w:tc>
          <w:tcPr>
            <w:tcW w:w="6307" w:type="dxa"/>
          </w:tcPr>
          <w:p w:rsidR="008E7846" w:rsidRPr="00487162" w:rsidRDefault="000966DD" w:rsidP="00E45619">
            <w:r>
              <w:t>Topical</w:t>
            </w:r>
          </w:p>
        </w:tc>
      </w:tr>
      <w:tr w:rsidR="008E7846" w:rsidRPr="00487162" w:rsidTr="00BF1190">
        <w:tc>
          <w:tcPr>
            <w:tcW w:w="2907" w:type="dxa"/>
          </w:tcPr>
          <w:p w:rsidR="008E7846" w:rsidRPr="00487162" w:rsidRDefault="008E7846" w:rsidP="00E45619">
            <w:pPr>
              <w:rPr>
                <w:i/>
              </w:rPr>
            </w:pPr>
            <w:r w:rsidRPr="00487162">
              <w:rPr>
                <w:i/>
              </w:rPr>
              <w:t>Dosage</w:t>
            </w:r>
            <w:r w:rsidR="00E24649">
              <w:rPr>
                <w:i/>
              </w:rPr>
              <w:t xml:space="preserve"> (abbreviated)</w:t>
            </w:r>
            <w:r w:rsidRPr="00487162">
              <w:rPr>
                <w:i/>
              </w:rPr>
              <w:t>:</w:t>
            </w:r>
          </w:p>
        </w:tc>
        <w:tc>
          <w:tcPr>
            <w:tcW w:w="6307" w:type="dxa"/>
          </w:tcPr>
          <w:p w:rsidR="00E24649" w:rsidRDefault="00E24649" w:rsidP="00E24649">
            <w:pPr>
              <w:rPr>
                <w:rFonts w:ascii="Arial" w:hAnsi="Arial"/>
                <w:snapToGrid w:val="0"/>
                <w:u w:val="single"/>
              </w:rPr>
            </w:pPr>
            <w:r w:rsidRPr="00E24649">
              <w:t>Scalp psoriasis: once daily for up to 4 weeks.</w:t>
            </w:r>
            <w:r w:rsidRPr="00E24649">
              <w:rPr>
                <w:rFonts w:ascii="Arial" w:hAnsi="Arial"/>
                <w:snapToGrid w:val="0"/>
                <w:u w:val="single"/>
              </w:rPr>
              <w:t xml:space="preserve"> </w:t>
            </w:r>
          </w:p>
          <w:p w:rsidR="00E24649" w:rsidRDefault="00E24649" w:rsidP="00E24649">
            <w:r w:rsidRPr="00E24649">
              <w:t>Body psoriasis: once daily for up to 8 weeks.</w:t>
            </w:r>
          </w:p>
          <w:p w:rsidR="008E7846" w:rsidRPr="00487162" w:rsidRDefault="00E24649" w:rsidP="00E24649">
            <w:r w:rsidRPr="00E24649">
              <w:t xml:space="preserve">When using calcipotriol containing products </w:t>
            </w:r>
            <w:r>
              <w:t>t</w:t>
            </w:r>
            <w:r w:rsidRPr="00E24649">
              <w:t xml:space="preserve">he maximum daily dose should not exceed 15 g and the maximum weekly dose should not exceed 100 g. The total body surface area treated should not exceed 30%. </w:t>
            </w:r>
          </w:p>
        </w:tc>
      </w:tr>
      <w:tr w:rsidR="008E7846" w:rsidRPr="00487162" w:rsidTr="00BF1190">
        <w:tc>
          <w:tcPr>
            <w:tcW w:w="2907" w:type="dxa"/>
          </w:tcPr>
          <w:p w:rsidR="008E7846" w:rsidRPr="00487162" w:rsidRDefault="008E7846" w:rsidP="00E45619">
            <w:pPr>
              <w:rPr>
                <w:i/>
              </w:rPr>
            </w:pPr>
            <w:r w:rsidRPr="00487162">
              <w:rPr>
                <w:i/>
              </w:rPr>
              <w:t>ARTG Number</w:t>
            </w:r>
            <w:r w:rsidR="000966DD">
              <w:rPr>
                <w:i/>
              </w:rPr>
              <w:t>:</w:t>
            </w:r>
          </w:p>
        </w:tc>
        <w:tc>
          <w:tcPr>
            <w:tcW w:w="6307" w:type="dxa"/>
          </w:tcPr>
          <w:p w:rsidR="008E7846" w:rsidRPr="00487162" w:rsidRDefault="000966DD" w:rsidP="000966DD">
            <w:r w:rsidRPr="000966DD">
              <w:t xml:space="preserve">161936 </w:t>
            </w:r>
          </w:p>
        </w:tc>
      </w:tr>
    </w:tbl>
    <w:p w:rsidR="008E7846" w:rsidRDefault="008E7846" w:rsidP="00404B47">
      <w:pPr>
        <w:pStyle w:val="Heading3"/>
      </w:pPr>
      <w:bookmarkStart w:id="7" w:name="_Toc247691503"/>
      <w:bookmarkStart w:id="8" w:name="_Toc314842484"/>
      <w:bookmarkStart w:id="9" w:name="_Toc368490573"/>
      <w:r>
        <w:t>Product background</w:t>
      </w:r>
      <w:bookmarkEnd w:id="7"/>
      <w:bookmarkEnd w:id="8"/>
      <w:bookmarkEnd w:id="9"/>
    </w:p>
    <w:p w:rsidR="00E24649" w:rsidRPr="00E24649" w:rsidRDefault="00E24649" w:rsidP="00404B47">
      <w:r w:rsidRPr="00E24649">
        <w:t xml:space="preserve">Daivobet 50/500 gel is a fixed combination </w:t>
      </w:r>
      <w:r w:rsidR="001216D3">
        <w:t xml:space="preserve">gel consisting of </w:t>
      </w:r>
      <w:r w:rsidRPr="00E24649">
        <w:t>calcipotriol 50</w:t>
      </w:r>
      <w:r>
        <w:t xml:space="preserve"> µg/g and betamethasone </w:t>
      </w:r>
      <w:r w:rsidRPr="00E24649">
        <w:t>5</w:t>
      </w:r>
      <w:r w:rsidR="001216D3">
        <w:t>00 </w:t>
      </w:r>
      <w:r>
        <w:t>µ</w:t>
      </w:r>
      <w:r w:rsidRPr="00E24649">
        <w:t xml:space="preserve">g/g (as dipropionate). Calcipotriol is a vitamin D analogue which inhibits </w:t>
      </w:r>
      <w:proofErr w:type="spellStart"/>
      <w:r w:rsidRPr="00E24649">
        <w:t>hyperproliferation</w:t>
      </w:r>
      <w:proofErr w:type="spellEnd"/>
      <w:r w:rsidRPr="00E24649">
        <w:t xml:space="preserve"> and abnormal differentiation of </w:t>
      </w:r>
      <w:proofErr w:type="spellStart"/>
      <w:r w:rsidRPr="00E24649">
        <w:t>keratinocytes</w:t>
      </w:r>
      <w:proofErr w:type="spellEnd"/>
      <w:r w:rsidRPr="00E24649">
        <w:t xml:space="preserve"> by binding to the vitamin D receptor. Betamethasone dipropionate is a topical corticosteroid which has effects on gene transcription resulting in inhibition of inflammation, proliferation and immunologic responses.</w:t>
      </w:r>
    </w:p>
    <w:p w:rsidR="00E24649" w:rsidRDefault="00E24649" w:rsidP="00404B47">
      <w:r w:rsidRPr="00E24649">
        <w:t>Daivobet 50/500 gel</w:t>
      </w:r>
      <w:r>
        <w:t xml:space="preserve"> was registered in Australia in 2010 </w:t>
      </w:r>
      <w:r w:rsidRPr="00E24649">
        <w:rPr>
          <w:i/>
        </w:rPr>
        <w:t>for the topical treatment of scalp psoriasis</w:t>
      </w:r>
      <w:r w:rsidRPr="00E24649">
        <w:t>.</w:t>
      </w:r>
      <w:r>
        <w:t xml:space="preserve"> This AusPAR described the application by Leo </w:t>
      </w:r>
      <w:proofErr w:type="spellStart"/>
      <w:r>
        <w:t>Pharma</w:t>
      </w:r>
      <w:proofErr w:type="spellEnd"/>
      <w:r>
        <w:t xml:space="preserve"> Pty Ltd (the sponsor) to extend the approved indications to include the following:</w:t>
      </w:r>
    </w:p>
    <w:p w:rsidR="00E24649" w:rsidRPr="00404B47" w:rsidRDefault="00E24649" w:rsidP="00404B47">
      <w:pPr>
        <w:ind w:left="720"/>
        <w:rPr>
          <w:i/>
        </w:rPr>
      </w:pPr>
      <w:r w:rsidRPr="00404B47">
        <w:rPr>
          <w:i/>
        </w:rPr>
        <w:t>“Daivobet gel is indicated for the topical treatment of body and scalp psoriasis”.</w:t>
      </w:r>
    </w:p>
    <w:p w:rsidR="00F305F7" w:rsidRPr="00F305F7" w:rsidRDefault="00F305F7" w:rsidP="00404B47">
      <w:r>
        <w:t>An ointment formulation (</w:t>
      </w:r>
      <w:r w:rsidRPr="00F305F7">
        <w:t xml:space="preserve">Daivobet </w:t>
      </w:r>
      <w:r>
        <w:t xml:space="preserve">50/500 </w:t>
      </w:r>
      <w:r w:rsidRPr="00F305F7">
        <w:t>ointment</w:t>
      </w:r>
      <w:r>
        <w:t xml:space="preserve">; sponsor, Leo </w:t>
      </w:r>
      <w:proofErr w:type="spellStart"/>
      <w:r>
        <w:t>Pharma</w:t>
      </w:r>
      <w:proofErr w:type="spellEnd"/>
      <w:r>
        <w:t>)</w:t>
      </w:r>
      <w:r w:rsidRPr="00F305F7">
        <w:t xml:space="preserve"> </w:t>
      </w:r>
      <w:r>
        <w:t xml:space="preserve">containing </w:t>
      </w:r>
      <w:proofErr w:type="spellStart"/>
      <w:r w:rsidRPr="00F305F7">
        <w:t>calcipotriol</w:t>
      </w:r>
      <w:proofErr w:type="spellEnd"/>
      <w:r w:rsidRPr="00F305F7">
        <w:t xml:space="preserve"> 50 µg/g and betamethasone 500 µg/g (as dipropionate)</w:t>
      </w:r>
      <w:r>
        <w:t xml:space="preserve"> has been registered in Australia since 2004, for </w:t>
      </w:r>
      <w:r w:rsidRPr="00F305F7">
        <w:rPr>
          <w:i/>
        </w:rPr>
        <w:t>the once daily topical treatment of plaque-type psoriasis vulgaris amenable to topical therapy</w:t>
      </w:r>
      <w:r w:rsidRPr="00F305F7">
        <w:t>.</w:t>
      </w:r>
    </w:p>
    <w:p w:rsidR="008E7846" w:rsidRPr="003F31A2" w:rsidRDefault="00386150" w:rsidP="00404B47">
      <w:pPr>
        <w:pStyle w:val="Heading3"/>
      </w:pPr>
      <w:bookmarkStart w:id="10" w:name="_Toc314842485"/>
      <w:bookmarkStart w:id="11" w:name="_Toc247691504"/>
      <w:bookmarkStart w:id="12" w:name="_Toc368490574"/>
      <w:r>
        <w:t>Regulatory s</w:t>
      </w:r>
      <w:r w:rsidR="008E7846">
        <w:t>tatus</w:t>
      </w:r>
      <w:bookmarkEnd w:id="10"/>
      <w:bookmarkEnd w:id="11"/>
      <w:bookmarkEnd w:id="12"/>
    </w:p>
    <w:p w:rsidR="008E7846" w:rsidRDefault="008E7846" w:rsidP="00404B47">
      <w:r>
        <w:t xml:space="preserve">The product received </w:t>
      </w:r>
      <w:r w:rsidR="000966DD">
        <w:t xml:space="preserve">registration on the Australian Register of Therapeutic Goods on 22 July 2010. </w:t>
      </w:r>
      <w:r w:rsidR="00350C57">
        <w:t>At the time this application was considered by TGA, a similar application (gel formulation for non-scalp areas) had</w:t>
      </w:r>
      <w:r w:rsidRPr="00C27667">
        <w:t xml:space="preserve"> been </w:t>
      </w:r>
      <w:r w:rsidR="00350C57">
        <w:t xml:space="preserve">approved in several overseas countries, including the EU and USA. </w:t>
      </w:r>
    </w:p>
    <w:p w:rsidR="008E7846" w:rsidRDefault="008E7846" w:rsidP="00404B47">
      <w:pPr>
        <w:pStyle w:val="Heading3"/>
      </w:pPr>
      <w:bookmarkStart w:id="13" w:name="_Toc247691505"/>
      <w:bookmarkStart w:id="14" w:name="_Toc314842486"/>
      <w:bookmarkStart w:id="15" w:name="_Toc368490575"/>
      <w:r>
        <w:t>Product Information</w:t>
      </w:r>
      <w:bookmarkEnd w:id="13"/>
      <w:bookmarkEnd w:id="14"/>
      <w:bookmarkEnd w:id="15"/>
    </w:p>
    <w:p w:rsidR="008E7846" w:rsidRDefault="008E7846" w:rsidP="00404B47">
      <w:r>
        <w:t>The approved Product Information (PI) current at the time this AusPAR was prepared can be found as Attachment 1.</w:t>
      </w:r>
      <w:bookmarkStart w:id="16" w:name="_Toc247691506"/>
      <w:bookmarkStart w:id="17" w:name="_Toc314842487"/>
    </w:p>
    <w:p w:rsidR="008E7846" w:rsidRPr="003602A9" w:rsidRDefault="008E7846" w:rsidP="00404B47">
      <w:pPr>
        <w:pStyle w:val="Heading2"/>
      </w:pPr>
      <w:bookmarkStart w:id="18" w:name="_Toc368490576"/>
      <w:r>
        <w:t>II. Quality</w:t>
      </w:r>
      <w:bookmarkEnd w:id="1"/>
      <w:r>
        <w:t xml:space="preserve"> findings</w:t>
      </w:r>
      <w:bookmarkEnd w:id="16"/>
      <w:bookmarkEnd w:id="17"/>
      <w:bookmarkEnd w:id="18"/>
    </w:p>
    <w:p w:rsidR="008E7846" w:rsidRDefault="008E7846" w:rsidP="00404B47">
      <w:r>
        <w:t>There was no requirement for a quality evaluation in a submission of this type.</w:t>
      </w:r>
    </w:p>
    <w:p w:rsidR="008E7846" w:rsidRDefault="008E7846" w:rsidP="00404B47">
      <w:pPr>
        <w:pStyle w:val="Heading2"/>
      </w:pPr>
      <w:bookmarkStart w:id="19" w:name="_Toc196046439"/>
      <w:bookmarkStart w:id="20" w:name="_Toc247691510"/>
      <w:bookmarkStart w:id="21" w:name="_Toc314842494"/>
      <w:bookmarkStart w:id="22" w:name="_Toc368490577"/>
      <w:r>
        <w:t>III. Nonclinical</w:t>
      </w:r>
      <w:bookmarkEnd w:id="19"/>
      <w:r>
        <w:t xml:space="preserve"> findings</w:t>
      </w:r>
      <w:bookmarkEnd w:id="20"/>
      <w:bookmarkEnd w:id="21"/>
      <w:bookmarkEnd w:id="22"/>
    </w:p>
    <w:p w:rsidR="008E7846" w:rsidRDefault="008E7846" w:rsidP="00404B47">
      <w:r>
        <w:t>There was no requirement for a nonclinical evaluation in a submission of this type.</w:t>
      </w:r>
    </w:p>
    <w:p w:rsidR="008E7846" w:rsidRPr="00254787" w:rsidRDefault="008E7846" w:rsidP="00404B47">
      <w:pPr>
        <w:pStyle w:val="Heading2"/>
      </w:pPr>
      <w:bookmarkStart w:id="23" w:name="_Toc196046462"/>
      <w:bookmarkStart w:id="24" w:name="_Toc247691516"/>
      <w:bookmarkStart w:id="25" w:name="_Toc314842500"/>
      <w:bookmarkStart w:id="26" w:name="_Toc368490578"/>
      <w:bookmarkStart w:id="27" w:name="_Toc163441353"/>
      <w:bookmarkStart w:id="28" w:name="_Toc163441348"/>
      <w:r>
        <w:t xml:space="preserve">IV. </w:t>
      </w:r>
      <w:r w:rsidRPr="00254787">
        <w:t>Clinical</w:t>
      </w:r>
      <w:bookmarkEnd w:id="23"/>
      <w:r>
        <w:t xml:space="preserve"> </w:t>
      </w:r>
      <w:r w:rsidR="003A7F6C">
        <w:t>f</w:t>
      </w:r>
      <w:r>
        <w:t>indings</w:t>
      </w:r>
      <w:bookmarkEnd w:id="24"/>
      <w:bookmarkEnd w:id="25"/>
      <w:bookmarkEnd w:id="26"/>
    </w:p>
    <w:p w:rsidR="00C80137" w:rsidRPr="00350C57" w:rsidRDefault="00C80137" w:rsidP="00404B47">
      <w:bookmarkStart w:id="29" w:name="_Toc196046463"/>
      <w:r w:rsidRPr="00350C57">
        <w:t>A summary of the clinical findings is presented in this section. Further details of these clinical findings can be found in Attachment 2.</w:t>
      </w:r>
    </w:p>
    <w:p w:rsidR="008E7846" w:rsidRDefault="008E7846" w:rsidP="00404B47">
      <w:pPr>
        <w:pStyle w:val="Heading3"/>
      </w:pPr>
      <w:bookmarkStart w:id="30" w:name="_Toc247691517"/>
      <w:bookmarkStart w:id="31" w:name="_Toc314842501"/>
      <w:bookmarkStart w:id="32" w:name="_Toc368490579"/>
      <w:r w:rsidRPr="00254787">
        <w:t>Introduction</w:t>
      </w:r>
      <w:bookmarkEnd w:id="29"/>
      <w:bookmarkEnd w:id="30"/>
      <w:bookmarkEnd w:id="31"/>
      <w:bookmarkEnd w:id="32"/>
    </w:p>
    <w:p w:rsidR="00D005E7" w:rsidRPr="00D005E7" w:rsidRDefault="00D005E7" w:rsidP="00404B47">
      <w:pPr>
        <w:pStyle w:val="Heading4"/>
      </w:pPr>
      <w:bookmarkStart w:id="33" w:name="_Toc361905198"/>
      <w:r w:rsidRPr="00D005E7">
        <w:t>Definitions</w:t>
      </w:r>
      <w:bookmarkEnd w:id="33"/>
      <w:r>
        <w:t xml:space="preserve"> used in clinical trials</w:t>
      </w:r>
    </w:p>
    <w:p w:rsidR="00D005E7" w:rsidRPr="00D005E7" w:rsidRDefault="00404B47" w:rsidP="00404B47">
      <w:pPr>
        <w:pStyle w:val="Heading5"/>
      </w:pPr>
      <w:r>
        <w:t>Skin t</w:t>
      </w:r>
      <w:r w:rsidR="00D005E7" w:rsidRPr="00D005E7">
        <w:t>ype</w:t>
      </w:r>
    </w:p>
    <w:p w:rsidR="00D005E7" w:rsidRDefault="00D005E7" w:rsidP="00404B47">
      <w:r w:rsidRPr="00D005E7">
        <w:t>The skin type of the subjects was recorded using the following classification:</w:t>
      </w:r>
    </w:p>
    <w:p w:rsidR="00D005E7" w:rsidRPr="00D005E7" w:rsidRDefault="00D005E7" w:rsidP="00404B47">
      <w:pPr>
        <w:pStyle w:val="TableTitle"/>
      </w:pPr>
      <w:r w:rsidRPr="00D005E7">
        <w:t xml:space="preserve">Table </w:t>
      </w:r>
      <w:r w:rsidR="006C2B37">
        <w:t>1</w:t>
      </w:r>
      <w:r w:rsidRPr="00D005E7">
        <w:t>.</w:t>
      </w:r>
      <w:r>
        <w:t xml:space="preserve"> Skin type classification system</w:t>
      </w:r>
    </w:p>
    <w:tbl>
      <w:tblPr>
        <w:tblStyle w:val="TableTGAblue"/>
        <w:tblW w:w="0" w:type="auto"/>
        <w:tblInd w:w="108" w:type="dxa"/>
        <w:tblLook w:val="04A0"/>
      </w:tblPr>
      <w:tblGrid>
        <w:gridCol w:w="1016"/>
        <w:gridCol w:w="2017"/>
        <w:gridCol w:w="4928"/>
      </w:tblGrid>
      <w:tr w:rsidR="00D005E7" w:rsidRPr="00001249" w:rsidTr="001216D3">
        <w:trPr>
          <w:cnfStyle w:val="100000000000"/>
          <w:cantSplit/>
          <w:tblHeader/>
        </w:trPr>
        <w:tc>
          <w:tcPr>
            <w:tcW w:w="993" w:type="dxa"/>
            <w:hideMark/>
          </w:tcPr>
          <w:p w:rsidR="00D005E7" w:rsidRPr="00001249" w:rsidRDefault="00D005E7" w:rsidP="00404B47">
            <w:pPr>
              <w:rPr>
                <w:sz w:val="20"/>
                <w:szCs w:val="20"/>
              </w:rPr>
            </w:pPr>
            <w:r w:rsidRPr="00001249">
              <w:rPr>
                <w:sz w:val="20"/>
                <w:szCs w:val="20"/>
              </w:rPr>
              <w:t>Skin Type</w:t>
            </w:r>
          </w:p>
        </w:tc>
        <w:tc>
          <w:tcPr>
            <w:tcW w:w="2017" w:type="dxa"/>
            <w:hideMark/>
          </w:tcPr>
          <w:p w:rsidR="00D005E7" w:rsidRPr="00001249" w:rsidRDefault="00D005E7" w:rsidP="00404B47">
            <w:pPr>
              <w:rPr>
                <w:sz w:val="20"/>
                <w:szCs w:val="20"/>
              </w:rPr>
            </w:pPr>
            <w:r w:rsidRPr="00001249">
              <w:rPr>
                <w:sz w:val="20"/>
                <w:szCs w:val="20"/>
              </w:rPr>
              <w:t>Skin Colour</w:t>
            </w:r>
          </w:p>
          <w:p w:rsidR="00D005E7" w:rsidRPr="00001249" w:rsidRDefault="00D005E7" w:rsidP="00404B47">
            <w:pPr>
              <w:rPr>
                <w:sz w:val="20"/>
                <w:szCs w:val="20"/>
              </w:rPr>
            </w:pPr>
            <w:r w:rsidRPr="00001249">
              <w:rPr>
                <w:sz w:val="20"/>
                <w:szCs w:val="20"/>
              </w:rPr>
              <w:t>(unexposed skin)</w:t>
            </w:r>
          </w:p>
        </w:tc>
        <w:tc>
          <w:tcPr>
            <w:tcW w:w="4928" w:type="dxa"/>
            <w:hideMark/>
          </w:tcPr>
          <w:p w:rsidR="00D005E7" w:rsidRPr="00001249" w:rsidRDefault="00D005E7" w:rsidP="00404B47">
            <w:pPr>
              <w:rPr>
                <w:sz w:val="20"/>
                <w:szCs w:val="20"/>
              </w:rPr>
            </w:pPr>
            <w:r w:rsidRPr="00001249">
              <w:rPr>
                <w:sz w:val="20"/>
                <w:szCs w:val="20"/>
              </w:rPr>
              <w:t>History -(to first 30 to 45 minutes of sun exposure after a winter season of no sun exposure)</w:t>
            </w:r>
          </w:p>
        </w:tc>
      </w:tr>
      <w:tr w:rsidR="00D005E7" w:rsidRPr="00001249" w:rsidTr="001216D3">
        <w:tc>
          <w:tcPr>
            <w:tcW w:w="993" w:type="dxa"/>
            <w:hideMark/>
          </w:tcPr>
          <w:p w:rsidR="00D005E7" w:rsidRPr="00001249" w:rsidRDefault="00D005E7" w:rsidP="00404B47">
            <w:pPr>
              <w:rPr>
                <w:sz w:val="20"/>
                <w:szCs w:val="20"/>
              </w:rPr>
            </w:pPr>
            <w:r w:rsidRPr="00001249">
              <w:rPr>
                <w:sz w:val="20"/>
                <w:szCs w:val="20"/>
              </w:rPr>
              <w:t>I</w:t>
            </w:r>
          </w:p>
        </w:tc>
        <w:tc>
          <w:tcPr>
            <w:tcW w:w="2017" w:type="dxa"/>
            <w:hideMark/>
          </w:tcPr>
          <w:p w:rsidR="00D005E7" w:rsidRPr="00001249" w:rsidRDefault="00D005E7" w:rsidP="00404B47">
            <w:pPr>
              <w:rPr>
                <w:sz w:val="20"/>
                <w:szCs w:val="20"/>
              </w:rPr>
            </w:pPr>
            <w:r w:rsidRPr="00001249">
              <w:rPr>
                <w:sz w:val="20"/>
                <w:szCs w:val="20"/>
              </w:rPr>
              <w:t>White</w:t>
            </w:r>
          </w:p>
        </w:tc>
        <w:tc>
          <w:tcPr>
            <w:tcW w:w="4928" w:type="dxa"/>
            <w:hideMark/>
          </w:tcPr>
          <w:p w:rsidR="00D005E7" w:rsidRPr="00001249" w:rsidRDefault="00D005E7" w:rsidP="00404B47">
            <w:pPr>
              <w:rPr>
                <w:sz w:val="20"/>
                <w:szCs w:val="20"/>
              </w:rPr>
            </w:pPr>
            <w:r w:rsidRPr="00001249">
              <w:rPr>
                <w:sz w:val="20"/>
                <w:szCs w:val="20"/>
              </w:rPr>
              <w:t>Always burns easily; never tans</w:t>
            </w:r>
          </w:p>
        </w:tc>
      </w:tr>
      <w:tr w:rsidR="00D005E7" w:rsidRPr="00001249" w:rsidTr="001216D3">
        <w:tc>
          <w:tcPr>
            <w:tcW w:w="993" w:type="dxa"/>
            <w:hideMark/>
          </w:tcPr>
          <w:p w:rsidR="00D005E7" w:rsidRPr="00001249" w:rsidRDefault="00D005E7" w:rsidP="00404B47">
            <w:pPr>
              <w:rPr>
                <w:sz w:val="20"/>
                <w:szCs w:val="20"/>
              </w:rPr>
            </w:pPr>
            <w:r w:rsidRPr="00001249">
              <w:rPr>
                <w:sz w:val="20"/>
                <w:szCs w:val="20"/>
              </w:rPr>
              <w:t>II</w:t>
            </w:r>
          </w:p>
        </w:tc>
        <w:tc>
          <w:tcPr>
            <w:tcW w:w="2017" w:type="dxa"/>
            <w:hideMark/>
          </w:tcPr>
          <w:p w:rsidR="00D005E7" w:rsidRPr="00001249" w:rsidRDefault="00D005E7" w:rsidP="00404B47">
            <w:pPr>
              <w:rPr>
                <w:sz w:val="20"/>
                <w:szCs w:val="20"/>
              </w:rPr>
            </w:pPr>
            <w:r w:rsidRPr="00001249">
              <w:rPr>
                <w:sz w:val="20"/>
                <w:szCs w:val="20"/>
              </w:rPr>
              <w:t>White</w:t>
            </w:r>
          </w:p>
        </w:tc>
        <w:tc>
          <w:tcPr>
            <w:tcW w:w="4928" w:type="dxa"/>
            <w:hideMark/>
          </w:tcPr>
          <w:p w:rsidR="00D005E7" w:rsidRPr="00001249" w:rsidRDefault="00D005E7" w:rsidP="00404B47">
            <w:pPr>
              <w:rPr>
                <w:sz w:val="20"/>
                <w:szCs w:val="20"/>
              </w:rPr>
            </w:pPr>
            <w:r w:rsidRPr="00001249">
              <w:rPr>
                <w:sz w:val="20"/>
                <w:szCs w:val="20"/>
              </w:rPr>
              <w:t>Always burns easily; tans minimally</w:t>
            </w:r>
          </w:p>
        </w:tc>
      </w:tr>
      <w:tr w:rsidR="00D005E7" w:rsidRPr="00001249" w:rsidTr="001216D3">
        <w:tc>
          <w:tcPr>
            <w:tcW w:w="993" w:type="dxa"/>
            <w:hideMark/>
          </w:tcPr>
          <w:p w:rsidR="00D005E7" w:rsidRPr="00001249" w:rsidRDefault="00D005E7" w:rsidP="00404B47">
            <w:pPr>
              <w:rPr>
                <w:sz w:val="20"/>
                <w:szCs w:val="20"/>
              </w:rPr>
            </w:pPr>
            <w:r w:rsidRPr="00001249">
              <w:rPr>
                <w:sz w:val="20"/>
                <w:szCs w:val="20"/>
              </w:rPr>
              <w:t>III</w:t>
            </w:r>
          </w:p>
        </w:tc>
        <w:tc>
          <w:tcPr>
            <w:tcW w:w="2017" w:type="dxa"/>
            <w:hideMark/>
          </w:tcPr>
          <w:p w:rsidR="00D005E7" w:rsidRPr="00001249" w:rsidRDefault="00D005E7" w:rsidP="00404B47">
            <w:pPr>
              <w:rPr>
                <w:sz w:val="20"/>
                <w:szCs w:val="20"/>
              </w:rPr>
            </w:pPr>
            <w:r w:rsidRPr="00001249">
              <w:rPr>
                <w:sz w:val="20"/>
                <w:szCs w:val="20"/>
              </w:rPr>
              <w:t>White</w:t>
            </w:r>
          </w:p>
        </w:tc>
        <w:tc>
          <w:tcPr>
            <w:tcW w:w="4928" w:type="dxa"/>
            <w:hideMark/>
          </w:tcPr>
          <w:p w:rsidR="00D005E7" w:rsidRPr="00001249" w:rsidRDefault="00D005E7" w:rsidP="00404B47">
            <w:pPr>
              <w:rPr>
                <w:sz w:val="20"/>
                <w:szCs w:val="20"/>
              </w:rPr>
            </w:pPr>
            <w:r w:rsidRPr="00001249">
              <w:rPr>
                <w:sz w:val="20"/>
                <w:szCs w:val="20"/>
              </w:rPr>
              <w:t>Burns moderately; tans gradually (light brown)</w:t>
            </w:r>
          </w:p>
        </w:tc>
      </w:tr>
      <w:tr w:rsidR="00D005E7" w:rsidRPr="00001249" w:rsidTr="001216D3">
        <w:tc>
          <w:tcPr>
            <w:tcW w:w="993" w:type="dxa"/>
            <w:hideMark/>
          </w:tcPr>
          <w:p w:rsidR="00D005E7" w:rsidRPr="00001249" w:rsidRDefault="00D005E7" w:rsidP="00404B47">
            <w:pPr>
              <w:rPr>
                <w:sz w:val="20"/>
                <w:szCs w:val="20"/>
              </w:rPr>
            </w:pPr>
            <w:r w:rsidRPr="00001249">
              <w:rPr>
                <w:sz w:val="20"/>
                <w:szCs w:val="20"/>
              </w:rPr>
              <w:t>IV</w:t>
            </w:r>
          </w:p>
        </w:tc>
        <w:tc>
          <w:tcPr>
            <w:tcW w:w="2017" w:type="dxa"/>
            <w:hideMark/>
          </w:tcPr>
          <w:p w:rsidR="00D005E7" w:rsidRPr="00001249" w:rsidRDefault="00D005E7" w:rsidP="00404B47">
            <w:pPr>
              <w:rPr>
                <w:sz w:val="20"/>
                <w:szCs w:val="20"/>
              </w:rPr>
            </w:pPr>
            <w:r w:rsidRPr="00001249">
              <w:rPr>
                <w:sz w:val="20"/>
                <w:szCs w:val="20"/>
              </w:rPr>
              <w:t>White</w:t>
            </w:r>
          </w:p>
        </w:tc>
        <w:tc>
          <w:tcPr>
            <w:tcW w:w="4928" w:type="dxa"/>
            <w:hideMark/>
          </w:tcPr>
          <w:p w:rsidR="00D005E7" w:rsidRPr="00001249" w:rsidRDefault="00D005E7" w:rsidP="00404B47">
            <w:pPr>
              <w:rPr>
                <w:sz w:val="20"/>
                <w:szCs w:val="20"/>
              </w:rPr>
            </w:pPr>
            <w:r w:rsidRPr="00001249">
              <w:rPr>
                <w:sz w:val="20"/>
                <w:szCs w:val="20"/>
              </w:rPr>
              <w:t>Burns minimally; always tans well (moderate brown)</w:t>
            </w:r>
          </w:p>
        </w:tc>
      </w:tr>
      <w:tr w:rsidR="00D005E7" w:rsidRPr="00001249" w:rsidTr="001216D3">
        <w:tc>
          <w:tcPr>
            <w:tcW w:w="993" w:type="dxa"/>
            <w:hideMark/>
          </w:tcPr>
          <w:p w:rsidR="00D005E7" w:rsidRPr="00001249" w:rsidRDefault="00D005E7" w:rsidP="00404B47">
            <w:pPr>
              <w:rPr>
                <w:sz w:val="20"/>
                <w:szCs w:val="20"/>
              </w:rPr>
            </w:pPr>
            <w:r w:rsidRPr="00001249">
              <w:rPr>
                <w:sz w:val="20"/>
                <w:szCs w:val="20"/>
              </w:rPr>
              <w:t>V</w:t>
            </w:r>
          </w:p>
        </w:tc>
        <w:tc>
          <w:tcPr>
            <w:tcW w:w="2017" w:type="dxa"/>
            <w:hideMark/>
          </w:tcPr>
          <w:p w:rsidR="00D005E7" w:rsidRPr="00001249" w:rsidRDefault="00D005E7" w:rsidP="00404B47">
            <w:pPr>
              <w:rPr>
                <w:sz w:val="20"/>
                <w:szCs w:val="20"/>
              </w:rPr>
            </w:pPr>
            <w:r w:rsidRPr="00001249">
              <w:rPr>
                <w:sz w:val="20"/>
                <w:szCs w:val="20"/>
              </w:rPr>
              <w:t>Brown</w:t>
            </w:r>
          </w:p>
        </w:tc>
        <w:tc>
          <w:tcPr>
            <w:tcW w:w="4928" w:type="dxa"/>
            <w:hideMark/>
          </w:tcPr>
          <w:p w:rsidR="00D005E7" w:rsidRPr="00001249" w:rsidRDefault="00D005E7" w:rsidP="00404B47">
            <w:pPr>
              <w:rPr>
                <w:sz w:val="20"/>
                <w:szCs w:val="20"/>
              </w:rPr>
            </w:pPr>
            <w:r w:rsidRPr="00001249">
              <w:rPr>
                <w:sz w:val="20"/>
                <w:szCs w:val="20"/>
              </w:rPr>
              <w:t>Rarely burns; tans profusely (dark brown)</w:t>
            </w:r>
          </w:p>
        </w:tc>
      </w:tr>
      <w:tr w:rsidR="00D005E7" w:rsidRPr="00001249" w:rsidTr="001216D3">
        <w:tc>
          <w:tcPr>
            <w:tcW w:w="993" w:type="dxa"/>
            <w:hideMark/>
          </w:tcPr>
          <w:p w:rsidR="00D005E7" w:rsidRPr="00001249" w:rsidRDefault="00D005E7" w:rsidP="00404B47">
            <w:pPr>
              <w:rPr>
                <w:sz w:val="20"/>
                <w:szCs w:val="20"/>
              </w:rPr>
            </w:pPr>
            <w:r w:rsidRPr="00001249">
              <w:rPr>
                <w:sz w:val="20"/>
                <w:szCs w:val="20"/>
              </w:rPr>
              <w:t>VI</w:t>
            </w:r>
          </w:p>
        </w:tc>
        <w:tc>
          <w:tcPr>
            <w:tcW w:w="2017" w:type="dxa"/>
            <w:hideMark/>
          </w:tcPr>
          <w:p w:rsidR="00D005E7" w:rsidRPr="00001249" w:rsidRDefault="00D005E7" w:rsidP="00404B47">
            <w:pPr>
              <w:rPr>
                <w:sz w:val="20"/>
                <w:szCs w:val="20"/>
              </w:rPr>
            </w:pPr>
            <w:r w:rsidRPr="00001249">
              <w:rPr>
                <w:sz w:val="20"/>
                <w:szCs w:val="20"/>
              </w:rPr>
              <w:t>Black</w:t>
            </w:r>
          </w:p>
        </w:tc>
        <w:tc>
          <w:tcPr>
            <w:tcW w:w="4928" w:type="dxa"/>
            <w:hideMark/>
          </w:tcPr>
          <w:p w:rsidR="00D005E7" w:rsidRPr="00001249" w:rsidRDefault="00D005E7" w:rsidP="00404B47">
            <w:pPr>
              <w:rPr>
                <w:sz w:val="20"/>
                <w:szCs w:val="20"/>
              </w:rPr>
            </w:pPr>
            <w:r w:rsidRPr="00001249">
              <w:rPr>
                <w:sz w:val="20"/>
                <w:szCs w:val="20"/>
              </w:rPr>
              <w:t>Never burns, deeply pigmented</w:t>
            </w:r>
          </w:p>
        </w:tc>
      </w:tr>
    </w:tbl>
    <w:p w:rsidR="00D005E7" w:rsidRPr="00D005E7" w:rsidRDefault="00D005E7" w:rsidP="00001249">
      <w:pPr>
        <w:pStyle w:val="Heading5"/>
      </w:pPr>
      <w:r w:rsidRPr="00D005E7">
        <w:t xml:space="preserve">Investigator’s </w:t>
      </w:r>
      <w:r w:rsidR="00353529">
        <w:t>g</w:t>
      </w:r>
      <w:r w:rsidRPr="00D005E7">
        <w:t xml:space="preserve">lobal </w:t>
      </w:r>
      <w:r w:rsidR="00353529">
        <w:t>a</w:t>
      </w:r>
      <w:r w:rsidRPr="00D005E7">
        <w:t>ssessment of disease severity (IGA)</w:t>
      </w:r>
    </w:p>
    <w:p w:rsidR="00D005E7" w:rsidRPr="00D005E7" w:rsidRDefault="00D005E7" w:rsidP="00001249">
      <w:r w:rsidRPr="00D005E7">
        <w:t xml:space="preserve">This assessment represents the </w:t>
      </w:r>
      <w:r w:rsidRPr="00D005E7">
        <w:rPr>
          <w:b/>
        </w:rPr>
        <w:t>average</w:t>
      </w:r>
      <w:r w:rsidRPr="00D005E7">
        <w:t xml:space="preserve"> lesion severity on the trunk, arm and legs. The assessment is based on the condition of the disease at the time of evaluation, and </w:t>
      </w:r>
      <w:r w:rsidRPr="00003E80">
        <w:rPr>
          <w:b/>
        </w:rPr>
        <w:t>not</w:t>
      </w:r>
      <w:r w:rsidRPr="00D005E7">
        <w:t xml:space="preserve"> in relation to the condition at the previous visit.</w:t>
      </w:r>
    </w:p>
    <w:p w:rsidR="00D005E7" w:rsidRDefault="00D005E7" w:rsidP="00001249">
      <w:r w:rsidRPr="00D005E7">
        <w:t>There was a slight difference between the scales used in the pivotal studies (</w:t>
      </w:r>
      <w:r w:rsidR="001216D3">
        <w:t xml:space="preserve">Studies </w:t>
      </w:r>
      <w:r w:rsidRPr="00D005E7">
        <w:t>LEO80185-G23 and LEO80185-G21) and the supportive comparative study (MBL0202INT). For the purposes of</w:t>
      </w:r>
      <w:r w:rsidR="001216D3">
        <w:t xml:space="preserve"> the pooled </w:t>
      </w:r>
      <w:r w:rsidRPr="00D005E7">
        <w:t>analysis these were considered comparable.</w:t>
      </w:r>
    </w:p>
    <w:p w:rsidR="00D005E7" w:rsidRPr="00D005E7" w:rsidRDefault="00D005E7" w:rsidP="00001249">
      <w:pPr>
        <w:pStyle w:val="TableTitle"/>
      </w:pPr>
      <w:r w:rsidRPr="00D005E7">
        <w:t>Table 2. Investigator’s Global Assessment (IGA)</w:t>
      </w:r>
      <w:r w:rsidR="00A64258">
        <w:t xml:space="preserve"> </w:t>
      </w:r>
      <w:r w:rsidRPr="00D005E7">
        <w:t xml:space="preserve">of disease severity </w:t>
      </w:r>
    </w:p>
    <w:tbl>
      <w:tblPr>
        <w:tblStyle w:val="TableTGAblue"/>
        <w:tblW w:w="7938" w:type="dxa"/>
        <w:tblInd w:w="108" w:type="dxa"/>
        <w:tblLook w:val="04A0"/>
      </w:tblPr>
      <w:tblGrid>
        <w:gridCol w:w="1462"/>
        <w:gridCol w:w="6476"/>
      </w:tblGrid>
      <w:tr w:rsidR="00D005E7" w:rsidRPr="00D005E7" w:rsidTr="00F305F7">
        <w:trPr>
          <w:cnfStyle w:val="100000000000"/>
          <w:cantSplit/>
          <w:tblHeader/>
        </w:trPr>
        <w:tc>
          <w:tcPr>
            <w:tcW w:w="1276" w:type="dxa"/>
            <w:hideMark/>
          </w:tcPr>
          <w:p w:rsidR="00D005E7" w:rsidRPr="00D005E7" w:rsidRDefault="00D005E7" w:rsidP="00001249">
            <w:r>
              <w:t>Term</w:t>
            </w:r>
          </w:p>
        </w:tc>
        <w:tc>
          <w:tcPr>
            <w:tcW w:w="6662" w:type="dxa"/>
            <w:hideMark/>
          </w:tcPr>
          <w:p w:rsidR="00D005E7" w:rsidRPr="00D005E7" w:rsidRDefault="00D005E7" w:rsidP="00001249">
            <w:r w:rsidRPr="00D005E7">
              <w:t>Description</w:t>
            </w:r>
          </w:p>
        </w:tc>
      </w:tr>
      <w:tr w:rsidR="00D005E7" w:rsidRPr="00D005E7" w:rsidTr="00F305F7">
        <w:trPr>
          <w:trHeight w:val="1361"/>
        </w:trPr>
        <w:tc>
          <w:tcPr>
            <w:tcW w:w="1276" w:type="dxa"/>
            <w:hideMark/>
          </w:tcPr>
          <w:p w:rsidR="00D005E7" w:rsidRPr="00D005E7" w:rsidRDefault="00D005E7" w:rsidP="00001249">
            <w:r w:rsidRPr="00D005E7">
              <w:t>Clear</w:t>
            </w:r>
          </w:p>
        </w:tc>
        <w:tc>
          <w:tcPr>
            <w:tcW w:w="6662" w:type="dxa"/>
            <w:hideMark/>
          </w:tcPr>
          <w:p w:rsidR="00D005E7" w:rsidRPr="00D005E7" w:rsidRDefault="00D005E7" w:rsidP="00001249">
            <w:r w:rsidRPr="00D005E7">
              <w:t xml:space="preserve">Plaque thickening = no elevation or thickening over normal skin </w:t>
            </w:r>
          </w:p>
          <w:p w:rsidR="00D005E7" w:rsidRPr="00D005E7" w:rsidRDefault="00D005E7" w:rsidP="00001249">
            <w:r w:rsidRPr="00D005E7">
              <w:t>Scaling = no evidence of scaling</w:t>
            </w:r>
          </w:p>
          <w:p w:rsidR="00D005E7" w:rsidRPr="00D005E7" w:rsidRDefault="00D005E7" w:rsidP="00001249">
            <w:r w:rsidRPr="00D005E7">
              <w:t xml:space="preserve">LEO80185-G23: Erythema = none (no residual red colouration but post-inflammatory </w:t>
            </w:r>
            <w:proofErr w:type="spellStart"/>
            <w:r w:rsidRPr="00D005E7">
              <w:t>hyperpigmentation</w:t>
            </w:r>
            <w:proofErr w:type="spellEnd"/>
            <w:r w:rsidRPr="00D005E7">
              <w:t xml:space="preserve"> may be present)</w:t>
            </w:r>
          </w:p>
          <w:p w:rsidR="00D005E7" w:rsidRPr="00D005E7" w:rsidRDefault="00D005E7" w:rsidP="00001249">
            <w:r w:rsidRPr="00D005E7">
              <w:t xml:space="preserve">LEO80185-G21: Erythema = none or </w:t>
            </w:r>
            <w:proofErr w:type="spellStart"/>
            <w:r w:rsidRPr="00D005E7">
              <w:t>hyperpigmentation</w:t>
            </w:r>
            <w:proofErr w:type="spellEnd"/>
            <w:r w:rsidRPr="00D005E7">
              <w:t xml:space="preserve"> or residual red colouration.</w:t>
            </w:r>
          </w:p>
          <w:p w:rsidR="00D005E7" w:rsidRPr="00D005E7" w:rsidRDefault="00D005E7" w:rsidP="00001249">
            <w:r w:rsidRPr="00D005E7">
              <w:t>MBL0202INT: Erythema = none or slight (</w:t>
            </w:r>
            <w:proofErr w:type="spellStart"/>
            <w:r w:rsidRPr="00D005E7">
              <w:t>hyperpigmentation</w:t>
            </w:r>
            <w:proofErr w:type="spellEnd"/>
            <w:r w:rsidRPr="00D005E7">
              <w:t xml:space="preserve"> or residual red colouration)</w:t>
            </w:r>
          </w:p>
        </w:tc>
      </w:tr>
      <w:tr w:rsidR="00D005E7" w:rsidRPr="00D005E7" w:rsidTr="00F305F7">
        <w:trPr>
          <w:trHeight w:val="1032"/>
        </w:trPr>
        <w:tc>
          <w:tcPr>
            <w:tcW w:w="1276" w:type="dxa"/>
            <w:hideMark/>
          </w:tcPr>
          <w:p w:rsidR="00D005E7" w:rsidRPr="00D005E7" w:rsidRDefault="00D005E7" w:rsidP="00001249">
            <w:r w:rsidRPr="00D005E7">
              <w:t>Almost clear</w:t>
            </w:r>
          </w:p>
        </w:tc>
        <w:tc>
          <w:tcPr>
            <w:tcW w:w="6662" w:type="dxa"/>
            <w:hideMark/>
          </w:tcPr>
          <w:p w:rsidR="00D005E7" w:rsidRPr="00D005E7" w:rsidRDefault="00D005E7" w:rsidP="00001249">
            <w:r w:rsidRPr="00D005E7">
              <w:t>Plaque thickening = none or possible thickening but difficult to ascertain whether there is a slight elevation above normal skin level</w:t>
            </w:r>
          </w:p>
          <w:p w:rsidR="00D005E7" w:rsidRPr="00D005E7" w:rsidRDefault="00D005E7" w:rsidP="00001249">
            <w:r w:rsidRPr="00D005E7">
              <w:t>Scaling = none or residual surface dryness and scaling</w:t>
            </w:r>
          </w:p>
          <w:p w:rsidR="00D005E7" w:rsidRPr="00D005E7" w:rsidRDefault="00D005E7" w:rsidP="00001249">
            <w:r w:rsidRPr="00D005E7">
              <w:t>Erythema = light pink colouration</w:t>
            </w:r>
          </w:p>
          <w:p w:rsidR="00D005E7" w:rsidRPr="00D005E7" w:rsidRDefault="00D005E7" w:rsidP="00001249">
            <w:r w:rsidRPr="00D005E7">
              <w:t>MBL0202INT: Erythema: up to mild (up to light red or pink colouration)</w:t>
            </w:r>
          </w:p>
        </w:tc>
      </w:tr>
      <w:tr w:rsidR="00D005E7" w:rsidRPr="00D005E7" w:rsidTr="00F305F7">
        <w:trPr>
          <w:trHeight w:val="794"/>
        </w:trPr>
        <w:tc>
          <w:tcPr>
            <w:tcW w:w="1276" w:type="dxa"/>
            <w:hideMark/>
          </w:tcPr>
          <w:p w:rsidR="00D005E7" w:rsidRPr="00D005E7" w:rsidRDefault="00D005E7" w:rsidP="00001249">
            <w:r w:rsidRPr="00D005E7">
              <w:t>Mild</w:t>
            </w:r>
          </w:p>
        </w:tc>
        <w:tc>
          <w:tcPr>
            <w:tcW w:w="6662" w:type="dxa"/>
            <w:hideMark/>
          </w:tcPr>
          <w:p w:rsidR="00D005E7" w:rsidRPr="00D005E7" w:rsidRDefault="00D005E7" w:rsidP="00001249">
            <w:r w:rsidRPr="00D005E7">
              <w:t>Plaque thickening = slight but definite elevation</w:t>
            </w:r>
          </w:p>
          <w:p w:rsidR="00D005E7" w:rsidRPr="00D005E7" w:rsidRDefault="00D005E7" w:rsidP="00001249">
            <w:r w:rsidRPr="00D005E7">
              <w:t>Scaling = fine scales partially or mostly covering lesions</w:t>
            </w:r>
          </w:p>
          <w:p w:rsidR="00D005E7" w:rsidRPr="00D005E7" w:rsidRDefault="00D005E7" w:rsidP="00001249">
            <w:r w:rsidRPr="00D005E7">
              <w:t>Erythema = light red colouration</w:t>
            </w:r>
          </w:p>
          <w:p w:rsidR="00D005E7" w:rsidRPr="00D005E7" w:rsidRDefault="00D005E7" w:rsidP="00001249">
            <w:r w:rsidRPr="00D005E7">
              <w:t>MBL0202INT: Erythema = up to moderate (up to definite red colouration)</w:t>
            </w:r>
          </w:p>
        </w:tc>
      </w:tr>
      <w:tr w:rsidR="00D005E7" w:rsidRPr="00D005E7" w:rsidTr="0094746F">
        <w:trPr>
          <w:cantSplit/>
          <w:trHeight w:val="794"/>
        </w:trPr>
        <w:tc>
          <w:tcPr>
            <w:tcW w:w="1276" w:type="dxa"/>
            <w:hideMark/>
          </w:tcPr>
          <w:p w:rsidR="00D005E7" w:rsidRPr="00D005E7" w:rsidRDefault="00D005E7" w:rsidP="00001249">
            <w:r w:rsidRPr="00D005E7">
              <w:t>Moderate</w:t>
            </w:r>
          </w:p>
        </w:tc>
        <w:tc>
          <w:tcPr>
            <w:tcW w:w="6662" w:type="dxa"/>
            <w:hideMark/>
          </w:tcPr>
          <w:p w:rsidR="00D005E7" w:rsidRPr="00D005E7" w:rsidRDefault="00D005E7" w:rsidP="00001249">
            <w:r w:rsidRPr="00D005E7">
              <w:t>Plaque thickening = moderate elevation with rounded or sloped edges</w:t>
            </w:r>
          </w:p>
          <w:p w:rsidR="00D005E7" w:rsidRPr="00D005E7" w:rsidRDefault="00D005E7" w:rsidP="00001249">
            <w:r w:rsidRPr="00D005E7">
              <w:t>Scaling = most lesions at least partially covered</w:t>
            </w:r>
          </w:p>
          <w:p w:rsidR="00D005E7" w:rsidRPr="00D005E7" w:rsidRDefault="00D005E7" w:rsidP="00001249">
            <w:r w:rsidRPr="00D005E7">
              <w:t>Erythema = definite red colouration</w:t>
            </w:r>
          </w:p>
        </w:tc>
      </w:tr>
      <w:tr w:rsidR="00D005E7" w:rsidRPr="00D005E7" w:rsidTr="00F305F7">
        <w:trPr>
          <w:trHeight w:val="794"/>
        </w:trPr>
        <w:tc>
          <w:tcPr>
            <w:tcW w:w="1276" w:type="dxa"/>
            <w:hideMark/>
          </w:tcPr>
          <w:p w:rsidR="00D005E7" w:rsidRPr="00D005E7" w:rsidRDefault="00D005E7" w:rsidP="00001249">
            <w:r w:rsidRPr="00D005E7">
              <w:t>Severe</w:t>
            </w:r>
          </w:p>
        </w:tc>
        <w:tc>
          <w:tcPr>
            <w:tcW w:w="6662" w:type="dxa"/>
            <w:hideMark/>
          </w:tcPr>
          <w:p w:rsidR="00D005E7" w:rsidRPr="00D005E7" w:rsidRDefault="00D005E7" w:rsidP="00001249">
            <w:r w:rsidRPr="00D005E7">
              <w:t>Plaque thickening = marked elevation typically with hard or sharp edges</w:t>
            </w:r>
          </w:p>
          <w:p w:rsidR="00D005E7" w:rsidRPr="00D005E7" w:rsidRDefault="00D005E7" w:rsidP="00001249">
            <w:r w:rsidRPr="00D005E7">
              <w:t>Scaling = non-tenacious scale predominates, covering most or all of the lesions</w:t>
            </w:r>
          </w:p>
          <w:p w:rsidR="00D005E7" w:rsidRPr="00D005E7" w:rsidRDefault="00D005E7" w:rsidP="00001249">
            <w:r w:rsidRPr="00D005E7">
              <w:t>Erythema = very bright red colouration</w:t>
            </w:r>
          </w:p>
        </w:tc>
      </w:tr>
      <w:tr w:rsidR="00D005E7" w:rsidRPr="00D005E7" w:rsidTr="00F305F7">
        <w:trPr>
          <w:trHeight w:val="794"/>
        </w:trPr>
        <w:tc>
          <w:tcPr>
            <w:tcW w:w="1276" w:type="dxa"/>
            <w:hideMark/>
          </w:tcPr>
          <w:p w:rsidR="00D005E7" w:rsidRPr="00D005E7" w:rsidRDefault="00D005E7" w:rsidP="00001249">
            <w:r w:rsidRPr="00D005E7">
              <w:t>Very severe</w:t>
            </w:r>
          </w:p>
        </w:tc>
        <w:tc>
          <w:tcPr>
            <w:tcW w:w="6662" w:type="dxa"/>
            <w:hideMark/>
          </w:tcPr>
          <w:p w:rsidR="00D005E7" w:rsidRPr="00D005E7" w:rsidRDefault="00D005E7" w:rsidP="00001249">
            <w:r w:rsidRPr="00D005E7">
              <w:t>Plaque thickening = very marked elevation typically with hard or sharp edges</w:t>
            </w:r>
          </w:p>
          <w:p w:rsidR="00D005E7" w:rsidRPr="00D005E7" w:rsidRDefault="00D005E7" w:rsidP="00001249">
            <w:r w:rsidRPr="00D005E7">
              <w:t>Scaling = thick tenacious scale covers most or all of the lesions</w:t>
            </w:r>
          </w:p>
          <w:p w:rsidR="00D005E7" w:rsidRPr="00D005E7" w:rsidRDefault="00D005E7" w:rsidP="00001249">
            <w:r w:rsidRPr="00D005E7">
              <w:t>Erythema = extreme red colouration; deep red colouration</w:t>
            </w:r>
          </w:p>
        </w:tc>
      </w:tr>
    </w:tbl>
    <w:p w:rsidR="00D005E7" w:rsidRPr="00D005E7" w:rsidRDefault="00D005E7" w:rsidP="00001249">
      <w:pPr>
        <w:pStyle w:val="TableDescription"/>
      </w:pPr>
      <w:r w:rsidRPr="00D005E7">
        <w:rPr>
          <w:b/>
        </w:rPr>
        <w:t>‘Controlled disease’</w:t>
      </w:r>
      <w:r w:rsidRPr="00D005E7">
        <w:t xml:space="preserve"> = ‘clear’ or ‘almost clear’ according to IGA.</w:t>
      </w:r>
    </w:p>
    <w:p w:rsidR="00D005E7" w:rsidRPr="00D005E7" w:rsidRDefault="00D005E7" w:rsidP="00001249">
      <w:pPr>
        <w:pStyle w:val="Heading5"/>
      </w:pPr>
      <w:r w:rsidRPr="00D005E7">
        <w:t xml:space="preserve">Psoriasis Area and Severity Index (PASI) </w:t>
      </w:r>
    </w:p>
    <w:p w:rsidR="00D005E7" w:rsidRPr="00D005E7" w:rsidRDefault="00A64258" w:rsidP="00001249">
      <w:r w:rsidRPr="00A64258">
        <w:t xml:space="preserve">Psoriasis Area and Severity Index (PASI) </w:t>
      </w:r>
      <w:r w:rsidR="00D005E7" w:rsidRPr="00A64258">
        <w:t>is based on the investigator’s assessment of extent</w:t>
      </w:r>
      <w:r w:rsidR="00D005E7" w:rsidRPr="00D005E7">
        <w:t xml:space="preserve"> (E) and severity of the disease locally (on trunk, arms and legs) in terms of three clinical signs: redness (R), thickness (T) and </w:t>
      </w:r>
      <w:proofErr w:type="spellStart"/>
      <w:r w:rsidR="00D005E7" w:rsidRPr="00D005E7">
        <w:t>scaliness</w:t>
      </w:r>
      <w:proofErr w:type="spellEnd"/>
      <w:r w:rsidR="00D005E7" w:rsidRPr="00D005E7">
        <w:t xml:space="preserve"> (S). The subject was scored for each of the three areas: arms, trunk and legs and calculated using the following formula:</w:t>
      </w:r>
    </w:p>
    <w:p w:rsidR="00D005E7" w:rsidRPr="00D005E7" w:rsidRDefault="00D005E7" w:rsidP="00001249">
      <w:pPr>
        <w:pStyle w:val="ListBullet"/>
        <w:tabs>
          <w:tab w:val="left" w:pos="1276"/>
        </w:tabs>
      </w:pPr>
      <w:r w:rsidRPr="00D005E7">
        <w:t>Arms</w:t>
      </w:r>
      <w:r w:rsidRPr="00D005E7">
        <w:tab/>
        <w:t>0.2 (R + T + S)E = X</w:t>
      </w:r>
    </w:p>
    <w:p w:rsidR="00D005E7" w:rsidRPr="00D005E7" w:rsidRDefault="00D005E7" w:rsidP="00001249">
      <w:pPr>
        <w:pStyle w:val="ListBullet"/>
        <w:tabs>
          <w:tab w:val="left" w:pos="1276"/>
        </w:tabs>
      </w:pPr>
      <w:r w:rsidRPr="00D005E7">
        <w:t>Trunk</w:t>
      </w:r>
      <w:r w:rsidRPr="00D005E7">
        <w:tab/>
        <w:t>0.3 (R + T + S)E = Y</w:t>
      </w:r>
    </w:p>
    <w:p w:rsidR="00D005E7" w:rsidRPr="00D005E7" w:rsidRDefault="00D005E7" w:rsidP="00001249">
      <w:pPr>
        <w:pStyle w:val="ListBullet"/>
        <w:tabs>
          <w:tab w:val="left" w:pos="1276"/>
        </w:tabs>
      </w:pPr>
      <w:r w:rsidRPr="00D005E7">
        <w:t>Legs</w:t>
      </w:r>
      <w:r w:rsidRPr="00D005E7">
        <w:tab/>
        <w:t>0.4 (R + T + S)E = Z</w:t>
      </w:r>
    </w:p>
    <w:p w:rsidR="00D005E7" w:rsidRPr="00D005E7" w:rsidRDefault="00D005E7" w:rsidP="00001249">
      <w:r w:rsidRPr="00D005E7">
        <w:t>The sum of X + Y + Z gives the total PASI which can range from 0 to 64.8. The PASI used in both pivotal studies was modified to exclude assessment of the head, as study treatment was not used here.</w:t>
      </w:r>
    </w:p>
    <w:p w:rsidR="00D005E7" w:rsidRPr="00D005E7" w:rsidRDefault="00D005E7" w:rsidP="00001249">
      <w:r w:rsidRPr="00D005E7">
        <w:t>There was a minor difference between the studies in that the buttocks were to be included as part of the legs in the pivotal studies (LEO80185-G23 and LEO80185-G21) but as part of the trunk in the supportive comparative study (MBL0202INT).</w:t>
      </w:r>
    </w:p>
    <w:p w:rsidR="00D005E7" w:rsidRDefault="00D005E7" w:rsidP="00001249">
      <w:pPr>
        <w:pStyle w:val="Heading5"/>
      </w:pPr>
      <w:r w:rsidRPr="00D005E7">
        <w:t xml:space="preserve">Modified PASI </w:t>
      </w:r>
      <w:r w:rsidR="00353529">
        <w:t>s</w:t>
      </w:r>
      <w:r w:rsidRPr="00D005E7">
        <w:t>cale (excluding scalp, face and flexures)</w:t>
      </w:r>
    </w:p>
    <w:p w:rsidR="00D005E7" w:rsidRPr="00D005E7" w:rsidRDefault="001216D3" w:rsidP="00001249">
      <w:pPr>
        <w:pStyle w:val="TableTitle"/>
      </w:pPr>
      <w:r>
        <w:t xml:space="preserve">Table </w:t>
      </w:r>
      <w:r w:rsidR="006C2B37">
        <w:t>3</w:t>
      </w:r>
      <w:r w:rsidR="00D005E7">
        <w:t xml:space="preserve">. Modified </w:t>
      </w:r>
      <w:r w:rsidR="00D005E7" w:rsidRPr="00D005E7">
        <w:t>Psoriasis Area and Severity Index (PASI)</w:t>
      </w:r>
      <w:r w:rsidR="00D005E7">
        <w:t>: Extent</w:t>
      </w:r>
      <w:r w:rsidR="00D005E7" w:rsidRPr="00D005E7">
        <w:t xml:space="preserve"> </w:t>
      </w:r>
    </w:p>
    <w:tbl>
      <w:tblPr>
        <w:tblStyle w:val="TableTGAblue"/>
        <w:tblW w:w="0" w:type="auto"/>
        <w:tblInd w:w="392" w:type="dxa"/>
        <w:tblLook w:val="04A0"/>
      </w:tblPr>
      <w:tblGrid>
        <w:gridCol w:w="2726"/>
        <w:gridCol w:w="2726"/>
      </w:tblGrid>
      <w:tr w:rsidR="00F22ABA" w:rsidRPr="00D005E7" w:rsidTr="00001249">
        <w:trPr>
          <w:cnfStyle w:val="100000000000"/>
          <w:tblHeader/>
        </w:trPr>
        <w:tc>
          <w:tcPr>
            <w:tcW w:w="2726" w:type="dxa"/>
            <w:hideMark/>
          </w:tcPr>
          <w:p w:rsidR="00F22ABA" w:rsidRPr="00D005E7" w:rsidRDefault="00F22ABA" w:rsidP="00001249">
            <w:r w:rsidRPr="00D005E7">
              <w:t>Extent</w:t>
            </w:r>
          </w:p>
        </w:tc>
        <w:tc>
          <w:tcPr>
            <w:tcW w:w="2726" w:type="dxa"/>
          </w:tcPr>
          <w:p w:rsidR="00F22ABA" w:rsidRPr="00D005E7" w:rsidRDefault="00F22ABA" w:rsidP="00001249">
            <w:r w:rsidRPr="00F22ABA">
              <w:t>Extent</w:t>
            </w:r>
          </w:p>
        </w:tc>
      </w:tr>
      <w:tr w:rsidR="00F22ABA" w:rsidRPr="00D005E7" w:rsidTr="00404B47">
        <w:tc>
          <w:tcPr>
            <w:tcW w:w="2726" w:type="dxa"/>
            <w:hideMark/>
          </w:tcPr>
          <w:p w:rsidR="00F22ABA" w:rsidRPr="00D005E7" w:rsidRDefault="00F22ABA" w:rsidP="00001249">
            <w:r w:rsidRPr="00D005E7">
              <w:t>0 = non involvement</w:t>
            </w:r>
          </w:p>
        </w:tc>
        <w:tc>
          <w:tcPr>
            <w:tcW w:w="2726" w:type="dxa"/>
          </w:tcPr>
          <w:p w:rsidR="00F22ABA" w:rsidRPr="00D005E7" w:rsidRDefault="00F22ABA" w:rsidP="00001249">
            <w:r w:rsidRPr="00D005E7">
              <w:t>4 = 50-69%</w:t>
            </w:r>
          </w:p>
        </w:tc>
      </w:tr>
      <w:tr w:rsidR="00F22ABA" w:rsidRPr="00D005E7" w:rsidTr="00404B47">
        <w:tc>
          <w:tcPr>
            <w:tcW w:w="2726" w:type="dxa"/>
            <w:hideMark/>
          </w:tcPr>
          <w:p w:rsidR="00F22ABA" w:rsidRPr="00D005E7" w:rsidRDefault="00F22ABA" w:rsidP="00001249">
            <w:r w:rsidRPr="00D005E7">
              <w:t>1 =&lt;10%</w:t>
            </w:r>
          </w:p>
        </w:tc>
        <w:tc>
          <w:tcPr>
            <w:tcW w:w="2726" w:type="dxa"/>
          </w:tcPr>
          <w:p w:rsidR="00F22ABA" w:rsidRPr="00D005E7" w:rsidRDefault="00F22ABA" w:rsidP="00001249">
            <w:r w:rsidRPr="00D005E7">
              <w:t>5 = 70-89%</w:t>
            </w:r>
          </w:p>
        </w:tc>
      </w:tr>
      <w:tr w:rsidR="00F22ABA" w:rsidRPr="00D005E7" w:rsidTr="00404B47">
        <w:tc>
          <w:tcPr>
            <w:tcW w:w="2726" w:type="dxa"/>
            <w:hideMark/>
          </w:tcPr>
          <w:p w:rsidR="00F22ABA" w:rsidRPr="00D005E7" w:rsidRDefault="00F22ABA" w:rsidP="00001249">
            <w:r w:rsidRPr="00D005E7">
              <w:t>2 = 10-29%</w:t>
            </w:r>
          </w:p>
        </w:tc>
        <w:tc>
          <w:tcPr>
            <w:tcW w:w="2726" w:type="dxa"/>
          </w:tcPr>
          <w:p w:rsidR="00F22ABA" w:rsidRPr="00D005E7" w:rsidRDefault="00F22ABA" w:rsidP="00001249">
            <w:r w:rsidRPr="00D005E7">
              <w:t>6 = 90-100%</w:t>
            </w:r>
          </w:p>
        </w:tc>
      </w:tr>
      <w:tr w:rsidR="00F22ABA" w:rsidRPr="00D005E7" w:rsidTr="00404B47">
        <w:tc>
          <w:tcPr>
            <w:tcW w:w="2726" w:type="dxa"/>
            <w:hideMark/>
          </w:tcPr>
          <w:p w:rsidR="00F22ABA" w:rsidRPr="00D005E7" w:rsidRDefault="00F22ABA" w:rsidP="00001249">
            <w:r w:rsidRPr="00D005E7">
              <w:t>3 = 30-49%</w:t>
            </w:r>
          </w:p>
        </w:tc>
        <w:tc>
          <w:tcPr>
            <w:tcW w:w="2726" w:type="dxa"/>
          </w:tcPr>
          <w:p w:rsidR="00F22ABA" w:rsidRPr="00D005E7" w:rsidRDefault="00F22ABA" w:rsidP="00001249"/>
        </w:tc>
      </w:tr>
    </w:tbl>
    <w:p w:rsidR="00D005E7" w:rsidRPr="00D005E7" w:rsidRDefault="001216D3" w:rsidP="00001249">
      <w:pPr>
        <w:pStyle w:val="TableTitle"/>
      </w:pPr>
      <w:r>
        <w:t xml:space="preserve">Table </w:t>
      </w:r>
      <w:r w:rsidR="006C2B37">
        <w:t>4</w:t>
      </w:r>
      <w:r w:rsidR="00D005E7" w:rsidRPr="00D005E7">
        <w:t xml:space="preserve">. Modified Psoriasis Area and Severity Index (PASI): </w:t>
      </w:r>
      <w:r w:rsidR="00D005E7">
        <w:t>Severity</w:t>
      </w:r>
    </w:p>
    <w:tbl>
      <w:tblPr>
        <w:tblStyle w:val="TableTGAblue"/>
        <w:tblW w:w="0" w:type="auto"/>
        <w:tblLook w:val="04A0"/>
      </w:tblPr>
      <w:tblGrid>
        <w:gridCol w:w="2781"/>
        <w:gridCol w:w="3043"/>
        <w:gridCol w:w="2896"/>
      </w:tblGrid>
      <w:tr w:rsidR="00D005E7" w:rsidRPr="00D005E7" w:rsidTr="00D005E7">
        <w:trPr>
          <w:cnfStyle w:val="100000000000"/>
          <w:cantSplit/>
          <w:tblHeader/>
        </w:trPr>
        <w:tc>
          <w:tcPr>
            <w:tcW w:w="8720" w:type="dxa"/>
            <w:gridSpan w:val="3"/>
            <w:hideMark/>
          </w:tcPr>
          <w:p w:rsidR="00D005E7" w:rsidRPr="00D005E7" w:rsidRDefault="00D005E7" w:rsidP="00001249">
            <w:pPr>
              <w:jc w:val="center"/>
            </w:pPr>
            <w:r w:rsidRPr="00D005E7">
              <w:t>Severity</w:t>
            </w:r>
          </w:p>
        </w:tc>
      </w:tr>
      <w:tr w:rsidR="00D005E7" w:rsidRPr="00D005E7" w:rsidTr="00D005E7">
        <w:trPr>
          <w:cnfStyle w:val="100000000000"/>
          <w:cantSplit/>
          <w:tblHeader/>
        </w:trPr>
        <w:tc>
          <w:tcPr>
            <w:tcW w:w="2781" w:type="dxa"/>
            <w:hideMark/>
          </w:tcPr>
          <w:p w:rsidR="00D005E7" w:rsidRPr="00D005E7" w:rsidRDefault="00D005E7" w:rsidP="00001249">
            <w:pPr>
              <w:jc w:val="center"/>
            </w:pPr>
            <w:r w:rsidRPr="00D005E7">
              <w:t>Redness</w:t>
            </w:r>
          </w:p>
        </w:tc>
        <w:tc>
          <w:tcPr>
            <w:tcW w:w="3043" w:type="dxa"/>
            <w:hideMark/>
          </w:tcPr>
          <w:p w:rsidR="00D005E7" w:rsidRPr="00D005E7" w:rsidRDefault="00D005E7" w:rsidP="00001249">
            <w:pPr>
              <w:jc w:val="center"/>
            </w:pPr>
            <w:r w:rsidRPr="00D005E7">
              <w:t>Thickness</w:t>
            </w:r>
          </w:p>
        </w:tc>
        <w:tc>
          <w:tcPr>
            <w:tcW w:w="2896" w:type="dxa"/>
            <w:hideMark/>
          </w:tcPr>
          <w:p w:rsidR="00D005E7" w:rsidRPr="00D005E7" w:rsidRDefault="00D005E7" w:rsidP="00001249">
            <w:pPr>
              <w:jc w:val="center"/>
            </w:pPr>
            <w:proofErr w:type="spellStart"/>
            <w:r w:rsidRPr="00D005E7">
              <w:t>Scaliness</w:t>
            </w:r>
            <w:proofErr w:type="spellEnd"/>
          </w:p>
        </w:tc>
      </w:tr>
      <w:tr w:rsidR="00D005E7" w:rsidRPr="00D005E7" w:rsidTr="00D005E7">
        <w:trPr>
          <w:trHeight w:val="397"/>
        </w:trPr>
        <w:tc>
          <w:tcPr>
            <w:tcW w:w="2781" w:type="dxa"/>
            <w:hideMark/>
          </w:tcPr>
          <w:p w:rsidR="00D005E7" w:rsidRPr="00D005E7" w:rsidRDefault="00D005E7" w:rsidP="00001249">
            <w:r w:rsidRPr="00D005E7">
              <w:t>0 = none (no erythema)</w:t>
            </w:r>
          </w:p>
        </w:tc>
        <w:tc>
          <w:tcPr>
            <w:tcW w:w="3043" w:type="dxa"/>
            <w:hideMark/>
          </w:tcPr>
          <w:p w:rsidR="00D005E7" w:rsidRPr="00D005E7" w:rsidRDefault="00D005E7" w:rsidP="00001249">
            <w:r w:rsidRPr="00D005E7">
              <w:t>0 = none (no plaque elevation)</w:t>
            </w:r>
          </w:p>
        </w:tc>
        <w:tc>
          <w:tcPr>
            <w:tcW w:w="2896" w:type="dxa"/>
            <w:hideMark/>
          </w:tcPr>
          <w:p w:rsidR="00D005E7" w:rsidRPr="00D005E7" w:rsidRDefault="00D005E7" w:rsidP="00001249">
            <w:r w:rsidRPr="00D005E7">
              <w:t>0 = none (no scaling)</w:t>
            </w:r>
          </w:p>
        </w:tc>
      </w:tr>
      <w:tr w:rsidR="00D005E7" w:rsidRPr="00D005E7" w:rsidTr="001216D3">
        <w:trPr>
          <w:cantSplit/>
        </w:trPr>
        <w:tc>
          <w:tcPr>
            <w:tcW w:w="2781" w:type="dxa"/>
            <w:hideMark/>
          </w:tcPr>
          <w:p w:rsidR="00D005E7" w:rsidRPr="00D005E7" w:rsidRDefault="00D005E7" w:rsidP="00001249">
            <w:r w:rsidRPr="00D005E7">
              <w:t>1 = mild (faint erythema, pink to very light red)</w:t>
            </w:r>
          </w:p>
        </w:tc>
        <w:tc>
          <w:tcPr>
            <w:tcW w:w="3043" w:type="dxa"/>
            <w:hideMark/>
          </w:tcPr>
          <w:p w:rsidR="00D005E7" w:rsidRPr="00D005E7" w:rsidRDefault="00D005E7" w:rsidP="00001249">
            <w:r w:rsidRPr="00D005E7">
              <w:t>1 = mild (slight, barely perceptible elevation)</w:t>
            </w:r>
          </w:p>
        </w:tc>
        <w:tc>
          <w:tcPr>
            <w:tcW w:w="2896" w:type="dxa"/>
            <w:hideMark/>
          </w:tcPr>
          <w:p w:rsidR="00D005E7" w:rsidRPr="00D005E7" w:rsidRDefault="00D005E7" w:rsidP="00001249">
            <w:r w:rsidRPr="00D005E7">
              <w:t>1 = mild (sparse, fine scale lesions, only partially covered)</w:t>
            </w:r>
          </w:p>
        </w:tc>
      </w:tr>
      <w:tr w:rsidR="00D005E7" w:rsidRPr="00D005E7" w:rsidTr="00D005E7">
        <w:tc>
          <w:tcPr>
            <w:tcW w:w="2781" w:type="dxa"/>
            <w:hideMark/>
          </w:tcPr>
          <w:p w:rsidR="00D005E7" w:rsidRPr="00D005E7" w:rsidRDefault="00D005E7" w:rsidP="00001249">
            <w:r w:rsidRPr="00D005E7">
              <w:t>2 = moderate (definite light red erythema)</w:t>
            </w:r>
          </w:p>
        </w:tc>
        <w:tc>
          <w:tcPr>
            <w:tcW w:w="3043" w:type="dxa"/>
            <w:hideMark/>
          </w:tcPr>
          <w:p w:rsidR="00D005E7" w:rsidRPr="00D005E7" w:rsidRDefault="00D005E7" w:rsidP="00001249">
            <w:r w:rsidRPr="00D005E7">
              <w:t>2 = moderate (definite elevation but not thick)</w:t>
            </w:r>
          </w:p>
        </w:tc>
        <w:tc>
          <w:tcPr>
            <w:tcW w:w="2896" w:type="dxa"/>
            <w:hideMark/>
          </w:tcPr>
          <w:p w:rsidR="00D005E7" w:rsidRPr="00D005E7" w:rsidRDefault="00D005E7" w:rsidP="00001249">
            <w:r w:rsidRPr="00D005E7">
              <w:t>2 = moderate (coarser scales, most of lesions covered)</w:t>
            </w:r>
          </w:p>
        </w:tc>
      </w:tr>
      <w:tr w:rsidR="00D005E7" w:rsidRPr="00D005E7" w:rsidTr="00D005E7">
        <w:tc>
          <w:tcPr>
            <w:tcW w:w="2781" w:type="dxa"/>
            <w:hideMark/>
          </w:tcPr>
          <w:p w:rsidR="00D005E7" w:rsidRPr="00D005E7" w:rsidRDefault="00D005E7" w:rsidP="00001249">
            <w:r w:rsidRPr="00D005E7">
              <w:t>3 = severe (dark red erythema)</w:t>
            </w:r>
          </w:p>
        </w:tc>
        <w:tc>
          <w:tcPr>
            <w:tcW w:w="3043" w:type="dxa"/>
            <w:hideMark/>
          </w:tcPr>
          <w:p w:rsidR="00D005E7" w:rsidRPr="00D005E7" w:rsidRDefault="00D005E7" w:rsidP="00001249">
            <w:r w:rsidRPr="00D005E7">
              <w:t>3 = severe (definite elevation, thick plaque with sharp edge)</w:t>
            </w:r>
          </w:p>
        </w:tc>
        <w:tc>
          <w:tcPr>
            <w:tcW w:w="2896" w:type="dxa"/>
            <w:hideMark/>
          </w:tcPr>
          <w:p w:rsidR="00D005E7" w:rsidRPr="00D005E7" w:rsidRDefault="00D005E7" w:rsidP="00001249">
            <w:r w:rsidRPr="00D005E7">
              <w:t>3 = severe (entire lesion covered with coarse scales)</w:t>
            </w:r>
          </w:p>
        </w:tc>
      </w:tr>
      <w:tr w:rsidR="00D005E7" w:rsidRPr="00D005E7" w:rsidTr="00D005E7">
        <w:tc>
          <w:tcPr>
            <w:tcW w:w="2781" w:type="dxa"/>
            <w:hideMark/>
          </w:tcPr>
          <w:p w:rsidR="00D005E7" w:rsidRPr="00D005E7" w:rsidRDefault="00D005E7" w:rsidP="00001249">
            <w:r w:rsidRPr="00D005E7">
              <w:t>4 = very severe (very dark red erythema)</w:t>
            </w:r>
          </w:p>
        </w:tc>
        <w:tc>
          <w:tcPr>
            <w:tcW w:w="3043" w:type="dxa"/>
            <w:hideMark/>
          </w:tcPr>
          <w:p w:rsidR="00D005E7" w:rsidRPr="00D005E7" w:rsidRDefault="00D005E7" w:rsidP="00001249">
            <w:r w:rsidRPr="00D005E7">
              <w:t>4 = very severe (very thick plaque with sharp edge)</w:t>
            </w:r>
          </w:p>
        </w:tc>
        <w:tc>
          <w:tcPr>
            <w:tcW w:w="2896" w:type="dxa"/>
            <w:hideMark/>
          </w:tcPr>
          <w:p w:rsidR="00D005E7" w:rsidRPr="00D005E7" w:rsidRDefault="00D005E7" w:rsidP="00001249">
            <w:r w:rsidRPr="00D005E7">
              <w:t>4 = very severe (very thick coarse scales, possibly fissured)</w:t>
            </w:r>
          </w:p>
        </w:tc>
      </w:tr>
    </w:tbl>
    <w:p w:rsidR="00D005E7" w:rsidRPr="00D005E7" w:rsidRDefault="00D005E7" w:rsidP="00001249">
      <w:r w:rsidRPr="00D005E7">
        <w:t xml:space="preserve">In </w:t>
      </w:r>
      <w:r w:rsidR="001216D3">
        <w:t>S</w:t>
      </w:r>
      <w:r w:rsidRPr="00D005E7">
        <w:t xml:space="preserve">tudy MBL0202INT the wording of the severity of the signs of redness, thickness and </w:t>
      </w:r>
      <w:proofErr w:type="spellStart"/>
      <w:r w:rsidRPr="00D005E7">
        <w:t>scaliness</w:t>
      </w:r>
      <w:proofErr w:type="spellEnd"/>
      <w:r w:rsidRPr="00D005E7">
        <w:t xml:space="preserve"> was slightly different to that used in the pivotal studies (LEO80185-G23 and LEO80185-G21) but was considered equivalent to those above:</w:t>
      </w:r>
    </w:p>
    <w:p w:rsidR="00D005E7" w:rsidRPr="00D005E7" w:rsidRDefault="00D005E7" w:rsidP="00001249">
      <w:r w:rsidRPr="00D005E7">
        <w:t>0 = absent</w:t>
      </w:r>
    </w:p>
    <w:p w:rsidR="00D005E7" w:rsidRPr="00D005E7" w:rsidRDefault="00D005E7" w:rsidP="00001249">
      <w:r w:rsidRPr="00D005E7">
        <w:t>1 = slight</w:t>
      </w:r>
    </w:p>
    <w:p w:rsidR="00D005E7" w:rsidRPr="00D005E7" w:rsidRDefault="00D005E7" w:rsidP="00001249">
      <w:r w:rsidRPr="00D005E7">
        <w:t>2 = moderate</w:t>
      </w:r>
    </w:p>
    <w:p w:rsidR="00D005E7" w:rsidRPr="00D005E7" w:rsidRDefault="00D005E7" w:rsidP="00001249">
      <w:r w:rsidRPr="00D005E7">
        <w:t>3 = severe</w:t>
      </w:r>
    </w:p>
    <w:p w:rsidR="00D005E7" w:rsidRPr="00D005E7" w:rsidRDefault="00D005E7" w:rsidP="00001249">
      <w:r w:rsidRPr="00D005E7">
        <w:t>4 = severest possible</w:t>
      </w:r>
    </w:p>
    <w:p w:rsidR="00D005E7" w:rsidRPr="00D005E7" w:rsidRDefault="00D005E7" w:rsidP="00001249">
      <w:pPr>
        <w:pStyle w:val="Heading5"/>
      </w:pPr>
      <w:r w:rsidRPr="00D005E7">
        <w:t>Investigator’s assessment of body surface area (BSA) involvement of extent of disease at baseline</w:t>
      </w:r>
    </w:p>
    <w:p w:rsidR="00D005E7" w:rsidRPr="00D005E7" w:rsidRDefault="00D005E7" w:rsidP="00001249">
      <w:r w:rsidRPr="00D005E7">
        <w:t>The total psoriatic involvement on the arms, legs and trunk was recorded as a percentage of the total body surface area (BSA), estimating that the surface of the full, flat palm (including the five digits) correlates to approximately 1% of the total BSA. The purpose was to obtain an estimate of the total area to be treated with study medication.</w:t>
      </w:r>
    </w:p>
    <w:p w:rsidR="00D005E7" w:rsidRPr="00D005E7" w:rsidRDefault="001216D3" w:rsidP="00001249">
      <w:pPr>
        <w:pStyle w:val="Heading5"/>
      </w:pPr>
      <w:r>
        <w:t xml:space="preserve">Patient’s </w:t>
      </w:r>
      <w:r w:rsidR="00353529">
        <w:t>g</w:t>
      </w:r>
      <w:r w:rsidR="00D005E7" w:rsidRPr="00D005E7">
        <w:t xml:space="preserve">lobal </w:t>
      </w:r>
      <w:r w:rsidR="00353529">
        <w:t>a</w:t>
      </w:r>
      <w:r w:rsidR="00D005E7" w:rsidRPr="00D005E7">
        <w:t xml:space="preserve">ssessment </w:t>
      </w:r>
      <w:r>
        <w:t xml:space="preserve">(PGA) </w:t>
      </w:r>
      <w:r w:rsidR="00D005E7" w:rsidRPr="00D005E7">
        <w:t xml:space="preserve">of disease severity </w:t>
      </w:r>
    </w:p>
    <w:p w:rsidR="00D005E7" w:rsidRPr="00D005E7" w:rsidRDefault="00D005E7" w:rsidP="00001249">
      <w:r w:rsidRPr="00D005E7">
        <w:t>The subject’s assessment was made prior to the investigator assessments.</w:t>
      </w:r>
    </w:p>
    <w:p w:rsidR="00D005E7" w:rsidRPr="00D005E7" w:rsidRDefault="00D005E7" w:rsidP="00001249">
      <w:pPr>
        <w:tabs>
          <w:tab w:val="left" w:pos="1276"/>
        </w:tabs>
      </w:pPr>
      <w:r w:rsidRPr="00D005E7">
        <w:t>Clear</w:t>
      </w:r>
      <w:r w:rsidRPr="00D005E7">
        <w:tab/>
        <w:t>No psoriasis symptoms at all</w:t>
      </w:r>
    </w:p>
    <w:p w:rsidR="00D005E7" w:rsidRPr="00D005E7" w:rsidRDefault="00D005E7" w:rsidP="00001249">
      <w:pPr>
        <w:tabs>
          <w:tab w:val="left" w:pos="1276"/>
        </w:tabs>
      </w:pPr>
      <w:r w:rsidRPr="00D005E7">
        <w:t>Very mild</w:t>
      </w:r>
      <w:r w:rsidRPr="00D005E7">
        <w:tab/>
        <w:t>Very slight psoriasis symptoms, does not interfere with daily life</w:t>
      </w:r>
    </w:p>
    <w:p w:rsidR="00D005E7" w:rsidRPr="00D005E7" w:rsidRDefault="00D005E7" w:rsidP="00001249">
      <w:pPr>
        <w:tabs>
          <w:tab w:val="left" w:pos="1276"/>
        </w:tabs>
      </w:pPr>
      <w:r w:rsidRPr="00D005E7">
        <w:t>Mild</w:t>
      </w:r>
      <w:r w:rsidRPr="00D005E7">
        <w:tab/>
        <w:t>Slight psoriasis symptoms, interferes with daily life only occasionally</w:t>
      </w:r>
    </w:p>
    <w:p w:rsidR="00D005E7" w:rsidRPr="00D005E7" w:rsidRDefault="00D005E7" w:rsidP="00001249">
      <w:pPr>
        <w:tabs>
          <w:tab w:val="left" w:pos="1276"/>
        </w:tabs>
      </w:pPr>
      <w:r w:rsidRPr="00D005E7">
        <w:t>Moderate</w:t>
      </w:r>
      <w:r w:rsidRPr="00D005E7">
        <w:tab/>
        <w:t>Definite psoriasis symptoms, interferes with daily life frequently</w:t>
      </w:r>
    </w:p>
    <w:p w:rsidR="00D005E7" w:rsidRPr="00D005E7" w:rsidRDefault="00D005E7" w:rsidP="00001249">
      <w:pPr>
        <w:tabs>
          <w:tab w:val="left" w:pos="1276"/>
        </w:tabs>
      </w:pPr>
      <w:r w:rsidRPr="00D005E7">
        <w:t>Severe</w:t>
      </w:r>
      <w:r w:rsidRPr="00D005E7">
        <w:tab/>
        <w:t>Intense psoriasis symptoms, interferes or restricts daily life very frequently</w:t>
      </w:r>
    </w:p>
    <w:p w:rsidR="00D005E7" w:rsidRPr="00D005E7" w:rsidRDefault="00D005E7" w:rsidP="00001249">
      <w:pPr>
        <w:pStyle w:val="Heading5"/>
      </w:pPr>
      <w:r w:rsidRPr="00D005E7">
        <w:t>Patient’s assessment of plaque discomfort</w:t>
      </w:r>
    </w:p>
    <w:p w:rsidR="00D005E7" w:rsidRPr="00D005E7" w:rsidRDefault="00D005E7" w:rsidP="00001249">
      <w:r w:rsidRPr="00D005E7">
        <w:t>This assessment was based on the condition of the disease at the time of evaluation and used a visual analogue scale. This assessment was made prior to the IGA and used the subject’s mark on an arbitrary scale of 0=100 graduated in 10 unit intervals.</w:t>
      </w:r>
    </w:p>
    <w:p w:rsidR="00D005E7" w:rsidRPr="00D005E7" w:rsidRDefault="00D005E7" w:rsidP="00001249">
      <w:pPr>
        <w:pStyle w:val="Heading5"/>
      </w:pPr>
      <w:r w:rsidRPr="00D005E7">
        <w:t xml:space="preserve">Quality of </w:t>
      </w:r>
      <w:r w:rsidR="00001249">
        <w:t>l</w:t>
      </w:r>
      <w:r w:rsidRPr="00D005E7">
        <w:t xml:space="preserve">ife </w:t>
      </w:r>
      <w:r w:rsidR="00001249">
        <w:t>a</w:t>
      </w:r>
      <w:r w:rsidRPr="00D005E7">
        <w:t>ssessment</w:t>
      </w:r>
    </w:p>
    <w:p w:rsidR="00D005E7" w:rsidRPr="00D005E7" w:rsidRDefault="00D005E7" w:rsidP="00001249">
      <w:r w:rsidRPr="00D005E7">
        <w:t>The scale used for this assessment was the Dermatology Life Quality Index (DLQI) which is a validated dermatology specific questionnaire.</w:t>
      </w:r>
    </w:p>
    <w:p w:rsidR="00D005E7" w:rsidRPr="00D005E7" w:rsidRDefault="00D005E7" w:rsidP="00001249">
      <w:pPr>
        <w:pStyle w:val="Heading5"/>
      </w:pPr>
      <w:r w:rsidRPr="00D005E7">
        <w:t xml:space="preserve">Total </w:t>
      </w:r>
      <w:r w:rsidR="00001249">
        <w:t>c</w:t>
      </w:r>
      <w:r w:rsidRPr="00D005E7">
        <w:t xml:space="preserve">linical </w:t>
      </w:r>
      <w:r w:rsidR="00001249">
        <w:t>s</w:t>
      </w:r>
      <w:r w:rsidRPr="00D005E7">
        <w:t>core (Study PLQ-001)</w:t>
      </w:r>
    </w:p>
    <w:p w:rsidR="00D005E7" w:rsidRDefault="00D005E7" w:rsidP="00001249">
      <w:r w:rsidRPr="00D005E7">
        <w:t xml:space="preserve">All assessments for a subject were to be made by the same investigator. The severity of the symptoms was rated on Day 1 (baseline), 4, 8, 11, 15, 18, </w:t>
      </w:r>
      <w:r w:rsidR="001216D3">
        <w:t xml:space="preserve">and </w:t>
      </w:r>
      <w:r w:rsidRPr="00D005E7">
        <w:t>22 (end of treatment) according to the following 0-3 with half point grading scale.</w:t>
      </w:r>
    </w:p>
    <w:p w:rsidR="00A64258" w:rsidRPr="00A64258" w:rsidRDefault="001216D3" w:rsidP="00001249">
      <w:pPr>
        <w:pStyle w:val="TableTitle"/>
      </w:pPr>
      <w:r>
        <w:t xml:space="preserve">Table </w:t>
      </w:r>
      <w:r w:rsidR="006C2B37">
        <w:t>5</w:t>
      </w:r>
      <w:r w:rsidR="00A64258">
        <w:t xml:space="preserve">. </w:t>
      </w:r>
      <w:r w:rsidR="00A64258" w:rsidRPr="00A64258">
        <w:t>Total Clinical Score (Study PLQ-001)</w:t>
      </w:r>
    </w:p>
    <w:tbl>
      <w:tblPr>
        <w:tblStyle w:val="TableTGAblue"/>
        <w:tblW w:w="8505" w:type="dxa"/>
        <w:tblInd w:w="108" w:type="dxa"/>
        <w:tblLayout w:type="fixed"/>
        <w:tblLook w:val="04A0"/>
      </w:tblPr>
      <w:tblGrid>
        <w:gridCol w:w="1134"/>
        <w:gridCol w:w="1560"/>
        <w:gridCol w:w="1842"/>
        <w:gridCol w:w="2127"/>
        <w:gridCol w:w="1842"/>
      </w:tblGrid>
      <w:tr w:rsidR="00D005E7" w:rsidRPr="006B20A2" w:rsidTr="006B20A2">
        <w:trPr>
          <w:cnfStyle w:val="100000000000"/>
          <w:tblHeader/>
        </w:trPr>
        <w:tc>
          <w:tcPr>
            <w:tcW w:w="1134" w:type="dxa"/>
          </w:tcPr>
          <w:p w:rsidR="00D005E7" w:rsidRPr="006B20A2" w:rsidRDefault="00D005E7" w:rsidP="00001249">
            <w:pPr>
              <w:rPr>
                <w:sz w:val="19"/>
                <w:szCs w:val="19"/>
              </w:rPr>
            </w:pPr>
            <w:r w:rsidRPr="006B20A2">
              <w:rPr>
                <w:sz w:val="19"/>
                <w:szCs w:val="19"/>
              </w:rPr>
              <w:t>Score</w:t>
            </w:r>
          </w:p>
        </w:tc>
        <w:tc>
          <w:tcPr>
            <w:tcW w:w="1560" w:type="dxa"/>
          </w:tcPr>
          <w:p w:rsidR="00D005E7" w:rsidRPr="006B20A2" w:rsidRDefault="00D005E7" w:rsidP="00001249">
            <w:pPr>
              <w:rPr>
                <w:sz w:val="19"/>
                <w:szCs w:val="19"/>
              </w:rPr>
            </w:pPr>
            <w:r w:rsidRPr="006B20A2">
              <w:rPr>
                <w:sz w:val="19"/>
                <w:szCs w:val="19"/>
              </w:rPr>
              <w:t>Intensity</w:t>
            </w:r>
          </w:p>
        </w:tc>
        <w:tc>
          <w:tcPr>
            <w:tcW w:w="1842" w:type="dxa"/>
            <w:hideMark/>
          </w:tcPr>
          <w:p w:rsidR="00D005E7" w:rsidRPr="006B20A2" w:rsidRDefault="00D005E7" w:rsidP="00001249">
            <w:pPr>
              <w:rPr>
                <w:sz w:val="19"/>
                <w:szCs w:val="19"/>
              </w:rPr>
            </w:pPr>
            <w:r w:rsidRPr="006B20A2">
              <w:rPr>
                <w:sz w:val="19"/>
                <w:szCs w:val="19"/>
              </w:rPr>
              <w:t>Erythema Description</w:t>
            </w:r>
          </w:p>
        </w:tc>
        <w:tc>
          <w:tcPr>
            <w:tcW w:w="2127" w:type="dxa"/>
            <w:hideMark/>
          </w:tcPr>
          <w:p w:rsidR="00D005E7" w:rsidRPr="006B20A2" w:rsidRDefault="00D005E7" w:rsidP="00001249">
            <w:pPr>
              <w:rPr>
                <w:sz w:val="19"/>
                <w:szCs w:val="19"/>
              </w:rPr>
            </w:pPr>
            <w:r w:rsidRPr="006B20A2">
              <w:rPr>
                <w:sz w:val="19"/>
                <w:szCs w:val="19"/>
              </w:rPr>
              <w:t>Scaling Description</w:t>
            </w:r>
          </w:p>
        </w:tc>
        <w:tc>
          <w:tcPr>
            <w:tcW w:w="1842" w:type="dxa"/>
            <w:hideMark/>
          </w:tcPr>
          <w:p w:rsidR="00D005E7" w:rsidRPr="006B20A2" w:rsidRDefault="00D005E7" w:rsidP="00001249">
            <w:pPr>
              <w:rPr>
                <w:sz w:val="19"/>
                <w:szCs w:val="19"/>
              </w:rPr>
            </w:pPr>
            <w:r w:rsidRPr="006B20A2">
              <w:rPr>
                <w:sz w:val="19"/>
                <w:szCs w:val="19"/>
              </w:rPr>
              <w:t>Infiltration Description</w:t>
            </w: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0</w:t>
            </w:r>
          </w:p>
        </w:tc>
        <w:tc>
          <w:tcPr>
            <w:tcW w:w="1560" w:type="dxa"/>
            <w:hideMark/>
          </w:tcPr>
          <w:p w:rsidR="00D005E7" w:rsidRPr="006B20A2" w:rsidRDefault="00D005E7" w:rsidP="00001249">
            <w:pPr>
              <w:rPr>
                <w:sz w:val="19"/>
                <w:szCs w:val="19"/>
              </w:rPr>
            </w:pPr>
            <w:r w:rsidRPr="006B20A2">
              <w:rPr>
                <w:sz w:val="19"/>
                <w:szCs w:val="19"/>
              </w:rPr>
              <w:t>No evidence</w:t>
            </w:r>
          </w:p>
        </w:tc>
        <w:tc>
          <w:tcPr>
            <w:tcW w:w="1842" w:type="dxa"/>
            <w:hideMark/>
          </w:tcPr>
          <w:p w:rsidR="00D005E7" w:rsidRPr="006B20A2" w:rsidRDefault="00D005E7" w:rsidP="00001249">
            <w:pPr>
              <w:rPr>
                <w:sz w:val="19"/>
                <w:szCs w:val="19"/>
              </w:rPr>
            </w:pPr>
            <w:r w:rsidRPr="006B20A2">
              <w:rPr>
                <w:sz w:val="19"/>
                <w:szCs w:val="19"/>
              </w:rPr>
              <w:t>Normal skin colour</w:t>
            </w:r>
          </w:p>
        </w:tc>
        <w:tc>
          <w:tcPr>
            <w:tcW w:w="2127" w:type="dxa"/>
            <w:hideMark/>
          </w:tcPr>
          <w:p w:rsidR="00D005E7" w:rsidRPr="006B20A2" w:rsidRDefault="00D005E7" w:rsidP="00001249">
            <w:pPr>
              <w:rPr>
                <w:sz w:val="19"/>
                <w:szCs w:val="19"/>
              </w:rPr>
            </w:pPr>
            <w:r w:rsidRPr="006B20A2">
              <w:rPr>
                <w:sz w:val="19"/>
                <w:szCs w:val="19"/>
              </w:rPr>
              <w:t>No scaling</w:t>
            </w:r>
          </w:p>
        </w:tc>
        <w:tc>
          <w:tcPr>
            <w:tcW w:w="1842" w:type="dxa"/>
          </w:tcPr>
          <w:p w:rsidR="00D005E7" w:rsidRPr="006B20A2" w:rsidRDefault="00D005E7" w:rsidP="00001249">
            <w:pPr>
              <w:rPr>
                <w:sz w:val="19"/>
                <w:szCs w:val="19"/>
              </w:rPr>
            </w:pP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0.5</w:t>
            </w:r>
          </w:p>
        </w:tc>
        <w:tc>
          <w:tcPr>
            <w:tcW w:w="1560" w:type="dxa"/>
            <w:hideMark/>
          </w:tcPr>
          <w:p w:rsidR="00D005E7" w:rsidRPr="006B20A2" w:rsidRDefault="00D005E7" w:rsidP="00001249">
            <w:pPr>
              <w:rPr>
                <w:sz w:val="19"/>
                <w:szCs w:val="19"/>
              </w:rPr>
            </w:pPr>
            <w:r w:rsidRPr="006B20A2">
              <w:rPr>
                <w:sz w:val="19"/>
                <w:szCs w:val="19"/>
              </w:rPr>
              <w:t>Doubtful or very mild</w:t>
            </w:r>
          </w:p>
        </w:tc>
        <w:tc>
          <w:tcPr>
            <w:tcW w:w="1842" w:type="dxa"/>
          </w:tcPr>
          <w:p w:rsidR="00D005E7" w:rsidRPr="006B20A2" w:rsidRDefault="00D005E7" w:rsidP="00001249">
            <w:pPr>
              <w:rPr>
                <w:sz w:val="19"/>
                <w:szCs w:val="19"/>
              </w:rPr>
            </w:pPr>
          </w:p>
        </w:tc>
        <w:tc>
          <w:tcPr>
            <w:tcW w:w="2127" w:type="dxa"/>
          </w:tcPr>
          <w:p w:rsidR="00D005E7" w:rsidRPr="006B20A2" w:rsidRDefault="00D005E7" w:rsidP="00001249">
            <w:pPr>
              <w:rPr>
                <w:sz w:val="19"/>
                <w:szCs w:val="19"/>
              </w:rPr>
            </w:pPr>
          </w:p>
        </w:tc>
        <w:tc>
          <w:tcPr>
            <w:tcW w:w="1842" w:type="dxa"/>
          </w:tcPr>
          <w:p w:rsidR="00D005E7" w:rsidRPr="006B20A2" w:rsidRDefault="00D005E7" w:rsidP="00001249">
            <w:pPr>
              <w:rPr>
                <w:sz w:val="19"/>
                <w:szCs w:val="19"/>
              </w:rPr>
            </w:pP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1.0</w:t>
            </w:r>
          </w:p>
        </w:tc>
        <w:tc>
          <w:tcPr>
            <w:tcW w:w="1560" w:type="dxa"/>
            <w:hideMark/>
          </w:tcPr>
          <w:p w:rsidR="00D005E7" w:rsidRPr="006B20A2" w:rsidRDefault="00D005E7" w:rsidP="00001249">
            <w:pPr>
              <w:rPr>
                <w:sz w:val="19"/>
                <w:szCs w:val="19"/>
              </w:rPr>
            </w:pPr>
            <w:r w:rsidRPr="006B20A2">
              <w:rPr>
                <w:sz w:val="19"/>
                <w:szCs w:val="19"/>
              </w:rPr>
              <w:t>Mild</w:t>
            </w:r>
          </w:p>
        </w:tc>
        <w:tc>
          <w:tcPr>
            <w:tcW w:w="1842" w:type="dxa"/>
            <w:hideMark/>
          </w:tcPr>
          <w:p w:rsidR="00D005E7" w:rsidRPr="006B20A2" w:rsidRDefault="00D005E7" w:rsidP="00001249">
            <w:pPr>
              <w:rPr>
                <w:sz w:val="19"/>
                <w:szCs w:val="19"/>
              </w:rPr>
            </w:pPr>
            <w:r w:rsidRPr="006B20A2">
              <w:rPr>
                <w:sz w:val="19"/>
                <w:szCs w:val="19"/>
              </w:rPr>
              <w:t>Pink or light red</w:t>
            </w:r>
          </w:p>
        </w:tc>
        <w:tc>
          <w:tcPr>
            <w:tcW w:w="2127" w:type="dxa"/>
            <w:hideMark/>
          </w:tcPr>
          <w:p w:rsidR="00D005E7" w:rsidRPr="006B20A2" w:rsidRDefault="00D005E7" w:rsidP="00001249">
            <w:pPr>
              <w:rPr>
                <w:sz w:val="19"/>
                <w:szCs w:val="19"/>
              </w:rPr>
            </w:pPr>
            <w:r w:rsidRPr="006B20A2">
              <w:rPr>
                <w:sz w:val="19"/>
                <w:szCs w:val="19"/>
              </w:rPr>
              <w:t>Slight roughness, mainly fine scales</w:t>
            </w:r>
          </w:p>
        </w:tc>
        <w:tc>
          <w:tcPr>
            <w:tcW w:w="1842" w:type="dxa"/>
            <w:hideMark/>
          </w:tcPr>
          <w:p w:rsidR="00D005E7" w:rsidRPr="006B20A2" w:rsidRDefault="00D005E7" w:rsidP="00001249">
            <w:pPr>
              <w:rPr>
                <w:sz w:val="19"/>
                <w:szCs w:val="19"/>
              </w:rPr>
            </w:pPr>
            <w:r w:rsidRPr="006B20A2">
              <w:rPr>
                <w:sz w:val="19"/>
                <w:szCs w:val="19"/>
              </w:rPr>
              <w:t>Slight definite infiltration</w:t>
            </w: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1.5</w:t>
            </w:r>
          </w:p>
        </w:tc>
        <w:tc>
          <w:tcPr>
            <w:tcW w:w="1560" w:type="dxa"/>
            <w:hideMark/>
          </w:tcPr>
          <w:p w:rsidR="00D005E7" w:rsidRPr="006B20A2" w:rsidRDefault="00D005E7" w:rsidP="00001249">
            <w:pPr>
              <w:rPr>
                <w:sz w:val="19"/>
                <w:szCs w:val="19"/>
              </w:rPr>
            </w:pPr>
            <w:r w:rsidRPr="006B20A2">
              <w:rPr>
                <w:sz w:val="19"/>
                <w:szCs w:val="19"/>
              </w:rPr>
              <w:t>Mild to moderate</w:t>
            </w:r>
          </w:p>
        </w:tc>
        <w:tc>
          <w:tcPr>
            <w:tcW w:w="1842" w:type="dxa"/>
          </w:tcPr>
          <w:p w:rsidR="00D005E7" w:rsidRPr="006B20A2" w:rsidRDefault="00D005E7" w:rsidP="00001249">
            <w:pPr>
              <w:rPr>
                <w:sz w:val="19"/>
                <w:szCs w:val="19"/>
              </w:rPr>
            </w:pPr>
          </w:p>
        </w:tc>
        <w:tc>
          <w:tcPr>
            <w:tcW w:w="2127" w:type="dxa"/>
          </w:tcPr>
          <w:p w:rsidR="00D005E7" w:rsidRPr="006B20A2" w:rsidRDefault="00D005E7" w:rsidP="00001249">
            <w:pPr>
              <w:rPr>
                <w:sz w:val="19"/>
                <w:szCs w:val="19"/>
              </w:rPr>
            </w:pPr>
          </w:p>
        </w:tc>
        <w:tc>
          <w:tcPr>
            <w:tcW w:w="1842" w:type="dxa"/>
          </w:tcPr>
          <w:p w:rsidR="00D005E7" w:rsidRPr="006B20A2" w:rsidRDefault="00D005E7" w:rsidP="00001249">
            <w:pPr>
              <w:rPr>
                <w:sz w:val="19"/>
                <w:szCs w:val="19"/>
              </w:rPr>
            </w:pP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2.0</w:t>
            </w:r>
          </w:p>
        </w:tc>
        <w:tc>
          <w:tcPr>
            <w:tcW w:w="1560" w:type="dxa"/>
            <w:hideMark/>
          </w:tcPr>
          <w:p w:rsidR="00D005E7" w:rsidRPr="006B20A2" w:rsidRDefault="00D005E7" w:rsidP="00001249">
            <w:pPr>
              <w:rPr>
                <w:sz w:val="19"/>
                <w:szCs w:val="19"/>
              </w:rPr>
            </w:pPr>
            <w:r w:rsidRPr="006B20A2">
              <w:rPr>
                <w:sz w:val="19"/>
                <w:szCs w:val="19"/>
              </w:rPr>
              <w:t>Moderate</w:t>
            </w:r>
          </w:p>
        </w:tc>
        <w:tc>
          <w:tcPr>
            <w:tcW w:w="1842" w:type="dxa"/>
            <w:hideMark/>
          </w:tcPr>
          <w:p w:rsidR="00D005E7" w:rsidRPr="006B20A2" w:rsidRDefault="00D005E7" w:rsidP="00001249">
            <w:pPr>
              <w:rPr>
                <w:sz w:val="19"/>
                <w:szCs w:val="19"/>
              </w:rPr>
            </w:pPr>
            <w:r w:rsidRPr="006B20A2">
              <w:rPr>
                <w:sz w:val="19"/>
                <w:szCs w:val="19"/>
              </w:rPr>
              <w:t>Red</w:t>
            </w:r>
          </w:p>
        </w:tc>
        <w:tc>
          <w:tcPr>
            <w:tcW w:w="2127" w:type="dxa"/>
            <w:hideMark/>
          </w:tcPr>
          <w:p w:rsidR="00D005E7" w:rsidRPr="006B20A2" w:rsidRDefault="00D005E7" w:rsidP="00001249">
            <w:pPr>
              <w:rPr>
                <w:sz w:val="19"/>
                <w:szCs w:val="19"/>
              </w:rPr>
            </w:pPr>
            <w:r w:rsidRPr="006B20A2">
              <w:rPr>
                <w:sz w:val="19"/>
                <w:szCs w:val="19"/>
              </w:rPr>
              <w:t>Coarse scaling</w:t>
            </w:r>
          </w:p>
        </w:tc>
        <w:tc>
          <w:tcPr>
            <w:tcW w:w="1842" w:type="dxa"/>
            <w:hideMark/>
          </w:tcPr>
          <w:p w:rsidR="00D005E7" w:rsidRPr="006B20A2" w:rsidRDefault="00D005E7" w:rsidP="00001249">
            <w:pPr>
              <w:rPr>
                <w:sz w:val="19"/>
                <w:szCs w:val="19"/>
              </w:rPr>
            </w:pPr>
            <w:r w:rsidRPr="006B20A2">
              <w:rPr>
                <w:sz w:val="19"/>
                <w:szCs w:val="19"/>
              </w:rPr>
              <w:t>Moderate infiltration</w:t>
            </w: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2.5</w:t>
            </w:r>
          </w:p>
        </w:tc>
        <w:tc>
          <w:tcPr>
            <w:tcW w:w="1560" w:type="dxa"/>
            <w:hideMark/>
          </w:tcPr>
          <w:p w:rsidR="00D005E7" w:rsidRPr="006B20A2" w:rsidRDefault="00D005E7" w:rsidP="00001249">
            <w:pPr>
              <w:rPr>
                <w:sz w:val="19"/>
                <w:szCs w:val="19"/>
              </w:rPr>
            </w:pPr>
            <w:r w:rsidRPr="006B20A2">
              <w:rPr>
                <w:sz w:val="19"/>
                <w:szCs w:val="19"/>
              </w:rPr>
              <w:t>Moderate to severe</w:t>
            </w:r>
          </w:p>
        </w:tc>
        <w:tc>
          <w:tcPr>
            <w:tcW w:w="1842" w:type="dxa"/>
          </w:tcPr>
          <w:p w:rsidR="00D005E7" w:rsidRPr="006B20A2" w:rsidRDefault="00D005E7" w:rsidP="00001249">
            <w:pPr>
              <w:rPr>
                <w:sz w:val="19"/>
                <w:szCs w:val="19"/>
              </w:rPr>
            </w:pPr>
          </w:p>
        </w:tc>
        <w:tc>
          <w:tcPr>
            <w:tcW w:w="2127" w:type="dxa"/>
          </w:tcPr>
          <w:p w:rsidR="00D005E7" w:rsidRPr="006B20A2" w:rsidRDefault="00D005E7" w:rsidP="00001249">
            <w:pPr>
              <w:rPr>
                <w:sz w:val="19"/>
                <w:szCs w:val="19"/>
              </w:rPr>
            </w:pPr>
          </w:p>
        </w:tc>
        <w:tc>
          <w:tcPr>
            <w:tcW w:w="1842" w:type="dxa"/>
          </w:tcPr>
          <w:p w:rsidR="00D005E7" w:rsidRPr="006B20A2" w:rsidRDefault="00D005E7" w:rsidP="00001249">
            <w:pPr>
              <w:rPr>
                <w:sz w:val="19"/>
                <w:szCs w:val="19"/>
              </w:rPr>
            </w:pPr>
          </w:p>
        </w:tc>
      </w:tr>
      <w:tr w:rsidR="00D005E7" w:rsidRPr="006B20A2" w:rsidTr="006B20A2">
        <w:tc>
          <w:tcPr>
            <w:tcW w:w="1134" w:type="dxa"/>
            <w:hideMark/>
          </w:tcPr>
          <w:p w:rsidR="00D005E7" w:rsidRPr="006B20A2" w:rsidRDefault="00D005E7" w:rsidP="00001249">
            <w:pPr>
              <w:rPr>
                <w:sz w:val="19"/>
                <w:szCs w:val="19"/>
              </w:rPr>
            </w:pPr>
            <w:r w:rsidRPr="006B20A2">
              <w:rPr>
                <w:sz w:val="19"/>
                <w:szCs w:val="19"/>
              </w:rPr>
              <w:t>3.0</w:t>
            </w:r>
          </w:p>
        </w:tc>
        <w:tc>
          <w:tcPr>
            <w:tcW w:w="1560" w:type="dxa"/>
            <w:hideMark/>
          </w:tcPr>
          <w:p w:rsidR="00D005E7" w:rsidRPr="006B20A2" w:rsidRDefault="00D005E7" w:rsidP="00001249">
            <w:pPr>
              <w:rPr>
                <w:sz w:val="19"/>
                <w:szCs w:val="19"/>
              </w:rPr>
            </w:pPr>
            <w:r w:rsidRPr="006B20A2">
              <w:rPr>
                <w:sz w:val="19"/>
                <w:szCs w:val="19"/>
              </w:rPr>
              <w:t>Severe</w:t>
            </w:r>
          </w:p>
        </w:tc>
        <w:tc>
          <w:tcPr>
            <w:tcW w:w="1842" w:type="dxa"/>
            <w:hideMark/>
          </w:tcPr>
          <w:p w:rsidR="00D005E7" w:rsidRPr="006B20A2" w:rsidRDefault="00D005E7" w:rsidP="00001249">
            <w:pPr>
              <w:rPr>
                <w:sz w:val="19"/>
                <w:szCs w:val="19"/>
              </w:rPr>
            </w:pPr>
            <w:r w:rsidRPr="006B20A2">
              <w:rPr>
                <w:sz w:val="19"/>
                <w:szCs w:val="19"/>
              </w:rPr>
              <w:t>Intense red</w:t>
            </w:r>
          </w:p>
        </w:tc>
        <w:tc>
          <w:tcPr>
            <w:tcW w:w="2127" w:type="dxa"/>
            <w:hideMark/>
          </w:tcPr>
          <w:p w:rsidR="00D005E7" w:rsidRPr="006B20A2" w:rsidRDefault="00D005E7" w:rsidP="00001249">
            <w:pPr>
              <w:rPr>
                <w:sz w:val="19"/>
                <w:szCs w:val="19"/>
              </w:rPr>
            </w:pPr>
            <w:r w:rsidRPr="006B20A2">
              <w:rPr>
                <w:sz w:val="19"/>
                <w:szCs w:val="19"/>
              </w:rPr>
              <w:t>Coarse, thick scales</w:t>
            </w:r>
          </w:p>
        </w:tc>
        <w:tc>
          <w:tcPr>
            <w:tcW w:w="1842" w:type="dxa"/>
            <w:hideMark/>
          </w:tcPr>
          <w:p w:rsidR="00D005E7" w:rsidRPr="006B20A2" w:rsidRDefault="00D005E7" w:rsidP="00001249">
            <w:pPr>
              <w:rPr>
                <w:sz w:val="19"/>
                <w:szCs w:val="19"/>
              </w:rPr>
            </w:pPr>
            <w:r w:rsidRPr="006B20A2">
              <w:rPr>
                <w:sz w:val="19"/>
                <w:szCs w:val="19"/>
              </w:rPr>
              <w:t>Very marked Infiltration</w:t>
            </w:r>
          </w:p>
        </w:tc>
      </w:tr>
    </w:tbl>
    <w:p w:rsidR="00D005E7" w:rsidRDefault="00D005E7" w:rsidP="006B20A2">
      <w:r w:rsidRPr="00D005E7">
        <w:t>The Total Clinical Score was defined as the sum of erythema plus scaling plus thickness scores and therefore ranges from 0 (all symptoms absent) to 9 (all symptoms severe).</w:t>
      </w:r>
    </w:p>
    <w:p w:rsidR="0071245A" w:rsidRPr="0071245A" w:rsidRDefault="0071245A" w:rsidP="006B20A2">
      <w:pPr>
        <w:pStyle w:val="Heading4"/>
      </w:pPr>
      <w:bookmarkStart w:id="34" w:name="_Toc361905199"/>
      <w:r w:rsidRPr="0071245A">
        <w:t>Clinical rationale</w:t>
      </w:r>
      <w:bookmarkEnd w:id="34"/>
    </w:p>
    <w:p w:rsidR="0071245A" w:rsidRPr="0071245A" w:rsidRDefault="0071245A" w:rsidP="006B20A2">
      <w:r w:rsidRPr="0071245A">
        <w:t>Calcipotriol and betamethasone have been used by dermatologists in combination for the treatment of psoriasis vulgaris. The development of the Daivobet ointment provided a fixed dose combination which has been approved for the treatment of non-scalp psoriasis vulgaris. It has been shown that the betamethasone dipropionate counteracts the local skin irritation that calcipotriol exhibits in some subjects, thereby allowing calcipotriol to exert its beneficial effects. Calcipotriol may also reduce the amount of corticosteroid required due to a positive additive effect and thus reduce the risk of steroid-related adverse effects. The previous clinical development program for Daivobet ointment is said to have demonstrated an additive/synergistic effect on the trunk and limbs, while the safety profile is similar or better than the single constituents given alone.</w:t>
      </w:r>
    </w:p>
    <w:p w:rsidR="0071245A" w:rsidRPr="0071245A" w:rsidRDefault="0071245A" w:rsidP="006B20A2">
      <w:r w:rsidRPr="0071245A">
        <w:t>The cosmetic properties of a formulation are important for patient acceptability and greasy ointments can be a barrier to patient compliance leading to a disappointing clinical effect. Since compliance remains a critical factor in achieving effective treatment of psoriasis, patient preferences regarding agents and vehicles are an integral part of therapy selection. Daivobet gel was developed to complement Daivobet ointment. Daivobet gel contains the same active components as Daivobet ointment but in a gel vehicle that has the advantages of the combination treatment while allowing once daily application with a cosmetically acceptable formation. The gel formulation was originally developed for use on the scalp but its physical properties also make it a suitable alternative treatment for psoriasis lesions on non-scalp areas of the body. The favourable cosmetic properties of a non-greasy gel may improve patient compliance. Thus the objective of the clinical development program was to demonstrate sufficient evidence to include the treatment of psoriasis vulgaris on non-scalp areas of the body.</w:t>
      </w:r>
    </w:p>
    <w:p w:rsidR="0071245A" w:rsidRPr="0071245A" w:rsidRDefault="0071245A" w:rsidP="006B20A2">
      <w:pPr>
        <w:pStyle w:val="Heading4"/>
      </w:pPr>
      <w:bookmarkStart w:id="35" w:name="_Toc272414609"/>
      <w:bookmarkStart w:id="36" w:name="_Toc290846231"/>
      <w:bookmarkStart w:id="37" w:name="_Toc342054286"/>
      <w:bookmarkStart w:id="38" w:name="_Toc361905200"/>
      <w:r w:rsidRPr="0071245A">
        <w:t>Guidance</w:t>
      </w:r>
      <w:bookmarkEnd w:id="35"/>
      <w:bookmarkEnd w:id="36"/>
      <w:bookmarkEnd w:id="37"/>
      <w:bookmarkEnd w:id="38"/>
    </w:p>
    <w:p w:rsidR="0071245A" w:rsidRPr="0071245A" w:rsidRDefault="0071245A" w:rsidP="006B20A2">
      <w:r w:rsidRPr="0071245A">
        <w:t>The TGA has adopted the following EU Guideline with amendment: “Guideline on Clinical Investigation of Medicinal Products Indicated for the Treatment of Psoriasis. (CHMP/EWP/2454/02)”. This guideline became effective in Europe in June2004 and in Australia in July 2005.</w:t>
      </w:r>
    </w:p>
    <w:p w:rsidR="0071245A" w:rsidRPr="0071245A" w:rsidRDefault="0071245A" w:rsidP="006B20A2">
      <w:r w:rsidRPr="0071245A">
        <w:t>The key points of this guideline are:</w:t>
      </w:r>
    </w:p>
    <w:p w:rsidR="0071245A" w:rsidRPr="006B20A2" w:rsidRDefault="0071245A" w:rsidP="006B20A2">
      <w:pPr>
        <w:pStyle w:val="ListBullet"/>
      </w:pPr>
      <w:r w:rsidRPr="006B20A2">
        <w:t>There are no validated diagnostic criteria for psoriasis, the diagnosis being clinical and histological confirmation not necessary.</w:t>
      </w:r>
    </w:p>
    <w:p w:rsidR="0071245A" w:rsidRPr="006B20A2" w:rsidRDefault="0071245A" w:rsidP="006B20A2">
      <w:pPr>
        <w:pStyle w:val="ListBullet"/>
      </w:pPr>
      <w:r w:rsidRPr="006B20A2">
        <w:t>In previously treated patients a washout period is necessary to avoid unnecessary rebound of psoriasis.</w:t>
      </w:r>
    </w:p>
    <w:p w:rsidR="0071245A" w:rsidRPr="006B20A2" w:rsidRDefault="0071245A" w:rsidP="006B20A2">
      <w:pPr>
        <w:pStyle w:val="ListBullet"/>
      </w:pPr>
      <w:r w:rsidRPr="006B20A2">
        <w:t>Inter-individual comparison with parallel groups is the recommended study design.</w:t>
      </w:r>
    </w:p>
    <w:p w:rsidR="0071245A" w:rsidRPr="006B20A2" w:rsidRDefault="0071245A" w:rsidP="006B20A2">
      <w:pPr>
        <w:pStyle w:val="ListBullet"/>
      </w:pPr>
      <w:r w:rsidRPr="006B20A2">
        <w:t>A duration of 8 to 12 weeks is generally sufficient to show short term efficacy with specified assessments at a minimum of 0, 4, 8 and 12 weeks.</w:t>
      </w:r>
    </w:p>
    <w:p w:rsidR="0071245A" w:rsidRPr="006B20A2" w:rsidRDefault="0071245A" w:rsidP="006B20A2">
      <w:pPr>
        <w:pStyle w:val="ListBullet"/>
      </w:pPr>
      <w:r w:rsidRPr="006B20A2">
        <w:t>A least one confirmatory trial should include an observation period of at least 2 months in order to explore the duration of remission/response, rebound and time to relapse.</w:t>
      </w:r>
    </w:p>
    <w:p w:rsidR="0071245A" w:rsidRPr="006B20A2" w:rsidRDefault="0071245A" w:rsidP="006B20A2">
      <w:pPr>
        <w:pStyle w:val="ListBullet"/>
      </w:pPr>
      <w:r w:rsidRPr="006B20A2">
        <w:t>Psoriasis is a seasonal, chron</w:t>
      </w:r>
      <w:r w:rsidR="00991D16" w:rsidRPr="006B20A2">
        <w:t xml:space="preserve">ic relapsing disease and so one </w:t>
      </w:r>
      <w:r w:rsidRPr="006B20A2">
        <w:t>year intermittent or prolonged use is recommended.</w:t>
      </w:r>
    </w:p>
    <w:p w:rsidR="0071245A" w:rsidRPr="006B20A2" w:rsidRDefault="0071245A" w:rsidP="006B20A2">
      <w:pPr>
        <w:pStyle w:val="ListBullet"/>
      </w:pPr>
      <w:r w:rsidRPr="006B20A2">
        <w:t>Body surface area (BSA) affected by psoriasis and Psoriasis Area and Severity Index (PASI) scores are recommended methods to assess psoriasis severity. Physician global assessment (PGA) of psoriasis severity is also used. Training of investigators prior to study start may decrease inter-observer variability.</w:t>
      </w:r>
    </w:p>
    <w:p w:rsidR="0071245A" w:rsidRPr="006B20A2" w:rsidRDefault="0071245A" w:rsidP="006B20A2">
      <w:pPr>
        <w:pStyle w:val="ListBullet"/>
      </w:pPr>
      <w:r w:rsidRPr="006B20A2">
        <w:t>PASI alone is not sufficient to evaluate psoriasis severity at baseline and on treatment. It is recommended to use at least 2 endpoints to assess efficacy: a validate</w:t>
      </w:r>
      <w:r w:rsidR="00991D16" w:rsidRPr="006B20A2">
        <w:t>d, standardised global scale (for example,</w:t>
      </w:r>
      <w:r w:rsidRPr="006B20A2">
        <w:t xml:space="preserve"> PGA) in conjunction with PASI.</w:t>
      </w:r>
    </w:p>
    <w:p w:rsidR="0071245A" w:rsidRPr="006B20A2" w:rsidRDefault="0071245A" w:rsidP="006B20A2">
      <w:pPr>
        <w:pStyle w:val="ListBullet"/>
      </w:pPr>
      <w:r w:rsidRPr="006B20A2">
        <w:t>The best evidence of efficacy is the percentage of patients who achieve the result of “clear or almost clear” (PASI &gt;90%) on treatment.</w:t>
      </w:r>
    </w:p>
    <w:p w:rsidR="0071245A" w:rsidRPr="006B20A2" w:rsidRDefault="0071245A" w:rsidP="006B20A2">
      <w:pPr>
        <w:pStyle w:val="ListBullet"/>
      </w:pPr>
      <w:r w:rsidRPr="006B20A2">
        <w:t>&gt;50% and &gt;75% improvements compared to baseline have been considered as clinically meaningful. Clear or almost clear has been defined as an improvement of PASI &gt;90%.</w:t>
      </w:r>
    </w:p>
    <w:p w:rsidR="0071245A" w:rsidRPr="006B20A2" w:rsidRDefault="0071245A" w:rsidP="006B20A2">
      <w:pPr>
        <w:pStyle w:val="ListBullet"/>
      </w:pPr>
      <w:r w:rsidRPr="006B20A2">
        <w:t>A reduction in the PASI score &lt;50% is currently not considered as an acceptable demonstration of treatment response.</w:t>
      </w:r>
    </w:p>
    <w:p w:rsidR="0071245A" w:rsidRPr="0071245A" w:rsidRDefault="0071245A" w:rsidP="006B20A2">
      <w:pPr>
        <w:pStyle w:val="Heading4"/>
      </w:pPr>
      <w:bookmarkStart w:id="39" w:name="_Toc361905201"/>
      <w:r w:rsidRPr="0071245A">
        <w:t>Contents of the clinical dossier</w:t>
      </w:r>
      <w:bookmarkEnd w:id="39"/>
    </w:p>
    <w:p w:rsidR="0071245A" w:rsidRPr="0071245A" w:rsidRDefault="0071245A" w:rsidP="006B20A2">
      <w:pPr>
        <w:pStyle w:val="Heading5"/>
      </w:pPr>
      <w:bookmarkStart w:id="40" w:name="_Toc361905202"/>
      <w:r w:rsidRPr="0071245A">
        <w:t>Scope of the clinical dossier</w:t>
      </w:r>
      <w:bookmarkEnd w:id="40"/>
    </w:p>
    <w:p w:rsidR="0071245A" w:rsidRPr="0071245A" w:rsidRDefault="0071245A" w:rsidP="006B20A2">
      <w:r w:rsidRPr="0071245A">
        <w:t>The clinical dossier documented a development program of pharmacodynamic, pivotal and other clinical trials relating to the proposed extension of indication.</w:t>
      </w:r>
    </w:p>
    <w:p w:rsidR="0071245A" w:rsidRPr="0071245A" w:rsidRDefault="0071245A" w:rsidP="006B20A2">
      <w:r w:rsidRPr="0071245A">
        <w:t>The submission contained the following clinical information:</w:t>
      </w:r>
    </w:p>
    <w:p w:rsidR="0071245A" w:rsidRPr="0071245A" w:rsidRDefault="0071245A" w:rsidP="006B20A2">
      <w:pPr>
        <w:pStyle w:val="Heading6"/>
      </w:pPr>
      <w:r w:rsidRPr="0071245A">
        <w:t xml:space="preserve">Module 5: </w:t>
      </w:r>
    </w:p>
    <w:p w:rsidR="0071245A" w:rsidRPr="006B20A2" w:rsidRDefault="0071245A" w:rsidP="006B20A2">
      <w:pPr>
        <w:pStyle w:val="ListBullet"/>
      </w:pPr>
      <w:r w:rsidRPr="006B20A2">
        <w:t xml:space="preserve">1 x clinical pharmacology study (LEO80185-G24), which aimed to provide </w:t>
      </w:r>
      <w:proofErr w:type="spellStart"/>
      <w:r w:rsidRPr="006B20A2">
        <w:t>pharmacodynamic</w:t>
      </w:r>
      <w:proofErr w:type="spellEnd"/>
      <w:r w:rsidRPr="006B20A2">
        <w:t xml:space="preserve"> and pharmacokinetic data</w:t>
      </w:r>
    </w:p>
    <w:p w:rsidR="0071245A" w:rsidRPr="006B20A2" w:rsidRDefault="0071245A" w:rsidP="006B20A2">
      <w:pPr>
        <w:pStyle w:val="ListBullet"/>
      </w:pPr>
      <w:r w:rsidRPr="006B20A2">
        <w:t>2 x pivotal comparative efficacy/safety studies (LEO80185-G23 and LEO80185-G21)</w:t>
      </w:r>
    </w:p>
    <w:p w:rsidR="0071245A" w:rsidRPr="006B20A2" w:rsidRDefault="0071245A" w:rsidP="006B20A2">
      <w:pPr>
        <w:pStyle w:val="ListBullet"/>
      </w:pPr>
      <w:r w:rsidRPr="006B20A2">
        <w:t>2 x other efficacy/safety studies (MBL0202INT and PLQ-001)</w:t>
      </w:r>
    </w:p>
    <w:p w:rsidR="0071245A" w:rsidRPr="006B20A2" w:rsidRDefault="0071245A" w:rsidP="006B20A2">
      <w:pPr>
        <w:pStyle w:val="ListBullet"/>
      </w:pPr>
      <w:r w:rsidRPr="006B20A2">
        <w:t xml:space="preserve">3 x </w:t>
      </w:r>
      <w:r w:rsidR="00F305F7" w:rsidRPr="006B20A2">
        <w:t>periodic safety update reports (</w:t>
      </w:r>
      <w:r w:rsidRPr="006B20A2">
        <w:t>PSURs</w:t>
      </w:r>
      <w:r w:rsidR="00F305F7" w:rsidRPr="006B20A2">
        <w:t>)</w:t>
      </w:r>
      <w:r w:rsidRPr="006B20A2">
        <w:t>, Integrated Summary of Efficacy (which was identical to the Module 2 Summary of Clinical Efficacy), Integrated Summary of Safety (which was identical to the Module 2 Summary of Clinical Safety)</w:t>
      </w:r>
    </w:p>
    <w:p w:rsidR="0071245A" w:rsidRPr="0071245A" w:rsidRDefault="0071245A" w:rsidP="006B20A2">
      <w:pPr>
        <w:pStyle w:val="Heading6"/>
      </w:pPr>
      <w:r w:rsidRPr="0071245A">
        <w:t>Module 1:</w:t>
      </w:r>
    </w:p>
    <w:p w:rsidR="0071245A" w:rsidRPr="0071245A" w:rsidRDefault="0071245A" w:rsidP="006B20A2">
      <w:r w:rsidRPr="0071245A">
        <w:t xml:space="preserve">Application letter, application form, draft Australian PI and </w:t>
      </w:r>
      <w:r w:rsidR="00F305F7">
        <w:t>consumer medicine information (</w:t>
      </w:r>
      <w:r w:rsidRPr="0071245A">
        <w:t>CMI</w:t>
      </w:r>
      <w:r w:rsidR="00F305F7">
        <w:t>)</w:t>
      </w:r>
      <w:r w:rsidRPr="0071245A">
        <w:t xml:space="preserve">, FDA-proposed product label, European Summary of Product Characteristics </w:t>
      </w:r>
      <w:r w:rsidR="00F305F7">
        <w:t>(</w:t>
      </w:r>
      <w:proofErr w:type="spellStart"/>
      <w:r w:rsidR="00F305F7">
        <w:t>SmPC</w:t>
      </w:r>
      <w:proofErr w:type="spellEnd"/>
      <w:r w:rsidR="00F305F7">
        <w:t xml:space="preserve">) </w:t>
      </w:r>
      <w:r w:rsidRPr="0071245A">
        <w:t>as approved in the Netherlands, Sweden and the UK</w:t>
      </w:r>
      <w:r w:rsidR="00F305F7">
        <w:t>,</w:t>
      </w:r>
      <w:r w:rsidRPr="0071245A">
        <w:t xml:space="preserve"> and Pre-Submission Details. No Risk Management Plan </w:t>
      </w:r>
      <w:r w:rsidR="00F305F7">
        <w:t xml:space="preserve">(RMP) </w:t>
      </w:r>
      <w:r w:rsidRPr="0071245A">
        <w:t xml:space="preserve">was included. </w:t>
      </w:r>
    </w:p>
    <w:p w:rsidR="0071245A" w:rsidRPr="0071245A" w:rsidRDefault="0071245A" w:rsidP="006B20A2">
      <w:pPr>
        <w:pStyle w:val="Heading6"/>
      </w:pPr>
      <w:r w:rsidRPr="0071245A">
        <w:t>Module 2:</w:t>
      </w:r>
    </w:p>
    <w:p w:rsidR="0071245A" w:rsidRPr="0071245A" w:rsidRDefault="0071245A" w:rsidP="006B20A2">
      <w:r w:rsidRPr="0071245A">
        <w:t>Clinical Overview, Summary of Clinical Pharmacology, Summary of Clinical Efficacy, Summary of Clinical Safety and literature references.</w:t>
      </w:r>
    </w:p>
    <w:p w:rsidR="0071245A" w:rsidRPr="0071245A" w:rsidRDefault="0071245A" w:rsidP="006B20A2">
      <w:pPr>
        <w:pStyle w:val="Heading4"/>
      </w:pPr>
      <w:bookmarkStart w:id="41" w:name="_Toc361905203"/>
      <w:r w:rsidRPr="0071245A">
        <w:t>Paediatric data</w:t>
      </w:r>
      <w:bookmarkEnd w:id="41"/>
    </w:p>
    <w:p w:rsidR="0071245A" w:rsidRPr="0071245A" w:rsidRDefault="0071245A" w:rsidP="006B20A2">
      <w:r w:rsidRPr="0071245A">
        <w:t>The submission did not include paediatric data.</w:t>
      </w:r>
    </w:p>
    <w:p w:rsidR="0071245A" w:rsidRPr="0071245A" w:rsidRDefault="0071245A" w:rsidP="006B20A2">
      <w:pPr>
        <w:pStyle w:val="Heading4"/>
      </w:pPr>
      <w:bookmarkStart w:id="42" w:name="_Toc361905204"/>
      <w:r w:rsidRPr="0071245A">
        <w:t>Good clinical practice</w:t>
      </w:r>
      <w:bookmarkEnd w:id="42"/>
    </w:p>
    <w:p w:rsidR="0071245A" w:rsidRPr="0071245A" w:rsidRDefault="0071245A" w:rsidP="006B20A2">
      <w:bookmarkStart w:id="43" w:name="_Toc241374282"/>
      <w:r w:rsidRPr="0071245A">
        <w:t xml:space="preserve">The clinical studies were conducted in the USA, </w:t>
      </w:r>
      <w:r w:rsidR="00F305F7">
        <w:t>European Union (</w:t>
      </w:r>
      <w:r w:rsidRPr="0071245A">
        <w:t>EU</w:t>
      </w:r>
      <w:r w:rsidR="00F305F7">
        <w:t>)</w:t>
      </w:r>
      <w:r w:rsidRPr="0071245A">
        <w:t xml:space="preserve"> and Canada. All studies were conducted in accordance with Good Clinical Practice and with the principles of the Declaration of Helsinki as adopted in 1964 and subsequent amendments and with national regulatory requirements. The protocols were reviewed by institutional or independent ethics committees and all patients signed written informed consent prior to study participation.</w:t>
      </w:r>
    </w:p>
    <w:p w:rsidR="008E7846" w:rsidRPr="00254787" w:rsidRDefault="008E7846" w:rsidP="006B20A2">
      <w:pPr>
        <w:pStyle w:val="Heading3"/>
      </w:pPr>
      <w:bookmarkStart w:id="44" w:name="_Toc196046464"/>
      <w:bookmarkStart w:id="45" w:name="_Toc247691518"/>
      <w:bookmarkStart w:id="46" w:name="_Toc314842502"/>
      <w:bookmarkStart w:id="47" w:name="_Toc368490580"/>
      <w:bookmarkEnd w:id="43"/>
      <w:r w:rsidRPr="00254787">
        <w:t>Pharmacokinetics</w:t>
      </w:r>
      <w:bookmarkEnd w:id="27"/>
      <w:bookmarkEnd w:id="44"/>
      <w:bookmarkEnd w:id="45"/>
      <w:bookmarkEnd w:id="46"/>
      <w:bookmarkEnd w:id="47"/>
    </w:p>
    <w:p w:rsidR="00EA5BE3" w:rsidRPr="00EA5BE3" w:rsidRDefault="00EA5BE3" w:rsidP="006B20A2">
      <w:pPr>
        <w:pStyle w:val="Heading4"/>
      </w:pPr>
      <w:bookmarkStart w:id="48" w:name="_Ref271017296"/>
      <w:bookmarkStart w:id="49" w:name="_Ref271018924"/>
      <w:bookmarkStart w:id="50" w:name="_Ref271018934"/>
      <w:bookmarkStart w:id="51" w:name="_Toc361905206"/>
      <w:bookmarkStart w:id="52" w:name="_Toc272414614"/>
      <w:bookmarkStart w:id="53" w:name="_Toc290846238"/>
      <w:bookmarkStart w:id="54" w:name="_Toc342054293"/>
      <w:r w:rsidRPr="00EA5BE3">
        <w:t>Studies</w:t>
      </w:r>
      <w:bookmarkEnd w:id="48"/>
      <w:bookmarkEnd w:id="49"/>
      <w:bookmarkEnd w:id="50"/>
      <w:r w:rsidRPr="00EA5BE3">
        <w:t xml:space="preserve"> providing pharmacokinetic data</w:t>
      </w:r>
      <w:bookmarkEnd w:id="51"/>
      <w:bookmarkEnd w:id="52"/>
      <w:bookmarkEnd w:id="53"/>
      <w:bookmarkEnd w:id="54"/>
    </w:p>
    <w:p w:rsidR="00EA5BE3" w:rsidRPr="00EA5BE3" w:rsidRDefault="00EA5BE3" w:rsidP="006B20A2">
      <w:r w:rsidRPr="00EA5BE3">
        <w:t xml:space="preserve">No pharmacokinetic (PK) data was provided in the submission. </w:t>
      </w:r>
    </w:p>
    <w:p w:rsidR="00EA5BE3" w:rsidRPr="00EA5BE3" w:rsidRDefault="00EA5BE3" w:rsidP="006B20A2">
      <w:r w:rsidRPr="00EA5BE3">
        <w:t xml:space="preserve">One study (LEO80185-G24) aimed to collect PK data but none of the PK parameters could be calculated because only a minority of patients had values above the lower detection limit. This study also collected </w:t>
      </w:r>
      <w:r w:rsidR="00F305F7">
        <w:t>pharmacodynamics (</w:t>
      </w:r>
      <w:r w:rsidRPr="00EA5BE3">
        <w:t>PD</w:t>
      </w:r>
      <w:r w:rsidR="00F305F7">
        <w:t>)</w:t>
      </w:r>
      <w:r w:rsidRPr="00EA5BE3">
        <w:t xml:space="preserve"> data.</w:t>
      </w:r>
    </w:p>
    <w:p w:rsidR="00EA5BE3" w:rsidRPr="00EA5BE3" w:rsidRDefault="00EA5BE3" w:rsidP="006B20A2">
      <w:pPr>
        <w:pStyle w:val="Heading4"/>
      </w:pPr>
      <w:bookmarkStart w:id="55" w:name="_Toc342054295"/>
      <w:bookmarkStart w:id="56" w:name="_Toc290846258"/>
      <w:bookmarkStart w:id="57" w:name="_Toc272414635"/>
      <w:bookmarkStart w:id="58" w:name="_Ref271018755"/>
      <w:bookmarkStart w:id="59" w:name="_Ref271018704"/>
      <w:bookmarkStart w:id="60" w:name="_Ref269982040"/>
      <w:bookmarkStart w:id="61" w:name="_Toc241374296"/>
      <w:bookmarkStart w:id="62" w:name="_Toc361905207"/>
      <w:r w:rsidRPr="00EA5BE3">
        <w:t>Evaluator’s overall conclusions on pharmacokinetics</w:t>
      </w:r>
      <w:bookmarkEnd w:id="55"/>
      <w:bookmarkEnd w:id="56"/>
      <w:bookmarkEnd w:id="57"/>
      <w:bookmarkEnd w:id="58"/>
      <w:bookmarkEnd w:id="59"/>
      <w:bookmarkEnd w:id="60"/>
      <w:bookmarkEnd w:id="61"/>
      <w:bookmarkEnd w:id="62"/>
    </w:p>
    <w:p w:rsidR="00EA5BE3" w:rsidRPr="00EA5BE3" w:rsidRDefault="00EA5BE3" w:rsidP="006B20A2">
      <w:r w:rsidRPr="00EA5BE3">
        <w:t>No information is provided on the dose selection or how the gel is applied to the skin (</w:t>
      </w:r>
      <w:r w:rsidR="00F305F7">
        <w:t xml:space="preserve">for example, </w:t>
      </w:r>
      <w:r w:rsidRPr="00EA5BE3">
        <w:t>thickness). No information is provided on drug interactions</w:t>
      </w:r>
      <w:r w:rsidR="00F305F7">
        <w:t>;</w:t>
      </w:r>
      <w:r w:rsidRPr="00EA5BE3">
        <w:t xml:space="preserve"> reference is made to the previously approved ointment formulation.</w:t>
      </w:r>
    </w:p>
    <w:p w:rsidR="00EA5BE3" w:rsidRPr="00EA5BE3" w:rsidRDefault="00EA5BE3" w:rsidP="006B20A2">
      <w:r w:rsidRPr="00EA5BE3">
        <w:t>No information is provided in the study reports on how or when the patients applied the cream. The study protocol</w:t>
      </w:r>
      <w:r w:rsidR="00991D16">
        <w:t>s only provided the information</w:t>
      </w:r>
      <w:r w:rsidRPr="00EA5BE3">
        <w:t xml:space="preserve"> “To be applied once daily on psoriasis vulgaris lesions on the trunk, arms and legs”. There were no specific instructions as to time of day for dosing.</w:t>
      </w:r>
    </w:p>
    <w:p w:rsidR="00EA5BE3" w:rsidRPr="00EA5BE3" w:rsidRDefault="00EA5BE3" w:rsidP="006B20A2">
      <w:r w:rsidRPr="00EA5BE3">
        <w:t>The instructions to the patients outlined in the protocols are similar for the clinical trials.</w:t>
      </w:r>
    </w:p>
    <w:p w:rsidR="008E7846" w:rsidRDefault="008E7846" w:rsidP="006B20A2">
      <w:pPr>
        <w:pStyle w:val="Heading3"/>
      </w:pPr>
      <w:bookmarkStart w:id="63" w:name="_Toc196046481"/>
      <w:bookmarkStart w:id="64" w:name="_Toc247691520"/>
      <w:bookmarkStart w:id="65" w:name="_Toc314842503"/>
      <w:bookmarkStart w:id="66" w:name="_Toc368490581"/>
      <w:r w:rsidRPr="00254787">
        <w:t>Pharmacodynamics</w:t>
      </w:r>
      <w:bookmarkEnd w:id="28"/>
      <w:bookmarkEnd w:id="63"/>
      <w:bookmarkEnd w:id="64"/>
      <w:bookmarkEnd w:id="65"/>
      <w:bookmarkEnd w:id="66"/>
    </w:p>
    <w:p w:rsidR="00EA5BE3" w:rsidRPr="00EA5BE3" w:rsidRDefault="00EA5BE3" w:rsidP="006B20A2">
      <w:pPr>
        <w:pStyle w:val="Heading4"/>
      </w:pPr>
      <w:bookmarkStart w:id="67" w:name="_Toc361905209"/>
      <w:bookmarkStart w:id="68" w:name="_Toc342054297"/>
      <w:bookmarkStart w:id="69" w:name="_Toc290846260"/>
      <w:bookmarkStart w:id="70" w:name="_Toc272414637"/>
      <w:r w:rsidRPr="00EA5BE3">
        <w:t>Studies providing pharmacodynamic data</w:t>
      </w:r>
      <w:bookmarkEnd w:id="67"/>
      <w:bookmarkEnd w:id="68"/>
      <w:bookmarkEnd w:id="69"/>
      <w:bookmarkEnd w:id="70"/>
    </w:p>
    <w:p w:rsidR="00EA5BE3" w:rsidRPr="00EA5BE3" w:rsidRDefault="00EA5BE3" w:rsidP="006B20A2">
      <w:r w:rsidRPr="00EA5BE3">
        <w:t xml:space="preserve">The table below shows the studies relating to each PD topic. Only one new </w:t>
      </w:r>
      <w:r w:rsidR="00991D16">
        <w:t xml:space="preserve">PD </w:t>
      </w:r>
      <w:r w:rsidRPr="00EA5BE3">
        <w:t>study was included in this submission.</w:t>
      </w:r>
    </w:p>
    <w:p w:rsidR="00EA5BE3" w:rsidRPr="00881540" w:rsidRDefault="00EA5BE3" w:rsidP="006B20A2">
      <w:pPr>
        <w:pStyle w:val="TableTitle"/>
      </w:pPr>
      <w:bookmarkStart w:id="71" w:name="_Ref269985397"/>
      <w:bookmarkStart w:id="72" w:name="_Toc342054225"/>
      <w:r w:rsidRPr="00881540">
        <w:t xml:space="preserve">Table </w:t>
      </w:r>
      <w:bookmarkEnd w:id="71"/>
      <w:r w:rsidR="006C2B37" w:rsidRPr="00881540">
        <w:t>6</w:t>
      </w:r>
      <w:r w:rsidRPr="00881540">
        <w:t>. Submitted pharmacodynamic studies</w:t>
      </w:r>
      <w:bookmarkEnd w:id="72"/>
    </w:p>
    <w:tbl>
      <w:tblPr>
        <w:tblStyle w:val="TableTGAblue"/>
        <w:tblW w:w="0" w:type="auto"/>
        <w:tblLayout w:type="fixed"/>
        <w:tblLook w:val="04A0"/>
      </w:tblPr>
      <w:tblGrid>
        <w:gridCol w:w="2093"/>
        <w:gridCol w:w="2551"/>
        <w:gridCol w:w="1843"/>
        <w:gridCol w:w="1755"/>
      </w:tblGrid>
      <w:tr w:rsidR="00EA5BE3" w:rsidRPr="006B20A2" w:rsidTr="006B20A2">
        <w:trPr>
          <w:cnfStyle w:val="100000000000"/>
          <w:tblHeader/>
        </w:trPr>
        <w:tc>
          <w:tcPr>
            <w:tcW w:w="2093" w:type="dxa"/>
            <w:hideMark/>
          </w:tcPr>
          <w:p w:rsidR="00EA5BE3" w:rsidRPr="006B20A2" w:rsidRDefault="00EA5BE3" w:rsidP="006B20A2">
            <w:pPr>
              <w:rPr>
                <w:sz w:val="19"/>
                <w:szCs w:val="19"/>
              </w:rPr>
            </w:pPr>
            <w:r w:rsidRPr="006B20A2">
              <w:rPr>
                <w:sz w:val="19"/>
                <w:szCs w:val="19"/>
              </w:rPr>
              <w:t>PD Topic</w:t>
            </w:r>
          </w:p>
        </w:tc>
        <w:tc>
          <w:tcPr>
            <w:tcW w:w="2551" w:type="dxa"/>
            <w:hideMark/>
          </w:tcPr>
          <w:p w:rsidR="00EA5BE3" w:rsidRPr="006B20A2" w:rsidRDefault="00EA5BE3" w:rsidP="006B20A2">
            <w:pPr>
              <w:rPr>
                <w:sz w:val="19"/>
                <w:szCs w:val="19"/>
              </w:rPr>
            </w:pPr>
            <w:r w:rsidRPr="006B20A2">
              <w:rPr>
                <w:sz w:val="19"/>
                <w:szCs w:val="19"/>
              </w:rPr>
              <w:t>Subtopic</w:t>
            </w:r>
          </w:p>
        </w:tc>
        <w:tc>
          <w:tcPr>
            <w:tcW w:w="1843" w:type="dxa"/>
            <w:hideMark/>
          </w:tcPr>
          <w:p w:rsidR="00EA5BE3" w:rsidRPr="006B20A2" w:rsidRDefault="00EA5BE3" w:rsidP="006B20A2">
            <w:pPr>
              <w:rPr>
                <w:sz w:val="19"/>
                <w:szCs w:val="19"/>
              </w:rPr>
            </w:pPr>
            <w:r w:rsidRPr="006B20A2">
              <w:rPr>
                <w:sz w:val="19"/>
                <w:szCs w:val="19"/>
              </w:rPr>
              <w:t>Study ID</w:t>
            </w:r>
          </w:p>
        </w:tc>
        <w:tc>
          <w:tcPr>
            <w:tcW w:w="1755" w:type="dxa"/>
            <w:hideMark/>
          </w:tcPr>
          <w:p w:rsidR="00EA5BE3" w:rsidRPr="006B20A2" w:rsidRDefault="00EA5BE3" w:rsidP="006B20A2">
            <w:pPr>
              <w:rPr>
                <w:sz w:val="19"/>
                <w:szCs w:val="19"/>
              </w:rPr>
            </w:pPr>
            <w:r w:rsidRPr="006B20A2">
              <w:rPr>
                <w:sz w:val="19"/>
                <w:szCs w:val="19"/>
              </w:rPr>
              <w:t>Primary Aim of Study</w:t>
            </w:r>
          </w:p>
        </w:tc>
      </w:tr>
      <w:tr w:rsidR="00EA5BE3" w:rsidRPr="006B20A2" w:rsidTr="006B20A2">
        <w:tc>
          <w:tcPr>
            <w:tcW w:w="2093" w:type="dxa"/>
            <w:hideMark/>
          </w:tcPr>
          <w:p w:rsidR="00EA5BE3" w:rsidRPr="006B20A2" w:rsidRDefault="00EA5BE3" w:rsidP="006B20A2">
            <w:pPr>
              <w:rPr>
                <w:color w:val="000000"/>
                <w:sz w:val="19"/>
                <w:szCs w:val="19"/>
              </w:rPr>
            </w:pPr>
            <w:r w:rsidRPr="006B20A2">
              <w:rPr>
                <w:color w:val="000000"/>
                <w:sz w:val="19"/>
                <w:szCs w:val="19"/>
              </w:rPr>
              <w:t>Primary Pharmacology</w:t>
            </w:r>
          </w:p>
        </w:tc>
        <w:tc>
          <w:tcPr>
            <w:tcW w:w="2551" w:type="dxa"/>
            <w:hideMark/>
          </w:tcPr>
          <w:p w:rsidR="00EA5BE3" w:rsidRPr="006B20A2" w:rsidRDefault="00EA5BE3" w:rsidP="006B20A2">
            <w:pPr>
              <w:rPr>
                <w:color w:val="000000"/>
                <w:sz w:val="19"/>
                <w:szCs w:val="19"/>
              </w:rPr>
            </w:pPr>
            <w:r w:rsidRPr="006B20A2">
              <w:rPr>
                <w:color w:val="000000"/>
                <w:sz w:val="19"/>
                <w:szCs w:val="19"/>
              </w:rPr>
              <w:t xml:space="preserve">Effect on </w:t>
            </w:r>
            <w:r w:rsidR="00991D16" w:rsidRPr="006B20A2">
              <w:rPr>
                <w:color w:val="000000"/>
                <w:sz w:val="19"/>
                <w:szCs w:val="19"/>
              </w:rPr>
              <w:t>hypothalamic-pituitary-adrenal (</w:t>
            </w:r>
            <w:r w:rsidRPr="006B20A2">
              <w:rPr>
                <w:color w:val="000000"/>
                <w:sz w:val="19"/>
                <w:szCs w:val="19"/>
              </w:rPr>
              <w:t>HPA</w:t>
            </w:r>
            <w:r w:rsidR="00991D16" w:rsidRPr="006B20A2">
              <w:rPr>
                <w:color w:val="000000"/>
                <w:sz w:val="19"/>
                <w:szCs w:val="19"/>
              </w:rPr>
              <w:t>)</w:t>
            </w:r>
            <w:r w:rsidRPr="006B20A2">
              <w:rPr>
                <w:color w:val="000000"/>
                <w:sz w:val="19"/>
                <w:szCs w:val="19"/>
              </w:rPr>
              <w:t xml:space="preserve"> axis and calcium metabolism</w:t>
            </w:r>
          </w:p>
        </w:tc>
        <w:tc>
          <w:tcPr>
            <w:tcW w:w="1843" w:type="dxa"/>
            <w:hideMark/>
          </w:tcPr>
          <w:p w:rsidR="00EA5BE3" w:rsidRPr="006B20A2" w:rsidRDefault="00EA5BE3" w:rsidP="006B20A2">
            <w:pPr>
              <w:rPr>
                <w:color w:val="000000"/>
                <w:sz w:val="19"/>
                <w:szCs w:val="19"/>
              </w:rPr>
            </w:pPr>
            <w:r w:rsidRPr="006B20A2">
              <w:rPr>
                <w:color w:val="000000"/>
                <w:sz w:val="19"/>
                <w:szCs w:val="19"/>
              </w:rPr>
              <w:t>LEO80185-G24</w:t>
            </w:r>
          </w:p>
        </w:tc>
        <w:tc>
          <w:tcPr>
            <w:tcW w:w="1755" w:type="dxa"/>
            <w:hideMark/>
          </w:tcPr>
          <w:p w:rsidR="00EA5BE3" w:rsidRPr="006B20A2" w:rsidRDefault="00EA5BE3" w:rsidP="006B20A2">
            <w:pPr>
              <w:rPr>
                <w:color w:val="000000"/>
                <w:sz w:val="19"/>
                <w:szCs w:val="19"/>
              </w:rPr>
            </w:pPr>
            <w:r w:rsidRPr="006B20A2">
              <w:rPr>
                <w:color w:val="000000"/>
                <w:sz w:val="19"/>
                <w:szCs w:val="19"/>
              </w:rPr>
              <w:t>HPA suppression</w:t>
            </w:r>
          </w:p>
        </w:tc>
      </w:tr>
      <w:tr w:rsidR="00EA5BE3" w:rsidRPr="006B20A2" w:rsidTr="006B20A2">
        <w:tc>
          <w:tcPr>
            <w:tcW w:w="2093" w:type="dxa"/>
            <w:hideMark/>
          </w:tcPr>
          <w:p w:rsidR="00EA5BE3" w:rsidRPr="006B20A2" w:rsidRDefault="00EA5BE3" w:rsidP="006B20A2">
            <w:pPr>
              <w:rPr>
                <w:color w:val="000000"/>
                <w:sz w:val="19"/>
                <w:szCs w:val="19"/>
              </w:rPr>
            </w:pPr>
            <w:r w:rsidRPr="006B20A2">
              <w:rPr>
                <w:color w:val="000000"/>
                <w:sz w:val="19"/>
                <w:szCs w:val="19"/>
              </w:rPr>
              <w:t>Secondary Pharmacology</w:t>
            </w:r>
          </w:p>
        </w:tc>
        <w:tc>
          <w:tcPr>
            <w:tcW w:w="2551" w:type="dxa"/>
          </w:tcPr>
          <w:p w:rsidR="00EA5BE3" w:rsidRPr="006B20A2" w:rsidRDefault="00EA5BE3" w:rsidP="006B20A2">
            <w:pPr>
              <w:rPr>
                <w:color w:val="000000"/>
                <w:sz w:val="19"/>
                <w:szCs w:val="19"/>
              </w:rPr>
            </w:pPr>
          </w:p>
        </w:tc>
        <w:tc>
          <w:tcPr>
            <w:tcW w:w="1843" w:type="dxa"/>
            <w:hideMark/>
          </w:tcPr>
          <w:p w:rsidR="00EA5BE3" w:rsidRPr="006B20A2" w:rsidRDefault="00EA5BE3" w:rsidP="006B20A2">
            <w:pPr>
              <w:rPr>
                <w:color w:val="000000"/>
                <w:sz w:val="19"/>
                <w:szCs w:val="19"/>
              </w:rPr>
            </w:pPr>
            <w:r w:rsidRPr="006B20A2">
              <w:rPr>
                <w:color w:val="000000"/>
                <w:sz w:val="19"/>
                <w:szCs w:val="19"/>
              </w:rPr>
              <w:t>No Study</w:t>
            </w:r>
          </w:p>
        </w:tc>
        <w:tc>
          <w:tcPr>
            <w:tcW w:w="1755" w:type="dxa"/>
          </w:tcPr>
          <w:p w:rsidR="00EA5BE3" w:rsidRPr="006B20A2" w:rsidRDefault="00EA5BE3" w:rsidP="006B20A2">
            <w:pPr>
              <w:rPr>
                <w:color w:val="000000"/>
                <w:sz w:val="19"/>
                <w:szCs w:val="19"/>
              </w:rPr>
            </w:pPr>
          </w:p>
        </w:tc>
      </w:tr>
      <w:tr w:rsidR="00EA5BE3" w:rsidRPr="006B20A2" w:rsidTr="006B20A2">
        <w:tc>
          <w:tcPr>
            <w:tcW w:w="2093" w:type="dxa"/>
            <w:vMerge w:val="restart"/>
            <w:hideMark/>
          </w:tcPr>
          <w:p w:rsidR="00EA5BE3" w:rsidRPr="006B20A2" w:rsidRDefault="00EA5BE3" w:rsidP="006B20A2">
            <w:pPr>
              <w:rPr>
                <w:color w:val="000000"/>
                <w:sz w:val="19"/>
                <w:szCs w:val="19"/>
              </w:rPr>
            </w:pPr>
            <w:r w:rsidRPr="006B20A2">
              <w:rPr>
                <w:color w:val="000000"/>
                <w:sz w:val="19"/>
                <w:szCs w:val="19"/>
              </w:rPr>
              <w:t>Gender</w:t>
            </w:r>
            <w:r w:rsidR="00991D16" w:rsidRPr="006B20A2">
              <w:rPr>
                <w:color w:val="000000"/>
                <w:sz w:val="19"/>
                <w:szCs w:val="19"/>
              </w:rPr>
              <w:t>,</w:t>
            </w:r>
            <w:r w:rsidRPr="006B20A2">
              <w:rPr>
                <w:color w:val="000000"/>
                <w:sz w:val="19"/>
                <w:szCs w:val="19"/>
              </w:rPr>
              <w:t xml:space="preserve"> other genetic and </w:t>
            </w:r>
            <w:r w:rsidR="00991D16" w:rsidRPr="006B20A2">
              <w:rPr>
                <w:color w:val="000000"/>
                <w:sz w:val="19"/>
                <w:szCs w:val="19"/>
              </w:rPr>
              <w:t>a</w:t>
            </w:r>
            <w:r w:rsidRPr="006B20A2">
              <w:rPr>
                <w:color w:val="000000"/>
                <w:sz w:val="19"/>
                <w:szCs w:val="19"/>
              </w:rPr>
              <w:t>ge-</w:t>
            </w:r>
            <w:r w:rsidR="00991D16" w:rsidRPr="006B20A2">
              <w:rPr>
                <w:color w:val="000000"/>
                <w:sz w:val="19"/>
                <w:szCs w:val="19"/>
              </w:rPr>
              <w:t>r</w:t>
            </w:r>
            <w:r w:rsidRPr="006B20A2">
              <w:rPr>
                <w:color w:val="000000"/>
                <w:sz w:val="19"/>
                <w:szCs w:val="19"/>
              </w:rPr>
              <w:t xml:space="preserve">elated </w:t>
            </w:r>
            <w:r w:rsidR="00991D16" w:rsidRPr="006B20A2">
              <w:rPr>
                <w:color w:val="000000"/>
                <w:sz w:val="19"/>
                <w:szCs w:val="19"/>
              </w:rPr>
              <w:t>d</w:t>
            </w:r>
            <w:r w:rsidRPr="006B20A2">
              <w:rPr>
                <w:color w:val="000000"/>
                <w:sz w:val="19"/>
                <w:szCs w:val="19"/>
              </w:rPr>
              <w:t xml:space="preserve">ifferences in PD </w:t>
            </w:r>
            <w:r w:rsidR="00991D16" w:rsidRPr="006B20A2">
              <w:rPr>
                <w:color w:val="000000"/>
                <w:sz w:val="19"/>
                <w:szCs w:val="19"/>
              </w:rPr>
              <w:t>r</w:t>
            </w:r>
            <w:r w:rsidRPr="006B20A2">
              <w:rPr>
                <w:color w:val="000000"/>
                <w:sz w:val="19"/>
                <w:szCs w:val="19"/>
              </w:rPr>
              <w:t>esponse</w:t>
            </w:r>
          </w:p>
        </w:tc>
        <w:tc>
          <w:tcPr>
            <w:tcW w:w="2551" w:type="dxa"/>
            <w:hideMark/>
          </w:tcPr>
          <w:p w:rsidR="00EA5BE3" w:rsidRPr="006B20A2" w:rsidRDefault="00EA5BE3" w:rsidP="006B20A2">
            <w:pPr>
              <w:rPr>
                <w:color w:val="000000"/>
                <w:sz w:val="19"/>
                <w:szCs w:val="19"/>
              </w:rPr>
            </w:pPr>
            <w:r w:rsidRPr="006B20A2">
              <w:rPr>
                <w:color w:val="000000"/>
                <w:sz w:val="19"/>
                <w:szCs w:val="19"/>
              </w:rPr>
              <w:t>Effect of gender</w:t>
            </w:r>
          </w:p>
        </w:tc>
        <w:tc>
          <w:tcPr>
            <w:tcW w:w="1843" w:type="dxa"/>
            <w:hideMark/>
          </w:tcPr>
          <w:p w:rsidR="00EA5BE3" w:rsidRPr="006B20A2" w:rsidRDefault="00EA5BE3" w:rsidP="006B20A2">
            <w:pPr>
              <w:rPr>
                <w:color w:val="000000"/>
                <w:sz w:val="19"/>
                <w:szCs w:val="19"/>
              </w:rPr>
            </w:pPr>
            <w:r w:rsidRPr="006B20A2">
              <w:rPr>
                <w:color w:val="000000"/>
                <w:sz w:val="19"/>
                <w:szCs w:val="19"/>
              </w:rPr>
              <w:t>No Study</w:t>
            </w:r>
          </w:p>
        </w:tc>
        <w:tc>
          <w:tcPr>
            <w:tcW w:w="1755" w:type="dxa"/>
          </w:tcPr>
          <w:p w:rsidR="00EA5BE3" w:rsidRPr="006B20A2" w:rsidRDefault="00EA5BE3" w:rsidP="006B20A2">
            <w:pPr>
              <w:rPr>
                <w:color w:val="000000"/>
                <w:sz w:val="19"/>
                <w:szCs w:val="19"/>
              </w:rPr>
            </w:pPr>
          </w:p>
        </w:tc>
      </w:tr>
      <w:tr w:rsidR="00EA5BE3" w:rsidRPr="006B20A2" w:rsidTr="006B20A2">
        <w:tc>
          <w:tcPr>
            <w:tcW w:w="2093" w:type="dxa"/>
            <w:vMerge/>
            <w:hideMark/>
          </w:tcPr>
          <w:p w:rsidR="00EA5BE3" w:rsidRPr="006B20A2" w:rsidRDefault="00EA5BE3" w:rsidP="006B20A2">
            <w:pPr>
              <w:rPr>
                <w:color w:val="000000"/>
                <w:sz w:val="19"/>
                <w:szCs w:val="19"/>
              </w:rPr>
            </w:pPr>
          </w:p>
        </w:tc>
        <w:tc>
          <w:tcPr>
            <w:tcW w:w="2551" w:type="dxa"/>
            <w:hideMark/>
          </w:tcPr>
          <w:p w:rsidR="00EA5BE3" w:rsidRPr="006B20A2" w:rsidRDefault="00EA5BE3" w:rsidP="006B20A2">
            <w:pPr>
              <w:rPr>
                <w:color w:val="000000"/>
                <w:sz w:val="19"/>
                <w:szCs w:val="19"/>
              </w:rPr>
            </w:pPr>
            <w:r w:rsidRPr="006B20A2">
              <w:rPr>
                <w:color w:val="000000"/>
                <w:sz w:val="19"/>
                <w:szCs w:val="19"/>
              </w:rPr>
              <w:t>Effect of age</w:t>
            </w:r>
          </w:p>
        </w:tc>
        <w:tc>
          <w:tcPr>
            <w:tcW w:w="1843" w:type="dxa"/>
            <w:hideMark/>
          </w:tcPr>
          <w:p w:rsidR="00EA5BE3" w:rsidRPr="006B20A2" w:rsidRDefault="00EA5BE3" w:rsidP="006B20A2">
            <w:pPr>
              <w:rPr>
                <w:color w:val="000000"/>
                <w:sz w:val="19"/>
                <w:szCs w:val="19"/>
              </w:rPr>
            </w:pPr>
            <w:r w:rsidRPr="006B20A2">
              <w:rPr>
                <w:color w:val="000000"/>
                <w:sz w:val="19"/>
                <w:szCs w:val="19"/>
              </w:rPr>
              <w:t>No Study</w:t>
            </w:r>
          </w:p>
        </w:tc>
        <w:tc>
          <w:tcPr>
            <w:tcW w:w="1755" w:type="dxa"/>
          </w:tcPr>
          <w:p w:rsidR="00EA5BE3" w:rsidRPr="006B20A2" w:rsidRDefault="00EA5BE3" w:rsidP="006B20A2">
            <w:pPr>
              <w:rPr>
                <w:color w:val="000000"/>
                <w:sz w:val="19"/>
                <w:szCs w:val="19"/>
              </w:rPr>
            </w:pPr>
          </w:p>
        </w:tc>
      </w:tr>
      <w:tr w:rsidR="00EA5BE3" w:rsidRPr="006B20A2" w:rsidTr="006B20A2">
        <w:tc>
          <w:tcPr>
            <w:tcW w:w="2093" w:type="dxa"/>
            <w:hideMark/>
          </w:tcPr>
          <w:p w:rsidR="00EA5BE3" w:rsidRPr="006B20A2" w:rsidRDefault="00EA5BE3" w:rsidP="006B20A2">
            <w:pPr>
              <w:rPr>
                <w:color w:val="000000"/>
                <w:sz w:val="19"/>
                <w:szCs w:val="19"/>
              </w:rPr>
            </w:pPr>
            <w:r w:rsidRPr="006B20A2">
              <w:rPr>
                <w:color w:val="000000"/>
                <w:sz w:val="19"/>
                <w:szCs w:val="19"/>
              </w:rPr>
              <w:t>PD Interactions</w:t>
            </w:r>
          </w:p>
        </w:tc>
        <w:tc>
          <w:tcPr>
            <w:tcW w:w="2551" w:type="dxa"/>
          </w:tcPr>
          <w:p w:rsidR="00EA5BE3" w:rsidRPr="006B20A2" w:rsidRDefault="00EA5BE3" w:rsidP="006B20A2">
            <w:pPr>
              <w:rPr>
                <w:color w:val="000000"/>
                <w:sz w:val="19"/>
                <w:szCs w:val="19"/>
              </w:rPr>
            </w:pPr>
          </w:p>
        </w:tc>
        <w:tc>
          <w:tcPr>
            <w:tcW w:w="1843" w:type="dxa"/>
            <w:hideMark/>
          </w:tcPr>
          <w:p w:rsidR="00EA5BE3" w:rsidRPr="006B20A2" w:rsidRDefault="00EA5BE3" w:rsidP="006B20A2">
            <w:pPr>
              <w:rPr>
                <w:color w:val="000000"/>
                <w:sz w:val="19"/>
                <w:szCs w:val="19"/>
              </w:rPr>
            </w:pPr>
            <w:r w:rsidRPr="006B20A2">
              <w:rPr>
                <w:color w:val="000000"/>
                <w:sz w:val="19"/>
                <w:szCs w:val="19"/>
              </w:rPr>
              <w:t>No Study</w:t>
            </w:r>
          </w:p>
        </w:tc>
        <w:tc>
          <w:tcPr>
            <w:tcW w:w="1755" w:type="dxa"/>
          </w:tcPr>
          <w:p w:rsidR="00EA5BE3" w:rsidRPr="006B20A2" w:rsidRDefault="00EA5BE3" w:rsidP="006B20A2">
            <w:pPr>
              <w:rPr>
                <w:color w:val="000000"/>
                <w:sz w:val="19"/>
                <w:szCs w:val="19"/>
              </w:rPr>
            </w:pPr>
          </w:p>
        </w:tc>
      </w:tr>
      <w:tr w:rsidR="00EA5BE3" w:rsidRPr="006B20A2" w:rsidTr="006B20A2">
        <w:tc>
          <w:tcPr>
            <w:tcW w:w="2093" w:type="dxa"/>
            <w:vMerge w:val="restart"/>
            <w:hideMark/>
          </w:tcPr>
          <w:p w:rsidR="00EA5BE3" w:rsidRPr="006B20A2" w:rsidRDefault="00EA5BE3" w:rsidP="006B20A2">
            <w:pPr>
              <w:rPr>
                <w:color w:val="000000"/>
                <w:sz w:val="19"/>
                <w:szCs w:val="19"/>
              </w:rPr>
            </w:pPr>
            <w:r w:rsidRPr="006B20A2">
              <w:rPr>
                <w:color w:val="000000"/>
                <w:sz w:val="19"/>
                <w:szCs w:val="19"/>
              </w:rPr>
              <w:t>Population PD and PK-PD analyses</w:t>
            </w:r>
          </w:p>
        </w:tc>
        <w:tc>
          <w:tcPr>
            <w:tcW w:w="2551" w:type="dxa"/>
            <w:hideMark/>
          </w:tcPr>
          <w:p w:rsidR="00EA5BE3" w:rsidRPr="006B20A2" w:rsidRDefault="00EA5BE3" w:rsidP="006B20A2">
            <w:pPr>
              <w:rPr>
                <w:color w:val="000000"/>
                <w:sz w:val="19"/>
                <w:szCs w:val="19"/>
              </w:rPr>
            </w:pPr>
            <w:r w:rsidRPr="006B20A2">
              <w:rPr>
                <w:color w:val="000000"/>
                <w:sz w:val="19"/>
                <w:szCs w:val="19"/>
              </w:rPr>
              <w:t>Healthy subjects</w:t>
            </w:r>
          </w:p>
        </w:tc>
        <w:tc>
          <w:tcPr>
            <w:tcW w:w="1843" w:type="dxa"/>
            <w:hideMark/>
          </w:tcPr>
          <w:p w:rsidR="00EA5BE3" w:rsidRPr="006B20A2" w:rsidRDefault="00EA5BE3" w:rsidP="006B20A2">
            <w:pPr>
              <w:rPr>
                <w:color w:val="000000"/>
                <w:sz w:val="19"/>
                <w:szCs w:val="19"/>
              </w:rPr>
            </w:pPr>
            <w:r w:rsidRPr="006B20A2">
              <w:rPr>
                <w:color w:val="000000"/>
                <w:sz w:val="19"/>
                <w:szCs w:val="19"/>
              </w:rPr>
              <w:t xml:space="preserve">No Study </w:t>
            </w:r>
          </w:p>
        </w:tc>
        <w:tc>
          <w:tcPr>
            <w:tcW w:w="1755" w:type="dxa"/>
          </w:tcPr>
          <w:p w:rsidR="00EA5BE3" w:rsidRPr="006B20A2" w:rsidRDefault="00EA5BE3" w:rsidP="006B20A2">
            <w:pPr>
              <w:rPr>
                <w:color w:val="000000"/>
                <w:sz w:val="19"/>
                <w:szCs w:val="19"/>
              </w:rPr>
            </w:pPr>
          </w:p>
        </w:tc>
      </w:tr>
      <w:tr w:rsidR="00EA5BE3" w:rsidRPr="006B20A2" w:rsidTr="006B20A2">
        <w:tc>
          <w:tcPr>
            <w:tcW w:w="2093" w:type="dxa"/>
            <w:vMerge/>
            <w:hideMark/>
          </w:tcPr>
          <w:p w:rsidR="00EA5BE3" w:rsidRPr="006B20A2" w:rsidRDefault="00EA5BE3" w:rsidP="006B20A2">
            <w:pPr>
              <w:rPr>
                <w:color w:val="000000"/>
                <w:sz w:val="19"/>
                <w:szCs w:val="19"/>
              </w:rPr>
            </w:pPr>
          </w:p>
        </w:tc>
        <w:tc>
          <w:tcPr>
            <w:tcW w:w="2551" w:type="dxa"/>
            <w:hideMark/>
          </w:tcPr>
          <w:p w:rsidR="00EA5BE3" w:rsidRPr="006B20A2" w:rsidRDefault="00EA5BE3" w:rsidP="006B20A2">
            <w:pPr>
              <w:rPr>
                <w:color w:val="000000"/>
                <w:sz w:val="19"/>
                <w:szCs w:val="19"/>
              </w:rPr>
            </w:pPr>
            <w:r w:rsidRPr="006B20A2">
              <w:rPr>
                <w:color w:val="000000"/>
                <w:sz w:val="19"/>
                <w:szCs w:val="19"/>
              </w:rPr>
              <w:t>Target</w:t>
            </w:r>
            <w:r w:rsidRPr="006B20A2">
              <w:rPr>
                <w:color w:val="000000"/>
                <w:sz w:val="19"/>
                <w:szCs w:val="19"/>
                <w:vertAlign w:val="superscript"/>
              </w:rPr>
              <w:t>§</w:t>
            </w:r>
            <w:r w:rsidRPr="006B20A2">
              <w:rPr>
                <w:color w:val="000000"/>
                <w:sz w:val="19"/>
                <w:szCs w:val="19"/>
              </w:rPr>
              <w:t xml:space="preserve"> population</w:t>
            </w:r>
          </w:p>
        </w:tc>
        <w:tc>
          <w:tcPr>
            <w:tcW w:w="1843" w:type="dxa"/>
            <w:hideMark/>
          </w:tcPr>
          <w:p w:rsidR="00EA5BE3" w:rsidRPr="006B20A2" w:rsidRDefault="00EA5BE3" w:rsidP="006B20A2">
            <w:pPr>
              <w:rPr>
                <w:color w:val="000000"/>
                <w:sz w:val="19"/>
                <w:szCs w:val="19"/>
              </w:rPr>
            </w:pPr>
            <w:r w:rsidRPr="006B20A2">
              <w:rPr>
                <w:color w:val="000000"/>
                <w:sz w:val="19"/>
                <w:szCs w:val="19"/>
              </w:rPr>
              <w:t>No Study</w:t>
            </w:r>
          </w:p>
        </w:tc>
        <w:tc>
          <w:tcPr>
            <w:tcW w:w="1755" w:type="dxa"/>
          </w:tcPr>
          <w:p w:rsidR="00EA5BE3" w:rsidRPr="006B20A2" w:rsidRDefault="00EA5BE3" w:rsidP="006B20A2">
            <w:pPr>
              <w:rPr>
                <w:color w:val="000000"/>
                <w:sz w:val="19"/>
                <w:szCs w:val="19"/>
              </w:rPr>
            </w:pPr>
          </w:p>
        </w:tc>
      </w:tr>
    </w:tbl>
    <w:p w:rsidR="00EA5BE3" w:rsidRPr="00991D16" w:rsidRDefault="00EA5BE3" w:rsidP="006B20A2">
      <w:pPr>
        <w:pStyle w:val="TableDescription"/>
      </w:pPr>
      <w:r w:rsidRPr="00991D16">
        <w:t>§ Subjects who would be eligible to receive the drug if approved for the proposed indication.</w:t>
      </w:r>
    </w:p>
    <w:p w:rsidR="00EA5BE3" w:rsidRPr="00EA5BE3" w:rsidRDefault="00EA5BE3" w:rsidP="006B20A2">
      <w:r w:rsidRPr="00EA5BE3">
        <w:t xml:space="preserve">The </w:t>
      </w:r>
      <w:r w:rsidR="00991D16">
        <w:t xml:space="preserve">PD </w:t>
      </w:r>
      <w:r w:rsidRPr="00EA5BE3">
        <w:t>study did not have deficiencies that excluded its results from consideration.</w:t>
      </w:r>
    </w:p>
    <w:p w:rsidR="00EA5BE3" w:rsidRPr="00EA5BE3" w:rsidRDefault="00EA5BE3" w:rsidP="00EA6305">
      <w:pPr>
        <w:pStyle w:val="Heading4"/>
      </w:pPr>
      <w:bookmarkStart w:id="73" w:name="_Toc342054299"/>
      <w:bookmarkStart w:id="74" w:name="_Toc290846270"/>
      <w:bookmarkStart w:id="75" w:name="_Toc272414648"/>
      <w:bookmarkStart w:id="76" w:name="_Ref269983272"/>
      <w:r w:rsidRPr="00EA5BE3">
        <w:t>Evaluator’s overall conclusions on pharmacodynamics</w:t>
      </w:r>
      <w:bookmarkEnd w:id="73"/>
      <w:bookmarkEnd w:id="74"/>
      <w:bookmarkEnd w:id="75"/>
      <w:bookmarkEnd w:id="76"/>
    </w:p>
    <w:p w:rsidR="00EA5BE3" w:rsidRPr="00EA5BE3" w:rsidRDefault="00EA5BE3" w:rsidP="00EA6305">
      <w:r w:rsidRPr="00EA5BE3">
        <w:t xml:space="preserve">No new data is presented on the </w:t>
      </w:r>
      <w:r w:rsidR="00991D16">
        <w:t xml:space="preserve">PD </w:t>
      </w:r>
      <w:r w:rsidRPr="00EA5BE3">
        <w:t xml:space="preserve">of the product. No summary of the </w:t>
      </w:r>
      <w:r w:rsidR="00991D16">
        <w:t xml:space="preserve">PD </w:t>
      </w:r>
      <w:r w:rsidRPr="00EA5BE3">
        <w:t xml:space="preserve">is provided in the submission. </w:t>
      </w:r>
    </w:p>
    <w:p w:rsidR="00EA5BE3" w:rsidRDefault="00EA5BE3" w:rsidP="00EA6305">
      <w:r w:rsidRPr="00EA5BE3">
        <w:t>Study LEO80185-G24 was a small study which assessed the effect of Daivobet gel on HPA axis suppression and calcium metabolism in patients with moderate to severe psoriasis. HPA axis suppression was seen in approx 3/43 (7%) of subjects. Another study (MBL0404FR</w:t>
      </w:r>
      <w:r w:rsidR="00991D16">
        <w:t>,</w:t>
      </w:r>
      <w:r w:rsidRPr="00EA5BE3">
        <w:t xml:space="preserve"> evaluated in a previous submission) in which patients used Daivobet gel on the scalp and Daivobet ointment on the body showed that 5 of 32 (15.6%) patients had serum </w:t>
      </w:r>
      <w:proofErr w:type="spellStart"/>
      <w:r w:rsidRPr="00EA5BE3">
        <w:t>cortisol</w:t>
      </w:r>
      <w:proofErr w:type="spellEnd"/>
      <w:r w:rsidRPr="00EA5BE3">
        <w:t xml:space="preserve"> </w:t>
      </w:r>
      <w:r w:rsidR="00991D16">
        <w:t>≤</w:t>
      </w:r>
      <w:r w:rsidRPr="00EA5BE3">
        <w:t>18 µg/</w:t>
      </w:r>
      <w:proofErr w:type="spellStart"/>
      <w:r w:rsidRPr="00EA5BE3">
        <w:t>dL</w:t>
      </w:r>
      <w:proofErr w:type="spellEnd"/>
      <w:r w:rsidRPr="00EA5BE3">
        <w:t xml:space="preserve"> (all five had values &gt;17 µg/</w:t>
      </w:r>
      <w:proofErr w:type="spellStart"/>
      <w:r w:rsidRPr="00EA5BE3">
        <w:t>dL</w:t>
      </w:r>
      <w:proofErr w:type="spellEnd"/>
      <w:r w:rsidRPr="00EA5BE3">
        <w:t xml:space="preserve">) 30 minutes after ACTH challenge at Week 4. Two of the 11 (18.2%) patients who continued to Week 8 had serum </w:t>
      </w:r>
      <w:proofErr w:type="spellStart"/>
      <w:r w:rsidRPr="00EA5BE3">
        <w:t>cortisol</w:t>
      </w:r>
      <w:proofErr w:type="spellEnd"/>
      <w:r w:rsidRPr="00EA5BE3">
        <w:t xml:space="preserve"> </w:t>
      </w:r>
      <w:r w:rsidR="00991D16">
        <w:t>≤</w:t>
      </w:r>
      <w:r w:rsidRPr="00EA5BE3">
        <w:t>18 µg/</w:t>
      </w:r>
      <w:proofErr w:type="spellStart"/>
      <w:r w:rsidRPr="00EA5BE3">
        <w:t>dL</w:t>
      </w:r>
      <w:proofErr w:type="spellEnd"/>
      <w:r w:rsidRPr="00EA5BE3">
        <w:t xml:space="preserve"> at 30 minutes. All patients had serum </w:t>
      </w:r>
      <w:proofErr w:type="spellStart"/>
      <w:r w:rsidRPr="00EA5BE3">
        <w:t>cortisol</w:t>
      </w:r>
      <w:proofErr w:type="spellEnd"/>
      <w:r w:rsidRPr="00EA5BE3">
        <w:t xml:space="preserve"> &gt;18 µg/</w:t>
      </w:r>
      <w:proofErr w:type="spellStart"/>
      <w:r w:rsidRPr="00EA5BE3">
        <w:t>dL</w:t>
      </w:r>
      <w:proofErr w:type="spellEnd"/>
      <w:r w:rsidRPr="00EA5BE3">
        <w:t xml:space="preserve"> at 60 minutes both at Weeks 4 and 8. The results of the new study appear consistent with the previous study.</w:t>
      </w:r>
    </w:p>
    <w:p w:rsidR="00EA5BE3" w:rsidRPr="00EA5BE3" w:rsidRDefault="00EA5BE3" w:rsidP="00EA6305">
      <w:pPr>
        <w:pStyle w:val="Heading3"/>
      </w:pPr>
      <w:bookmarkStart w:id="77" w:name="_Toc361905211"/>
      <w:bookmarkStart w:id="78" w:name="_Toc368490582"/>
      <w:r w:rsidRPr="00EA5BE3">
        <w:t>Dosage selection for the pivotal studies</w:t>
      </w:r>
      <w:bookmarkEnd w:id="77"/>
      <w:bookmarkEnd w:id="78"/>
    </w:p>
    <w:p w:rsidR="00EA5BE3" w:rsidRPr="00EA5BE3" w:rsidRDefault="00EA5BE3" w:rsidP="00EA6305">
      <w:r w:rsidRPr="00EA5BE3">
        <w:t>No explanation is provided as to the dose selection for the clinical studies.</w:t>
      </w:r>
    </w:p>
    <w:p w:rsidR="00EA5BE3" w:rsidRPr="00EA5BE3" w:rsidRDefault="00EA5BE3" w:rsidP="00EA6305">
      <w:r w:rsidRPr="00EA5BE3">
        <w:t>The justification for the dose given in the protocols is: “A once daily treatment regimen has been chosen as this is considered more convenient for the subject and has been shown to be effective in previous studies. It decreases drug exposure and time spent on application and thus, probably enhances subject compliance.”</w:t>
      </w:r>
    </w:p>
    <w:p w:rsidR="008E7846" w:rsidRPr="00254787" w:rsidRDefault="008E7846" w:rsidP="00EA6305">
      <w:pPr>
        <w:pStyle w:val="Heading3"/>
      </w:pPr>
      <w:bookmarkStart w:id="79" w:name="_Toc163441372"/>
      <w:bookmarkStart w:id="80" w:name="_Toc196046485"/>
      <w:bookmarkStart w:id="81" w:name="_Toc247691521"/>
      <w:bookmarkStart w:id="82" w:name="_Toc314842504"/>
      <w:bookmarkStart w:id="83" w:name="_Toc368490583"/>
      <w:r w:rsidRPr="00254787">
        <w:t>Efficacy</w:t>
      </w:r>
      <w:bookmarkEnd w:id="79"/>
      <w:bookmarkEnd w:id="80"/>
      <w:bookmarkEnd w:id="81"/>
      <w:bookmarkEnd w:id="82"/>
      <w:bookmarkEnd w:id="83"/>
    </w:p>
    <w:p w:rsidR="00EA5BE3" w:rsidRDefault="00463477" w:rsidP="00EA6305">
      <w:pPr>
        <w:pStyle w:val="Heading4"/>
      </w:pPr>
      <w:bookmarkStart w:id="84" w:name="_Toc361905213"/>
      <w:bookmarkStart w:id="85" w:name="_Toc342054302"/>
      <w:bookmarkStart w:id="86" w:name="_Toc184439992"/>
      <w:bookmarkStart w:id="87" w:name="_Toc184440279"/>
      <w:bookmarkStart w:id="88" w:name="_Toc184444657"/>
      <w:bookmarkStart w:id="89" w:name="_Toc196046487"/>
      <w:r>
        <w:t>Studies providing evaluable efficacy data in the i</w:t>
      </w:r>
      <w:r w:rsidR="00EA5BE3" w:rsidRPr="00EA5BE3">
        <w:t xml:space="preserve">ndication </w:t>
      </w:r>
      <w:r>
        <w:t>p</w:t>
      </w:r>
      <w:r w:rsidR="00EA5BE3" w:rsidRPr="00EA5BE3">
        <w:t>soriasis of the body (non-scalp)</w:t>
      </w:r>
      <w:bookmarkEnd w:id="84"/>
      <w:bookmarkEnd w:id="85"/>
    </w:p>
    <w:p w:rsidR="00EA5BE3" w:rsidRDefault="00EA5BE3" w:rsidP="00EA6305">
      <w:pPr>
        <w:pStyle w:val="Heading5"/>
      </w:pPr>
      <w:bookmarkStart w:id="90" w:name="_Ref271037274"/>
      <w:bookmarkStart w:id="91" w:name="_Toc272414652"/>
      <w:bookmarkStart w:id="92" w:name="_Toc290846274"/>
      <w:bookmarkStart w:id="93" w:name="_Toc342054303"/>
      <w:r w:rsidRPr="00EA5BE3">
        <w:t>Pivotal efficacy studies</w:t>
      </w:r>
      <w:bookmarkEnd w:id="90"/>
      <w:bookmarkEnd w:id="91"/>
      <w:bookmarkEnd w:id="92"/>
      <w:bookmarkEnd w:id="93"/>
    </w:p>
    <w:p w:rsidR="00EA5BE3" w:rsidRPr="00EA5BE3" w:rsidRDefault="00EA5BE3" w:rsidP="00EA6305">
      <w:pPr>
        <w:pStyle w:val="Heading6"/>
      </w:pPr>
      <w:bookmarkStart w:id="94" w:name="_Toc342054304"/>
      <w:r w:rsidRPr="00EA5BE3">
        <w:t>Study LEO80185-G23</w:t>
      </w:r>
      <w:bookmarkEnd w:id="94"/>
    </w:p>
    <w:p w:rsidR="00EA5BE3" w:rsidRPr="00EA5BE3" w:rsidRDefault="00463477" w:rsidP="00EA6305">
      <w:pPr>
        <w:pStyle w:val="ListBullet"/>
      </w:pPr>
      <w:proofErr w:type="spellStart"/>
      <w:r>
        <w:t>Calpitotriol</w:t>
      </w:r>
      <w:proofErr w:type="spellEnd"/>
      <w:r>
        <w:t xml:space="preserve"> plus </w:t>
      </w:r>
      <w:proofErr w:type="spellStart"/>
      <w:r>
        <w:t>b</w:t>
      </w:r>
      <w:r w:rsidR="00EA5BE3" w:rsidRPr="00EA5BE3">
        <w:t>etamethasone</w:t>
      </w:r>
      <w:proofErr w:type="spellEnd"/>
      <w:r w:rsidR="00EA5BE3" w:rsidRPr="00EA5BE3">
        <w:t xml:space="preserve"> </w:t>
      </w:r>
      <w:proofErr w:type="spellStart"/>
      <w:r>
        <w:t>d</w:t>
      </w:r>
      <w:r w:rsidR="00EA5BE3" w:rsidRPr="00EA5BE3">
        <w:t>ipropionate</w:t>
      </w:r>
      <w:proofErr w:type="spellEnd"/>
      <w:r w:rsidR="00EA5BE3" w:rsidRPr="00EA5BE3">
        <w:t xml:space="preserve"> </w:t>
      </w:r>
      <w:r>
        <w:t>t</w:t>
      </w:r>
      <w:r w:rsidR="00EA5BE3" w:rsidRPr="00EA5BE3">
        <w:t xml:space="preserve">opical </w:t>
      </w:r>
      <w:r>
        <w:t>s</w:t>
      </w:r>
      <w:r w:rsidR="00EA5BE3" w:rsidRPr="00EA5BE3">
        <w:t xml:space="preserve">uspension </w:t>
      </w:r>
      <w:r>
        <w:t>c</w:t>
      </w:r>
      <w:r w:rsidR="00EA5BE3" w:rsidRPr="00EA5BE3">
        <w:t xml:space="preserve">ompared to </w:t>
      </w:r>
      <w:r>
        <w:t>b</w:t>
      </w:r>
      <w:r w:rsidR="00EA5BE3" w:rsidRPr="00EA5BE3">
        <w:t xml:space="preserve">etamethasone </w:t>
      </w:r>
      <w:r>
        <w:t>d</w:t>
      </w:r>
      <w:r w:rsidR="00EA5BE3" w:rsidRPr="00EA5BE3">
        <w:t xml:space="preserve">ipropionate in the </w:t>
      </w:r>
      <w:r>
        <w:t>t</w:t>
      </w:r>
      <w:r w:rsidR="00EA5BE3" w:rsidRPr="00EA5BE3">
        <w:t xml:space="preserve">opical </w:t>
      </w:r>
      <w:r>
        <w:t>s</w:t>
      </w:r>
      <w:r w:rsidR="00EA5BE3" w:rsidRPr="00EA5BE3">
        <w:t xml:space="preserve">uspension </w:t>
      </w:r>
      <w:r>
        <w:t>v</w:t>
      </w:r>
      <w:r w:rsidR="00EA5BE3" w:rsidRPr="00EA5BE3">
        <w:t xml:space="preserve">ehicle, </w:t>
      </w:r>
      <w:r>
        <w:t>c</w:t>
      </w:r>
      <w:r w:rsidR="00EA5BE3" w:rsidRPr="00EA5BE3">
        <w:t xml:space="preserve">alcipotriol in the </w:t>
      </w:r>
      <w:r>
        <w:t>t</w:t>
      </w:r>
      <w:r w:rsidR="00EA5BE3" w:rsidRPr="00EA5BE3">
        <w:t xml:space="preserve">opical </w:t>
      </w:r>
      <w:r>
        <w:t>s</w:t>
      </w:r>
      <w:r w:rsidR="00EA5BE3" w:rsidRPr="00EA5BE3">
        <w:t xml:space="preserve">uspension </w:t>
      </w:r>
      <w:r>
        <w:t>v</w:t>
      </w:r>
      <w:r w:rsidR="00EA5BE3" w:rsidRPr="00EA5BE3">
        <w:t xml:space="preserve">ehicle and the </w:t>
      </w:r>
      <w:r>
        <w:t>t</w:t>
      </w:r>
      <w:r w:rsidR="00EA5BE3" w:rsidRPr="00EA5BE3">
        <w:t xml:space="preserve">opical </w:t>
      </w:r>
      <w:r>
        <w:t>s</w:t>
      </w:r>
      <w:r w:rsidR="00EA5BE3" w:rsidRPr="00EA5BE3">
        <w:t xml:space="preserve">uspension </w:t>
      </w:r>
      <w:r>
        <w:t>v</w:t>
      </w:r>
      <w:r w:rsidR="00EA5BE3" w:rsidRPr="00EA5BE3">
        <w:t xml:space="preserve">ehicle </w:t>
      </w:r>
      <w:r>
        <w:t>a</w:t>
      </w:r>
      <w:r w:rsidR="00EA5BE3" w:rsidRPr="00EA5BE3">
        <w:t xml:space="preserve">lone in </w:t>
      </w:r>
      <w:r>
        <w:t>p</w:t>
      </w:r>
      <w:r w:rsidR="00EA5BE3" w:rsidRPr="00EA5BE3">
        <w:t xml:space="preserve">soriasis </w:t>
      </w:r>
      <w:r>
        <w:t>v</w:t>
      </w:r>
      <w:r w:rsidR="00EA5BE3" w:rsidRPr="00EA5BE3">
        <w:t>ulgaris.</w:t>
      </w:r>
    </w:p>
    <w:p w:rsidR="00EA5BE3" w:rsidRPr="00EA5BE3" w:rsidRDefault="00EA5BE3" w:rsidP="00EA6305">
      <w:bookmarkStart w:id="95" w:name="_Toc342054305"/>
      <w:r w:rsidRPr="00463477">
        <w:rPr>
          <w:b/>
        </w:rPr>
        <w:t xml:space="preserve">Primary </w:t>
      </w:r>
      <w:r w:rsidR="00463477">
        <w:rPr>
          <w:b/>
        </w:rPr>
        <w:t>o</w:t>
      </w:r>
      <w:r w:rsidRPr="00463477">
        <w:rPr>
          <w:b/>
        </w:rPr>
        <w:t xml:space="preserve">bjective: </w:t>
      </w:r>
      <w:r w:rsidRPr="00EA5BE3">
        <w:t>to compare the efficacy of once daily treatment for up to 8 weeks of Daivobet gel with betamethasone gel, calcipotriol gel and the gel vehicle alone in subjects with psoriasis vulgaris on the non-scalp regions of the body (trunk and/or limbs).</w:t>
      </w:r>
    </w:p>
    <w:p w:rsidR="00EA5BE3" w:rsidRPr="00EA5BE3" w:rsidRDefault="00EA5BE3" w:rsidP="00EA6305">
      <w:r w:rsidRPr="00463477">
        <w:rPr>
          <w:b/>
        </w:rPr>
        <w:t>Secondary objective:</w:t>
      </w:r>
      <w:r w:rsidRPr="00EA5BE3">
        <w:t xml:space="preserve"> to compare the safety of Daivobet gel with betamethasone gel, calcipotriol gel and gel vehicle alone in subjects with psoriasis vulgaris on the non-scalp regions of the body (trunk and/or limbs).</w:t>
      </w:r>
    </w:p>
    <w:p w:rsidR="00EA5BE3" w:rsidRDefault="00EA5BE3" w:rsidP="00EA6305">
      <w:r w:rsidRPr="00463477">
        <w:rPr>
          <w:b/>
        </w:rPr>
        <w:t xml:space="preserve">Study </w:t>
      </w:r>
      <w:r w:rsidR="00463477">
        <w:rPr>
          <w:b/>
        </w:rPr>
        <w:t>d</w:t>
      </w:r>
      <w:r w:rsidRPr="00463477">
        <w:rPr>
          <w:b/>
        </w:rPr>
        <w:t>esign:</w:t>
      </w:r>
      <w:r w:rsidRPr="00EA5BE3">
        <w:t xml:space="preserve"> The study was a multicentre, prospective, randomised, double-blind, 4-arm, parallel group, 8 week study conducted in 59 centres in the USA from September 2010 to March 2011. </w:t>
      </w:r>
    </w:p>
    <w:p w:rsidR="00463477" w:rsidRPr="00463477" w:rsidRDefault="00463477" w:rsidP="00EA6305">
      <w:r w:rsidRPr="00463477">
        <w:rPr>
          <w:b/>
        </w:rPr>
        <w:t>Treatments:</w:t>
      </w:r>
      <w:r>
        <w:t xml:space="preserve"> </w:t>
      </w:r>
      <w:r w:rsidRPr="00463477">
        <w:t>Subjects were randomised to receive one the following treatments:</w:t>
      </w:r>
    </w:p>
    <w:p w:rsidR="00463477" w:rsidRPr="00EA6305" w:rsidRDefault="00463477" w:rsidP="00EA6305">
      <w:pPr>
        <w:pStyle w:val="ListBullet"/>
      </w:pPr>
      <w:proofErr w:type="spellStart"/>
      <w:r w:rsidRPr="00EA6305">
        <w:t>Daivobet</w:t>
      </w:r>
      <w:proofErr w:type="spellEnd"/>
      <w:r w:rsidRPr="00EA6305">
        <w:t xml:space="preserve"> gel (</w:t>
      </w:r>
      <w:proofErr w:type="spellStart"/>
      <w:r w:rsidRPr="00EA6305">
        <w:t>calcipotriol</w:t>
      </w:r>
      <w:proofErr w:type="spellEnd"/>
      <w:r w:rsidRPr="00EA6305">
        <w:t xml:space="preserve"> 50 µg/g plus </w:t>
      </w:r>
      <w:proofErr w:type="spellStart"/>
      <w:r w:rsidRPr="00EA6305">
        <w:t>betamethasone</w:t>
      </w:r>
      <w:proofErr w:type="spellEnd"/>
      <w:r w:rsidRPr="00EA6305">
        <w:t xml:space="preserve"> 0.5 mg/g as </w:t>
      </w:r>
      <w:proofErr w:type="spellStart"/>
      <w:r w:rsidRPr="00EA6305">
        <w:t>dipropionate</w:t>
      </w:r>
      <w:proofErr w:type="spellEnd"/>
      <w:r w:rsidRPr="00EA6305">
        <w:t>)</w:t>
      </w:r>
    </w:p>
    <w:p w:rsidR="00463477" w:rsidRPr="00EA6305" w:rsidRDefault="00463477" w:rsidP="00EA6305">
      <w:pPr>
        <w:pStyle w:val="ListBullet"/>
      </w:pPr>
      <w:proofErr w:type="spellStart"/>
      <w:r w:rsidRPr="00EA6305">
        <w:t>Betamethasone</w:t>
      </w:r>
      <w:proofErr w:type="spellEnd"/>
      <w:r w:rsidRPr="00EA6305">
        <w:t xml:space="preserve"> 0.5 mg/g (as </w:t>
      </w:r>
      <w:proofErr w:type="spellStart"/>
      <w:r w:rsidRPr="00EA6305">
        <w:t>dipropionate</w:t>
      </w:r>
      <w:proofErr w:type="spellEnd"/>
      <w:r w:rsidRPr="00EA6305">
        <w:t>) in the gel vehicle</w:t>
      </w:r>
    </w:p>
    <w:p w:rsidR="00463477" w:rsidRPr="00EA6305" w:rsidRDefault="00463477" w:rsidP="00EA6305">
      <w:pPr>
        <w:pStyle w:val="ListBullet"/>
      </w:pPr>
      <w:proofErr w:type="spellStart"/>
      <w:r w:rsidRPr="00EA6305">
        <w:t>Calcipotriol</w:t>
      </w:r>
      <w:proofErr w:type="spellEnd"/>
      <w:r w:rsidRPr="00EA6305">
        <w:t xml:space="preserve"> 50 µg/g in the gel vehicle</w:t>
      </w:r>
    </w:p>
    <w:p w:rsidR="00463477" w:rsidRPr="00EA6305" w:rsidRDefault="00463477" w:rsidP="00EA6305">
      <w:pPr>
        <w:pStyle w:val="ListBullet"/>
      </w:pPr>
      <w:r w:rsidRPr="00EA6305">
        <w:t>The gel vehicle alone</w:t>
      </w:r>
    </w:p>
    <w:p w:rsidR="00463477" w:rsidRDefault="00463477" w:rsidP="00EA6305">
      <w:r w:rsidRPr="00463477">
        <w:t>No details of dosing are provided other than the treatments were applied topically once daily for 8 weeks.</w:t>
      </w:r>
    </w:p>
    <w:p w:rsidR="00463477" w:rsidRPr="00463477" w:rsidRDefault="00463477" w:rsidP="00EA6305">
      <w:r w:rsidRPr="00463477">
        <w:t>The following concomitant therapies were allowed during the study:</w:t>
      </w:r>
    </w:p>
    <w:p w:rsidR="00463477" w:rsidRPr="00463477" w:rsidRDefault="00463477" w:rsidP="00EA6305">
      <w:pPr>
        <w:pStyle w:val="ListBullet"/>
      </w:pPr>
      <w:r w:rsidRPr="00463477">
        <w:t>Inhaled steroids, bath oils and moisturising soaps</w:t>
      </w:r>
    </w:p>
    <w:p w:rsidR="00463477" w:rsidRPr="00463477" w:rsidRDefault="00463477" w:rsidP="00EA6305">
      <w:pPr>
        <w:pStyle w:val="ListBullet"/>
      </w:pPr>
      <w:r w:rsidRPr="00463477">
        <w:t>Unlimited use of emollients for face, flexures (skin folds) and scalp</w:t>
      </w:r>
    </w:p>
    <w:p w:rsidR="00463477" w:rsidRPr="00463477" w:rsidRDefault="00463477" w:rsidP="00EA6305">
      <w:pPr>
        <w:pStyle w:val="ListBullet"/>
      </w:pPr>
      <w:r w:rsidRPr="00463477">
        <w:t>All topical medications for face, flexures and scalp except Class 1 to 5 corticosteroids, vitamin D analogues and prescription shampoos for the scalp.</w:t>
      </w:r>
    </w:p>
    <w:p w:rsidR="00463477" w:rsidRPr="00463477" w:rsidRDefault="00463477" w:rsidP="00EA6305">
      <w:r w:rsidRPr="00463477">
        <w:t xml:space="preserve">No information is provided in </w:t>
      </w:r>
      <w:r w:rsidR="00991D16">
        <w:t xml:space="preserve">the </w:t>
      </w:r>
      <w:r w:rsidRPr="00463477">
        <w:t xml:space="preserve">study report on how treatment is to be applied. The study protocol contains directions on use for the patient. This states that the patient should not use more than 100 g (2 bottles) per week. </w:t>
      </w:r>
    </w:p>
    <w:p w:rsidR="00EA5BE3" w:rsidRPr="00EA5BE3" w:rsidRDefault="00EA5BE3" w:rsidP="00EA6305">
      <w:pPr>
        <w:pStyle w:val="Heading6"/>
      </w:pPr>
      <w:r w:rsidRPr="00EA5BE3">
        <w:t>Study LEO80185-G21</w:t>
      </w:r>
      <w:bookmarkEnd w:id="95"/>
    </w:p>
    <w:p w:rsidR="00EA5BE3" w:rsidRPr="00EA5BE3" w:rsidRDefault="00EA5BE3" w:rsidP="00EA6305">
      <w:pPr>
        <w:pStyle w:val="ListBullet"/>
      </w:pPr>
      <w:r w:rsidRPr="00EA5BE3">
        <w:t xml:space="preserve">Efficacy and </w:t>
      </w:r>
      <w:r w:rsidR="00463477">
        <w:t>s</w:t>
      </w:r>
      <w:r w:rsidRPr="00EA5BE3">
        <w:t xml:space="preserve">afety of </w:t>
      </w:r>
      <w:r w:rsidR="00463477">
        <w:t>c</w:t>
      </w:r>
      <w:r w:rsidRPr="00EA5BE3">
        <w:t xml:space="preserve">alcipotriol plus </w:t>
      </w:r>
      <w:r w:rsidR="00463477">
        <w:t>b</w:t>
      </w:r>
      <w:r w:rsidRPr="00EA5BE3">
        <w:t xml:space="preserve">etamethasone </w:t>
      </w:r>
      <w:r w:rsidR="00463477">
        <w:t>g</w:t>
      </w:r>
      <w:r w:rsidRPr="00EA5BE3">
        <w:t xml:space="preserve">el </w:t>
      </w:r>
      <w:r w:rsidR="00463477">
        <w:t>c</w:t>
      </w:r>
      <w:r w:rsidRPr="00EA5BE3">
        <w:t xml:space="preserve">ompared with </w:t>
      </w:r>
      <w:proofErr w:type="spellStart"/>
      <w:r w:rsidR="00463477">
        <w:t>t</w:t>
      </w:r>
      <w:r w:rsidRPr="00EA5BE3">
        <w:t>acalcitol</w:t>
      </w:r>
      <w:proofErr w:type="spellEnd"/>
      <w:r w:rsidRPr="00EA5BE3">
        <w:t xml:space="preserve"> </w:t>
      </w:r>
      <w:r w:rsidR="00463477">
        <w:t>o</w:t>
      </w:r>
      <w:r w:rsidRPr="00EA5BE3">
        <w:t xml:space="preserve">intment and the </w:t>
      </w:r>
      <w:r w:rsidR="00463477">
        <w:t>g</w:t>
      </w:r>
      <w:r w:rsidRPr="00EA5BE3">
        <w:t xml:space="preserve">el </w:t>
      </w:r>
      <w:r w:rsidR="00463477">
        <w:t>v</w:t>
      </w:r>
      <w:r w:rsidRPr="00EA5BE3">
        <w:t xml:space="preserve">ehicle </w:t>
      </w:r>
      <w:r w:rsidR="00463477">
        <w:t>a</w:t>
      </w:r>
      <w:r w:rsidRPr="00EA5BE3">
        <w:t xml:space="preserve">lone in </w:t>
      </w:r>
      <w:r w:rsidR="00463477">
        <w:t>p</w:t>
      </w:r>
      <w:r w:rsidRPr="00EA5BE3">
        <w:t xml:space="preserve">atients with </w:t>
      </w:r>
      <w:r w:rsidR="00463477">
        <w:t>p</w:t>
      </w:r>
      <w:r w:rsidRPr="00EA5BE3">
        <w:t xml:space="preserve">soriasis </w:t>
      </w:r>
      <w:r w:rsidR="00463477">
        <w:t>v</w:t>
      </w:r>
      <w:r w:rsidRPr="00EA5BE3">
        <w:t>ulgaris.</w:t>
      </w:r>
    </w:p>
    <w:p w:rsidR="00EA5BE3" w:rsidRPr="00EA5BE3" w:rsidRDefault="00EA5BE3" w:rsidP="00EA6305">
      <w:r w:rsidRPr="00EA5BE3">
        <w:rPr>
          <w:b/>
        </w:rPr>
        <w:t>Comment:</w:t>
      </w:r>
      <w:r w:rsidR="00881540">
        <w:t xml:space="preserve"> </w:t>
      </w:r>
      <w:proofErr w:type="spellStart"/>
      <w:r w:rsidRPr="00EA5BE3">
        <w:t>Tacalcitol</w:t>
      </w:r>
      <w:proofErr w:type="spellEnd"/>
      <w:r w:rsidRPr="00EA5BE3">
        <w:t xml:space="preserve"> is a vitamin D3 derivative, which inhibits </w:t>
      </w:r>
      <w:proofErr w:type="spellStart"/>
      <w:r w:rsidRPr="00EA5BE3">
        <w:t>keratinocyte</w:t>
      </w:r>
      <w:proofErr w:type="spellEnd"/>
      <w:r w:rsidRPr="00EA5BE3">
        <w:t xml:space="preserve"> hyper-proliferation and induces differentiation of these cells. </w:t>
      </w:r>
      <w:proofErr w:type="spellStart"/>
      <w:r w:rsidRPr="00EA5BE3">
        <w:t>Tacalcitol</w:t>
      </w:r>
      <w:proofErr w:type="spellEnd"/>
      <w:r w:rsidRPr="00EA5BE3">
        <w:t xml:space="preserve"> ointment was approved in the EU i</w:t>
      </w:r>
      <w:r w:rsidR="009E62D2">
        <w:t>n</w:t>
      </w:r>
      <w:r w:rsidRPr="00EA5BE3">
        <w:t xml:space="preserve"> 2006 but does not appear to have been approved in Australia.</w:t>
      </w:r>
    </w:p>
    <w:p w:rsidR="00EA5BE3" w:rsidRPr="00EA5BE3" w:rsidRDefault="00EA5BE3" w:rsidP="00EA6305">
      <w:bookmarkStart w:id="96" w:name="_Ref271037188"/>
      <w:bookmarkStart w:id="97" w:name="_Ref271037210"/>
      <w:bookmarkStart w:id="98" w:name="_Toc272414655"/>
      <w:bookmarkStart w:id="99" w:name="_Toc290846277"/>
      <w:bookmarkStart w:id="100" w:name="_Toc342054306"/>
      <w:bookmarkStart w:id="101" w:name="_Toc241374311"/>
      <w:bookmarkStart w:id="102" w:name="_Ref243294291"/>
      <w:r w:rsidRPr="00463477">
        <w:rPr>
          <w:b/>
        </w:rPr>
        <w:t>Primary objective</w:t>
      </w:r>
      <w:r w:rsidR="00463477">
        <w:rPr>
          <w:b/>
        </w:rPr>
        <w:t>:</w:t>
      </w:r>
      <w:r w:rsidRPr="00EA5BE3">
        <w:t xml:space="preserve"> was to compare the efficacy of once daily treatment for up to 8 weeks of </w:t>
      </w:r>
      <w:proofErr w:type="spellStart"/>
      <w:r w:rsidRPr="00EA5BE3">
        <w:t>Daivobet</w:t>
      </w:r>
      <w:proofErr w:type="spellEnd"/>
      <w:r w:rsidRPr="00EA5BE3">
        <w:t xml:space="preserve"> gel with </w:t>
      </w:r>
      <w:proofErr w:type="spellStart"/>
      <w:r w:rsidRPr="00EA5BE3">
        <w:t>tacalcitol</w:t>
      </w:r>
      <w:proofErr w:type="spellEnd"/>
      <w:r w:rsidRPr="00EA5BE3">
        <w:t xml:space="preserve"> ointment and the gel vehicle alone in subjects with psoriasis vulgaris on the body.</w:t>
      </w:r>
    </w:p>
    <w:p w:rsidR="00EA5BE3" w:rsidRPr="00EA5BE3" w:rsidRDefault="00EA5BE3" w:rsidP="00EA6305">
      <w:r w:rsidRPr="00EA6305">
        <w:rPr>
          <w:b/>
        </w:rPr>
        <w:t xml:space="preserve">Secondary objectives </w:t>
      </w:r>
      <w:r w:rsidRPr="00EA5BE3">
        <w:t>were:</w:t>
      </w:r>
    </w:p>
    <w:p w:rsidR="00EA5BE3" w:rsidRPr="00EA6305" w:rsidRDefault="00EA5BE3" w:rsidP="00EA6305">
      <w:pPr>
        <w:pStyle w:val="ListBullet"/>
      </w:pPr>
      <w:r w:rsidRPr="00EA6305">
        <w:t xml:space="preserve">Compare safety of once daily treatment for up to 8 weeks of </w:t>
      </w:r>
      <w:proofErr w:type="spellStart"/>
      <w:r w:rsidRPr="00EA6305">
        <w:t>Daivobet</w:t>
      </w:r>
      <w:proofErr w:type="spellEnd"/>
      <w:r w:rsidRPr="00EA6305">
        <w:t xml:space="preserve"> gel with </w:t>
      </w:r>
      <w:proofErr w:type="spellStart"/>
      <w:r w:rsidRPr="00EA6305">
        <w:t>tacalcitol</w:t>
      </w:r>
      <w:proofErr w:type="spellEnd"/>
      <w:r w:rsidRPr="00EA6305">
        <w:t xml:space="preserve"> ointment and the gel vehicle alone in subjects with psoriasis of the body</w:t>
      </w:r>
    </w:p>
    <w:p w:rsidR="00EA5BE3" w:rsidRPr="00EA6305" w:rsidRDefault="00EA5BE3" w:rsidP="00EA6305">
      <w:pPr>
        <w:pStyle w:val="ListBullet"/>
      </w:pPr>
      <w:r w:rsidRPr="00EA6305">
        <w:t>To investigate the occurrence of and the time to relapse and occurrence of rebound after the end of treatment in subjects with ‘controlled disease’</w:t>
      </w:r>
    </w:p>
    <w:p w:rsidR="00EA5BE3" w:rsidRPr="00EA6305" w:rsidRDefault="00EA5BE3" w:rsidP="00EA6305">
      <w:pPr>
        <w:pStyle w:val="ListBullet"/>
      </w:pPr>
      <w:r w:rsidRPr="00EA6305">
        <w:t xml:space="preserve">To obtain data on the quality of life of subjects treated with </w:t>
      </w:r>
      <w:proofErr w:type="spellStart"/>
      <w:r w:rsidRPr="00EA6305">
        <w:t>Daivobet</w:t>
      </w:r>
      <w:proofErr w:type="spellEnd"/>
      <w:r w:rsidRPr="00EA6305">
        <w:t xml:space="preserve"> gel, </w:t>
      </w:r>
      <w:proofErr w:type="spellStart"/>
      <w:r w:rsidRPr="00EA6305">
        <w:t>tacalcitol</w:t>
      </w:r>
      <w:proofErr w:type="spellEnd"/>
      <w:r w:rsidRPr="00EA6305">
        <w:t xml:space="preserve"> ointment and the gel vehicle alone, using quality of life questionnaires.</w:t>
      </w:r>
    </w:p>
    <w:p w:rsidR="00EA5BE3" w:rsidRDefault="00463477" w:rsidP="00EA6305">
      <w:r w:rsidRPr="00463477">
        <w:rPr>
          <w:b/>
        </w:rPr>
        <w:t>Study d</w:t>
      </w:r>
      <w:r w:rsidR="00EA5BE3" w:rsidRPr="00463477">
        <w:rPr>
          <w:b/>
        </w:rPr>
        <w:t>esign:</w:t>
      </w:r>
      <w:r w:rsidR="00EA5BE3">
        <w:t xml:space="preserve"> </w:t>
      </w:r>
      <w:r w:rsidR="00EA5BE3" w:rsidRPr="00EA5BE3">
        <w:t xml:space="preserve">This was a multicentre, prospective, randomised, investigator blind, active and vehicle controlled, 3 arm, parallel group, 8 week </w:t>
      </w:r>
      <w:r w:rsidR="003A5470">
        <w:t>P</w:t>
      </w:r>
      <w:r w:rsidR="00EA5BE3" w:rsidRPr="00EA5BE3">
        <w:t xml:space="preserve">hase </w:t>
      </w:r>
      <w:r w:rsidR="003A5470">
        <w:t>III</w:t>
      </w:r>
      <w:r w:rsidR="00EA5BE3" w:rsidRPr="00EA5BE3">
        <w:t xml:space="preserve"> clinical study conducted in 18 centres in Canada. The study was conducted from April 2008 to February 2009.</w:t>
      </w:r>
    </w:p>
    <w:p w:rsidR="00463477" w:rsidRPr="00463477" w:rsidRDefault="00463477" w:rsidP="00EA6305">
      <w:r w:rsidRPr="00463477">
        <w:rPr>
          <w:b/>
        </w:rPr>
        <w:t>Treatment</w:t>
      </w:r>
      <w:r>
        <w:rPr>
          <w:b/>
        </w:rPr>
        <w:t>s</w:t>
      </w:r>
      <w:r w:rsidRPr="00463477">
        <w:rPr>
          <w:b/>
        </w:rPr>
        <w:t>:</w:t>
      </w:r>
      <w:r>
        <w:t xml:space="preserve"> </w:t>
      </w:r>
      <w:r w:rsidRPr="00463477">
        <w:t>Subjects were randomised in a 2:2:1 ratio to one of the following treatments:</w:t>
      </w:r>
    </w:p>
    <w:p w:rsidR="00463477" w:rsidRPr="00EA6305" w:rsidRDefault="00463477" w:rsidP="00EA6305">
      <w:pPr>
        <w:pStyle w:val="ListBullet"/>
      </w:pPr>
      <w:proofErr w:type="spellStart"/>
      <w:r w:rsidRPr="00EA6305">
        <w:t>Daivobet</w:t>
      </w:r>
      <w:proofErr w:type="spellEnd"/>
      <w:r w:rsidRPr="00EA6305">
        <w:t xml:space="preserve"> gel (</w:t>
      </w:r>
      <w:proofErr w:type="spellStart"/>
      <w:r w:rsidRPr="00EA6305">
        <w:t>calcipotriol</w:t>
      </w:r>
      <w:proofErr w:type="spellEnd"/>
      <w:r w:rsidRPr="00EA6305">
        <w:t xml:space="preserve"> 50 µg/g as hydrate plus </w:t>
      </w:r>
      <w:proofErr w:type="spellStart"/>
      <w:r w:rsidRPr="00EA6305">
        <w:t>betamethasone</w:t>
      </w:r>
      <w:proofErr w:type="spellEnd"/>
      <w:r w:rsidRPr="00EA6305">
        <w:t xml:space="preserve"> 0.5 mg/g as </w:t>
      </w:r>
      <w:proofErr w:type="spellStart"/>
      <w:r w:rsidRPr="00EA6305">
        <w:t>dipropionate</w:t>
      </w:r>
      <w:proofErr w:type="spellEnd"/>
      <w:r w:rsidRPr="00EA6305">
        <w:t>)</w:t>
      </w:r>
    </w:p>
    <w:p w:rsidR="00463477" w:rsidRPr="00EA6305" w:rsidRDefault="00463477" w:rsidP="00EA6305">
      <w:pPr>
        <w:pStyle w:val="ListBullet"/>
      </w:pPr>
      <w:proofErr w:type="spellStart"/>
      <w:r w:rsidRPr="00EA6305">
        <w:t>Curaderm</w:t>
      </w:r>
      <w:proofErr w:type="spellEnd"/>
      <w:r w:rsidRPr="00EA6305">
        <w:t xml:space="preserve"> ointment (</w:t>
      </w:r>
      <w:proofErr w:type="spellStart"/>
      <w:r w:rsidRPr="00EA6305">
        <w:t>tacalcitol</w:t>
      </w:r>
      <w:proofErr w:type="spellEnd"/>
      <w:r w:rsidRPr="00EA6305">
        <w:t xml:space="preserve"> 4 µg/g as monohydrate)</w:t>
      </w:r>
    </w:p>
    <w:p w:rsidR="00463477" w:rsidRPr="00EA6305" w:rsidRDefault="00463477" w:rsidP="00EA6305">
      <w:pPr>
        <w:pStyle w:val="ListBullet"/>
      </w:pPr>
      <w:r w:rsidRPr="00EA6305">
        <w:t>Gel vehicle</w:t>
      </w:r>
    </w:p>
    <w:p w:rsidR="00463477" w:rsidRPr="00463477" w:rsidRDefault="00463477" w:rsidP="00463477">
      <w:r w:rsidRPr="00463477">
        <w:t>Subjects were instructed to apply the treatment once daily on affected areas on the trunk and/or limbs.</w:t>
      </w:r>
    </w:p>
    <w:p w:rsidR="00463477" w:rsidRPr="00463477" w:rsidRDefault="00463477" w:rsidP="00EA6305">
      <w:r w:rsidRPr="00463477">
        <w:t>The following concomitant therapies were allowed during the study:</w:t>
      </w:r>
    </w:p>
    <w:p w:rsidR="00463477" w:rsidRPr="00463477" w:rsidRDefault="00463477" w:rsidP="00EA6305">
      <w:pPr>
        <w:pStyle w:val="ListBullet"/>
      </w:pPr>
      <w:r w:rsidRPr="00463477">
        <w:t>Treatments for conditions other than psoriasis vulgaris (with no potential effect on psoriasis vulgaris) without change in dosage whenever possible</w:t>
      </w:r>
    </w:p>
    <w:p w:rsidR="00463477" w:rsidRPr="00463477" w:rsidRDefault="00463477" w:rsidP="00EA6305">
      <w:pPr>
        <w:pStyle w:val="ListBullet"/>
      </w:pPr>
      <w:r w:rsidRPr="00463477">
        <w:t>Unlimited use of emollients for face, flexures (skin folds) and scalp</w:t>
      </w:r>
    </w:p>
    <w:p w:rsidR="00463477" w:rsidRPr="00463477" w:rsidRDefault="00463477" w:rsidP="00EA6305">
      <w:pPr>
        <w:pStyle w:val="ListBullet"/>
      </w:pPr>
      <w:r w:rsidRPr="00463477">
        <w:t xml:space="preserve">All topical medications for face, skin folds/flexures and scalp except very potent </w:t>
      </w:r>
      <w:r w:rsidR="009E62D2">
        <w:t>World Health Organization (</w:t>
      </w:r>
      <w:r w:rsidRPr="00463477">
        <w:t>WHO</w:t>
      </w:r>
      <w:r w:rsidR="009E62D2">
        <w:t>)</w:t>
      </w:r>
      <w:r w:rsidRPr="00463477">
        <w:t xml:space="preserve"> group IV corticosteroids and vitamin D analogues</w:t>
      </w:r>
    </w:p>
    <w:p w:rsidR="00EA5BE3" w:rsidRPr="00EA5BE3" w:rsidRDefault="00EA5BE3" w:rsidP="00EA6305">
      <w:pPr>
        <w:pStyle w:val="Heading5"/>
      </w:pPr>
      <w:r w:rsidRPr="00EA5BE3">
        <w:t>Other efficacy studies</w:t>
      </w:r>
      <w:bookmarkEnd w:id="96"/>
      <w:bookmarkEnd w:id="97"/>
      <w:bookmarkEnd w:id="98"/>
      <w:bookmarkEnd w:id="99"/>
      <w:bookmarkEnd w:id="100"/>
    </w:p>
    <w:p w:rsidR="00EA5BE3" w:rsidRPr="00EA5BE3" w:rsidRDefault="00EA5BE3" w:rsidP="00EA6305">
      <w:pPr>
        <w:pStyle w:val="Heading6"/>
      </w:pPr>
      <w:bookmarkStart w:id="103" w:name="_Toc290888747"/>
      <w:bookmarkStart w:id="104" w:name="_Toc342054307"/>
      <w:bookmarkEnd w:id="101"/>
      <w:bookmarkEnd w:id="102"/>
      <w:r w:rsidRPr="00EA5BE3">
        <w:t>Study</w:t>
      </w:r>
      <w:bookmarkEnd w:id="103"/>
      <w:r w:rsidRPr="00EA5BE3">
        <w:t xml:space="preserve"> MBL0202INT</w:t>
      </w:r>
      <w:bookmarkEnd w:id="104"/>
    </w:p>
    <w:p w:rsidR="00EA5BE3" w:rsidRPr="00EA5BE3" w:rsidRDefault="00EA5BE3" w:rsidP="00EA6305">
      <w:pPr>
        <w:pStyle w:val="ListBullet"/>
      </w:pPr>
      <w:r w:rsidRPr="00EA5BE3">
        <w:t xml:space="preserve">Calcipotriol </w:t>
      </w:r>
      <w:r w:rsidR="00463477">
        <w:t>p</w:t>
      </w:r>
      <w:r w:rsidRPr="00EA5BE3">
        <w:t xml:space="preserve">lus </w:t>
      </w:r>
      <w:r w:rsidR="00463477">
        <w:t>b</w:t>
      </w:r>
      <w:r w:rsidRPr="00EA5BE3">
        <w:t xml:space="preserve">etamethasone </w:t>
      </w:r>
      <w:r w:rsidR="00463477">
        <w:t>d</w:t>
      </w:r>
      <w:r w:rsidRPr="00EA5BE3">
        <w:t xml:space="preserve">ipropionate </w:t>
      </w:r>
      <w:r w:rsidR="00463477">
        <w:t>g</w:t>
      </w:r>
      <w:r w:rsidRPr="00EA5BE3">
        <w:t xml:space="preserve">el </w:t>
      </w:r>
      <w:r w:rsidR="00463477">
        <w:t>c</w:t>
      </w:r>
      <w:r w:rsidRPr="00EA5BE3">
        <w:t xml:space="preserve">ompared to </w:t>
      </w:r>
      <w:proofErr w:type="spellStart"/>
      <w:r w:rsidR="00463477">
        <w:t>b</w:t>
      </w:r>
      <w:r w:rsidRPr="00EA5BE3">
        <w:t>etamethasone</w:t>
      </w:r>
      <w:proofErr w:type="spellEnd"/>
      <w:r w:rsidRPr="00EA5BE3">
        <w:t xml:space="preserve"> </w:t>
      </w:r>
      <w:proofErr w:type="spellStart"/>
      <w:r w:rsidR="00463477">
        <w:t>d</w:t>
      </w:r>
      <w:r w:rsidRPr="00EA5BE3">
        <w:t>iproprionate</w:t>
      </w:r>
      <w:proofErr w:type="spellEnd"/>
      <w:r w:rsidRPr="00EA5BE3">
        <w:t xml:space="preserve"> in the </w:t>
      </w:r>
      <w:r w:rsidR="00463477">
        <w:t>g</w:t>
      </w:r>
      <w:r w:rsidRPr="00EA5BE3">
        <w:t xml:space="preserve">el </w:t>
      </w:r>
      <w:r w:rsidR="00463477">
        <w:t>v</w:t>
      </w:r>
      <w:r w:rsidRPr="00EA5BE3">
        <w:t xml:space="preserve">ehicle, </w:t>
      </w:r>
      <w:r w:rsidR="00463477">
        <w:t>c</w:t>
      </w:r>
      <w:r w:rsidRPr="00EA5BE3">
        <w:t xml:space="preserve">alcipotriol in the </w:t>
      </w:r>
      <w:r w:rsidR="00463477">
        <w:t>g</w:t>
      </w:r>
      <w:r w:rsidRPr="00EA5BE3">
        <w:t xml:space="preserve">el </w:t>
      </w:r>
      <w:r w:rsidR="00463477">
        <w:t>v</w:t>
      </w:r>
      <w:r w:rsidRPr="00EA5BE3">
        <w:t xml:space="preserve">ehicle </w:t>
      </w:r>
      <w:r w:rsidR="00463477">
        <w:t>a</w:t>
      </w:r>
      <w:r w:rsidRPr="00EA5BE3">
        <w:t xml:space="preserve">lone in </w:t>
      </w:r>
      <w:r w:rsidR="00463477">
        <w:t>p</w:t>
      </w:r>
      <w:r w:rsidRPr="00EA5BE3">
        <w:t xml:space="preserve">soriasis </w:t>
      </w:r>
      <w:r w:rsidR="00463477">
        <w:t>v</w:t>
      </w:r>
      <w:r w:rsidRPr="00EA5BE3">
        <w:t>ulgaris.</w:t>
      </w:r>
    </w:p>
    <w:p w:rsidR="00EA5BE3" w:rsidRPr="00EA5BE3" w:rsidRDefault="00EA5BE3" w:rsidP="00EA6305">
      <w:r w:rsidRPr="00EA5BE3">
        <w:rPr>
          <w:b/>
        </w:rPr>
        <w:t>Objectives</w:t>
      </w:r>
      <w:r w:rsidR="00463477">
        <w:rPr>
          <w:b/>
        </w:rPr>
        <w:t xml:space="preserve">: </w:t>
      </w:r>
      <w:r w:rsidRPr="00EA5BE3">
        <w:t>To compare the efficacy and safety of once daily treatment for up to 8 weeks of Daivobet gel (calcipotriol plus betamethasone dipropionate) with betamethasone dipropionate in the gel vehicle, calcipotriol in the gel vehicle and the gel vehicle alone in patients with psoriasis vulgaris on the trunk and/or limbs.</w:t>
      </w:r>
    </w:p>
    <w:p w:rsidR="00EA5BE3" w:rsidRPr="00EA5BE3" w:rsidRDefault="00463477" w:rsidP="00EA6305">
      <w:r w:rsidRPr="00463477">
        <w:rPr>
          <w:b/>
        </w:rPr>
        <w:t>Study d</w:t>
      </w:r>
      <w:r w:rsidR="00EA5BE3" w:rsidRPr="00463477">
        <w:rPr>
          <w:b/>
        </w:rPr>
        <w:t>esign:</w:t>
      </w:r>
      <w:r w:rsidR="00EA5BE3" w:rsidRPr="00EA5BE3">
        <w:t xml:space="preserve"> an international, multicentre, prospective, randomised, double blind, 4 arm, parallel group, 8 week study conducted at 19 centres (Canada 6; Germany 4; Ireland 1; Sweden 3; UK 5) between December 2005 and May 2006.</w:t>
      </w:r>
    </w:p>
    <w:p w:rsidR="00463477" w:rsidRPr="00463477" w:rsidRDefault="00463477" w:rsidP="00EA6305">
      <w:r w:rsidRPr="00463477">
        <w:rPr>
          <w:b/>
        </w:rPr>
        <w:t>Treatments:</w:t>
      </w:r>
      <w:r>
        <w:t xml:space="preserve"> </w:t>
      </w:r>
      <w:r w:rsidRPr="00463477">
        <w:t>Patients were randomised in a 4:2:2:1 ratio to receive once daily treatment for up to 8 weeks to one of the following four treatment groups:</w:t>
      </w:r>
    </w:p>
    <w:p w:rsidR="00463477" w:rsidRPr="00EA6305" w:rsidRDefault="00463477" w:rsidP="00EA6305">
      <w:pPr>
        <w:pStyle w:val="ListBullet"/>
      </w:pPr>
      <w:proofErr w:type="spellStart"/>
      <w:r w:rsidRPr="00EA6305">
        <w:t>Daivobet</w:t>
      </w:r>
      <w:proofErr w:type="spellEnd"/>
      <w:r w:rsidRPr="00EA6305">
        <w:t xml:space="preserve"> gel (</w:t>
      </w:r>
      <w:proofErr w:type="spellStart"/>
      <w:r w:rsidRPr="00EA6305">
        <w:t>calcipotriol</w:t>
      </w:r>
      <w:proofErr w:type="spellEnd"/>
      <w:r w:rsidRPr="00EA6305">
        <w:t xml:space="preserve"> 50 µg/g plus </w:t>
      </w:r>
      <w:proofErr w:type="spellStart"/>
      <w:r w:rsidRPr="00EA6305">
        <w:t>betamethasone</w:t>
      </w:r>
      <w:proofErr w:type="spellEnd"/>
      <w:r w:rsidRPr="00EA6305">
        <w:t xml:space="preserve"> </w:t>
      </w:r>
      <w:proofErr w:type="spellStart"/>
      <w:r w:rsidRPr="00EA6305">
        <w:t>dipropionate</w:t>
      </w:r>
      <w:proofErr w:type="spellEnd"/>
      <w:r w:rsidRPr="00EA6305">
        <w:t xml:space="preserve"> 0.5 mg/g)</w:t>
      </w:r>
    </w:p>
    <w:p w:rsidR="00463477" w:rsidRPr="00EA6305" w:rsidRDefault="00463477" w:rsidP="00EA6305">
      <w:pPr>
        <w:pStyle w:val="ListBullet"/>
      </w:pPr>
      <w:proofErr w:type="spellStart"/>
      <w:r w:rsidRPr="00EA6305">
        <w:t>Betamethasone</w:t>
      </w:r>
      <w:proofErr w:type="spellEnd"/>
      <w:r w:rsidRPr="00EA6305">
        <w:t xml:space="preserve"> </w:t>
      </w:r>
      <w:proofErr w:type="spellStart"/>
      <w:r w:rsidRPr="00EA6305">
        <w:t>dipropionate</w:t>
      </w:r>
      <w:proofErr w:type="spellEnd"/>
      <w:r w:rsidRPr="00EA6305">
        <w:t xml:space="preserve"> 0.50 mg/g in the gel vehicle</w:t>
      </w:r>
    </w:p>
    <w:p w:rsidR="00463477" w:rsidRPr="00EA6305" w:rsidRDefault="00463477" w:rsidP="00EA6305">
      <w:pPr>
        <w:pStyle w:val="ListBullet"/>
      </w:pPr>
      <w:proofErr w:type="spellStart"/>
      <w:r w:rsidRPr="00EA6305">
        <w:t>Calcipotriol</w:t>
      </w:r>
      <w:proofErr w:type="spellEnd"/>
      <w:r w:rsidRPr="00EA6305">
        <w:t xml:space="preserve"> 50 µg/g in the gel vehicle</w:t>
      </w:r>
    </w:p>
    <w:p w:rsidR="00463477" w:rsidRPr="00EA6305" w:rsidRDefault="00463477" w:rsidP="00EA6305">
      <w:pPr>
        <w:pStyle w:val="ListBullet"/>
      </w:pPr>
      <w:r w:rsidRPr="00EA6305">
        <w:t>Gel vehicle</w:t>
      </w:r>
    </w:p>
    <w:p w:rsidR="00463477" w:rsidRDefault="00463477" w:rsidP="00EA6305">
      <w:r w:rsidRPr="00463477">
        <w:t>Treatment was applied once daily to the affected area on the trunk and/or limbs for 8 weeks.</w:t>
      </w:r>
    </w:p>
    <w:p w:rsidR="00E00EAF" w:rsidRPr="00E00EAF" w:rsidRDefault="00E00EAF" w:rsidP="00EA6305">
      <w:pPr>
        <w:pStyle w:val="Heading6"/>
      </w:pPr>
      <w:bookmarkStart w:id="105" w:name="_Toc342054308"/>
      <w:r w:rsidRPr="00E00EAF">
        <w:t>Study PLQ-001</w:t>
      </w:r>
      <w:bookmarkEnd w:id="105"/>
    </w:p>
    <w:p w:rsidR="00E00EAF" w:rsidRPr="00E00EAF" w:rsidRDefault="00E00EAF" w:rsidP="00EA6305">
      <w:pPr>
        <w:pStyle w:val="ListBullet"/>
      </w:pPr>
      <w:r>
        <w:t>A</w:t>
      </w:r>
      <w:r w:rsidRPr="00E00EAF">
        <w:t xml:space="preserve"> plaque test comparing three marketed products and two investigational products and a vehicle control for the treatment of psoriasis vulgaris.</w:t>
      </w:r>
    </w:p>
    <w:p w:rsidR="00E00EAF" w:rsidRPr="00E00EAF" w:rsidRDefault="00E00EAF" w:rsidP="00EA6305">
      <w:r w:rsidRPr="00E00EAF">
        <w:rPr>
          <w:b/>
        </w:rPr>
        <w:t>Objectives</w:t>
      </w:r>
      <w:r>
        <w:rPr>
          <w:b/>
        </w:rPr>
        <w:t xml:space="preserve">: </w:t>
      </w:r>
      <w:r w:rsidRPr="00E00EAF">
        <w:t>To evaluate the psoriasis plaque test using two investigational products:</w:t>
      </w:r>
    </w:p>
    <w:p w:rsidR="00E00EAF" w:rsidRPr="00EA6305" w:rsidRDefault="00E00EAF" w:rsidP="00EA6305">
      <w:pPr>
        <w:pStyle w:val="ListBullet"/>
      </w:pPr>
      <w:r w:rsidRPr="00EA6305">
        <w:t>LEO 80185 gel (</w:t>
      </w:r>
      <w:proofErr w:type="spellStart"/>
      <w:r w:rsidRPr="00EA6305">
        <w:t>calcipotriol</w:t>
      </w:r>
      <w:proofErr w:type="spellEnd"/>
      <w:r w:rsidRPr="00EA6305">
        <w:t xml:space="preserve"> 50 µg/g as hydrate plus </w:t>
      </w:r>
      <w:proofErr w:type="spellStart"/>
      <w:r w:rsidRPr="00EA6305">
        <w:t>betamethasone</w:t>
      </w:r>
      <w:proofErr w:type="spellEnd"/>
      <w:r w:rsidRPr="00EA6305">
        <w:t xml:space="preserve"> 0.5 mg/g as </w:t>
      </w:r>
      <w:proofErr w:type="spellStart"/>
      <w:r w:rsidRPr="00EA6305">
        <w:t>dipropionate</w:t>
      </w:r>
      <w:proofErr w:type="spellEnd"/>
      <w:r w:rsidRPr="00EA6305">
        <w:t>)</w:t>
      </w:r>
    </w:p>
    <w:p w:rsidR="00E00EAF" w:rsidRPr="00EA6305" w:rsidRDefault="00E00EAF" w:rsidP="00EA6305">
      <w:pPr>
        <w:pStyle w:val="ListBullet"/>
      </w:pPr>
      <w:r w:rsidRPr="00EA6305">
        <w:t>LEO 80190 ointment (</w:t>
      </w:r>
      <w:proofErr w:type="spellStart"/>
      <w:r w:rsidRPr="00EA6305">
        <w:t>calcipotriol</w:t>
      </w:r>
      <w:proofErr w:type="spellEnd"/>
      <w:r w:rsidRPr="00EA6305">
        <w:t xml:space="preserve"> 25 µg/g as hydrate plus hydrocortisone 10 mg/g)</w:t>
      </w:r>
    </w:p>
    <w:p w:rsidR="00E00EAF" w:rsidRPr="00E00EAF" w:rsidRDefault="00E00EAF" w:rsidP="00EA6305">
      <w:r w:rsidRPr="00E00EAF">
        <w:t>Three active marketed reference products:</w:t>
      </w:r>
    </w:p>
    <w:p w:rsidR="00E00EAF" w:rsidRPr="00EA6305" w:rsidRDefault="00E00EAF" w:rsidP="00EA6305">
      <w:pPr>
        <w:pStyle w:val="ListBullet"/>
      </w:pPr>
      <w:proofErr w:type="spellStart"/>
      <w:r w:rsidRPr="00EA6305">
        <w:t>Daivonex</w:t>
      </w:r>
      <w:proofErr w:type="spellEnd"/>
      <w:r w:rsidRPr="00EA6305">
        <w:t xml:space="preserve"> ointment - (</w:t>
      </w:r>
      <w:proofErr w:type="spellStart"/>
      <w:r w:rsidRPr="00EA6305">
        <w:t>calcipotriol</w:t>
      </w:r>
      <w:proofErr w:type="spellEnd"/>
      <w:r w:rsidRPr="00EA6305">
        <w:t xml:space="preserve"> 50 µg/g as hydrate)</w:t>
      </w:r>
    </w:p>
    <w:p w:rsidR="00E00EAF" w:rsidRPr="00EA6305" w:rsidRDefault="00E00EAF" w:rsidP="00EA6305">
      <w:pPr>
        <w:pStyle w:val="ListBullet"/>
      </w:pPr>
      <w:proofErr w:type="spellStart"/>
      <w:r w:rsidRPr="00EA6305">
        <w:t>Daivonex</w:t>
      </w:r>
      <w:proofErr w:type="spellEnd"/>
      <w:r w:rsidRPr="00EA6305">
        <w:t xml:space="preserve"> cream - (</w:t>
      </w:r>
      <w:proofErr w:type="spellStart"/>
      <w:r w:rsidRPr="00EA6305">
        <w:t>calcipotriol</w:t>
      </w:r>
      <w:proofErr w:type="spellEnd"/>
      <w:r w:rsidRPr="00EA6305">
        <w:t xml:space="preserve"> 50 µg/g as hydrate)</w:t>
      </w:r>
    </w:p>
    <w:p w:rsidR="00E00EAF" w:rsidRPr="00EA6305" w:rsidRDefault="00E00EAF" w:rsidP="00EA6305">
      <w:pPr>
        <w:pStyle w:val="ListBullet"/>
      </w:pPr>
      <w:proofErr w:type="spellStart"/>
      <w:r w:rsidRPr="00EA6305">
        <w:t>Daivobet</w:t>
      </w:r>
      <w:proofErr w:type="spellEnd"/>
      <w:r w:rsidRPr="00EA6305">
        <w:t xml:space="preserve"> ointment (</w:t>
      </w:r>
      <w:proofErr w:type="spellStart"/>
      <w:r w:rsidRPr="00EA6305">
        <w:t>calcipotriol</w:t>
      </w:r>
      <w:proofErr w:type="spellEnd"/>
      <w:r w:rsidRPr="00EA6305">
        <w:t xml:space="preserve"> 50 µg/g as hydrate plus </w:t>
      </w:r>
      <w:proofErr w:type="spellStart"/>
      <w:r w:rsidRPr="00EA6305">
        <w:t>betamethasone</w:t>
      </w:r>
      <w:proofErr w:type="spellEnd"/>
      <w:r w:rsidRPr="00EA6305">
        <w:t xml:space="preserve"> 0.5 mg/g as </w:t>
      </w:r>
      <w:proofErr w:type="spellStart"/>
      <w:r w:rsidRPr="00EA6305">
        <w:t>dipropionate</w:t>
      </w:r>
      <w:proofErr w:type="spellEnd"/>
      <w:r w:rsidRPr="00EA6305">
        <w:t>)</w:t>
      </w:r>
    </w:p>
    <w:p w:rsidR="00E00EAF" w:rsidRPr="00E00EAF" w:rsidRDefault="00E00EAF" w:rsidP="00EA6305">
      <w:r w:rsidRPr="00E00EAF">
        <w:t>One reference product as control:</w:t>
      </w:r>
    </w:p>
    <w:p w:rsidR="00E00EAF" w:rsidRPr="00E00EAF" w:rsidRDefault="00E00EAF" w:rsidP="00EA6305">
      <w:pPr>
        <w:pStyle w:val="ListBullet"/>
      </w:pPr>
      <w:r w:rsidRPr="00E00EAF">
        <w:t>Daivobet ointment vehicle</w:t>
      </w:r>
    </w:p>
    <w:p w:rsidR="00E00EAF" w:rsidRPr="00E00EAF" w:rsidRDefault="00E00EAF" w:rsidP="00EA6305">
      <w:r w:rsidRPr="00E00EAF">
        <w:rPr>
          <w:b/>
        </w:rPr>
        <w:t>Secondary objectives</w:t>
      </w:r>
      <w:r w:rsidRPr="00E00EAF">
        <w:t xml:space="preserve"> were to validate the use of </w:t>
      </w:r>
      <w:proofErr w:type="spellStart"/>
      <w:r w:rsidRPr="00E00EAF">
        <w:t>immunohistochemical</w:t>
      </w:r>
      <w:proofErr w:type="spellEnd"/>
      <w:r w:rsidRPr="00E00EAF">
        <w:t xml:space="preserve"> scoring of biopsy material in conjunction with clinical scoring of the treated areas in the evaluation of treatment effects in psoriatic skin in the subjects and to obtain safety information for each of the treatments.</w:t>
      </w:r>
    </w:p>
    <w:p w:rsidR="00E00EAF" w:rsidRPr="00E00EAF" w:rsidRDefault="00E00EAF" w:rsidP="00EA6305">
      <w:r w:rsidRPr="00E00EAF">
        <w:rPr>
          <w:b/>
        </w:rPr>
        <w:t>Study design:</w:t>
      </w:r>
      <w:r w:rsidRPr="00E00EAF">
        <w:t xml:space="preserve"> single centre, investigator blinded, within subject randomised, active and vehicle controlled, repeat dose, translational study at one centre in France between February 2008 and March 2009.</w:t>
      </w:r>
    </w:p>
    <w:p w:rsidR="00E00EAF" w:rsidRPr="00E00EAF" w:rsidRDefault="00E00EAF" w:rsidP="00EA6305">
      <w:r w:rsidRPr="00E00EAF">
        <w:rPr>
          <w:b/>
        </w:rPr>
        <w:t>Treatments:</w:t>
      </w:r>
      <w:r>
        <w:t xml:space="preserve"> </w:t>
      </w:r>
      <w:r w:rsidRPr="00E00EAF">
        <w:t>Six test sites of 2</w:t>
      </w:r>
      <w:r w:rsidR="009E62D2">
        <w:t xml:space="preserve"> </w:t>
      </w:r>
      <w:r w:rsidRPr="00E00EAF">
        <w:t xml:space="preserve">cm diameter were selected on predetermined lesions, marked with a disposable circular device and mapped on a drawn figure. The investigational products were applied once daily (50 </w:t>
      </w:r>
      <w:proofErr w:type="spellStart"/>
      <w:r w:rsidRPr="00E00EAF">
        <w:t>μL</w:t>
      </w:r>
      <w:proofErr w:type="spellEnd"/>
      <w:r w:rsidRPr="00E00EAF">
        <w:t xml:space="preserve"> per application) 6 days a week (not Sundays) for three weeks (21 days)</w:t>
      </w:r>
      <w:r w:rsidR="009E62D2">
        <w:t>,</w:t>
      </w:r>
      <w:r w:rsidRPr="00E00EAF">
        <w:t xml:space="preserve"> for </w:t>
      </w:r>
      <w:r w:rsidR="009E62D2">
        <w:t xml:space="preserve">a </w:t>
      </w:r>
      <w:r w:rsidRPr="00E00EAF">
        <w:t>total of 18 application days per patient.</w:t>
      </w:r>
      <w:r w:rsidR="00F22ABA">
        <w:t xml:space="preserve"> </w:t>
      </w:r>
    </w:p>
    <w:p w:rsidR="00463477" w:rsidRPr="00463477" w:rsidRDefault="00463477" w:rsidP="00EA6305">
      <w:pPr>
        <w:pStyle w:val="Heading4"/>
      </w:pPr>
      <w:bookmarkStart w:id="106" w:name="_Toc290846282"/>
      <w:bookmarkStart w:id="107" w:name="_Toc272414657"/>
      <w:bookmarkStart w:id="108" w:name="_Ref271126605"/>
      <w:bookmarkStart w:id="109" w:name="_Toc342054310"/>
      <w:r w:rsidRPr="00463477">
        <w:t xml:space="preserve">Evaluator’s conclusions on clinical efficacy for </w:t>
      </w:r>
      <w:bookmarkEnd w:id="106"/>
      <w:bookmarkEnd w:id="107"/>
      <w:bookmarkEnd w:id="108"/>
      <w:r w:rsidRPr="00463477">
        <w:t>extension of indication to include psoriasis of the body</w:t>
      </w:r>
      <w:bookmarkEnd w:id="109"/>
    </w:p>
    <w:p w:rsidR="00463477" w:rsidRPr="00463477" w:rsidRDefault="00463477" w:rsidP="00EA6305">
      <w:r w:rsidRPr="00463477">
        <w:t>No study was conducted in which there was a direct comparison between Daivobet ointment and Daivobet gel. This is surprising as the company development plan stated that the Daivobet gel was developed as a formulation expected to have similar efficacy and safety but greater patient acceptability. This has not been tested. One of the supportive studies (PLQ001) does compare gel with ointment but no direct analysis of results is given.</w:t>
      </w:r>
    </w:p>
    <w:p w:rsidR="00463477" w:rsidRPr="00463477" w:rsidRDefault="00463477" w:rsidP="00EA6305">
      <w:r w:rsidRPr="00463477">
        <w:t>Instead the company provided studies in which the primary efficacy outcome was the percentage of patients with ‘controlled disease’ (‘clear’ or ‘almost clear’):</w:t>
      </w:r>
    </w:p>
    <w:p w:rsidR="00463477" w:rsidRPr="00EA6305" w:rsidRDefault="00463477" w:rsidP="00EA6305">
      <w:pPr>
        <w:pStyle w:val="ListBullet"/>
      </w:pPr>
      <w:r w:rsidRPr="00EA6305">
        <w:t xml:space="preserve">one comparative study against the individual components (in the gel vehicle) which found superiority to </w:t>
      </w:r>
      <w:proofErr w:type="spellStart"/>
      <w:r w:rsidRPr="00EA6305">
        <w:t>betamethasone</w:t>
      </w:r>
      <w:proofErr w:type="spellEnd"/>
      <w:r w:rsidRPr="00EA6305">
        <w:t xml:space="preserve"> alone only at 8 weeks (not at 4 weeks). It was superior to </w:t>
      </w:r>
      <w:proofErr w:type="spellStart"/>
      <w:r w:rsidRPr="00EA6305">
        <w:t>calcipotriol</w:t>
      </w:r>
      <w:proofErr w:type="spellEnd"/>
      <w:r w:rsidRPr="00EA6305">
        <w:t xml:space="preserve"> and gel vehicle at both 4 and 8 weeks</w:t>
      </w:r>
    </w:p>
    <w:p w:rsidR="00463477" w:rsidRPr="00EA6305" w:rsidRDefault="00463477" w:rsidP="00EA6305">
      <w:pPr>
        <w:pStyle w:val="ListBullet"/>
      </w:pPr>
      <w:r w:rsidRPr="00EA6305">
        <w:t xml:space="preserve">one comparative study against </w:t>
      </w:r>
      <w:proofErr w:type="spellStart"/>
      <w:r w:rsidRPr="00EA6305">
        <w:t>tacalcitol</w:t>
      </w:r>
      <w:proofErr w:type="spellEnd"/>
      <w:r w:rsidRPr="00EA6305">
        <w:t xml:space="preserve"> (which is not approved for sale in Australia) and the gel vehicle which found that the combination was superior to the </w:t>
      </w:r>
      <w:proofErr w:type="spellStart"/>
      <w:r w:rsidRPr="00EA6305">
        <w:t>tacalcitol</w:t>
      </w:r>
      <w:proofErr w:type="spellEnd"/>
      <w:r w:rsidRPr="00EA6305">
        <w:t xml:space="preserve"> and gel vehicle at both 4 and 8 weeks</w:t>
      </w:r>
    </w:p>
    <w:p w:rsidR="00463477" w:rsidRPr="00EA6305" w:rsidRDefault="00463477" w:rsidP="00EA6305">
      <w:pPr>
        <w:pStyle w:val="ListBullet"/>
      </w:pPr>
      <w:r w:rsidRPr="00EA6305">
        <w:t xml:space="preserve">one supportive study which also found that </w:t>
      </w:r>
      <w:proofErr w:type="spellStart"/>
      <w:r w:rsidRPr="00EA6305">
        <w:t>Daivobet</w:t>
      </w:r>
      <w:proofErr w:type="spellEnd"/>
      <w:r w:rsidRPr="00EA6305">
        <w:t xml:space="preserve"> gel was superior to </w:t>
      </w:r>
      <w:proofErr w:type="spellStart"/>
      <w:r w:rsidRPr="00EA6305">
        <w:t>calcipotriol</w:t>
      </w:r>
      <w:proofErr w:type="spellEnd"/>
      <w:r w:rsidRPr="00EA6305">
        <w:t xml:space="preserve"> gel and the gel vehicle at 4 and 8 weeks but was only superior to </w:t>
      </w:r>
      <w:proofErr w:type="spellStart"/>
      <w:r w:rsidRPr="00EA6305">
        <w:t>betamethasone</w:t>
      </w:r>
      <w:proofErr w:type="spellEnd"/>
      <w:r w:rsidRPr="00EA6305">
        <w:t xml:space="preserve"> at 8 weeks</w:t>
      </w:r>
    </w:p>
    <w:p w:rsidR="00463477" w:rsidRPr="00EA6305" w:rsidRDefault="00463477" w:rsidP="00EA6305">
      <w:pPr>
        <w:pStyle w:val="ListBullet"/>
      </w:pPr>
      <w:r w:rsidRPr="00EA6305">
        <w:t xml:space="preserve">one supportive study which suggests similar effectiveness absolute change in </w:t>
      </w:r>
      <w:r w:rsidR="009E62D2" w:rsidRPr="00EA6305">
        <w:t>Total Clinical Score (</w:t>
      </w:r>
      <w:r w:rsidRPr="00EA6305">
        <w:t xml:space="preserve">TCS) between </w:t>
      </w:r>
      <w:proofErr w:type="spellStart"/>
      <w:r w:rsidRPr="00EA6305">
        <w:t>Daivobet</w:t>
      </w:r>
      <w:proofErr w:type="spellEnd"/>
      <w:r w:rsidRPr="00EA6305">
        <w:t xml:space="preserve"> gel and ointment</w:t>
      </w:r>
    </w:p>
    <w:p w:rsidR="00463477" w:rsidRPr="00463477" w:rsidRDefault="00463477" w:rsidP="00EA6305">
      <w:r w:rsidRPr="00463477">
        <w:t>Efficacy beyond 8 weeks was not tested. Only approx 30% of all patients achieved ‘clear’ disease at 8 weeks and so it is disappointing that a longer term trial was not conducted as there is likely to be pressure to continue treatment beyond 8 weeks if some improvement is achieved but not clearing of all lesions. The results are consistent in the studies presented.</w:t>
      </w:r>
    </w:p>
    <w:p w:rsidR="00463477" w:rsidRPr="00463477" w:rsidRDefault="00463477" w:rsidP="00EA6305">
      <w:r w:rsidRPr="00463477">
        <w:t>The studies presented are not strictly in compliance with the approved guideline</w:t>
      </w:r>
      <w:r w:rsidR="009E62D2">
        <w:rPr>
          <w:rStyle w:val="FootnoteReference"/>
        </w:rPr>
        <w:footnoteReference w:id="1"/>
      </w:r>
      <w:r w:rsidRPr="00463477">
        <w:t>. Only one primary efficacy parameter was included in each study. Secondary outcomes did include other scoring systems. No long term study is presented (required in guideline).</w:t>
      </w:r>
    </w:p>
    <w:p w:rsidR="00EA5BE3" w:rsidRPr="00EA5BE3" w:rsidRDefault="00463477" w:rsidP="00EA6305">
      <w:r w:rsidRPr="00463477">
        <w:t>It is risky and difficult to compare results across different trials but comparing the results presented in this submission versus that presented in the original ointment submission the impression is that the gel formulation is slightly less effective than the ointment formulation.</w:t>
      </w:r>
    </w:p>
    <w:p w:rsidR="008E7846" w:rsidRPr="002E238E" w:rsidRDefault="008E7846" w:rsidP="00EA6305">
      <w:pPr>
        <w:pStyle w:val="Heading3"/>
      </w:pPr>
      <w:bookmarkStart w:id="110" w:name="_Toc163441378"/>
      <w:bookmarkStart w:id="111" w:name="_Toc196046495"/>
      <w:bookmarkStart w:id="112" w:name="_Toc247691522"/>
      <w:bookmarkStart w:id="113" w:name="_Toc314842505"/>
      <w:bookmarkStart w:id="114" w:name="_Toc368490584"/>
      <w:bookmarkEnd w:id="86"/>
      <w:bookmarkEnd w:id="87"/>
      <w:bookmarkEnd w:id="88"/>
      <w:bookmarkEnd w:id="89"/>
      <w:r w:rsidRPr="002E238E">
        <w:t>Safety</w:t>
      </w:r>
      <w:bookmarkEnd w:id="110"/>
      <w:bookmarkEnd w:id="111"/>
      <w:bookmarkEnd w:id="112"/>
      <w:bookmarkEnd w:id="113"/>
      <w:bookmarkEnd w:id="114"/>
    </w:p>
    <w:p w:rsidR="00113F89" w:rsidRPr="00113F89" w:rsidRDefault="00113F89" w:rsidP="00EA6305">
      <w:pPr>
        <w:pStyle w:val="Heading4"/>
      </w:pPr>
      <w:bookmarkStart w:id="115" w:name="_Toc361905215"/>
      <w:bookmarkStart w:id="116" w:name="_Toc342054312"/>
      <w:bookmarkStart w:id="117" w:name="_Toc290846284"/>
      <w:bookmarkStart w:id="118" w:name="_Toc272414659"/>
      <w:bookmarkStart w:id="119" w:name="_Toc184440288"/>
      <w:bookmarkStart w:id="120" w:name="_Toc184444666"/>
      <w:bookmarkStart w:id="121" w:name="_Toc196046496"/>
      <w:r w:rsidRPr="00113F89">
        <w:t>Studies providing evaluable safety data</w:t>
      </w:r>
      <w:bookmarkEnd w:id="115"/>
      <w:bookmarkEnd w:id="116"/>
      <w:bookmarkEnd w:id="117"/>
      <w:bookmarkEnd w:id="118"/>
    </w:p>
    <w:p w:rsidR="00113F89" w:rsidRPr="00113F89" w:rsidRDefault="00113F89" w:rsidP="00EA6305">
      <w:r w:rsidRPr="00113F89">
        <w:rPr>
          <w:b/>
        </w:rPr>
        <w:t>Comment:</w:t>
      </w:r>
      <w:r w:rsidRPr="00113F89">
        <w:t xml:space="preserve"> The Summary of Clinical Safety presents data on the ‘safety analysis set’ comprising only the 3 comparative studies (LEO80185-G23, LEO80185-G21 and MBL0202INT). The PD study (LEO80185-G24) and the other efficacy study PLQ-001 is included only in some sections of the summary but not in all the tabulations of </w:t>
      </w:r>
      <w:r w:rsidR="006C2B37">
        <w:t>adverse events (</w:t>
      </w:r>
      <w:r w:rsidRPr="00113F89">
        <w:t>AEs</w:t>
      </w:r>
      <w:r w:rsidR="006C2B37">
        <w:t>)</w:t>
      </w:r>
      <w:r w:rsidRPr="00113F89">
        <w:t>. Where possible the data from the additional studies is taken from the individual study reports in addition to the data presented by the applicant in the summary.</w:t>
      </w:r>
    </w:p>
    <w:p w:rsidR="00113F89" w:rsidRPr="00113F89" w:rsidRDefault="00113F89" w:rsidP="00EA6305">
      <w:bookmarkStart w:id="122" w:name="_Ref268776745"/>
      <w:r w:rsidRPr="00113F89">
        <w:t xml:space="preserve">The following studies provided evaluable safety data: </w:t>
      </w:r>
    </w:p>
    <w:p w:rsidR="00113F89" w:rsidRPr="00113F89" w:rsidRDefault="00113F89" w:rsidP="00EA6305">
      <w:pPr>
        <w:pStyle w:val="Heading5"/>
      </w:pPr>
      <w:r w:rsidRPr="00113F89">
        <w:t>Comparative efficacy studies</w:t>
      </w:r>
      <w:bookmarkEnd w:id="122"/>
    </w:p>
    <w:p w:rsidR="00113F89" w:rsidRPr="00113F89" w:rsidRDefault="00113F89" w:rsidP="00EA6305">
      <w:r w:rsidRPr="00113F89">
        <w:t>In the comparative efficacy studies, the following safety data were collected:</w:t>
      </w:r>
    </w:p>
    <w:p w:rsidR="00113F89" w:rsidRPr="00113F89" w:rsidRDefault="00113F89" w:rsidP="00EA6305">
      <w:pPr>
        <w:pStyle w:val="ListBullet"/>
      </w:pPr>
      <w:r w:rsidRPr="00113F89">
        <w:t>General adverse events (AEs) were assessed by means of non-leading questioning of the subjects and by recording changes not reported by the subjects but observed by the investigator.</w:t>
      </w:r>
    </w:p>
    <w:p w:rsidR="00113F89" w:rsidRPr="00113F89" w:rsidRDefault="00113F89" w:rsidP="00EA6305">
      <w:pPr>
        <w:pStyle w:val="ListBullet"/>
      </w:pPr>
      <w:r w:rsidRPr="00113F89">
        <w:t xml:space="preserve">AEs of particular interest, including </w:t>
      </w:r>
      <w:proofErr w:type="spellStart"/>
      <w:r w:rsidRPr="00113F89">
        <w:t>cutaneous</w:t>
      </w:r>
      <w:proofErr w:type="spellEnd"/>
      <w:r w:rsidRPr="00113F89">
        <w:t xml:space="preserve"> events, were assessed in </w:t>
      </w:r>
      <w:r w:rsidR="006C2B37">
        <w:t>S</w:t>
      </w:r>
      <w:r w:rsidRPr="00113F89">
        <w:t xml:space="preserve">tudies MBL0202INT and LEO80185-G21 as </w:t>
      </w:r>
      <w:proofErr w:type="spellStart"/>
      <w:r w:rsidRPr="00113F89">
        <w:t>lesional</w:t>
      </w:r>
      <w:proofErr w:type="spellEnd"/>
      <w:r w:rsidRPr="00113F89">
        <w:t>/</w:t>
      </w:r>
      <w:proofErr w:type="spellStart"/>
      <w:r w:rsidRPr="00113F89">
        <w:t>perilesional</w:t>
      </w:r>
      <w:proofErr w:type="spellEnd"/>
      <w:r w:rsidRPr="00113F89">
        <w:t xml:space="preserve"> AE or distant from the treated lesions. A </w:t>
      </w:r>
      <w:proofErr w:type="spellStart"/>
      <w:r w:rsidRPr="00113F89">
        <w:t>lesional</w:t>
      </w:r>
      <w:proofErr w:type="spellEnd"/>
      <w:r w:rsidRPr="00113F89">
        <w:t>/</w:t>
      </w:r>
      <w:proofErr w:type="spellStart"/>
      <w:r w:rsidRPr="00113F89">
        <w:t>perilesional</w:t>
      </w:r>
      <w:proofErr w:type="spellEnd"/>
      <w:r w:rsidRPr="00113F89">
        <w:t xml:space="preserve"> AE was defined as an AE located less than or equal to 2 cm from the </w:t>
      </w:r>
      <w:proofErr w:type="spellStart"/>
      <w:r w:rsidRPr="00113F89">
        <w:t>lesional</w:t>
      </w:r>
      <w:proofErr w:type="spellEnd"/>
      <w:r w:rsidRPr="00113F89">
        <w:t xml:space="preserve"> border of areas treated with the investigational product. Study LEO80185-G23 did not record </w:t>
      </w:r>
      <w:proofErr w:type="spellStart"/>
      <w:r w:rsidRPr="00113F89">
        <w:t>cutaneous</w:t>
      </w:r>
      <w:proofErr w:type="spellEnd"/>
      <w:r w:rsidRPr="00113F89">
        <w:t xml:space="preserve"> AEs in the same manner as the other two studies (although this was planned in the protocol) but it was recorded whether AEs were ‘in the treatment area’ or not. The AEs recorded ‘in the treatment area’ in Study LEO80185-G23 have been pooled together with the </w:t>
      </w:r>
      <w:proofErr w:type="spellStart"/>
      <w:r w:rsidRPr="00113F89">
        <w:t>lesional</w:t>
      </w:r>
      <w:proofErr w:type="spellEnd"/>
      <w:r w:rsidRPr="00113F89">
        <w:t>/</w:t>
      </w:r>
      <w:proofErr w:type="spellStart"/>
      <w:r w:rsidRPr="00113F89">
        <w:t>perilesional</w:t>
      </w:r>
      <w:proofErr w:type="spellEnd"/>
      <w:r w:rsidRPr="00113F89">
        <w:t xml:space="preserve"> AEs in Study MBL0202INT and LEO80185-G21. This is a conservative approach as any non-</w:t>
      </w:r>
      <w:proofErr w:type="spellStart"/>
      <w:r w:rsidRPr="00113F89">
        <w:t>cutaneous</w:t>
      </w:r>
      <w:proofErr w:type="spellEnd"/>
      <w:r w:rsidRPr="00113F89">
        <w:t xml:space="preserve"> AEs and AEs distant from the treated lesions but in the treatment area would be included.</w:t>
      </w:r>
    </w:p>
    <w:p w:rsidR="00113F89" w:rsidRPr="00113F89" w:rsidRDefault="00113F89" w:rsidP="00EA6305">
      <w:pPr>
        <w:pStyle w:val="ListBullet"/>
      </w:pPr>
      <w:r w:rsidRPr="00113F89">
        <w:t xml:space="preserve">Laboratory tests were only conducted in the comparative Studies LEO80185-G23 and PLQ-001. No clinical laboratory evaluations were performed in Studies LEO80185-G21 or MBL0202INT. Study LEO80185-G23 included measurement of serum calcium, albumin, </w:t>
      </w:r>
      <w:r w:rsidR="006C2B37">
        <w:t xml:space="preserve">alkaline </w:t>
      </w:r>
      <w:proofErr w:type="spellStart"/>
      <w:r w:rsidR="006C2B37">
        <w:t>phosphatase</w:t>
      </w:r>
      <w:proofErr w:type="spellEnd"/>
      <w:r w:rsidR="006C2B37">
        <w:t xml:space="preserve"> (</w:t>
      </w:r>
      <w:r w:rsidRPr="00113F89">
        <w:t>ALP</w:t>
      </w:r>
      <w:r w:rsidR="006C2B37">
        <w:t>)</w:t>
      </w:r>
      <w:r w:rsidRPr="00113F89">
        <w:t xml:space="preserve">, and phosphate, plasma </w:t>
      </w:r>
      <w:r w:rsidR="006C2B37">
        <w:t>parathyroid hormone (</w:t>
      </w:r>
      <w:r w:rsidRPr="00113F89">
        <w:t>PTH</w:t>
      </w:r>
      <w:r w:rsidR="006C2B37">
        <w:t>)</w:t>
      </w:r>
      <w:r w:rsidRPr="00113F89">
        <w:t xml:space="preserve">, and urinary calcium, phosphate and creatinine from a spot test. Albumin corrected serum calcium, and urinary </w:t>
      </w:r>
      <w:proofErr w:type="spellStart"/>
      <w:r w:rsidRPr="00113F89">
        <w:t>calcium:creatinine</w:t>
      </w:r>
      <w:proofErr w:type="spellEnd"/>
      <w:r w:rsidRPr="00113F89">
        <w:t xml:space="preserve"> and </w:t>
      </w:r>
      <w:proofErr w:type="spellStart"/>
      <w:r w:rsidRPr="00113F89">
        <w:t>phosphate:creatinine</w:t>
      </w:r>
      <w:proofErr w:type="spellEnd"/>
      <w:r w:rsidRPr="00113F89">
        <w:t xml:space="preserve"> ratios were calculated.</w:t>
      </w:r>
    </w:p>
    <w:p w:rsidR="00113F89" w:rsidRPr="00F10DC9" w:rsidRDefault="00113F89" w:rsidP="00EA6305">
      <w:pPr>
        <w:pStyle w:val="Heading4"/>
      </w:pPr>
      <w:bookmarkStart w:id="123" w:name="_Toc241374318"/>
      <w:bookmarkStart w:id="124" w:name="_Ref271196630"/>
      <w:bookmarkStart w:id="125" w:name="_Toc272414662"/>
      <w:bookmarkStart w:id="126" w:name="_Toc290846300"/>
      <w:bookmarkStart w:id="127" w:name="_Toc342054314"/>
      <w:bookmarkStart w:id="128" w:name="_Toc361905217"/>
      <w:bookmarkStart w:id="129" w:name="_Toc255919423"/>
      <w:bookmarkStart w:id="130" w:name="_Toc241374329"/>
      <w:bookmarkStart w:id="131" w:name="_Toc270320087"/>
      <w:bookmarkStart w:id="132" w:name="_Toc314842506"/>
      <w:bookmarkStart w:id="133" w:name="_Toc163441387"/>
      <w:bookmarkEnd w:id="119"/>
      <w:bookmarkEnd w:id="120"/>
      <w:bookmarkEnd w:id="121"/>
      <w:r w:rsidRPr="00F10DC9">
        <w:t>Patient exposure</w:t>
      </w:r>
      <w:bookmarkEnd w:id="123"/>
      <w:bookmarkEnd w:id="124"/>
      <w:bookmarkEnd w:id="125"/>
      <w:bookmarkEnd w:id="126"/>
      <w:bookmarkEnd w:id="127"/>
      <w:bookmarkEnd w:id="128"/>
    </w:p>
    <w:p w:rsidR="00113F89" w:rsidRPr="00F10DC9" w:rsidRDefault="00113F89" w:rsidP="00EA6305">
      <w:pPr>
        <w:pStyle w:val="TableTitle"/>
        <w:rPr>
          <w:lang w:eastAsia="ja-JP"/>
        </w:rPr>
      </w:pPr>
      <w:bookmarkStart w:id="134" w:name="_Toc342054258"/>
      <w:r w:rsidRPr="00F10DC9">
        <w:rPr>
          <w:lang w:eastAsia="ja-JP"/>
        </w:rPr>
        <w:t xml:space="preserve">Table </w:t>
      </w:r>
      <w:r w:rsidR="006C2B37">
        <w:rPr>
          <w:lang w:eastAsia="ja-JP"/>
        </w:rPr>
        <w:t>7</w:t>
      </w:r>
      <w:r>
        <w:rPr>
          <w:lang w:eastAsia="ja-JP"/>
        </w:rPr>
        <w:t xml:space="preserve">. </w:t>
      </w:r>
      <w:r w:rsidRPr="00F10DC9">
        <w:rPr>
          <w:lang w:eastAsia="ja-JP"/>
        </w:rPr>
        <w:t>Exposure to Daivobet and comparators in clinical studies</w:t>
      </w:r>
      <w:bookmarkEnd w:id="134"/>
    </w:p>
    <w:tbl>
      <w:tblPr>
        <w:tblStyle w:val="TableTGAblue"/>
        <w:tblW w:w="8931" w:type="dxa"/>
        <w:tblInd w:w="108" w:type="dxa"/>
        <w:tblLayout w:type="fixed"/>
        <w:tblLook w:val="04A0"/>
      </w:tblPr>
      <w:tblGrid>
        <w:gridCol w:w="1701"/>
        <w:gridCol w:w="993"/>
        <w:gridCol w:w="850"/>
        <w:gridCol w:w="1134"/>
        <w:gridCol w:w="992"/>
        <w:gridCol w:w="1134"/>
        <w:gridCol w:w="1134"/>
        <w:gridCol w:w="993"/>
      </w:tblGrid>
      <w:tr w:rsidR="00113F89" w:rsidRPr="00A2747D" w:rsidTr="00A2747D">
        <w:trPr>
          <w:cnfStyle w:val="100000000000"/>
          <w:tblHeader/>
        </w:trPr>
        <w:tc>
          <w:tcPr>
            <w:tcW w:w="1701" w:type="dxa"/>
            <w:vMerge w:val="restart"/>
            <w:shd w:val="clear" w:color="auto" w:fill="0070B5" w:themeFill="accent1" w:themeFillTint="BF"/>
          </w:tcPr>
          <w:p w:rsidR="00113F89" w:rsidRPr="00A2747D" w:rsidRDefault="00113F89" w:rsidP="00843B02">
            <w:pPr>
              <w:spacing w:before="60" w:after="60"/>
              <w:ind w:left="0" w:right="0"/>
              <w:rPr>
                <w:sz w:val="18"/>
                <w:szCs w:val="18"/>
                <w:lang w:eastAsia="ja-JP"/>
              </w:rPr>
            </w:pPr>
            <w:r w:rsidRPr="00A2747D">
              <w:rPr>
                <w:sz w:val="18"/>
                <w:szCs w:val="18"/>
                <w:lang w:eastAsia="ja-JP"/>
              </w:rPr>
              <w:t>Study type/</w:t>
            </w:r>
          </w:p>
          <w:p w:rsidR="00113F89" w:rsidRPr="00A2747D" w:rsidRDefault="00113F89" w:rsidP="00843B02">
            <w:pPr>
              <w:spacing w:before="60" w:after="60"/>
              <w:ind w:left="0" w:right="0"/>
              <w:rPr>
                <w:sz w:val="18"/>
                <w:szCs w:val="18"/>
                <w:lang w:eastAsia="ja-JP"/>
              </w:rPr>
            </w:pPr>
            <w:r w:rsidRPr="00A2747D">
              <w:rPr>
                <w:sz w:val="18"/>
                <w:szCs w:val="18"/>
                <w:lang w:eastAsia="ja-JP"/>
              </w:rPr>
              <w:t>Indication</w:t>
            </w:r>
          </w:p>
        </w:tc>
        <w:tc>
          <w:tcPr>
            <w:tcW w:w="5103" w:type="dxa"/>
            <w:gridSpan w:val="5"/>
            <w:shd w:val="clear" w:color="auto" w:fill="0070B5" w:themeFill="accent1" w:themeFillTint="BF"/>
          </w:tcPr>
          <w:p w:rsidR="00113F89" w:rsidRPr="00A2747D" w:rsidRDefault="00113F89" w:rsidP="00843B02">
            <w:pPr>
              <w:spacing w:before="60" w:after="60"/>
              <w:ind w:left="0" w:right="0"/>
              <w:jc w:val="center"/>
              <w:rPr>
                <w:sz w:val="18"/>
                <w:szCs w:val="18"/>
                <w:lang w:eastAsia="ja-JP"/>
              </w:rPr>
            </w:pPr>
            <w:r w:rsidRPr="00A2747D">
              <w:rPr>
                <w:sz w:val="18"/>
                <w:szCs w:val="18"/>
                <w:lang w:eastAsia="ja-JP"/>
              </w:rPr>
              <w:t>Controlled studies</w:t>
            </w:r>
          </w:p>
        </w:tc>
        <w:tc>
          <w:tcPr>
            <w:tcW w:w="1134" w:type="dxa"/>
            <w:shd w:val="clear" w:color="auto" w:fill="0070B5" w:themeFill="accent1" w:themeFillTint="BF"/>
          </w:tcPr>
          <w:p w:rsidR="00113F89" w:rsidRPr="00A2747D" w:rsidRDefault="00113F89" w:rsidP="00843B02">
            <w:pPr>
              <w:spacing w:before="60" w:after="60"/>
              <w:ind w:left="0" w:right="0"/>
              <w:rPr>
                <w:sz w:val="18"/>
                <w:szCs w:val="18"/>
                <w:lang w:eastAsia="ja-JP"/>
              </w:rPr>
            </w:pPr>
            <w:r w:rsidRPr="00A2747D">
              <w:rPr>
                <w:sz w:val="18"/>
                <w:szCs w:val="18"/>
                <w:lang w:eastAsia="ja-JP"/>
              </w:rPr>
              <w:t>Un- controlled</w:t>
            </w:r>
          </w:p>
          <w:p w:rsidR="00113F89" w:rsidRPr="00A2747D" w:rsidRDefault="00113F89" w:rsidP="00843B02">
            <w:pPr>
              <w:spacing w:before="60" w:after="60"/>
              <w:ind w:left="0" w:right="0"/>
              <w:rPr>
                <w:sz w:val="18"/>
                <w:szCs w:val="18"/>
                <w:lang w:eastAsia="ja-JP"/>
              </w:rPr>
            </w:pPr>
            <w:r w:rsidRPr="00A2747D">
              <w:rPr>
                <w:sz w:val="18"/>
                <w:szCs w:val="18"/>
                <w:lang w:eastAsia="ja-JP"/>
              </w:rPr>
              <w:t>studies</w:t>
            </w:r>
          </w:p>
        </w:tc>
        <w:tc>
          <w:tcPr>
            <w:tcW w:w="993" w:type="dxa"/>
            <w:vMerge w:val="restart"/>
            <w:shd w:val="clear" w:color="auto" w:fill="0070B5" w:themeFill="accent1" w:themeFillTint="BF"/>
          </w:tcPr>
          <w:p w:rsidR="00113F89" w:rsidRPr="00A2747D" w:rsidRDefault="00113F89" w:rsidP="00843B02">
            <w:pPr>
              <w:spacing w:before="60" w:after="60"/>
              <w:ind w:left="0" w:right="0"/>
              <w:rPr>
                <w:sz w:val="18"/>
                <w:szCs w:val="18"/>
                <w:lang w:eastAsia="ja-JP"/>
              </w:rPr>
            </w:pPr>
            <w:r w:rsidRPr="00A2747D">
              <w:rPr>
                <w:sz w:val="18"/>
                <w:szCs w:val="18"/>
                <w:lang w:eastAsia="ja-JP"/>
              </w:rPr>
              <w:t>Total</w:t>
            </w:r>
          </w:p>
          <w:p w:rsidR="00113F89" w:rsidRPr="00A2747D" w:rsidRDefault="00113F89" w:rsidP="00843B02">
            <w:pPr>
              <w:spacing w:before="60" w:after="60"/>
              <w:ind w:left="0" w:right="0"/>
              <w:rPr>
                <w:sz w:val="18"/>
                <w:szCs w:val="18"/>
                <w:lang w:eastAsia="ja-JP"/>
              </w:rPr>
            </w:pPr>
            <w:r w:rsidRPr="00A2747D">
              <w:rPr>
                <w:sz w:val="18"/>
                <w:szCs w:val="18"/>
                <w:lang w:eastAsia="ja-JP"/>
              </w:rPr>
              <w:t>Daivobet gel</w:t>
            </w:r>
          </w:p>
        </w:tc>
      </w:tr>
      <w:tr w:rsidR="00113F89" w:rsidRPr="00A2747D" w:rsidTr="00A2747D">
        <w:trPr>
          <w:cnfStyle w:val="100000000000"/>
          <w:tblHeader/>
        </w:trPr>
        <w:tc>
          <w:tcPr>
            <w:tcW w:w="1701" w:type="dxa"/>
            <w:vMerge/>
            <w:shd w:val="clear" w:color="auto" w:fill="0070B5" w:themeFill="accent1" w:themeFillTint="BF"/>
          </w:tcPr>
          <w:p w:rsidR="00113F89" w:rsidRPr="00A2747D" w:rsidRDefault="00113F89" w:rsidP="00843B02">
            <w:pPr>
              <w:spacing w:before="60" w:after="60"/>
              <w:ind w:left="0" w:right="0"/>
              <w:rPr>
                <w:sz w:val="18"/>
                <w:szCs w:val="18"/>
                <w:lang w:eastAsia="ja-JP"/>
              </w:rPr>
            </w:pPr>
          </w:p>
        </w:tc>
        <w:tc>
          <w:tcPr>
            <w:tcW w:w="993" w:type="dxa"/>
            <w:shd w:val="clear" w:color="auto" w:fill="0070B5" w:themeFill="accent1" w:themeFillTint="BF"/>
            <w:vAlign w:val="center"/>
          </w:tcPr>
          <w:p w:rsidR="00113F89" w:rsidRPr="00A2747D" w:rsidRDefault="00113F89" w:rsidP="00843B02">
            <w:pPr>
              <w:spacing w:before="60" w:after="60"/>
              <w:ind w:left="0" w:right="0"/>
              <w:rPr>
                <w:sz w:val="18"/>
                <w:szCs w:val="18"/>
                <w:lang w:eastAsia="ja-JP"/>
              </w:rPr>
            </w:pPr>
            <w:r w:rsidRPr="00A2747D">
              <w:rPr>
                <w:sz w:val="18"/>
                <w:szCs w:val="18"/>
                <w:lang w:eastAsia="ja-JP"/>
              </w:rPr>
              <w:t>Daivobet gel</w:t>
            </w:r>
          </w:p>
        </w:tc>
        <w:tc>
          <w:tcPr>
            <w:tcW w:w="850" w:type="dxa"/>
            <w:shd w:val="clear" w:color="auto" w:fill="0070B5" w:themeFill="accent1" w:themeFillTint="BF"/>
            <w:vAlign w:val="center"/>
          </w:tcPr>
          <w:p w:rsidR="00113F89" w:rsidRPr="00A2747D" w:rsidRDefault="00113F89" w:rsidP="00843B02">
            <w:pPr>
              <w:spacing w:before="60" w:after="60"/>
              <w:ind w:left="0" w:right="0"/>
              <w:rPr>
                <w:sz w:val="18"/>
                <w:szCs w:val="18"/>
                <w:lang w:eastAsia="ja-JP"/>
              </w:rPr>
            </w:pPr>
            <w:r w:rsidRPr="00A2747D">
              <w:rPr>
                <w:sz w:val="18"/>
                <w:szCs w:val="18"/>
                <w:lang w:eastAsia="ja-JP"/>
              </w:rPr>
              <w:t>Gel vehicle</w:t>
            </w:r>
          </w:p>
        </w:tc>
        <w:tc>
          <w:tcPr>
            <w:tcW w:w="1134" w:type="dxa"/>
            <w:shd w:val="clear" w:color="auto" w:fill="0070B5" w:themeFill="accent1" w:themeFillTint="BF"/>
            <w:vAlign w:val="center"/>
          </w:tcPr>
          <w:p w:rsidR="00113F89" w:rsidRPr="00A2747D" w:rsidRDefault="00113F89" w:rsidP="00843B02">
            <w:pPr>
              <w:spacing w:before="60" w:after="60"/>
              <w:ind w:left="0" w:right="0"/>
              <w:rPr>
                <w:sz w:val="18"/>
                <w:szCs w:val="18"/>
                <w:lang w:eastAsia="ja-JP"/>
              </w:rPr>
            </w:pPr>
            <w:proofErr w:type="spellStart"/>
            <w:r w:rsidRPr="00A2747D">
              <w:rPr>
                <w:sz w:val="18"/>
                <w:szCs w:val="18"/>
                <w:lang w:eastAsia="ja-JP"/>
              </w:rPr>
              <w:t>Betametha-sone</w:t>
            </w:r>
            <w:proofErr w:type="spellEnd"/>
            <w:r w:rsidRPr="00A2747D">
              <w:rPr>
                <w:sz w:val="18"/>
                <w:szCs w:val="18"/>
                <w:lang w:eastAsia="ja-JP"/>
              </w:rPr>
              <w:t xml:space="preserve"> gel</w:t>
            </w:r>
          </w:p>
        </w:tc>
        <w:tc>
          <w:tcPr>
            <w:tcW w:w="992" w:type="dxa"/>
            <w:shd w:val="clear" w:color="auto" w:fill="0070B5" w:themeFill="accent1" w:themeFillTint="BF"/>
            <w:vAlign w:val="center"/>
          </w:tcPr>
          <w:p w:rsidR="00113F89" w:rsidRPr="00A2747D" w:rsidRDefault="00113F89" w:rsidP="00843B02">
            <w:pPr>
              <w:spacing w:before="60" w:after="60"/>
              <w:ind w:left="0" w:right="0"/>
              <w:rPr>
                <w:sz w:val="18"/>
                <w:szCs w:val="18"/>
                <w:lang w:eastAsia="ja-JP"/>
              </w:rPr>
            </w:pPr>
            <w:proofErr w:type="spellStart"/>
            <w:r w:rsidRPr="00A2747D">
              <w:rPr>
                <w:sz w:val="18"/>
                <w:szCs w:val="18"/>
                <w:lang w:eastAsia="ja-JP"/>
              </w:rPr>
              <w:t>Calcipo-triol</w:t>
            </w:r>
            <w:proofErr w:type="spellEnd"/>
            <w:r w:rsidRPr="00A2747D">
              <w:rPr>
                <w:sz w:val="18"/>
                <w:szCs w:val="18"/>
                <w:lang w:eastAsia="ja-JP"/>
              </w:rPr>
              <w:t xml:space="preserve"> gel</w:t>
            </w:r>
          </w:p>
        </w:tc>
        <w:tc>
          <w:tcPr>
            <w:tcW w:w="1134" w:type="dxa"/>
            <w:shd w:val="clear" w:color="auto" w:fill="0070B5" w:themeFill="accent1" w:themeFillTint="BF"/>
            <w:vAlign w:val="center"/>
          </w:tcPr>
          <w:p w:rsidR="00113F89" w:rsidRPr="00A2747D" w:rsidRDefault="00113F89" w:rsidP="00843B02">
            <w:pPr>
              <w:spacing w:before="60" w:after="60"/>
              <w:ind w:left="0" w:right="0"/>
              <w:rPr>
                <w:sz w:val="18"/>
                <w:szCs w:val="18"/>
                <w:lang w:eastAsia="ja-JP"/>
              </w:rPr>
            </w:pPr>
            <w:proofErr w:type="spellStart"/>
            <w:r w:rsidRPr="00A2747D">
              <w:rPr>
                <w:sz w:val="18"/>
                <w:szCs w:val="18"/>
                <w:lang w:eastAsia="ja-JP"/>
              </w:rPr>
              <w:t>Tacalcitol</w:t>
            </w:r>
            <w:proofErr w:type="spellEnd"/>
            <w:r w:rsidRPr="00A2747D">
              <w:rPr>
                <w:sz w:val="18"/>
                <w:szCs w:val="18"/>
                <w:lang w:eastAsia="ja-JP"/>
              </w:rPr>
              <w:t xml:space="preserve"> ointment</w:t>
            </w:r>
          </w:p>
        </w:tc>
        <w:tc>
          <w:tcPr>
            <w:tcW w:w="1134" w:type="dxa"/>
            <w:shd w:val="clear" w:color="auto" w:fill="0070B5" w:themeFill="accent1" w:themeFillTint="BF"/>
            <w:vAlign w:val="center"/>
          </w:tcPr>
          <w:p w:rsidR="00113F89" w:rsidRPr="00A2747D" w:rsidRDefault="00113F89" w:rsidP="00843B02">
            <w:pPr>
              <w:spacing w:before="60" w:after="60"/>
              <w:ind w:left="0" w:right="0"/>
              <w:rPr>
                <w:sz w:val="18"/>
                <w:szCs w:val="18"/>
                <w:lang w:eastAsia="ja-JP"/>
              </w:rPr>
            </w:pPr>
            <w:proofErr w:type="spellStart"/>
            <w:r w:rsidRPr="00A2747D">
              <w:rPr>
                <w:sz w:val="18"/>
                <w:szCs w:val="18"/>
                <w:lang w:eastAsia="ja-JP"/>
              </w:rPr>
              <w:t>Daivobet</w:t>
            </w:r>
            <w:proofErr w:type="spellEnd"/>
            <w:r w:rsidRPr="00A2747D">
              <w:rPr>
                <w:sz w:val="18"/>
                <w:szCs w:val="18"/>
                <w:lang w:eastAsia="ja-JP"/>
              </w:rPr>
              <w:t xml:space="preserve"> gel</w:t>
            </w:r>
          </w:p>
        </w:tc>
        <w:tc>
          <w:tcPr>
            <w:tcW w:w="993" w:type="dxa"/>
            <w:vMerge/>
            <w:shd w:val="clear" w:color="auto" w:fill="0070B5" w:themeFill="accent1" w:themeFillTint="BF"/>
          </w:tcPr>
          <w:p w:rsidR="00113F89" w:rsidRPr="00A2747D" w:rsidRDefault="00113F89" w:rsidP="00843B02">
            <w:pPr>
              <w:spacing w:before="60" w:after="60"/>
              <w:ind w:left="0" w:right="0"/>
              <w:jc w:val="center"/>
              <w:rPr>
                <w:sz w:val="18"/>
                <w:szCs w:val="18"/>
                <w:lang w:eastAsia="ja-JP"/>
              </w:rPr>
            </w:pPr>
          </w:p>
        </w:tc>
      </w:tr>
      <w:tr w:rsidR="00113F89" w:rsidRPr="003372BF" w:rsidTr="00A2747D">
        <w:tc>
          <w:tcPr>
            <w:tcW w:w="1701" w:type="dxa"/>
          </w:tcPr>
          <w:p w:rsidR="00113F89" w:rsidRPr="003372BF" w:rsidRDefault="00113F89" w:rsidP="00843B02">
            <w:pPr>
              <w:spacing w:before="60" w:after="60"/>
              <w:ind w:left="0" w:right="0"/>
              <w:rPr>
                <w:sz w:val="18"/>
                <w:szCs w:val="18"/>
                <w:lang w:eastAsia="ja-JP"/>
              </w:rPr>
            </w:pPr>
            <w:r w:rsidRPr="003372BF">
              <w:rPr>
                <w:sz w:val="18"/>
                <w:szCs w:val="18"/>
                <w:lang w:eastAsia="ja-JP"/>
              </w:rPr>
              <w:t>Clinical pharmacology</w:t>
            </w:r>
          </w:p>
          <w:p w:rsidR="00113F89" w:rsidRPr="003372BF" w:rsidRDefault="00113F89" w:rsidP="00843B02">
            <w:pPr>
              <w:spacing w:before="60" w:after="60"/>
              <w:ind w:left="0" w:right="0"/>
              <w:rPr>
                <w:sz w:val="18"/>
                <w:szCs w:val="18"/>
                <w:lang w:eastAsia="ja-JP"/>
              </w:rPr>
            </w:pPr>
            <w:r w:rsidRPr="003372BF">
              <w:rPr>
                <w:sz w:val="18"/>
                <w:szCs w:val="18"/>
                <w:lang w:eastAsia="ja-JP"/>
              </w:rPr>
              <w:t>LEO80185-G24</w:t>
            </w:r>
          </w:p>
        </w:tc>
        <w:tc>
          <w:tcPr>
            <w:tcW w:w="993" w:type="dxa"/>
            <w:vAlign w:val="bottom"/>
          </w:tcPr>
          <w:p w:rsidR="00113F89" w:rsidRPr="003372BF" w:rsidRDefault="00113F89" w:rsidP="00A2747D">
            <w:pPr>
              <w:spacing w:before="60" w:after="60"/>
              <w:ind w:left="0" w:right="0"/>
              <w:rPr>
                <w:sz w:val="18"/>
                <w:szCs w:val="18"/>
                <w:lang w:eastAsia="ja-JP"/>
              </w:rPr>
            </w:pPr>
          </w:p>
        </w:tc>
        <w:tc>
          <w:tcPr>
            <w:tcW w:w="850" w:type="dxa"/>
            <w:vAlign w:val="bottom"/>
          </w:tcPr>
          <w:p w:rsidR="00113F89" w:rsidRPr="003372BF" w:rsidRDefault="00113F89" w:rsidP="00A2747D">
            <w:pPr>
              <w:spacing w:before="60" w:after="60"/>
              <w:ind w:left="0" w:right="0"/>
              <w:rPr>
                <w:sz w:val="18"/>
                <w:szCs w:val="18"/>
                <w:lang w:eastAsia="ja-JP"/>
              </w:rPr>
            </w:pPr>
          </w:p>
        </w:tc>
        <w:tc>
          <w:tcPr>
            <w:tcW w:w="1134" w:type="dxa"/>
            <w:vAlign w:val="bottom"/>
          </w:tcPr>
          <w:p w:rsidR="00113F89" w:rsidRPr="003372BF" w:rsidRDefault="00113F89" w:rsidP="00A2747D">
            <w:pPr>
              <w:spacing w:before="60" w:after="60"/>
              <w:ind w:left="0" w:right="0"/>
              <w:rPr>
                <w:sz w:val="18"/>
                <w:szCs w:val="18"/>
                <w:lang w:eastAsia="ja-JP"/>
              </w:rPr>
            </w:pPr>
          </w:p>
        </w:tc>
        <w:tc>
          <w:tcPr>
            <w:tcW w:w="992" w:type="dxa"/>
            <w:vAlign w:val="bottom"/>
          </w:tcPr>
          <w:p w:rsidR="00113F89" w:rsidRPr="003372BF" w:rsidRDefault="00113F89" w:rsidP="00A2747D">
            <w:pPr>
              <w:spacing w:before="60" w:after="60"/>
              <w:ind w:left="0" w:right="0"/>
              <w:rPr>
                <w:sz w:val="18"/>
                <w:szCs w:val="18"/>
                <w:lang w:eastAsia="ja-JP"/>
              </w:rPr>
            </w:pPr>
          </w:p>
        </w:tc>
        <w:tc>
          <w:tcPr>
            <w:tcW w:w="1134" w:type="dxa"/>
            <w:vAlign w:val="bottom"/>
          </w:tcPr>
          <w:p w:rsidR="00113F89" w:rsidRPr="003372BF" w:rsidRDefault="00113F89" w:rsidP="00A2747D">
            <w:pPr>
              <w:spacing w:before="60" w:after="60"/>
              <w:ind w:left="0" w:right="0"/>
              <w:rPr>
                <w:sz w:val="18"/>
                <w:szCs w:val="18"/>
                <w:lang w:eastAsia="ja-JP"/>
              </w:rPr>
            </w:pPr>
          </w:p>
        </w:tc>
        <w:tc>
          <w:tcPr>
            <w:tcW w:w="1134"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43</w:t>
            </w:r>
          </w:p>
        </w:tc>
        <w:tc>
          <w:tcPr>
            <w:tcW w:w="993"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43</w:t>
            </w:r>
          </w:p>
        </w:tc>
      </w:tr>
      <w:tr w:rsidR="00113F89" w:rsidRPr="003372BF" w:rsidTr="00A2747D">
        <w:tc>
          <w:tcPr>
            <w:tcW w:w="1701" w:type="dxa"/>
          </w:tcPr>
          <w:p w:rsidR="00113F89" w:rsidRPr="003372BF" w:rsidRDefault="00113F89" w:rsidP="00843B02">
            <w:pPr>
              <w:spacing w:before="60" w:after="60"/>
              <w:ind w:left="0" w:right="0"/>
              <w:rPr>
                <w:sz w:val="18"/>
                <w:szCs w:val="18"/>
                <w:lang w:eastAsia="ja-JP"/>
              </w:rPr>
            </w:pPr>
            <w:r w:rsidRPr="003372BF">
              <w:rPr>
                <w:sz w:val="18"/>
                <w:szCs w:val="18"/>
                <w:lang w:eastAsia="ja-JP"/>
              </w:rPr>
              <w:t>Pivotal:</w:t>
            </w:r>
          </w:p>
          <w:p w:rsidR="00113F89" w:rsidRPr="003372BF" w:rsidRDefault="00113F89" w:rsidP="00843B02">
            <w:pPr>
              <w:spacing w:before="60" w:after="60"/>
              <w:ind w:left="0" w:right="0"/>
              <w:rPr>
                <w:sz w:val="18"/>
                <w:szCs w:val="18"/>
                <w:lang w:eastAsia="ja-JP"/>
              </w:rPr>
            </w:pPr>
            <w:r w:rsidRPr="003372BF">
              <w:rPr>
                <w:sz w:val="18"/>
                <w:szCs w:val="18"/>
                <w:lang w:eastAsia="ja-JP"/>
              </w:rPr>
              <w:t>LEO80185-G23</w:t>
            </w:r>
          </w:p>
          <w:p w:rsidR="00113F89" w:rsidRPr="003372BF" w:rsidRDefault="00113F89" w:rsidP="00843B02">
            <w:pPr>
              <w:spacing w:before="60" w:after="60"/>
              <w:ind w:left="0" w:right="0"/>
              <w:rPr>
                <w:sz w:val="18"/>
                <w:szCs w:val="18"/>
                <w:lang w:eastAsia="ja-JP"/>
              </w:rPr>
            </w:pPr>
            <w:r w:rsidRPr="003372BF">
              <w:rPr>
                <w:sz w:val="18"/>
                <w:szCs w:val="18"/>
                <w:lang w:eastAsia="ja-JP"/>
              </w:rPr>
              <w:t>LEO80185-G21</w:t>
            </w:r>
          </w:p>
        </w:tc>
        <w:tc>
          <w:tcPr>
            <w:tcW w:w="993"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482</w:t>
            </w:r>
          </w:p>
          <w:p w:rsidR="00113F89" w:rsidRPr="003372BF" w:rsidRDefault="00113F89" w:rsidP="00A2747D">
            <w:pPr>
              <w:spacing w:before="60" w:after="60"/>
              <w:ind w:left="0" w:right="0"/>
              <w:rPr>
                <w:sz w:val="18"/>
                <w:szCs w:val="18"/>
                <w:lang w:eastAsia="ja-JP"/>
              </w:rPr>
            </w:pPr>
            <w:r w:rsidRPr="003372BF">
              <w:rPr>
                <w:sz w:val="18"/>
                <w:szCs w:val="18"/>
                <w:lang w:eastAsia="ja-JP"/>
              </w:rPr>
              <w:t>182</w:t>
            </w:r>
          </w:p>
        </w:tc>
        <w:tc>
          <w:tcPr>
            <w:tcW w:w="850"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95</w:t>
            </w:r>
          </w:p>
          <w:p w:rsidR="00113F89" w:rsidRPr="003372BF" w:rsidRDefault="00113F89" w:rsidP="00A2747D">
            <w:pPr>
              <w:spacing w:before="60" w:after="60"/>
              <w:ind w:left="0" w:right="0"/>
              <w:rPr>
                <w:sz w:val="18"/>
                <w:szCs w:val="18"/>
                <w:lang w:eastAsia="ja-JP"/>
              </w:rPr>
            </w:pPr>
            <w:r w:rsidRPr="003372BF">
              <w:rPr>
                <w:sz w:val="18"/>
                <w:szCs w:val="18"/>
                <w:lang w:eastAsia="ja-JP"/>
              </w:rPr>
              <w:t>91</w:t>
            </w:r>
          </w:p>
        </w:tc>
        <w:tc>
          <w:tcPr>
            <w:tcW w:w="1134"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479</w:t>
            </w:r>
          </w:p>
          <w:p w:rsidR="00113F89" w:rsidRPr="003372BF" w:rsidRDefault="00113F89" w:rsidP="00A2747D">
            <w:pPr>
              <w:spacing w:before="60" w:after="60"/>
              <w:ind w:left="0" w:right="0"/>
              <w:rPr>
                <w:sz w:val="18"/>
                <w:szCs w:val="18"/>
                <w:lang w:eastAsia="ja-JP"/>
              </w:rPr>
            </w:pPr>
            <w:r w:rsidRPr="003372BF">
              <w:rPr>
                <w:sz w:val="18"/>
                <w:szCs w:val="18"/>
                <w:lang w:eastAsia="ja-JP"/>
              </w:rPr>
              <w:t>0</w:t>
            </w:r>
          </w:p>
        </w:tc>
        <w:tc>
          <w:tcPr>
            <w:tcW w:w="992"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96</w:t>
            </w:r>
          </w:p>
          <w:p w:rsidR="00113F89" w:rsidRPr="003372BF" w:rsidRDefault="00113F89" w:rsidP="00A2747D">
            <w:pPr>
              <w:spacing w:before="60" w:after="60"/>
              <w:ind w:left="0" w:right="0"/>
              <w:rPr>
                <w:sz w:val="18"/>
                <w:szCs w:val="18"/>
                <w:lang w:eastAsia="ja-JP"/>
              </w:rPr>
            </w:pPr>
            <w:r w:rsidRPr="003372BF">
              <w:rPr>
                <w:sz w:val="18"/>
                <w:szCs w:val="18"/>
                <w:lang w:eastAsia="ja-JP"/>
              </w:rPr>
              <w:t>0</w:t>
            </w:r>
          </w:p>
        </w:tc>
        <w:tc>
          <w:tcPr>
            <w:tcW w:w="1134"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184</w:t>
            </w:r>
          </w:p>
        </w:tc>
        <w:tc>
          <w:tcPr>
            <w:tcW w:w="1134" w:type="dxa"/>
            <w:vAlign w:val="bottom"/>
          </w:tcPr>
          <w:p w:rsidR="00113F89" w:rsidRPr="003372BF" w:rsidRDefault="00113F89" w:rsidP="00A2747D">
            <w:pPr>
              <w:spacing w:before="60" w:after="60"/>
              <w:ind w:left="0" w:right="0"/>
              <w:rPr>
                <w:sz w:val="18"/>
                <w:szCs w:val="18"/>
                <w:lang w:eastAsia="ja-JP"/>
              </w:rPr>
            </w:pPr>
          </w:p>
        </w:tc>
        <w:tc>
          <w:tcPr>
            <w:tcW w:w="993"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482</w:t>
            </w:r>
          </w:p>
          <w:p w:rsidR="00113F89" w:rsidRPr="003372BF" w:rsidRDefault="00113F89" w:rsidP="00A2747D">
            <w:pPr>
              <w:spacing w:before="60" w:after="60"/>
              <w:ind w:left="0" w:right="0"/>
              <w:rPr>
                <w:sz w:val="18"/>
                <w:szCs w:val="18"/>
                <w:lang w:eastAsia="ja-JP"/>
              </w:rPr>
            </w:pPr>
            <w:r w:rsidRPr="003372BF">
              <w:rPr>
                <w:sz w:val="18"/>
                <w:szCs w:val="18"/>
                <w:lang w:eastAsia="ja-JP"/>
              </w:rPr>
              <w:t>182</w:t>
            </w:r>
          </w:p>
        </w:tc>
      </w:tr>
      <w:tr w:rsidR="00113F89" w:rsidRPr="003372BF" w:rsidTr="00A2747D">
        <w:tc>
          <w:tcPr>
            <w:tcW w:w="1701" w:type="dxa"/>
          </w:tcPr>
          <w:p w:rsidR="00113F89" w:rsidRPr="003372BF" w:rsidRDefault="00113F89" w:rsidP="00843B02">
            <w:pPr>
              <w:spacing w:before="60" w:after="60"/>
              <w:ind w:left="0" w:right="0"/>
              <w:rPr>
                <w:sz w:val="18"/>
                <w:szCs w:val="18"/>
                <w:lang w:eastAsia="ja-JP"/>
              </w:rPr>
            </w:pPr>
            <w:r w:rsidRPr="003372BF">
              <w:rPr>
                <w:sz w:val="18"/>
                <w:szCs w:val="18"/>
                <w:lang w:eastAsia="ja-JP"/>
              </w:rPr>
              <w:t>Other</w:t>
            </w:r>
          </w:p>
          <w:p w:rsidR="00113F89" w:rsidRPr="003372BF" w:rsidRDefault="00113F89" w:rsidP="00843B02">
            <w:pPr>
              <w:spacing w:before="60" w:after="60"/>
              <w:ind w:left="0" w:right="0"/>
              <w:rPr>
                <w:sz w:val="18"/>
                <w:szCs w:val="18"/>
                <w:lang w:eastAsia="ja-JP"/>
              </w:rPr>
            </w:pPr>
            <w:r w:rsidRPr="003372BF">
              <w:rPr>
                <w:sz w:val="18"/>
                <w:szCs w:val="18"/>
                <w:lang w:eastAsia="ja-JP"/>
              </w:rPr>
              <w:t>MBL0202INT</w:t>
            </w:r>
          </w:p>
          <w:p w:rsidR="00113F89" w:rsidRPr="003372BF" w:rsidRDefault="00113F89" w:rsidP="00843B02">
            <w:pPr>
              <w:spacing w:before="60" w:after="60"/>
              <w:ind w:left="0" w:right="0"/>
              <w:rPr>
                <w:sz w:val="18"/>
                <w:szCs w:val="18"/>
                <w:lang w:eastAsia="ja-JP"/>
              </w:rPr>
            </w:pPr>
            <w:r w:rsidRPr="003372BF">
              <w:rPr>
                <w:sz w:val="18"/>
                <w:szCs w:val="18"/>
                <w:lang w:eastAsia="ja-JP"/>
              </w:rPr>
              <w:t>PLQ-001*</w:t>
            </w:r>
          </w:p>
        </w:tc>
        <w:tc>
          <w:tcPr>
            <w:tcW w:w="993"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160</w:t>
            </w:r>
          </w:p>
          <w:p w:rsidR="00113F89" w:rsidRPr="003372BF" w:rsidRDefault="00113F89" w:rsidP="00A2747D">
            <w:pPr>
              <w:spacing w:before="60" w:after="60"/>
              <w:ind w:left="0" w:right="0"/>
              <w:rPr>
                <w:sz w:val="18"/>
                <w:szCs w:val="18"/>
                <w:lang w:eastAsia="ja-JP"/>
              </w:rPr>
            </w:pPr>
            <w:r w:rsidRPr="003372BF">
              <w:rPr>
                <w:sz w:val="18"/>
                <w:szCs w:val="18"/>
                <w:lang w:eastAsia="ja-JP"/>
              </w:rPr>
              <w:t>24</w:t>
            </w:r>
          </w:p>
        </w:tc>
        <w:tc>
          <w:tcPr>
            <w:tcW w:w="850"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40</w:t>
            </w:r>
          </w:p>
          <w:p w:rsidR="00113F89" w:rsidRPr="003372BF" w:rsidRDefault="00113F89" w:rsidP="00A2747D">
            <w:pPr>
              <w:spacing w:before="60" w:after="60"/>
              <w:ind w:left="0" w:right="0"/>
              <w:rPr>
                <w:sz w:val="18"/>
                <w:szCs w:val="18"/>
                <w:lang w:eastAsia="ja-JP"/>
              </w:rPr>
            </w:pPr>
          </w:p>
        </w:tc>
        <w:tc>
          <w:tcPr>
            <w:tcW w:w="1134"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83</w:t>
            </w:r>
          </w:p>
          <w:p w:rsidR="00113F89" w:rsidRPr="003372BF" w:rsidRDefault="00113F89" w:rsidP="00A2747D">
            <w:pPr>
              <w:spacing w:before="60" w:after="60"/>
              <w:ind w:left="0" w:right="0"/>
              <w:rPr>
                <w:sz w:val="18"/>
                <w:szCs w:val="18"/>
                <w:lang w:eastAsia="ja-JP"/>
              </w:rPr>
            </w:pPr>
          </w:p>
        </w:tc>
        <w:tc>
          <w:tcPr>
            <w:tcW w:w="992"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79</w:t>
            </w:r>
          </w:p>
          <w:p w:rsidR="00113F89" w:rsidRPr="003372BF" w:rsidRDefault="00113F89" w:rsidP="00A2747D">
            <w:pPr>
              <w:spacing w:before="60" w:after="60"/>
              <w:ind w:left="0" w:right="0"/>
              <w:rPr>
                <w:sz w:val="18"/>
                <w:szCs w:val="18"/>
                <w:lang w:eastAsia="ja-JP"/>
              </w:rPr>
            </w:pPr>
          </w:p>
        </w:tc>
        <w:tc>
          <w:tcPr>
            <w:tcW w:w="1134" w:type="dxa"/>
            <w:vAlign w:val="bottom"/>
          </w:tcPr>
          <w:p w:rsidR="00113F89" w:rsidRPr="003372BF" w:rsidRDefault="00113F89" w:rsidP="00A2747D">
            <w:pPr>
              <w:spacing w:before="60" w:after="60"/>
              <w:ind w:left="0" w:right="0"/>
              <w:rPr>
                <w:sz w:val="18"/>
                <w:szCs w:val="18"/>
                <w:lang w:eastAsia="ja-JP"/>
              </w:rPr>
            </w:pPr>
          </w:p>
        </w:tc>
        <w:tc>
          <w:tcPr>
            <w:tcW w:w="1134" w:type="dxa"/>
            <w:vAlign w:val="bottom"/>
          </w:tcPr>
          <w:p w:rsidR="00113F89" w:rsidRPr="003372BF" w:rsidRDefault="00113F89" w:rsidP="00A2747D">
            <w:pPr>
              <w:spacing w:before="60" w:after="60"/>
              <w:rPr>
                <w:sz w:val="18"/>
                <w:szCs w:val="18"/>
                <w:lang w:eastAsia="ja-JP"/>
              </w:rPr>
            </w:pPr>
          </w:p>
        </w:tc>
        <w:tc>
          <w:tcPr>
            <w:tcW w:w="993" w:type="dxa"/>
            <w:vAlign w:val="bottom"/>
          </w:tcPr>
          <w:p w:rsidR="00113F89" w:rsidRPr="003372BF" w:rsidRDefault="00113F89" w:rsidP="00A2747D">
            <w:pPr>
              <w:spacing w:before="60" w:after="60"/>
              <w:ind w:left="0" w:right="0"/>
              <w:rPr>
                <w:sz w:val="18"/>
                <w:szCs w:val="18"/>
                <w:lang w:eastAsia="ja-JP"/>
              </w:rPr>
            </w:pPr>
            <w:r w:rsidRPr="003372BF">
              <w:rPr>
                <w:sz w:val="18"/>
                <w:szCs w:val="18"/>
                <w:lang w:eastAsia="ja-JP"/>
              </w:rPr>
              <w:t>160</w:t>
            </w:r>
          </w:p>
          <w:p w:rsidR="00113F89" w:rsidRPr="003372BF" w:rsidRDefault="00113F89" w:rsidP="00A2747D">
            <w:pPr>
              <w:spacing w:before="60" w:after="60"/>
              <w:ind w:left="0" w:right="0"/>
              <w:rPr>
                <w:sz w:val="18"/>
                <w:szCs w:val="18"/>
                <w:lang w:eastAsia="ja-JP"/>
              </w:rPr>
            </w:pPr>
            <w:r w:rsidRPr="003372BF">
              <w:rPr>
                <w:sz w:val="18"/>
                <w:szCs w:val="18"/>
                <w:lang w:eastAsia="ja-JP"/>
              </w:rPr>
              <w:t>24</w:t>
            </w:r>
          </w:p>
        </w:tc>
      </w:tr>
      <w:tr w:rsidR="00113F89" w:rsidRPr="003372BF" w:rsidTr="00A2747D">
        <w:trPr>
          <w:trHeight w:val="227"/>
        </w:trPr>
        <w:tc>
          <w:tcPr>
            <w:tcW w:w="1701"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TOTAL</w:t>
            </w:r>
          </w:p>
        </w:tc>
        <w:tc>
          <w:tcPr>
            <w:tcW w:w="993"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848</w:t>
            </w:r>
          </w:p>
        </w:tc>
        <w:tc>
          <w:tcPr>
            <w:tcW w:w="850"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226</w:t>
            </w:r>
          </w:p>
        </w:tc>
        <w:tc>
          <w:tcPr>
            <w:tcW w:w="1134"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562</w:t>
            </w:r>
          </w:p>
        </w:tc>
        <w:tc>
          <w:tcPr>
            <w:tcW w:w="992"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175</w:t>
            </w:r>
          </w:p>
        </w:tc>
        <w:tc>
          <w:tcPr>
            <w:tcW w:w="1134"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184</w:t>
            </w:r>
          </w:p>
        </w:tc>
        <w:tc>
          <w:tcPr>
            <w:tcW w:w="1134"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43</w:t>
            </w:r>
          </w:p>
        </w:tc>
        <w:tc>
          <w:tcPr>
            <w:tcW w:w="993" w:type="dxa"/>
          </w:tcPr>
          <w:p w:rsidR="00113F89" w:rsidRPr="003372BF" w:rsidRDefault="00113F89" w:rsidP="00843B02">
            <w:pPr>
              <w:spacing w:before="60" w:after="60"/>
              <w:ind w:left="0" w:right="0"/>
              <w:rPr>
                <w:b/>
                <w:sz w:val="18"/>
                <w:szCs w:val="18"/>
                <w:lang w:eastAsia="ja-JP"/>
              </w:rPr>
            </w:pPr>
            <w:r w:rsidRPr="003372BF">
              <w:rPr>
                <w:b/>
                <w:sz w:val="18"/>
                <w:szCs w:val="18"/>
                <w:lang w:eastAsia="ja-JP"/>
              </w:rPr>
              <w:t>891</w:t>
            </w:r>
          </w:p>
        </w:tc>
      </w:tr>
    </w:tbl>
    <w:p w:rsidR="00113F89" w:rsidRPr="00911901" w:rsidRDefault="00113F89" w:rsidP="00C87C4E">
      <w:pPr>
        <w:pStyle w:val="TableDescription"/>
        <w:rPr>
          <w:lang w:eastAsia="ja-JP"/>
        </w:rPr>
      </w:pPr>
      <w:r w:rsidRPr="00911901">
        <w:rPr>
          <w:lang w:eastAsia="ja-JP"/>
        </w:rPr>
        <w:t>* in study PLQ-001 each patient served as own control for comparison with calcipotriol cream and ointment</w:t>
      </w:r>
    </w:p>
    <w:p w:rsidR="00113F89" w:rsidRDefault="00113F89" w:rsidP="00C87C4E">
      <w:pPr>
        <w:pStyle w:val="TableTitle"/>
        <w:rPr>
          <w:lang w:eastAsia="ja-JP"/>
        </w:rPr>
      </w:pPr>
      <w:bookmarkStart w:id="135" w:name="_Ref272765193"/>
      <w:bookmarkStart w:id="136" w:name="_Toc269112508"/>
      <w:bookmarkStart w:id="137" w:name="_Toc342054259"/>
      <w:r w:rsidRPr="00F10DC9">
        <w:rPr>
          <w:lang w:eastAsia="ja-JP"/>
        </w:rPr>
        <w:t>Table</w:t>
      </w:r>
      <w:bookmarkEnd w:id="135"/>
      <w:r>
        <w:rPr>
          <w:lang w:eastAsia="ja-JP"/>
        </w:rPr>
        <w:t xml:space="preserve"> </w:t>
      </w:r>
      <w:r w:rsidR="006C2B37">
        <w:rPr>
          <w:lang w:eastAsia="ja-JP"/>
        </w:rPr>
        <w:t>8</w:t>
      </w:r>
      <w:r>
        <w:rPr>
          <w:lang w:eastAsia="ja-JP"/>
        </w:rPr>
        <w:t xml:space="preserve">. </w:t>
      </w:r>
      <w:r w:rsidRPr="00F10DC9">
        <w:rPr>
          <w:lang w:eastAsia="ja-JP"/>
        </w:rPr>
        <w:t>Duration of exposure to Daivobet gel in clinical studies</w:t>
      </w:r>
      <w:bookmarkEnd w:id="136"/>
      <w:bookmarkEnd w:id="137"/>
      <w:r>
        <w:rPr>
          <w:lang w:eastAsia="ja-JP"/>
        </w:rPr>
        <w:t xml:space="preserve">: </w:t>
      </w:r>
      <w:r w:rsidRPr="00F10DC9">
        <w:rPr>
          <w:lang w:eastAsia="ja-JP"/>
        </w:rPr>
        <w:t>Duration of exposure to study treatment in ‘controlled non-scalp studies’: safety analysis set</w:t>
      </w:r>
    </w:p>
    <w:tbl>
      <w:tblPr>
        <w:tblStyle w:val="TableTGAblue"/>
        <w:tblW w:w="8931" w:type="dxa"/>
        <w:tblInd w:w="108" w:type="dxa"/>
        <w:tblLook w:val="04A0"/>
      </w:tblPr>
      <w:tblGrid>
        <w:gridCol w:w="1618"/>
        <w:gridCol w:w="1375"/>
        <w:gridCol w:w="1566"/>
        <w:gridCol w:w="1547"/>
        <w:gridCol w:w="1407"/>
        <w:gridCol w:w="1418"/>
      </w:tblGrid>
      <w:tr w:rsidR="00113F89" w:rsidRPr="00C87C4E" w:rsidTr="00C87C4E">
        <w:trPr>
          <w:cnfStyle w:val="100000000000"/>
          <w:tblHeader/>
        </w:trPr>
        <w:tc>
          <w:tcPr>
            <w:tcW w:w="1618" w:type="dxa"/>
          </w:tcPr>
          <w:p w:rsidR="00113F89" w:rsidRPr="00C87C4E" w:rsidRDefault="00113F89" w:rsidP="00C87C4E">
            <w:pPr>
              <w:rPr>
                <w:sz w:val="18"/>
                <w:szCs w:val="18"/>
              </w:rPr>
            </w:pPr>
            <w:r w:rsidRPr="00C87C4E">
              <w:rPr>
                <w:sz w:val="18"/>
                <w:szCs w:val="18"/>
              </w:rPr>
              <w:t>Length of drug exposure</w:t>
            </w:r>
          </w:p>
        </w:tc>
        <w:tc>
          <w:tcPr>
            <w:tcW w:w="0" w:type="auto"/>
          </w:tcPr>
          <w:p w:rsidR="00113F89" w:rsidRPr="00C87C4E" w:rsidRDefault="00113F89" w:rsidP="00C87C4E">
            <w:pPr>
              <w:rPr>
                <w:sz w:val="18"/>
                <w:szCs w:val="18"/>
              </w:rPr>
            </w:pPr>
            <w:r w:rsidRPr="00C87C4E">
              <w:rPr>
                <w:sz w:val="18"/>
                <w:szCs w:val="18"/>
              </w:rPr>
              <w:t>Daivobet gel (n=824)</w:t>
            </w:r>
          </w:p>
        </w:tc>
        <w:tc>
          <w:tcPr>
            <w:tcW w:w="0" w:type="auto"/>
          </w:tcPr>
          <w:p w:rsidR="00113F89" w:rsidRPr="00C87C4E" w:rsidRDefault="00113F89" w:rsidP="00C87C4E">
            <w:pPr>
              <w:rPr>
                <w:sz w:val="18"/>
                <w:szCs w:val="18"/>
              </w:rPr>
            </w:pPr>
            <w:proofErr w:type="spellStart"/>
            <w:r w:rsidRPr="00C87C4E">
              <w:rPr>
                <w:sz w:val="18"/>
                <w:szCs w:val="18"/>
              </w:rPr>
              <w:t>Betametha-sone</w:t>
            </w:r>
            <w:proofErr w:type="spellEnd"/>
            <w:r w:rsidRPr="00C87C4E">
              <w:rPr>
                <w:sz w:val="18"/>
                <w:szCs w:val="18"/>
              </w:rPr>
              <w:t xml:space="preserve"> gel</w:t>
            </w:r>
          </w:p>
          <w:p w:rsidR="00113F89" w:rsidRPr="00C87C4E" w:rsidRDefault="00113F89" w:rsidP="00C87C4E">
            <w:pPr>
              <w:rPr>
                <w:sz w:val="18"/>
                <w:szCs w:val="18"/>
              </w:rPr>
            </w:pPr>
            <w:r w:rsidRPr="00C87C4E">
              <w:rPr>
                <w:sz w:val="18"/>
                <w:szCs w:val="18"/>
              </w:rPr>
              <w:t>(n=562)</w:t>
            </w:r>
          </w:p>
        </w:tc>
        <w:tc>
          <w:tcPr>
            <w:tcW w:w="0" w:type="auto"/>
          </w:tcPr>
          <w:p w:rsidR="00113F89" w:rsidRPr="00C87C4E" w:rsidRDefault="00113F89" w:rsidP="00C87C4E">
            <w:pPr>
              <w:rPr>
                <w:sz w:val="18"/>
                <w:szCs w:val="18"/>
              </w:rPr>
            </w:pPr>
            <w:r w:rsidRPr="00C87C4E">
              <w:rPr>
                <w:sz w:val="18"/>
                <w:szCs w:val="18"/>
              </w:rPr>
              <w:t>Calcipotriol gel</w:t>
            </w:r>
          </w:p>
          <w:p w:rsidR="00113F89" w:rsidRPr="00C87C4E" w:rsidRDefault="00113F89" w:rsidP="00C87C4E">
            <w:pPr>
              <w:rPr>
                <w:sz w:val="18"/>
                <w:szCs w:val="18"/>
              </w:rPr>
            </w:pPr>
            <w:r w:rsidRPr="00C87C4E">
              <w:rPr>
                <w:sz w:val="18"/>
                <w:szCs w:val="18"/>
              </w:rPr>
              <w:t>(n=175)</w:t>
            </w:r>
          </w:p>
        </w:tc>
        <w:tc>
          <w:tcPr>
            <w:tcW w:w="1407" w:type="dxa"/>
          </w:tcPr>
          <w:p w:rsidR="00113F89" w:rsidRPr="00C87C4E" w:rsidRDefault="00113F89" w:rsidP="00C87C4E">
            <w:pPr>
              <w:rPr>
                <w:sz w:val="18"/>
                <w:szCs w:val="18"/>
              </w:rPr>
            </w:pPr>
            <w:r w:rsidRPr="00C87C4E">
              <w:rPr>
                <w:sz w:val="18"/>
                <w:szCs w:val="18"/>
              </w:rPr>
              <w:t>Gel vehicle</w:t>
            </w:r>
          </w:p>
          <w:p w:rsidR="00113F89" w:rsidRPr="00C87C4E" w:rsidRDefault="00113F89" w:rsidP="00C87C4E">
            <w:pPr>
              <w:rPr>
                <w:sz w:val="18"/>
                <w:szCs w:val="18"/>
              </w:rPr>
            </w:pPr>
            <w:r w:rsidRPr="00C87C4E">
              <w:rPr>
                <w:sz w:val="18"/>
                <w:szCs w:val="18"/>
              </w:rPr>
              <w:t>(n=226)</w:t>
            </w:r>
          </w:p>
        </w:tc>
        <w:tc>
          <w:tcPr>
            <w:tcW w:w="1418" w:type="dxa"/>
          </w:tcPr>
          <w:p w:rsidR="00113F89" w:rsidRPr="00C87C4E" w:rsidRDefault="00113F89" w:rsidP="00C87C4E">
            <w:pPr>
              <w:rPr>
                <w:sz w:val="18"/>
                <w:szCs w:val="18"/>
              </w:rPr>
            </w:pPr>
            <w:proofErr w:type="spellStart"/>
            <w:r w:rsidRPr="00C87C4E">
              <w:rPr>
                <w:sz w:val="18"/>
                <w:szCs w:val="18"/>
              </w:rPr>
              <w:t>Tacalcitol</w:t>
            </w:r>
            <w:proofErr w:type="spellEnd"/>
            <w:r w:rsidRPr="00C87C4E">
              <w:rPr>
                <w:sz w:val="18"/>
                <w:szCs w:val="18"/>
              </w:rPr>
              <w:t xml:space="preserve"> (n=184)</w:t>
            </w:r>
          </w:p>
        </w:tc>
      </w:tr>
      <w:tr w:rsidR="00113F89" w:rsidRPr="00C87C4E" w:rsidTr="00C87C4E">
        <w:trPr>
          <w:trHeight w:hRule="exact" w:val="842"/>
        </w:trPr>
        <w:tc>
          <w:tcPr>
            <w:tcW w:w="1618" w:type="dxa"/>
          </w:tcPr>
          <w:p w:rsidR="00113F89" w:rsidRPr="00C87C4E" w:rsidRDefault="00113F89" w:rsidP="00C87C4E">
            <w:pPr>
              <w:rPr>
                <w:sz w:val="18"/>
                <w:szCs w:val="18"/>
              </w:rPr>
            </w:pPr>
            <w:r w:rsidRPr="00C87C4E">
              <w:rPr>
                <w:sz w:val="18"/>
                <w:szCs w:val="18"/>
              </w:rPr>
              <w:t>Exposure &lt;4 weeks. No (%)</w:t>
            </w:r>
          </w:p>
        </w:tc>
        <w:tc>
          <w:tcPr>
            <w:tcW w:w="0" w:type="auto"/>
          </w:tcPr>
          <w:p w:rsidR="00113F89" w:rsidRPr="00C87C4E" w:rsidRDefault="00113F89" w:rsidP="00C87C4E">
            <w:pPr>
              <w:rPr>
                <w:sz w:val="18"/>
                <w:szCs w:val="18"/>
              </w:rPr>
            </w:pPr>
            <w:r w:rsidRPr="00C87C4E">
              <w:rPr>
                <w:sz w:val="18"/>
                <w:szCs w:val="18"/>
              </w:rPr>
              <w:t>43 (5.2)</w:t>
            </w:r>
          </w:p>
        </w:tc>
        <w:tc>
          <w:tcPr>
            <w:tcW w:w="0" w:type="auto"/>
          </w:tcPr>
          <w:p w:rsidR="00113F89" w:rsidRPr="00C87C4E" w:rsidRDefault="00113F89" w:rsidP="00C87C4E">
            <w:pPr>
              <w:rPr>
                <w:sz w:val="18"/>
                <w:szCs w:val="18"/>
              </w:rPr>
            </w:pPr>
            <w:r w:rsidRPr="00C87C4E">
              <w:rPr>
                <w:sz w:val="18"/>
                <w:szCs w:val="18"/>
              </w:rPr>
              <w:t>47 (8.4)</w:t>
            </w:r>
          </w:p>
        </w:tc>
        <w:tc>
          <w:tcPr>
            <w:tcW w:w="0" w:type="auto"/>
          </w:tcPr>
          <w:p w:rsidR="00113F89" w:rsidRPr="00C87C4E" w:rsidRDefault="00113F89" w:rsidP="00C87C4E">
            <w:pPr>
              <w:rPr>
                <w:sz w:val="18"/>
                <w:szCs w:val="18"/>
              </w:rPr>
            </w:pPr>
            <w:r w:rsidRPr="00C87C4E">
              <w:rPr>
                <w:sz w:val="18"/>
                <w:szCs w:val="18"/>
              </w:rPr>
              <w:t>15 (8.6)</w:t>
            </w:r>
          </w:p>
        </w:tc>
        <w:tc>
          <w:tcPr>
            <w:tcW w:w="1407" w:type="dxa"/>
          </w:tcPr>
          <w:p w:rsidR="00113F89" w:rsidRPr="00C87C4E" w:rsidRDefault="00113F89" w:rsidP="00C87C4E">
            <w:pPr>
              <w:rPr>
                <w:sz w:val="18"/>
                <w:szCs w:val="18"/>
              </w:rPr>
            </w:pPr>
            <w:r w:rsidRPr="00C87C4E">
              <w:rPr>
                <w:sz w:val="18"/>
                <w:szCs w:val="18"/>
              </w:rPr>
              <w:t>30 (13.3)</w:t>
            </w:r>
          </w:p>
        </w:tc>
        <w:tc>
          <w:tcPr>
            <w:tcW w:w="1418" w:type="dxa"/>
          </w:tcPr>
          <w:p w:rsidR="00113F89" w:rsidRPr="00C87C4E" w:rsidRDefault="00113F89" w:rsidP="00C87C4E">
            <w:pPr>
              <w:rPr>
                <w:sz w:val="18"/>
                <w:szCs w:val="18"/>
              </w:rPr>
            </w:pPr>
            <w:r w:rsidRPr="00C87C4E">
              <w:rPr>
                <w:sz w:val="18"/>
                <w:szCs w:val="18"/>
              </w:rPr>
              <w:t>11 (6.0)</w:t>
            </w:r>
          </w:p>
        </w:tc>
      </w:tr>
      <w:tr w:rsidR="00113F89" w:rsidRPr="00C87C4E" w:rsidTr="00C87C4E">
        <w:trPr>
          <w:trHeight w:hRule="exact" w:val="848"/>
        </w:trPr>
        <w:tc>
          <w:tcPr>
            <w:tcW w:w="1618" w:type="dxa"/>
          </w:tcPr>
          <w:p w:rsidR="00113F89" w:rsidRPr="00C87C4E" w:rsidRDefault="00113F89" w:rsidP="00C87C4E">
            <w:pPr>
              <w:rPr>
                <w:sz w:val="18"/>
                <w:szCs w:val="18"/>
              </w:rPr>
            </w:pPr>
            <w:r w:rsidRPr="00C87C4E">
              <w:rPr>
                <w:sz w:val="18"/>
                <w:szCs w:val="18"/>
              </w:rPr>
              <w:t>Exposure ≥4 weeks. No (%)</w:t>
            </w:r>
          </w:p>
        </w:tc>
        <w:tc>
          <w:tcPr>
            <w:tcW w:w="0" w:type="auto"/>
          </w:tcPr>
          <w:p w:rsidR="00113F89" w:rsidRPr="00C87C4E" w:rsidRDefault="00113F89" w:rsidP="00C87C4E">
            <w:pPr>
              <w:rPr>
                <w:sz w:val="18"/>
                <w:szCs w:val="18"/>
              </w:rPr>
            </w:pPr>
            <w:r w:rsidRPr="00C87C4E">
              <w:rPr>
                <w:sz w:val="18"/>
                <w:szCs w:val="18"/>
              </w:rPr>
              <w:t>781 (94.8)</w:t>
            </w:r>
          </w:p>
        </w:tc>
        <w:tc>
          <w:tcPr>
            <w:tcW w:w="0" w:type="auto"/>
          </w:tcPr>
          <w:p w:rsidR="00113F89" w:rsidRPr="00C87C4E" w:rsidRDefault="00113F89" w:rsidP="00C87C4E">
            <w:pPr>
              <w:rPr>
                <w:sz w:val="18"/>
                <w:szCs w:val="18"/>
              </w:rPr>
            </w:pPr>
            <w:r w:rsidRPr="00C87C4E">
              <w:rPr>
                <w:sz w:val="18"/>
                <w:szCs w:val="18"/>
              </w:rPr>
              <w:t>515 (91.6)</w:t>
            </w:r>
          </w:p>
        </w:tc>
        <w:tc>
          <w:tcPr>
            <w:tcW w:w="0" w:type="auto"/>
          </w:tcPr>
          <w:p w:rsidR="00113F89" w:rsidRPr="00C87C4E" w:rsidRDefault="00113F89" w:rsidP="00C87C4E">
            <w:pPr>
              <w:rPr>
                <w:sz w:val="18"/>
                <w:szCs w:val="18"/>
              </w:rPr>
            </w:pPr>
            <w:r w:rsidRPr="00C87C4E">
              <w:rPr>
                <w:sz w:val="18"/>
                <w:szCs w:val="18"/>
              </w:rPr>
              <w:t>160 (91.4)</w:t>
            </w:r>
          </w:p>
        </w:tc>
        <w:tc>
          <w:tcPr>
            <w:tcW w:w="1407" w:type="dxa"/>
          </w:tcPr>
          <w:p w:rsidR="00113F89" w:rsidRPr="00C87C4E" w:rsidRDefault="00113F89" w:rsidP="00C87C4E">
            <w:pPr>
              <w:rPr>
                <w:sz w:val="18"/>
                <w:szCs w:val="18"/>
              </w:rPr>
            </w:pPr>
            <w:r w:rsidRPr="00C87C4E">
              <w:rPr>
                <w:sz w:val="18"/>
                <w:szCs w:val="18"/>
              </w:rPr>
              <w:t>196 (86.7)</w:t>
            </w:r>
          </w:p>
        </w:tc>
        <w:tc>
          <w:tcPr>
            <w:tcW w:w="1418" w:type="dxa"/>
          </w:tcPr>
          <w:p w:rsidR="00113F89" w:rsidRPr="00C87C4E" w:rsidRDefault="00113F89" w:rsidP="00C87C4E">
            <w:pPr>
              <w:rPr>
                <w:sz w:val="18"/>
                <w:szCs w:val="18"/>
              </w:rPr>
            </w:pPr>
            <w:r w:rsidRPr="00C87C4E">
              <w:rPr>
                <w:sz w:val="18"/>
                <w:szCs w:val="18"/>
              </w:rPr>
              <w:t>173 (94.0)</w:t>
            </w:r>
          </w:p>
        </w:tc>
      </w:tr>
      <w:tr w:rsidR="00113F89" w:rsidRPr="00C87C4E" w:rsidTr="00C87C4E">
        <w:trPr>
          <w:trHeight w:hRule="exact" w:val="838"/>
        </w:trPr>
        <w:tc>
          <w:tcPr>
            <w:tcW w:w="1618" w:type="dxa"/>
          </w:tcPr>
          <w:p w:rsidR="00113F89" w:rsidRPr="00C87C4E" w:rsidRDefault="00113F89" w:rsidP="00C87C4E">
            <w:pPr>
              <w:rPr>
                <w:sz w:val="18"/>
                <w:szCs w:val="18"/>
              </w:rPr>
            </w:pPr>
            <w:r w:rsidRPr="00C87C4E">
              <w:rPr>
                <w:sz w:val="18"/>
                <w:szCs w:val="18"/>
              </w:rPr>
              <w:t>Exposure ≥8 weeks. No (%)</w:t>
            </w:r>
          </w:p>
        </w:tc>
        <w:tc>
          <w:tcPr>
            <w:tcW w:w="0" w:type="auto"/>
          </w:tcPr>
          <w:p w:rsidR="00113F89" w:rsidRPr="00C87C4E" w:rsidRDefault="00113F89" w:rsidP="00C87C4E">
            <w:pPr>
              <w:rPr>
                <w:sz w:val="18"/>
                <w:szCs w:val="18"/>
              </w:rPr>
            </w:pPr>
            <w:r w:rsidRPr="00C87C4E">
              <w:rPr>
                <w:sz w:val="18"/>
                <w:szCs w:val="18"/>
              </w:rPr>
              <w:t>615 (74.6)</w:t>
            </w:r>
          </w:p>
        </w:tc>
        <w:tc>
          <w:tcPr>
            <w:tcW w:w="0" w:type="auto"/>
          </w:tcPr>
          <w:p w:rsidR="00113F89" w:rsidRPr="00C87C4E" w:rsidRDefault="00113F89" w:rsidP="00C87C4E">
            <w:pPr>
              <w:rPr>
                <w:sz w:val="18"/>
                <w:szCs w:val="18"/>
              </w:rPr>
            </w:pPr>
            <w:r w:rsidRPr="00C87C4E">
              <w:rPr>
                <w:sz w:val="18"/>
                <w:szCs w:val="18"/>
              </w:rPr>
              <w:t>400 (71.2)</w:t>
            </w:r>
          </w:p>
        </w:tc>
        <w:tc>
          <w:tcPr>
            <w:tcW w:w="0" w:type="auto"/>
          </w:tcPr>
          <w:p w:rsidR="00113F89" w:rsidRPr="00C87C4E" w:rsidRDefault="00113F89" w:rsidP="00C87C4E">
            <w:pPr>
              <w:rPr>
                <w:sz w:val="18"/>
                <w:szCs w:val="18"/>
              </w:rPr>
            </w:pPr>
            <w:r w:rsidRPr="00C87C4E">
              <w:rPr>
                <w:sz w:val="18"/>
                <w:szCs w:val="18"/>
              </w:rPr>
              <w:t>123 (70.3)</w:t>
            </w:r>
          </w:p>
        </w:tc>
        <w:tc>
          <w:tcPr>
            <w:tcW w:w="1407" w:type="dxa"/>
          </w:tcPr>
          <w:p w:rsidR="00113F89" w:rsidRPr="00C87C4E" w:rsidRDefault="00113F89" w:rsidP="00C87C4E">
            <w:pPr>
              <w:rPr>
                <w:sz w:val="18"/>
                <w:szCs w:val="18"/>
              </w:rPr>
            </w:pPr>
            <w:r w:rsidRPr="00C87C4E">
              <w:rPr>
                <w:sz w:val="18"/>
                <w:szCs w:val="18"/>
              </w:rPr>
              <w:t>143 (63.3)</w:t>
            </w:r>
          </w:p>
        </w:tc>
        <w:tc>
          <w:tcPr>
            <w:tcW w:w="1418" w:type="dxa"/>
          </w:tcPr>
          <w:p w:rsidR="00113F89" w:rsidRPr="00C87C4E" w:rsidRDefault="00113F89" w:rsidP="00C87C4E">
            <w:pPr>
              <w:rPr>
                <w:sz w:val="18"/>
                <w:szCs w:val="18"/>
              </w:rPr>
            </w:pPr>
            <w:r w:rsidRPr="00C87C4E">
              <w:rPr>
                <w:sz w:val="18"/>
                <w:szCs w:val="18"/>
              </w:rPr>
              <w:t>123 (66.8)</w:t>
            </w:r>
          </w:p>
        </w:tc>
      </w:tr>
      <w:tr w:rsidR="00113F89" w:rsidRPr="00C87C4E" w:rsidTr="00C87C4E">
        <w:trPr>
          <w:trHeight w:val="20"/>
        </w:trPr>
        <w:tc>
          <w:tcPr>
            <w:tcW w:w="1618" w:type="dxa"/>
          </w:tcPr>
          <w:p w:rsidR="00113F89" w:rsidRPr="00C87C4E" w:rsidRDefault="00113F89" w:rsidP="00C87C4E">
            <w:pPr>
              <w:rPr>
                <w:sz w:val="18"/>
                <w:szCs w:val="18"/>
              </w:rPr>
            </w:pPr>
            <w:r w:rsidRPr="00C87C4E">
              <w:rPr>
                <w:sz w:val="18"/>
                <w:szCs w:val="18"/>
              </w:rPr>
              <w:t>Mean exposure (weeks)</w:t>
            </w:r>
          </w:p>
        </w:tc>
        <w:tc>
          <w:tcPr>
            <w:tcW w:w="0" w:type="auto"/>
          </w:tcPr>
          <w:p w:rsidR="00113F89" w:rsidRPr="00C87C4E" w:rsidRDefault="00113F89" w:rsidP="00C87C4E">
            <w:pPr>
              <w:rPr>
                <w:sz w:val="18"/>
                <w:szCs w:val="18"/>
              </w:rPr>
            </w:pPr>
            <w:r w:rsidRPr="00C87C4E">
              <w:rPr>
                <w:sz w:val="18"/>
                <w:szCs w:val="18"/>
              </w:rPr>
              <w:t>7.7</w:t>
            </w:r>
          </w:p>
        </w:tc>
        <w:tc>
          <w:tcPr>
            <w:tcW w:w="0" w:type="auto"/>
          </w:tcPr>
          <w:p w:rsidR="00113F89" w:rsidRPr="00C87C4E" w:rsidRDefault="00113F89" w:rsidP="00C87C4E">
            <w:pPr>
              <w:rPr>
                <w:sz w:val="18"/>
                <w:szCs w:val="18"/>
              </w:rPr>
            </w:pPr>
            <w:r w:rsidRPr="00C87C4E">
              <w:rPr>
                <w:sz w:val="18"/>
                <w:szCs w:val="18"/>
              </w:rPr>
              <w:t>7.4</w:t>
            </w:r>
          </w:p>
        </w:tc>
        <w:tc>
          <w:tcPr>
            <w:tcW w:w="0" w:type="auto"/>
          </w:tcPr>
          <w:p w:rsidR="00113F89" w:rsidRPr="00C87C4E" w:rsidRDefault="00113F89" w:rsidP="00C87C4E">
            <w:pPr>
              <w:rPr>
                <w:sz w:val="18"/>
                <w:szCs w:val="18"/>
              </w:rPr>
            </w:pPr>
            <w:r w:rsidRPr="00C87C4E">
              <w:rPr>
                <w:sz w:val="18"/>
                <w:szCs w:val="18"/>
              </w:rPr>
              <w:t>7.4</w:t>
            </w:r>
          </w:p>
        </w:tc>
        <w:tc>
          <w:tcPr>
            <w:tcW w:w="1407" w:type="dxa"/>
          </w:tcPr>
          <w:p w:rsidR="00113F89" w:rsidRPr="00C87C4E" w:rsidRDefault="00113F89" w:rsidP="00C87C4E">
            <w:pPr>
              <w:rPr>
                <w:sz w:val="18"/>
                <w:szCs w:val="18"/>
              </w:rPr>
            </w:pPr>
            <w:r w:rsidRPr="00C87C4E">
              <w:rPr>
                <w:sz w:val="18"/>
                <w:szCs w:val="18"/>
              </w:rPr>
              <w:t>7.0</w:t>
            </w:r>
          </w:p>
        </w:tc>
        <w:tc>
          <w:tcPr>
            <w:tcW w:w="1418" w:type="dxa"/>
          </w:tcPr>
          <w:p w:rsidR="00113F89" w:rsidRPr="00C87C4E" w:rsidRDefault="00113F89" w:rsidP="00C87C4E">
            <w:pPr>
              <w:rPr>
                <w:sz w:val="18"/>
                <w:szCs w:val="18"/>
              </w:rPr>
            </w:pPr>
            <w:r w:rsidRPr="00C87C4E">
              <w:rPr>
                <w:sz w:val="18"/>
                <w:szCs w:val="18"/>
              </w:rPr>
              <w:t>7.6</w:t>
            </w:r>
          </w:p>
        </w:tc>
      </w:tr>
      <w:tr w:rsidR="00113F89" w:rsidRPr="00C87C4E" w:rsidTr="00C87C4E">
        <w:trPr>
          <w:trHeight w:val="20"/>
        </w:trPr>
        <w:tc>
          <w:tcPr>
            <w:tcW w:w="1618" w:type="dxa"/>
          </w:tcPr>
          <w:p w:rsidR="00113F89" w:rsidRPr="00C87C4E" w:rsidRDefault="00113F89" w:rsidP="00C87C4E">
            <w:pPr>
              <w:rPr>
                <w:sz w:val="18"/>
                <w:szCs w:val="18"/>
              </w:rPr>
            </w:pPr>
            <w:r w:rsidRPr="00C87C4E">
              <w:rPr>
                <w:sz w:val="18"/>
                <w:szCs w:val="18"/>
              </w:rPr>
              <w:t>Number of exposed subjects</w:t>
            </w:r>
          </w:p>
        </w:tc>
        <w:tc>
          <w:tcPr>
            <w:tcW w:w="0" w:type="auto"/>
          </w:tcPr>
          <w:p w:rsidR="00113F89" w:rsidRPr="00C87C4E" w:rsidRDefault="00113F89" w:rsidP="00C87C4E">
            <w:pPr>
              <w:rPr>
                <w:sz w:val="18"/>
                <w:szCs w:val="18"/>
              </w:rPr>
            </w:pPr>
            <w:r w:rsidRPr="00C87C4E">
              <w:rPr>
                <w:sz w:val="18"/>
                <w:szCs w:val="18"/>
              </w:rPr>
              <w:t>824</w:t>
            </w:r>
          </w:p>
        </w:tc>
        <w:tc>
          <w:tcPr>
            <w:tcW w:w="0" w:type="auto"/>
          </w:tcPr>
          <w:p w:rsidR="00113F89" w:rsidRPr="00C87C4E" w:rsidRDefault="00113F89" w:rsidP="00C87C4E">
            <w:pPr>
              <w:rPr>
                <w:sz w:val="18"/>
                <w:szCs w:val="18"/>
              </w:rPr>
            </w:pPr>
            <w:r w:rsidRPr="00C87C4E">
              <w:rPr>
                <w:sz w:val="18"/>
                <w:szCs w:val="18"/>
              </w:rPr>
              <w:t>562</w:t>
            </w:r>
          </w:p>
        </w:tc>
        <w:tc>
          <w:tcPr>
            <w:tcW w:w="0" w:type="auto"/>
          </w:tcPr>
          <w:p w:rsidR="00113F89" w:rsidRPr="00C87C4E" w:rsidRDefault="00113F89" w:rsidP="00C87C4E">
            <w:pPr>
              <w:rPr>
                <w:sz w:val="18"/>
                <w:szCs w:val="18"/>
              </w:rPr>
            </w:pPr>
            <w:r w:rsidRPr="00C87C4E">
              <w:rPr>
                <w:sz w:val="18"/>
                <w:szCs w:val="18"/>
              </w:rPr>
              <w:t>175</w:t>
            </w:r>
          </w:p>
        </w:tc>
        <w:tc>
          <w:tcPr>
            <w:tcW w:w="1407" w:type="dxa"/>
          </w:tcPr>
          <w:p w:rsidR="00113F89" w:rsidRPr="00C87C4E" w:rsidRDefault="00113F89" w:rsidP="00C87C4E">
            <w:pPr>
              <w:rPr>
                <w:sz w:val="18"/>
                <w:szCs w:val="18"/>
              </w:rPr>
            </w:pPr>
            <w:r w:rsidRPr="00C87C4E">
              <w:rPr>
                <w:sz w:val="18"/>
                <w:szCs w:val="18"/>
              </w:rPr>
              <w:t>226</w:t>
            </w:r>
          </w:p>
        </w:tc>
        <w:tc>
          <w:tcPr>
            <w:tcW w:w="1418" w:type="dxa"/>
          </w:tcPr>
          <w:p w:rsidR="00113F89" w:rsidRPr="00C87C4E" w:rsidRDefault="00113F89" w:rsidP="00C87C4E">
            <w:pPr>
              <w:rPr>
                <w:sz w:val="18"/>
                <w:szCs w:val="18"/>
              </w:rPr>
            </w:pPr>
            <w:r w:rsidRPr="00C87C4E">
              <w:rPr>
                <w:sz w:val="18"/>
                <w:szCs w:val="18"/>
              </w:rPr>
              <w:t>184</w:t>
            </w:r>
          </w:p>
        </w:tc>
      </w:tr>
      <w:tr w:rsidR="00113F89" w:rsidRPr="00C87C4E" w:rsidTr="00C87C4E">
        <w:trPr>
          <w:trHeight w:val="20"/>
        </w:trPr>
        <w:tc>
          <w:tcPr>
            <w:tcW w:w="1618" w:type="dxa"/>
          </w:tcPr>
          <w:p w:rsidR="00113F89" w:rsidRPr="00C87C4E" w:rsidRDefault="00113F89" w:rsidP="00C87C4E">
            <w:pPr>
              <w:rPr>
                <w:sz w:val="18"/>
                <w:szCs w:val="18"/>
              </w:rPr>
            </w:pPr>
            <w:r w:rsidRPr="00C87C4E">
              <w:rPr>
                <w:sz w:val="18"/>
                <w:szCs w:val="18"/>
              </w:rPr>
              <w:t>Subject-treatment-weeks</w:t>
            </w:r>
          </w:p>
        </w:tc>
        <w:tc>
          <w:tcPr>
            <w:tcW w:w="0" w:type="auto"/>
          </w:tcPr>
          <w:p w:rsidR="00113F89" w:rsidRPr="00C87C4E" w:rsidRDefault="00113F89" w:rsidP="00C87C4E">
            <w:pPr>
              <w:rPr>
                <w:sz w:val="18"/>
                <w:szCs w:val="18"/>
              </w:rPr>
            </w:pPr>
            <w:r w:rsidRPr="00C87C4E">
              <w:rPr>
                <w:sz w:val="18"/>
                <w:szCs w:val="18"/>
              </w:rPr>
              <w:t>6323</w:t>
            </w:r>
          </w:p>
        </w:tc>
        <w:tc>
          <w:tcPr>
            <w:tcW w:w="0" w:type="auto"/>
          </w:tcPr>
          <w:p w:rsidR="00113F89" w:rsidRPr="00C87C4E" w:rsidRDefault="00113F89" w:rsidP="00C87C4E">
            <w:pPr>
              <w:rPr>
                <w:sz w:val="18"/>
                <w:szCs w:val="18"/>
              </w:rPr>
            </w:pPr>
            <w:r w:rsidRPr="00C87C4E">
              <w:rPr>
                <w:sz w:val="18"/>
                <w:szCs w:val="18"/>
              </w:rPr>
              <w:t>4176</w:t>
            </w:r>
          </w:p>
        </w:tc>
        <w:tc>
          <w:tcPr>
            <w:tcW w:w="0" w:type="auto"/>
          </w:tcPr>
          <w:p w:rsidR="00113F89" w:rsidRPr="00C87C4E" w:rsidRDefault="00113F89" w:rsidP="00C87C4E">
            <w:pPr>
              <w:rPr>
                <w:sz w:val="18"/>
                <w:szCs w:val="18"/>
              </w:rPr>
            </w:pPr>
            <w:r w:rsidRPr="00C87C4E">
              <w:rPr>
                <w:sz w:val="18"/>
                <w:szCs w:val="18"/>
              </w:rPr>
              <w:t>1290</w:t>
            </w:r>
          </w:p>
        </w:tc>
        <w:tc>
          <w:tcPr>
            <w:tcW w:w="1407" w:type="dxa"/>
          </w:tcPr>
          <w:p w:rsidR="00113F89" w:rsidRPr="00C87C4E" w:rsidRDefault="00113F89" w:rsidP="00C87C4E">
            <w:pPr>
              <w:rPr>
                <w:sz w:val="18"/>
                <w:szCs w:val="18"/>
              </w:rPr>
            </w:pPr>
            <w:r w:rsidRPr="00C87C4E">
              <w:rPr>
                <w:sz w:val="18"/>
                <w:szCs w:val="18"/>
              </w:rPr>
              <w:t>1581</w:t>
            </w:r>
          </w:p>
        </w:tc>
        <w:tc>
          <w:tcPr>
            <w:tcW w:w="1418" w:type="dxa"/>
          </w:tcPr>
          <w:p w:rsidR="00113F89" w:rsidRPr="00C87C4E" w:rsidRDefault="00113F89" w:rsidP="00C87C4E">
            <w:pPr>
              <w:rPr>
                <w:sz w:val="18"/>
                <w:szCs w:val="18"/>
              </w:rPr>
            </w:pPr>
            <w:r w:rsidRPr="00C87C4E">
              <w:rPr>
                <w:sz w:val="18"/>
                <w:szCs w:val="18"/>
              </w:rPr>
              <w:t>1391</w:t>
            </w:r>
          </w:p>
        </w:tc>
      </w:tr>
    </w:tbl>
    <w:p w:rsidR="00113F89" w:rsidRPr="00F10DC9" w:rsidRDefault="00113F89" w:rsidP="00C87C4E">
      <w:pPr>
        <w:rPr>
          <w:lang w:eastAsia="ja-JP"/>
        </w:rPr>
      </w:pPr>
      <w:r w:rsidRPr="00F10DC9">
        <w:rPr>
          <w:lang w:eastAsia="ja-JP"/>
        </w:rPr>
        <w:t>For study</w:t>
      </w:r>
      <w:r w:rsidR="00BB6ED5">
        <w:rPr>
          <w:lang w:eastAsia="ja-JP"/>
        </w:rPr>
        <w:t xml:space="preserve"> </w:t>
      </w:r>
      <w:r w:rsidR="00BB6ED5" w:rsidRPr="00BB6ED5">
        <w:rPr>
          <w:lang w:eastAsia="ja-JP"/>
        </w:rPr>
        <w:t>LEO80185-G24</w:t>
      </w:r>
      <w:r w:rsidRPr="00F10DC9">
        <w:rPr>
          <w:lang w:eastAsia="ja-JP"/>
        </w:rPr>
        <w:t>: the 43 subjects in the study had a mean duration of exposure of 7.5 weeks (SD 1.1; range 4.3 to 8.3 weeks).</w:t>
      </w:r>
    </w:p>
    <w:p w:rsidR="00113F89" w:rsidRPr="00F10DC9" w:rsidRDefault="00113F89" w:rsidP="00C87C4E">
      <w:pPr>
        <w:rPr>
          <w:lang w:eastAsia="ja-JP"/>
        </w:rPr>
      </w:pPr>
      <w:r w:rsidRPr="00F10DC9">
        <w:rPr>
          <w:lang w:eastAsia="ja-JP"/>
        </w:rPr>
        <w:t>In Study PLQ-001</w:t>
      </w:r>
      <w:r w:rsidR="00717A20">
        <w:rPr>
          <w:lang w:eastAsia="ja-JP"/>
        </w:rPr>
        <w:t>:</w:t>
      </w:r>
      <w:r w:rsidRPr="00F10DC9">
        <w:rPr>
          <w:lang w:eastAsia="ja-JP"/>
        </w:rPr>
        <w:t xml:space="preserve"> 24 subjects were treated with 18 applications over 3 weeks.</w:t>
      </w:r>
    </w:p>
    <w:p w:rsidR="00113F89" w:rsidRPr="00F10DC9" w:rsidRDefault="00113F89" w:rsidP="00C87C4E">
      <w:pPr>
        <w:rPr>
          <w:lang w:eastAsia="ja-JP"/>
        </w:rPr>
      </w:pPr>
      <w:r w:rsidRPr="00F10DC9">
        <w:rPr>
          <w:lang w:eastAsia="ja-JP"/>
        </w:rPr>
        <w:t>In each of the ‘controlled non-scalp studies’, subjects were instructed to treat all psoriasis vulgaris lesions on the trunk and/or arms and/or legs (genitals and skin folds were excluded) with a maximum of 100 g of topical gel per week. The amount of study drug used in the ‘controlled non-scalp studies’ was calculated by subtracting the weight of the used bottles from the mean weight of full bottles. An average weekly amount of study drug used was calculated by dividing the total amount of study drug used by the number of days of exposure then multiplying by 7 and is shown in Table below.</w:t>
      </w:r>
    </w:p>
    <w:p w:rsidR="00113F89" w:rsidRPr="00F10DC9" w:rsidRDefault="00113F89" w:rsidP="00C87C4E">
      <w:pPr>
        <w:pStyle w:val="TableTitle"/>
        <w:rPr>
          <w:lang w:eastAsia="ja-JP"/>
        </w:rPr>
      </w:pPr>
      <w:bookmarkStart w:id="138" w:name="_Toc342054260"/>
      <w:r w:rsidRPr="00F10DC9">
        <w:rPr>
          <w:lang w:eastAsia="ja-JP"/>
        </w:rPr>
        <w:t>Table</w:t>
      </w:r>
      <w:r>
        <w:rPr>
          <w:lang w:eastAsia="ja-JP"/>
        </w:rPr>
        <w:t xml:space="preserve"> </w:t>
      </w:r>
      <w:r w:rsidR="006C2B37">
        <w:rPr>
          <w:lang w:eastAsia="ja-JP"/>
        </w:rPr>
        <w:t>9</w:t>
      </w:r>
      <w:r>
        <w:rPr>
          <w:lang w:eastAsia="ja-JP"/>
        </w:rPr>
        <w:t xml:space="preserve">. </w:t>
      </w:r>
      <w:r w:rsidRPr="00F10DC9">
        <w:rPr>
          <w:lang w:eastAsia="ja-JP"/>
        </w:rPr>
        <w:t>Average weekly amount of study drug used for the ‘controlled non-scalp studies’: safety analysis set</w:t>
      </w:r>
      <w:bookmarkEnd w:id="138"/>
    </w:p>
    <w:tbl>
      <w:tblPr>
        <w:tblStyle w:val="TableTGAblue"/>
        <w:tblW w:w="4828" w:type="pct"/>
        <w:tblInd w:w="108" w:type="dxa"/>
        <w:tblLayout w:type="fixed"/>
        <w:tblLook w:val="04A0"/>
      </w:tblPr>
      <w:tblGrid>
        <w:gridCol w:w="1418"/>
        <w:gridCol w:w="1384"/>
        <w:gridCol w:w="1472"/>
        <w:gridCol w:w="1472"/>
        <w:gridCol w:w="1335"/>
        <w:gridCol w:w="1339"/>
      </w:tblGrid>
      <w:tr w:rsidR="00113F89" w:rsidRPr="00C87C4E" w:rsidTr="00843B02">
        <w:trPr>
          <w:cnfStyle w:val="100000000000"/>
          <w:tblHeader/>
        </w:trPr>
        <w:tc>
          <w:tcPr>
            <w:tcW w:w="842" w:type="pct"/>
          </w:tcPr>
          <w:p w:rsidR="00113F89" w:rsidRPr="00C87C4E" w:rsidRDefault="00113F89" w:rsidP="00C87C4E">
            <w:pPr>
              <w:rPr>
                <w:sz w:val="18"/>
                <w:szCs w:val="18"/>
                <w:lang w:eastAsia="ja-JP"/>
              </w:rPr>
            </w:pPr>
            <w:r w:rsidRPr="00C87C4E">
              <w:rPr>
                <w:sz w:val="18"/>
                <w:szCs w:val="18"/>
                <w:lang w:eastAsia="ja-JP"/>
              </w:rPr>
              <w:t>Average study drug used¹ (g/week)</w:t>
            </w:r>
          </w:p>
        </w:tc>
        <w:tc>
          <w:tcPr>
            <w:tcW w:w="822" w:type="pct"/>
          </w:tcPr>
          <w:p w:rsidR="00113F89" w:rsidRPr="00C87C4E" w:rsidRDefault="00113F89" w:rsidP="00C87C4E">
            <w:pPr>
              <w:rPr>
                <w:sz w:val="18"/>
                <w:szCs w:val="18"/>
                <w:lang w:eastAsia="ja-JP"/>
              </w:rPr>
            </w:pPr>
            <w:r w:rsidRPr="00C87C4E">
              <w:rPr>
                <w:sz w:val="18"/>
                <w:szCs w:val="18"/>
                <w:lang w:eastAsia="ja-JP"/>
              </w:rPr>
              <w:t>Daivobet gel (n=824)</w:t>
            </w:r>
          </w:p>
        </w:tc>
        <w:tc>
          <w:tcPr>
            <w:tcW w:w="874" w:type="pct"/>
          </w:tcPr>
          <w:p w:rsidR="00113F89" w:rsidRPr="00C87C4E" w:rsidRDefault="00113F89" w:rsidP="00C87C4E">
            <w:pPr>
              <w:rPr>
                <w:sz w:val="18"/>
                <w:szCs w:val="18"/>
                <w:lang w:eastAsia="ja-JP"/>
              </w:rPr>
            </w:pPr>
            <w:proofErr w:type="spellStart"/>
            <w:r w:rsidRPr="00C87C4E">
              <w:rPr>
                <w:sz w:val="18"/>
                <w:szCs w:val="18"/>
                <w:lang w:eastAsia="ja-JP"/>
              </w:rPr>
              <w:t>Betametha-sone</w:t>
            </w:r>
            <w:proofErr w:type="spellEnd"/>
            <w:r w:rsidRPr="00C87C4E">
              <w:rPr>
                <w:sz w:val="18"/>
                <w:szCs w:val="18"/>
                <w:lang w:eastAsia="ja-JP"/>
              </w:rPr>
              <w:t xml:space="preserve"> gel (n=562)</w:t>
            </w:r>
          </w:p>
        </w:tc>
        <w:tc>
          <w:tcPr>
            <w:tcW w:w="874" w:type="pct"/>
          </w:tcPr>
          <w:p w:rsidR="00113F89" w:rsidRPr="00C87C4E" w:rsidRDefault="00113F89" w:rsidP="00C87C4E">
            <w:pPr>
              <w:rPr>
                <w:sz w:val="18"/>
                <w:szCs w:val="18"/>
                <w:lang w:eastAsia="ja-JP"/>
              </w:rPr>
            </w:pPr>
            <w:r w:rsidRPr="00C87C4E">
              <w:rPr>
                <w:sz w:val="18"/>
                <w:szCs w:val="18"/>
                <w:lang w:eastAsia="ja-JP"/>
              </w:rPr>
              <w:t>Calcipotriol</w:t>
            </w:r>
          </w:p>
          <w:p w:rsidR="00113F89" w:rsidRPr="00C87C4E" w:rsidRDefault="00113F89" w:rsidP="00C87C4E">
            <w:pPr>
              <w:rPr>
                <w:sz w:val="18"/>
                <w:szCs w:val="18"/>
                <w:lang w:eastAsia="ja-JP"/>
              </w:rPr>
            </w:pPr>
            <w:r w:rsidRPr="00C87C4E">
              <w:rPr>
                <w:sz w:val="18"/>
                <w:szCs w:val="18"/>
                <w:lang w:eastAsia="ja-JP"/>
              </w:rPr>
              <w:t>gel (n=175)</w:t>
            </w:r>
          </w:p>
        </w:tc>
        <w:tc>
          <w:tcPr>
            <w:tcW w:w="793" w:type="pct"/>
          </w:tcPr>
          <w:p w:rsidR="00113F89" w:rsidRPr="00C87C4E" w:rsidRDefault="00113F89" w:rsidP="00C87C4E">
            <w:pPr>
              <w:rPr>
                <w:sz w:val="18"/>
                <w:szCs w:val="18"/>
                <w:lang w:eastAsia="ja-JP"/>
              </w:rPr>
            </w:pPr>
            <w:r w:rsidRPr="00C87C4E">
              <w:rPr>
                <w:sz w:val="18"/>
                <w:szCs w:val="18"/>
                <w:lang w:eastAsia="ja-JP"/>
              </w:rPr>
              <w:t>Gel vehicle (n=226)</w:t>
            </w:r>
          </w:p>
        </w:tc>
        <w:tc>
          <w:tcPr>
            <w:tcW w:w="795" w:type="pct"/>
          </w:tcPr>
          <w:p w:rsidR="00113F89" w:rsidRPr="00C87C4E" w:rsidRDefault="00113F89" w:rsidP="00C87C4E">
            <w:pPr>
              <w:rPr>
                <w:sz w:val="18"/>
                <w:szCs w:val="18"/>
                <w:lang w:eastAsia="ja-JP"/>
              </w:rPr>
            </w:pPr>
            <w:proofErr w:type="spellStart"/>
            <w:r w:rsidRPr="00C87C4E">
              <w:rPr>
                <w:sz w:val="18"/>
                <w:szCs w:val="18"/>
                <w:lang w:eastAsia="ja-JP"/>
              </w:rPr>
              <w:t>Tacalcitol</w:t>
            </w:r>
            <w:proofErr w:type="spellEnd"/>
          </w:p>
          <w:p w:rsidR="00113F89" w:rsidRPr="00C87C4E" w:rsidRDefault="00113F89" w:rsidP="00C87C4E">
            <w:pPr>
              <w:rPr>
                <w:sz w:val="18"/>
                <w:szCs w:val="18"/>
                <w:lang w:eastAsia="ja-JP"/>
              </w:rPr>
            </w:pPr>
            <w:r w:rsidRPr="00C87C4E">
              <w:rPr>
                <w:sz w:val="18"/>
                <w:szCs w:val="18"/>
                <w:lang w:eastAsia="ja-JP"/>
              </w:rPr>
              <w:t>(n=184)</w:t>
            </w:r>
          </w:p>
        </w:tc>
      </w:tr>
      <w:tr w:rsidR="00113F89" w:rsidRPr="00C87C4E" w:rsidTr="00717A20">
        <w:tc>
          <w:tcPr>
            <w:tcW w:w="842" w:type="pct"/>
          </w:tcPr>
          <w:p w:rsidR="00113F89" w:rsidRPr="00C87C4E" w:rsidRDefault="00113F89" w:rsidP="00C87C4E">
            <w:pPr>
              <w:rPr>
                <w:sz w:val="18"/>
                <w:szCs w:val="18"/>
                <w:lang w:eastAsia="ja-JP"/>
              </w:rPr>
            </w:pPr>
            <w:r w:rsidRPr="00C87C4E">
              <w:rPr>
                <w:sz w:val="18"/>
                <w:szCs w:val="18"/>
                <w:lang w:eastAsia="ja-JP"/>
              </w:rPr>
              <w:t>Mean</w:t>
            </w:r>
          </w:p>
        </w:tc>
        <w:tc>
          <w:tcPr>
            <w:tcW w:w="822" w:type="pct"/>
          </w:tcPr>
          <w:p w:rsidR="00113F89" w:rsidRPr="00C87C4E" w:rsidRDefault="00113F89" w:rsidP="00C87C4E">
            <w:pPr>
              <w:rPr>
                <w:sz w:val="18"/>
                <w:szCs w:val="18"/>
                <w:lang w:eastAsia="ja-JP"/>
              </w:rPr>
            </w:pPr>
            <w:r w:rsidRPr="00C87C4E">
              <w:rPr>
                <w:sz w:val="18"/>
                <w:szCs w:val="18"/>
                <w:lang w:eastAsia="ja-JP"/>
              </w:rPr>
              <w:t>29.0</w:t>
            </w:r>
          </w:p>
        </w:tc>
        <w:tc>
          <w:tcPr>
            <w:tcW w:w="874" w:type="pct"/>
          </w:tcPr>
          <w:p w:rsidR="00113F89" w:rsidRPr="00C87C4E" w:rsidRDefault="00113F89" w:rsidP="00C87C4E">
            <w:pPr>
              <w:rPr>
                <w:sz w:val="18"/>
                <w:szCs w:val="18"/>
                <w:lang w:eastAsia="ja-JP"/>
              </w:rPr>
            </w:pPr>
            <w:r w:rsidRPr="00C87C4E">
              <w:rPr>
                <w:sz w:val="18"/>
                <w:szCs w:val="18"/>
                <w:lang w:eastAsia="ja-JP"/>
              </w:rPr>
              <w:t>27.4</w:t>
            </w:r>
          </w:p>
        </w:tc>
        <w:tc>
          <w:tcPr>
            <w:tcW w:w="874" w:type="pct"/>
          </w:tcPr>
          <w:p w:rsidR="00113F89" w:rsidRPr="00C87C4E" w:rsidRDefault="00113F89" w:rsidP="00C87C4E">
            <w:pPr>
              <w:rPr>
                <w:sz w:val="18"/>
                <w:szCs w:val="18"/>
                <w:lang w:eastAsia="ja-JP"/>
              </w:rPr>
            </w:pPr>
            <w:r w:rsidRPr="00C87C4E">
              <w:rPr>
                <w:sz w:val="18"/>
                <w:szCs w:val="18"/>
                <w:lang w:eastAsia="ja-JP"/>
              </w:rPr>
              <w:t>29.8</w:t>
            </w:r>
          </w:p>
        </w:tc>
        <w:tc>
          <w:tcPr>
            <w:tcW w:w="793" w:type="pct"/>
          </w:tcPr>
          <w:p w:rsidR="00113F89" w:rsidRPr="00C87C4E" w:rsidRDefault="00113F89" w:rsidP="00C87C4E">
            <w:pPr>
              <w:rPr>
                <w:sz w:val="18"/>
                <w:szCs w:val="18"/>
                <w:lang w:eastAsia="ja-JP"/>
              </w:rPr>
            </w:pPr>
            <w:r w:rsidRPr="00C87C4E">
              <w:rPr>
                <w:sz w:val="18"/>
                <w:szCs w:val="18"/>
                <w:lang w:eastAsia="ja-JP"/>
              </w:rPr>
              <w:t>28.3</w:t>
            </w:r>
          </w:p>
        </w:tc>
        <w:tc>
          <w:tcPr>
            <w:tcW w:w="795" w:type="pct"/>
          </w:tcPr>
          <w:p w:rsidR="00113F89" w:rsidRPr="00C87C4E" w:rsidRDefault="00113F89" w:rsidP="00C87C4E">
            <w:pPr>
              <w:rPr>
                <w:sz w:val="18"/>
                <w:szCs w:val="18"/>
                <w:lang w:eastAsia="ja-JP"/>
              </w:rPr>
            </w:pPr>
            <w:r w:rsidRPr="00C87C4E">
              <w:rPr>
                <w:sz w:val="18"/>
                <w:szCs w:val="18"/>
                <w:lang w:eastAsia="ja-JP"/>
              </w:rPr>
              <w:t>33.2</w:t>
            </w:r>
          </w:p>
        </w:tc>
      </w:tr>
      <w:tr w:rsidR="00113F89" w:rsidRPr="00C87C4E" w:rsidTr="00717A20">
        <w:tc>
          <w:tcPr>
            <w:tcW w:w="842" w:type="pct"/>
          </w:tcPr>
          <w:p w:rsidR="00113F89" w:rsidRPr="00C87C4E" w:rsidRDefault="00113F89" w:rsidP="00C87C4E">
            <w:pPr>
              <w:rPr>
                <w:sz w:val="18"/>
                <w:szCs w:val="18"/>
                <w:lang w:eastAsia="ja-JP"/>
              </w:rPr>
            </w:pPr>
            <w:r w:rsidRPr="00C87C4E">
              <w:rPr>
                <w:sz w:val="18"/>
                <w:szCs w:val="18"/>
                <w:lang w:eastAsia="ja-JP"/>
              </w:rPr>
              <w:t>SD</w:t>
            </w:r>
          </w:p>
        </w:tc>
        <w:tc>
          <w:tcPr>
            <w:tcW w:w="822" w:type="pct"/>
          </w:tcPr>
          <w:p w:rsidR="00113F89" w:rsidRPr="00C87C4E" w:rsidRDefault="00113F89" w:rsidP="00C87C4E">
            <w:pPr>
              <w:rPr>
                <w:sz w:val="18"/>
                <w:szCs w:val="18"/>
                <w:lang w:eastAsia="ja-JP"/>
              </w:rPr>
            </w:pPr>
            <w:r w:rsidRPr="00C87C4E">
              <w:rPr>
                <w:sz w:val="18"/>
                <w:szCs w:val="18"/>
                <w:lang w:eastAsia="ja-JP"/>
              </w:rPr>
              <w:t>23.2</w:t>
            </w:r>
          </w:p>
        </w:tc>
        <w:tc>
          <w:tcPr>
            <w:tcW w:w="874" w:type="pct"/>
          </w:tcPr>
          <w:p w:rsidR="00113F89" w:rsidRPr="00C87C4E" w:rsidRDefault="00113F89" w:rsidP="00C87C4E">
            <w:pPr>
              <w:rPr>
                <w:sz w:val="18"/>
                <w:szCs w:val="18"/>
                <w:lang w:eastAsia="ja-JP"/>
              </w:rPr>
            </w:pPr>
            <w:r w:rsidRPr="00C87C4E">
              <w:rPr>
                <w:sz w:val="18"/>
                <w:szCs w:val="18"/>
                <w:lang w:eastAsia="ja-JP"/>
              </w:rPr>
              <w:t>22.1</w:t>
            </w:r>
          </w:p>
        </w:tc>
        <w:tc>
          <w:tcPr>
            <w:tcW w:w="874" w:type="pct"/>
          </w:tcPr>
          <w:p w:rsidR="00113F89" w:rsidRPr="00C87C4E" w:rsidRDefault="00113F89" w:rsidP="00C87C4E">
            <w:pPr>
              <w:rPr>
                <w:sz w:val="18"/>
                <w:szCs w:val="18"/>
                <w:lang w:eastAsia="ja-JP"/>
              </w:rPr>
            </w:pPr>
            <w:r w:rsidRPr="00C87C4E">
              <w:rPr>
                <w:sz w:val="18"/>
                <w:szCs w:val="18"/>
                <w:lang w:eastAsia="ja-JP"/>
              </w:rPr>
              <w:t>22.2</w:t>
            </w:r>
          </w:p>
        </w:tc>
        <w:tc>
          <w:tcPr>
            <w:tcW w:w="793" w:type="pct"/>
          </w:tcPr>
          <w:p w:rsidR="00113F89" w:rsidRPr="00C87C4E" w:rsidRDefault="00113F89" w:rsidP="00C87C4E">
            <w:pPr>
              <w:rPr>
                <w:sz w:val="18"/>
                <w:szCs w:val="18"/>
                <w:lang w:eastAsia="ja-JP"/>
              </w:rPr>
            </w:pPr>
            <w:r w:rsidRPr="00C87C4E">
              <w:rPr>
                <w:sz w:val="18"/>
                <w:szCs w:val="18"/>
                <w:lang w:eastAsia="ja-JP"/>
              </w:rPr>
              <w:t>23.3</w:t>
            </w:r>
          </w:p>
        </w:tc>
        <w:tc>
          <w:tcPr>
            <w:tcW w:w="795" w:type="pct"/>
          </w:tcPr>
          <w:p w:rsidR="00113F89" w:rsidRPr="00C87C4E" w:rsidRDefault="00113F89" w:rsidP="00C87C4E">
            <w:pPr>
              <w:rPr>
                <w:sz w:val="18"/>
                <w:szCs w:val="18"/>
                <w:lang w:eastAsia="ja-JP"/>
              </w:rPr>
            </w:pPr>
            <w:r w:rsidRPr="00C87C4E">
              <w:rPr>
                <w:sz w:val="18"/>
                <w:szCs w:val="18"/>
                <w:lang w:eastAsia="ja-JP"/>
              </w:rPr>
              <w:t>23.2</w:t>
            </w:r>
          </w:p>
        </w:tc>
      </w:tr>
      <w:tr w:rsidR="00113F89" w:rsidRPr="00C87C4E" w:rsidTr="00717A20">
        <w:tc>
          <w:tcPr>
            <w:tcW w:w="842" w:type="pct"/>
          </w:tcPr>
          <w:p w:rsidR="00113F89" w:rsidRPr="00C87C4E" w:rsidRDefault="00113F89" w:rsidP="00C87C4E">
            <w:pPr>
              <w:rPr>
                <w:sz w:val="18"/>
                <w:szCs w:val="18"/>
                <w:lang w:eastAsia="ja-JP"/>
              </w:rPr>
            </w:pPr>
            <w:r w:rsidRPr="00C87C4E">
              <w:rPr>
                <w:sz w:val="18"/>
                <w:szCs w:val="18"/>
                <w:lang w:eastAsia="ja-JP"/>
              </w:rPr>
              <w:t>Median</w:t>
            </w:r>
          </w:p>
        </w:tc>
        <w:tc>
          <w:tcPr>
            <w:tcW w:w="822" w:type="pct"/>
          </w:tcPr>
          <w:p w:rsidR="00113F89" w:rsidRPr="00C87C4E" w:rsidRDefault="00113F89" w:rsidP="00C87C4E">
            <w:pPr>
              <w:rPr>
                <w:sz w:val="18"/>
                <w:szCs w:val="18"/>
                <w:lang w:eastAsia="ja-JP"/>
              </w:rPr>
            </w:pPr>
            <w:r w:rsidRPr="00C87C4E">
              <w:rPr>
                <w:sz w:val="18"/>
                <w:szCs w:val="18"/>
                <w:lang w:eastAsia="ja-JP"/>
              </w:rPr>
              <w:t>22.6</w:t>
            </w:r>
          </w:p>
        </w:tc>
        <w:tc>
          <w:tcPr>
            <w:tcW w:w="874" w:type="pct"/>
          </w:tcPr>
          <w:p w:rsidR="00113F89" w:rsidRPr="00C87C4E" w:rsidRDefault="00113F89" w:rsidP="00C87C4E">
            <w:pPr>
              <w:rPr>
                <w:sz w:val="18"/>
                <w:szCs w:val="18"/>
                <w:lang w:eastAsia="ja-JP"/>
              </w:rPr>
            </w:pPr>
            <w:r w:rsidRPr="00C87C4E">
              <w:rPr>
                <w:sz w:val="18"/>
                <w:szCs w:val="18"/>
                <w:lang w:eastAsia="ja-JP"/>
              </w:rPr>
              <w:t>21.1</w:t>
            </w:r>
          </w:p>
        </w:tc>
        <w:tc>
          <w:tcPr>
            <w:tcW w:w="874" w:type="pct"/>
          </w:tcPr>
          <w:p w:rsidR="00113F89" w:rsidRPr="00C87C4E" w:rsidRDefault="00113F89" w:rsidP="00C87C4E">
            <w:pPr>
              <w:rPr>
                <w:sz w:val="18"/>
                <w:szCs w:val="18"/>
                <w:lang w:eastAsia="ja-JP"/>
              </w:rPr>
            </w:pPr>
            <w:r w:rsidRPr="00C87C4E">
              <w:rPr>
                <w:sz w:val="18"/>
                <w:szCs w:val="18"/>
                <w:lang w:eastAsia="ja-JP"/>
              </w:rPr>
              <w:t>25.5</w:t>
            </w:r>
          </w:p>
        </w:tc>
        <w:tc>
          <w:tcPr>
            <w:tcW w:w="793" w:type="pct"/>
          </w:tcPr>
          <w:p w:rsidR="00113F89" w:rsidRPr="00C87C4E" w:rsidRDefault="00113F89" w:rsidP="00C87C4E">
            <w:pPr>
              <w:rPr>
                <w:sz w:val="18"/>
                <w:szCs w:val="18"/>
                <w:lang w:eastAsia="ja-JP"/>
              </w:rPr>
            </w:pPr>
            <w:r w:rsidRPr="00C87C4E">
              <w:rPr>
                <w:sz w:val="18"/>
                <w:szCs w:val="18"/>
                <w:lang w:eastAsia="ja-JP"/>
              </w:rPr>
              <w:t>19.6</w:t>
            </w:r>
          </w:p>
        </w:tc>
        <w:tc>
          <w:tcPr>
            <w:tcW w:w="795" w:type="pct"/>
          </w:tcPr>
          <w:p w:rsidR="00113F89" w:rsidRPr="00C87C4E" w:rsidRDefault="00113F89" w:rsidP="00C87C4E">
            <w:pPr>
              <w:rPr>
                <w:sz w:val="18"/>
                <w:szCs w:val="18"/>
                <w:lang w:eastAsia="ja-JP"/>
              </w:rPr>
            </w:pPr>
            <w:r w:rsidRPr="00C87C4E">
              <w:rPr>
                <w:sz w:val="18"/>
                <w:szCs w:val="18"/>
                <w:lang w:eastAsia="ja-JP"/>
              </w:rPr>
              <w:t>27.3</w:t>
            </w:r>
          </w:p>
        </w:tc>
      </w:tr>
      <w:tr w:rsidR="00113F89" w:rsidRPr="00C87C4E" w:rsidTr="00717A20">
        <w:tc>
          <w:tcPr>
            <w:tcW w:w="842" w:type="pct"/>
          </w:tcPr>
          <w:p w:rsidR="00113F89" w:rsidRPr="00C87C4E" w:rsidRDefault="00113F89" w:rsidP="00C87C4E">
            <w:pPr>
              <w:rPr>
                <w:sz w:val="18"/>
                <w:szCs w:val="18"/>
                <w:lang w:eastAsia="ja-JP"/>
              </w:rPr>
            </w:pPr>
            <w:r w:rsidRPr="00C87C4E">
              <w:rPr>
                <w:sz w:val="18"/>
                <w:szCs w:val="18"/>
                <w:lang w:eastAsia="ja-JP"/>
              </w:rPr>
              <w:t>Minimum</w:t>
            </w:r>
          </w:p>
        </w:tc>
        <w:tc>
          <w:tcPr>
            <w:tcW w:w="822" w:type="pct"/>
          </w:tcPr>
          <w:p w:rsidR="00113F89" w:rsidRPr="00C87C4E" w:rsidRDefault="00113F89" w:rsidP="00C87C4E">
            <w:pPr>
              <w:rPr>
                <w:sz w:val="18"/>
                <w:szCs w:val="18"/>
                <w:lang w:eastAsia="ja-JP"/>
              </w:rPr>
            </w:pPr>
            <w:r w:rsidRPr="00C87C4E">
              <w:rPr>
                <w:sz w:val="18"/>
                <w:szCs w:val="18"/>
                <w:lang w:eastAsia="ja-JP"/>
              </w:rPr>
              <w:t>0</w:t>
            </w:r>
          </w:p>
        </w:tc>
        <w:tc>
          <w:tcPr>
            <w:tcW w:w="874" w:type="pct"/>
          </w:tcPr>
          <w:p w:rsidR="00113F89" w:rsidRPr="00C87C4E" w:rsidRDefault="00113F89" w:rsidP="00C87C4E">
            <w:pPr>
              <w:rPr>
                <w:sz w:val="18"/>
                <w:szCs w:val="18"/>
                <w:lang w:eastAsia="ja-JP"/>
              </w:rPr>
            </w:pPr>
            <w:r w:rsidRPr="00C87C4E">
              <w:rPr>
                <w:sz w:val="18"/>
                <w:szCs w:val="18"/>
                <w:lang w:eastAsia="ja-JP"/>
              </w:rPr>
              <w:t>0</w:t>
            </w:r>
          </w:p>
        </w:tc>
        <w:tc>
          <w:tcPr>
            <w:tcW w:w="874" w:type="pct"/>
          </w:tcPr>
          <w:p w:rsidR="00113F89" w:rsidRPr="00C87C4E" w:rsidRDefault="00113F89" w:rsidP="00C87C4E">
            <w:pPr>
              <w:rPr>
                <w:sz w:val="18"/>
                <w:szCs w:val="18"/>
                <w:lang w:eastAsia="ja-JP"/>
              </w:rPr>
            </w:pPr>
            <w:r w:rsidRPr="00C87C4E">
              <w:rPr>
                <w:sz w:val="18"/>
                <w:szCs w:val="18"/>
                <w:lang w:eastAsia="ja-JP"/>
              </w:rPr>
              <w:t>0</w:t>
            </w:r>
          </w:p>
        </w:tc>
        <w:tc>
          <w:tcPr>
            <w:tcW w:w="793" w:type="pct"/>
          </w:tcPr>
          <w:p w:rsidR="00113F89" w:rsidRPr="00C87C4E" w:rsidRDefault="00113F89" w:rsidP="00C87C4E">
            <w:pPr>
              <w:rPr>
                <w:sz w:val="18"/>
                <w:szCs w:val="18"/>
                <w:lang w:eastAsia="ja-JP"/>
              </w:rPr>
            </w:pPr>
            <w:r w:rsidRPr="00C87C4E">
              <w:rPr>
                <w:sz w:val="18"/>
                <w:szCs w:val="18"/>
                <w:lang w:eastAsia="ja-JP"/>
              </w:rPr>
              <w:t>0</w:t>
            </w:r>
          </w:p>
        </w:tc>
        <w:tc>
          <w:tcPr>
            <w:tcW w:w="795" w:type="pct"/>
          </w:tcPr>
          <w:p w:rsidR="00113F89" w:rsidRPr="00C87C4E" w:rsidRDefault="00113F89" w:rsidP="00C87C4E">
            <w:pPr>
              <w:rPr>
                <w:sz w:val="18"/>
                <w:szCs w:val="18"/>
                <w:lang w:eastAsia="ja-JP"/>
              </w:rPr>
            </w:pPr>
            <w:r w:rsidRPr="00C87C4E">
              <w:rPr>
                <w:sz w:val="18"/>
                <w:szCs w:val="18"/>
                <w:lang w:eastAsia="ja-JP"/>
              </w:rPr>
              <w:t>0</w:t>
            </w:r>
          </w:p>
        </w:tc>
      </w:tr>
      <w:tr w:rsidR="00113F89" w:rsidRPr="00C87C4E" w:rsidTr="00717A20">
        <w:tc>
          <w:tcPr>
            <w:tcW w:w="842" w:type="pct"/>
          </w:tcPr>
          <w:p w:rsidR="00113F89" w:rsidRPr="00C87C4E" w:rsidRDefault="00113F89" w:rsidP="00C87C4E">
            <w:pPr>
              <w:rPr>
                <w:sz w:val="18"/>
                <w:szCs w:val="18"/>
                <w:lang w:eastAsia="ja-JP"/>
              </w:rPr>
            </w:pPr>
            <w:r w:rsidRPr="00C87C4E">
              <w:rPr>
                <w:sz w:val="18"/>
                <w:szCs w:val="18"/>
                <w:lang w:eastAsia="ja-JP"/>
              </w:rPr>
              <w:t>Maximum</w:t>
            </w:r>
          </w:p>
        </w:tc>
        <w:tc>
          <w:tcPr>
            <w:tcW w:w="822" w:type="pct"/>
          </w:tcPr>
          <w:p w:rsidR="00113F89" w:rsidRPr="00C87C4E" w:rsidRDefault="00113F89" w:rsidP="00C87C4E">
            <w:pPr>
              <w:rPr>
                <w:sz w:val="18"/>
                <w:szCs w:val="18"/>
                <w:lang w:eastAsia="ja-JP"/>
              </w:rPr>
            </w:pPr>
            <w:r w:rsidRPr="00C87C4E">
              <w:rPr>
                <w:sz w:val="18"/>
                <w:szCs w:val="18"/>
                <w:lang w:eastAsia="ja-JP"/>
              </w:rPr>
              <w:t>102</w:t>
            </w:r>
          </w:p>
        </w:tc>
        <w:tc>
          <w:tcPr>
            <w:tcW w:w="874" w:type="pct"/>
          </w:tcPr>
          <w:p w:rsidR="00113F89" w:rsidRPr="00C87C4E" w:rsidRDefault="00113F89" w:rsidP="00C87C4E">
            <w:pPr>
              <w:rPr>
                <w:sz w:val="18"/>
                <w:szCs w:val="18"/>
                <w:lang w:eastAsia="ja-JP"/>
              </w:rPr>
            </w:pPr>
            <w:r w:rsidRPr="00C87C4E">
              <w:rPr>
                <w:sz w:val="18"/>
                <w:szCs w:val="18"/>
                <w:lang w:eastAsia="ja-JP"/>
              </w:rPr>
              <w:t>91</w:t>
            </w:r>
          </w:p>
        </w:tc>
        <w:tc>
          <w:tcPr>
            <w:tcW w:w="874" w:type="pct"/>
          </w:tcPr>
          <w:p w:rsidR="00113F89" w:rsidRPr="00C87C4E" w:rsidRDefault="00113F89" w:rsidP="00C87C4E">
            <w:pPr>
              <w:rPr>
                <w:sz w:val="18"/>
                <w:szCs w:val="18"/>
                <w:lang w:eastAsia="ja-JP"/>
              </w:rPr>
            </w:pPr>
            <w:r w:rsidRPr="00C87C4E">
              <w:rPr>
                <w:sz w:val="18"/>
                <w:szCs w:val="18"/>
                <w:lang w:eastAsia="ja-JP"/>
              </w:rPr>
              <w:t>94</w:t>
            </w:r>
          </w:p>
        </w:tc>
        <w:tc>
          <w:tcPr>
            <w:tcW w:w="793" w:type="pct"/>
          </w:tcPr>
          <w:p w:rsidR="00113F89" w:rsidRPr="00C87C4E" w:rsidRDefault="00113F89" w:rsidP="00C87C4E">
            <w:pPr>
              <w:rPr>
                <w:sz w:val="18"/>
                <w:szCs w:val="18"/>
                <w:lang w:eastAsia="ja-JP"/>
              </w:rPr>
            </w:pPr>
            <w:r w:rsidRPr="00C87C4E">
              <w:rPr>
                <w:sz w:val="18"/>
                <w:szCs w:val="18"/>
                <w:lang w:eastAsia="ja-JP"/>
              </w:rPr>
              <w:t>92</w:t>
            </w:r>
          </w:p>
        </w:tc>
        <w:tc>
          <w:tcPr>
            <w:tcW w:w="795" w:type="pct"/>
          </w:tcPr>
          <w:p w:rsidR="00113F89" w:rsidRPr="00C87C4E" w:rsidRDefault="00113F89" w:rsidP="00C87C4E">
            <w:pPr>
              <w:rPr>
                <w:sz w:val="18"/>
                <w:szCs w:val="18"/>
                <w:lang w:eastAsia="ja-JP"/>
              </w:rPr>
            </w:pPr>
            <w:r w:rsidRPr="00C87C4E">
              <w:rPr>
                <w:sz w:val="18"/>
                <w:szCs w:val="18"/>
                <w:lang w:eastAsia="ja-JP"/>
              </w:rPr>
              <w:t>95</w:t>
            </w:r>
          </w:p>
        </w:tc>
      </w:tr>
      <w:tr w:rsidR="00113F89" w:rsidRPr="00C87C4E" w:rsidTr="00717A20">
        <w:tc>
          <w:tcPr>
            <w:tcW w:w="842" w:type="pct"/>
          </w:tcPr>
          <w:p w:rsidR="00113F89" w:rsidRPr="00C87C4E" w:rsidRDefault="00113F89" w:rsidP="00C87C4E">
            <w:pPr>
              <w:rPr>
                <w:sz w:val="18"/>
                <w:szCs w:val="18"/>
                <w:lang w:eastAsia="ja-JP"/>
              </w:rPr>
            </w:pPr>
            <w:r w:rsidRPr="00C87C4E">
              <w:rPr>
                <w:sz w:val="18"/>
                <w:szCs w:val="18"/>
                <w:lang w:eastAsia="ja-JP"/>
              </w:rPr>
              <w:t>Number²</w:t>
            </w:r>
          </w:p>
        </w:tc>
        <w:tc>
          <w:tcPr>
            <w:tcW w:w="822" w:type="pct"/>
          </w:tcPr>
          <w:p w:rsidR="00113F89" w:rsidRPr="00C87C4E" w:rsidRDefault="00113F89" w:rsidP="00C87C4E">
            <w:pPr>
              <w:rPr>
                <w:sz w:val="18"/>
                <w:szCs w:val="18"/>
                <w:lang w:eastAsia="ja-JP"/>
              </w:rPr>
            </w:pPr>
            <w:r w:rsidRPr="00C87C4E">
              <w:rPr>
                <w:sz w:val="18"/>
                <w:szCs w:val="18"/>
                <w:lang w:eastAsia="ja-JP"/>
              </w:rPr>
              <w:t>706</w:t>
            </w:r>
          </w:p>
        </w:tc>
        <w:tc>
          <w:tcPr>
            <w:tcW w:w="874" w:type="pct"/>
          </w:tcPr>
          <w:p w:rsidR="00113F89" w:rsidRPr="00C87C4E" w:rsidRDefault="00113F89" w:rsidP="00C87C4E">
            <w:pPr>
              <w:rPr>
                <w:sz w:val="18"/>
                <w:szCs w:val="18"/>
                <w:lang w:eastAsia="ja-JP"/>
              </w:rPr>
            </w:pPr>
            <w:r w:rsidRPr="00C87C4E">
              <w:rPr>
                <w:sz w:val="18"/>
                <w:szCs w:val="18"/>
                <w:lang w:eastAsia="ja-JP"/>
              </w:rPr>
              <w:t>454</w:t>
            </w:r>
          </w:p>
        </w:tc>
        <w:tc>
          <w:tcPr>
            <w:tcW w:w="874" w:type="pct"/>
          </w:tcPr>
          <w:p w:rsidR="00113F89" w:rsidRPr="00C87C4E" w:rsidRDefault="00113F89" w:rsidP="00C87C4E">
            <w:pPr>
              <w:rPr>
                <w:sz w:val="18"/>
                <w:szCs w:val="18"/>
                <w:lang w:eastAsia="ja-JP"/>
              </w:rPr>
            </w:pPr>
            <w:r w:rsidRPr="00C87C4E">
              <w:rPr>
                <w:sz w:val="18"/>
                <w:szCs w:val="18"/>
                <w:lang w:eastAsia="ja-JP"/>
              </w:rPr>
              <w:t>146</w:t>
            </w:r>
          </w:p>
        </w:tc>
        <w:tc>
          <w:tcPr>
            <w:tcW w:w="793" w:type="pct"/>
          </w:tcPr>
          <w:p w:rsidR="00113F89" w:rsidRPr="00C87C4E" w:rsidRDefault="00113F89" w:rsidP="00C87C4E">
            <w:pPr>
              <w:rPr>
                <w:sz w:val="18"/>
                <w:szCs w:val="18"/>
                <w:lang w:eastAsia="ja-JP"/>
              </w:rPr>
            </w:pPr>
            <w:r w:rsidRPr="00C87C4E">
              <w:rPr>
                <w:sz w:val="18"/>
                <w:szCs w:val="18"/>
                <w:lang w:eastAsia="ja-JP"/>
              </w:rPr>
              <w:t>171</w:t>
            </w:r>
          </w:p>
        </w:tc>
        <w:tc>
          <w:tcPr>
            <w:tcW w:w="795" w:type="pct"/>
          </w:tcPr>
          <w:p w:rsidR="00113F89" w:rsidRPr="00C87C4E" w:rsidRDefault="00113F89" w:rsidP="00C87C4E">
            <w:pPr>
              <w:rPr>
                <w:sz w:val="18"/>
                <w:szCs w:val="18"/>
                <w:lang w:eastAsia="ja-JP"/>
              </w:rPr>
            </w:pPr>
            <w:r w:rsidRPr="00C87C4E">
              <w:rPr>
                <w:sz w:val="18"/>
                <w:szCs w:val="18"/>
                <w:lang w:eastAsia="ja-JP"/>
              </w:rPr>
              <w:t>150</w:t>
            </w:r>
          </w:p>
        </w:tc>
      </w:tr>
    </w:tbl>
    <w:p w:rsidR="00113F89" w:rsidRPr="00890AD7" w:rsidRDefault="00113F89" w:rsidP="00C87C4E">
      <w:pPr>
        <w:pStyle w:val="TableDescription"/>
        <w:rPr>
          <w:lang w:eastAsia="ja-JP"/>
        </w:rPr>
      </w:pPr>
      <w:r w:rsidRPr="00890AD7">
        <w:rPr>
          <w:lang w:eastAsia="ja-JP"/>
        </w:rPr>
        <w:t>1) Calculated by subtracting the weight of the used bottles from the mean normal weight of full bottles. Negative weights have been set to zero.</w:t>
      </w:r>
    </w:p>
    <w:p w:rsidR="00113F89" w:rsidRPr="00890AD7" w:rsidRDefault="00113F89" w:rsidP="00C87C4E">
      <w:pPr>
        <w:pStyle w:val="TableDescription"/>
        <w:rPr>
          <w:lang w:eastAsia="ja-JP"/>
        </w:rPr>
      </w:pPr>
      <w:r w:rsidRPr="00890AD7">
        <w:rPr>
          <w:lang w:eastAsia="ja-JP"/>
        </w:rPr>
        <w:t>2) Only subjects who returned all dispensed bottles provide data.</w:t>
      </w:r>
    </w:p>
    <w:p w:rsidR="00113F89" w:rsidRPr="00F10DC9" w:rsidRDefault="00113F89" w:rsidP="00C87C4E">
      <w:pPr>
        <w:rPr>
          <w:lang w:eastAsia="ja-JP"/>
        </w:rPr>
      </w:pPr>
      <w:r w:rsidRPr="00F10DC9">
        <w:rPr>
          <w:lang w:eastAsia="ja-JP"/>
        </w:rPr>
        <w:t>The mean amount of Daivobet gel used was 29.0 g/week with approximately 46 % of subjects using &lt;20 g/week and 73% using &lt;40 g/week.</w:t>
      </w:r>
    </w:p>
    <w:p w:rsidR="00113F89" w:rsidRDefault="00113F89" w:rsidP="00C87C4E">
      <w:pPr>
        <w:rPr>
          <w:lang w:eastAsia="ja-JP"/>
        </w:rPr>
      </w:pPr>
      <w:r w:rsidRPr="00F10DC9">
        <w:rPr>
          <w:lang w:eastAsia="ja-JP"/>
        </w:rPr>
        <w:t>In Study LEO80185-G24 the average weekly amount of Daivobet gel used was 52 g (range 7.6 to 93 g).</w:t>
      </w:r>
    </w:p>
    <w:p w:rsidR="00113F89" w:rsidRPr="00113F89" w:rsidRDefault="00113F89" w:rsidP="00C87C4E">
      <w:pPr>
        <w:pStyle w:val="Heading4"/>
        <w:rPr>
          <w:lang w:eastAsia="ja-JP"/>
        </w:rPr>
      </w:pPr>
      <w:bookmarkStart w:id="139" w:name="_Toc241374328"/>
      <w:bookmarkStart w:id="140" w:name="_Toc272414691"/>
      <w:bookmarkStart w:id="141" w:name="_Toc290846329"/>
      <w:bookmarkStart w:id="142" w:name="_Toc342054343"/>
      <w:bookmarkStart w:id="143" w:name="_Toc361905221"/>
      <w:r w:rsidRPr="00113F89">
        <w:rPr>
          <w:lang w:eastAsia="ja-JP"/>
        </w:rPr>
        <w:t>Evaluator’s overall conclusions on clinical safety</w:t>
      </w:r>
      <w:bookmarkEnd w:id="139"/>
      <w:bookmarkEnd w:id="140"/>
      <w:bookmarkEnd w:id="141"/>
      <w:bookmarkEnd w:id="142"/>
      <w:bookmarkEnd w:id="143"/>
    </w:p>
    <w:p w:rsidR="00113F89" w:rsidRPr="00113F89" w:rsidRDefault="00113F89" w:rsidP="00C87C4E">
      <w:pPr>
        <w:rPr>
          <w:lang w:eastAsia="ja-JP"/>
        </w:rPr>
      </w:pPr>
      <w:r w:rsidRPr="00113F89">
        <w:rPr>
          <w:lang w:eastAsia="ja-JP"/>
        </w:rPr>
        <w:t xml:space="preserve">Safety in the clinical trials and post marketing data has not indicated any new or significant safety issues beyond the risk of HPA axis suppression. This (worst case scenario) was found in approximately 7% (3/43) in a small trial, but </w:t>
      </w:r>
      <w:r w:rsidR="00717A20">
        <w:rPr>
          <w:lang w:eastAsia="ja-JP"/>
        </w:rPr>
        <w:t xml:space="preserve">was </w:t>
      </w:r>
      <w:r w:rsidRPr="00113F89">
        <w:rPr>
          <w:lang w:eastAsia="ja-JP"/>
        </w:rPr>
        <w:t>only assessed following 4-8 weeks of therapy. No long term study was conducted and so if the product is approved there should be very clear indication of risk and statement that safety beyond 8 weeks has not been studied.</w:t>
      </w:r>
    </w:p>
    <w:p w:rsidR="00113F89" w:rsidRPr="00113F89" w:rsidRDefault="00113F89" w:rsidP="00C87C4E">
      <w:pPr>
        <w:rPr>
          <w:lang w:eastAsia="ja-JP"/>
        </w:rPr>
      </w:pPr>
      <w:r w:rsidRPr="00113F89">
        <w:rPr>
          <w:lang w:eastAsia="ja-JP"/>
        </w:rPr>
        <w:t>The company claim that a long term study is not required as the long term safety is “well known” from the Daivobet ointment submission.</w:t>
      </w:r>
    </w:p>
    <w:p w:rsidR="00113F89" w:rsidRPr="00113F89" w:rsidRDefault="00113F89" w:rsidP="00C87C4E">
      <w:pPr>
        <w:rPr>
          <w:lang w:eastAsia="ja-JP"/>
        </w:rPr>
      </w:pPr>
      <w:r w:rsidRPr="00113F89">
        <w:rPr>
          <w:lang w:eastAsia="ja-JP"/>
        </w:rPr>
        <w:t xml:space="preserve">The wording of the </w:t>
      </w:r>
      <w:r w:rsidRPr="00717A20">
        <w:rPr>
          <w:i/>
          <w:lang w:eastAsia="ja-JP"/>
        </w:rPr>
        <w:t>Precautions</w:t>
      </w:r>
      <w:r w:rsidRPr="00113F89">
        <w:rPr>
          <w:lang w:eastAsia="ja-JP"/>
        </w:rPr>
        <w:t xml:space="preserve"> section of the proposed PI is different from that in the Daivobet ointment PI which appears to be more strongly worded.</w:t>
      </w:r>
    </w:p>
    <w:p w:rsidR="00113F89" w:rsidRPr="00113F89" w:rsidRDefault="00113F89" w:rsidP="00C87C4E">
      <w:pPr>
        <w:rPr>
          <w:lang w:eastAsia="ja-JP"/>
        </w:rPr>
      </w:pPr>
      <w:r w:rsidRPr="00113F89">
        <w:rPr>
          <w:lang w:eastAsia="ja-JP"/>
        </w:rPr>
        <w:t>The results for safety were consistent in the clinical studies and appear to be consistent with that previously presented in the ointment submissions.</w:t>
      </w:r>
    </w:p>
    <w:p w:rsidR="00947965" w:rsidRDefault="00113F89" w:rsidP="00C87C4E">
      <w:pPr>
        <w:pStyle w:val="Heading3"/>
      </w:pPr>
      <w:bookmarkStart w:id="144" w:name="_Toc361905222"/>
      <w:bookmarkStart w:id="145" w:name="_Toc368490585"/>
      <w:bookmarkEnd w:id="129"/>
      <w:bookmarkEnd w:id="130"/>
      <w:bookmarkEnd w:id="131"/>
      <w:bookmarkEnd w:id="132"/>
      <w:r w:rsidRPr="00113F89">
        <w:t>First round benefit-risk assessment</w:t>
      </w:r>
      <w:bookmarkStart w:id="146" w:name="_Toc361905223"/>
      <w:bookmarkStart w:id="147" w:name="_Toc342054345"/>
      <w:bookmarkStart w:id="148" w:name="_Toc290846331"/>
      <w:bookmarkStart w:id="149" w:name="_Toc272414693"/>
      <w:bookmarkStart w:id="150" w:name="_Ref272160836"/>
      <w:bookmarkStart w:id="151" w:name="_Toc241374331"/>
      <w:bookmarkStart w:id="152" w:name="_Toc236802592"/>
      <w:bookmarkEnd w:id="144"/>
      <w:bookmarkEnd w:id="145"/>
    </w:p>
    <w:p w:rsidR="00113F89" w:rsidRPr="00113F89" w:rsidRDefault="00113F89" w:rsidP="00C87C4E">
      <w:pPr>
        <w:pStyle w:val="Heading4"/>
      </w:pPr>
      <w:r w:rsidRPr="00113F89">
        <w:t>First round assessment of benefits</w:t>
      </w:r>
      <w:bookmarkEnd w:id="146"/>
      <w:bookmarkEnd w:id="147"/>
      <w:bookmarkEnd w:id="148"/>
      <w:bookmarkEnd w:id="149"/>
      <w:bookmarkEnd w:id="150"/>
      <w:bookmarkEnd w:id="151"/>
      <w:bookmarkEnd w:id="152"/>
    </w:p>
    <w:p w:rsidR="00113F89" w:rsidRPr="00113F89" w:rsidRDefault="00113F89" w:rsidP="00C87C4E">
      <w:r w:rsidRPr="00113F89">
        <w:t>The benefits of Daivobet gel in the proposed usage are:</w:t>
      </w:r>
    </w:p>
    <w:p w:rsidR="00113F89" w:rsidRPr="00113F89" w:rsidRDefault="00113F89" w:rsidP="00C87C4E">
      <w:pPr>
        <w:pStyle w:val="ListBullet"/>
      </w:pPr>
      <w:r w:rsidRPr="00113F89">
        <w:t>Product is statistically significantly superior to betamethasone alone in improving symptoms of psoriasis after 8 weeks of therapy and superior to calcipotriol alone in the gel vehicle after 4 and 8 weeks. Daivobet gel was not superior to betamethasone alone in the gel vehicle at 4 weeks.</w:t>
      </w:r>
    </w:p>
    <w:p w:rsidR="00113F89" w:rsidRPr="00113F89" w:rsidRDefault="00113F89" w:rsidP="00C87C4E">
      <w:pPr>
        <w:pStyle w:val="ListBullet"/>
      </w:pPr>
      <w:r w:rsidRPr="00113F89">
        <w:t>The results are consistent in the studies provided.</w:t>
      </w:r>
    </w:p>
    <w:p w:rsidR="00113F89" w:rsidRPr="00113F89" w:rsidRDefault="00113F89" w:rsidP="00C87C4E">
      <w:pPr>
        <w:pStyle w:val="Heading4"/>
      </w:pPr>
      <w:bookmarkStart w:id="153" w:name="_Toc361905224"/>
      <w:bookmarkStart w:id="154" w:name="_Toc342054346"/>
      <w:bookmarkStart w:id="155" w:name="_Toc290846332"/>
      <w:bookmarkStart w:id="156" w:name="_Toc272414694"/>
      <w:bookmarkStart w:id="157" w:name="_Ref272160964"/>
      <w:bookmarkStart w:id="158" w:name="_Toc241374334"/>
      <w:bookmarkStart w:id="159" w:name="_Toc236802596"/>
      <w:r w:rsidRPr="00113F89">
        <w:t>First round assessment of risks</w:t>
      </w:r>
      <w:bookmarkEnd w:id="153"/>
      <w:bookmarkEnd w:id="154"/>
      <w:bookmarkEnd w:id="155"/>
      <w:bookmarkEnd w:id="156"/>
      <w:bookmarkEnd w:id="157"/>
      <w:bookmarkEnd w:id="158"/>
      <w:bookmarkEnd w:id="159"/>
    </w:p>
    <w:p w:rsidR="00113F89" w:rsidRPr="00113F89" w:rsidRDefault="00113F89" w:rsidP="00C87C4E">
      <w:r w:rsidRPr="00113F89">
        <w:t>The risks of Daivobet gel in the proposed usage are:</w:t>
      </w:r>
    </w:p>
    <w:p w:rsidR="00113F89" w:rsidRPr="00113F89" w:rsidRDefault="00113F89" w:rsidP="00C87C4E">
      <w:pPr>
        <w:pStyle w:val="ListBullet"/>
      </w:pPr>
      <w:r w:rsidRPr="00113F89">
        <w:t>Studies conducted are very short</w:t>
      </w:r>
      <w:r w:rsidR="00717A20">
        <w:t>:</w:t>
      </w:r>
      <w:r w:rsidRPr="00113F89">
        <w:t xml:space="preserve"> only 8 weeks. No study longer than 8 weeks was provided despite </w:t>
      </w:r>
      <w:r w:rsidR="00717A20">
        <w:t xml:space="preserve">the </w:t>
      </w:r>
      <w:r w:rsidRPr="00113F89">
        <w:t>EU guideline requiring at least one long term study of 12 months</w:t>
      </w:r>
    </w:p>
    <w:p w:rsidR="00113F89" w:rsidRPr="00113F89" w:rsidRDefault="00113F89" w:rsidP="00C87C4E">
      <w:pPr>
        <w:pStyle w:val="ListBullet"/>
      </w:pPr>
      <w:r w:rsidRPr="00113F89">
        <w:t xml:space="preserve">Studies conducted in </w:t>
      </w:r>
      <w:r w:rsidR="00717A20">
        <w:t xml:space="preserve">a </w:t>
      </w:r>
      <w:r w:rsidRPr="00113F89">
        <w:t>very homogeneous population</w:t>
      </w:r>
      <w:r w:rsidR="00717A20">
        <w:t>,</w:t>
      </w:r>
      <w:r w:rsidRPr="00113F89">
        <w:t xml:space="preserve"> predominantly white populations from US, Canada and northern Europe (Germany, Ireland, Sweden, UK and France)</w:t>
      </w:r>
    </w:p>
    <w:p w:rsidR="00113F89" w:rsidRPr="00113F89" w:rsidRDefault="00113F89" w:rsidP="00C87C4E">
      <w:pPr>
        <w:pStyle w:val="ListBullet"/>
      </w:pPr>
      <w:r w:rsidRPr="00113F89">
        <w:t>Studies conducted mostly over the Northern winters</w:t>
      </w:r>
      <w:r w:rsidR="00717A20">
        <w:t>,</w:t>
      </w:r>
      <w:r w:rsidRPr="00113F89">
        <w:t xml:space="preserve"> in patients selected to be avoiding sunlight. Unsure of relevance and applicability to Australian conditions but the same comments appear to have been made about the previous ointment dossier</w:t>
      </w:r>
    </w:p>
    <w:p w:rsidR="00113F89" w:rsidRPr="00113F89" w:rsidRDefault="00113F89" w:rsidP="00C87C4E">
      <w:pPr>
        <w:pStyle w:val="ListBullet"/>
      </w:pPr>
      <w:r w:rsidRPr="00113F89">
        <w:t>HPA suppression seen in 7% of patients after 8 weeks</w:t>
      </w:r>
      <w:r w:rsidR="00717A20">
        <w:t>,</w:t>
      </w:r>
      <w:r w:rsidRPr="00113F89">
        <w:t xml:space="preserve"> consistent with previous studies on the ointment formulation</w:t>
      </w:r>
    </w:p>
    <w:p w:rsidR="00113F89" w:rsidRPr="00113F89" w:rsidRDefault="00113F89" w:rsidP="00C87C4E">
      <w:pPr>
        <w:pStyle w:val="ListBullet"/>
      </w:pPr>
      <w:r w:rsidRPr="00113F89">
        <w:t>Pivotal studies only included patients with mild–moderate disease. This is not included in the proposed indication</w:t>
      </w:r>
    </w:p>
    <w:p w:rsidR="00113F89" w:rsidRPr="00113F89" w:rsidRDefault="00113F89" w:rsidP="00C87C4E">
      <w:pPr>
        <w:pStyle w:val="Heading4"/>
      </w:pPr>
      <w:bookmarkStart w:id="160" w:name="_Toc361905225"/>
      <w:bookmarkStart w:id="161" w:name="_Toc342054347"/>
      <w:bookmarkStart w:id="162" w:name="_Toc290846333"/>
      <w:bookmarkStart w:id="163" w:name="_Toc272414695"/>
      <w:bookmarkStart w:id="164" w:name="_Toc241374335"/>
      <w:bookmarkStart w:id="165" w:name="_Toc236802597"/>
      <w:r w:rsidRPr="00113F89">
        <w:t>First round assessment of benefit-risk balance</w:t>
      </w:r>
      <w:bookmarkEnd w:id="160"/>
      <w:bookmarkEnd w:id="161"/>
      <w:bookmarkEnd w:id="162"/>
      <w:bookmarkEnd w:id="163"/>
      <w:bookmarkEnd w:id="164"/>
      <w:bookmarkEnd w:id="165"/>
    </w:p>
    <w:p w:rsidR="00113F89" w:rsidRPr="00113F89" w:rsidRDefault="00113F89" w:rsidP="00C87C4E">
      <w:r w:rsidRPr="00113F89">
        <w:t>The benefit-risk balance of Daivobet gel, given the proposed usage, is favourable.</w:t>
      </w:r>
    </w:p>
    <w:p w:rsidR="00113F89" w:rsidRPr="00113F89" w:rsidRDefault="00113F89" w:rsidP="00C87C4E">
      <w:pPr>
        <w:pStyle w:val="Heading3"/>
      </w:pPr>
      <w:bookmarkStart w:id="166" w:name="_Toc361905226"/>
      <w:bookmarkStart w:id="167" w:name="_Toc342054348"/>
      <w:bookmarkStart w:id="168" w:name="_Toc290846334"/>
      <w:bookmarkStart w:id="169" w:name="_Toc272414697"/>
      <w:bookmarkStart w:id="170" w:name="_Ref272161481"/>
      <w:bookmarkStart w:id="171" w:name="_Ref272160564"/>
      <w:bookmarkStart w:id="172" w:name="_Toc368490586"/>
      <w:r w:rsidRPr="00113F89">
        <w:t>First round recommendation regarding authorisation</w:t>
      </w:r>
      <w:bookmarkEnd w:id="166"/>
      <w:bookmarkEnd w:id="167"/>
      <w:bookmarkEnd w:id="168"/>
      <w:bookmarkEnd w:id="169"/>
      <w:bookmarkEnd w:id="170"/>
      <w:bookmarkEnd w:id="171"/>
      <w:bookmarkEnd w:id="172"/>
    </w:p>
    <w:p w:rsidR="00113F89" w:rsidRPr="00113F89" w:rsidRDefault="00113F89" w:rsidP="00C87C4E">
      <w:r w:rsidRPr="00113F89">
        <w:t>Based on the clinical data presented in the submission approval is recommended.</w:t>
      </w:r>
    </w:p>
    <w:p w:rsidR="00113F89" w:rsidRPr="00113F89" w:rsidRDefault="00113F89" w:rsidP="00C87C4E">
      <w:pPr>
        <w:pStyle w:val="Heading3"/>
      </w:pPr>
      <w:bookmarkStart w:id="173" w:name="_Toc361905227"/>
      <w:bookmarkStart w:id="174" w:name="_Toc342054353"/>
      <w:bookmarkStart w:id="175" w:name="_Toc290846339"/>
      <w:bookmarkStart w:id="176" w:name="_Ref290716860"/>
      <w:bookmarkStart w:id="177" w:name="_Ref290647299"/>
      <w:bookmarkStart w:id="178" w:name="_Ref290647199"/>
      <w:bookmarkStart w:id="179" w:name="_Ref290633722"/>
      <w:bookmarkStart w:id="180" w:name="_Toc272414699"/>
      <w:bookmarkStart w:id="181" w:name="_Ref272312911"/>
      <w:bookmarkStart w:id="182" w:name="_Ref272309830"/>
      <w:bookmarkStart w:id="183" w:name="_Ref271134703"/>
      <w:bookmarkStart w:id="184" w:name="_Ref271133675"/>
      <w:bookmarkStart w:id="185" w:name="_Ref271132978"/>
      <w:bookmarkStart w:id="186" w:name="_Ref268792857"/>
      <w:bookmarkStart w:id="187" w:name="_Toc241374338"/>
      <w:bookmarkStart w:id="188" w:name="_Toc368490587"/>
      <w:r w:rsidRPr="00113F89">
        <w:t>Clinical questions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AD0C21">
        <w:t xml:space="preserve"> and evaluation of responses</w:t>
      </w:r>
      <w:bookmarkEnd w:id="188"/>
    </w:p>
    <w:p w:rsidR="00113F89" w:rsidRDefault="00113F89" w:rsidP="00C87C4E">
      <w:pPr>
        <w:pStyle w:val="Heading4"/>
      </w:pPr>
      <w:r w:rsidRPr="00113F89">
        <w:t>Question 1</w:t>
      </w:r>
      <w:r w:rsidR="00AD0C21">
        <w:t>.</w:t>
      </w:r>
      <w:r w:rsidRPr="00113F89">
        <w:t xml:space="preserve"> Dosage and </w:t>
      </w:r>
      <w:r w:rsidR="00353529">
        <w:t>a</w:t>
      </w:r>
      <w:r w:rsidRPr="00113F89">
        <w:t xml:space="preserve">dministration </w:t>
      </w:r>
      <w:r w:rsidR="00353529">
        <w:t>i</w:t>
      </w:r>
      <w:r w:rsidRPr="00113F89">
        <w:t>nstructions</w:t>
      </w:r>
    </w:p>
    <w:p w:rsidR="00272CF1" w:rsidRPr="00C87C4E" w:rsidRDefault="00272CF1" w:rsidP="00C87C4E">
      <w:pPr>
        <w:rPr>
          <w:i/>
        </w:rPr>
      </w:pPr>
      <w:r w:rsidRPr="00C87C4E">
        <w:rPr>
          <w:i/>
        </w:rPr>
        <w:t>Please explain why the [proposed] indication say, “Body Psoriasis:  Daivobet gel should be applied to the affected areas of skin once daily for up to 8 weeks or until cle</w:t>
      </w:r>
      <w:r w:rsidR="00AD0C21" w:rsidRPr="00C87C4E">
        <w:rPr>
          <w:i/>
        </w:rPr>
        <w:t xml:space="preserve">ared”, </w:t>
      </w:r>
      <w:r w:rsidRPr="00C87C4E">
        <w:rPr>
          <w:i/>
        </w:rPr>
        <w:t>when no data beyond 8 weeks of treatment were submitted?</w:t>
      </w:r>
    </w:p>
    <w:p w:rsidR="00113F89" w:rsidRPr="00113F89" w:rsidRDefault="00113F89" w:rsidP="00C87C4E">
      <w:r w:rsidRPr="00113F89">
        <w:t xml:space="preserve">Sponsor response was to agree to amend the </w:t>
      </w:r>
      <w:r w:rsidR="00AD0C21">
        <w:t>‘</w:t>
      </w:r>
      <w:r w:rsidRPr="00113F89">
        <w:t>Dosage and Administration</w:t>
      </w:r>
      <w:r w:rsidR="00AD0C21">
        <w:t>’</w:t>
      </w:r>
      <w:r w:rsidRPr="00113F89">
        <w:t xml:space="preserve"> section </w:t>
      </w:r>
      <w:r w:rsidR="00AD0C21">
        <w:t xml:space="preserve">of the PI </w:t>
      </w:r>
      <w:r w:rsidRPr="00113F89">
        <w:t>to: remove the treatment beyond eight weeks. The wording would be: “Body Psoriasis: Daivobet gel should be applied to the affected skin once daily until cleared for up to 8 weeks.”</w:t>
      </w:r>
    </w:p>
    <w:p w:rsidR="00113F89" w:rsidRPr="00113F89" w:rsidRDefault="00113F89" w:rsidP="00C87C4E">
      <w:r w:rsidRPr="00113F89">
        <w:t>The wording suggested by company is clumsy and may be misinterpreted to imply treatment until cleared (which may be longer than eight weeks) and remains cleared for eight weeks.</w:t>
      </w:r>
    </w:p>
    <w:p w:rsidR="00113F89" w:rsidRPr="00113F89" w:rsidRDefault="00113F89" w:rsidP="00C87C4E">
      <w:r w:rsidRPr="00113F89">
        <w:t>It is suggested that more accurate wording which reflects what was done in the clinical trials would be: “Body Psoriasis: Daivobet should be applied once daily for up to eight weeks.”</w:t>
      </w:r>
    </w:p>
    <w:p w:rsidR="00113F89" w:rsidRPr="00113F89" w:rsidRDefault="00113F89" w:rsidP="00C87C4E">
      <w:pPr>
        <w:pStyle w:val="Heading4"/>
      </w:pPr>
      <w:r w:rsidRPr="00113F89">
        <w:t xml:space="preserve">Question 2. Studies </w:t>
      </w:r>
      <w:r w:rsidR="00353529">
        <w:t>p</w:t>
      </w:r>
      <w:r w:rsidRPr="00113F89">
        <w:t xml:space="preserve">resented and </w:t>
      </w:r>
      <w:r w:rsidR="00353529">
        <w:t>p</w:t>
      </w:r>
      <w:r w:rsidRPr="00113F89">
        <w:t xml:space="preserve">roduct </w:t>
      </w:r>
      <w:r w:rsidR="00353529">
        <w:t>i</w:t>
      </w:r>
      <w:r w:rsidRPr="00113F89">
        <w:t>nformation</w:t>
      </w:r>
    </w:p>
    <w:p w:rsidR="00272CF1" w:rsidRPr="00C87C4E" w:rsidRDefault="00AD0C21" w:rsidP="00C87C4E">
      <w:pPr>
        <w:rPr>
          <w:i/>
        </w:rPr>
      </w:pPr>
      <w:r w:rsidRPr="00C87C4E">
        <w:rPr>
          <w:i/>
        </w:rPr>
        <w:t>How do the doses applied in S</w:t>
      </w:r>
      <w:r w:rsidR="00272CF1" w:rsidRPr="00C87C4E">
        <w:rPr>
          <w:i/>
        </w:rPr>
        <w:t>tudies LEO80185-G24 and MBL0404FR relate to those proposed in the draft PI?</w:t>
      </w:r>
    </w:p>
    <w:p w:rsidR="00113F89" w:rsidRPr="00113F89" w:rsidRDefault="00113F89" w:rsidP="00C87C4E">
      <w:r w:rsidRPr="00113F89">
        <w:t xml:space="preserve">Study MBL040FR was not included as part of this evaluation (it </w:t>
      </w:r>
      <w:r w:rsidR="00297C2A">
        <w:t xml:space="preserve">was </w:t>
      </w:r>
      <w:r w:rsidRPr="00113F89">
        <w:t>not available to the evaluator) and LEO80815-G24 was a supporting (other) study. The company r</w:t>
      </w:r>
      <w:r w:rsidR="00AD0C21">
        <w:t>esponse cannot be verified for S</w:t>
      </w:r>
      <w:r w:rsidRPr="00113F89">
        <w:t xml:space="preserve">tudy MBL040FR but is correct for </w:t>
      </w:r>
      <w:r w:rsidR="00AD0C21">
        <w:t>S</w:t>
      </w:r>
      <w:r w:rsidRPr="00113F89">
        <w:t>tudy LEO80815-G24.</w:t>
      </w:r>
    </w:p>
    <w:p w:rsidR="00113F89" w:rsidRPr="00113F89" w:rsidRDefault="00113F89" w:rsidP="00C87C4E">
      <w:r w:rsidRPr="00113F89">
        <w:t>The company response stated:</w:t>
      </w:r>
    </w:p>
    <w:p w:rsidR="00113F89" w:rsidRPr="00113F89" w:rsidRDefault="00AD0C21" w:rsidP="00C87C4E">
      <w:r>
        <w:t>“The S</w:t>
      </w:r>
      <w:r w:rsidR="00113F89" w:rsidRPr="00113F89">
        <w:t>tudies LEO80185-G24 and MBL0404FR included subjects with psoriasis vulgaris involving 15-30% of the body surface area. The weekly amount of medication supplied was 100 g and 110 g in LEO-G24 and MBL0404FR respectively. The mean weekly amounts applied were 52.2</w:t>
      </w:r>
      <w:r>
        <w:t>7 g (range 7.64 to 92.95 g) in S</w:t>
      </w:r>
      <w:r w:rsidR="00113F89" w:rsidRPr="00113F89">
        <w:t xml:space="preserve">tudy LEO80185-G24 (gel) and 62.5 g (range 29.7 to 105.8 g) in </w:t>
      </w:r>
      <w:r>
        <w:t>S</w:t>
      </w:r>
      <w:r w:rsidR="00113F89" w:rsidRPr="00113F89">
        <w:t xml:space="preserve">tudy MBL0404FR (gel and ointment). The maximum dosages applied in these studies were at the level of the maximum proposed dose. Overall, in these studies there were no reports of </w:t>
      </w:r>
      <w:proofErr w:type="spellStart"/>
      <w:r w:rsidR="00113F89" w:rsidRPr="00113F89">
        <w:t>hypercalcaemia</w:t>
      </w:r>
      <w:proofErr w:type="spellEnd"/>
      <w:r w:rsidR="00113F89" w:rsidRPr="00113F89">
        <w:t xml:space="preserve"> and no correlation between amount of drug used and the ACTH stimulated serum </w:t>
      </w:r>
      <w:proofErr w:type="spellStart"/>
      <w:r w:rsidR="00113F89" w:rsidRPr="00113F89">
        <w:t>cortisol</w:t>
      </w:r>
      <w:proofErr w:type="spellEnd"/>
      <w:r w:rsidR="00113F89" w:rsidRPr="00113F89">
        <w:t xml:space="preserve"> levels.”</w:t>
      </w:r>
    </w:p>
    <w:p w:rsidR="00113F89" w:rsidRPr="00113F89" w:rsidRDefault="00113F89" w:rsidP="00C87C4E">
      <w:r w:rsidRPr="00113F89">
        <w:t>The dose proposed in the PI is consistent with that seen in the clinical trials</w:t>
      </w:r>
      <w:r w:rsidR="00AD0C21">
        <w:t>:</w:t>
      </w:r>
      <w:r w:rsidRPr="00113F89">
        <w:t xml:space="preserve"> “When using </w:t>
      </w:r>
      <w:proofErr w:type="spellStart"/>
      <w:r w:rsidRPr="00113F89">
        <w:t>calciprotriol</w:t>
      </w:r>
      <w:proofErr w:type="spellEnd"/>
      <w:r w:rsidRPr="00113F89">
        <w:t xml:space="preserve"> containing products, the maximum daily dose should not exceed 15 grams and the maximum weekly dose should not exceed 100 grams. The total body surface area treated with calcipotriol should not exceed 30%.”</w:t>
      </w:r>
    </w:p>
    <w:p w:rsidR="00113F89" w:rsidRPr="00113F89" w:rsidRDefault="00AD0C21" w:rsidP="00C87C4E">
      <w:pPr>
        <w:pStyle w:val="Heading4"/>
      </w:pPr>
      <w:r>
        <w:t>Question 3. Statistical t</w:t>
      </w:r>
      <w:r w:rsidR="00113F89" w:rsidRPr="00113F89">
        <w:t>esting in LEO80815-G23</w:t>
      </w:r>
    </w:p>
    <w:p w:rsidR="00272CF1" w:rsidRPr="00C87C4E" w:rsidRDefault="00272CF1" w:rsidP="00C87C4E">
      <w:pPr>
        <w:rPr>
          <w:i/>
        </w:rPr>
      </w:pPr>
      <w:r w:rsidRPr="00C87C4E">
        <w:rPr>
          <w:i/>
        </w:rPr>
        <w:t>In Study LEO80185-G23, please clarify the pre-determined sequence of statistical testing and the sequence of testing. It is noted that there was no difference at Week 4 for the first test in th</w:t>
      </w:r>
      <w:r w:rsidR="00AD0C21" w:rsidRPr="00C87C4E">
        <w:rPr>
          <w:i/>
        </w:rPr>
        <w:t xml:space="preserve">e sequence, betamethasone gel. </w:t>
      </w:r>
      <w:r w:rsidRPr="00C87C4E">
        <w:rPr>
          <w:i/>
        </w:rPr>
        <w:t xml:space="preserve">Statistical significance has been reported for secondary endpoints. </w:t>
      </w:r>
    </w:p>
    <w:p w:rsidR="00113F89" w:rsidRPr="00113F89" w:rsidRDefault="00113F89" w:rsidP="00C87C4E">
      <w:r w:rsidRPr="00113F89">
        <w:t>The sponsor’s response states that there was no pre-determined sequence of testing. The reason for this was to avoid prioritisation of the two endpoints. The sponsor states that the Hochberg procedure allows this, because the p values are calculated for each of the co-primary endpoints and only the actual values determines the conclusions, as described by the method. The explanation given in the Statistical Analysis Plan Update states:</w:t>
      </w:r>
    </w:p>
    <w:p w:rsidR="00113F89" w:rsidRPr="00113F89" w:rsidRDefault="00113F89" w:rsidP="00C87C4E">
      <w:r w:rsidRPr="00113F89">
        <w:t>“For each comparison the Hochberg correction for the p-values for the two endpoints means that the largest of the two p-values must be &lt;5% for both to be statistically significant. If the largest p-value is ≥5% then the corresponding hypothesis cannot be rejected. If the smaller p-value is &lt;2.5%, then it is statistically significant and the corresponding hypothesis is rejected, otherwise it cannot be rejected. This means that both p-values must be &lt;5% for LEO80125 [Daivobet] to be superior to that comparator at both week 4 and week 8. If LEO80185 is superior to all three comparators at weeks 4 and 8, then superiority can be claimed for both endpoints. If statistical significance is obtained at week 8 for all three comparators, then superiority of LEO80185 can be claimed at week 8. The conclusion is similar for week 4.”</w:t>
      </w:r>
    </w:p>
    <w:p w:rsidR="00113F89" w:rsidRPr="00113F89" w:rsidRDefault="00113F89" w:rsidP="00C87C4E">
      <w:r w:rsidRPr="00113F89">
        <w:t>The company conducted the statistical analysis in line with the statistical plan. They acknowledge that this method does not control strongly the type 1 error. However, they state that the method of evaluating p-values set out in the submission, which was the intended application of the Hochberg method for adjusting for multiplicity controls the type 1 error strongly. This appears an adequate response.</w:t>
      </w:r>
    </w:p>
    <w:p w:rsidR="00113F89" w:rsidRPr="00113F89" w:rsidRDefault="00113F89" w:rsidP="00C87C4E">
      <w:pPr>
        <w:pStyle w:val="Heading4"/>
      </w:pPr>
      <w:r w:rsidRPr="00113F89">
        <w:t xml:space="preserve">Question 4 Formulation of </w:t>
      </w:r>
      <w:proofErr w:type="spellStart"/>
      <w:r w:rsidR="00353529">
        <w:t>d</w:t>
      </w:r>
      <w:r w:rsidRPr="00113F89">
        <w:t>aivobet</w:t>
      </w:r>
      <w:proofErr w:type="spellEnd"/>
      <w:r w:rsidRPr="00113F89">
        <w:t xml:space="preserve"> 50/500 gel in </w:t>
      </w:r>
      <w:r w:rsidR="00353529">
        <w:t>c</w:t>
      </w:r>
      <w:r w:rsidRPr="00113F89">
        <w:t xml:space="preserve">linical </w:t>
      </w:r>
      <w:r w:rsidR="00353529">
        <w:t>t</w:t>
      </w:r>
      <w:r w:rsidRPr="00113F89">
        <w:t>rials</w:t>
      </w:r>
    </w:p>
    <w:p w:rsidR="00272CF1" w:rsidRPr="00C87C4E" w:rsidRDefault="00272CF1" w:rsidP="00C87C4E">
      <w:pPr>
        <w:rPr>
          <w:i/>
        </w:rPr>
      </w:pPr>
      <w:r w:rsidRPr="00C87C4E">
        <w:rPr>
          <w:i/>
        </w:rPr>
        <w:t>No detailed formulation details are provided in the application form or other parts of the clinical module of the submission. Please confirm that the formulation is unchanged from that currently approved and the formulation was the same in all clinical trials in the submission.</w:t>
      </w:r>
    </w:p>
    <w:p w:rsidR="00113F89" w:rsidRPr="00113F89" w:rsidRDefault="00113F89" w:rsidP="00C87C4E">
      <w:r w:rsidRPr="00113F89">
        <w:t>The sponsor has confirmed that the formulation is unchanged from the current approved and the formulation was the same in all the clinical trials in the submission.</w:t>
      </w:r>
    </w:p>
    <w:p w:rsidR="00113F89" w:rsidRPr="00113F89" w:rsidRDefault="00113F89" w:rsidP="00C87C4E">
      <w:pPr>
        <w:pStyle w:val="Heading3"/>
      </w:pPr>
      <w:bookmarkStart w:id="189" w:name="_Toc361905230"/>
      <w:bookmarkStart w:id="190" w:name="_Toc342054355"/>
      <w:bookmarkStart w:id="191" w:name="_Toc290846348"/>
      <w:bookmarkStart w:id="192" w:name="_Toc272414708"/>
      <w:bookmarkStart w:id="193" w:name="_Ref271134961"/>
      <w:bookmarkStart w:id="194" w:name="_Toc368490588"/>
      <w:r w:rsidRPr="00113F89">
        <w:t>Second round benefit-risk assessment</w:t>
      </w:r>
      <w:bookmarkEnd w:id="189"/>
      <w:bookmarkEnd w:id="190"/>
      <w:bookmarkEnd w:id="191"/>
      <w:bookmarkEnd w:id="192"/>
      <w:bookmarkEnd w:id="193"/>
      <w:bookmarkEnd w:id="194"/>
    </w:p>
    <w:p w:rsidR="00113F89" w:rsidRPr="00113F89" w:rsidRDefault="00113F89" w:rsidP="00C87C4E">
      <w:pPr>
        <w:pStyle w:val="Heading4"/>
      </w:pPr>
      <w:bookmarkStart w:id="195" w:name="_Toc290663810"/>
      <w:bookmarkStart w:id="196" w:name="_Toc290663966"/>
      <w:bookmarkStart w:id="197" w:name="_Toc290664559"/>
      <w:bookmarkStart w:id="198" w:name="_Toc290664868"/>
      <w:bookmarkStart w:id="199" w:name="_Toc290665024"/>
      <w:bookmarkStart w:id="200" w:name="_Toc290665752"/>
      <w:bookmarkStart w:id="201" w:name="_Toc290665925"/>
      <w:bookmarkStart w:id="202" w:name="_Toc290669473"/>
      <w:bookmarkStart w:id="203" w:name="_Toc290669646"/>
      <w:bookmarkStart w:id="204" w:name="_Toc290715963"/>
      <w:bookmarkStart w:id="205" w:name="_Toc290716136"/>
      <w:bookmarkStart w:id="206" w:name="_Toc290731463"/>
      <w:bookmarkStart w:id="207" w:name="_Toc290731636"/>
      <w:bookmarkStart w:id="208" w:name="_Toc290731957"/>
      <w:bookmarkStart w:id="209" w:name="_Toc290732278"/>
      <w:bookmarkStart w:id="210" w:name="_Toc290663811"/>
      <w:bookmarkStart w:id="211" w:name="_Toc290663967"/>
      <w:bookmarkStart w:id="212" w:name="_Toc290664560"/>
      <w:bookmarkStart w:id="213" w:name="_Toc290664869"/>
      <w:bookmarkStart w:id="214" w:name="_Toc290665025"/>
      <w:bookmarkStart w:id="215" w:name="_Toc290665753"/>
      <w:bookmarkStart w:id="216" w:name="_Toc290665926"/>
      <w:bookmarkStart w:id="217" w:name="_Toc290669474"/>
      <w:bookmarkStart w:id="218" w:name="_Toc290669647"/>
      <w:bookmarkStart w:id="219" w:name="_Toc290715964"/>
      <w:bookmarkStart w:id="220" w:name="_Toc290716137"/>
      <w:bookmarkStart w:id="221" w:name="_Toc290731464"/>
      <w:bookmarkStart w:id="222" w:name="_Toc290731637"/>
      <w:bookmarkStart w:id="223" w:name="_Toc290731958"/>
      <w:bookmarkStart w:id="224" w:name="_Toc290732279"/>
      <w:bookmarkStart w:id="225" w:name="_Toc272414709"/>
      <w:bookmarkStart w:id="226" w:name="_Toc290846349"/>
      <w:bookmarkStart w:id="227" w:name="_Toc342054356"/>
      <w:bookmarkStart w:id="228" w:name="_Toc361905231"/>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113F89">
        <w:t>Second round assessment of benefits</w:t>
      </w:r>
      <w:bookmarkEnd w:id="225"/>
      <w:bookmarkEnd w:id="226"/>
      <w:bookmarkEnd w:id="227"/>
      <w:bookmarkEnd w:id="228"/>
    </w:p>
    <w:p w:rsidR="00113F89" w:rsidRPr="00113F89" w:rsidRDefault="00113F89" w:rsidP="00C87C4E">
      <w:r w:rsidRPr="00113F89">
        <w:t xml:space="preserve">No new clinical information was submitted in response to questions. Accordingly, the risks of Daivobet gel are unchanged from those identified in </w:t>
      </w:r>
      <w:r w:rsidR="001E526C">
        <w:t>the first round assessment of benefits.</w:t>
      </w:r>
    </w:p>
    <w:p w:rsidR="00113F89" w:rsidRPr="00113F89" w:rsidRDefault="00113F89" w:rsidP="00C87C4E">
      <w:pPr>
        <w:pStyle w:val="Heading4"/>
      </w:pPr>
      <w:bookmarkStart w:id="229" w:name="_Toc361905232"/>
      <w:bookmarkStart w:id="230" w:name="_Toc342054357"/>
      <w:bookmarkStart w:id="231" w:name="_Toc290846350"/>
      <w:bookmarkStart w:id="232" w:name="_Toc272414710"/>
      <w:r w:rsidRPr="00113F89">
        <w:t>Second round assessment of risks</w:t>
      </w:r>
      <w:bookmarkEnd w:id="229"/>
      <w:bookmarkEnd w:id="230"/>
      <w:bookmarkEnd w:id="231"/>
      <w:bookmarkEnd w:id="232"/>
    </w:p>
    <w:p w:rsidR="00113F89" w:rsidRPr="00113F89" w:rsidRDefault="00113F89" w:rsidP="00C87C4E">
      <w:r w:rsidRPr="00113F89">
        <w:t xml:space="preserve">No new clinical information was submitted in response to questions. Accordingly, the risks of Daivobet are unchanged from those identified in </w:t>
      </w:r>
      <w:r w:rsidR="001E526C" w:rsidRPr="001E526C">
        <w:t xml:space="preserve">the first round assessment of </w:t>
      </w:r>
      <w:r w:rsidR="001E526C">
        <w:t>risks</w:t>
      </w:r>
      <w:r w:rsidRPr="00113F89">
        <w:t>.</w:t>
      </w:r>
    </w:p>
    <w:p w:rsidR="00113F89" w:rsidRPr="00113F89" w:rsidRDefault="00113F89" w:rsidP="00C87C4E">
      <w:pPr>
        <w:pStyle w:val="Heading4"/>
      </w:pPr>
      <w:bookmarkStart w:id="233" w:name="_Toc361905233"/>
      <w:bookmarkStart w:id="234" w:name="_Toc342054358"/>
      <w:bookmarkStart w:id="235" w:name="_Toc290846351"/>
      <w:bookmarkStart w:id="236" w:name="_Toc272414711"/>
      <w:r w:rsidRPr="00113F89">
        <w:t>Second round assessment of benefit-risk balance</w:t>
      </w:r>
      <w:bookmarkEnd w:id="233"/>
      <w:bookmarkEnd w:id="234"/>
      <w:bookmarkEnd w:id="235"/>
      <w:bookmarkEnd w:id="236"/>
    </w:p>
    <w:p w:rsidR="00113F89" w:rsidRPr="00113F89" w:rsidRDefault="00113F89" w:rsidP="00C87C4E">
      <w:r w:rsidRPr="00113F89">
        <w:t>The benefit-risk balance of Daivobet, given the proposed usage, is favourable.</w:t>
      </w:r>
    </w:p>
    <w:p w:rsidR="00113F89" w:rsidRPr="00113F89" w:rsidRDefault="00113F89" w:rsidP="00C87C4E">
      <w:pPr>
        <w:pStyle w:val="Heading3"/>
      </w:pPr>
      <w:bookmarkStart w:id="237" w:name="_Toc361905234"/>
      <w:bookmarkStart w:id="238" w:name="_Toc342054359"/>
      <w:bookmarkStart w:id="239" w:name="_Toc290846352"/>
      <w:bookmarkStart w:id="240" w:name="_Toc272414713"/>
      <w:bookmarkStart w:id="241" w:name="_Ref272160677"/>
      <w:bookmarkStart w:id="242" w:name="_Toc368490589"/>
      <w:r w:rsidRPr="00113F89">
        <w:t>Second round recommendation regarding authorisation</w:t>
      </w:r>
      <w:bookmarkEnd w:id="237"/>
      <w:bookmarkEnd w:id="238"/>
      <w:bookmarkEnd w:id="239"/>
      <w:bookmarkEnd w:id="240"/>
      <w:bookmarkEnd w:id="241"/>
      <w:bookmarkEnd w:id="242"/>
      <w:r w:rsidRPr="00113F89">
        <w:t xml:space="preserve"> </w:t>
      </w:r>
    </w:p>
    <w:p w:rsidR="008E7846" w:rsidRDefault="00113F89" w:rsidP="00C87C4E">
      <w:r w:rsidRPr="00113F89">
        <w:t>Based on the clinical data presented in the submission approval is recommended</w:t>
      </w:r>
      <w:r w:rsidR="00947965">
        <w:t>.</w:t>
      </w:r>
    </w:p>
    <w:p w:rsidR="001066A2" w:rsidRPr="001066A2" w:rsidRDefault="001066A2" w:rsidP="00C87C4E">
      <w:r w:rsidRPr="001066A2">
        <w:t xml:space="preserve">The proposed indication should be changed to be the same as that approved in Europe. The indication should be: </w:t>
      </w:r>
    </w:p>
    <w:p w:rsidR="001066A2" w:rsidRPr="00C87C4E" w:rsidRDefault="001066A2" w:rsidP="00C87C4E">
      <w:pPr>
        <w:ind w:left="720"/>
        <w:rPr>
          <w:i/>
        </w:rPr>
      </w:pPr>
      <w:r w:rsidRPr="00C87C4E">
        <w:rPr>
          <w:i/>
        </w:rPr>
        <w:t>“Topical treatment of scalp psoriasis in adults. Topical treatment of mild to moderate ‘non-scalp’ plaque psoriasis in adults.”</w:t>
      </w:r>
    </w:p>
    <w:p w:rsidR="008E7846" w:rsidRPr="00E41208" w:rsidRDefault="008E7846" w:rsidP="00C87C4E">
      <w:pPr>
        <w:pStyle w:val="Heading2"/>
      </w:pPr>
      <w:bookmarkStart w:id="243" w:name="_Toc247691524"/>
      <w:bookmarkStart w:id="244" w:name="_Toc314842508"/>
      <w:bookmarkStart w:id="245" w:name="_Toc368490590"/>
      <w:bookmarkStart w:id="246" w:name="_Toc196046504"/>
      <w:bookmarkStart w:id="247" w:name="_Toc163441390"/>
      <w:bookmarkEnd w:id="133"/>
      <w:r w:rsidRPr="00E41208">
        <w:t xml:space="preserve">V. Pharmacovigilance </w:t>
      </w:r>
      <w:r>
        <w:t>f</w:t>
      </w:r>
      <w:r w:rsidRPr="00E41208">
        <w:t>indings</w:t>
      </w:r>
      <w:bookmarkEnd w:id="243"/>
      <w:bookmarkEnd w:id="244"/>
      <w:bookmarkEnd w:id="245"/>
    </w:p>
    <w:p w:rsidR="008C71EA" w:rsidRPr="008C71EA" w:rsidRDefault="008C71EA" w:rsidP="00C87C4E">
      <w:bookmarkStart w:id="248" w:name="_Toc247691527"/>
      <w:r w:rsidRPr="008C71EA">
        <w:t xml:space="preserve">No </w:t>
      </w:r>
      <w:r w:rsidR="008F31D9">
        <w:t>risk management plan (</w:t>
      </w:r>
      <w:r w:rsidRPr="008C71EA">
        <w:t>RMP</w:t>
      </w:r>
      <w:r w:rsidR="008F31D9">
        <w:t>)</w:t>
      </w:r>
      <w:r w:rsidRPr="008C71EA">
        <w:t xml:space="preserve"> was submitted. This was considered acceptable by the </w:t>
      </w:r>
      <w:r>
        <w:t xml:space="preserve">TGA </w:t>
      </w:r>
      <w:r w:rsidRPr="008C71EA">
        <w:t>Office of Product Review.</w:t>
      </w:r>
    </w:p>
    <w:p w:rsidR="008E7846" w:rsidRPr="00792A32" w:rsidRDefault="008E7846" w:rsidP="00C87C4E">
      <w:pPr>
        <w:pStyle w:val="Heading2"/>
      </w:pPr>
      <w:bookmarkStart w:id="249" w:name="_Toc314842510"/>
      <w:bookmarkStart w:id="250" w:name="_Toc36849059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246"/>
      <w:bookmarkEnd w:id="248"/>
      <w:bookmarkEnd w:id="249"/>
      <w:bookmarkEnd w:id="250"/>
    </w:p>
    <w:p w:rsidR="008E7846" w:rsidRDefault="008E7846" w:rsidP="00C87C4E">
      <w:bookmarkStart w:id="25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C87C4E">
      <w:pPr>
        <w:pStyle w:val="Heading3"/>
      </w:pPr>
      <w:bookmarkStart w:id="252" w:name="_Toc314842511"/>
      <w:bookmarkStart w:id="253" w:name="_Toc368490592"/>
      <w:r>
        <w:t>Quality</w:t>
      </w:r>
      <w:bookmarkEnd w:id="251"/>
      <w:bookmarkEnd w:id="252"/>
      <w:bookmarkEnd w:id="253"/>
    </w:p>
    <w:p w:rsidR="00E45619" w:rsidRDefault="008E7846" w:rsidP="00C87C4E">
      <w:r>
        <w:t>There was no requirement for a quality evaluation in a submission of this type.</w:t>
      </w:r>
    </w:p>
    <w:p w:rsidR="008E7846" w:rsidRDefault="008E7846" w:rsidP="00C87C4E">
      <w:pPr>
        <w:pStyle w:val="Heading3"/>
      </w:pPr>
      <w:bookmarkStart w:id="254" w:name="_Toc314842512"/>
      <w:bookmarkStart w:id="255" w:name="_Toc368490593"/>
      <w:r>
        <w:t>Nonclinical</w:t>
      </w:r>
      <w:bookmarkEnd w:id="254"/>
      <w:bookmarkEnd w:id="255"/>
    </w:p>
    <w:p w:rsidR="008E7846" w:rsidRDefault="008E7846" w:rsidP="00C87C4E">
      <w:r>
        <w:t>There was no requirement for a nonclinical evaluation in a submission of this type.</w:t>
      </w:r>
    </w:p>
    <w:p w:rsidR="008E7846" w:rsidRDefault="008E7846" w:rsidP="00C87C4E">
      <w:pPr>
        <w:pStyle w:val="Heading3"/>
      </w:pPr>
      <w:bookmarkStart w:id="256" w:name="_Toc247691530"/>
      <w:bookmarkStart w:id="257" w:name="_Toc314842513"/>
      <w:bookmarkStart w:id="258" w:name="_Toc368490594"/>
      <w:r>
        <w:t>Clinical</w:t>
      </w:r>
      <w:bookmarkEnd w:id="256"/>
      <w:bookmarkEnd w:id="257"/>
      <w:bookmarkEnd w:id="258"/>
    </w:p>
    <w:p w:rsidR="00DB2A47" w:rsidRPr="00DB2A47" w:rsidRDefault="00600C48" w:rsidP="00C87C4E">
      <w:r w:rsidRPr="00600C48">
        <w:t>Daivobet 50/500 gel formulation was initially approved in 2010.</w:t>
      </w:r>
      <w:r w:rsidR="008C71EA">
        <w:t xml:space="preserve"> At present, the registered indication is topical treatment of scalp psoriasis. </w:t>
      </w:r>
      <w:r>
        <w:t>This application proposes to extend the indications to include topical treatment of body psoriasis.</w:t>
      </w:r>
    </w:p>
    <w:p w:rsidR="00DB2A47" w:rsidRPr="00DB2A47" w:rsidRDefault="00DB2A47" w:rsidP="00C87C4E">
      <w:r w:rsidRPr="00DB2A47">
        <w:t>O</w:t>
      </w:r>
      <w:r w:rsidR="008C71EA">
        <w:t>nly Module 5 data are submitted.</w:t>
      </w:r>
      <w:r w:rsidRPr="00DB2A47">
        <w:t xml:space="preserve"> The </w:t>
      </w:r>
      <w:r w:rsidR="008C71EA">
        <w:t xml:space="preserve">clinical </w:t>
      </w:r>
      <w:r w:rsidRPr="00DB2A47">
        <w:t>evaluator states that the following data are submitted:</w:t>
      </w:r>
    </w:p>
    <w:p w:rsidR="00DB2A47" w:rsidRPr="00C87C4E" w:rsidRDefault="00DB2A47" w:rsidP="00C87C4E">
      <w:pPr>
        <w:pStyle w:val="ListBullet"/>
      </w:pPr>
      <w:r w:rsidRPr="00C87C4E">
        <w:t xml:space="preserve">1 x clinical pharmacology study (LEO80185-G24), which aimed to provide </w:t>
      </w:r>
      <w:r w:rsidR="00F04A80" w:rsidRPr="00C87C4E">
        <w:t>PD</w:t>
      </w:r>
      <w:r w:rsidRPr="00C87C4E">
        <w:t xml:space="preserve"> and </w:t>
      </w:r>
      <w:r w:rsidR="00F04A80" w:rsidRPr="00C87C4E">
        <w:t>PK</w:t>
      </w:r>
      <w:r w:rsidRPr="00C87C4E">
        <w:t xml:space="preserve"> data;</w:t>
      </w:r>
    </w:p>
    <w:p w:rsidR="00DB2A47" w:rsidRPr="00C87C4E" w:rsidRDefault="00DB2A47" w:rsidP="00C87C4E">
      <w:pPr>
        <w:pStyle w:val="ListBullet"/>
      </w:pPr>
      <w:r w:rsidRPr="00C87C4E">
        <w:t>2 x pivotal comparative efficacy/safety studies (LEO80185-G23 and LEO80185-G21);</w:t>
      </w:r>
    </w:p>
    <w:p w:rsidR="00DB2A47" w:rsidRPr="00C87C4E" w:rsidRDefault="00DB2A47" w:rsidP="00C87C4E">
      <w:pPr>
        <w:pStyle w:val="ListBullet"/>
      </w:pPr>
      <w:r w:rsidRPr="00C87C4E">
        <w:t>2 x other efficacy/safety studies (MBL0202INT and PLQ-001).</w:t>
      </w:r>
    </w:p>
    <w:p w:rsidR="008C71EA" w:rsidRDefault="008C71EA" w:rsidP="00E57B8F">
      <w:pPr>
        <w:pStyle w:val="Heading4"/>
      </w:pPr>
      <w:r>
        <w:t>Pharmacology</w:t>
      </w:r>
    </w:p>
    <w:p w:rsidR="00DB2A47" w:rsidRPr="00DB2A47" w:rsidRDefault="00600C48" w:rsidP="00E57B8F">
      <w:r>
        <w:t xml:space="preserve">Study </w:t>
      </w:r>
      <w:r w:rsidR="00DB2A47" w:rsidRPr="00DB2A47">
        <w:t xml:space="preserve">LEO80155-G24 is a </w:t>
      </w:r>
      <w:r w:rsidR="00F04A80">
        <w:t>PD</w:t>
      </w:r>
      <w:r w:rsidR="00DB2A47" w:rsidRPr="00DB2A47">
        <w:t xml:space="preserve"> study. This is a multicentre open, 8 week study in subjects with extensive psoriasis involving 15-30% of total BSA. The primary objective was to assess the effect of once daily</w:t>
      </w:r>
      <w:r>
        <w:t xml:space="preserve"> Daivobet gel on HPA </w:t>
      </w:r>
      <w:r w:rsidR="00DB2A47" w:rsidRPr="00DB2A47">
        <w:t xml:space="preserve">and calcium metabolism. </w:t>
      </w:r>
    </w:p>
    <w:p w:rsidR="00DB2A47" w:rsidRPr="00DB2A47" w:rsidRDefault="00DB2A47" w:rsidP="00E57B8F">
      <w:r w:rsidRPr="00DB2A47">
        <w:t xml:space="preserve">The </w:t>
      </w:r>
      <w:r w:rsidR="00F04A80">
        <w:t xml:space="preserve">clinical </w:t>
      </w:r>
      <w:r w:rsidRPr="00DB2A47">
        <w:t xml:space="preserve">evaluator mentions that, “adrenal function was determined by measuring serum </w:t>
      </w:r>
      <w:proofErr w:type="spellStart"/>
      <w:r w:rsidRPr="00DB2A47">
        <w:t>cortisol</w:t>
      </w:r>
      <w:proofErr w:type="spellEnd"/>
      <w:r w:rsidRPr="00DB2A47">
        <w:t xml:space="preserve"> before and at 30 and 60 minutes after stimulation by a rapid standard dose </w:t>
      </w:r>
      <w:proofErr w:type="spellStart"/>
      <w:r w:rsidRPr="00DB2A47">
        <w:t>adrenocortiotrophic</w:t>
      </w:r>
      <w:proofErr w:type="spellEnd"/>
      <w:r w:rsidRPr="00DB2A47">
        <w:t xml:space="preserve"> hormone (ACTH) (</w:t>
      </w:r>
      <w:proofErr w:type="spellStart"/>
      <w:r w:rsidRPr="00DB2A47">
        <w:t>Cortrosy</w:t>
      </w:r>
      <w:r w:rsidR="00600C48">
        <w:t>n</w:t>
      </w:r>
      <w:proofErr w:type="spellEnd"/>
      <w:r w:rsidRPr="00DB2A47">
        <w:t xml:space="preserve">) challenge test. The ACTH tests were performed within 7 days of baseline and after 4 and 8 weeks of treatment (Days 28 and 56). If the </w:t>
      </w:r>
      <w:proofErr w:type="spellStart"/>
      <w:r w:rsidRPr="00DB2A47">
        <w:t>cortisol</w:t>
      </w:r>
      <w:proofErr w:type="spellEnd"/>
      <w:r w:rsidRPr="00DB2A47">
        <w:t xml:space="preserve"> level at 30 days after ACTH stimulation was ≤18 µg/</w:t>
      </w:r>
      <w:proofErr w:type="spellStart"/>
      <w:r w:rsidRPr="00DB2A47">
        <w:t>dL</w:t>
      </w:r>
      <w:proofErr w:type="spellEnd"/>
      <w:r w:rsidRPr="00DB2A47">
        <w:t>, the subject was withdrawn from treatment and the test was repeated 28 days after treatment was stopped. Evaluation of calcium metabolism was performed after 3 days of an individual standardised calcium diet at baseline and at Day 28 and 56”.</w:t>
      </w:r>
    </w:p>
    <w:p w:rsidR="00DB2A47" w:rsidRPr="00DB2A47" w:rsidRDefault="00DB2A47" w:rsidP="00E57B8F">
      <w:r w:rsidRPr="00DB2A47">
        <w:t>A total of 43 subjects received treatment. The mean weekl</w:t>
      </w:r>
      <w:r w:rsidR="004F5FD3">
        <w:t>y use of Daivobet gel was 52.27 </w:t>
      </w:r>
      <w:r w:rsidRPr="00DB2A47">
        <w:t xml:space="preserve">g. 3 subjects </w:t>
      </w:r>
      <w:r w:rsidR="001066A2">
        <w:t xml:space="preserve">(7%) had serum </w:t>
      </w:r>
      <w:proofErr w:type="spellStart"/>
      <w:r w:rsidR="001066A2">
        <w:t>cortisol</w:t>
      </w:r>
      <w:proofErr w:type="spellEnd"/>
      <w:r w:rsidR="001066A2">
        <w:t xml:space="preserve"> ≤</w:t>
      </w:r>
      <w:r w:rsidRPr="00DB2A47">
        <w:t xml:space="preserve"> 18µg/</w:t>
      </w:r>
      <w:proofErr w:type="spellStart"/>
      <w:r w:rsidRPr="00DB2A47">
        <w:t>dL</w:t>
      </w:r>
      <w:proofErr w:type="spellEnd"/>
      <w:r w:rsidRPr="00DB2A47">
        <w:t>, 30 minutes after ACTH stimulation tests at Day 28. Of these, 2 showed signs of adrenal suppression (</w:t>
      </w:r>
      <w:r w:rsidR="004F5FD3">
        <w:t>o</w:t>
      </w:r>
      <w:r w:rsidRPr="00DB2A47">
        <w:t>ne was borderline suppression and the other was overt suppression). There were no abnormal results at 8 weeks.</w:t>
      </w:r>
    </w:p>
    <w:p w:rsidR="00DB2A47" w:rsidRPr="00DB2A47" w:rsidRDefault="00DB2A47" w:rsidP="00E57B8F">
      <w:r w:rsidRPr="00DB2A47">
        <w:t xml:space="preserve">The calcium metabolism was not changed. </w:t>
      </w:r>
    </w:p>
    <w:p w:rsidR="00DB2A47" w:rsidRPr="00DB2A47" w:rsidRDefault="00DB2A47" w:rsidP="00E57B8F">
      <w:r w:rsidRPr="00DB2A47">
        <w:t>The evaluator compares the resul</w:t>
      </w:r>
      <w:r w:rsidR="004F5FD3">
        <w:t>ts with a previously submitted S</w:t>
      </w:r>
      <w:r w:rsidRPr="00DB2A47">
        <w:t>t</w:t>
      </w:r>
      <w:r w:rsidR="00600C48">
        <w:t xml:space="preserve">udy MBL0404FR, where </w:t>
      </w:r>
      <w:proofErr w:type="spellStart"/>
      <w:r w:rsidR="00600C48">
        <w:t>cortisol</w:t>
      </w:r>
      <w:proofErr w:type="spellEnd"/>
      <w:r w:rsidR="00600C48">
        <w:t xml:space="preserve"> </w:t>
      </w:r>
      <w:r w:rsidRPr="00DB2A47">
        <w:t>levels ≤ 18 µg/</w:t>
      </w:r>
      <w:proofErr w:type="spellStart"/>
      <w:r w:rsidRPr="00DB2A47">
        <w:t>dL</w:t>
      </w:r>
      <w:proofErr w:type="spellEnd"/>
      <w:r w:rsidRPr="00DB2A47">
        <w:t xml:space="preserve"> were observed in 5/32 (15.6%) </w:t>
      </w:r>
      <w:r w:rsidR="004F5FD3">
        <w:t xml:space="preserve">patients </w:t>
      </w:r>
      <w:r w:rsidRPr="00DB2A47">
        <w:t xml:space="preserve">after 4 weeks and </w:t>
      </w:r>
      <w:r w:rsidR="004F5FD3">
        <w:t xml:space="preserve">in </w:t>
      </w:r>
      <w:r w:rsidRPr="00DB2A47">
        <w:t xml:space="preserve">2/11 (18.2%) </w:t>
      </w:r>
      <w:r w:rsidR="004F5FD3">
        <w:t xml:space="preserve">patients </w:t>
      </w:r>
      <w:r w:rsidRPr="00DB2A47">
        <w:t xml:space="preserve">who continued for 8 weeks. It is stated that the values were close to the defined cut-off level at 30 minutes. </w:t>
      </w:r>
    </w:p>
    <w:p w:rsidR="00DB2A47" w:rsidRPr="00DB2A47" w:rsidRDefault="00DB2A47" w:rsidP="00E57B8F">
      <w:r w:rsidRPr="00DB2A47">
        <w:t xml:space="preserve">The evaluator was of the opinion that the results of the current study were consistent with the previous study. </w:t>
      </w:r>
    </w:p>
    <w:p w:rsidR="00DB2A47" w:rsidRPr="00DB2A47" w:rsidRDefault="008C71EA" w:rsidP="00E57B8F">
      <w:pPr>
        <w:pStyle w:val="Heading4"/>
      </w:pPr>
      <w:r>
        <w:t>Dose selection studies</w:t>
      </w:r>
    </w:p>
    <w:p w:rsidR="00DB2A47" w:rsidRPr="00DB2A47" w:rsidRDefault="00DB2A47" w:rsidP="00E57B8F">
      <w:r w:rsidRPr="00DB2A47">
        <w:t>None</w:t>
      </w:r>
      <w:r w:rsidR="004F5FD3">
        <w:t xml:space="preserve"> were</w:t>
      </w:r>
      <w:r w:rsidRPr="00DB2A47">
        <w:t xml:space="preserve"> submitted. The evaluator states that, the sponsor’s justification for the dosing is, “a once daily treatment regimen has been chosen as this is considered more convenient for the subject and has been shown to be effective in previous studies. It decreases drug exposure and time spent on application and thus, probably enhances subject compliance.”</w:t>
      </w:r>
    </w:p>
    <w:p w:rsidR="00DB2A47" w:rsidRPr="00DB2A47" w:rsidRDefault="004F5FD3" w:rsidP="00E57B8F">
      <w:pPr>
        <w:pStyle w:val="Heading4"/>
      </w:pPr>
      <w:r>
        <w:t>Efficacy studies</w:t>
      </w:r>
    </w:p>
    <w:p w:rsidR="00DB2A47" w:rsidRPr="00DB2A47" w:rsidRDefault="00DB2A47" w:rsidP="00E57B8F">
      <w:r w:rsidRPr="00DB2A47">
        <w:t xml:space="preserve">The evaluator mentions three studies (LEO80185-G23, LEO80185-G21 and MBL0202INT), of which the former two are considered pivotal by the evaluator. </w:t>
      </w:r>
    </w:p>
    <w:p w:rsidR="00DB2A47" w:rsidRPr="00600C48" w:rsidRDefault="00DB2A47" w:rsidP="00E57B8F">
      <w:pPr>
        <w:pStyle w:val="Heading5"/>
      </w:pPr>
      <w:r w:rsidRPr="00600C48">
        <w:t xml:space="preserve">LEO 80185-G23 </w:t>
      </w:r>
    </w:p>
    <w:p w:rsidR="00DB2A47" w:rsidRPr="00DB2A47" w:rsidRDefault="00DB2A47" w:rsidP="00E57B8F">
      <w:r w:rsidRPr="00DB2A47">
        <w:t xml:space="preserve">This was a randomised double blind 4 arm study. The treatment arms were: Daivobet gel (calcipotriol 50 µg/g plus betamethasone 0.5 mg/g as dipropionate), betamethasone gel (0.5 mg/g as dipropionate ), calcipotriol gel (50 µg/g) and gel vehicle. The treatment was applied once daily for 8 weeks in those with stable psoriasis vulgaris of the body. The washout and treatment details are included </w:t>
      </w:r>
      <w:r w:rsidR="00600C48">
        <w:t xml:space="preserve">in the CER (see Attachment 2 of this AusPAR). </w:t>
      </w:r>
      <w:r w:rsidRPr="00DB2A47">
        <w:t xml:space="preserve">Those over the age of 18 years with stable plaque psoriasis of at least 6 months were eligible to participate. </w:t>
      </w:r>
      <w:r w:rsidR="004F5FD3">
        <w:t>Other inclusion criteria were: a</w:t>
      </w:r>
      <w:r w:rsidRPr="00DB2A47">
        <w:t>n IGA of mild or moderate on the body (trunk and/or limbs) at Day 0 (Visit 1); a minimum modified PASI score for extent of 2</w:t>
      </w:r>
      <w:r w:rsidR="004F5FD3">
        <w:t xml:space="preserve"> in at least one body region (that is,</w:t>
      </w:r>
      <w:r w:rsidRPr="00DB2A47">
        <w:t xml:space="preserve"> psoriasis affecting at least 10% of arms, and/or 10% of trunk, and/or 10% of legs).</w:t>
      </w:r>
    </w:p>
    <w:p w:rsidR="00DB2A47" w:rsidRPr="00DB2A47" w:rsidRDefault="00DB2A47" w:rsidP="00E57B8F">
      <w:r w:rsidRPr="001066A2">
        <w:t>Primary efficacy outcome:</w:t>
      </w:r>
      <w:r w:rsidRPr="008C71EA">
        <w:rPr>
          <w:i/>
        </w:rPr>
        <w:t xml:space="preserve"> </w:t>
      </w:r>
      <w:r w:rsidRPr="00DB2A47">
        <w:t xml:space="preserve">the percentage of patients with ‘controlled disease’ according to the IGA at Weeks 4 and 8 (both </w:t>
      </w:r>
      <w:r w:rsidR="004F5FD3" w:rsidRPr="004F5FD3">
        <w:t>Last observation carried forward</w:t>
      </w:r>
      <w:r w:rsidR="004F5FD3">
        <w:t xml:space="preserve">; </w:t>
      </w:r>
      <w:r w:rsidRPr="00DB2A47">
        <w:t xml:space="preserve">LOCF). Details of the scoring scales are provided </w:t>
      </w:r>
      <w:r w:rsidR="00600C48">
        <w:t xml:space="preserve">in the </w:t>
      </w:r>
      <w:r w:rsidR="004F5FD3">
        <w:t xml:space="preserve">Definitions section in the </w:t>
      </w:r>
      <w:r w:rsidR="00600C48">
        <w:t>CER</w:t>
      </w:r>
      <w:r w:rsidR="004F5FD3">
        <w:t xml:space="preserve"> (Attachment 2 of this AusPAR)</w:t>
      </w:r>
      <w:r w:rsidRPr="00DB2A47">
        <w:t>.</w:t>
      </w:r>
    </w:p>
    <w:p w:rsidR="00DB2A47" w:rsidRPr="00DB2A47" w:rsidRDefault="00DB2A47" w:rsidP="00E57B8F">
      <w:r w:rsidRPr="00DB2A47">
        <w:t>‘Controlled disease’ is defined as ‘clear’ or ‘almost clear’ for subjects with moderate disease at baseline and ‘clear’ for subjects with mild disease at baseline.</w:t>
      </w:r>
    </w:p>
    <w:p w:rsidR="00DB2A47" w:rsidRPr="00DB2A47" w:rsidRDefault="00DB2A47" w:rsidP="00E57B8F">
      <w:r w:rsidRPr="00DB2A47">
        <w:t>The primary analysis was to test for superiority of Daivobet gel versus betamethasone gel, calcipotriol gel and the gel vehicle using the full analysis set (</w:t>
      </w:r>
      <w:r w:rsidR="004F5FD3">
        <w:t xml:space="preserve">intent to treat; </w:t>
      </w:r>
      <w:r w:rsidRPr="00DB2A47">
        <w:t>ITT). To be considered superior, all three tests had to be statistically significant.</w:t>
      </w:r>
    </w:p>
    <w:p w:rsidR="00DB2A47" w:rsidRPr="00DB2A47" w:rsidRDefault="00DB2A47" w:rsidP="00E57B8F">
      <w:r w:rsidRPr="001066A2">
        <w:t>The other efficacy outcomes</w:t>
      </w:r>
      <w:r w:rsidRPr="00DB2A47">
        <w:t xml:space="preserve"> included the percentage change in PASI from baseline, those achieving controlled disease at various time points, those achieving 75% and 50% reduction in PASI score. </w:t>
      </w:r>
    </w:p>
    <w:p w:rsidR="00DB2A47" w:rsidRPr="00DB2A47" w:rsidRDefault="00DB2A47" w:rsidP="00E57B8F">
      <w:r w:rsidRPr="00DB2A47">
        <w:t xml:space="preserve">It is stated that all randomised patients were included in the ITT analysis. Sample size calculations are adequate. </w:t>
      </w:r>
    </w:p>
    <w:p w:rsidR="00DB2A47" w:rsidRPr="00DB2A47" w:rsidRDefault="00DB2A47" w:rsidP="00E57B8F">
      <w:r w:rsidRPr="00DB2A47">
        <w:t xml:space="preserve">The demographics are included in the </w:t>
      </w:r>
      <w:r w:rsidR="00600C48">
        <w:t>CER</w:t>
      </w:r>
      <w:r w:rsidR="004F5FD3">
        <w:t xml:space="preserve"> (Attachment 2)</w:t>
      </w:r>
      <w:r w:rsidRPr="00DB2A47">
        <w:t xml:space="preserve">. Of note: the mean duration of psoriasis was 16.8 (13.1) years. IGA at baseline was 78% moderate and 22 % mild. The mean PASI score was 7.9 (3.5); the BSA involved was 12.2 % (10.8). </w:t>
      </w:r>
    </w:p>
    <w:p w:rsidR="00DB2A47" w:rsidRPr="00DB2A47" w:rsidRDefault="00DB2A47" w:rsidP="00E57B8F">
      <w:r w:rsidRPr="00DB2A47">
        <w:t>The primary efficacy results extracted from the evaluation report is as follows:</w:t>
      </w:r>
    </w:p>
    <w:p w:rsidR="00400561" w:rsidRPr="00400561" w:rsidRDefault="00400561" w:rsidP="00E57B8F">
      <w:pPr>
        <w:pStyle w:val="TableTitle"/>
      </w:pPr>
      <w:bookmarkStart w:id="259" w:name="_Toc342054227"/>
      <w:bookmarkStart w:id="260" w:name="_Toc328467038"/>
      <w:r>
        <w:t xml:space="preserve">Table </w:t>
      </w:r>
      <w:r w:rsidR="006C2B37">
        <w:t>10</w:t>
      </w:r>
      <w:r w:rsidRPr="00400561">
        <w:t>. Study LEO80185-G23 Percentage of patients with ‘controlled disease’ at Week 4 and 8</w:t>
      </w:r>
      <w:bookmarkEnd w:id="259"/>
    </w:p>
    <w:tbl>
      <w:tblPr>
        <w:tblStyle w:val="TableTGAblue"/>
        <w:tblW w:w="0" w:type="auto"/>
        <w:tblLook w:val="04A0"/>
      </w:tblPr>
      <w:tblGrid>
        <w:gridCol w:w="1950"/>
        <w:gridCol w:w="1700"/>
        <w:gridCol w:w="1846"/>
        <w:gridCol w:w="1568"/>
        <w:gridCol w:w="1656"/>
      </w:tblGrid>
      <w:tr w:rsidR="00400561" w:rsidRPr="00E57B8F" w:rsidTr="001066A2">
        <w:trPr>
          <w:cnfStyle w:val="100000000000"/>
          <w:cantSplit/>
          <w:tblHeader/>
        </w:trPr>
        <w:tc>
          <w:tcPr>
            <w:tcW w:w="1951" w:type="dxa"/>
          </w:tcPr>
          <w:p w:rsidR="00400561" w:rsidRPr="00E57B8F" w:rsidRDefault="00400561" w:rsidP="00E57B8F">
            <w:pPr>
              <w:rPr>
                <w:sz w:val="18"/>
                <w:szCs w:val="18"/>
              </w:rPr>
            </w:pPr>
          </w:p>
        </w:tc>
        <w:tc>
          <w:tcPr>
            <w:tcW w:w="1701" w:type="dxa"/>
            <w:hideMark/>
          </w:tcPr>
          <w:p w:rsidR="00400561" w:rsidRPr="00E57B8F" w:rsidRDefault="00400561" w:rsidP="00E57B8F">
            <w:pPr>
              <w:rPr>
                <w:sz w:val="18"/>
                <w:szCs w:val="18"/>
              </w:rPr>
            </w:pPr>
            <w:r w:rsidRPr="00E57B8F">
              <w:rPr>
                <w:sz w:val="18"/>
                <w:szCs w:val="18"/>
              </w:rPr>
              <w:t>Daivobet gel (n=482)</w:t>
            </w:r>
          </w:p>
        </w:tc>
        <w:tc>
          <w:tcPr>
            <w:tcW w:w="1843" w:type="dxa"/>
            <w:hideMark/>
          </w:tcPr>
          <w:p w:rsidR="00400561" w:rsidRPr="00E57B8F" w:rsidRDefault="00400561" w:rsidP="00E57B8F">
            <w:pPr>
              <w:rPr>
                <w:sz w:val="18"/>
                <w:szCs w:val="18"/>
              </w:rPr>
            </w:pPr>
            <w:r w:rsidRPr="00E57B8F">
              <w:rPr>
                <w:sz w:val="18"/>
                <w:szCs w:val="18"/>
              </w:rPr>
              <w:t>Betamethasone gel (n=479)</w:t>
            </w:r>
          </w:p>
        </w:tc>
        <w:tc>
          <w:tcPr>
            <w:tcW w:w="1568" w:type="dxa"/>
            <w:hideMark/>
          </w:tcPr>
          <w:p w:rsidR="00400561" w:rsidRPr="00E57B8F" w:rsidRDefault="00400561" w:rsidP="00E57B8F">
            <w:pPr>
              <w:rPr>
                <w:sz w:val="18"/>
                <w:szCs w:val="18"/>
              </w:rPr>
            </w:pPr>
            <w:r w:rsidRPr="00E57B8F">
              <w:rPr>
                <w:sz w:val="18"/>
                <w:szCs w:val="18"/>
              </w:rPr>
              <w:t>Calcipotriol gel (n=96)</w:t>
            </w:r>
          </w:p>
        </w:tc>
        <w:tc>
          <w:tcPr>
            <w:tcW w:w="1657" w:type="dxa"/>
            <w:hideMark/>
          </w:tcPr>
          <w:p w:rsidR="00400561" w:rsidRPr="00E57B8F" w:rsidRDefault="00400561" w:rsidP="00E57B8F">
            <w:pPr>
              <w:rPr>
                <w:sz w:val="18"/>
                <w:szCs w:val="18"/>
              </w:rPr>
            </w:pPr>
            <w:r w:rsidRPr="00E57B8F">
              <w:rPr>
                <w:sz w:val="18"/>
                <w:szCs w:val="18"/>
              </w:rPr>
              <w:t>Vehicle</w:t>
            </w:r>
            <w:r w:rsidR="00AE7196" w:rsidRPr="00E57B8F">
              <w:rPr>
                <w:sz w:val="18"/>
                <w:szCs w:val="18"/>
              </w:rPr>
              <w:t xml:space="preserve"> </w:t>
            </w:r>
            <w:r w:rsidR="00AE7196" w:rsidRPr="00E57B8F">
              <w:rPr>
                <w:sz w:val="18"/>
                <w:szCs w:val="18"/>
              </w:rPr>
              <w:br/>
            </w:r>
            <w:r w:rsidRPr="00E57B8F">
              <w:rPr>
                <w:sz w:val="18"/>
                <w:szCs w:val="18"/>
              </w:rPr>
              <w:t>(n=95)</w:t>
            </w:r>
          </w:p>
        </w:tc>
      </w:tr>
      <w:tr w:rsidR="00400561" w:rsidRPr="00E57B8F" w:rsidTr="00AE7196">
        <w:tc>
          <w:tcPr>
            <w:tcW w:w="8720" w:type="dxa"/>
            <w:gridSpan w:val="5"/>
            <w:hideMark/>
          </w:tcPr>
          <w:p w:rsidR="00400561" w:rsidRPr="00E57B8F" w:rsidRDefault="00400561" w:rsidP="00E57B8F">
            <w:pPr>
              <w:pStyle w:val="TableHeading2"/>
            </w:pPr>
            <w:r w:rsidRPr="00E57B8F">
              <w:t>Week 4</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Controlled Disease</w:t>
            </w:r>
          </w:p>
        </w:tc>
        <w:tc>
          <w:tcPr>
            <w:tcW w:w="1701" w:type="dxa"/>
            <w:hideMark/>
          </w:tcPr>
          <w:p w:rsidR="00400561" w:rsidRPr="00E57B8F" w:rsidRDefault="00400561" w:rsidP="00E57B8F">
            <w:pPr>
              <w:rPr>
                <w:sz w:val="18"/>
                <w:szCs w:val="18"/>
              </w:rPr>
            </w:pPr>
            <w:r w:rsidRPr="00E57B8F">
              <w:rPr>
                <w:sz w:val="18"/>
                <w:szCs w:val="18"/>
              </w:rPr>
              <w:t>Number of subjects (%)</w:t>
            </w:r>
          </w:p>
        </w:tc>
        <w:tc>
          <w:tcPr>
            <w:tcW w:w="1843" w:type="dxa"/>
            <w:hideMark/>
          </w:tcPr>
          <w:p w:rsidR="00400561" w:rsidRPr="00E57B8F" w:rsidRDefault="00400561" w:rsidP="00E57B8F">
            <w:pPr>
              <w:rPr>
                <w:sz w:val="18"/>
                <w:szCs w:val="18"/>
              </w:rPr>
            </w:pPr>
            <w:r w:rsidRPr="00E57B8F">
              <w:rPr>
                <w:sz w:val="18"/>
                <w:szCs w:val="18"/>
              </w:rPr>
              <w:t>Number of subjects (%)</w:t>
            </w:r>
          </w:p>
        </w:tc>
        <w:tc>
          <w:tcPr>
            <w:tcW w:w="1568" w:type="dxa"/>
            <w:hideMark/>
          </w:tcPr>
          <w:p w:rsidR="00400561" w:rsidRPr="00E57B8F" w:rsidRDefault="00400561" w:rsidP="00E57B8F">
            <w:pPr>
              <w:rPr>
                <w:sz w:val="18"/>
                <w:szCs w:val="18"/>
              </w:rPr>
            </w:pPr>
            <w:r w:rsidRPr="00E57B8F">
              <w:rPr>
                <w:sz w:val="18"/>
                <w:szCs w:val="18"/>
              </w:rPr>
              <w:t>Number of subjects (%)</w:t>
            </w:r>
          </w:p>
        </w:tc>
        <w:tc>
          <w:tcPr>
            <w:tcW w:w="1657" w:type="dxa"/>
            <w:hideMark/>
          </w:tcPr>
          <w:p w:rsidR="00400561" w:rsidRPr="00E57B8F" w:rsidRDefault="00400561" w:rsidP="00E57B8F">
            <w:pPr>
              <w:rPr>
                <w:sz w:val="18"/>
                <w:szCs w:val="18"/>
              </w:rPr>
            </w:pPr>
            <w:r w:rsidRPr="00E57B8F">
              <w:rPr>
                <w:sz w:val="18"/>
                <w:szCs w:val="18"/>
              </w:rPr>
              <w:t>Number of subjects (%)</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Controlled</w:t>
            </w:r>
          </w:p>
        </w:tc>
        <w:tc>
          <w:tcPr>
            <w:tcW w:w="1701" w:type="dxa"/>
            <w:hideMark/>
          </w:tcPr>
          <w:p w:rsidR="00400561" w:rsidRPr="00E57B8F" w:rsidRDefault="00400561" w:rsidP="00E57B8F">
            <w:pPr>
              <w:rPr>
                <w:sz w:val="18"/>
                <w:szCs w:val="18"/>
              </w:rPr>
            </w:pPr>
            <w:r w:rsidRPr="00E57B8F">
              <w:rPr>
                <w:sz w:val="18"/>
                <w:szCs w:val="18"/>
              </w:rPr>
              <w:t>64 (13.3)</w:t>
            </w:r>
          </w:p>
        </w:tc>
        <w:tc>
          <w:tcPr>
            <w:tcW w:w="1843" w:type="dxa"/>
            <w:hideMark/>
          </w:tcPr>
          <w:p w:rsidR="00400561" w:rsidRPr="00E57B8F" w:rsidRDefault="00400561" w:rsidP="00E57B8F">
            <w:pPr>
              <w:rPr>
                <w:sz w:val="18"/>
                <w:szCs w:val="18"/>
              </w:rPr>
            </w:pPr>
            <w:r w:rsidRPr="00E57B8F">
              <w:rPr>
                <w:sz w:val="18"/>
                <w:szCs w:val="18"/>
              </w:rPr>
              <w:t>60 (12.5)</w:t>
            </w:r>
          </w:p>
        </w:tc>
        <w:tc>
          <w:tcPr>
            <w:tcW w:w="1568" w:type="dxa"/>
            <w:hideMark/>
          </w:tcPr>
          <w:p w:rsidR="00400561" w:rsidRPr="00E57B8F" w:rsidRDefault="00400561" w:rsidP="00E57B8F">
            <w:pPr>
              <w:rPr>
                <w:sz w:val="18"/>
                <w:szCs w:val="18"/>
              </w:rPr>
            </w:pPr>
            <w:r w:rsidRPr="00E57B8F">
              <w:rPr>
                <w:sz w:val="18"/>
                <w:szCs w:val="18"/>
              </w:rPr>
              <w:t>5 (5.2)</w:t>
            </w:r>
          </w:p>
        </w:tc>
        <w:tc>
          <w:tcPr>
            <w:tcW w:w="1657" w:type="dxa"/>
            <w:hideMark/>
          </w:tcPr>
          <w:p w:rsidR="00400561" w:rsidRPr="00E57B8F" w:rsidRDefault="00400561" w:rsidP="00E57B8F">
            <w:pPr>
              <w:rPr>
                <w:sz w:val="18"/>
                <w:szCs w:val="18"/>
              </w:rPr>
            </w:pPr>
            <w:r w:rsidRPr="00E57B8F">
              <w:rPr>
                <w:sz w:val="18"/>
                <w:szCs w:val="18"/>
              </w:rPr>
              <w:t>2 (2.1)</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Non-controlled</w:t>
            </w:r>
          </w:p>
        </w:tc>
        <w:tc>
          <w:tcPr>
            <w:tcW w:w="1701" w:type="dxa"/>
            <w:hideMark/>
          </w:tcPr>
          <w:p w:rsidR="00400561" w:rsidRPr="00E57B8F" w:rsidRDefault="00400561" w:rsidP="00E57B8F">
            <w:pPr>
              <w:rPr>
                <w:sz w:val="18"/>
                <w:szCs w:val="18"/>
              </w:rPr>
            </w:pPr>
            <w:r w:rsidRPr="00E57B8F">
              <w:rPr>
                <w:sz w:val="18"/>
                <w:szCs w:val="18"/>
              </w:rPr>
              <w:t>418 (86.7)</w:t>
            </w:r>
          </w:p>
        </w:tc>
        <w:tc>
          <w:tcPr>
            <w:tcW w:w="1843" w:type="dxa"/>
            <w:hideMark/>
          </w:tcPr>
          <w:p w:rsidR="00400561" w:rsidRPr="00E57B8F" w:rsidRDefault="00400561" w:rsidP="00E57B8F">
            <w:pPr>
              <w:rPr>
                <w:sz w:val="18"/>
                <w:szCs w:val="18"/>
              </w:rPr>
            </w:pPr>
            <w:r w:rsidRPr="00E57B8F">
              <w:rPr>
                <w:sz w:val="18"/>
                <w:szCs w:val="18"/>
              </w:rPr>
              <w:t>419 (87.5)</w:t>
            </w:r>
          </w:p>
        </w:tc>
        <w:tc>
          <w:tcPr>
            <w:tcW w:w="1568" w:type="dxa"/>
            <w:hideMark/>
          </w:tcPr>
          <w:p w:rsidR="00400561" w:rsidRPr="00E57B8F" w:rsidRDefault="00400561" w:rsidP="00E57B8F">
            <w:pPr>
              <w:rPr>
                <w:sz w:val="18"/>
                <w:szCs w:val="18"/>
              </w:rPr>
            </w:pPr>
            <w:r w:rsidRPr="00E57B8F">
              <w:rPr>
                <w:sz w:val="18"/>
                <w:szCs w:val="18"/>
              </w:rPr>
              <w:t>91 (94.8)</w:t>
            </w:r>
          </w:p>
        </w:tc>
        <w:tc>
          <w:tcPr>
            <w:tcW w:w="1657" w:type="dxa"/>
            <w:hideMark/>
          </w:tcPr>
          <w:p w:rsidR="00400561" w:rsidRPr="00E57B8F" w:rsidRDefault="00400561" w:rsidP="00E57B8F">
            <w:pPr>
              <w:rPr>
                <w:sz w:val="18"/>
                <w:szCs w:val="18"/>
              </w:rPr>
            </w:pPr>
            <w:r w:rsidRPr="00E57B8F">
              <w:rPr>
                <w:sz w:val="18"/>
                <w:szCs w:val="18"/>
              </w:rPr>
              <w:t>93 (97.9)</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Total</w:t>
            </w:r>
          </w:p>
        </w:tc>
        <w:tc>
          <w:tcPr>
            <w:tcW w:w="1701" w:type="dxa"/>
            <w:hideMark/>
          </w:tcPr>
          <w:p w:rsidR="00400561" w:rsidRPr="00E57B8F" w:rsidRDefault="00400561" w:rsidP="00E57B8F">
            <w:pPr>
              <w:rPr>
                <w:sz w:val="18"/>
                <w:szCs w:val="18"/>
              </w:rPr>
            </w:pPr>
            <w:r w:rsidRPr="00E57B8F">
              <w:rPr>
                <w:sz w:val="18"/>
                <w:szCs w:val="18"/>
              </w:rPr>
              <w:t>482 (100.0)</w:t>
            </w:r>
          </w:p>
        </w:tc>
        <w:tc>
          <w:tcPr>
            <w:tcW w:w="1843" w:type="dxa"/>
            <w:hideMark/>
          </w:tcPr>
          <w:p w:rsidR="00400561" w:rsidRPr="00E57B8F" w:rsidRDefault="00400561" w:rsidP="00E57B8F">
            <w:pPr>
              <w:rPr>
                <w:sz w:val="18"/>
                <w:szCs w:val="18"/>
              </w:rPr>
            </w:pPr>
            <w:r w:rsidRPr="00E57B8F">
              <w:rPr>
                <w:sz w:val="18"/>
                <w:szCs w:val="18"/>
              </w:rPr>
              <w:t>479 (100.0)</w:t>
            </w:r>
          </w:p>
        </w:tc>
        <w:tc>
          <w:tcPr>
            <w:tcW w:w="1568" w:type="dxa"/>
            <w:hideMark/>
          </w:tcPr>
          <w:p w:rsidR="00400561" w:rsidRPr="00E57B8F" w:rsidRDefault="00400561" w:rsidP="00E57B8F">
            <w:pPr>
              <w:rPr>
                <w:sz w:val="18"/>
                <w:szCs w:val="18"/>
              </w:rPr>
            </w:pPr>
            <w:r w:rsidRPr="00E57B8F">
              <w:rPr>
                <w:sz w:val="18"/>
                <w:szCs w:val="18"/>
              </w:rPr>
              <w:t>96 (100.0)</w:t>
            </w:r>
          </w:p>
        </w:tc>
        <w:tc>
          <w:tcPr>
            <w:tcW w:w="1657" w:type="dxa"/>
            <w:hideMark/>
          </w:tcPr>
          <w:p w:rsidR="00400561" w:rsidRPr="00E57B8F" w:rsidRDefault="00400561" w:rsidP="00E57B8F">
            <w:pPr>
              <w:rPr>
                <w:sz w:val="18"/>
                <w:szCs w:val="18"/>
              </w:rPr>
            </w:pPr>
            <w:r w:rsidRPr="00E57B8F">
              <w:rPr>
                <w:sz w:val="18"/>
                <w:szCs w:val="18"/>
              </w:rPr>
              <w:t>95 (100.0)</w:t>
            </w:r>
          </w:p>
        </w:tc>
      </w:tr>
      <w:tr w:rsidR="00400561" w:rsidRPr="00E57B8F" w:rsidTr="00AE7196">
        <w:tc>
          <w:tcPr>
            <w:tcW w:w="8720" w:type="dxa"/>
            <w:gridSpan w:val="5"/>
            <w:hideMark/>
          </w:tcPr>
          <w:p w:rsidR="00400561" w:rsidRPr="00E57B8F" w:rsidRDefault="00400561" w:rsidP="00E57B8F">
            <w:pPr>
              <w:pStyle w:val="TableHeading2"/>
            </w:pPr>
            <w:r w:rsidRPr="00E57B8F">
              <w:t>Statistical analysis</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Difference (%)</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0.8</w:t>
            </w:r>
          </w:p>
        </w:tc>
        <w:tc>
          <w:tcPr>
            <w:tcW w:w="1568" w:type="dxa"/>
            <w:hideMark/>
          </w:tcPr>
          <w:p w:rsidR="00400561" w:rsidRPr="00E57B8F" w:rsidRDefault="00400561" w:rsidP="00E57B8F">
            <w:pPr>
              <w:rPr>
                <w:sz w:val="18"/>
                <w:szCs w:val="18"/>
              </w:rPr>
            </w:pPr>
            <w:r w:rsidRPr="00E57B8F">
              <w:rPr>
                <w:sz w:val="18"/>
                <w:szCs w:val="18"/>
              </w:rPr>
              <w:t>8.1</w:t>
            </w:r>
          </w:p>
        </w:tc>
        <w:tc>
          <w:tcPr>
            <w:tcW w:w="1657" w:type="dxa"/>
            <w:hideMark/>
          </w:tcPr>
          <w:p w:rsidR="00400561" w:rsidRPr="00E57B8F" w:rsidRDefault="00400561" w:rsidP="00E57B8F">
            <w:pPr>
              <w:rPr>
                <w:sz w:val="18"/>
                <w:szCs w:val="18"/>
              </w:rPr>
            </w:pPr>
            <w:r w:rsidRPr="00E57B8F">
              <w:rPr>
                <w:sz w:val="18"/>
                <w:szCs w:val="18"/>
              </w:rPr>
              <w:t>11.2</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 xml:space="preserve">95% </w:t>
            </w:r>
            <w:r w:rsidR="00AE7196" w:rsidRPr="00E57B8F">
              <w:rPr>
                <w:sz w:val="18"/>
                <w:szCs w:val="18"/>
              </w:rPr>
              <w:t>confidence interval (</w:t>
            </w:r>
            <w:r w:rsidRPr="00E57B8F">
              <w:rPr>
                <w:sz w:val="18"/>
                <w:szCs w:val="18"/>
              </w:rPr>
              <w:t>CI</w:t>
            </w:r>
            <w:r w:rsidR="00AE7196" w:rsidRPr="00E57B8F">
              <w:rPr>
                <w:sz w:val="18"/>
                <w:szCs w:val="18"/>
              </w:rPr>
              <w:t>)</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-3.5 to 5.0</w:t>
            </w:r>
          </w:p>
        </w:tc>
        <w:tc>
          <w:tcPr>
            <w:tcW w:w="1568" w:type="dxa"/>
            <w:hideMark/>
          </w:tcPr>
          <w:p w:rsidR="00400561" w:rsidRPr="00E57B8F" w:rsidRDefault="00400561" w:rsidP="00E57B8F">
            <w:pPr>
              <w:rPr>
                <w:sz w:val="18"/>
                <w:szCs w:val="18"/>
              </w:rPr>
            </w:pPr>
            <w:r w:rsidRPr="00E57B8F">
              <w:rPr>
                <w:sz w:val="18"/>
                <w:szCs w:val="18"/>
              </w:rPr>
              <w:t>2.7 to 13.4</w:t>
            </w:r>
          </w:p>
        </w:tc>
        <w:tc>
          <w:tcPr>
            <w:tcW w:w="1657" w:type="dxa"/>
            <w:hideMark/>
          </w:tcPr>
          <w:p w:rsidR="00400561" w:rsidRPr="00E57B8F" w:rsidRDefault="00400561" w:rsidP="00E57B8F">
            <w:pPr>
              <w:rPr>
                <w:sz w:val="18"/>
                <w:szCs w:val="18"/>
              </w:rPr>
            </w:pPr>
            <w:r w:rsidRPr="00E57B8F">
              <w:rPr>
                <w:sz w:val="18"/>
                <w:szCs w:val="18"/>
              </w:rPr>
              <w:t>7.0 to 15.4</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Odds ratio</w:t>
            </w:r>
            <w:r w:rsidRPr="00E57B8F">
              <w:rPr>
                <w:sz w:val="18"/>
                <w:szCs w:val="18"/>
                <w:vertAlign w:val="superscript"/>
              </w:rPr>
              <w:t>1</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1.0</w:t>
            </w:r>
          </w:p>
        </w:tc>
        <w:tc>
          <w:tcPr>
            <w:tcW w:w="1568" w:type="dxa"/>
            <w:hideMark/>
          </w:tcPr>
          <w:p w:rsidR="00400561" w:rsidRPr="00E57B8F" w:rsidRDefault="00400561" w:rsidP="00E57B8F">
            <w:pPr>
              <w:rPr>
                <w:sz w:val="18"/>
                <w:szCs w:val="18"/>
              </w:rPr>
            </w:pPr>
            <w:r w:rsidRPr="00E57B8F">
              <w:rPr>
                <w:sz w:val="18"/>
                <w:szCs w:val="18"/>
              </w:rPr>
              <w:t>3.0</w:t>
            </w:r>
          </w:p>
        </w:tc>
        <w:tc>
          <w:tcPr>
            <w:tcW w:w="1657" w:type="dxa"/>
            <w:hideMark/>
          </w:tcPr>
          <w:p w:rsidR="00400561" w:rsidRPr="00E57B8F" w:rsidRDefault="00400561" w:rsidP="00E57B8F">
            <w:pPr>
              <w:rPr>
                <w:sz w:val="18"/>
                <w:szCs w:val="18"/>
              </w:rPr>
            </w:pPr>
            <w:r w:rsidRPr="00E57B8F">
              <w:rPr>
                <w:sz w:val="18"/>
                <w:szCs w:val="18"/>
              </w:rPr>
              <w:t>8.4</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95% CI</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0.7 to 1.5</w:t>
            </w:r>
          </w:p>
        </w:tc>
        <w:tc>
          <w:tcPr>
            <w:tcW w:w="1568" w:type="dxa"/>
            <w:hideMark/>
          </w:tcPr>
          <w:p w:rsidR="00400561" w:rsidRPr="00E57B8F" w:rsidRDefault="00400561" w:rsidP="00E57B8F">
            <w:pPr>
              <w:rPr>
                <w:sz w:val="18"/>
                <w:szCs w:val="18"/>
              </w:rPr>
            </w:pPr>
            <w:r w:rsidRPr="00E57B8F">
              <w:rPr>
                <w:sz w:val="18"/>
                <w:szCs w:val="18"/>
              </w:rPr>
              <w:t>1.1 to 7.6</w:t>
            </w:r>
          </w:p>
        </w:tc>
        <w:tc>
          <w:tcPr>
            <w:tcW w:w="1657" w:type="dxa"/>
            <w:hideMark/>
          </w:tcPr>
          <w:p w:rsidR="00400561" w:rsidRPr="00E57B8F" w:rsidRDefault="00400561" w:rsidP="00E57B8F">
            <w:pPr>
              <w:rPr>
                <w:sz w:val="18"/>
                <w:szCs w:val="18"/>
              </w:rPr>
            </w:pPr>
            <w:r w:rsidRPr="00E57B8F">
              <w:rPr>
                <w:sz w:val="18"/>
                <w:szCs w:val="18"/>
              </w:rPr>
              <w:t>1.9 to 37.1</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CMH test p-value</w:t>
            </w:r>
            <w:r w:rsidRPr="00E57B8F">
              <w:rPr>
                <w:sz w:val="18"/>
                <w:szCs w:val="18"/>
                <w:vertAlign w:val="superscript"/>
              </w:rPr>
              <w:t>2</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0.82</w:t>
            </w:r>
          </w:p>
        </w:tc>
        <w:tc>
          <w:tcPr>
            <w:tcW w:w="1568" w:type="dxa"/>
            <w:hideMark/>
          </w:tcPr>
          <w:p w:rsidR="00400561" w:rsidRPr="00E57B8F" w:rsidRDefault="00400561" w:rsidP="00E57B8F">
            <w:pPr>
              <w:rPr>
                <w:sz w:val="18"/>
                <w:szCs w:val="18"/>
              </w:rPr>
            </w:pPr>
            <w:r w:rsidRPr="00E57B8F">
              <w:rPr>
                <w:sz w:val="18"/>
                <w:szCs w:val="18"/>
              </w:rPr>
              <w:t>0.019</w:t>
            </w:r>
          </w:p>
        </w:tc>
        <w:tc>
          <w:tcPr>
            <w:tcW w:w="1657" w:type="dxa"/>
            <w:hideMark/>
          </w:tcPr>
          <w:p w:rsidR="00400561" w:rsidRPr="00E57B8F" w:rsidRDefault="00400561" w:rsidP="00E57B8F">
            <w:pPr>
              <w:rPr>
                <w:sz w:val="18"/>
                <w:szCs w:val="18"/>
              </w:rPr>
            </w:pPr>
            <w:r w:rsidRPr="00E57B8F">
              <w:rPr>
                <w:sz w:val="18"/>
                <w:szCs w:val="18"/>
              </w:rPr>
              <w:t>0.001</w:t>
            </w:r>
          </w:p>
        </w:tc>
      </w:tr>
      <w:tr w:rsidR="00400561" w:rsidRPr="00E57B8F" w:rsidTr="00AE7196">
        <w:tc>
          <w:tcPr>
            <w:tcW w:w="1951" w:type="dxa"/>
            <w:hideMark/>
          </w:tcPr>
          <w:p w:rsidR="00400561" w:rsidRPr="00E57B8F" w:rsidRDefault="00400561" w:rsidP="00E57B8F">
            <w:pPr>
              <w:rPr>
                <w:sz w:val="18"/>
                <w:szCs w:val="18"/>
              </w:rPr>
            </w:pPr>
            <w:proofErr w:type="spellStart"/>
            <w:r w:rsidRPr="00E57B8F">
              <w:rPr>
                <w:sz w:val="18"/>
                <w:szCs w:val="18"/>
              </w:rPr>
              <w:t>Breslow</w:t>
            </w:r>
            <w:proofErr w:type="spellEnd"/>
            <w:r w:rsidRPr="00E57B8F">
              <w:rPr>
                <w:sz w:val="18"/>
                <w:szCs w:val="18"/>
              </w:rPr>
              <w:t>-Day test p-value</w:t>
            </w:r>
            <w:r w:rsidRPr="00E57B8F">
              <w:rPr>
                <w:sz w:val="18"/>
                <w:szCs w:val="18"/>
                <w:vertAlign w:val="superscript"/>
              </w:rPr>
              <w:t>3</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0.65</w:t>
            </w:r>
          </w:p>
        </w:tc>
        <w:tc>
          <w:tcPr>
            <w:tcW w:w="1568" w:type="dxa"/>
            <w:hideMark/>
          </w:tcPr>
          <w:p w:rsidR="00400561" w:rsidRPr="00E57B8F" w:rsidRDefault="00400561" w:rsidP="00E57B8F">
            <w:pPr>
              <w:rPr>
                <w:sz w:val="18"/>
                <w:szCs w:val="18"/>
              </w:rPr>
            </w:pPr>
            <w:r w:rsidRPr="00E57B8F">
              <w:rPr>
                <w:sz w:val="18"/>
                <w:szCs w:val="18"/>
              </w:rPr>
              <w:t>0.43</w:t>
            </w:r>
          </w:p>
        </w:tc>
        <w:tc>
          <w:tcPr>
            <w:tcW w:w="1657" w:type="dxa"/>
            <w:hideMark/>
          </w:tcPr>
          <w:p w:rsidR="00400561" w:rsidRPr="00E57B8F" w:rsidRDefault="00400561" w:rsidP="00E57B8F">
            <w:pPr>
              <w:rPr>
                <w:sz w:val="18"/>
                <w:szCs w:val="18"/>
              </w:rPr>
            </w:pPr>
            <w:r w:rsidRPr="00E57B8F">
              <w:rPr>
                <w:sz w:val="18"/>
                <w:szCs w:val="18"/>
              </w:rPr>
              <w:t>0.96</w:t>
            </w:r>
          </w:p>
        </w:tc>
      </w:tr>
      <w:tr w:rsidR="00400561" w:rsidRPr="00E57B8F" w:rsidTr="00AE7196">
        <w:trPr>
          <w:trHeight w:val="283"/>
        </w:trPr>
        <w:tc>
          <w:tcPr>
            <w:tcW w:w="8720" w:type="dxa"/>
            <w:gridSpan w:val="5"/>
            <w:hideMark/>
          </w:tcPr>
          <w:p w:rsidR="00400561" w:rsidRPr="00E57B8F" w:rsidRDefault="00400561" w:rsidP="00E57B8F">
            <w:pPr>
              <w:pStyle w:val="TableHeading2"/>
            </w:pPr>
            <w:r w:rsidRPr="00E57B8F">
              <w:t>Week 8</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 xml:space="preserve">Controlled </w:t>
            </w:r>
          </w:p>
        </w:tc>
        <w:tc>
          <w:tcPr>
            <w:tcW w:w="1701" w:type="dxa"/>
            <w:hideMark/>
          </w:tcPr>
          <w:p w:rsidR="00400561" w:rsidRPr="00E57B8F" w:rsidRDefault="00400561" w:rsidP="00E57B8F">
            <w:pPr>
              <w:rPr>
                <w:sz w:val="18"/>
                <w:szCs w:val="18"/>
              </w:rPr>
            </w:pPr>
            <w:r w:rsidRPr="00E57B8F">
              <w:rPr>
                <w:sz w:val="18"/>
                <w:szCs w:val="18"/>
              </w:rPr>
              <w:t>140 (29.0)</w:t>
            </w:r>
          </w:p>
        </w:tc>
        <w:tc>
          <w:tcPr>
            <w:tcW w:w="1843" w:type="dxa"/>
            <w:hideMark/>
          </w:tcPr>
          <w:p w:rsidR="00400561" w:rsidRPr="00E57B8F" w:rsidRDefault="00400561" w:rsidP="00E57B8F">
            <w:pPr>
              <w:rPr>
                <w:sz w:val="18"/>
                <w:szCs w:val="18"/>
              </w:rPr>
            </w:pPr>
            <w:r w:rsidRPr="00E57B8F">
              <w:rPr>
                <w:sz w:val="18"/>
                <w:szCs w:val="18"/>
              </w:rPr>
              <w:t>103 (21.5)</w:t>
            </w:r>
          </w:p>
        </w:tc>
        <w:tc>
          <w:tcPr>
            <w:tcW w:w="1568" w:type="dxa"/>
            <w:hideMark/>
          </w:tcPr>
          <w:p w:rsidR="00400561" w:rsidRPr="00E57B8F" w:rsidRDefault="00400561" w:rsidP="00E57B8F">
            <w:pPr>
              <w:rPr>
                <w:sz w:val="18"/>
                <w:szCs w:val="18"/>
              </w:rPr>
            </w:pPr>
            <w:r w:rsidRPr="00E57B8F">
              <w:rPr>
                <w:sz w:val="18"/>
                <w:szCs w:val="18"/>
              </w:rPr>
              <w:t>14 (14.6)</w:t>
            </w:r>
          </w:p>
        </w:tc>
        <w:tc>
          <w:tcPr>
            <w:tcW w:w="1657" w:type="dxa"/>
            <w:hideMark/>
          </w:tcPr>
          <w:p w:rsidR="00400561" w:rsidRPr="00E57B8F" w:rsidRDefault="00400561" w:rsidP="00E57B8F">
            <w:pPr>
              <w:rPr>
                <w:sz w:val="18"/>
                <w:szCs w:val="18"/>
              </w:rPr>
            </w:pPr>
            <w:r w:rsidRPr="00E57B8F">
              <w:rPr>
                <w:sz w:val="18"/>
                <w:szCs w:val="18"/>
              </w:rPr>
              <w:t>6 (6.3)</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Non-controlled</w:t>
            </w:r>
          </w:p>
        </w:tc>
        <w:tc>
          <w:tcPr>
            <w:tcW w:w="1701" w:type="dxa"/>
            <w:hideMark/>
          </w:tcPr>
          <w:p w:rsidR="00400561" w:rsidRPr="00E57B8F" w:rsidRDefault="00400561" w:rsidP="00E57B8F">
            <w:pPr>
              <w:rPr>
                <w:sz w:val="18"/>
                <w:szCs w:val="18"/>
              </w:rPr>
            </w:pPr>
            <w:r w:rsidRPr="00E57B8F">
              <w:rPr>
                <w:sz w:val="18"/>
                <w:szCs w:val="18"/>
              </w:rPr>
              <w:t>342 (71.0)</w:t>
            </w:r>
          </w:p>
        </w:tc>
        <w:tc>
          <w:tcPr>
            <w:tcW w:w="1843" w:type="dxa"/>
            <w:hideMark/>
          </w:tcPr>
          <w:p w:rsidR="00400561" w:rsidRPr="00E57B8F" w:rsidRDefault="00400561" w:rsidP="00E57B8F">
            <w:pPr>
              <w:rPr>
                <w:sz w:val="18"/>
                <w:szCs w:val="18"/>
              </w:rPr>
            </w:pPr>
            <w:r w:rsidRPr="00E57B8F">
              <w:rPr>
                <w:sz w:val="18"/>
                <w:szCs w:val="18"/>
              </w:rPr>
              <w:t>376 (78.5)</w:t>
            </w:r>
          </w:p>
        </w:tc>
        <w:tc>
          <w:tcPr>
            <w:tcW w:w="1568" w:type="dxa"/>
            <w:hideMark/>
          </w:tcPr>
          <w:p w:rsidR="00400561" w:rsidRPr="00E57B8F" w:rsidRDefault="00400561" w:rsidP="00E57B8F">
            <w:pPr>
              <w:rPr>
                <w:sz w:val="18"/>
                <w:szCs w:val="18"/>
              </w:rPr>
            </w:pPr>
            <w:r w:rsidRPr="00E57B8F">
              <w:rPr>
                <w:sz w:val="18"/>
                <w:szCs w:val="18"/>
              </w:rPr>
              <w:t>82 (85.4)</w:t>
            </w:r>
          </w:p>
        </w:tc>
        <w:tc>
          <w:tcPr>
            <w:tcW w:w="1657" w:type="dxa"/>
            <w:hideMark/>
          </w:tcPr>
          <w:p w:rsidR="00400561" w:rsidRPr="00E57B8F" w:rsidRDefault="00400561" w:rsidP="00E57B8F">
            <w:pPr>
              <w:rPr>
                <w:sz w:val="18"/>
                <w:szCs w:val="18"/>
              </w:rPr>
            </w:pPr>
            <w:r w:rsidRPr="00E57B8F">
              <w:rPr>
                <w:sz w:val="18"/>
                <w:szCs w:val="18"/>
              </w:rPr>
              <w:t>89 (93.7)</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Total</w:t>
            </w:r>
          </w:p>
        </w:tc>
        <w:tc>
          <w:tcPr>
            <w:tcW w:w="1701" w:type="dxa"/>
            <w:hideMark/>
          </w:tcPr>
          <w:p w:rsidR="00400561" w:rsidRPr="00E57B8F" w:rsidRDefault="00400561" w:rsidP="00E57B8F">
            <w:pPr>
              <w:rPr>
                <w:sz w:val="18"/>
                <w:szCs w:val="18"/>
              </w:rPr>
            </w:pPr>
            <w:r w:rsidRPr="00E57B8F">
              <w:rPr>
                <w:sz w:val="18"/>
                <w:szCs w:val="18"/>
              </w:rPr>
              <w:t>482 (100.0)</w:t>
            </w:r>
          </w:p>
        </w:tc>
        <w:tc>
          <w:tcPr>
            <w:tcW w:w="1843" w:type="dxa"/>
            <w:hideMark/>
          </w:tcPr>
          <w:p w:rsidR="00400561" w:rsidRPr="00E57B8F" w:rsidRDefault="00400561" w:rsidP="00E57B8F">
            <w:pPr>
              <w:rPr>
                <w:sz w:val="18"/>
                <w:szCs w:val="18"/>
              </w:rPr>
            </w:pPr>
            <w:r w:rsidRPr="00E57B8F">
              <w:rPr>
                <w:sz w:val="18"/>
                <w:szCs w:val="18"/>
              </w:rPr>
              <w:t>479 (100.0)</w:t>
            </w:r>
          </w:p>
        </w:tc>
        <w:tc>
          <w:tcPr>
            <w:tcW w:w="1568" w:type="dxa"/>
            <w:hideMark/>
          </w:tcPr>
          <w:p w:rsidR="00400561" w:rsidRPr="00E57B8F" w:rsidRDefault="00400561" w:rsidP="00E57B8F">
            <w:pPr>
              <w:rPr>
                <w:sz w:val="18"/>
                <w:szCs w:val="18"/>
              </w:rPr>
            </w:pPr>
            <w:r w:rsidRPr="00E57B8F">
              <w:rPr>
                <w:sz w:val="18"/>
                <w:szCs w:val="18"/>
              </w:rPr>
              <w:t>96 (100.0)</w:t>
            </w:r>
          </w:p>
        </w:tc>
        <w:tc>
          <w:tcPr>
            <w:tcW w:w="1657" w:type="dxa"/>
            <w:hideMark/>
          </w:tcPr>
          <w:p w:rsidR="00400561" w:rsidRPr="00E57B8F" w:rsidRDefault="00400561" w:rsidP="00E57B8F">
            <w:pPr>
              <w:rPr>
                <w:sz w:val="18"/>
                <w:szCs w:val="18"/>
              </w:rPr>
            </w:pPr>
            <w:r w:rsidRPr="00E57B8F">
              <w:rPr>
                <w:sz w:val="18"/>
                <w:szCs w:val="18"/>
              </w:rPr>
              <w:t>95 (100.0)</w:t>
            </w:r>
          </w:p>
        </w:tc>
      </w:tr>
      <w:tr w:rsidR="00400561" w:rsidRPr="00E57B8F" w:rsidTr="00AE7196">
        <w:tc>
          <w:tcPr>
            <w:tcW w:w="8720" w:type="dxa"/>
            <w:gridSpan w:val="5"/>
            <w:hideMark/>
          </w:tcPr>
          <w:p w:rsidR="00400561" w:rsidRPr="00E57B8F" w:rsidRDefault="00400561" w:rsidP="00E57B8F">
            <w:pPr>
              <w:pStyle w:val="TableHeading2"/>
            </w:pPr>
            <w:r w:rsidRPr="00E57B8F">
              <w:t>Statistical analysis</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Difference (%)</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7.5</w:t>
            </w:r>
          </w:p>
        </w:tc>
        <w:tc>
          <w:tcPr>
            <w:tcW w:w="1568" w:type="dxa"/>
            <w:hideMark/>
          </w:tcPr>
          <w:p w:rsidR="00400561" w:rsidRPr="00E57B8F" w:rsidRDefault="00400561" w:rsidP="00E57B8F">
            <w:pPr>
              <w:rPr>
                <w:sz w:val="18"/>
                <w:szCs w:val="18"/>
              </w:rPr>
            </w:pPr>
            <w:r w:rsidRPr="00E57B8F">
              <w:rPr>
                <w:sz w:val="18"/>
                <w:szCs w:val="18"/>
              </w:rPr>
              <w:t>14.5</w:t>
            </w:r>
          </w:p>
        </w:tc>
        <w:tc>
          <w:tcPr>
            <w:tcW w:w="1657" w:type="dxa"/>
            <w:hideMark/>
          </w:tcPr>
          <w:p w:rsidR="00400561" w:rsidRPr="00E57B8F" w:rsidRDefault="00400561" w:rsidP="00E57B8F">
            <w:pPr>
              <w:rPr>
                <w:sz w:val="18"/>
                <w:szCs w:val="18"/>
              </w:rPr>
            </w:pPr>
            <w:r w:rsidRPr="00E57B8F">
              <w:rPr>
                <w:sz w:val="18"/>
                <w:szCs w:val="18"/>
              </w:rPr>
              <w:t>22.7</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95% CI</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2.1 to 13.0</w:t>
            </w:r>
          </w:p>
        </w:tc>
        <w:tc>
          <w:tcPr>
            <w:tcW w:w="1568" w:type="dxa"/>
            <w:hideMark/>
          </w:tcPr>
          <w:p w:rsidR="00400561" w:rsidRPr="00E57B8F" w:rsidRDefault="00400561" w:rsidP="00E57B8F">
            <w:pPr>
              <w:rPr>
                <w:sz w:val="18"/>
                <w:szCs w:val="18"/>
              </w:rPr>
            </w:pPr>
            <w:r w:rsidRPr="00E57B8F">
              <w:rPr>
                <w:sz w:val="18"/>
                <w:szCs w:val="18"/>
              </w:rPr>
              <w:t>6.3 to 22.6</w:t>
            </w:r>
          </w:p>
        </w:tc>
        <w:tc>
          <w:tcPr>
            <w:tcW w:w="1657" w:type="dxa"/>
            <w:hideMark/>
          </w:tcPr>
          <w:p w:rsidR="00400561" w:rsidRPr="00E57B8F" w:rsidRDefault="00400561" w:rsidP="00E57B8F">
            <w:pPr>
              <w:rPr>
                <w:sz w:val="18"/>
                <w:szCs w:val="18"/>
              </w:rPr>
            </w:pPr>
            <w:r w:rsidRPr="00E57B8F">
              <w:rPr>
                <w:sz w:val="18"/>
                <w:szCs w:val="18"/>
              </w:rPr>
              <w:t>16.4 to 29.1</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Odds ratio</w:t>
            </w:r>
            <w:r w:rsidRPr="00E57B8F">
              <w:rPr>
                <w:sz w:val="18"/>
                <w:szCs w:val="18"/>
                <w:vertAlign w:val="superscript"/>
              </w:rPr>
              <w:t>1</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1.5</w:t>
            </w:r>
          </w:p>
        </w:tc>
        <w:tc>
          <w:tcPr>
            <w:tcW w:w="1568" w:type="dxa"/>
            <w:hideMark/>
          </w:tcPr>
          <w:p w:rsidR="00400561" w:rsidRPr="00E57B8F" w:rsidRDefault="00400561" w:rsidP="00E57B8F">
            <w:pPr>
              <w:rPr>
                <w:sz w:val="18"/>
                <w:szCs w:val="18"/>
              </w:rPr>
            </w:pPr>
            <w:r w:rsidRPr="00E57B8F">
              <w:rPr>
                <w:sz w:val="18"/>
                <w:szCs w:val="18"/>
              </w:rPr>
              <w:t>2.8</w:t>
            </w:r>
          </w:p>
        </w:tc>
        <w:tc>
          <w:tcPr>
            <w:tcW w:w="1657" w:type="dxa"/>
            <w:hideMark/>
          </w:tcPr>
          <w:p w:rsidR="00400561" w:rsidRPr="00E57B8F" w:rsidRDefault="00400561" w:rsidP="00E57B8F">
            <w:pPr>
              <w:rPr>
                <w:sz w:val="18"/>
                <w:szCs w:val="18"/>
              </w:rPr>
            </w:pPr>
            <w:r w:rsidRPr="00E57B8F">
              <w:rPr>
                <w:sz w:val="18"/>
                <w:szCs w:val="18"/>
              </w:rPr>
              <w:t>7.5</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95% CI</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1.1 to 2.0</w:t>
            </w:r>
          </w:p>
        </w:tc>
        <w:tc>
          <w:tcPr>
            <w:tcW w:w="1568" w:type="dxa"/>
            <w:hideMark/>
          </w:tcPr>
          <w:p w:rsidR="00400561" w:rsidRPr="00E57B8F" w:rsidRDefault="00400561" w:rsidP="00E57B8F">
            <w:pPr>
              <w:rPr>
                <w:sz w:val="18"/>
                <w:szCs w:val="18"/>
              </w:rPr>
            </w:pPr>
            <w:r w:rsidRPr="00E57B8F">
              <w:rPr>
                <w:sz w:val="18"/>
                <w:szCs w:val="18"/>
              </w:rPr>
              <w:t>1.5 to 5.3</w:t>
            </w:r>
          </w:p>
        </w:tc>
        <w:tc>
          <w:tcPr>
            <w:tcW w:w="1657" w:type="dxa"/>
            <w:hideMark/>
          </w:tcPr>
          <w:p w:rsidR="00400561" w:rsidRPr="00E57B8F" w:rsidRDefault="00400561" w:rsidP="00E57B8F">
            <w:pPr>
              <w:rPr>
                <w:sz w:val="18"/>
                <w:szCs w:val="18"/>
              </w:rPr>
            </w:pPr>
            <w:r w:rsidRPr="00E57B8F">
              <w:rPr>
                <w:sz w:val="18"/>
                <w:szCs w:val="18"/>
              </w:rPr>
              <w:t>3.0 to 18.8</w:t>
            </w:r>
          </w:p>
        </w:tc>
      </w:tr>
      <w:tr w:rsidR="00400561" w:rsidRPr="00E57B8F" w:rsidTr="00AE7196">
        <w:tc>
          <w:tcPr>
            <w:tcW w:w="1951" w:type="dxa"/>
            <w:hideMark/>
          </w:tcPr>
          <w:p w:rsidR="00400561" w:rsidRPr="00E57B8F" w:rsidRDefault="00400561" w:rsidP="00E57B8F">
            <w:pPr>
              <w:rPr>
                <w:sz w:val="18"/>
                <w:szCs w:val="18"/>
              </w:rPr>
            </w:pPr>
            <w:r w:rsidRPr="00E57B8F">
              <w:rPr>
                <w:sz w:val="18"/>
                <w:szCs w:val="18"/>
              </w:rPr>
              <w:t>CMH test p-value</w:t>
            </w:r>
            <w:r w:rsidRPr="00E57B8F">
              <w:rPr>
                <w:sz w:val="18"/>
                <w:szCs w:val="18"/>
                <w:vertAlign w:val="superscript"/>
              </w:rPr>
              <w:t>2</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0.008</w:t>
            </w:r>
          </w:p>
        </w:tc>
        <w:tc>
          <w:tcPr>
            <w:tcW w:w="1568" w:type="dxa"/>
            <w:hideMark/>
          </w:tcPr>
          <w:p w:rsidR="00400561" w:rsidRPr="00E57B8F" w:rsidRDefault="00400561" w:rsidP="00E57B8F">
            <w:pPr>
              <w:rPr>
                <w:sz w:val="18"/>
                <w:szCs w:val="18"/>
              </w:rPr>
            </w:pPr>
            <w:r w:rsidRPr="00E57B8F">
              <w:rPr>
                <w:sz w:val="18"/>
                <w:szCs w:val="18"/>
              </w:rPr>
              <w:t>0.002</w:t>
            </w:r>
          </w:p>
        </w:tc>
        <w:tc>
          <w:tcPr>
            <w:tcW w:w="1657" w:type="dxa"/>
            <w:hideMark/>
          </w:tcPr>
          <w:p w:rsidR="00400561" w:rsidRPr="00E57B8F" w:rsidRDefault="00400561" w:rsidP="00E57B8F">
            <w:pPr>
              <w:rPr>
                <w:sz w:val="18"/>
                <w:szCs w:val="18"/>
              </w:rPr>
            </w:pPr>
            <w:r w:rsidRPr="00E57B8F">
              <w:rPr>
                <w:sz w:val="18"/>
                <w:szCs w:val="18"/>
              </w:rPr>
              <w:t>&lt;0.001</w:t>
            </w:r>
          </w:p>
        </w:tc>
      </w:tr>
      <w:tr w:rsidR="00400561" w:rsidRPr="00E57B8F" w:rsidTr="00AE7196">
        <w:tc>
          <w:tcPr>
            <w:tcW w:w="1951" w:type="dxa"/>
            <w:hideMark/>
          </w:tcPr>
          <w:p w:rsidR="00400561" w:rsidRPr="00E57B8F" w:rsidRDefault="00400561" w:rsidP="00E57B8F">
            <w:pPr>
              <w:rPr>
                <w:sz w:val="18"/>
                <w:szCs w:val="18"/>
              </w:rPr>
            </w:pPr>
            <w:proofErr w:type="spellStart"/>
            <w:r w:rsidRPr="00E57B8F">
              <w:rPr>
                <w:sz w:val="18"/>
                <w:szCs w:val="18"/>
              </w:rPr>
              <w:t>Breslow</w:t>
            </w:r>
            <w:proofErr w:type="spellEnd"/>
            <w:r w:rsidRPr="00E57B8F">
              <w:rPr>
                <w:sz w:val="18"/>
                <w:szCs w:val="18"/>
              </w:rPr>
              <w:t>-Day test p-value</w:t>
            </w:r>
            <w:r w:rsidRPr="00E57B8F">
              <w:rPr>
                <w:sz w:val="18"/>
                <w:szCs w:val="18"/>
                <w:vertAlign w:val="superscript"/>
              </w:rPr>
              <w:t>3</w:t>
            </w:r>
          </w:p>
        </w:tc>
        <w:tc>
          <w:tcPr>
            <w:tcW w:w="1701" w:type="dxa"/>
          </w:tcPr>
          <w:p w:rsidR="00400561" w:rsidRPr="00E57B8F" w:rsidRDefault="00400561" w:rsidP="00E57B8F">
            <w:pPr>
              <w:rPr>
                <w:sz w:val="18"/>
                <w:szCs w:val="18"/>
              </w:rPr>
            </w:pPr>
          </w:p>
        </w:tc>
        <w:tc>
          <w:tcPr>
            <w:tcW w:w="1843" w:type="dxa"/>
            <w:hideMark/>
          </w:tcPr>
          <w:p w:rsidR="00400561" w:rsidRPr="00E57B8F" w:rsidRDefault="00400561" w:rsidP="00E57B8F">
            <w:pPr>
              <w:rPr>
                <w:sz w:val="18"/>
                <w:szCs w:val="18"/>
              </w:rPr>
            </w:pPr>
            <w:r w:rsidRPr="00E57B8F">
              <w:rPr>
                <w:sz w:val="18"/>
                <w:szCs w:val="18"/>
              </w:rPr>
              <w:t>0.56</w:t>
            </w:r>
          </w:p>
        </w:tc>
        <w:tc>
          <w:tcPr>
            <w:tcW w:w="1568" w:type="dxa"/>
            <w:hideMark/>
          </w:tcPr>
          <w:p w:rsidR="00400561" w:rsidRPr="00E57B8F" w:rsidRDefault="00400561" w:rsidP="00E57B8F">
            <w:pPr>
              <w:rPr>
                <w:sz w:val="18"/>
                <w:szCs w:val="18"/>
              </w:rPr>
            </w:pPr>
            <w:r w:rsidRPr="00E57B8F">
              <w:rPr>
                <w:sz w:val="18"/>
                <w:szCs w:val="18"/>
              </w:rPr>
              <w:t>0.94</w:t>
            </w:r>
          </w:p>
        </w:tc>
        <w:tc>
          <w:tcPr>
            <w:tcW w:w="1657" w:type="dxa"/>
            <w:hideMark/>
          </w:tcPr>
          <w:p w:rsidR="00400561" w:rsidRPr="00E57B8F" w:rsidRDefault="00400561" w:rsidP="00E57B8F">
            <w:pPr>
              <w:rPr>
                <w:sz w:val="18"/>
                <w:szCs w:val="18"/>
              </w:rPr>
            </w:pPr>
            <w:r w:rsidRPr="00E57B8F">
              <w:rPr>
                <w:sz w:val="18"/>
                <w:szCs w:val="18"/>
              </w:rPr>
              <w:t>0.98</w:t>
            </w:r>
          </w:p>
        </w:tc>
      </w:tr>
    </w:tbl>
    <w:p w:rsidR="00400561" w:rsidRPr="00400561" w:rsidRDefault="00400561" w:rsidP="00E57B8F">
      <w:pPr>
        <w:pStyle w:val="TableDescription"/>
      </w:pPr>
      <w:r w:rsidRPr="00400561">
        <w:t>1) Cochran-Mantel-</w:t>
      </w:r>
      <w:proofErr w:type="spellStart"/>
      <w:r w:rsidRPr="00400561">
        <w:t>Haenszel</w:t>
      </w:r>
      <w:proofErr w:type="spellEnd"/>
      <w:r w:rsidRPr="00400561">
        <w:t xml:space="preserve"> odds ratio for Controlled disease (Daivobet gel relative to Betamethasone gel /Calcipotriol gel/Vehicle) adjusted for pooled centre</w:t>
      </w:r>
    </w:p>
    <w:p w:rsidR="00400561" w:rsidRPr="00400561" w:rsidRDefault="00400561" w:rsidP="00E57B8F">
      <w:pPr>
        <w:pStyle w:val="TableDescription"/>
      </w:pPr>
      <w:r w:rsidRPr="00400561">
        <w:t>2) Cochran-Mantel-</w:t>
      </w:r>
      <w:proofErr w:type="spellStart"/>
      <w:r w:rsidRPr="00400561">
        <w:t>Haenszel</w:t>
      </w:r>
      <w:proofErr w:type="spellEnd"/>
      <w:r w:rsidRPr="00400561">
        <w:t xml:space="preserve"> test for the hypothesis of odds ratio equal to 1</w:t>
      </w:r>
    </w:p>
    <w:p w:rsidR="00400561" w:rsidRPr="00400561" w:rsidRDefault="00400561" w:rsidP="00E57B8F">
      <w:pPr>
        <w:pStyle w:val="TableDescription"/>
      </w:pPr>
      <w:r w:rsidRPr="00400561">
        <w:t xml:space="preserve">3) </w:t>
      </w:r>
      <w:proofErr w:type="spellStart"/>
      <w:r w:rsidRPr="00400561">
        <w:t>Breslow</w:t>
      </w:r>
      <w:proofErr w:type="spellEnd"/>
      <w:r w:rsidRPr="00400561">
        <w:t>-Day test for homogeneity of odds ratios across pooled centres</w:t>
      </w:r>
    </w:p>
    <w:bookmarkEnd w:id="260"/>
    <w:p w:rsidR="00DB2A47" w:rsidRPr="00DB2A47" w:rsidRDefault="00DB2A47" w:rsidP="00E57B8F">
      <w:r w:rsidRPr="00DB2A47">
        <w:t>The evaluator mentions that “At Week 4 Daivobet gel was statistically significantly more effective than calcipotriol gel and the gel vehicle. Because of the lack of statistical significance in the comparison with betamethasone, a formal claim of superiority could not be made at Week 4 for any of the three pair-wise comparisons.</w:t>
      </w:r>
    </w:p>
    <w:p w:rsidR="00DB2A47" w:rsidRPr="00DB2A47" w:rsidRDefault="00DB2A47" w:rsidP="00E57B8F">
      <w:r w:rsidRPr="00DB2A47">
        <w:t>At Week 8 Daivobet gel was statistically significantly more effective than betamethasone gel, calcipotriol gel and the gel vehicle”.</w:t>
      </w:r>
    </w:p>
    <w:p w:rsidR="00DB2A47" w:rsidRPr="00DB2A47" w:rsidRDefault="00DB2A47" w:rsidP="00E57B8F">
      <w:r w:rsidRPr="00DB2A47">
        <w:t xml:space="preserve">The percentage change in PASI at 4 weeks was statistically significant compared with vehicle -28.9 (95% </w:t>
      </w:r>
      <w:r w:rsidR="00AE7196">
        <w:t>confidence interval (</w:t>
      </w:r>
      <w:r w:rsidRPr="00DB2A47">
        <w:t>CI</w:t>
      </w:r>
      <w:r w:rsidR="00AE7196">
        <w:t>)</w:t>
      </w:r>
      <w:r w:rsidRPr="00DB2A47">
        <w:t>: -35.4 to -22.5) and compared with calcipotriol -16.3 (95% CI: -22.7 to -9.8). It was not statistically significantly different regarding betamethasone gel -3.9 (95% CI: -7.6 to -0.2). At 8 weeks all comparisons were statistically significant</w:t>
      </w:r>
      <w:r w:rsidR="00AE7196">
        <w:t>, that is, versus</w:t>
      </w:r>
      <w:r w:rsidRPr="00DB2A47">
        <w:t xml:space="preserve"> vehicle -34.2 (95% CI:-42.0 to -26.4); </w:t>
      </w:r>
      <w:r w:rsidR="00AE7196">
        <w:t xml:space="preserve">versus </w:t>
      </w:r>
      <w:proofErr w:type="spellStart"/>
      <w:r w:rsidRPr="00DB2A47">
        <w:t>calcipotril</w:t>
      </w:r>
      <w:proofErr w:type="spellEnd"/>
      <w:r w:rsidRPr="00DB2A47">
        <w:t xml:space="preserve"> -14.9 (95% CI:-22.7 to -7.0) and betamethasone gel -7.6 (95% CI:-12.1 to -3.1).</w:t>
      </w:r>
    </w:p>
    <w:p w:rsidR="00DB2A47" w:rsidRPr="00DB2A47" w:rsidRDefault="00DB2A47" w:rsidP="00E57B8F">
      <w:r w:rsidRPr="00DB2A47">
        <w:t xml:space="preserve">The other endpoints did not include statistical testing; the descriptive analyses are presented on pages 28 and 29. They tended to reflect the changes seen with the primary endpoint. </w:t>
      </w:r>
    </w:p>
    <w:p w:rsidR="00DB2A47" w:rsidRPr="00DB2A47" w:rsidRDefault="00DB2A47" w:rsidP="00E57B8F">
      <w:pPr>
        <w:pStyle w:val="Heading5"/>
      </w:pPr>
      <w:r w:rsidRPr="00DB2A47">
        <w:t>Study LEO80185-G21 (see 29 to 40, CER).</w:t>
      </w:r>
    </w:p>
    <w:p w:rsidR="00DB2A47" w:rsidRPr="00DB2A47" w:rsidRDefault="00DB2A47" w:rsidP="00E57B8F">
      <w:r w:rsidRPr="00DB2A47">
        <w:t>Here Daivobet gel (calcipotriol 50 µg/g as hydrate plus betamethasone 0.5 mg/g as dipropionate</w:t>
      </w:r>
      <w:r w:rsidR="00D61149">
        <w:t xml:space="preserve"> </w:t>
      </w:r>
      <w:r w:rsidRPr="00DB2A47">
        <w:t xml:space="preserve">was) was compared with </w:t>
      </w:r>
      <w:proofErr w:type="spellStart"/>
      <w:r w:rsidR="00881540">
        <w:t>t</w:t>
      </w:r>
      <w:r w:rsidRPr="00DB2A47">
        <w:t>acalcitol</w:t>
      </w:r>
      <w:proofErr w:type="spellEnd"/>
      <w:r w:rsidRPr="00DB2A47">
        <w:t xml:space="preserve"> ointment (</w:t>
      </w:r>
      <w:proofErr w:type="spellStart"/>
      <w:r w:rsidRPr="00DB2A47">
        <w:t>tacalcitol</w:t>
      </w:r>
      <w:proofErr w:type="spellEnd"/>
      <w:r w:rsidRPr="00DB2A47">
        <w:t xml:space="preserve"> 4 µg/g as monohydrate)</w:t>
      </w:r>
      <w:r w:rsidR="00D61149">
        <w:t xml:space="preserve"> </w:t>
      </w:r>
      <w:r w:rsidRPr="00DB2A47">
        <w:t xml:space="preserve">and gel vehicle alone. </w:t>
      </w:r>
      <w:proofErr w:type="spellStart"/>
      <w:r w:rsidRPr="00DB2A47">
        <w:t>Tacalcitol</w:t>
      </w:r>
      <w:proofErr w:type="spellEnd"/>
      <w:r w:rsidRPr="00DB2A47">
        <w:t xml:space="preserve"> is a vitamin D3 analogue and is not registered in Australia and thus, this study cannot be considered a pivotal study. This was a multicentre randomised (2:2:1) investigator blinded 8 week study conducted in several centres in Canada.</w:t>
      </w:r>
    </w:p>
    <w:p w:rsidR="00DB2A47" w:rsidRPr="00DB2A47" w:rsidRDefault="00DB2A47" w:rsidP="00E57B8F">
      <w:r w:rsidRPr="00DB2A47">
        <w:t>This included a washout phase and a treatment phase; (the latter was of 8 weeks duration); this was followed by an observation phase of a further 8 weeks wh</w:t>
      </w:r>
      <w:r w:rsidR="005A4CEF">
        <w:t>ere subjects were evaluated at W</w:t>
      </w:r>
      <w:r w:rsidRPr="00DB2A47">
        <w:t xml:space="preserve">eeks 10, 12 and 16 to investigate occurrence and time to relapse. There was a follow up phase of 2 weeks in those who experienced </w:t>
      </w:r>
      <w:r w:rsidR="005A4CEF">
        <w:t xml:space="preserve">AEs </w:t>
      </w:r>
      <w:r w:rsidRPr="00DB2A47">
        <w:t>on treatment.</w:t>
      </w:r>
    </w:p>
    <w:p w:rsidR="00DB2A47" w:rsidRPr="00DB2A47" w:rsidRDefault="00DB2A47" w:rsidP="00E57B8F">
      <w:r w:rsidRPr="00DB2A47">
        <w:t xml:space="preserve">Those over the ages of 18 </w:t>
      </w:r>
      <w:r w:rsidR="005A4CEF">
        <w:t xml:space="preserve">years </w:t>
      </w:r>
      <w:r w:rsidRPr="00DB2A47">
        <w:t>with IGA of moderate, severe or very severe psoriasis were eligible to participate. Exclusion criteria were similar to the previous study.</w:t>
      </w:r>
    </w:p>
    <w:p w:rsidR="00DB2A47" w:rsidRPr="00DB2A47" w:rsidRDefault="00DB2A47" w:rsidP="00E57B8F">
      <w:r w:rsidRPr="00DB2A47">
        <w:t>The treatment was administered once daily.</w:t>
      </w:r>
    </w:p>
    <w:p w:rsidR="00DB2A47" w:rsidRPr="00DB2A47" w:rsidRDefault="00DB2A47" w:rsidP="00E57B8F">
      <w:r w:rsidRPr="00DB2A47">
        <w:t xml:space="preserve">The primary efficacy outcome was those with controlled disease </w:t>
      </w:r>
      <w:r w:rsidR="005A4CEF">
        <w:t>according to IGA at W</w:t>
      </w:r>
      <w:r w:rsidRPr="00DB2A47">
        <w:t xml:space="preserve">eek 8. Other efficacy outcomes also included endpoints that assessed relapse and rebound. </w:t>
      </w:r>
    </w:p>
    <w:p w:rsidR="00DB2A47" w:rsidRPr="00DB2A47" w:rsidRDefault="00DB2A47" w:rsidP="00E57B8F">
      <w:r w:rsidRPr="00DB2A47">
        <w:t xml:space="preserve">The evaluator mentions that, “the sample size calculation assumed that 28% of subjects in the Daivobet gel treatment group, 15% of the subjects in the </w:t>
      </w:r>
      <w:proofErr w:type="spellStart"/>
      <w:r w:rsidRPr="00DB2A47">
        <w:t>tacalcitol</w:t>
      </w:r>
      <w:proofErr w:type="spellEnd"/>
      <w:r w:rsidRPr="00DB2A47">
        <w:t xml:space="preserve"> ointment treatment group and 5% of the subjects in the gel vehicle treatment group had ‘controlled disease’ and that a two-tailed significance level, α of 0.05 was used. With 180 subjects in the </w:t>
      </w:r>
      <w:proofErr w:type="spellStart"/>
      <w:r w:rsidRPr="00DB2A47">
        <w:t>Daivobet</w:t>
      </w:r>
      <w:proofErr w:type="spellEnd"/>
      <w:r w:rsidRPr="00DB2A47">
        <w:t xml:space="preserve"> gel and </w:t>
      </w:r>
      <w:proofErr w:type="spellStart"/>
      <w:r w:rsidRPr="00DB2A47">
        <w:t>tacalcitol</w:t>
      </w:r>
      <w:proofErr w:type="spellEnd"/>
      <w:r w:rsidRPr="00DB2A47">
        <w:t xml:space="preserve"> treatment groups a chi-square test would have 82% power to reject the null hypothesis of no difference between the two groups regarding the primary response criterion. Likewise, with 90 subjects in the gel vehicle treatment group a chi-square test would have 99% power to reject the null hypothesis of no difference between the Daivobet gel treatment group and the gel vehicle treatment group. Thus the overall power was approximately 81%.”</w:t>
      </w:r>
    </w:p>
    <w:p w:rsidR="00DB2A47" w:rsidRPr="00DB2A47" w:rsidRDefault="00DB2A47" w:rsidP="00E57B8F">
      <w:r w:rsidRPr="00DB2A47">
        <w:t xml:space="preserve">The study was designed to show superiority of Daivobet gel over vehicle; and superiority over </w:t>
      </w:r>
      <w:proofErr w:type="spellStart"/>
      <w:r w:rsidR="00881540">
        <w:t>t</w:t>
      </w:r>
      <w:r w:rsidRPr="00DB2A47">
        <w:t>acalcitol</w:t>
      </w:r>
      <w:proofErr w:type="spellEnd"/>
      <w:r w:rsidRPr="00DB2A47">
        <w:t xml:space="preserve"> ointment, for the proportion of subject</w:t>
      </w:r>
      <w:r w:rsidR="005A4CEF">
        <w:t>s with ‘controlled disease’ at W</w:t>
      </w:r>
      <w:r w:rsidRPr="00DB2A47">
        <w:t>eek 8 according to the IGA.</w:t>
      </w:r>
    </w:p>
    <w:p w:rsidR="00DB2A47" w:rsidRPr="00DB2A47" w:rsidRDefault="00DB2A47" w:rsidP="00E57B8F">
      <w:r w:rsidRPr="00DB2A47">
        <w:t>The subj</w:t>
      </w:r>
      <w:r w:rsidR="005A4CEF">
        <w:t xml:space="preserve">ect number randomised was 458; </w:t>
      </w:r>
      <w:r w:rsidRPr="00DB2A47">
        <w:t>Daivobet</w:t>
      </w:r>
      <w:r w:rsidR="005A4CEF">
        <w:t xml:space="preserve"> gel group n=</w:t>
      </w:r>
      <w:r w:rsidRPr="00DB2A47">
        <w:t>1</w:t>
      </w:r>
      <w:r w:rsidR="005A4CEF">
        <w:t xml:space="preserve">83; </w:t>
      </w:r>
      <w:proofErr w:type="spellStart"/>
      <w:r w:rsidR="00881540">
        <w:t>t</w:t>
      </w:r>
      <w:r w:rsidR="005A4CEF">
        <w:t>acalcitol</w:t>
      </w:r>
      <w:proofErr w:type="spellEnd"/>
      <w:r w:rsidR="005A4CEF">
        <w:t xml:space="preserve"> group n=184 and </w:t>
      </w:r>
      <w:r w:rsidRPr="00DB2A47">
        <w:t>in the gel vehicle group n= 91. 60 subjects withdrew.</w:t>
      </w:r>
    </w:p>
    <w:p w:rsidR="00DB2A47" w:rsidRPr="00DB2A47" w:rsidRDefault="00DB2A47" w:rsidP="00E57B8F">
      <w:r w:rsidRPr="00DB2A47">
        <w:t>The mean age of the subjects was 51.6 (</w:t>
      </w:r>
      <w:r w:rsidR="005A4CEF">
        <w:t xml:space="preserve">standard deviation (SD) </w:t>
      </w:r>
      <w:r w:rsidRPr="00DB2A47">
        <w:t>14.0</w:t>
      </w:r>
      <w:r w:rsidR="005A4CEF">
        <w:t xml:space="preserve">) years; duration of psoriasis was </w:t>
      </w:r>
      <w:r w:rsidRPr="00DB2A47">
        <w:t>19.8 years (</w:t>
      </w:r>
      <w:r w:rsidR="005A4CEF">
        <w:t xml:space="preserve">SD </w:t>
      </w:r>
      <w:r w:rsidRPr="00DB2A47">
        <w:t>13.3); IGA status</w:t>
      </w:r>
      <w:r w:rsidR="005A4CEF">
        <w:t>:</w:t>
      </w:r>
      <w:r w:rsidRPr="00DB2A47">
        <w:t xml:space="preserve"> moderate 68.3%; severe 29.5%; very severe 2.2%. </w:t>
      </w:r>
    </w:p>
    <w:p w:rsidR="00DB2A47" w:rsidRPr="00DB2A47" w:rsidRDefault="00DB2A47" w:rsidP="00E57B8F">
      <w:r w:rsidRPr="00DB2A47">
        <w:t>The primary efficacy outcome was subjects with ‘controlle</w:t>
      </w:r>
      <w:r w:rsidR="005A4CEF">
        <w:t>d disease’ according to IGA at W</w:t>
      </w:r>
      <w:r w:rsidRPr="00DB2A47">
        <w:t>eek 8.</w:t>
      </w:r>
    </w:p>
    <w:p w:rsidR="00DB2A47" w:rsidRPr="00DB2A47" w:rsidRDefault="00DB2A47" w:rsidP="00E57B8F">
      <w:r w:rsidRPr="00DB2A47">
        <w:t xml:space="preserve">The proportion of subjects who achieved ‘controlled disease’ at </w:t>
      </w:r>
      <w:r w:rsidR="005A4CEF">
        <w:t>W</w:t>
      </w:r>
      <w:r w:rsidRPr="00DB2A47">
        <w:t xml:space="preserve">eek 8 (LOCF) in the Daivobet gel group was 39.9% compared with 5.5% in the gel vehicle group and 17.9% in the </w:t>
      </w:r>
      <w:proofErr w:type="spellStart"/>
      <w:r w:rsidRPr="00DB2A47">
        <w:t>tacalcitol</w:t>
      </w:r>
      <w:proofErr w:type="spellEnd"/>
      <w:r w:rsidRPr="00DB2A47">
        <w:t xml:space="preserve"> group. Daivobet gel was statistically significantly more effective than the gel vehicle (</w:t>
      </w:r>
      <w:r w:rsidR="005A4CEF">
        <w:t>odds ratio (</w:t>
      </w:r>
      <w:r w:rsidRPr="00DB2A47">
        <w:t>OR</w:t>
      </w:r>
      <w:r w:rsidR="005A4CEF">
        <w:t>)</w:t>
      </w:r>
      <w:r w:rsidRPr="00DB2A47">
        <w:t xml:space="preserve"> 13.9, 95% CI 4.99 to 38.7; p&lt;0.001) and the sequential test versus </w:t>
      </w:r>
      <w:proofErr w:type="spellStart"/>
      <w:r w:rsidRPr="00DB2A47">
        <w:t>tacalcitol</w:t>
      </w:r>
      <w:proofErr w:type="spellEnd"/>
      <w:r w:rsidRPr="00DB2A47">
        <w:t xml:space="preserve"> also showed that Daivobet gel was statistically significantly more effective (OR 3.42, 95% CI 2.05 to 5.70; p&lt;0.001). There was no treatment by centre interaction (p&gt;0.10).</w:t>
      </w:r>
    </w:p>
    <w:p w:rsidR="00351BD6" w:rsidRDefault="00DB2A47" w:rsidP="00E57B8F">
      <w:r w:rsidRPr="00DB2A47">
        <w:t>The secondary efficacy outcomes showed similar changes. Of note, the changes in the PASI is given below.</w:t>
      </w:r>
    </w:p>
    <w:p w:rsidR="00351BD6" w:rsidRDefault="00351BD6">
      <w:pPr>
        <w:spacing w:before="0" w:after="200" w:line="0" w:lineRule="auto"/>
      </w:pPr>
      <w:r>
        <w:br w:type="page"/>
      </w:r>
    </w:p>
    <w:p w:rsidR="00DB2A47" w:rsidRDefault="00DB2A47" w:rsidP="00E57B8F">
      <w:pPr>
        <w:pStyle w:val="FigureTitle"/>
      </w:pPr>
      <w:bookmarkStart w:id="261" w:name="_Toc328467086"/>
      <w:r w:rsidRPr="00DB2A47">
        <w:t xml:space="preserve">Figure </w:t>
      </w:r>
      <w:r w:rsidR="005A4CEF">
        <w:t>1</w:t>
      </w:r>
      <w:r w:rsidR="00387BE9">
        <w:t xml:space="preserve">. </w:t>
      </w:r>
      <w:r w:rsidRPr="00DB2A47">
        <w:t>Study LEO80185-G21 Percentage and actual change in PASI during study</w:t>
      </w:r>
      <w:bookmarkEnd w:id="261"/>
    </w:p>
    <w:p w:rsidR="000758EA" w:rsidRDefault="00D61149" w:rsidP="00E57B8F">
      <w:r>
        <w:rPr>
          <w:noProof/>
          <w:lang w:eastAsia="en-AU"/>
        </w:rPr>
        <w:drawing>
          <wp:inline distT="0" distB="0" distL="0" distR="0">
            <wp:extent cx="5402035" cy="1856014"/>
            <wp:effectExtent l="19050" t="0" r="8165" b="0"/>
            <wp:docPr id="46" name="Picture 46" descr="Figure 1. Study LEO80185-G21 Percentage and actual change in PASI during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t="1445"/>
                    <a:stretch>
                      <a:fillRect/>
                    </a:stretch>
                  </pic:blipFill>
                  <pic:spPr bwMode="auto">
                    <a:xfrm>
                      <a:off x="0" y="0"/>
                      <a:ext cx="5402035" cy="1856014"/>
                    </a:xfrm>
                    <a:prstGeom prst="rect">
                      <a:avLst/>
                    </a:prstGeom>
                    <a:noFill/>
                    <a:ln w="9525">
                      <a:noFill/>
                      <a:miter lim="800000"/>
                      <a:headEnd/>
                      <a:tailEnd/>
                    </a:ln>
                  </pic:spPr>
                </pic:pic>
              </a:graphicData>
            </a:graphic>
          </wp:inline>
        </w:drawing>
      </w:r>
    </w:p>
    <w:p w:rsidR="00DB2A47" w:rsidRPr="00DB2A47" w:rsidRDefault="00DB2A47" w:rsidP="00E57B8F">
      <w:r w:rsidRPr="00D61149">
        <w:rPr>
          <w:i/>
        </w:rPr>
        <w:t>Relapse:</w:t>
      </w:r>
      <w:r w:rsidRPr="00DB2A47">
        <w:t xml:space="preserve"> The evaluator mentions that ‘relapse’ is defined as a reduction in PASI improvement from baseline by at least 50% among subjects with ‘controlled disease’ at </w:t>
      </w:r>
      <w:r w:rsidR="005A4CEF">
        <w:t>W</w:t>
      </w:r>
      <w:r w:rsidRPr="00DB2A47">
        <w:t>eek 8.</w:t>
      </w:r>
    </w:p>
    <w:p w:rsidR="00DB2A47" w:rsidRPr="00DB2A47" w:rsidRDefault="00DB2A47" w:rsidP="00E57B8F">
      <w:r w:rsidRPr="00DB2A47">
        <w:t xml:space="preserve">It is stated that, “at the end of the treatment phase 67 subjects in the Daivobet gel group, 31 in the </w:t>
      </w:r>
      <w:proofErr w:type="spellStart"/>
      <w:r w:rsidRPr="00DB2A47">
        <w:t>tacalcitol</w:t>
      </w:r>
      <w:proofErr w:type="spellEnd"/>
      <w:r w:rsidRPr="00DB2A47">
        <w:t xml:space="preserve"> group and 5 subjects in the gel vehicle group had ‘controlled disease’ and entered the observation phase”.</w:t>
      </w:r>
      <w:r w:rsidR="005A4CEF">
        <w:t xml:space="preserve"> </w:t>
      </w:r>
      <w:r w:rsidRPr="00DB2A47">
        <w:t>The following results are extracted from the CER.</w:t>
      </w:r>
    </w:p>
    <w:p w:rsidR="00387BE9" w:rsidRPr="00387BE9" w:rsidRDefault="00387BE9" w:rsidP="00E57B8F">
      <w:pPr>
        <w:pStyle w:val="TableTitle"/>
      </w:pPr>
      <w:bookmarkStart w:id="262" w:name="_Toc342054235"/>
      <w:r>
        <w:t xml:space="preserve">Table </w:t>
      </w:r>
      <w:r w:rsidR="006C2B37">
        <w:t>11</w:t>
      </w:r>
      <w:r w:rsidRPr="00387BE9">
        <w:t>. Study LEO80185-G21 Development of relapse during observation period</w:t>
      </w:r>
      <w:bookmarkEnd w:id="262"/>
    </w:p>
    <w:tbl>
      <w:tblPr>
        <w:tblStyle w:val="TableTGAblue"/>
        <w:tblW w:w="8472" w:type="dxa"/>
        <w:tblLayout w:type="fixed"/>
        <w:tblLook w:val="04A0"/>
      </w:tblPr>
      <w:tblGrid>
        <w:gridCol w:w="2802"/>
        <w:gridCol w:w="1842"/>
        <w:gridCol w:w="1985"/>
        <w:gridCol w:w="1843"/>
      </w:tblGrid>
      <w:tr w:rsidR="0094746F" w:rsidRPr="00E57B8F" w:rsidTr="00E57B8F">
        <w:trPr>
          <w:cnfStyle w:val="100000000000"/>
          <w:cantSplit/>
          <w:tblHeader/>
        </w:trPr>
        <w:tc>
          <w:tcPr>
            <w:tcW w:w="2802" w:type="dxa"/>
            <w:vMerge w:val="restart"/>
            <w:vAlign w:val="center"/>
          </w:tcPr>
          <w:p w:rsidR="0094746F" w:rsidRPr="00E57B8F" w:rsidRDefault="0094746F" w:rsidP="00E57B8F">
            <w:pPr>
              <w:rPr>
                <w:sz w:val="18"/>
                <w:szCs w:val="18"/>
              </w:rPr>
            </w:pPr>
            <w:r w:rsidRPr="00E57B8F">
              <w:rPr>
                <w:sz w:val="18"/>
                <w:szCs w:val="18"/>
              </w:rPr>
              <w:t>Relapse</w:t>
            </w:r>
            <w:r w:rsidRPr="00E57B8F">
              <w:rPr>
                <w:sz w:val="18"/>
                <w:szCs w:val="18"/>
                <w:vertAlign w:val="superscript"/>
              </w:rPr>
              <w:t>1</w:t>
            </w:r>
          </w:p>
        </w:tc>
        <w:tc>
          <w:tcPr>
            <w:tcW w:w="1842" w:type="dxa"/>
            <w:hideMark/>
          </w:tcPr>
          <w:p w:rsidR="0094746F" w:rsidRPr="00E57B8F" w:rsidRDefault="0094746F" w:rsidP="00E57B8F">
            <w:pPr>
              <w:rPr>
                <w:sz w:val="18"/>
                <w:szCs w:val="18"/>
              </w:rPr>
            </w:pPr>
            <w:r w:rsidRPr="00E57B8F">
              <w:rPr>
                <w:sz w:val="18"/>
                <w:szCs w:val="18"/>
              </w:rPr>
              <w:t>Daivobet Gel</w:t>
            </w:r>
          </w:p>
          <w:p w:rsidR="0094746F" w:rsidRPr="00E57B8F" w:rsidRDefault="0094746F" w:rsidP="00E57B8F">
            <w:pPr>
              <w:rPr>
                <w:sz w:val="18"/>
                <w:szCs w:val="18"/>
              </w:rPr>
            </w:pPr>
            <w:r w:rsidRPr="00E57B8F">
              <w:rPr>
                <w:sz w:val="18"/>
                <w:szCs w:val="18"/>
              </w:rPr>
              <w:t>(n=67)</w:t>
            </w:r>
          </w:p>
        </w:tc>
        <w:tc>
          <w:tcPr>
            <w:tcW w:w="1985" w:type="dxa"/>
            <w:hideMark/>
          </w:tcPr>
          <w:p w:rsidR="0094746F" w:rsidRPr="00E57B8F" w:rsidRDefault="0094746F" w:rsidP="00E57B8F">
            <w:pPr>
              <w:rPr>
                <w:sz w:val="18"/>
                <w:szCs w:val="18"/>
              </w:rPr>
            </w:pPr>
            <w:proofErr w:type="spellStart"/>
            <w:r w:rsidRPr="00E57B8F">
              <w:rPr>
                <w:sz w:val="18"/>
                <w:szCs w:val="18"/>
              </w:rPr>
              <w:t>Tacalcitol</w:t>
            </w:r>
            <w:proofErr w:type="spellEnd"/>
          </w:p>
          <w:p w:rsidR="0094746F" w:rsidRPr="00E57B8F" w:rsidRDefault="0094746F" w:rsidP="00E57B8F">
            <w:pPr>
              <w:rPr>
                <w:sz w:val="18"/>
                <w:szCs w:val="18"/>
              </w:rPr>
            </w:pPr>
            <w:r w:rsidRPr="00E57B8F">
              <w:rPr>
                <w:sz w:val="18"/>
                <w:szCs w:val="18"/>
              </w:rPr>
              <w:t>(n=31)</w:t>
            </w:r>
          </w:p>
        </w:tc>
        <w:tc>
          <w:tcPr>
            <w:tcW w:w="1843" w:type="dxa"/>
            <w:hideMark/>
          </w:tcPr>
          <w:p w:rsidR="0094746F" w:rsidRPr="00E57B8F" w:rsidRDefault="0094746F" w:rsidP="00E57B8F">
            <w:pPr>
              <w:rPr>
                <w:sz w:val="18"/>
                <w:szCs w:val="18"/>
              </w:rPr>
            </w:pPr>
            <w:r w:rsidRPr="00E57B8F">
              <w:rPr>
                <w:sz w:val="18"/>
                <w:szCs w:val="18"/>
              </w:rPr>
              <w:t>Gel Vehicle</w:t>
            </w:r>
          </w:p>
          <w:p w:rsidR="0094746F" w:rsidRPr="00E57B8F" w:rsidRDefault="0094746F" w:rsidP="00E57B8F">
            <w:pPr>
              <w:rPr>
                <w:sz w:val="18"/>
                <w:szCs w:val="18"/>
              </w:rPr>
            </w:pPr>
            <w:r w:rsidRPr="00E57B8F">
              <w:rPr>
                <w:sz w:val="18"/>
                <w:szCs w:val="18"/>
              </w:rPr>
              <w:t>(n=5)</w:t>
            </w:r>
          </w:p>
        </w:tc>
      </w:tr>
      <w:tr w:rsidR="0094746F" w:rsidRPr="00E57B8F" w:rsidTr="005A4CEF">
        <w:trPr>
          <w:cnfStyle w:val="100000000000"/>
          <w:cantSplit/>
          <w:tblHeader/>
        </w:trPr>
        <w:tc>
          <w:tcPr>
            <w:tcW w:w="2802" w:type="dxa"/>
            <w:vMerge/>
            <w:hideMark/>
          </w:tcPr>
          <w:p w:rsidR="0094746F" w:rsidRPr="00E57B8F" w:rsidRDefault="0094746F" w:rsidP="00E57B8F">
            <w:pPr>
              <w:rPr>
                <w:sz w:val="18"/>
                <w:szCs w:val="18"/>
              </w:rPr>
            </w:pPr>
          </w:p>
        </w:tc>
        <w:tc>
          <w:tcPr>
            <w:tcW w:w="1842" w:type="dxa"/>
            <w:hideMark/>
          </w:tcPr>
          <w:p w:rsidR="0094746F" w:rsidRPr="00E57B8F" w:rsidRDefault="0094746F" w:rsidP="00E57B8F">
            <w:pPr>
              <w:rPr>
                <w:sz w:val="18"/>
                <w:szCs w:val="18"/>
              </w:rPr>
            </w:pPr>
            <w:r w:rsidRPr="00E57B8F">
              <w:rPr>
                <w:sz w:val="18"/>
                <w:szCs w:val="18"/>
              </w:rPr>
              <w:t>Number of Subjects (%)</w:t>
            </w:r>
          </w:p>
        </w:tc>
        <w:tc>
          <w:tcPr>
            <w:tcW w:w="1985" w:type="dxa"/>
            <w:hideMark/>
          </w:tcPr>
          <w:p w:rsidR="0094746F" w:rsidRPr="00E57B8F" w:rsidRDefault="0094746F" w:rsidP="00E57B8F">
            <w:pPr>
              <w:rPr>
                <w:sz w:val="18"/>
                <w:szCs w:val="18"/>
              </w:rPr>
            </w:pPr>
            <w:r w:rsidRPr="00E57B8F">
              <w:rPr>
                <w:sz w:val="18"/>
                <w:szCs w:val="18"/>
              </w:rPr>
              <w:t>Number of Subjects (%)</w:t>
            </w:r>
          </w:p>
        </w:tc>
        <w:tc>
          <w:tcPr>
            <w:tcW w:w="1843" w:type="dxa"/>
            <w:hideMark/>
          </w:tcPr>
          <w:p w:rsidR="0094746F" w:rsidRPr="00E57B8F" w:rsidRDefault="0094746F" w:rsidP="00E57B8F">
            <w:pPr>
              <w:rPr>
                <w:sz w:val="18"/>
                <w:szCs w:val="18"/>
              </w:rPr>
            </w:pPr>
            <w:r w:rsidRPr="00E57B8F">
              <w:rPr>
                <w:sz w:val="18"/>
                <w:szCs w:val="18"/>
              </w:rPr>
              <w:t>Number of Subjects (%)</w:t>
            </w:r>
          </w:p>
        </w:tc>
      </w:tr>
      <w:tr w:rsidR="00387BE9" w:rsidRPr="00E57B8F" w:rsidTr="005A4CEF">
        <w:tc>
          <w:tcPr>
            <w:tcW w:w="2802" w:type="dxa"/>
            <w:hideMark/>
          </w:tcPr>
          <w:p w:rsidR="00387BE9" w:rsidRPr="00E57B8F" w:rsidRDefault="00387BE9" w:rsidP="00E57B8F">
            <w:pPr>
              <w:rPr>
                <w:sz w:val="18"/>
                <w:szCs w:val="18"/>
              </w:rPr>
            </w:pPr>
            <w:r w:rsidRPr="00E57B8F">
              <w:rPr>
                <w:sz w:val="18"/>
                <w:szCs w:val="18"/>
              </w:rPr>
              <w:t>Relapse</w:t>
            </w:r>
          </w:p>
        </w:tc>
        <w:tc>
          <w:tcPr>
            <w:tcW w:w="1842" w:type="dxa"/>
            <w:hideMark/>
          </w:tcPr>
          <w:p w:rsidR="00387BE9" w:rsidRPr="00E57B8F" w:rsidRDefault="00387BE9" w:rsidP="00E57B8F">
            <w:pPr>
              <w:rPr>
                <w:sz w:val="18"/>
                <w:szCs w:val="18"/>
              </w:rPr>
            </w:pPr>
            <w:r w:rsidRPr="00E57B8F">
              <w:rPr>
                <w:sz w:val="18"/>
                <w:szCs w:val="18"/>
              </w:rPr>
              <w:t>28 (41.8)</w:t>
            </w:r>
          </w:p>
        </w:tc>
        <w:tc>
          <w:tcPr>
            <w:tcW w:w="1985" w:type="dxa"/>
            <w:hideMark/>
          </w:tcPr>
          <w:p w:rsidR="00387BE9" w:rsidRPr="00E57B8F" w:rsidRDefault="00387BE9" w:rsidP="00E57B8F">
            <w:pPr>
              <w:rPr>
                <w:sz w:val="18"/>
                <w:szCs w:val="18"/>
              </w:rPr>
            </w:pPr>
            <w:r w:rsidRPr="00E57B8F">
              <w:rPr>
                <w:sz w:val="18"/>
                <w:szCs w:val="18"/>
              </w:rPr>
              <w:t>7 (22.6)</w:t>
            </w:r>
          </w:p>
        </w:tc>
        <w:tc>
          <w:tcPr>
            <w:tcW w:w="1843" w:type="dxa"/>
            <w:hideMark/>
          </w:tcPr>
          <w:p w:rsidR="00387BE9" w:rsidRPr="00E57B8F" w:rsidRDefault="00387BE9" w:rsidP="00E57B8F">
            <w:pPr>
              <w:rPr>
                <w:sz w:val="18"/>
                <w:szCs w:val="18"/>
              </w:rPr>
            </w:pPr>
            <w:r w:rsidRPr="00E57B8F">
              <w:rPr>
                <w:sz w:val="18"/>
                <w:szCs w:val="18"/>
              </w:rPr>
              <w:t>3 (60.0)</w:t>
            </w:r>
          </w:p>
        </w:tc>
      </w:tr>
      <w:tr w:rsidR="00387BE9" w:rsidRPr="00E57B8F" w:rsidTr="005A4CEF">
        <w:tc>
          <w:tcPr>
            <w:tcW w:w="2802" w:type="dxa"/>
            <w:hideMark/>
          </w:tcPr>
          <w:p w:rsidR="00387BE9" w:rsidRPr="00E57B8F" w:rsidRDefault="00387BE9" w:rsidP="00E57B8F">
            <w:pPr>
              <w:rPr>
                <w:sz w:val="18"/>
                <w:szCs w:val="18"/>
              </w:rPr>
            </w:pPr>
            <w:r w:rsidRPr="00E57B8F">
              <w:rPr>
                <w:sz w:val="18"/>
                <w:szCs w:val="18"/>
              </w:rPr>
              <w:t>No Relapse</w:t>
            </w:r>
          </w:p>
        </w:tc>
        <w:tc>
          <w:tcPr>
            <w:tcW w:w="1842" w:type="dxa"/>
            <w:hideMark/>
          </w:tcPr>
          <w:p w:rsidR="00387BE9" w:rsidRPr="00E57B8F" w:rsidRDefault="00387BE9" w:rsidP="00E57B8F">
            <w:pPr>
              <w:rPr>
                <w:sz w:val="18"/>
                <w:szCs w:val="18"/>
              </w:rPr>
            </w:pPr>
            <w:r w:rsidRPr="00E57B8F">
              <w:rPr>
                <w:sz w:val="18"/>
                <w:szCs w:val="18"/>
              </w:rPr>
              <w:t>39 (58.2)</w:t>
            </w:r>
          </w:p>
        </w:tc>
        <w:tc>
          <w:tcPr>
            <w:tcW w:w="1985" w:type="dxa"/>
            <w:hideMark/>
          </w:tcPr>
          <w:p w:rsidR="00387BE9" w:rsidRPr="00E57B8F" w:rsidRDefault="00387BE9" w:rsidP="00E57B8F">
            <w:pPr>
              <w:rPr>
                <w:sz w:val="18"/>
                <w:szCs w:val="18"/>
              </w:rPr>
            </w:pPr>
            <w:r w:rsidRPr="00E57B8F">
              <w:rPr>
                <w:sz w:val="18"/>
                <w:szCs w:val="18"/>
              </w:rPr>
              <w:t>24 (77.4)</w:t>
            </w:r>
          </w:p>
        </w:tc>
        <w:tc>
          <w:tcPr>
            <w:tcW w:w="1843" w:type="dxa"/>
            <w:hideMark/>
          </w:tcPr>
          <w:p w:rsidR="00387BE9" w:rsidRPr="00E57B8F" w:rsidRDefault="00387BE9" w:rsidP="00E57B8F">
            <w:pPr>
              <w:rPr>
                <w:sz w:val="18"/>
                <w:szCs w:val="18"/>
              </w:rPr>
            </w:pPr>
            <w:r w:rsidRPr="00E57B8F">
              <w:rPr>
                <w:sz w:val="18"/>
                <w:szCs w:val="18"/>
              </w:rPr>
              <w:t>2 (40.0)</w:t>
            </w:r>
          </w:p>
        </w:tc>
      </w:tr>
      <w:tr w:rsidR="00600C48" w:rsidRPr="00E57B8F" w:rsidTr="005A4CEF">
        <w:tc>
          <w:tcPr>
            <w:tcW w:w="8472" w:type="dxa"/>
            <w:gridSpan w:val="4"/>
            <w:hideMark/>
          </w:tcPr>
          <w:p w:rsidR="00600C48" w:rsidRPr="00E57B8F" w:rsidRDefault="00600C48" w:rsidP="00E57B8F">
            <w:pPr>
              <w:pStyle w:val="TableHeading2"/>
            </w:pPr>
            <w:r w:rsidRPr="00E57B8F">
              <w:t>Kaplan-Meier estimates</w:t>
            </w:r>
            <w:r w:rsidRPr="00E57B8F">
              <w:rPr>
                <w:vertAlign w:val="superscript"/>
              </w:rPr>
              <w:t>2</w:t>
            </w:r>
          </w:p>
        </w:tc>
      </w:tr>
      <w:tr w:rsidR="00387BE9" w:rsidRPr="00E57B8F" w:rsidTr="005A4CEF">
        <w:tc>
          <w:tcPr>
            <w:tcW w:w="2802" w:type="dxa"/>
            <w:hideMark/>
          </w:tcPr>
          <w:p w:rsidR="00387BE9" w:rsidRPr="00E57B8F" w:rsidRDefault="00387BE9" w:rsidP="00E57B8F">
            <w:pPr>
              <w:rPr>
                <w:sz w:val="18"/>
                <w:szCs w:val="18"/>
              </w:rPr>
            </w:pPr>
            <w:r w:rsidRPr="00E57B8F">
              <w:rPr>
                <w:sz w:val="18"/>
                <w:szCs w:val="18"/>
              </w:rPr>
              <w:t>Median time to relapse (days)</w:t>
            </w:r>
          </w:p>
        </w:tc>
        <w:tc>
          <w:tcPr>
            <w:tcW w:w="1842" w:type="dxa"/>
            <w:hideMark/>
          </w:tcPr>
          <w:p w:rsidR="00387BE9" w:rsidRPr="00E57B8F" w:rsidRDefault="00387BE9" w:rsidP="00E57B8F">
            <w:pPr>
              <w:rPr>
                <w:sz w:val="18"/>
                <w:szCs w:val="18"/>
              </w:rPr>
            </w:pPr>
            <w:r w:rsidRPr="00E57B8F">
              <w:rPr>
                <w:sz w:val="18"/>
                <w:szCs w:val="18"/>
              </w:rPr>
              <w:t>63</w:t>
            </w:r>
          </w:p>
        </w:tc>
        <w:tc>
          <w:tcPr>
            <w:tcW w:w="1985" w:type="dxa"/>
            <w:hideMark/>
          </w:tcPr>
          <w:p w:rsidR="00387BE9" w:rsidRPr="00E57B8F" w:rsidRDefault="00387BE9" w:rsidP="00E57B8F">
            <w:pPr>
              <w:rPr>
                <w:sz w:val="18"/>
                <w:szCs w:val="18"/>
              </w:rPr>
            </w:pPr>
            <w:r w:rsidRPr="00E57B8F">
              <w:rPr>
                <w:sz w:val="18"/>
                <w:szCs w:val="18"/>
              </w:rPr>
              <w:t>61</w:t>
            </w:r>
          </w:p>
        </w:tc>
        <w:tc>
          <w:tcPr>
            <w:tcW w:w="1843" w:type="dxa"/>
            <w:hideMark/>
          </w:tcPr>
          <w:p w:rsidR="00387BE9" w:rsidRPr="00E57B8F" w:rsidRDefault="00387BE9" w:rsidP="00E57B8F">
            <w:pPr>
              <w:rPr>
                <w:sz w:val="18"/>
                <w:szCs w:val="18"/>
              </w:rPr>
            </w:pPr>
            <w:r w:rsidRPr="00E57B8F">
              <w:rPr>
                <w:sz w:val="18"/>
                <w:szCs w:val="18"/>
              </w:rPr>
              <w:t>61</w:t>
            </w:r>
          </w:p>
        </w:tc>
      </w:tr>
      <w:tr w:rsidR="00387BE9" w:rsidRPr="00E57B8F" w:rsidTr="005A4CEF">
        <w:tc>
          <w:tcPr>
            <w:tcW w:w="2802" w:type="dxa"/>
            <w:hideMark/>
          </w:tcPr>
          <w:p w:rsidR="00387BE9" w:rsidRPr="00E57B8F" w:rsidRDefault="00387BE9" w:rsidP="00E57B8F">
            <w:pPr>
              <w:rPr>
                <w:sz w:val="18"/>
                <w:szCs w:val="18"/>
              </w:rPr>
            </w:pPr>
            <w:r w:rsidRPr="00E57B8F">
              <w:rPr>
                <w:sz w:val="18"/>
                <w:szCs w:val="18"/>
              </w:rPr>
              <w:t>Lower quartile (days)</w:t>
            </w:r>
          </w:p>
        </w:tc>
        <w:tc>
          <w:tcPr>
            <w:tcW w:w="1842" w:type="dxa"/>
            <w:hideMark/>
          </w:tcPr>
          <w:p w:rsidR="00387BE9" w:rsidRPr="00E57B8F" w:rsidRDefault="00387BE9" w:rsidP="00E57B8F">
            <w:pPr>
              <w:rPr>
                <w:sz w:val="18"/>
                <w:szCs w:val="18"/>
              </w:rPr>
            </w:pPr>
            <w:r w:rsidRPr="00E57B8F">
              <w:rPr>
                <w:sz w:val="18"/>
                <w:szCs w:val="18"/>
              </w:rPr>
              <w:t>28</w:t>
            </w:r>
          </w:p>
        </w:tc>
        <w:tc>
          <w:tcPr>
            <w:tcW w:w="1985" w:type="dxa"/>
            <w:hideMark/>
          </w:tcPr>
          <w:p w:rsidR="00387BE9" w:rsidRPr="00E57B8F" w:rsidRDefault="00387BE9" w:rsidP="00E57B8F">
            <w:pPr>
              <w:rPr>
                <w:sz w:val="18"/>
                <w:szCs w:val="18"/>
              </w:rPr>
            </w:pPr>
            <w:r w:rsidRPr="00E57B8F">
              <w:rPr>
                <w:sz w:val="18"/>
                <w:szCs w:val="18"/>
              </w:rPr>
              <w:t>56</w:t>
            </w:r>
          </w:p>
        </w:tc>
        <w:tc>
          <w:tcPr>
            <w:tcW w:w="1843" w:type="dxa"/>
            <w:hideMark/>
          </w:tcPr>
          <w:p w:rsidR="00387BE9" w:rsidRPr="00E57B8F" w:rsidRDefault="00387BE9" w:rsidP="00E57B8F">
            <w:pPr>
              <w:rPr>
                <w:sz w:val="18"/>
                <w:szCs w:val="18"/>
              </w:rPr>
            </w:pPr>
            <w:r w:rsidRPr="00E57B8F">
              <w:rPr>
                <w:sz w:val="18"/>
                <w:szCs w:val="18"/>
              </w:rPr>
              <w:t>56</w:t>
            </w:r>
          </w:p>
        </w:tc>
      </w:tr>
      <w:tr w:rsidR="00387BE9" w:rsidRPr="00E57B8F" w:rsidTr="005A4CEF">
        <w:tc>
          <w:tcPr>
            <w:tcW w:w="2802" w:type="dxa"/>
            <w:hideMark/>
          </w:tcPr>
          <w:p w:rsidR="00387BE9" w:rsidRPr="00E57B8F" w:rsidRDefault="00387BE9" w:rsidP="00E57B8F">
            <w:pPr>
              <w:rPr>
                <w:sz w:val="18"/>
                <w:szCs w:val="18"/>
              </w:rPr>
            </w:pPr>
            <w:r w:rsidRPr="00E57B8F">
              <w:rPr>
                <w:sz w:val="18"/>
                <w:szCs w:val="18"/>
              </w:rPr>
              <w:t>Upper quartile (days)</w:t>
            </w:r>
            <w:r w:rsidRPr="00E57B8F">
              <w:rPr>
                <w:sz w:val="18"/>
                <w:szCs w:val="18"/>
                <w:vertAlign w:val="superscript"/>
              </w:rPr>
              <w:t>2</w:t>
            </w:r>
          </w:p>
        </w:tc>
        <w:tc>
          <w:tcPr>
            <w:tcW w:w="1842" w:type="dxa"/>
          </w:tcPr>
          <w:p w:rsidR="00387BE9" w:rsidRPr="00E57B8F" w:rsidRDefault="00387BE9" w:rsidP="00E57B8F">
            <w:pPr>
              <w:rPr>
                <w:sz w:val="18"/>
                <w:szCs w:val="18"/>
              </w:rPr>
            </w:pPr>
          </w:p>
        </w:tc>
        <w:tc>
          <w:tcPr>
            <w:tcW w:w="1985" w:type="dxa"/>
            <w:hideMark/>
          </w:tcPr>
          <w:p w:rsidR="00387BE9" w:rsidRPr="00E57B8F" w:rsidRDefault="00387BE9" w:rsidP="00E57B8F">
            <w:pPr>
              <w:rPr>
                <w:sz w:val="18"/>
                <w:szCs w:val="18"/>
              </w:rPr>
            </w:pPr>
            <w:r w:rsidRPr="00E57B8F">
              <w:rPr>
                <w:sz w:val="18"/>
                <w:szCs w:val="18"/>
              </w:rPr>
              <w:t>63</w:t>
            </w:r>
          </w:p>
        </w:tc>
        <w:tc>
          <w:tcPr>
            <w:tcW w:w="1843" w:type="dxa"/>
            <w:hideMark/>
          </w:tcPr>
          <w:p w:rsidR="00387BE9" w:rsidRPr="00E57B8F" w:rsidRDefault="00387BE9" w:rsidP="00E57B8F">
            <w:pPr>
              <w:rPr>
                <w:sz w:val="18"/>
                <w:szCs w:val="18"/>
              </w:rPr>
            </w:pPr>
            <w:r w:rsidRPr="00E57B8F">
              <w:rPr>
                <w:sz w:val="18"/>
                <w:szCs w:val="18"/>
              </w:rPr>
              <w:t>61</w:t>
            </w:r>
          </w:p>
        </w:tc>
      </w:tr>
    </w:tbl>
    <w:p w:rsidR="00387BE9" w:rsidRPr="00387BE9" w:rsidRDefault="00387BE9" w:rsidP="00E57B8F">
      <w:pPr>
        <w:pStyle w:val="TableDescription"/>
      </w:pPr>
      <w:r w:rsidRPr="00387BE9">
        <w:t>1) 7 patients had controlled disease but withdrew after week 8; these patients were not included in this table</w:t>
      </w:r>
    </w:p>
    <w:p w:rsidR="00387BE9" w:rsidRPr="00387BE9" w:rsidRDefault="00387BE9" w:rsidP="00E57B8F">
      <w:pPr>
        <w:pStyle w:val="TableDescription"/>
      </w:pPr>
      <w:r w:rsidRPr="00387BE9">
        <w:t>2) Upper quartile in the Daivobet group cannot be estimated due to the large number of censored patients (</w:t>
      </w:r>
      <w:proofErr w:type="spellStart"/>
      <w:r w:rsidRPr="00387BE9">
        <w:t>ie</w:t>
      </w:r>
      <w:proofErr w:type="spellEnd"/>
      <w:r w:rsidRPr="00387BE9">
        <w:t xml:space="preserve"> patients who had not relapsed when leaving the study)</w:t>
      </w:r>
    </w:p>
    <w:p w:rsidR="00DB2A47" w:rsidRPr="00DB2A47" w:rsidRDefault="00DB2A47" w:rsidP="00E57B8F">
      <w:r w:rsidRPr="00DB2A47">
        <w:t>It appears that 41% in the Daivobet gel relapsed; this figure i</w:t>
      </w:r>
      <w:r w:rsidR="00881540">
        <w:t xml:space="preserve">s higher than that observed in </w:t>
      </w:r>
      <w:proofErr w:type="spellStart"/>
      <w:r w:rsidR="00881540">
        <w:t>t</w:t>
      </w:r>
      <w:r w:rsidRPr="00DB2A47">
        <w:t>acalcitol</w:t>
      </w:r>
      <w:proofErr w:type="spellEnd"/>
      <w:r w:rsidRPr="00DB2A47">
        <w:t xml:space="preserve"> (22.6%). However, the numbers are small to be meaningful.</w:t>
      </w:r>
    </w:p>
    <w:p w:rsidR="00DB2A47" w:rsidRPr="00DB2A47" w:rsidRDefault="00DB2A47" w:rsidP="00E57B8F">
      <w:r w:rsidRPr="00DB2A47">
        <w:t>Change in qu</w:t>
      </w:r>
      <w:r w:rsidR="005A4CEF">
        <w:t>ality of life from baseline to W</w:t>
      </w:r>
      <w:r w:rsidRPr="00DB2A47">
        <w:t xml:space="preserve">eek 4 and </w:t>
      </w:r>
      <w:r w:rsidR="005A4CEF">
        <w:t>W</w:t>
      </w:r>
      <w:r w:rsidRPr="00DB2A47">
        <w:t xml:space="preserve">eek 8 were assessed using SF-36 </w:t>
      </w:r>
      <w:r w:rsidR="00903D9E">
        <w:t xml:space="preserve">(a survey that measures general health-related quality of life) </w:t>
      </w:r>
      <w:r w:rsidRPr="00DB2A47">
        <w:t>and S</w:t>
      </w:r>
      <w:r w:rsidR="00903D9E">
        <w:t>k</w:t>
      </w:r>
      <w:r w:rsidRPr="00DB2A47">
        <w:t xml:space="preserve">index-16 </w:t>
      </w:r>
      <w:r w:rsidR="00903D9E">
        <w:t>(</w:t>
      </w:r>
      <w:r w:rsidR="00903D9E" w:rsidRPr="00903D9E">
        <w:t>Skindex-16 (a 16-item survey that measures skin specific quality of life)</w:t>
      </w:r>
      <w:r w:rsidR="00903D9E">
        <w:t xml:space="preserve"> </w:t>
      </w:r>
      <w:r w:rsidRPr="00DB2A47">
        <w:t xml:space="preserve">questionnaires. The </w:t>
      </w:r>
      <w:proofErr w:type="spellStart"/>
      <w:r w:rsidRPr="00DB2A47">
        <w:t>Skindex</w:t>
      </w:r>
      <w:proofErr w:type="spellEnd"/>
      <w:r w:rsidRPr="00DB2A47">
        <w:t xml:space="preserve"> questionnaire is a skin disease specific questionnaire that showed statistically significant difference favouring </w:t>
      </w:r>
      <w:proofErr w:type="spellStart"/>
      <w:r w:rsidRPr="00DB2A47">
        <w:t>Daivobet</w:t>
      </w:r>
      <w:proofErr w:type="spellEnd"/>
      <w:r w:rsidRPr="00DB2A47">
        <w:t xml:space="preserve"> gel over</w:t>
      </w:r>
      <w:r w:rsidR="00903D9E">
        <w:t xml:space="preserve"> </w:t>
      </w:r>
      <w:proofErr w:type="spellStart"/>
      <w:r w:rsidR="00881540">
        <w:t>t</w:t>
      </w:r>
      <w:r w:rsidR="00903D9E">
        <w:t>acalcitol</w:t>
      </w:r>
      <w:proofErr w:type="spellEnd"/>
      <w:r w:rsidR="00903D9E">
        <w:t xml:space="preserve"> and vehicle gel at W</w:t>
      </w:r>
      <w:r w:rsidRPr="00DB2A47">
        <w:t xml:space="preserve">eek 4 and </w:t>
      </w:r>
      <w:r w:rsidR="00903D9E">
        <w:t>W</w:t>
      </w:r>
      <w:r w:rsidRPr="00DB2A47">
        <w:t xml:space="preserve">eek 8. </w:t>
      </w:r>
    </w:p>
    <w:p w:rsidR="00DB2A47" w:rsidRPr="00DB2A47" w:rsidRDefault="00DB2A47" w:rsidP="00E57B8F">
      <w:pPr>
        <w:pStyle w:val="Heading5"/>
      </w:pPr>
      <w:r w:rsidRPr="00DB2A47">
        <w:t xml:space="preserve">Other efficacy studies: </w:t>
      </w:r>
    </w:p>
    <w:p w:rsidR="00DB2A47" w:rsidRPr="00DB2A47" w:rsidRDefault="003A5470" w:rsidP="00E57B8F">
      <w:r>
        <w:rPr>
          <w:b/>
        </w:rPr>
        <w:t>Study MBL</w:t>
      </w:r>
      <w:r w:rsidR="00DB2A47" w:rsidRPr="003A5470">
        <w:rPr>
          <w:b/>
        </w:rPr>
        <w:t>0202INT</w:t>
      </w:r>
      <w:r>
        <w:t xml:space="preserve"> is a Phase II</w:t>
      </w:r>
      <w:r w:rsidR="00DB2A47" w:rsidRPr="00DB2A47">
        <w:t xml:space="preserve"> “proof of concept” study submitted previously which compared Daivobet gel v</w:t>
      </w:r>
      <w:r w:rsidR="00903D9E">
        <w:t>er</w:t>
      </w:r>
      <w:r w:rsidR="00DB2A47" w:rsidRPr="00DB2A47">
        <w:t>s</w:t>
      </w:r>
      <w:r w:rsidR="00903D9E">
        <w:t>us</w:t>
      </w:r>
      <w:r w:rsidR="00DB2A47" w:rsidRPr="00DB2A47">
        <w:t xml:space="preserve"> its individual components and the vehicle gel in subjects with psoriasis vulgaris in non-scalp areas. It was a randomised (4:2:2:1) double blind study of the following treatments: Daivobet gel (calcipotriol 50 µg/g plus betamethasone dipropionate 0.5 mg/g); betamethasone dipropionate 0.50 mg/g in the gel vehicle; calcipotriol 50 µg/g in the gel vehicle and gel vehicle.</w:t>
      </w:r>
    </w:p>
    <w:p w:rsidR="00DB2A47" w:rsidRPr="00DB2A47" w:rsidRDefault="00DB2A47" w:rsidP="00E57B8F">
      <w:r w:rsidRPr="00DB2A47">
        <w:t>Percentage of patients with controll</w:t>
      </w:r>
      <w:r w:rsidR="00903D9E">
        <w:t>ed disease according to IGA at W</w:t>
      </w:r>
      <w:r w:rsidRPr="00DB2A47">
        <w:t xml:space="preserve">eek 4 and </w:t>
      </w:r>
      <w:r w:rsidR="00903D9E">
        <w:t>W</w:t>
      </w:r>
      <w:r w:rsidRPr="00DB2A47">
        <w:t>eek 8 was the primary efficacy endpoint. Changes in PASI scores at various time points were secondary endpoints. The ev</w:t>
      </w:r>
      <w:r w:rsidR="00903D9E">
        <w:t>aluator mentions that there was</w:t>
      </w:r>
      <w:r w:rsidRPr="00DB2A47">
        <w:t xml:space="preserve"> no pre-set margin for superiority. </w:t>
      </w:r>
    </w:p>
    <w:p w:rsidR="00DB2A47" w:rsidRPr="00DB2A47" w:rsidRDefault="00DB2A47" w:rsidP="00E57B8F">
      <w:r w:rsidRPr="00DB2A47">
        <w:t>364 subjects were randomised. Daivobet gel:</w:t>
      </w:r>
      <w:r w:rsidR="00600C48">
        <w:t xml:space="preserve"> </w:t>
      </w:r>
      <w:r w:rsidRPr="00DB2A47">
        <w:t>n=162; betamethasone gel:</w:t>
      </w:r>
      <w:r w:rsidR="00600C48">
        <w:t xml:space="preserve"> </w:t>
      </w:r>
      <w:r w:rsidR="00903D9E">
        <w:t>n=</w:t>
      </w:r>
      <w:r w:rsidRPr="00DB2A47">
        <w:t>83; calcipotriol gel:</w:t>
      </w:r>
      <w:r w:rsidR="00600C48">
        <w:t xml:space="preserve"> </w:t>
      </w:r>
      <w:r w:rsidR="00903D9E">
        <w:t>n=</w:t>
      </w:r>
      <w:r w:rsidRPr="00DB2A47">
        <w:t xml:space="preserve">79 and the Gel vehicle: n=40. </w:t>
      </w:r>
    </w:p>
    <w:p w:rsidR="003A5470" w:rsidRDefault="00DB2A47" w:rsidP="00E57B8F">
      <w:r w:rsidRPr="00DB2A47">
        <w:t>The evaluator mentions that the mean age of the study recruits was 52.6 years. 98.1% were Caucasians. The mean duration of disease ranged from 18.5 to 19.5 years in the study groups; mean PASI score was 7.7 to 7.9 between groups and &gt; 50% had moderate disease (according to IGA and PGA).</w:t>
      </w:r>
      <w:r w:rsidR="003A5470">
        <w:t xml:space="preserve"> </w:t>
      </w:r>
    </w:p>
    <w:p w:rsidR="00DB2A47" w:rsidRPr="00DB2A47" w:rsidRDefault="00DB2A47" w:rsidP="00E57B8F">
      <w:r w:rsidRPr="00DB2A47">
        <w:t>The res</w:t>
      </w:r>
      <w:r w:rsidR="00903D9E">
        <w:t xml:space="preserve">ults on ‘controlled disease’ are shown below: </w:t>
      </w:r>
    </w:p>
    <w:p w:rsidR="00903D9E" w:rsidRPr="00903D9E" w:rsidRDefault="00903D9E" w:rsidP="00E57B8F">
      <w:pPr>
        <w:pStyle w:val="TableTitle"/>
      </w:pPr>
      <w:bookmarkStart w:id="263" w:name="_Toc342054239"/>
      <w:r w:rsidRPr="00903D9E">
        <w:t>Table 1</w:t>
      </w:r>
      <w:r>
        <w:t>2</w:t>
      </w:r>
      <w:r w:rsidRPr="00903D9E">
        <w:t>. Study MBL0202INT Patients with ‘controlled disease’ according to IGA at week 4 and 8 and results of statistical analysis: full analysis set</w:t>
      </w:r>
      <w:bookmarkEnd w:id="263"/>
    </w:p>
    <w:tbl>
      <w:tblPr>
        <w:tblStyle w:val="TableTGAblue"/>
        <w:tblW w:w="8789" w:type="dxa"/>
        <w:tblInd w:w="108" w:type="dxa"/>
        <w:tblLayout w:type="fixed"/>
        <w:tblLook w:val="04A0"/>
      </w:tblPr>
      <w:tblGrid>
        <w:gridCol w:w="1985"/>
        <w:gridCol w:w="1701"/>
        <w:gridCol w:w="32"/>
        <w:gridCol w:w="1669"/>
        <w:gridCol w:w="64"/>
        <w:gridCol w:w="1637"/>
        <w:gridCol w:w="1701"/>
      </w:tblGrid>
      <w:tr w:rsidR="0094746F" w:rsidRPr="00E57B8F" w:rsidTr="00E57B8F">
        <w:trPr>
          <w:cnfStyle w:val="100000000000"/>
          <w:cantSplit/>
          <w:tblHeader/>
        </w:trPr>
        <w:tc>
          <w:tcPr>
            <w:tcW w:w="1985" w:type="dxa"/>
            <w:vMerge w:val="restart"/>
            <w:vAlign w:val="center"/>
            <w:hideMark/>
          </w:tcPr>
          <w:p w:rsidR="0094746F" w:rsidRPr="00E57B8F" w:rsidRDefault="0094746F" w:rsidP="00E57B8F">
            <w:pPr>
              <w:rPr>
                <w:sz w:val="18"/>
                <w:szCs w:val="18"/>
              </w:rPr>
            </w:pPr>
            <w:r w:rsidRPr="00E57B8F">
              <w:rPr>
                <w:sz w:val="18"/>
                <w:szCs w:val="18"/>
              </w:rPr>
              <w:t>Controlled disease</w:t>
            </w:r>
          </w:p>
        </w:tc>
        <w:tc>
          <w:tcPr>
            <w:tcW w:w="1733" w:type="dxa"/>
            <w:gridSpan w:val="2"/>
            <w:hideMark/>
          </w:tcPr>
          <w:p w:rsidR="0094746F" w:rsidRPr="00E57B8F" w:rsidRDefault="0094746F" w:rsidP="00E57B8F">
            <w:pPr>
              <w:rPr>
                <w:sz w:val="18"/>
                <w:szCs w:val="18"/>
              </w:rPr>
            </w:pPr>
            <w:r w:rsidRPr="00E57B8F">
              <w:rPr>
                <w:sz w:val="18"/>
                <w:szCs w:val="18"/>
              </w:rPr>
              <w:t>Daivobet Gel</w:t>
            </w:r>
          </w:p>
        </w:tc>
        <w:tc>
          <w:tcPr>
            <w:tcW w:w="1733" w:type="dxa"/>
            <w:gridSpan w:val="2"/>
            <w:hideMark/>
          </w:tcPr>
          <w:p w:rsidR="0094746F" w:rsidRPr="00E57B8F" w:rsidRDefault="0094746F" w:rsidP="00E57B8F">
            <w:pPr>
              <w:rPr>
                <w:sz w:val="18"/>
                <w:szCs w:val="18"/>
              </w:rPr>
            </w:pPr>
            <w:r w:rsidRPr="00E57B8F">
              <w:rPr>
                <w:sz w:val="18"/>
                <w:szCs w:val="18"/>
              </w:rPr>
              <w:t>Betamethasone</w:t>
            </w:r>
          </w:p>
        </w:tc>
        <w:tc>
          <w:tcPr>
            <w:tcW w:w="1637" w:type="dxa"/>
            <w:hideMark/>
          </w:tcPr>
          <w:p w:rsidR="0094746F" w:rsidRPr="00E57B8F" w:rsidRDefault="0094746F" w:rsidP="00E57B8F">
            <w:pPr>
              <w:rPr>
                <w:sz w:val="18"/>
                <w:szCs w:val="18"/>
              </w:rPr>
            </w:pPr>
            <w:r w:rsidRPr="00E57B8F">
              <w:rPr>
                <w:sz w:val="18"/>
                <w:szCs w:val="18"/>
              </w:rPr>
              <w:t>Calcipotriol</w:t>
            </w:r>
          </w:p>
        </w:tc>
        <w:tc>
          <w:tcPr>
            <w:tcW w:w="1701" w:type="dxa"/>
            <w:hideMark/>
          </w:tcPr>
          <w:p w:rsidR="0094746F" w:rsidRPr="00E57B8F" w:rsidRDefault="0094746F" w:rsidP="00E57B8F">
            <w:pPr>
              <w:rPr>
                <w:sz w:val="18"/>
                <w:szCs w:val="18"/>
              </w:rPr>
            </w:pPr>
            <w:r w:rsidRPr="00E57B8F">
              <w:rPr>
                <w:sz w:val="18"/>
                <w:szCs w:val="18"/>
              </w:rPr>
              <w:t>Gel Vehicle</w:t>
            </w:r>
          </w:p>
        </w:tc>
      </w:tr>
      <w:tr w:rsidR="0094746F" w:rsidRPr="00E57B8F" w:rsidTr="003A5470">
        <w:trPr>
          <w:cnfStyle w:val="100000000000"/>
          <w:cantSplit/>
          <w:tblHeader/>
        </w:trPr>
        <w:tc>
          <w:tcPr>
            <w:tcW w:w="1985" w:type="dxa"/>
            <w:vMerge/>
          </w:tcPr>
          <w:p w:rsidR="0094746F" w:rsidRPr="00E57B8F" w:rsidRDefault="0094746F" w:rsidP="00E57B8F">
            <w:pPr>
              <w:rPr>
                <w:sz w:val="18"/>
                <w:szCs w:val="18"/>
              </w:rPr>
            </w:pPr>
          </w:p>
        </w:tc>
        <w:tc>
          <w:tcPr>
            <w:tcW w:w="1733" w:type="dxa"/>
            <w:gridSpan w:val="2"/>
            <w:hideMark/>
          </w:tcPr>
          <w:p w:rsidR="0094746F" w:rsidRPr="00E57B8F" w:rsidRDefault="0094746F" w:rsidP="00E57B8F">
            <w:pPr>
              <w:rPr>
                <w:sz w:val="18"/>
                <w:szCs w:val="18"/>
              </w:rPr>
            </w:pPr>
            <w:r w:rsidRPr="00E57B8F">
              <w:rPr>
                <w:sz w:val="18"/>
                <w:szCs w:val="18"/>
              </w:rPr>
              <w:t xml:space="preserve">(n=162) </w:t>
            </w:r>
            <w:r w:rsidRPr="00E57B8F">
              <w:rPr>
                <w:sz w:val="18"/>
                <w:szCs w:val="18"/>
              </w:rPr>
              <w:br/>
              <w:t>No. (%)</w:t>
            </w:r>
          </w:p>
        </w:tc>
        <w:tc>
          <w:tcPr>
            <w:tcW w:w="1733" w:type="dxa"/>
            <w:gridSpan w:val="2"/>
            <w:hideMark/>
          </w:tcPr>
          <w:p w:rsidR="0094746F" w:rsidRPr="00E57B8F" w:rsidRDefault="0094746F" w:rsidP="00E57B8F">
            <w:pPr>
              <w:rPr>
                <w:sz w:val="18"/>
                <w:szCs w:val="18"/>
              </w:rPr>
            </w:pPr>
            <w:r w:rsidRPr="00E57B8F">
              <w:rPr>
                <w:sz w:val="18"/>
                <w:szCs w:val="18"/>
              </w:rPr>
              <w:t>(n=83)</w:t>
            </w:r>
            <w:r w:rsidRPr="00E57B8F">
              <w:rPr>
                <w:sz w:val="18"/>
                <w:szCs w:val="18"/>
              </w:rPr>
              <w:br/>
              <w:t>No. (%)</w:t>
            </w:r>
          </w:p>
        </w:tc>
        <w:tc>
          <w:tcPr>
            <w:tcW w:w="1637" w:type="dxa"/>
            <w:hideMark/>
          </w:tcPr>
          <w:p w:rsidR="0094746F" w:rsidRPr="00E57B8F" w:rsidRDefault="0094746F" w:rsidP="00E57B8F">
            <w:pPr>
              <w:rPr>
                <w:sz w:val="18"/>
                <w:szCs w:val="18"/>
              </w:rPr>
            </w:pPr>
            <w:r w:rsidRPr="00E57B8F">
              <w:rPr>
                <w:sz w:val="18"/>
                <w:szCs w:val="18"/>
              </w:rPr>
              <w:t xml:space="preserve">(n=79) </w:t>
            </w:r>
            <w:r w:rsidRPr="00E57B8F">
              <w:rPr>
                <w:sz w:val="18"/>
                <w:szCs w:val="18"/>
              </w:rPr>
              <w:br/>
              <w:t>No. (%)</w:t>
            </w:r>
          </w:p>
        </w:tc>
        <w:tc>
          <w:tcPr>
            <w:tcW w:w="1701" w:type="dxa"/>
            <w:hideMark/>
          </w:tcPr>
          <w:p w:rsidR="0094746F" w:rsidRPr="00E57B8F" w:rsidRDefault="0094746F" w:rsidP="00E57B8F">
            <w:pPr>
              <w:rPr>
                <w:sz w:val="18"/>
                <w:szCs w:val="18"/>
              </w:rPr>
            </w:pPr>
            <w:r w:rsidRPr="00E57B8F">
              <w:rPr>
                <w:sz w:val="18"/>
                <w:szCs w:val="18"/>
              </w:rPr>
              <w:t>(n=40)</w:t>
            </w:r>
            <w:r w:rsidRPr="00E57B8F">
              <w:rPr>
                <w:sz w:val="18"/>
                <w:szCs w:val="18"/>
              </w:rPr>
              <w:br/>
              <w:t>No. (%)</w:t>
            </w:r>
          </w:p>
        </w:tc>
      </w:tr>
      <w:tr w:rsidR="00903D9E" w:rsidRPr="00E57B8F" w:rsidTr="003A5470">
        <w:tc>
          <w:tcPr>
            <w:tcW w:w="8789" w:type="dxa"/>
            <w:gridSpan w:val="7"/>
            <w:hideMark/>
          </w:tcPr>
          <w:p w:rsidR="00903D9E" w:rsidRPr="00E57B8F" w:rsidRDefault="00903D9E" w:rsidP="00E57B8F">
            <w:pPr>
              <w:pStyle w:val="TableHeading2"/>
            </w:pPr>
            <w:r w:rsidRPr="00E57B8F">
              <w:t>Week 4 (LOCF)</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Controlled disease</w:t>
            </w:r>
          </w:p>
        </w:tc>
        <w:tc>
          <w:tcPr>
            <w:tcW w:w="1701" w:type="dxa"/>
            <w:hideMark/>
          </w:tcPr>
          <w:p w:rsidR="00903D9E" w:rsidRPr="00E57B8F" w:rsidRDefault="00903D9E" w:rsidP="00E57B8F">
            <w:pPr>
              <w:rPr>
                <w:sz w:val="18"/>
                <w:szCs w:val="18"/>
              </w:rPr>
            </w:pPr>
            <w:r w:rsidRPr="00E57B8F">
              <w:rPr>
                <w:sz w:val="18"/>
                <w:szCs w:val="18"/>
              </w:rPr>
              <w:t>26 (16.0)</w:t>
            </w:r>
          </w:p>
        </w:tc>
        <w:tc>
          <w:tcPr>
            <w:tcW w:w="1701" w:type="dxa"/>
            <w:gridSpan w:val="2"/>
            <w:hideMark/>
          </w:tcPr>
          <w:p w:rsidR="00903D9E" w:rsidRPr="00E57B8F" w:rsidRDefault="00903D9E" w:rsidP="00E57B8F">
            <w:pPr>
              <w:rPr>
                <w:sz w:val="18"/>
                <w:szCs w:val="18"/>
              </w:rPr>
            </w:pPr>
            <w:r w:rsidRPr="00E57B8F">
              <w:rPr>
                <w:sz w:val="18"/>
                <w:szCs w:val="18"/>
              </w:rPr>
              <w:t>8 (9.6)</w:t>
            </w:r>
          </w:p>
        </w:tc>
        <w:tc>
          <w:tcPr>
            <w:tcW w:w="1701" w:type="dxa"/>
            <w:gridSpan w:val="2"/>
            <w:hideMark/>
          </w:tcPr>
          <w:p w:rsidR="00903D9E" w:rsidRPr="00E57B8F" w:rsidRDefault="00903D9E" w:rsidP="00E57B8F">
            <w:pPr>
              <w:rPr>
                <w:sz w:val="18"/>
                <w:szCs w:val="18"/>
              </w:rPr>
            </w:pPr>
            <w:r w:rsidRPr="00E57B8F">
              <w:rPr>
                <w:sz w:val="18"/>
                <w:szCs w:val="18"/>
              </w:rPr>
              <w:t>3 (3.8)</w:t>
            </w:r>
          </w:p>
        </w:tc>
        <w:tc>
          <w:tcPr>
            <w:tcW w:w="1701" w:type="dxa"/>
            <w:hideMark/>
          </w:tcPr>
          <w:p w:rsidR="00903D9E" w:rsidRPr="00E57B8F" w:rsidRDefault="00903D9E" w:rsidP="00E57B8F">
            <w:pPr>
              <w:rPr>
                <w:sz w:val="18"/>
                <w:szCs w:val="18"/>
              </w:rPr>
            </w:pPr>
            <w:r w:rsidRPr="00E57B8F">
              <w:rPr>
                <w:sz w:val="18"/>
                <w:szCs w:val="18"/>
              </w:rPr>
              <w:t>1 (2.5)</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Non-controlled disease</w:t>
            </w:r>
          </w:p>
        </w:tc>
        <w:tc>
          <w:tcPr>
            <w:tcW w:w="1701" w:type="dxa"/>
            <w:hideMark/>
          </w:tcPr>
          <w:p w:rsidR="00903D9E" w:rsidRPr="00E57B8F" w:rsidRDefault="00903D9E" w:rsidP="00E57B8F">
            <w:pPr>
              <w:rPr>
                <w:sz w:val="18"/>
                <w:szCs w:val="18"/>
              </w:rPr>
            </w:pPr>
            <w:r w:rsidRPr="00E57B8F">
              <w:rPr>
                <w:sz w:val="18"/>
                <w:szCs w:val="18"/>
              </w:rPr>
              <w:t>136 (84.0)</w:t>
            </w:r>
          </w:p>
        </w:tc>
        <w:tc>
          <w:tcPr>
            <w:tcW w:w="1701" w:type="dxa"/>
            <w:gridSpan w:val="2"/>
            <w:hideMark/>
          </w:tcPr>
          <w:p w:rsidR="00903D9E" w:rsidRPr="00E57B8F" w:rsidRDefault="00903D9E" w:rsidP="00E57B8F">
            <w:pPr>
              <w:rPr>
                <w:sz w:val="18"/>
                <w:szCs w:val="18"/>
              </w:rPr>
            </w:pPr>
            <w:r w:rsidRPr="00E57B8F">
              <w:rPr>
                <w:sz w:val="18"/>
                <w:szCs w:val="18"/>
              </w:rPr>
              <w:t>75 (90.4)</w:t>
            </w:r>
          </w:p>
        </w:tc>
        <w:tc>
          <w:tcPr>
            <w:tcW w:w="1701" w:type="dxa"/>
            <w:gridSpan w:val="2"/>
            <w:hideMark/>
          </w:tcPr>
          <w:p w:rsidR="00903D9E" w:rsidRPr="00E57B8F" w:rsidRDefault="00903D9E" w:rsidP="00E57B8F">
            <w:pPr>
              <w:rPr>
                <w:sz w:val="18"/>
                <w:szCs w:val="18"/>
              </w:rPr>
            </w:pPr>
            <w:r w:rsidRPr="00E57B8F">
              <w:rPr>
                <w:sz w:val="18"/>
                <w:szCs w:val="18"/>
              </w:rPr>
              <w:t>76 (96.2)</w:t>
            </w:r>
          </w:p>
        </w:tc>
        <w:tc>
          <w:tcPr>
            <w:tcW w:w="1701" w:type="dxa"/>
            <w:hideMark/>
          </w:tcPr>
          <w:p w:rsidR="00903D9E" w:rsidRPr="00E57B8F" w:rsidRDefault="00903D9E" w:rsidP="00E57B8F">
            <w:pPr>
              <w:rPr>
                <w:sz w:val="18"/>
                <w:szCs w:val="18"/>
              </w:rPr>
            </w:pPr>
            <w:r w:rsidRPr="00E57B8F">
              <w:rPr>
                <w:sz w:val="18"/>
                <w:szCs w:val="18"/>
              </w:rPr>
              <w:t>39 (97.5)</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Odds ratio</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2.02</w:t>
            </w:r>
          </w:p>
        </w:tc>
        <w:tc>
          <w:tcPr>
            <w:tcW w:w="1701" w:type="dxa"/>
            <w:gridSpan w:val="2"/>
            <w:hideMark/>
          </w:tcPr>
          <w:p w:rsidR="00903D9E" w:rsidRPr="00E57B8F" w:rsidRDefault="00903D9E" w:rsidP="00E57B8F">
            <w:pPr>
              <w:rPr>
                <w:sz w:val="18"/>
                <w:szCs w:val="18"/>
              </w:rPr>
            </w:pPr>
            <w:r w:rsidRPr="00E57B8F">
              <w:rPr>
                <w:sz w:val="18"/>
                <w:szCs w:val="18"/>
              </w:rPr>
              <w:t>5.98</w:t>
            </w:r>
          </w:p>
        </w:tc>
        <w:tc>
          <w:tcPr>
            <w:tcW w:w="1701" w:type="dxa"/>
            <w:hideMark/>
          </w:tcPr>
          <w:p w:rsidR="00903D9E" w:rsidRPr="00E57B8F" w:rsidRDefault="00903D9E" w:rsidP="00E57B8F">
            <w:pPr>
              <w:rPr>
                <w:sz w:val="18"/>
                <w:szCs w:val="18"/>
              </w:rPr>
            </w:pPr>
            <w:r w:rsidRPr="00E57B8F">
              <w:rPr>
                <w:sz w:val="18"/>
                <w:szCs w:val="18"/>
              </w:rPr>
              <w:t>10.83</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95% CI</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0.84 to 4.82</w:t>
            </w:r>
          </w:p>
        </w:tc>
        <w:tc>
          <w:tcPr>
            <w:tcW w:w="1701" w:type="dxa"/>
            <w:gridSpan w:val="2"/>
            <w:hideMark/>
          </w:tcPr>
          <w:p w:rsidR="00903D9E" w:rsidRPr="00E57B8F" w:rsidRDefault="00903D9E" w:rsidP="00E57B8F">
            <w:pPr>
              <w:rPr>
                <w:sz w:val="18"/>
                <w:szCs w:val="18"/>
              </w:rPr>
            </w:pPr>
            <w:r w:rsidRPr="00E57B8F">
              <w:rPr>
                <w:sz w:val="18"/>
                <w:szCs w:val="18"/>
              </w:rPr>
              <w:t>1.53 to 23.34</w:t>
            </w:r>
          </w:p>
        </w:tc>
        <w:tc>
          <w:tcPr>
            <w:tcW w:w="1701" w:type="dxa"/>
            <w:hideMark/>
          </w:tcPr>
          <w:p w:rsidR="00903D9E" w:rsidRPr="00E57B8F" w:rsidRDefault="00903D9E" w:rsidP="00E57B8F">
            <w:pPr>
              <w:rPr>
                <w:sz w:val="18"/>
                <w:szCs w:val="18"/>
              </w:rPr>
            </w:pPr>
            <w:r w:rsidRPr="00E57B8F">
              <w:rPr>
                <w:sz w:val="18"/>
                <w:szCs w:val="18"/>
              </w:rPr>
              <w:t>1.04 to 112.73</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CMH test</w:t>
            </w:r>
            <w:r w:rsidRPr="00E57B8F">
              <w:rPr>
                <w:sz w:val="18"/>
                <w:szCs w:val="18"/>
                <w:vertAlign w:val="superscript"/>
              </w:rPr>
              <w:t>1</w:t>
            </w:r>
            <w:r w:rsidRPr="00E57B8F">
              <w:rPr>
                <w:sz w:val="18"/>
                <w:szCs w:val="18"/>
              </w:rPr>
              <w:t xml:space="preserve"> (p value)</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0.11</w:t>
            </w:r>
          </w:p>
        </w:tc>
        <w:tc>
          <w:tcPr>
            <w:tcW w:w="1701" w:type="dxa"/>
            <w:gridSpan w:val="2"/>
            <w:hideMark/>
          </w:tcPr>
          <w:p w:rsidR="00903D9E" w:rsidRPr="00E57B8F" w:rsidRDefault="00903D9E" w:rsidP="00E57B8F">
            <w:pPr>
              <w:rPr>
                <w:sz w:val="18"/>
                <w:szCs w:val="18"/>
              </w:rPr>
            </w:pPr>
            <w:r w:rsidRPr="00E57B8F">
              <w:rPr>
                <w:sz w:val="18"/>
                <w:szCs w:val="18"/>
              </w:rPr>
              <w:t>0.006</w:t>
            </w:r>
          </w:p>
        </w:tc>
        <w:tc>
          <w:tcPr>
            <w:tcW w:w="1701" w:type="dxa"/>
            <w:hideMark/>
          </w:tcPr>
          <w:p w:rsidR="00903D9E" w:rsidRPr="00E57B8F" w:rsidRDefault="00903D9E" w:rsidP="00E57B8F">
            <w:pPr>
              <w:rPr>
                <w:sz w:val="18"/>
                <w:szCs w:val="18"/>
              </w:rPr>
            </w:pPr>
            <w:r w:rsidRPr="00E57B8F">
              <w:rPr>
                <w:sz w:val="18"/>
                <w:szCs w:val="18"/>
              </w:rPr>
              <w:t>0.027</w:t>
            </w:r>
          </w:p>
        </w:tc>
      </w:tr>
      <w:tr w:rsidR="00903D9E" w:rsidRPr="00E57B8F" w:rsidTr="003A5470">
        <w:tc>
          <w:tcPr>
            <w:tcW w:w="1985" w:type="dxa"/>
            <w:hideMark/>
          </w:tcPr>
          <w:p w:rsidR="00903D9E" w:rsidRPr="00E57B8F" w:rsidRDefault="00903D9E" w:rsidP="00E57B8F">
            <w:pPr>
              <w:rPr>
                <w:sz w:val="18"/>
                <w:szCs w:val="18"/>
              </w:rPr>
            </w:pPr>
            <w:proofErr w:type="spellStart"/>
            <w:r w:rsidRPr="00E57B8F">
              <w:rPr>
                <w:sz w:val="18"/>
                <w:szCs w:val="18"/>
              </w:rPr>
              <w:t>Breslow</w:t>
            </w:r>
            <w:proofErr w:type="spellEnd"/>
            <w:r w:rsidRPr="00E57B8F">
              <w:rPr>
                <w:sz w:val="18"/>
                <w:szCs w:val="18"/>
              </w:rPr>
              <w:t>-Day test</w:t>
            </w:r>
            <w:r w:rsidRPr="00E57B8F">
              <w:rPr>
                <w:sz w:val="18"/>
                <w:szCs w:val="18"/>
                <w:vertAlign w:val="superscript"/>
              </w:rPr>
              <w:t>2</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0.39</w:t>
            </w:r>
          </w:p>
        </w:tc>
        <w:tc>
          <w:tcPr>
            <w:tcW w:w="1701" w:type="dxa"/>
            <w:gridSpan w:val="2"/>
            <w:hideMark/>
          </w:tcPr>
          <w:p w:rsidR="00903D9E" w:rsidRPr="00E57B8F" w:rsidRDefault="00903D9E" w:rsidP="00E57B8F">
            <w:pPr>
              <w:rPr>
                <w:sz w:val="18"/>
                <w:szCs w:val="18"/>
              </w:rPr>
            </w:pPr>
            <w:r w:rsidRPr="00E57B8F">
              <w:rPr>
                <w:sz w:val="18"/>
                <w:szCs w:val="18"/>
              </w:rPr>
              <w:t>0.92</w:t>
            </w:r>
          </w:p>
        </w:tc>
        <w:tc>
          <w:tcPr>
            <w:tcW w:w="1701" w:type="dxa"/>
            <w:hideMark/>
          </w:tcPr>
          <w:p w:rsidR="00903D9E" w:rsidRPr="00E57B8F" w:rsidRDefault="00903D9E" w:rsidP="00E57B8F">
            <w:pPr>
              <w:rPr>
                <w:sz w:val="18"/>
                <w:szCs w:val="18"/>
              </w:rPr>
            </w:pPr>
            <w:r w:rsidRPr="00E57B8F">
              <w:rPr>
                <w:sz w:val="18"/>
                <w:szCs w:val="18"/>
              </w:rPr>
              <w:t>1.00</w:t>
            </w:r>
          </w:p>
        </w:tc>
      </w:tr>
      <w:tr w:rsidR="00903D9E" w:rsidRPr="00E57B8F" w:rsidTr="003A5470">
        <w:tc>
          <w:tcPr>
            <w:tcW w:w="8789" w:type="dxa"/>
            <w:gridSpan w:val="7"/>
            <w:hideMark/>
          </w:tcPr>
          <w:p w:rsidR="00903D9E" w:rsidRPr="00E57B8F" w:rsidRDefault="00903D9E" w:rsidP="00E57B8F">
            <w:pPr>
              <w:pStyle w:val="TableHeading2"/>
            </w:pPr>
            <w:r w:rsidRPr="00E57B8F">
              <w:t>Week 8 (LOCF)</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Controlled disease</w:t>
            </w:r>
          </w:p>
        </w:tc>
        <w:tc>
          <w:tcPr>
            <w:tcW w:w="1701" w:type="dxa"/>
            <w:hideMark/>
          </w:tcPr>
          <w:p w:rsidR="00903D9E" w:rsidRPr="00E57B8F" w:rsidRDefault="00903D9E" w:rsidP="00E57B8F">
            <w:pPr>
              <w:rPr>
                <w:sz w:val="18"/>
                <w:szCs w:val="18"/>
              </w:rPr>
            </w:pPr>
            <w:r w:rsidRPr="00E57B8F">
              <w:rPr>
                <w:sz w:val="18"/>
                <w:szCs w:val="18"/>
              </w:rPr>
              <w:t>44 (27.2)</w:t>
            </w:r>
          </w:p>
        </w:tc>
        <w:tc>
          <w:tcPr>
            <w:tcW w:w="1701" w:type="dxa"/>
            <w:gridSpan w:val="2"/>
            <w:hideMark/>
          </w:tcPr>
          <w:p w:rsidR="00903D9E" w:rsidRPr="00E57B8F" w:rsidRDefault="00903D9E" w:rsidP="00E57B8F">
            <w:pPr>
              <w:rPr>
                <w:sz w:val="18"/>
                <w:szCs w:val="18"/>
              </w:rPr>
            </w:pPr>
            <w:r w:rsidRPr="00E57B8F">
              <w:rPr>
                <w:sz w:val="18"/>
                <w:szCs w:val="18"/>
              </w:rPr>
              <w:t>14 (16.9)</w:t>
            </w:r>
          </w:p>
        </w:tc>
        <w:tc>
          <w:tcPr>
            <w:tcW w:w="1701" w:type="dxa"/>
            <w:gridSpan w:val="2"/>
            <w:hideMark/>
          </w:tcPr>
          <w:p w:rsidR="00903D9E" w:rsidRPr="00E57B8F" w:rsidRDefault="00903D9E" w:rsidP="00E57B8F">
            <w:pPr>
              <w:rPr>
                <w:sz w:val="18"/>
                <w:szCs w:val="18"/>
              </w:rPr>
            </w:pPr>
            <w:r w:rsidRPr="00E57B8F">
              <w:rPr>
                <w:sz w:val="18"/>
                <w:szCs w:val="18"/>
              </w:rPr>
              <w:t>9 (11.4)</w:t>
            </w:r>
          </w:p>
        </w:tc>
        <w:tc>
          <w:tcPr>
            <w:tcW w:w="1701" w:type="dxa"/>
            <w:hideMark/>
          </w:tcPr>
          <w:p w:rsidR="00903D9E" w:rsidRPr="00E57B8F" w:rsidRDefault="00903D9E" w:rsidP="00E57B8F">
            <w:pPr>
              <w:rPr>
                <w:sz w:val="18"/>
                <w:szCs w:val="18"/>
              </w:rPr>
            </w:pPr>
            <w:r w:rsidRPr="00E57B8F">
              <w:rPr>
                <w:sz w:val="18"/>
                <w:szCs w:val="18"/>
              </w:rPr>
              <w:t>0 (0)</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Non-controlled disease</w:t>
            </w:r>
          </w:p>
        </w:tc>
        <w:tc>
          <w:tcPr>
            <w:tcW w:w="1701" w:type="dxa"/>
            <w:hideMark/>
          </w:tcPr>
          <w:p w:rsidR="00903D9E" w:rsidRPr="00E57B8F" w:rsidRDefault="00903D9E" w:rsidP="00E57B8F">
            <w:pPr>
              <w:rPr>
                <w:sz w:val="18"/>
                <w:szCs w:val="18"/>
              </w:rPr>
            </w:pPr>
            <w:r w:rsidRPr="00E57B8F">
              <w:rPr>
                <w:sz w:val="18"/>
                <w:szCs w:val="18"/>
              </w:rPr>
              <w:t>118 (72.8)</w:t>
            </w:r>
          </w:p>
        </w:tc>
        <w:tc>
          <w:tcPr>
            <w:tcW w:w="1701" w:type="dxa"/>
            <w:gridSpan w:val="2"/>
            <w:hideMark/>
          </w:tcPr>
          <w:p w:rsidR="00903D9E" w:rsidRPr="00E57B8F" w:rsidRDefault="00903D9E" w:rsidP="00E57B8F">
            <w:pPr>
              <w:rPr>
                <w:sz w:val="18"/>
                <w:szCs w:val="18"/>
              </w:rPr>
            </w:pPr>
            <w:r w:rsidRPr="00E57B8F">
              <w:rPr>
                <w:sz w:val="18"/>
                <w:szCs w:val="18"/>
              </w:rPr>
              <w:t>69 (83.1)</w:t>
            </w:r>
          </w:p>
        </w:tc>
        <w:tc>
          <w:tcPr>
            <w:tcW w:w="1701" w:type="dxa"/>
            <w:gridSpan w:val="2"/>
            <w:hideMark/>
          </w:tcPr>
          <w:p w:rsidR="00903D9E" w:rsidRPr="00E57B8F" w:rsidRDefault="00903D9E" w:rsidP="00E57B8F">
            <w:pPr>
              <w:rPr>
                <w:sz w:val="18"/>
                <w:szCs w:val="18"/>
              </w:rPr>
            </w:pPr>
            <w:r w:rsidRPr="00E57B8F">
              <w:rPr>
                <w:sz w:val="18"/>
                <w:szCs w:val="18"/>
              </w:rPr>
              <w:t>70 (88.6)</w:t>
            </w:r>
          </w:p>
        </w:tc>
        <w:tc>
          <w:tcPr>
            <w:tcW w:w="1701" w:type="dxa"/>
            <w:hideMark/>
          </w:tcPr>
          <w:p w:rsidR="00903D9E" w:rsidRPr="00E57B8F" w:rsidRDefault="00903D9E" w:rsidP="00E57B8F">
            <w:pPr>
              <w:rPr>
                <w:sz w:val="18"/>
                <w:szCs w:val="18"/>
              </w:rPr>
            </w:pPr>
            <w:r w:rsidRPr="00E57B8F">
              <w:rPr>
                <w:sz w:val="18"/>
                <w:szCs w:val="18"/>
              </w:rPr>
              <w:t>40 (100.0)</w:t>
            </w: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Odds ratio</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2.40</w:t>
            </w:r>
          </w:p>
        </w:tc>
        <w:tc>
          <w:tcPr>
            <w:tcW w:w="1701" w:type="dxa"/>
            <w:gridSpan w:val="2"/>
            <w:hideMark/>
          </w:tcPr>
          <w:p w:rsidR="00903D9E" w:rsidRPr="00E57B8F" w:rsidRDefault="00903D9E" w:rsidP="00E57B8F">
            <w:pPr>
              <w:rPr>
                <w:sz w:val="18"/>
                <w:szCs w:val="18"/>
              </w:rPr>
            </w:pPr>
            <w:r w:rsidRPr="00E57B8F">
              <w:rPr>
                <w:sz w:val="18"/>
                <w:szCs w:val="18"/>
              </w:rPr>
              <w:t>2.89</w:t>
            </w:r>
          </w:p>
        </w:tc>
        <w:tc>
          <w:tcPr>
            <w:tcW w:w="1701" w:type="dxa"/>
          </w:tcPr>
          <w:p w:rsidR="00903D9E" w:rsidRPr="00E57B8F" w:rsidRDefault="00903D9E" w:rsidP="00E57B8F">
            <w:pPr>
              <w:rPr>
                <w:sz w:val="18"/>
                <w:szCs w:val="18"/>
              </w:rPr>
            </w:pP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95% CI</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1.11 to 5.20</w:t>
            </w:r>
          </w:p>
        </w:tc>
        <w:tc>
          <w:tcPr>
            <w:tcW w:w="1701" w:type="dxa"/>
            <w:gridSpan w:val="2"/>
            <w:hideMark/>
          </w:tcPr>
          <w:p w:rsidR="00903D9E" w:rsidRPr="00E57B8F" w:rsidRDefault="00903D9E" w:rsidP="00E57B8F">
            <w:pPr>
              <w:rPr>
                <w:sz w:val="18"/>
                <w:szCs w:val="18"/>
              </w:rPr>
            </w:pPr>
            <w:r w:rsidRPr="00E57B8F">
              <w:rPr>
                <w:sz w:val="18"/>
                <w:szCs w:val="18"/>
              </w:rPr>
              <w:t>1.31 to 6.38</w:t>
            </w:r>
          </w:p>
        </w:tc>
        <w:tc>
          <w:tcPr>
            <w:tcW w:w="1701" w:type="dxa"/>
          </w:tcPr>
          <w:p w:rsidR="00903D9E" w:rsidRPr="00E57B8F" w:rsidRDefault="00903D9E" w:rsidP="00E57B8F">
            <w:pPr>
              <w:rPr>
                <w:sz w:val="18"/>
                <w:szCs w:val="18"/>
              </w:rPr>
            </w:pPr>
          </w:p>
        </w:tc>
      </w:tr>
      <w:tr w:rsidR="00903D9E" w:rsidRPr="00E57B8F" w:rsidTr="003A5470">
        <w:tc>
          <w:tcPr>
            <w:tcW w:w="1985" w:type="dxa"/>
            <w:hideMark/>
          </w:tcPr>
          <w:p w:rsidR="00903D9E" w:rsidRPr="00E57B8F" w:rsidRDefault="00903D9E" w:rsidP="00E57B8F">
            <w:pPr>
              <w:rPr>
                <w:sz w:val="18"/>
                <w:szCs w:val="18"/>
              </w:rPr>
            </w:pPr>
            <w:r w:rsidRPr="00E57B8F">
              <w:rPr>
                <w:sz w:val="18"/>
                <w:szCs w:val="18"/>
              </w:rPr>
              <w:t>CMH test</w:t>
            </w:r>
            <w:r w:rsidRPr="00E57B8F">
              <w:rPr>
                <w:sz w:val="18"/>
                <w:szCs w:val="18"/>
                <w:vertAlign w:val="superscript"/>
              </w:rPr>
              <w:t>1</w:t>
            </w:r>
            <w:r w:rsidRPr="00E57B8F">
              <w:rPr>
                <w:sz w:val="18"/>
                <w:szCs w:val="18"/>
              </w:rPr>
              <w:t xml:space="preserve"> (p value)</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0.027</w:t>
            </w:r>
          </w:p>
        </w:tc>
        <w:tc>
          <w:tcPr>
            <w:tcW w:w="1701" w:type="dxa"/>
            <w:gridSpan w:val="2"/>
            <w:hideMark/>
          </w:tcPr>
          <w:p w:rsidR="00903D9E" w:rsidRPr="00E57B8F" w:rsidRDefault="00903D9E" w:rsidP="00E57B8F">
            <w:pPr>
              <w:rPr>
                <w:sz w:val="18"/>
                <w:szCs w:val="18"/>
              </w:rPr>
            </w:pPr>
            <w:r w:rsidRPr="00E57B8F">
              <w:rPr>
                <w:sz w:val="18"/>
                <w:szCs w:val="18"/>
              </w:rPr>
              <w:t>0.006</w:t>
            </w:r>
          </w:p>
        </w:tc>
        <w:tc>
          <w:tcPr>
            <w:tcW w:w="1701" w:type="dxa"/>
            <w:hideMark/>
          </w:tcPr>
          <w:p w:rsidR="00903D9E" w:rsidRPr="00E57B8F" w:rsidRDefault="00903D9E" w:rsidP="00E57B8F">
            <w:pPr>
              <w:rPr>
                <w:sz w:val="18"/>
                <w:szCs w:val="18"/>
              </w:rPr>
            </w:pPr>
            <w:r w:rsidRPr="00E57B8F">
              <w:rPr>
                <w:sz w:val="18"/>
                <w:szCs w:val="18"/>
              </w:rPr>
              <w:t>&lt; 0.001</w:t>
            </w:r>
          </w:p>
        </w:tc>
      </w:tr>
      <w:tr w:rsidR="00903D9E" w:rsidRPr="00E57B8F" w:rsidTr="003A5470">
        <w:tc>
          <w:tcPr>
            <w:tcW w:w="1985" w:type="dxa"/>
            <w:hideMark/>
          </w:tcPr>
          <w:p w:rsidR="00903D9E" w:rsidRPr="00E57B8F" w:rsidRDefault="00903D9E" w:rsidP="00E57B8F">
            <w:pPr>
              <w:rPr>
                <w:sz w:val="18"/>
                <w:szCs w:val="18"/>
              </w:rPr>
            </w:pPr>
            <w:proofErr w:type="spellStart"/>
            <w:r w:rsidRPr="00E57B8F">
              <w:rPr>
                <w:sz w:val="18"/>
                <w:szCs w:val="18"/>
              </w:rPr>
              <w:t>Breslow</w:t>
            </w:r>
            <w:proofErr w:type="spellEnd"/>
            <w:r w:rsidRPr="00E57B8F">
              <w:rPr>
                <w:sz w:val="18"/>
                <w:szCs w:val="18"/>
              </w:rPr>
              <w:t>-Day test</w:t>
            </w:r>
            <w:r w:rsidRPr="00E57B8F">
              <w:rPr>
                <w:sz w:val="18"/>
                <w:szCs w:val="18"/>
                <w:vertAlign w:val="superscript"/>
              </w:rPr>
              <w:t>2</w:t>
            </w:r>
          </w:p>
        </w:tc>
        <w:tc>
          <w:tcPr>
            <w:tcW w:w="1701" w:type="dxa"/>
          </w:tcPr>
          <w:p w:rsidR="00903D9E" w:rsidRPr="00E57B8F" w:rsidRDefault="00903D9E" w:rsidP="00E57B8F">
            <w:pPr>
              <w:rPr>
                <w:sz w:val="18"/>
                <w:szCs w:val="18"/>
              </w:rPr>
            </w:pPr>
          </w:p>
        </w:tc>
        <w:tc>
          <w:tcPr>
            <w:tcW w:w="1701" w:type="dxa"/>
            <w:gridSpan w:val="2"/>
            <w:hideMark/>
          </w:tcPr>
          <w:p w:rsidR="00903D9E" w:rsidRPr="00E57B8F" w:rsidRDefault="00903D9E" w:rsidP="00E57B8F">
            <w:pPr>
              <w:rPr>
                <w:sz w:val="18"/>
                <w:szCs w:val="18"/>
              </w:rPr>
            </w:pPr>
            <w:r w:rsidRPr="00E57B8F">
              <w:rPr>
                <w:sz w:val="18"/>
                <w:szCs w:val="18"/>
              </w:rPr>
              <w:t>0.88</w:t>
            </w:r>
          </w:p>
        </w:tc>
        <w:tc>
          <w:tcPr>
            <w:tcW w:w="1701" w:type="dxa"/>
            <w:gridSpan w:val="2"/>
            <w:hideMark/>
          </w:tcPr>
          <w:p w:rsidR="00903D9E" w:rsidRPr="00E57B8F" w:rsidRDefault="00903D9E" w:rsidP="00E57B8F">
            <w:pPr>
              <w:rPr>
                <w:sz w:val="18"/>
                <w:szCs w:val="18"/>
              </w:rPr>
            </w:pPr>
            <w:r w:rsidRPr="00E57B8F">
              <w:rPr>
                <w:sz w:val="18"/>
                <w:szCs w:val="18"/>
              </w:rPr>
              <w:t>0.29</w:t>
            </w:r>
          </w:p>
        </w:tc>
        <w:tc>
          <w:tcPr>
            <w:tcW w:w="1701" w:type="dxa"/>
          </w:tcPr>
          <w:p w:rsidR="00903D9E" w:rsidRPr="00E57B8F" w:rsidRDefault="00903D9E" w:rsidP="00E57B8F">
            <w:pPr>
              <w:rPr>
                <w:sz w:val="18"/>
                <w:szCs w:val="18"/>
              </w:rPr>
            </w:pPr>
          </w:p>
        </w:tc>
      </w:tr>
    </w:tbl>
    <w:p w:rsidR="00903D9E" w:rsidRPr="003A5470" w:rsidRDefault="00903D9E" w:rsidP="00E57B8F">
      <w:pPr>
        <w:pStyle w:val="TableDescription"/>
      </w:pPr>
      <w:r w:rsidRPr="003A5470">
        <w:t>1. Cochran-Mantel-</w:t>
      </w:r>
      <w:proofErr w:type="spellStart"/>
      <w:r w:rsidRPr="003A5470">
        <w:t>Haenszel</w:t>
      </w:r>
      <w:proofErr w:type="spellEnd"/>
      <w:r w:rsidRPr="003A5470">
        <w:t xml:space="preserve"> test for the hypothesis of odds ratio equal to 1</w:t>
      </w:r>
    </w:p>
    <w:p w:rsidR="00903D9E" w:rsidRPr="003A5470" w:rsidRDefault="00903D9E" w:rsidP="00E57B8F">
      <w:pPr>
        <w:pStyle w:val="TableDescription"/>
      </w:pPr>
      <w:r w:rsidRPr="003A5470">
        <w:t>2. Test for homogeneity of odds ratios across centres</w:t>
      </w:r>
    </w:p>
    <w:p w:rsidR="00DB2A47" w:rsidRPr="00DB2A47" w:rsidRDefault="00DB2A47" w:rsidP="00E57B8F">
      <w:r w:rsidRPr="00DB2A47">
        <w:t>Daivobet gel was statistically significantly more effective than betamethasone dipropionate gel, calcipotriol gel and the vehicle at Week 8; but at Week 4, the comparison w</w:t>
      </w:r>
      <w:r w:rsidR="00600C48">
        <w:t xml:space="preserve">ith betamethasone dipropionate </w:t>
      </w:r>
      <w:r w:rsidRPr="00DB2A47">
        <w:t>ge</w:t>
      </w:r>
      <w:r w:rsidR="00600C48">
        <w:t xml:space="preserve">l </w:t>
      </w:r>
      <w:r w:rsidRPr="00DB2A47">
        <w:t>did not reach statistical significance.</w:t>
      </w:r>
    </w:p>
    <w:p w:rsidR="00DB2A47" w:rsidRPr="00DB2A47" w:rsidRDefault="00DB2A47" w:rsidP="00E57B8F">
      <w:r w:rsidRPr="00DB2A47">
        <w:t xml:space="preserve">Percentage change in PASI showed similar results </w:t>
      </w:r>
      <w:proofErr w:type="spellStart"/>
      <w:r w:rsidRPr="00DB2A47">
        <w:t>i.e</w:t>
      </w:r>
      <w:proofErr w:type="spellEnd"/>
      <w:r w:rsidRPr="00DB2A47">
        <w:t xml:space="preserve"> greater change with Daivobet gel than the individual components. </w:t>
      </w:r>
    </w:p>
    <w:p w:rsidR="00DB2A47" w:rsidRPr="00DB2A47" w:rsidRDefault="00DB2A47" w:rsidP="00E57B8F">
      <w:r w:rsidRPr="00DB2A47">
        <w:t xml:space="preserve">The evaluator mentions that in relation to the PGA, at </w:t>
      </w:r>
      <w:r w:rsidR="003A5470">
        <w:t>W</w:t>
      </w:r>
      <w:r w:rsidRPr="00DB2A47">
        <w:t>eek 4 and 8, Daivobet gel was statistically significantly more effective than calcipotriol gel  and vehicle but not compared to betamethasone dipropionate gel.</w:t>
      </w:r>
    </w:p>
    <w:p w:rsidR="00DB2A47" w:rsidRPr="00DB2A47" w:rsidRDefault="00DB2A47" w:rsidP="00E57B8F">
      <w:r w:rsidRPr="003A5470">
        <w:rPr>
          <w:b/>
        </w:rPr>
        <w:t>Study PLQ001</w:t>
      </w:r>
      <w:r w:rsidRPr="00DB2A47">
        <w:t xml:space="preserve"> is a </w:t>
      </w:r>
      <w:r w:rsidR="003A5470">
        <w:t>P</w:t>
      </w:r>
      <w:r w:rsidRPr="00DB2A47">
        <w:t xml:space="preserve">hase </w:t>
      </w:r>
      <w:r w:rsidR="003A5470">
        <w:t>II</w:t>
      </w:r>
      <w:r w:rsidRPr="00DB2A47">
        <w:t xml:space="preserve"> study conducted to evaluate the psoriasis plaque test comparing three marketed products and two investigational products (LEO 80185 and LEO 80190) and a vehicle control in the treatment of psoriasis vulgaris. LEO 80185 gel contained calcipotriol 50 µg/g as hydrate plus betamethasone 0.5 mg/g as dipropionate; LEO 80190 ointment contained calcipotriol 25 µg/g as hydrate plus hydrocortisone 1</w:t>
      </w:r>
      <w:r w:rsidR="003A5470">
        <w:t>0 </w:t>
      </w:r>
      <w:r w:rsidRPr="00DB2A47">
        <w:t>mg/g. The marketed products contained calcipotriol 50 µg/g as hydrate as cream or ointment; and Daivobet ointment. There were two investigat</w:t>
      </w:r>
      <w:r w:rsidR="003A5470">
        <w:t>ional products: calcipotriol 50 </w:t>
      </w:r>
      <w:r w:rsidRPr="00DB2A47">
        <w:t>µg/g as hydrate plus betamethasone 0.5 mg/g as dipropionate as gel and ointment. There was also a vehicle gel included as treatment. The aim of the study was to evaluate the use of the psoriasis plaque test and specific selected biomarkers in predicting treatment efficacy of psoriasis vulgaris. (This study is generally used early in development to identify the optimal formulation that can be selected for further development).</w:t>
      </w:r>
    </w:p>
    <w:p w:rsidR="00DB2A47" w:rsidRPr="00DB2A47" w:rsidRDefault="00DB2A47" w:rsidP="00E57B8F">
      <w:r w:rsidRPr="00DB2A47">
        <w:t>27 subjects were analysed; 24 completed the study. Total clinical score was the primary outcome. The results showed that the treatment effect separated into three pairs:</w:t>
      </w:r>
      <w:r w:rsidR="003A5470">
        <w:t xml:space="preserve"> </w:t>
      </w:r>
      <w:r w:rsidRPr="00DB2A47">
        <w:t>1)</w:t>
      </w:r>
      <w:r w:rsidR="003A5470">
        <w:t> </w:t>
      </w:r>
      <w:r w:rsidRPr="00DB2A47">
        <w:t>Daivobet ointme</w:t>
      </w:r>
      <w:r w:rsidR="003A5470">
        <w:t xml:space="preserve">nt and LEO 80185 (Daivobet gel); </w:t>
      </w:r>
      <w:r w:rsidRPr="00DB2A47">
        <w:t>2) Calcipotriol ointment and LEO 80190 3) Daivobet ointment vehicle and calcipotriol cream.</w:t>
      </w:r>
    </w:p>
    <w:p w:rsidR="00DB2A47" w:rsidRPr="00DB2A47" w:rsidRDefault="00DB2A47" w:rsidP="00E57B8F">
      <w:r w:rsidRPr="00DB2A47">
        <w:t>The evaluator states that there was a good correlation with the TCS and selected biomarkers (</w:t>
      </w:r>
      <w:r w:rsidR="003A5470">
        <w:t xml:space="preserve">that is, </w:t>
      </w:r>
      <w:r w:rsidRPr="00DB2A47">
        <w:t xml:space="preserve">epidermal thickness, morphology and infiltration of inflammatory cells). </w:t>
      </w:r>
    </w:p>
    <w:p w:rsidR="003A5470" w:rsidRDefault="00DB2A47" w:rsidP="00E57B8F">
      <w:pPr>
        <w:pStyle w:val="Heading5"/>
      </w:pPr>
      <w:r w:rsidRPr="003A5470">
        <w:t>Pooled analysis</w:t>
      </w:r>
      <w:r w:rsidRPr="00DB2A47">
        <w:t xml:space="preserve"> </w:t>
      </w:r>
    </w:p>
    <w:p w:rsidR="00DB2A47" w:rsidRPr="00DB2A47" w:rsidRDefault="00DB2A47" w:rsidP="00E57B8F">
      <w:r w:rsidRPr="00DB2A47">
        <w:t>The evaluator discusses a pooled analysis of the 3 efficacy studies, LEO80185-G23, LEO80185-G21 and MBL0202INT. It is noted that LEO801</w:t>
      </w:r>
      <w:r w:rsidR="003A5470">
        <w:t xml:space="preserve">85-G21 had no ‘mild disease’ and </w:t>
      </w:r>
      <w:r w:rsidRPr="00DB2A47">
        <w:t xml:space="preserve">LEO80185-G23 had no </w:t>
      </w:r>
      <w:r w:rsidR="003A5470">
        <w:t>‘</w:t>
      </w:r>
      <w:r w:rsidRPr="00DB2A47">
        <w:t>severe</w:t>
      </w:r>
      <w:r w:rsidR="003A5470">
        <w:t>’</w:t>
      </w:r>
      <w:r w:rsidRPr="00DB2A47">
        <w:t xml:space="preserve"> and </w:t>
      </w:r>
      <w:r w:rsidR="003A5470">
        <w:t>‘</w:t>
      </w:r>
      <w:r w:rsidRPr="00DB2A47">
        <w:t>very severe</w:t>
      </w:r>
      <w:r w:rsidR="003A5470">
        <w:t>’</w:t>
      </w:r>
      <w:r w:rsidRPr="00DB2A47">
        <w:t xml:space="preserve"> disease. Baseline PASI was also higher in LEO80185-G21.</w:t>
      </w:r>
    </w:p>
    <w:p w:rsidR="00DB2A47" w:rsidRPr="00DB2A47" w:rsidRDefault="00DB2A47" w:rsidP="00E57B8F">
      <w:r w:rsidRPr="00DB2A47">
        <w:t xml:space="preserve">The pooled ‘controlled disease’ results are given below. These data suggest that 8 </w:t>
      </w:r>
      <w:r w:rsidR="003A5470">
        <w:t>W</w:t>
      </w:r>
      <w:r w:rsidRPr="00DB2A47">
        <w:t>eek treatment duration was required to show significant benefit.</w:t>
      </w:r>
    </w:p>
    <w:p w:rsidR="007A052A" w:rsidRPr="007A052A" w:rsidRDefault="007A052A" w:rsidP="00E57B8F">
      <w:pPr>
        <w:pStyle w:val="TableTitle"/>
      </w:pPr>
      <w:bookmarkStart w:id="264" w:name="_Toc342054248"/>
      <w:r w:rsidRPr="007A052A">
        <w:t xml:space="preserve">Table </w:t>
      </w:r>
      <w:r w:rsidR="006C2B37">
        <w:t>1</w:t>
      </w:r>
      <w:r w:rsidR="00903D9E">
        <w:t>3</w:t>
      </w:r>
      <w:r w:rsidR="003A5470">
        <w:t>. Pooled d</w:t>
      </w:r>
      <w:r w:rsidRPr="007A052A">
        <w:t>ata - ‘Controlled disease’ (IGA) at Week</w:t>
      </w:r>
      <w:r w:rsidR="003A5470">
        <w:t>s</w:t>
      </w:r>
      <w:r w:rsidRPr="007A052A">
        <w:t xml:space="preserve"> 4 and 8 by </w:t>
      </w:r>
      <w:r w:rsidR="003A5470">
        <w:t>s</w:t>
      </w:r>
      <w:r w:rsidRPr="007A052A">
        <w:t>tudy, treatment group and pooled treatment group: full analysis set</w:t>
      </w:r>
      <w:bookmarkEnd w:id="264"/>
    </w:p>
    <w:tbl>
      <w:tblPr>
        <w:tblStyle w:val="TableTGAblue"/>
        <w:tblW w:w="9180" w:type="dxa"/>
        <w:tblLayout w:type="fixed"/>
        <w:tblLook w:val="04A0"/>
      </w:tblPr>
      <w:tblGrid>
        <w:gridCol w:w="1668"/>
        <w:gridCol w:w="1538"/>
        <w:gridCol w:w="1580"/>
        <w:gridCol w:w="1559"/>
        <w:gridCol w:w="1418"/>
        <w:gridCol w:w="1417"/>
      </w:tblGrid>
      <w:tr w:rsidR="0094746F" w:rsidRPr="006A4428" w:rsidTr="006A4428">
        <w:trPr>
          <w:cnfStyle w:val="100000000000"/>
          <w:cantSplit/>
          <w:tblHeader/>
        </w:trPr>
        <w:tc>
          <w:tcPr>
            <w:tcW w:w="1668" w:type="dxa"/>
            <w:vMerge w:val="restart"/>
            <w:vAlign w:val="center"/>
          </w:tcPr>
          <w:p w:rsidR="0094746F" w:rsidRPr="006A4428" w:rsidRDefault="0094746F" w:rsidP="006A4428">
            <w:pPr>
              <w:rPr>
                <w:sz w:val="18"/>
                <w:szCs w:val="18"/>
              </w:rPr>
            </w:pPr>
            <w:r w:rsidRPr="006A4428">
              <w:rPr>
                <w:sz w:val="18"/>
                <w:szCs w:val="18"/>
              </w:rPr>
              <w:t>Week</w:t>
            </w:r>
          </w:p>
          <w:p w:rsidR="0094746F" w:rsidRPr="006A4428" w:rsidRDefault="0094746F" w:rsidP="006A4428">
            <w:pPr>
              <w:rPr>
                <w:sz w:val="18"/>
                <w:szCs w:val="18"/>
              </w:rPr>
            </w:pPr>
            <w:r w:rsidRPr="006A4428">
              <w:rPr>
                <w:sz w:val="18"/>
                <w:szCs w:val="18"/>
              </w:rPr>
              <w:t>Controlled disease</w:t>
            </w:r>
          </w:p>
        </w:tc>
        <w:tc>
          <w:tcPr>
            <w:tcW w:w="1538" w:type="dxa"/>
            <w:hideMark/>
          </w:tcPr>
          <w:p w:rsidR="0094746F" w:rsidRPr="006A4428" w:rsidRDefault="0094746F" w:rsidP="006A4428">
            <w:pPr>
              <w:rPr>
                <w:sz w:val="18"/>
                <w:szCs w:val="18"/>
              </w:rPr>
            </w:pPr>
            <w:r w:rsidRPr="006A4428">
              <w:rPr>
                <w:sz w:val="18"/>
                <w:szCs w:val="18"/>
              </w:rPr>
              <w:t>Daivobet gel</w:t>
            </w:r>
          </w:p>
        </w:tc>
        <w:tc>
          <w:tcPr>
            <w:tcW w:w="1580" w:type="dxa"/>
            <w:hideMark/>
          </w:tcPr>
          <w:p w:rsidR="0094746F" w:rsidRPr="006A4428" w:rsidRDefault="0094746F" w:rsidP="006A4428">
            <w:pPr>
              <w:rPr>
                <w:sz w:val="18"/>
                <w:szCs w:val="18"/>
              </w:rPr>
            </w:pPr>
            <w:proofErr w:type="spellStart"/>
            <w:r w:rsidRPr="006A4428">
              <w:rPr>
                <w:sz w:val="18"/>
                <w:szCs w:val="18"/>
              </w:rPr>
              <w:t>Betametha-sone</w:t>
            </w:r>
            <w:proofErr w:type="spellEnd"/>
            <w:r w:rsidRPr="006A4428">
              <w:rPr>
                <w:sz w:val="18"/>
                <w:szCs w:val="18"/>
              </w:rPr>
              <w:t xml:space="preserve"> gel</w:t>
            </w:r>
          </w:p>
        </w:tc>
        <w:tc>
          <w:tcPr>
            <w:tcW w:w="1559" w:type="dxa"/>
            <w:hideMark/>
          </w:tcPr>
          <w:p w:rsidR="0094746F" w:rsidRPr="006A4428" w:rsidRDefault="0094746F" w:rsidP="006A4428">
            <w:pPr>
              <w:rPr>
                <w:sz w:val="18"/>
                <w:szCs w:val="18"/>
              </w:rPr>
            </w:pPr>
            <w:proofErr w:type="spellStart"/>
            <w:r w:rsidRPr="006A4428">
              <w:rPr>
                <w:sz w:val="18"/>
                <w:szCs w:val="18"/>
              </w:rPr>
              <w:t>Calcipotriol</w:t>
            </w:r>
            <w:proofErr w:type="spellEnd"/>
            <w:r w:rsidRPr="006A4428">
              <w:rPr>
                <w:sz w:val="18"/>
                <w:szCs w:val="18"/>
              </w:rPr>
              <w:t xml:space="preserve"> gel</w:t>
            </w:r>
          </w:p>
        </w:tc>
        <w:tc>
          <w:tcPr>
            <w:tcW w:w="1418" w:type="dxa"/>
            <w:hideMark/>
          </w:tcPr>
          <w:p w:rsidR="0094746F" w:rsidRPr="006A4428" w:rsidRDefault="0094746F" w:rsidP="006A4428">
            <w:pPr>
              <w:rPr>
                <w:sz w:val="18"/>
                <w:szCs w:val="18"/>
              </w:rPr>
            </w:pPr>
            <w:r w:rsidRPr="006A4428">
              <w:rPr>
                <w:sz w:val="18"/>
                <w:szCs w:val="18"/>
              </w:rPr>
              <w:t>Gel vehicle</w:t>
            </w:r>
          </w:p>
        </w:tc>
        <w:tc>
          <w:tcPr>
            <w:tcW w:w="1417" w:type="dxa"/>
            <w:hideMark/>
          </w:tcPr>
          <w:p w:rsidR="0094746F" w:rsidRPr="006A4428" w:rsidRDefault="0094746F" w:rsidP="006A4428">
            <w:pPr>
              <w:rPr>
                <w:sz w:val="18"/>
                <w:szCs w:val="18"/>
              </w:rPr>
            </w:pPr>
            <w:proofErr w:type="spellStart"/>
            <w:r w:rsidRPr="006A4428">
              <w:rPr>
                <w:sz w:val="18"/>
                <w:szCs w:val="18"/>
              </w:rPr>
              <w:t>Tacalcitol</w:t>
            </w:r>
            <w:proofErr w:type="spellEnd"/>
          </w:p>
        </w:tc>
      </w:tr>
      <w:tr w:rsidR="0094746F" w:rsidRPr="006A4428" w:rsidTr="003A5470">
        <w:trPr>
          <w:cnfStyle w:val="100000000000"/>
          <w:cantSplit/>
          <w:tblHeader/>
        </w:trPr>
        <w:tc>
          <w:tcPr>
            <w:tcW w:w="1668" w:type="dxa"/>
            <w:vMerge/>
          </w:tcPr>
          <w:p w:rsidR="0094746F" w:rsidRPr="006A4428" w:rsidRDefault="0094746F" w:rsidP="006A4428">
            <w:pPr>
              <w:rPr>
                <w:sz w:val="18"/>
                <w:szCs w:val="18"/>
              </w:rPr>
            </w:pPr>
          </w:p>
        </w:tc>
        <w:tc>
          <w:tcPr>
            <w:tcW w:w="1538" w:type="dxa"/>
            <w:hideMark/>
          </w:tcPr>
          <w:p w:rsidR="0094746F" w:rsidRPr="006A4428" w:rsidRDefault="0094746F" w:rsidP="006A4428">
            <w:pPr>
              <w:rPr>
                <w:sz w:val="18"/>
                <w:szCs w:val="18"/>
              </w:rPr>
            </w:pPr>
            <w:r w:rsidRPr="006A4428">
              <w:rPr>
                <w:sz w:val="18"/>
                <w:szCs w:val="18"/>
              </w:rPr>
              <w:t>Number of subjects (%)</w:t>
            </w:r>
          </w:p>
        </w:tc>
        <w:tc>
          <w:tcPr>
            <w:tcW w:w="1580" w:type="dxa"/>
            <w:hideMark/>
          </w:tcPr>
          <w:p w:rsidR="0094746F" w:rsidRPr="006A4428" w:rsidRDefault="0094746F" w:rsidP="006A4428">
            <w:pPr>
              <w:rPr>
                <w:sz w:val="18"/>
                <w:szCs w:val="18"/>
              </w:rPr>
            </w:pPr>
            <w:r w:rsidRPr="006A4428">
              <w:rPr>
                <w:sz w:val="18"/>
                <w:szCs w:val="18"/>
              </w:rPr>
              <w:t>Number of subjects (%)</w:t>
            </w:r>
          </w:p>
        </w:tc>
        <w:tc>
          <w:tcPr>
            <w:tcW w:w="1559" w:type="dxa"/>
            <w:hideMark/>
          </w:tcPr>
          <w:p w:rsidR="0094746F" w:rsidRPr="006A4428" w:rsidRDefault="0094746F" w:rsidP="006A4428">
            <w:pPr>
              <w:rPr>
                <w:sz w:val="18"/>
                <w:szCs w:val="18"/>
              </w:rPr>
            </w:pPr>
            <w:r w:rsidRPr="006A4428">
              <w:rPr>
                <w:sz w:val="18"/>
                <w:szCs w:val="18"/>
              </w:rPr>
              <w:t>Number of subjects (%)</w:t>
            </w:r>
          </w:p>
        </w:tc>
        <w:tc>
          <w:tcPr>
            <w:tcW w:w="1418" w:type="dxa"/>
            <w:hideMark/>
          </w:tcPr>
          <w:p w:rsidR="0094746F" w:rsidRPr="006A4428" w:rsidRDefault="0094746F" w:rsidP="006A4428">
            <w:pPr>
              <w:rPr>
                <w:sz w:val="18"/>
                <w:szCs w:val="18"/>
              </w:rPr>
            </w:pPr>
            <w:r w:rsidRPr="006A4428">
              <w:rPr>
                <w:sz w:val="18"/>
                <w:szCs w:val="18"/>
              </w:rPr>
              <w:t>Number of subjects (%)</w:t>
            </w:r>
          </w:p>
        </w:tc>
        <w:tc>
          <w:tcPr>
            <w:tcW w:w="1417" w:type="dxa"/>
            <w:hideMark/>
          </w:tcPr>
          <w:p w:rsidR="0094746F" w:rsidRPr="006A4428" w:rsidRDefault="0094746F" w:rsidP="006A4428">
            <w:pPr>
              <w:rPr>
                <w:sz w:val="18"/>
                <w:szCs w:val="18"/>
              </w:rPr>
            </w:pPr>
            <w:r w:rsidRPr="006A4428">
              <w:rPr>
                <w:sz w:val="18"/>
                <w:szCs w:val="18"/>
              </w:rPr>
              <w:t>Number of subjects (%)</w:t>
            </w:r>
          </w:p>
        </w:tc>
      </w:tr>
      <w:tr w:rsidR="007A052A" w:rsidRPr="006A4428" w:rsidTr="003A5470">
        <w:trPr>
          <w:trHeight w:val="526"/>
        </w:trPr>
        <w:tc>
          <w:tcPr>
            <w:tcW w:w="9180" w:type="dxa"/>
            <w:gridSpan w:val="6"/>
          </w:tcPr>
          <w:p w:rsidR="007A052A" w:rsidRPr="006A4428" w:rsidRDefault="007A052A" w:rsidP="006A4428">
            <w:pPr>
              <w:pStyle w:val="TableHeading2"/>
            </w:pPr>
            <w:r w:rsidRPr="006A4428">
              <w:t>Week 4</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Controlled Disease</w:t>
            </w:r>
          </w:p>
        </w:tc>
        <w:tc>
          <w:tcPr>
            <w:tcW w:w="1538" w:type="dxa"/>
            <w:hideMark/>
          </w:tcPr>
          <w:p w:rsidR="007A052A" w:rsidRPr="006A4428" w:rsidRDefault="007A052A" w:rsidP="006A4428">
            <w:pPr>
              <w:rPr>
                <w:sz w:val="18"/>
                <w:szCs w:val="18"/>
              </w:rPr>
            </w:pPr>
            <w:r w:rsidRPr="006A4428">
              <w:rPr>
                <w:sz w:val="18"/>
                <w:szCs w:val="18"/>
              </w:rPr>
              <w:t>124 (15.0)</w:t>
            </w:r>
          </w:p>
        </w:tc>
        <w:tc>
          <w:tcPr>
            <w:tcW w:w="1580" w:type="dxa"/>
            <w:hideMark/>
          </w:tcPr>
          <w:p w:rsidR="007A052A" w:rsidRPr="006A4428" w:rsidRDefault="007A052A" w:rsidP="006A4428">
            <w:pPr>
              <w:rPr>
                <w:sz w:val="18"/>
                <w:szCs w:val="18"/>
              </w:rPr>
            </w:pPr>
            <w:r w:rsidRPr="006A4428">
              <w:rPr>
                <w:sz w:val="18"/>
                <w:szCs w:val="18"/>
              </w:rPr>
              <w:t>68 (12.1)</w:t>
            </w:r>
          </w:p>
        </w:tc>
        <w:tc>
          <w:tcPr>
            <w:tcW w:w="1559" w:type="dxa"/>
            <w:hideMark/>
          </w:tcPr>
          <w:p w:rsidR="007A052A" w:rsidRPr="006A4428" w:rsidRDefault="007A052A" w:rsidP="006A4428">
            <w:pPr>
              <w:rPr>
                <w:sz w:val="18"/>
                <w:szCs w:val="18"/>
              </w:rPr>
            </w:pPr>
            <w:r w:rsidRPr="006A4428">
              <w:rPr>
                <w:sz w:val="18"/>
                <w:szCs w:val="18"/>
              </w:rPr>
              <w:t>8 (4.6)</w:t>
            </w:r>
          </w:p>
        </w:tc>
        <w:tc>
          <w:tcPr>
            <w:tcW w:w="1418" w:type="dxa"/>
            <w:hideMark/>
          </w:tcPr>
          <w:p w:rsidR="007A052A" w:rsidRPr="006A4428" w:rsidRDefault="007A052A" w:rsidP="006A4428">
            <w:pPr>
              <w:rPr>
                <w:sz w:val="18"/>
                <w:szCs w:val="18"/>
              </w:rPr>
            </w:pPr>
            <w:r w:rsidRPr="006A4428">
              <w:rPr>
                <w:sz w:val="18"/>
                <w:szCs w:val="18"/>
              </w:rPr>
              <w:t>4 (1.8)</w:t>
            </w:r>
          </w:p>
        </w:tc>
        <w:tc>
          <w:tcPr>
            <w:tcW w:w="1417" w:type="dxa"/>
            <w:hideMark/>
          </w:tcPr>
          <w:p w:rsidR="007A052A" w:rsidRPr="006A4428" w:rsidRDefault="007A052A" w:rsidP="006A4428">
            <w:pPr>
              <w:rPr>
                <w:sz w:val="18"/>
                <w:szCs w:val="18"/>
              </w:rPr>
            </w:pPr>
            <w:r w:rsidRPr="006A4428">
              <w:rPr>
                <w:sz w:val="18"/>
                <w:szCs w:val="18"/>
              </w:rPr>
              <w:t>12 (6.5)</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Non-Controlled Disease</w:t>
            </w:r>
          </w:p>
        </w:tc>
        <w:tc>
          <w:tcPr>
            <w:tcW w:w="1538" w:type="dxa"/>
            <w:hideMark/>
          </w:tcPr>
          <w:p w:rsidR="007A052A" w:rsidRPr="006A4428" w:rsidRDefault="007A052A" w:rsidP="006A4428">
            <w:pPr>
              <w:rPr>
                <w:sz w:val="18"/>
                <w:szCs w:val="18"/>
              </w:rPr>
            </w:pPr>
            <w:r w:rsidRPr="006A4428">
              <w:rPr>
                <w:sz w:val="18"/>
                <w:szCs w:val="18"/>
              </w:rPr>
              <w:t>703 (85.0)</w:t>
            </w:r>
          </w:p>
        </w:tc>
        <w:tc>
          <w:tcPr>
            <w:tcW w:w="1580" w:type="dxa"/>
            <w:hideMark/>
          </w:tcPr>
          <w:p w:rsidR="007A052A" w:rsidRPr="006A4428" w:rsidRDefault="007A052A" w:rsidP="006A4428">
            <w:pPr>
              <w:rPr>
                <w:sz w:val="18"/>
                <w:szCs w:val="18"/>
              </w:rPr>
            </w:pPr>
            <w:r w:rsidRPr="006A4428">
              <w:rPr>
                <w:sz w:val="18"/>
                <w:szCs w:val="18"/>
              </w:rPr>
              <w:t>494 (87.9)</w:t>
            </w:r>
          </w:p>
        </w:tc>
        <w:tc>
          <w:tcPr>
            <w:tcW w:w="1559" w:type="dxa"/>
            <w:hideMark/>
          </w:tcPr>
          <w:p w:rsidR="007A052A" w:rsidRPr="006A4428" w:rsidRDefault="007A052A" w:rsidP="006A4428">
            <w:pPr>
              <w:rPr>
                <w:sz w:val="18"/>
                <w:szCs w:val="18"/>
              </w:rPr>
            </w:pPr>
            <w:r w:rsidRPr="006A4428">
              <w:rPr>
                <w:sz w:val="18"/>
                <w:szCs w:val="18"/>
              </w:rPr>
              <w:t>167 (95.4)</w:t>
            </w:r>
          </w:p>
        </w:tc>
        <w:tc>
          <w:tcPr>
            <w:tcW w:w="1418" w:type="dxa"/>
            <w:hideMark/>
          </w:tcPr>
          <w:p w:rsidR="007A052A" w:rsidRPr="006A4428" w:rsidRDefault="007A052A" w:rsidP="006A4428">
            <w:pPr>
              <w:rPr>
                <w:sz w:val="18"/>
                <w:szCs w:val="18"/>
              </w:rPr>
            </w:pPr>
            <w:r w:rsidRPr="006A4428">
              <w:rPr>
                <w:sz w:val="18"/>
                <w:szCs w:val="18"/>
              </w:rPr>
              <w:t>222 (98.2)</w:t>
            </w:r>
          </w:p>
        </w:tc>
        <w:tc>
          <w:tcPr>
            <w:tcW w:w="1417" w:type="dxa"/>
            <w:hideMark/>
          </w:tcPr>
          <w:p w:rsidR="007A052A" w:rsidRPr="006A4428" w:rsidRDefault="007A052A" w:rsidP="006A4428">
            <w:pPr>
              <w:rPr>
                <w:sz w:val="18"/>
                <w:szCs w:val="18"/>
              </w:rPr>
            </w:pPr>
            <w:r w:rsidRPr="006A4428">
              <w:rPr>
                <w:sz w:val="18"/>
                <w:szCs w:val="18"/>
              </w:rPr>
              <w:t>172 (93.5)</w:t>
            </w:r>
          </w:p>
        </w:tc>
      </w:tr>
      <w:tr w:rsidR="007A052A" w:rsidRPr="006A4428" w:rsidTr="003A5470">
        <w:tc>
          <w:tcPr>
            <w:tcW w:w="1668" w:type="dxa"/>
            <w:hideMark/>
          </w:tcPr>
          <w:p w:rsidR="007A052A" w:rsidRPr="006A4428" w:rsidRDefault="007A052A" w:rsidP="006A4428">
            <w:pPr>
              <w:rPr>
                <w:b/>
                <w:sz w:val="18"/>
                <w:szCs w:val="18"/>
              </w:rPr>
            </w:pPr>
            <w:r w:rsidRPr="006A4428">
              <w:rPr>
                <w:b/>
                <w:sz w:val="18"/>
                <w:szCs w:val="18"/>
              </w:rPr>
              <w:t>Total</w:t>
            </w:r>
          </w:p>
        </w:tc>
        <w:tc>
          <w:tcPr>
            <w:tcW w:w="1538" w:type="dxa"/>
            <w:hideMark/>
          </w:tcPr>
          <w:p w:rsidR="007A052A" w:rsidRPr="006A4428" w:rsidRDefault="007A052A" w:rsidP="006A4428">
            <w:pPr>
              <w:rPr>
                <w:b/>
                <w:sz w:val="18"/>
                <w:szCs w:val="18"/>
              </w:rPr>
            </w:pPr>
            <w:r w:rsidRPr="006A4428">
              <w:rPr>
                <w:b/>
                <w:sz w:val="18"/>
                <w:szCs w:val="18"/>
              </w:rPr>
              <w:t>827 (100.0)</w:t>
            </w:r>
          </w:p>
        </w:tc>
        <w:tc>
          <w:tcPr>
            <w:tcW w:w="1580" w:type="dxa"/>
            <w:hideMark/>
          </w:tcPr>
          <w:p w:rsidR="007A052A" w:rsidRPr="006A4428" w:rsidRDefault="007A052A" w:rsidP="006A4428">
            <w:pPr>
              <w:rPr>
                <w:b/>
                <w:sz w:val="18"/>
                <w:szCs w:val="18"/>
              </w:rPr>
            </w:pPr>
            <w:r w:rsidRPr="006A4428">
              <w:rPr>
                <w:b/>
                <w:sz w:val="18"/>
                <w:szCs w:val="18"/>
              </w:rPr>
              <w:t>562 (100.0)</w:t>
            </w:r>
          </w:p>
        </w:tc>
        <w:tc>
          <w:tcPr>
            <w:tcW w:w="1559" w:type="dxa"/>
            <w:hideMark/>
          </w:tcPr>
          <w:p w:rsidR="007A052A" w:rsidRPr="006A4428" w:rsidRDefault="007A052A" w:rsidP="006A4428">
            <w:pPr>
              <w:rPr>
                <w:b/>
                <w:sz w:val="18"/>
                <w:szCs w:val="18"/>
              </w:rPr>
            </w:pPr>
            <w:r w:rsidRPr="006A4428">
              <w:rPr>
                <w:b/>
                <w:sz w:val="18"/>
                <w:szCs w:val="18"/>
              </w:rPr>
              <w:t>175 (100.0)</w:t>
            </w:r>
          </w:p>
        </w:tc>
        <w:tc>
          <w:tcPr>
            <w:tcW w:w="1418" w:type="dxa"/>
            <w:hideMark/>
          </w:tcPr>
          <w:p w:rsidR="007A052A" w:rsidRPr="006A4428" w:rsidRDefault="007A052A" w:rsidP="006A4428">
            <w:pPr>
              <w:rPr>
                <w:b/>
                <w:sz w:val="18"/>
                <w:szCs w:val="18"/>
              </w:rPr>
            </w:pPr>
            <w:r w:rsidRPr="006A4428">
              <w:rPr>
                <w:b/>
                <w:sz w:val="18"/>
                <w:szCs w:val="18"/>
              </w:rPr>
              <w:t>226 (100.0)</w:t>
            </w:r>
          </w:p>
        </w:tc>
        <w:tc>
          <w:tcPr>
            <w:tcW w:w="1417" w:type="dxa"/>
            <w:hideMark/>
          </w:tcPr>
          <w:p w:rsidR="007A052A" w:rsidRPr="006A4428" w:rsidRDefault="007A052A" w:rsidP="006A4428">
            <w:pPr>
              <w:rPr>
                <w:b/>
                <w:sz w:val="18"/>
                <w:szCs w:val="18"/>
              </w:rPr>
            </w:pPr>
            <w:r w:rsidRPr="006A4428">
              <w:rPr>
                <w:b/>
                <w:sz w:val="18"/>
                <w:szCs w:val="18"/>
              </w:rPr>
              <w:t>184 (100.0)</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Lower 95% CL</w:t>
            </w:r>
            <w:r w:rsidR="003A5470" w:rsidRPr="006A4428">
              <w:rPr>
                <w:sz w:val="18"/>
                <w:szCs w:val="18"/>
              </w:rPr>
              <w:t xml:space="preserve"> </w:t>
            </w:r>
            <w:r w:rsidRPr="006A4428">
              <w:rPr>
                <w:sz w:val="18"/>
                <w:szCs w:val="18"/>
              </w:rPr>
              <w:t>(controlled)</w:t>
            </w:r>
          </w:p>
        </w:tc>
        <w:tc>
          <w:tcPr>
            <w:tcW w:w="1538" w:type="dxa"/>
            <w:hideMark/>
          </w:tcPr>
          <w:p w:rsidR="007A052A" w:rsidRPr="006A4428" w:rsidRDefault="007A052A" w:rsidP="006A4428">
            <w:pPr>
              <w:rPr>
                <w:sz w:val="18"/>
                <w:szCs w:val="18"/>
              </w:rPr>
            </w:pPr>
            <w:r w:rsidRPr="006A4428">
              <w:rPr>
                <w:sz w:val="18"/>
                <w:szCs w:val="18"/>
              </w:rPr>
              <w:t>12.6</w:t>
            </w:r>
          </w:p>
        </w:tc>
        <w:tc>
          <w:tcPr>
            <w:tcW w:w="1580" w:type="dxa"/>
            <w:hideMark/>
          </w:tcPr>
          <w:p w:rsidR="007A052A" w:rsidRPr="006A4428" w:rsidRDefault="007A052A" w:rsidP="006A4428">
            <w:pPr>
              <w:rPr>
                <w:sz w:val="18"/>
                <w:szCs w:val="18"/>
              </w:rPr>
            </w:pPr>
            <w:r w:rsidRPr="006A4428">
              <w:rPr>
                <w:sz w:val="18"/>
                <w:szCs w:val="18"/>
              </w:rPr>
              <w:t>9.5</w:t>
            </w:r>
          </w:p>
        </w:tc>
        <w:tc>
          <w:tcPr>
            <w:tcW w:w="1559" w:type="dxa"/>
            <w:hideMark/>
          </w:tcPr>
          <w:p w:rsidR="007A052A" w:rsidRPr="006A4428" w:rsidRDefault="007A052A" w:rsidP="006A4428">
            <w:pPr>
              <w:rPr>
                <w:sz w:val="18"/>
                <w:szCs w:val="18"/>
              </w:rPr>
            </w:pPr>
            <w:r w:rsidRPr="006A4428">
              <w:rPr>
                <w:sz w:val="18"/>
                <w:szCs w:val="18"/>
              </w:rPr>
              <w:t>2.0</w:t>
            </w:r>
          </w:p>
        </w:tc>
        <w:tc>
          <w:tcPr>
            <w:tcW w:w="1418" w:type="dxa"/>
            <w:hideMark/>
          </w:tcPr>
          <w:p w:rsidR="007A052A" w:rsidRPr="006A4428" w:rsidRDefault="007A052A" w:rsidP="006A4428">
            <w:pPr>
              <w:rPr>
                <w:sz w:val="18"/>
                <w:szCs w:val="18"/>
              </w:rPr>
            </w:pPr>
            <w:r w:rsidRPr="006A4428">
              <w:rPr>
                <w:sz w:val="18"/>
                <w:szCs w:val="18"/>
              </w:rPr>
              <w:t>0.5</w:t>
            </w:r>
          </w:p>
        </w:tc>
        <w:tc>
          <w:tcPr>
            <w:tcW w:w="1417" w:type="dxa"/>
            <w:hideMark/>
          </w:tcPr>
          <w:p w:rsidR="007A052A" w:rsidRPr="006A4428" w:rsidRDefault="007A052A" w:rsidP="006A4428">
            <w:pPr>
              <w:rPr>
                <w:sz w:val="18"/>
                <w:szCs w:val="18"/>
              </w:rPr>
            </w:pPr>
            <w:r w:rsidRPr="006A4428">
              <w:rPr>
                <w:sz w:val="18"/>
                <w:szCs w:val="18"/>
              </w:rPr>
              <w:t>3.4</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Upper 95% CL</w:t>
            </w:r>
            <w:r w:rsidR="003A5470" w:rsidRPr="006A4428">
              <w:rPr>
                <w:sz w:val="18"/>
                <w:szCs w:val="18"/>
              </w:rPr>
              <w:t xml:space="preserve"> </w:t>
            </w:r>
            <w:r w:rsidRPr="006A4428">
              <w:rPr>
                <w:sz w:val="18"/>
                <w:szCs w:val="18"/>
              </w:rPr>
              <w:t>(controlled)</w:t>
            </w:r>
          </w:p>
        </w:tc>
        <w:tc>
          <w:tcPr>
            <w:tcW w:w="1538" w:type="dxa"/>
            <w:hideMark/>
          </w:tcPr>
          <w:p w:rsidR="007A052A" w:rsidRPr="006A4428" w:rsidRDefault="007A052A" w:rsidP="006A4428">
            <w:pPr>
              <w:rPr>
                <w:sz w:val="18"/>
                <w:szCs w:val="18"/>
              </w:rPr>
            </w:pPr>
            <w:r w:rsidRPr="006A4428">
              <w:rPr>
                <w:sz w:val="18"/>
                <w:szCs w:val="18"/>
              </w:rPr>
              <w:t>17.6</w:t>
            </w:r>
          </w:p>
        </w:tc>
        <w:tc>
          <w:tcPr>
            <w:tcW w:w="1580" w:type="dxa"/>
            <w:hideMark/>
          </w:tcPr>
          <w:p w:rsidR="007A052A" w:rsidRPr="006A4428" w:rsidRDefault="007A052A" w:rsidP="006A4428">
            <w:pPr>
              <w:rPr>
                <w:sz w:val="18"/>
                <w:szCs w:val="18"/>
              </w:rPr>
            </w:pPr>
            <w:r w:rsidRPr="006A4428">
              <w:rPr>
                <w:sz w:val="18"/>
                <w:szCs w:val="18"/>
              </w:rPr>
              <w:t>15.1</w:t>
            </w:r>
          </w:p>
        </w:tc>
        <w:tc>
          <w:tcPr>
            <w:tcW w:w="1559" w:type="dxa"/>
            <w:hideMark/>
          </w:tcPr>
          <w:p w:rsidR="007A052A" w:rsidRPr="006A4428" w:rsidRDefault="007A052A" w:rsidP="006A4428">
            <w:pPr>
              <w:rPr>
                <w:sz w:val="18"/>
                <w:szCs w:val="18"/>
              </w:rPr>
            </w:pPr>
            <w:r w:rsidRPr="006A4428">
              <w:rPr>
                <w:sz w:val="18"/>
                <w:szCs w:val="18"/>
              </w:rPr>
              <w:t>8.8</w:t>
            </w:r>
          </w:p>
        </w:tc>
        <w:tc>
          <w:tcPr>
            <w:tcW w:w="1418" w:type="dxa"/>
            <w:hideMark/>
          </w:tcPr>
          <w:p w:rsidR="007A052A" w:rsidRPr="006A4428" w:rsidRDefault="007A052A" w:rsidP="006A4428">
            <w:pPr>
              <w:rPr>
                <w:sz w:val="18"/>
                <w:szCs w:val="18"/>
              </w:rPr>
            </w:pPr>
            <w:r w:rsidRPr="006A4428">
              <w:rPr>
                <w:sz w:val="18"/>
                <w:szCs w:val="18"/>
              </w:rPr>
              <w:t>4.5</w:t>
            </w:r>
          </w:p>
        </w:tc>
        <w:tc>
          <w:tcPr>
            <w:tcW w:w="1417" w:type="dxa"/>
            <w:hideMark/>
          </w:tcPr>
          <w:p w:rsidR="007A052A" w:rsidRPr="006A4428" w:rsidRDefault="007A052A" w:rsidP="006A4428">
            <w:pPr>
              <w:rPr>
                <w:sz w:val="18"/>
                <w:szCs w:val="18"/>
              </w:rPr>
            </w:pPr>
            <w:r w:rsidRPr="006A4428">
              <w:rPr>
                <w:sz w:val="18"/>
                <w:szCs w:val="18"/>
              </w:rPr>
              <w:t>11.1</w:t>
            </w:r>
          </w:p>
        </w:tc>
      </w:tr>
      <w:tr w:rsidR="007A052A" w:rsidRPr="006A4428" w:rsidTr="003A5470">
        <w:tc>
          <w:tcPr>
            <w:tcW w:w="9180" w:type="dxa"/>
            <w:gridSpan w:val="6"/>
          </w:tcPr>
          <w:p w:rsidR="007A052A" w:rsidRPr="006A4428" w:rsidRDefault="007A052A" w:rsidP="006A4428">
            <w:pPr>
              <w:pStyle w:val="TableHeading2"/>
            </w:pPr>
            <w:r w:rsidRPr="006A4428">
              <w:t>Week 8</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Controlled Disease</w:t>
            </w:r>
          </w:p>
        </w:tc>
        <w:tc>
          <w:tcPr>
            <w:tcW w:w="1538" w:type="dxa"/>
            <w:hideMark/>
          </w:tcPr>
          <w:p w:rsidR="007A052A" w:rsidRPr="006A4428" w:rsidRDefault="007A052A" w:rsidP="006A4428">
            <w:pPr>
              <w:rPr>
                <w:sz w:val="18"/>
                <w:szCs w:val="18"/>
              </w:rPr>
            </w:pPr>
            <w:r w:rsidRPr="006A4428">
              <w:rPr>
                <w:sz w:val="18"/>
                <w:szCs w:val="18"/>
              </w:rPr>
              <w:t>257 (31.1)</w:t>
            </w:r>
          </w:p>
        </w:tc>
        <w:tc>
          <w:tcPr>
            <w:tcW w:w="1580" w:type="dxa"/>
            <w:hideMark/>
          </w:tcPr>
          <w:p w:rsidR="007A052A" w:rsidRPr="006A4428" w:rsidRDefault="007A052A" w:rsidP="006A4428">
            <w:pPr>
              <w:rPr>
                <w:sz w:val="18"/>
                <w:szCs w:val="18"/>
              </w:rPr>
            </w:pPr>
            <w:r w:rsidRPr="006A4428">
              <w:rPr>
                <w:sz w:val="18"/>
                <w:szCs w:val="18"/>
              </w:rPr>
              <w:t>117 (20.8)</w:t>
            </w:r>
          </w:p>
        </w:tc>
        <w:tc>
          <w:tcPr>
            <w:tcW w:w="1559" w:type="dxa"/>
            <w:hideMark/>
          </w:tcPr>
          <w:p w:rsidR="007A052A" w:rsidRPr="006A4428" w:rsidRDefault="007A052A" w:rsidP="006A4428">
            <w:pPr>
              <w:rPr>
                <w:sz w:val="18"/>
                <w:szCs w:val="18"/>
              </w:rPr>
            </w:pPr>
            <w:r w:rsidRPr="006A4428">
              <w:rPr>
                <w:sz w:val="18"/>
                <w:szCs w:val="18"/>
              </w:rPr>
              <w:t>23 (13.1)</w:t>
            </w:r>
          </w:p>
        </w:tc>
        <w:tc>
          <w:tcPr>
            <w:tcW w:w="1418" w:type="dxa"/>
            <w:hideMark/>
          </w:tcPr>
          <w:p w:rsidR="007A052A" w:rsidRPr="006A4428" w:rsidRDefault="007A052A" w:rsidP="006A4428">
            <w:pPr>
              <w:rPr>
                <w:sz w:val="18"/>
                <w:szCs w:val="18"/>
              </w:rPr>
            </w:pPr>
            <w:r w:rsidRPr="006A4428">
              <w:rPr>
                <w:sz w:val="18"/>
                <w:szCs w:val="18"/>
              </w:rPr>
              <w:t>11 (4.9)</w:t>
            </w:r>
          </w:p>
        </w:tc>
        <w:tc>
          <w:tcPr>
            <w:tcW w:w="1417" w:type="dxa"/>
            <w:hideMark/>
          </w:tcPr>
          <w:p w:rsidR="007A052A" w:rsidRPr="006A4428" w:rsidRDefault="007A052A" w:rsidP="006A4428">
            <w:pPr>
              <w:rPr>
                <w:sz w:val="18"/>
                <w:szCs w:val="18"/>
              </w:rPr>
            </w:pPr>
            <w:r w:rsidRPr="006A4428">
              <w:rPr>
                <w:sz w:val="18"/>
                <w:szCs w:val="18"/>
              </w:rPr>
              <w:t>33 (17.9)</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Non-Controlled Disease</w:t>
            </w:r>
          </w:p>
        </w:tc>
        <w:tc>
          <w:tcPr>
            <w:tcW w:w="1538" w:type="dxa"/>
            <w:hideMark/>
          </w:tcPr>
          <w:p w:rsidR="007A052A" w:rsidRPr="006A4428" w:rsidRDefault="007A052A" w:rsidP="006A4428">
            <w:pPr>
              <w:rPr>
                <w:sz w:val="18"/>
                <w:szCs w:val="18"/>
              </w:rPr>
            </w:pPr>
            <w:r w:rsidRPr="006A4428">
              <w:rPr>
                <w:sz w:val="18"/>
                <w:szCs w:val="18"/>
              </w:rPr>
              <w:t>570 (68.9)</w:t>
            </w:r>
          </w:p>
        </w:tc>
        <w:tc>
          <w:tcPr>
            <w:tcW w:w="1580" w:type="dxa"/>
            <w:hideMark/>
          </w:tcPr>
          <w:p w:rsidR="007A052A" w:rsidRPr="006A4428" w:rsidRDefault="007A052A" w:rsidP="006A4428">
            <w:pPr>
              <w:rPr>
                <w:sz w:val="18"/>
                <w:szCs w:val="18"/>
              </w:rPr>
            </w:pPr>
            <w:r w:rsidRPr="006A4428">
              <w:rPr>
                <w:sz w:val="18"/>
                <w:szCs w:val="18"/>
              </w:rPr>
              <w:t>445 (79.2)</w:t>
            </w:r>
          </w:p>
        </w:tc>
        <w:tc>
          <w:tcPr>
            <w:tcW w:w="1559" w:type="dxa"/>
            <w:hideMark/>
          </w:tcPr>
          <w:p w:rsidR="007A052A" w:rsidRPr="006A4428" w:rsidRDefault="007A052A" w:rsidP="006A4428">
            <w:pPr>
              <w:rPr>
                <w:sz w:val="18"/>
                <w:szCs w:val="18"/>
              </w:rPr>
            </w:pPr>
            <w:r w:rsidRPr="006A4428">
              <w:rPr>
                <w:sz w:val="18"/>
                <w:szCs w:val="18"/>
              </w:rPr>
              <w:t>152 (86.9)</w:t>
            </w:r>
          </w:p>
        </w:tc>
        <w:tc>
          <w:tcPr>
            <w:tcW w:w="1418" w:type="dxa"/>
            <w:hideMark/>
          </w:tcPr>
          <w:p w:rsidR="007A052A" w:rsidRPr="006A4428" w:rsidRDefault="007A052A" w:rsidP="006A4428">
            <w:pPr>
              <w:rPr>
                <w:sz w:val="18"/>
                <w:szCs w:val="18"/>
              </w:rPr>
            </w:pPr>
            <w:r w:rsidRPr="006A4428">
              <w:rPr>
                <w:sz w:val="18"/>
                <w:szCs w:val="18"/>
              </w:rPr>
              <w:t>215 (95.1)</w:t>
            </w:r>
          </w:p>
        </w:tc>
        <w:tc>
          <w:tcPr>
            <w:tcW w:w="1417" w:type="dxa"/>
            <w:hideMark/>
          </w:tcPr>
          <w:p w:rsidR="007A052A" w:rsidRPr="006A4428" w:rsidRDefault="007A052A" w:rsidP="006A4428">
            <w:pPr>
              <w:rPr>
                <w:sz w:val="18"/>
                <w:szCs w:val="18"/>
              </w:rPr>
            </w:pPr>
            <w:r w:rsidRPr="006A4428">
              <w:rPr>
                <w:sz w:val="18"/>
                <w:szCs w:val="18"/>
              </w:rPr>
              <w:t>151 (82.1)</w:t>
            </w:r>
          </w:p>
        </w:tc>
      </w:tr>
      <w:tr w:rsidR="007A052A" w:rsidRPr="006A4428" w:rsidTr="003A5470">
        <w:tc>
          <w:tcPr>
            <w:tcW w:w="1668" w:type="dxa"/>
            <w:hideMark/>
          </w:tcPr>
          <w:p w:rsidR="007A052A" w:rsidRPr="006A4428" w:rsidRDefault="007A052A" w:rsidP="006A4428">
            <w:pPr>
              <w:rPr>
                <w:b/>
                <w:sz w:val="18"/>
                <w:szCs w:val="18"/>
              </w:rPr>
            </w:pPr>
            <w:r w:rsidRPr="006A4428">
              <w:rPr>
                <w:b/>
                <w:sz w:val="18"/>
                <w:szCs w:val="18"/>
              </w:rPr>
              <w:t>Total</w:t>
            </w:r>
          </w:p>
        </w:tc>
        <w:tc>
          <w:tcPr>
            <w:tcW w:w="1538" w:type="dxa"/>
            <w:hideMark/>
          </w:tcPr>
          <w:p w:rsidR="007A052A" w:rsidRPr="006A4428" w:rsidRDefault="007A052A" w:rsidP="006A4428">
            <w:pPr>
              <w:rPr>
                <w:b/>
                <w:sz w:val="18"/>
                <w:szCs w:val="18"/>
              </w:rPr>
            </w:pPr>
            <w:r w:rsidRPr="006A4428">
              <w:rPr>
                <w:b/>
                <w:sz w:val="18"/>
                <w:szCs w:val="18"/>
              </w:rPr>
              <w:t>827 (100.0)</w:t>
            </w:r>
          </w:p>
        </w:tc>
        <w:tc>
          <w:tcPr>
            <w:tcW w:w="1580" w:type="dxa"/>
            <w:hideMark/>
          </w:tcPr>
          <w:p w:rsidR="007A052A" w:rsidRPr="006A4428" w:rsidRDefault="007A052A" w:rsidP="006A4428">
            <w:pPr>
              <w:rPr>
                <w:b/>
                <w:sz w:val="18"/>
                <w:szCs w:val="18"/>
              </w:rPr>
            </w:pPr>
            <w:r w:rsidRPr="006A4428">
              <w:rPr>
                <w:b/>
                <w:sz w:val="18"/>
                <w:szCs w:val="18"/>
              </w:rPr>
              <w:t>562 (100.0)</w:t>
            </w:r>
          </w:p>
        </w:tc>
        <w:tc>
          <w:tcPr>
            <w:tcW w:w="1559" w:type="dxa"/>
            <w:hideMark/>
          </w:tcPr>
          <w:p w:rsidR="007A052A" w:rsidRPr="006A4428" w:rsidRDefault="007A052A" w:rsidP="006A4428">
            <w:pPr>
              <w:rPr>
                <w:b/>
                <w:sz w:val="18"/>
                <w:szCs w:val="18"/>
              </w:rPr>
            </w:pPr>
            <w:r w:rsidRPr="006A4428">
              <w:rPr>
                <w:b/>
                <w:sz w:val="18"/>
                <w:szCs w:val="18"/>
              </w:rPr>
              <w:t>175 (100.0)</w:t>
            </w:r>
          </w:p>
        </w:tc>
        <w:tc>
          <w:tcPr>
            <w:tcW w:w="1418" w:type="dxa"/>
            <w:hideMark/>
          </w:tcPr>
          <w:p w:rsidR="007A052A" w:rsidRPr="006A4428" w:rsidRDefault="007A052A" w:rsidP="006A4428">
            <w:pPr>
              <w:rPr>
                <w:b/>
                <w:sz w:val="18"/>
                <w:szCs w:val="18"/>
              </w:rPr>
            </w:pPr>
            <w:r w:rsidRPr="006A4428">
              <w:rPr>
                <w:b/>
                <w:sz w:val="18"/>
                <w:szCs w:val="18"/>
              </w:rPr>
              <w:t>226 (100.0)</w:t>
            </w:r>
          </w:p>
        </w:tc>
        <w:tc>
          <w:tcPr>
            <w:tcW w:w="1417" w:type="dxa"/>
            <w:hideMark/>
          </w:tcPr>
          <w:p w:rsidR="007A052A" w:rsidRPr="006A4428" w:rsidRDefault="007A052A" w:rsidP="006A4428">
            <w:pPr>
              <w:rPr>
                <w:b/>
                <w:sz w:val="18"/>
                <w:szCs w:val="18"/>
              </w:rPr>
            </w:pPr>
            <w:r w:rsidRPr="006A4428">
              <w:rPr>
                <w:b/>
                <w:sz w:val="18"/>
                <w:szCs w:val="18"/>
              </w:rPr>
              <w:t>184 (100.0)</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Lower 95% CL</w:t>
            </w:r>
            <w:r w:rsidR="00600C48" w:rsidRPr="006A4428">
              <w:rPr>
                <w:sz w:val="18"/>
                <w:szCs w:val="18"/>
              </w:rPr>
              <w:t xml:space="preserve"> </w:t>
            </w:r>
            <w:r w:rsidRPr="006A4428">
              <w:rPr>
                <w:sz w:val="18"/>
                <w:szCs w:val="18"/>
              </w:rPr>
              <w:t>(controlled)</w:t>
            </w:r>
          </w:p>
        </w:tc>
        <w:tc>
          <w:tcPr>
            <w:tcW w:w="1538" w:type="dxa"/>
            <w:hideMark/>
          </w:tcPr>
          <w:p w:rsidR="007A052A" w:rsidRPr="006A4428" w:rsidRDefault="007A052A" w:rsidP="006A4428">
            <w:pPr>
              <w:rPr>
                <w:sz w:val="18"/>
                <w:szCs w:val="18"/>
              </w:rPr>
            </w:pPr>
            <w:r w:rsidRPr="006A4428">
              <w:rPr>
                <w:sz w:val="18"/>
                <w:szCs w:val="18"/>
              </w:rPr>
              <w:t>27.9</w:t>
            </w:r>
          </w:p>
        </w:tc>
        <w:tc>
          <w:tcPr>
            <w:tcW w:w="1580" w:type="dxa"/>
            <w:hideMark/>
          </w:tcPr>
          <w:p w:rsidR="007A052A" w:rsidRPr="006A4428" w:rsidRDefault="007A052A" w:rsidP="006A4428">
            <w:pPr>
              <w:rPr>
                <w:sz w:val="18"/>
                <w:szCs w:val="18"/>
              </w:rPr>
            </w:pPr>
            <w:r w:rsidRPr="006A4428">
              <w:rPr>
                <w:sz w:val="18"/>
                <w:szCs w:val="18"/>
              </w:rPr>
              <w:t>17.5</w:t>
            </w:r>
          </w:p>
        </w:tc>
        <w:tc>
          <w:tcPr>
            <w:tcW w:w="1559" w:type="dxa"/>
            <w:hideMark/>
          </w:tcPr>
          <w:p w:rsidR="007A052A" w:rsidRPr="006A4428" w:rsidRDefault="007A052A" w:rsidP="006A4428">
            <w:pPr>
              <w:rPr>
                <w:sz w:val="18"/>
                <w:szCs w:val="18"/>
              </w:rPr>
            </w:pPr>
            <w:r w:rsidRPr="006A4428">
              <w:rPr>
                <w:sz w:val="18"/>
                <w:szCs w:val="18"/>
              </w:rPr>
              <w:t>8.5</w:t>
            </w:r>
          </w:p>
        </w:tc>
        <w:tc>
          <w:tcPr>
            <w:tcW w:w="1418" w:type="dxa"/>
            <w:hideMark/>
          </w:tcPr>
          <w:p w:rsidR="007A052A" w:rsidRPr="006A4428" w:rsidRDefault="007A052A" w:rsidP="006A4428">
            <w:pPr>
              <w:rPr>
                <w:sz w:val="18"/>
                <w:szCs w:val="18"/>
              </w:rPr>
            </w:pPr>
            <w:r w:rsidRPr="006A4428">
              <w:rPr>
                <w:sz w:val="18"/>
                <w:szCs w:val="18"/>
              </w:rPr>
              <w:t>2.5</w:t>
            </w:r>
          </w:p>
        </w:tc>
        <w:tc>
          <w:tcPr>
            <w:tcW w:w="1417" w:type="dxa"/>
            <w:hideMark/>
          </w:tcPr>
          <w:p w:rsidR="007A052A" w:rsidRPr="006A4428" w:rsidRDefault="007A052A" w:rsidP="006A4428">
            <w:pPr>
              <w:rPr>
                <w:sz w:val="18"/>
                <w:szCs w:val="18"/>
              </w:rPr>
            </w:pPr>
            <w:r w:rsidRPr="006A4428">
              <w:rPr>
                <w:sz w:val="18"/>
                <w:szCs w:val="18"/>
              </w:rPr>
              <w:t>12.7</w:t>
            </w:r>
          </w:p>
        </w:tc>
      </w:tr>
      <w:tr w:rsidR="007A052A" w:rsidRPr="006A4428" w:rsidTr="003A5470">
        <w:tc>
          <w:tcPr>
            <w:tcW w:w="1668" w:type="dxa"/>
            <w:hideMark/>
          </w:tcPr>
          <w:p w:rsidR="007A052A" w:rsidRPr="006A4428" w:rsidRDefault="007A052A" w:rsidP="006A4428">
            <w:pPr>
              <w:rPr>
                <w:sz w:val="18"/>
                <w:szCs w:val="18"/>
              </w:rPr>
            </w:pPr>
            <w:r w:rsidRPr="006A4428">
              <w:rPr>
                <w:sz w:val="18"/>
                <w:szCs w:val="18"/>
              </w:rPr>
              <w:t>Upper 95% CL</w:t>
            </w:r>
            <w:r w:rsidR="00600C48" w:rsidRPr="006A4428">
              <w:rPr>
                <w:sz w:val="18"/>
                <w:szCs w:val="18"/>
              </w:rPr>
              <w:t xml:space="preserve"> </w:t>
            </w:r>
            <w:r w:rsidRPr="006A4428">
              <w:rPr>
                <w:sz w:val="18"/>
                <w:szCs w:val="18"/>
              </w:rPr>
              <w:t>(controlled)</w:t>
            </w:r>
          </w:p>
        </w:tc>
        <w:tc>
          <w:tcPr>
            <w:tcW w:w="1538" w:type="dxa"/>
            <w:hideMark/>
          </w:tcPr>
          <w:p w:rsidR="007A052A" w:rsidRPr="006A4428" w:rsidRDefault="007A052A" w:rsidP="006A4428">
            <w:pPr>
              <w:rPr>
                <w:sz w:val="18"/>
                <w:szCs w:val="18"/>
              </w:rPr>
            </w:pPr>
            <w:r w:rsidRPr="006A4428">
              <w:rPr>
                <w:sz w:val="18"/>
                <w:szCs w:val="18"/>
              </w:rPr>
              <w:t>34.4</w:t>
            </w:r>
          </w:p>
        </w:tc>
        <w:tc>
          <w:tcPr>
            <w:tcW w:w="1580" w:type="dxa"/>
            <w:hideMark/>
          </w:tcPr>
          <w:p w:rsidR="007A052A" w:rsidRPr="006A4428" w:rsidRDefault="007A052A" w:rsidP="006A4428">
            <w:pPr>
              <w:rPr>
                <w:sz w:val="18"/>
                <w:szCs w:val="18"/>
              </w:rPr>
            </w:pPr>
            <w:r w:rsidRPr="006A4428">
              <w:rPr>
                <w:sz w:val="18"/>
                <w:szCs w:val="18"/>
              </w:rPr>
              <w:t>24.4</w:t>
            </w:r>
          </w:p>
        </w:tc>
        <w:tc>
          <w:tcPr>
            <w:tcW w:w="1559" w:type="dxa"/>
            <w:hideMark/>
          </w:tcPr>
          <w:p w:rsidR="007A052A" w:rsidRPr="006A4428" w:rsidRDefault="007A052A" w:rsidP="006A4428">
            <w:pPr>
              <w:rPr>
                <w:sz w:val="18"/>
                <w:szCs w:val="18"/>
              </w:rPr>
            </w:pPr>
            <w:r w:rsidRPr="006A4428">
              <w:rPr>
                <w:sz w:val="18"/>
                <w:szCs w:val="18"/>
              </w:rPr>
              <w:t>19.1</w:t>
            </w:r>
          </w:p>
        </w:tc>
        <w:tc>
          <w:tcPr>
            <w:tcW w:w="1418" w:type="dxa"/>
            <w:hideMark/>
          </w:tcPr>
          <w:p w:rsidR="007A052A" w:rsidRPr="006A4428" w:rsidRDefault="007A052A" w:rsidP="006A4428">
            <w:pPr>
              <w:rPr>
                <w:sz w:val="18"/>
                <w:szCs w:val="18"/>
              </w:rPr>
            </w:pPr>
            <w:r w:rsidRPr="006A4428">
              <w:rPr>
                <w:sz w:val="18"/>
                <w:szCs w:val="18"/>
              </w:rPr>
              <w:t>8.5</w:t>
            </w:r>
          </w:p>
        </w:tc>
        <w:tc>
          <w:tcPr>
            <w:tcW w:w="1417" w:type="dxa"/>
            <w:hideMark/>
          </w:tcPr>
          <w:p w:rsidR="007A052A" w:rsidRPr="006A4428" w:rsidRDefault="007A052A" w:rsidP="006A4428">
            <w:pPr>
              <w:rPr>
                <w:sz w:val="18"/>
                <w:szCs w:val="18"/>
              </w:rPr>
            </w:pPr>
            <w:r w:rsidRPr="006A4428">
              <w:rPr>
                <w:sz w:val="18"/>
                <w:szCs w:val="18"/>
              </w:rPr>
              <w:t>24.3</w:t>
            </w:r>
          </w:p>
        </w:tc>
      </w:tr>
    </w:tbl>
    <w:p w:rsidR="003A5470" w:rsidRDefault="003A5470" w:rsidP="006A4428">
      <w:pPr>
        <w:pStyle w:val="TableDescription"/>
      </w:pPr>
      <w:r w:rsidRPr="003A5470">
        <w:t xml:space="preserve">CL = confidence limits </w:t>
      </w:r>
    </w:p>
    <w:p w:rsidR="003A5470" w:rsidRPr="003A5470" w:rsidRDefault="003A5470" w:rsidP="006A4428">
      <w:r w:rsidRPr="003A5470">
        <w:t xml:space="preserve">The change in PASI scores are also discussed in the pooled dataset. The pattern is similar to the previous outcome. </w:t>
      </w:r>
    </w:p>
    <w:p w:rsidR="00D61149" w:rsidRDefault="00DB2A47" w:rsidP="006A4428">
      <w:pPr>
        <w:pStyle w:val="Heading5"/>
      </w:pPr>
      <w:r w:rsidRPr="00DB2A47">
        <w:t xml:space="preserve">Overall efficacy conclusions: </w:t>
      </w:r>
    </w:p>
    <w:p w:rsidR="00DB2A47" w:rsidRPr="00D61149" w:rsidRDefault="00DB2A47" w:rsidP="006A4428">
      <w:r w:rsidRPr="00D61149">
        <w:t xml:space="preserve">The evaluator’s conclusions on efficacy </w:t>
      </w:r>
      <w:r w:rsidR="00852B94">
        <w:t xml:space="preserve">identified a </w:t>
      </w:r>
      <w:r w:rsidRPr="00D61149">
        <w:t xml:space="preserve">deficiency </w:t>
      </w:r>
      <w:r w:rsidR="00852B94">
        <w:t xml:space="preserve">in </w:t>
      </w:r>
      <w:r w:rsidRPr="00D61149">
        <w:t xml:space="preserve">that there is no direct comparison of Daivobet gel </w:t>
      </w:r>
      <w:r w:rsidR="00852B94">
        <w:t xml:space="preserve">versus </w:t>
      </w:r>
      <w:r w:rsidRPr="00D61149">
        <w:t xml:space="preserve">ointment, especially as the gel formulation is expected to have better patient acceptability. This has not been verified with data. The pivotal study showed superiority of the combination product </w:t>
      </w:r>
      <w:r w:rsidR="00852B94">
        <w:t xml:space="preserve">versus </w:t>
      </w:r>
      <w:r w:rsidRPr="00D61149">
        <w:t xml:space="preserve">betamethasone only at 8 </w:t>
      </w:r>
      <w:r w:rsidR="00852B94">
        <w:t>W</w:t>
      </w:r>
      <w:r w:rsidRPr="00D61149">
        <w:t>eeks. Thus, another significant deficiency identified is that there are no studies conducted b</w:t>
      </w:r>
      <w:r w:rsidR="00852B94">
        <w:t xml:space="preserve">eyond 8 weeks. </w:t>
      </w:r>
      <w:r w:rsidRPr="00D61149">
        <w:t xml:space="preserve">It is noted that the adopted EU Guideline CHMP/EWP/2454/02 recommends that studies of 12 month duration, to assess safety and efficacy of intermittent or prolonged use (as appropriate) </w:t>
      </w:r>
      <w:r w:rsidR="00852B94">
        <w:t>are to be done</w:t>
      </w:r>
      <w:r w:rsidRPr="00D61149">
        <w:t xml:space="preserve">. </w:t>
      </w:r>
    </w:p>
    <w:p w:rsidR="00DB2A47" w:rsidRPr="00DB2A47" w:rsidRDefault="00DB2A47" w:rsidP="006A4428">
      <w:r w:rsidRPr="00DB2A47">
        <w:t>The evaluator also states that, ‘the studies presented are not strictly in compliance with the approved guideline. Only one primary efficacy parameter was included in each study. Secondary outcomes did include other scoring systems.’</w:t>
      </w:r>
    </w:p>
    <w:p w:rsidR="00D61149" w:rsidRDefault="00DB2A47" w:rsidP="006A4428">
      <w:pPr>
        <w:pStyle w:val="Heading4"/>
      </w:pPr>
      <w:r w:rsidRPr="00DB2A47">
        <w:t xml:space="preserve">Safety: </w:t>
      </w:r>
    </w:p>
    <w:p w:rsidR="00DB2A47" w:rsidRPr="00DB2A47" w:rsidRDefault="00DB2A47" w:rsidP="006A4428">
      <w:r w:rsidRPr="00DB2A47">
        <w:t>A total of 891 patients have been exposed to Daivobet gel. The mean exposure of treatment is 7.7 weeks. Average weekly use of Daivobet gel is 29.0 g/week.</w:t>
      </w:r>
    </w:p>
    <w:p w:rsidR="00903D9E" w:rsidRPr="00CB5370" w:rsidRDefault="00DB2A47" w:rsidP="006A4428">
      <w:r w:rsidRPr="00DB2A47">
        <w:t xml:space="preserve">Overall incidence of AEs was similar across treatment groups in the comparative studies. Treatment related events are included in the Table </w:t>
      </w:r>
      <w:r w:rsidR="008E4EFB">
        <w:t xml:space="preserve">below </w:t>
      </w:r>
      <w:r w:rsidR="008E4EFB" w:rsidRPr="00CB5370">
        <w:t xml:space="preserve">on </w:t>
      </w:r>
      <w:bookmarkStart w:id="265" w:name="_Ref272333567"/>
      <w:bookmarkStart w:id="266" w:name="_Toc272414665"/>
      <w:bookmarkStart w:id="267" w:name="_Toc290846303"/>
      <w:bookmarkStart w:id="268" w:name="_Toc342054319"/>
      <w:r w:rsidR="00CB5370">
        <w:t>t</w:t>
      </w:r>
      <w:r w:rsidR="00903D9E" w:rsidRPr="00CB5370">
        <w:t xml:space="preserve">reatment-related </w:t>
      </w:r>
      <w:r w:rsidR="00CB5370">
        <w:t xml:space="preserve">AEs </w:t>
      </w:r>
      <w:r w:rsidR="00903D9E" w:rsidRPr="00CB5370">
        <w:t>(adverse drug reactions)</w:t>
      </w:r>
      <w:bookmarkEnd w:id="265"/>
      <w:bookmarkEnd w:id="266"/>
      <w:bookmarkEnd w:id="267"/>
      <w:bookmarkEnd w:id="268"/>
      <w:r w:rsidR="008E4EFB" w:rsidRPr="00CB5370">
        <w:t xml:space="preserve"> from the </w:t>
      </w:r>
      <w:bookmarkStart w:id="269" w:name="_Toc342054320"/>
      <w:r w:rsidR="00CB5370">
        <w:t>c</w:t>
      </w:r>
      <w:r w:rsidR="00903D9E" w:rsidRPr="00CB5370">
        <w:t>omparative studies</w:t>
      </w:r>
      <w:bookmarkEnd w:id="269"/>
    </w:p>
    <w:p w:rsidR="00903D9E" w:rsidRPr="00903D9E" w:rsidRDefault="00CB5370" w:rsidP="006A4428">
      <w:pPr>
        <w:pStyle w:val="TableTitle"/>
      </w:pPr>
      <w:bookmarkStart w:id="270" w:name="_Toc342054263"/>
      <w:r>
        <w:t>Table 14</w:t>
      </w:r>
      <w:r w:rsidR="00903D9E" w:rsidRPr="00903D9E">
        <w:t xml:space="preserve">. Adverse drug reactions occurring in ≥1% of subjects in the Daivobet gel, betamethasone gel, calcipotriol gel or gel vehicle group by </w:t>
      </w:r>
      <w:proofErr w:type="spellStart"/>
      <w:r w:rsidR="00903D9E" w:rsidRPr="00903D9E">
        <w:t>MedDRA</w:t>
      </w:r>
      <w:proofErr w:type="spellEnd"/>
      <w:r w:rsidR="00903D9E" w:rsidRPr="00903D9E">
        <w:t xml:space="preserve"> primary system organ class and preferred term for the ‘controlled non-scalp studies’: safety analysis set</w:t>
      </w:r>
      <w:bookmarkEnd w:id="270"/>
    </w:p>
    <w:tbl>
      <w:tblPr>
        <w:tblStyle w:val="TableTGAblue"/>
        <w:tblW w:w="5000" w:type="pct"/>
        <w:tblLook w:val="04A0"/>
      </w:tblPr>
      <w:tblGrid>
        <w:gridCol w:w="1863"/>
        <w:gridCol w:w="1302"/>
        <w:gridCol w:w="1421"/>
        <w:gridCol w:w="1526"/>
        <w:gridCol w:w="1239"/>
        <w:gridCol w:w="1369"/>
      </w:tblGrid>
      <w:tr w:rsidR="00903D9E" w:rsidRPr="006A4428" w:rsidTr="00CB5370">
        <w:trPr>
          <w:cnfStyle w:val="100000000000"/>
          <w:cantSplit/>
          <w:tblHeader/>
        </w:trPr>
        <w:tc>
          <w:tcPr>
            <w:tcW w:w="1463" w:type="pct"/>
          </w:tcPr>
          <w:p w:rsidR="00903D9E" w:rsidRPr="006A4428" w:rsidRDefault="00903D9E" w:rsidP="001066A2">
            <w:pPr>
              <w:keepNext/>
              <w:rPr>
                <w:sz w:val="18"/>
                <w:szCs w:val="18"/>
              </w:rPr>
            </w:pPr>
            <w:r w:rsidRPr="006A4428">
              <w:rPr>
                <w:sz w:val="18"/>
                <w:szCs w:val="18"/>
              </w:rPr>
              <w:t>System Organ Class</w:t>
            </w:r>
          </w:p>
          <w:p w:rsidR="00903D9E" w:rsidRPr="006A4428" w:rsidRDefault="00903D9E" w:rsidP="001066A2">
            <w:pPr>
              <w:keepNext/>
              <w:rPr>
                <w:sz w:val="18"/>
                <w:szCs w:val="18"/>
              </w:rPr>
            </w:pPr>
            <w:r w:rsidRPr="006A4428">
              <w:rPr>
                <w:sz w:val="18"/>
                <w:szCs w:val="18"/>
              </w:rPr>
              <w:t>Preferred Term</w:t>
            </w:r>
            <w:r w:rsidRPr="006A4428">
              <w:rPr>
                <w:sz w:val="18"/>
                <w:szCs w:val="18"/>
                <w:vertAlign w:val="superscript"/>
              </w:rPr>
              <w:t>1</w:t>
            </w:r>
          </w:p>
        </w:tc>
        <w:tc>
          <w:tcPr>
            <w:tcW w:w="658" w:type="pct"/>
          </w:tcPr>
          <w:p w:rsidR="00903D9E" w:rsidRPr="006A4428" w:rsidRDefault="00903D9E" w:rsidP="001066A2">
            <w:pPr>
              <w:keepNext/>
              <w:rPr>
                <w:sz w:val="18"/>
                <w:szCs w:val="18"/>
              </w:rPr>
            </w:pPr>
            <w:r w:rsidRPr="006A4428">
              <w:rPr>
                <w:sz w:val="18"/>
                <w:szCs w:val="18"/>
              </w:rPr>
              <w:t>Daivobet</w:t>
            </w:r>
          </w:p>
          <w:p w:rsidR="00903D9E" w:rsidRPr="006A4428" w:rsidRDefault="00903D9E" w:rsidP="001066A2">
            <w:pPr>
              <w:keepNext/>
              <w:rPr>
                <w:sz w:val="18"/>
                <w:szCs w:val="18"/>
              </w:rPr>
            </w:pPr>
            <w:r w:rsidRPr="006A4428">
              <w:rPr>
                <w:sz w:val="18"/>
                <w:szCs w:val="18"/>
              </w:rPr>
              <w:t>gel</w:t>
            </w:r>
          </w:p>
          <w:p w:rsidR="00903D9E" w:rsidRPr="006A4428" w:rsidRDefault="00903D9E" w:rsidP="001066A2">
            <w:pPr>
              <w:keepNext/>
              <w:rPr>
                <w:sz w:val="18"/>
                <w:szCs w:val="18"/>
              </w:rPr>
            </w:pPr>
            <w:r w:rsidRPr="006A4428">
              <w:rPr>
                <w:sz w:val="18"/>
                <w:szCs w:val="18"/>
              </w:rPr>
              <w:t>(n=824)</w:t>
            </w:r>
          </w:p>
          <w:p w:rsidR="00903D9E" w:rsidRPr="006A4428" w:rsidRDefault="00903D9E" w:rsidP="001066A2">
            <w:pPr>
              <w:keepNext/>
              <w:rPr>
                <w:sz w:val="18"/>
                <w:szCs w:val="18"/>
              </w:rPr>
            </w:pPr>
            <w:r w:rsidRPr="006A4428">
              <w:rPr>
                <w:sz w:val="18"/>
                <w:szCs w:val="18"/>
              </w:rPr>
              <w:t>No (%)</w:t>
            </w:r>
          </w:p>
        </w:tc>
        <w:tc>
          <w:tcPr>
            <w:tcW w:w="740" w:type="pct"/>
          </w:tcPr>
          <w:p w:rsidR="00903D9E" w:rsidRPr="006A4428" w:rsidRDefault="00903D9E" w:rsidP="001066A2">
            <w:pPr>
              <w:keepNext/>
              <w:rPr>
                <w:sz w:val="18"/>
                <w:szCs w:val="18"/>
              </w:rPr>
            </w:pPr>
            <w:proofErr w:type="spellStart"/>
            <w:r w:rsidRPr="006A4428">
              <w:rPr>
                <w:sz w:val="18"/>
                <w:szCs w:val="18"/>
              </w:rPr>
              <w:t>Betameth</w:t>
            </w:r>
            <w:r w:rsidR="00CB5370" w:rsidRPr="006A4428">
              <w:rPr>
                <w:sz w:val="18"/>
                <w:szCs w:val="18"/>
              </w:rPr>
              <w:t>-</w:t>
            </w:r>
            <w:r w:rsidRPr="006A4428">
              <w:rPr>
                <w:sz w:val="18"/>
                <w:szCs w:val="18"/>
              </w:rPr>
              <w:t>asone</w:t>
            </w:r>
            <w:proofErr w:type="spellEnd"/>
            <w:r w:rsidRPr="006A4428">
              <w:rPr>
                <w:sz w:val="18"/>
                <w:szCs w:val="18"/>
              </w:rPr>
              <w:t xml:space="preserve"> gel</w:t>
            </w:r>
          </w:p>
          <w:p w:rsidR="00903D9E" w:rsidRPr="006A4428" w:rsidRDefault="00903D9E" w:rsidP="001066A2">
            <w:pPr>
              <w:keepNext/>
              <w:rPr>
                <w:sz w:val="18"/>
                <w:szCs w:val="18"/>
              </w:rPr>
            </w:pPr>
            <w:r w:rsidRPr="006A4428">
              <w:rPr>
                <w:sz w:val="18"/>
                <w:szCs w:val="18"/>
              </w:rPr>
              <w:t>(n=562)</w:t>
            </w:r>
          </w:p>
          <w:p w:rsidR="00903D9E" w:rsidRPr="006A4428" w:rsidRDefault="00903D9E" w:rsidP="001066A2">
            <w:pPr>
              <w:keepNext/>
              <w:rPr>
                <w:sz w:val="18"/>
                <w:szCs w:val="18"/>
              </w:rPr>
            </w:pPr>
            <w:r w:rsidRPr="006A4428">
              <w:rPr>
                <w:sz w:val="18"/>
                <w:szCs w:val="18"/>
              </w:rPr>
              <w:t>No (%)</w:t>
            </w:r>
          </w:p>
        </w:tc>
        <w:tc>
          <w:tcPr>
            <w:tcW w:w="794" w:type="pct"/>
          </w:tcPr>
          <w:p w:rsidR="00903D9E" w:rsidRPr="006A4428" w:rsidRDefault="00903D9E" w:rsidP="001066A2">
            <w:pPr>
              <w:keepNext/>
              <w:rPr>
                <w:sz w:val="18"/>
                <w:szCs w:val="18"/>
              </w:rPr>
            </w:pPr>
            <w:r w:rsidRPr="006A4428">
              <w:rPr>
                <w:sz w:val="18"/>
                <w:szCs w:val="18"/>
              </w:rPr>
              <w:t>Calcipotriol gel</w:t>
            </w:r>
          </w:p>
          <w:p w:rsidR="00903D9E" w:rsidRPr="006A4428" w:rsidRDefault="00903D9E" w:rsidP="001066A2">
            <w:pPr>
              <w:keepNext/>
              <w:rPr>
                <w:sz w:val="18"/>
                <w:szCs w:val="18"/>
              </w:rPr>
            </w:pPr>
            <w:r w:rsidRPr="006A4428">
              <w:rPr>
                <w:sz w:val="18"/>
                <w:szCs w:val="18"/>
              </w:rPr>
              <w:t>(n=175)</w:t>
            </w:r>
          </w:p>
          <w:p w:rsidR="00903D9E" w:rsidRPr="006A4428" w:rsidRDefault="00903D9E" w:rsidP="001066A2">
            <w:pPr>
              <w:keepNext/>
              <w:rPr>
                <w:sz w:val="18"/>
                <w:szCs w:val="18"/>
              </w:rPr>
            </w:pPr>
            <w:r w:rsidRPr="006A4428">
              <w:rPr>
                <w:sz w:val="18"/>
                <w:szCs w:val="18"/>
              </w:rPr>
              <w:t>No (%)</w:t>
            </w:r>
          </w:p>
        </w:tc>
        <w:tc>
          <w:tcPr>
            <w:tcW w:w="650" w:type="pct"/>
          </w:tcPr>
          <w:p w:rsidR="00903D9E" w:rsidRPr="006A4428" w:rsidRDefault="00903D9E" w:rsidP="001066A2">
            <w:pPr>
              <w:keepNext/>
              <w:rPr>
                <w:sz w:val="18"/>
                <w:szCs w:val="18"/>
              </w:rPr>
            </w:pPr>
            <w:r w:rsidRPr="006A4428">
              <w:rPr>
                <w:sz w:val="18"/>
                <w:szCs w:val="18"/>
              </w:rPr>
              <w:t>Gel vehicle</w:t>
            </w:r>
          </w:p>
          <w:p w:rsidR="00903D9E" w:rsidRPr="006A4428" w:rsidRDefault="00903D9E" w:rsidP="001066A2">
            <w:pPr>
              <w:keepNext/>
              <w:rPr>
                <w:sz w:val="18"/>
                <w:szCs w:val="18"/>
              </w:rPr>
            </w:pPr>
            <w:r w:rsidRPr="006A4428">
              <w:rPr>
                <w:sz w:val="18"/>
                <w:szCs w:val="18"/>
              </w:rPr>
              <w:t>(n=226)</w:t>
            </w:r>
          </w:p>
          <w:p w:rsidR="00903D9E" w:rsidRPr="006A4428" w:rsidRDefault="00903D9E" w:rsidP="001066A2">
            <w:pPr>
              <w:keepNext/>
              <w:rPr>
                <w:sz w:val="18"/>
                <w:szCs w:val="18"/>
              </w:rPr>
            </w:pPr>
            <w:r w:rsidRPr="006A4428">
              <w:rPr>
                <w:sz w:val="18"/>
                <w:szCs w:val="18"/>
              </w:rPr>
              <w:t>No (%)</w:t>
            </w:r>
          </w:p>
        </w:tc>
        <w:tc>
          <w:tcPr>
            <w:tcW w:w="695" w:type="pct"/>
          </w:tcPr>
          <w:p w:rsidR="00903D9E" w:rsidRPr="006A4428" w:rsidRDefault="00903D9E" w:rsidP="001066A2">
            <w:pPr>
              <w:keepNext/>
              <w:rPr>
                <w:sz w:val="18"/>
                <w:szCs w:val="18"/>
              </w:rPr>
            </w:pPr>
            <w:proofErr w:type="spellStart"/>
            <w:r w:rsidRPr="006A4428">
              <w:rPr>
                <w:sz w:val="18"/>
                <w:szCs w:val="18"/>
              </w:rPr>
              <w:t>Tacalcitol</w:t>
            </w:r>
            <w:proofErr w:type="spellEnd"/>
          </w:p>
          <w:p w:rsidR="00903D9E" w:rsidRPr="006A4428" w:rsidRDefault="00903D9E" w:rsidP="001066A2">
            <w:pPr>
              <w:keepNext/>
              <w:rPr>
                <w:sz w:val="18"/>
                <w:szCs w:val="18"/>
              </w:rPr>
            </w:pPr>
            <w:r w:rsidRPr="006A4428">
              <w:rPr>
                <w:sz w:val="18"/>
                <w:szCs w:val="18"/>
              </w:rPr>
              <w:t>(n=184)</w:t>
            </w:r>
          </w:p>
          <w:p w:rsidR="00903D9E" w:rsidRPr="006A4428" w:rsidRDefault="00903D9E" w:rsidP="001066A2">
            <w:pPr>
              <w:keepNext/>
              <w:rPr>
                <w:sz w:val="18"/>
                <w:szCs w:val="18"/>
              </w:rPr>
            </w:pPr>
            <w:r w:rsidRPr="006A4428">
              <w:rPr>
                <w:sz w:val="18"/>
                <w:szCs w:val="18"/>
              </w:rPr>
              <w:t>No (%)</w:t>
            </w:r>
          </w:p>
        </w:tc>
      </w:tr>
      <w:tr w:rsidR="00903D9E" w:rsidRPr="006A4428" w:rsidTr="00CB5370">
        <w:tc>
          <w:tcPr>
            <w:tcW w:w="5000" w:type="pct"/>
            <w:gridSpan w:val="6"/>
          </w:tcPr>
          <w:p w:rsidR="00903D9E" w:rsidRPr="006A4428" w:rsidRDefault="00903D9E" w:rsidP="006A4428">
            <w:pPr>
              <w:pStyle w:val="TableHeading2"/>
            </w:pPr>
            <w:r w:rsidRPr="006A4428">
              <w:t>Nervous system  disorders</w:t>
            </w:r>
          </w:p>
        </w:tc>
      </w:tr>
      <w:tr w:rsidR="00903D9E" w:rsidRPr="006A4428" w:rsidTr="00CB5370">
        <w:tc>
          <w:tcPr>
            <w:tcW w:w="1463" w:type="pct"/>
          </w:tcPr>
          <w:p w:rsidR="00903D9E" w:rsidRPr="006A4428" w:rsidRDefault="00903D9E" w:rsidP="00903D9E">
            <w:pPr>
              <w:rPr>
                <w:sz w:val="18"/>
                <w:szCs w:val="18"/>
              </w:rPr>
            </w:pPr>
            <w:r w:rsidRPr="006A4428">
              <w:rPr>
                <w:sz w:val="18"/>
                <w:szCs w:val="18"/>
              </w:rPr>
              <w:t>Burning sensation</w:t>
            </w:r>
          </w:p>
        </w:tc>
        <w:tc>
          <w:tcPr>
            <w:tcW w:w="658" w:type="pct"/>
          </w:tcPr>
          <w:p w:rsidR="00903D9E" w:rsidRPr="006A4428" w:rsidRDefault="00903D9E" w:rsidP="00903D9E">
            <w:pPr>
              <w:rPr>
                <w:sz w:val="18"/>
                <w:szCs w:val="18"/>
              </w:rPr>
            </w:pPr>
            <w:r w:rsidRPr="006A4428">
              <w:rPr>
                <w:sz w:val="18"/>
                <w:szCs w:val="18"/>
              </w:rPr>
              <w:t>2 (0.2)</w:t>
            </w:r>
          </w:p>
        </w:tc>
        <w:tc>
          <w:tcPr>
            <w:tcW w:w="740" w:type="pct"/>
          </w:tcPr>
          <w:p w:rsidR="00903D9E" w:rsidRPr="006A4428" w:rsidRDefault="00903D9E" w:rsidP="00903D9E">
            <w:pPr>
              <w:rPr>
                <w:sz w:val="18"/>
                <w:szCs w:val="18"/>
              </w:rPr>
            </w:pPr>
            <w:r w:rsidRPr="006A4428">
              <w:rPr>
                <w:sz w:val="18"/>
                <w:szCs w:val="18"/>
              </w:rPr>
              <w:t>0 (0.0)</w:t>
            </w:r>
          </w:p>
        </w:tc>
        <w:tc>
          <w:tcPr>
            <w:tcW w:w="794" w:type="pct"/>
          </w:tcPr>
          <w:p w:rsidR="00903D9E" w:rsidRPr="006A4428" w:rsidRDefault="00903D9E" w:rsidP="00903D9E">
            <w:pPr>
              <w:rPr>
                <w:sz w:val="18"/>
                <w:szCs w:val="18"/>
              </w:rPr>
            </w:pPr>
            <w:r w:rsidRPr="006A4428">
              <w:rPr>
                <w:sz w:val="18"/>
                <w:szCs w:val="18"/>
              </w:rPr>
              <w:t>0 (0.0)</w:t>
            </w:r>
          </w:p>
        </w:tc>
        <w:tc>
          <w:tcPr>
            <w:tcW w:w="650" w:type="pct"/>
          </w:tcPr>
          <w:p w:rsidR="00903D9E" w:rsidRPr="006A4428" w:rsidRDefault="00903D9E" w:rsidP="00903D9E">
            <w:pPr>
              <w:rPr>
                <w:sz w:val="18"/>
                <w:szCs w:val="18"/>
              </w:rPr>
            </w:pPr>
            <w:r w:rsidRPr="006A4428">
              <w:rPr>
                <w:sz w:val="18"/>
                <w:szCs w:val="18"/>
              </w:rPr>
              <w:t>5 (2.2)</w:t>
            </w:r>
          </w:p>
        </w:tc>
        <w:tc>
          <w:tcPr>
            <w:tcW w:w="695" w:type="pct"/>
          </w:tcPr>
          <w:p w:rsidR="00903D9E" w:rsidRPr="006A4428" w:rsidRDefault="00903D9E" w:rsidP="00903D9E">
            <w:pPr>
              <w:rPr>
                <w:sz w:val="18"/>
                <w:szCs w:val="18"/>
              </w:rPr>
            </w:pPr>
            <w:r w:rsidRPr="006A4428">
              <w:rPr>
                <w:sz w:val="18"/>
                <w:szCs w:val="18"/>
              </w:rPr>
              <w:t>2 (1.1)</w:t>
            </w:r>
          </w:p>
        </w:tc>
      </w:tr>
      <w:tr w:rsidR="00903D9E" w:rsidRPr="006A4428" w:rsidTr="00CB5370">
        <w:tc>
          <w:tcPr>
            <w:tcW w:w="5000" w:type="pct"/>
            <w:gridSpan w:val="6"/>
          </w:tcPr>
          <w:p w:rsidR="00903D9E" w:rsidRPr="006A4428" w:rsidRDefault="00CB5370" w:rsidP="006A4428">
            <w:pPr>
              <w:pStyle w:val="TableHeading2"/>
            </w:pPr>
            <w:r w:rsidRPr="006A4428">
              <w:t>Skin</w:t>
            </w:r>
            <w:r w:rsidR="00903D9E" w:rsidRPr="006A4428">
              <w:t xml:space="preserve"> and subcutaneous tissue disorders</w:t>
            </w:r>
          </w:p>
        </w:tc>
      </w:tr>
      <w:tr w:rsidR="00903D9E" w:rsidRPr="006A4428" w:rsidTr="00CB5370">
        <w:tc>
          <w:tcPr>
            <w:tcW w:w="1463" w:type="pct"/>
          </w:tcPr>
          <w:p w:rsidR="00903D9E" w:rsidRPr="006A4428" w:rsidRDefault="00903D9E" w:rsidP="006A4428">
            <w:pPr>
              <w:rPr>
                <w:sz w:val="18"/>
                <w:szCs w:val="18"/>
              </w:rPr>
            </w:pPr>
            <w:proofErr w:type="spellStart"/>
            <w:r w:rsidRPr="006A4428">
              <w:rPr>
                <w:sz w:val="18"/>
                <w:szCs w:val="18"/>
              </w:rPr>
              <w:t>Pruritus</w:t>
            </w:r>
            <w:proofErr w:type="spellEnd"/>
          </w:p>
        </w:tc>
        <w:tc>
          <w:tcPr>
            <w:tcW w:w="658" w:type="pct"/>
          </w:tcPr>
          <w:p w:rsidR="00903D9E" w:rsidRPr="006A4428" w:rsidRDefault="00903D9E" w:rsidP="00CB5370">
            <w:pPr>
              <w:keepNext/>
              <w:rPr>
                <w:sz w:val="18"/>
                <w:szCs w:val="18"/>
              </w:rPr>
            </w:pPr>
            <w:r w:rsidRPr="006A4428">
              <w:rPr>
                <w:sz w:val="18"/>
                <w:szCs w:val="18"/>
              </w:rPr>
              <w:t>12 (1.5)</w:t>
            </w:r>
          </w:p>
        </w:tc>
        <w:tc>
          <w:tcPr>
            <w:tcW w:w="740" w:type="pct"/>
          </w:tcPr>
          <w:p w:rsidR="00903D9E" w:rsidRPr="006A4428" w:rsidRDefault="00903D9E" w:rsidP="00CB5370">
            <w:pPr>
              <w:keepNext/>
              <w:rPr>
                <w:sz w:val="18"/>
                <w:szCs w:val="18"/>
              </w:rPr>
            </w:pPr>
            <w:r w:rsidRPr="006A4428">
              <w:rPr>
                <w:sz w:val="18"/>
                <w:szCs w:val="18"/>
              </w:rPr>
              <w:t>2 (0.4)</w:t>
            </w:r>
          </w:p>
        </w:tc>
        <w:tc>
          <w:tcPr>
            <w:tcW w:w="794" w:type="pct"/>
          </w:tcPr>
          <w:p w:rsidR="00903D9E" w:rsidRPr="006A4428" w:rsidRDefault="00903D9E" w:rsidP="00CB5370">
            <w:pPr>
              <w:keepNext/>
              <w:rPr>
                <w:sz w:val="18"/>
                <w:szCs w:val="18"/>
              </w:rPr>
            </w:pPr>
            <w:r w:rsidRPr="006A4428">
              <w:rPr>
                <w:sz w:val="18"/>
                <w:szCs w:val="18"/>
              </w:rPr>
              <w:t>5 (2.9)</w:t>
            </w:r>
          </w:p>
        </w:tc>
        <w:tc>
          <w:tcPr>
            <w:tcW w:w="650" w:type="pct"/>
          </w:tcPr>
          <w:p w:rsidR="00903D9E" w:rsidRPr="006A4428" w:rsidRDefault="00903D9E" w:rsidP="00CB5370">
            <w:pPr>
              <w:keepNext/>
              <w:rPr>
                <w:sz w:val="18"/>
                <w:szCs w:val="18"/>
              </w:rPr>
            </w:pPr>
            <w:r w:rsidRPr="006A4428">
              <w:rPr>
                <w:sz w:val="18"/>
                <w:szCs w:val="18"/>
              </w:rPr>
              <w:t>15 (6.6)</w:t>
            </w:r>
          </w:p>
        </w:tc>
        <w:tc>
          <w:tcPr>
            <w:tcW w:w="695" w:type="pct"/>
          </w:tcPr>
          <w:p w:rsidR="00903D9E" w:rsidRPr="006A4428" w:rsidRDefault="00903D9E" w:rsidP="00CB5370">
            <w:pPr>
              <w:keepNext/>
              <w:rPr>
                <w:sz w:val="18"/>
                <w:szCs w:val="18"/>
              </w:rPr>
            </w:pPr>
            <w:r w:rsidRPr="006A4428">
              <w:rPr>
                <w:sz w:val="18"/>
                <w:szCs w:val="18"/>
              </w:rPr>
              <w:t>11 (6.0)</w:t>
            </w:r>
          </w:p>
        </w:tc>
      </w:tr>
      <w:tr w:rsidR="00903D9E" w:rsidRPr="006A4428" w:rsidTr="00CB5370">
        <w:tc>
          <w:tcPr>
            <w:tcW w:w="1463" w:type="pct"/>
          </w:tcPr>
          <w:p w:rsidR="00903D9E" w:rsidRPr="006A4428" w:rsidRDefault="00903D9E" w:rsidP="00903D9E">
            <w:pPr>
              <w:rPr>
                <w:sz w:val="18"/>
                <w:szCs w:val="18"/>
              </w:rPr>
            </w:pPr>
            <w:r w:rsidRPr="006A4428">
              <w:rPr>
                <w:sz w:val="18"/>
                <w:szCs w:val="18"/>
              </w:rPr>
              <w:t>Erythema</w:t>
            </w:r>
          </w:p>
        </w:tc>
        <w:tc>
          <w:tcPr>
            <w:tcW w:w="658" w:type="pct"/>
          </w:tcPr>
          <w:p w:rsidR="00903D9E" w:rsidRPr="006A4428" w:rsidRDefault="00903D9E" w:rsidP="00903D9E">
            <w:pPr>
              <w:rPr>
                <w:sz w:val="18"/>
                <w:szCs w:val="18"/>
              </w:rPr>
            </w:pPr>
            <w:r w:rsidRPr="006A4428">
              <w:rPr>
                <w:sz w:val="18"/>
                <w:szCs w:val="18"/>
              </w:rPr>
              <w:t>1 (0.1)</w:t>
            </w:r>
          </w:p>
        </w:tc>
        <w:tc>
          <w:tcPr>
            <w:tcW w:w="740" w:type="pct"/>
          </w:tcPr>
          <w:p w:rsidR="00903D9E" w:rsidRPr="006A4428" w:rsidRDefault="00903D9E" w:rsidP="00903D9E">
            <w:pPr>
              <w:rPr>
                <w:sz w:val="18"/>
                <w:szCs w:val="18"/>
              </w:rPr>
            </w:pPr>
            <w:r w:rsidRPr="006A4428">
              <w:rPr>
                <w:sz w:val="18"/>
                <w:szCs w:val="18"/>
              </w:rPr>
              <w:t>0 (0.0)</w:t>
            </w:r>
          </w:p>
        </w:tc>
        <w:tc>
          <w:tcPr>
            <w:tcW w:w="794" w:type="pct"/>
          </w:tcPr>
          <w:p w:rsidR="00903D9E" w:rsidRPr="006A4428" w:rsidRDefault="00903D9E" w:rsidP="00903D9E">
            <w:pPr>
              <w:rPr>
                <w:sz w:val="18"/>
                <w:szCs w:val="18"/>
              </w:rPr>
            </w:pPr>
            <w:r w:rsidRPr="006A4428">
              <w:rPr>
                <w:sz w:val="18"/>
                <w:szCs w:val="18"/>
              </w:rPr>
              <w:t>2 (1.1)</w:t>
            </w:r>
          </w:p>
        </w:tc>
        <w:tc>
          <w:tcPr>
            <w:tcW w:w="650" w:type="pct"/>
          </w:tcPr>
          <w:p w:rsidR="00903D9E" w:rsidRPr="006A4428" w:rsidRDefault="00903D9E" w:rsidP="00903D9E">
            <w:pPr>
              <w:rPr>
                <w:sz w:val="18"/>
                <w:szCs w:val="18"/>
              </w:rPr>
            </w:pPr>
            <w:r w:rsidRPr="006A4428">
              <w:rPr>
                <w:sz w:val="18"/>
                <w:szCs w:val="18"/>
              </w:rPr>
              <w:t>0 (0.0)</w:t>
            </w:r>
          </w:p>
        </w:tc>
        <w:tc>
          <w:tcPr>
            <w:tcW w:w="695" w:type="pct"/>
          </w:tcPr>
          <w:p w:rsidR="00903D9E" w:rsidRPr="006A4428" w:rsidRDefault="00903D9E" w:rsidP="00903D9E">
            <w:pPr>
              <w:rPr>
                <w:sz w:val="18"/>
                <w:szCs w:val="18"/>
              </w:rPr>
            </w:pPr>
            <w:r w:rsidRPr="006A4428">
              <w:rPr>
                <w:sz w:val="18"/>
                <w:szCs w:val="18"/>
              </w:rPr>
              <w:t>1 (0.5)</w:t>
            </w:r>
          </w:p>
        </w:tc>
      </w:tr>
      <w:tr w:rsidR="00903D9E" w:rsidRPr="006A4428" w:rsidTr="00CB5370">
        <w:tc>
          <w:tcPr>
            <w:tcW w:w="1463" w:type="pct"/>
          </w:tcPr>
          <w:p w:rsidR="00903D9E" w:rsidRPr="006A4428" w:rsidRDefault="00903D9E" w:rsidP="00903D9E">
            <w:pPr>
              <w:rPr>
                <w:sz w:val="18"/>
                <w:szCs w:val="18"/>
              </w:rPr>
            </w:pPr>
            <w:r w:rsidRPr="006A4428">
              <w:rPr>
                <w:sz w:val="18"/>
                <w:szCs w:val="18"/>
              </w:rPr>
              <w:t>Skin burning sensation</w:t>
            </w:r>
          </w:p>
        </w:tc>
        <w:tc>
          <w:tcPr>
            <w:tcW w:w="658" w:type="pct"/>
          </w:tcPr>
          <w:p w:rsidR="00903D9E" w:rsidRPr="006A4428" w:rsidRDefault="00903D9E" w:rsidP="00903D9E">
            <w:pPr>
              <w:rPr>
                <w:sz w:val="18"/>
                <w:szCs w:val="18"/>
              </w:rPr>
            </w:pPr>
            <w:r w:rsidRPr="006A4428">
              <w:rPr>
                <w:sz w:val="18"/>
                <w:szCs w:val="18"/>
              </w:rPr>
              <w:t>0 (0.0)</w:t>
            </w:r>
          </w:p>
        </w:tc>
        <w:tc>
          <w:tcPr>
            <w:tcW w:w="740" w:type="pct"/>
          </w:tcPr>
          <w:p w:rsidR="00903D9E" w:rsidRPr="006A4428" w:rsidRDefault="00903D9E" w:rsidP="00903D9E">
            <w:pPr>
              <w:rPr>
                <w:sz w:val="18"/>
                <w:szCs w:val="18"/>
              </w:rPr>
            </w:pPr>
            <w:r w:rsidRPr="006A4428">
              <w:rPr>
                <w:sz w:val="18"/>
                <w:szCs w:val="18"/>
              </w:rPr>
              <w:t>0 (0.0)</w:t>
            </w:r>
          </w:p>
        </w:tc>
        <w:tc>
          <w:tcPr>
            <w:tcW w:w="794" w:type="pct"/>
          </w:tcPr>
          <w:p w:rsidR="00903D9E" w:rsidRPr="006A4428" w:rsidRDefault="00903D9E" w:rsidP="00903D9E">
            <w:pPr>
              <w:rPr>
                <w:sz w:val="18"/>
                <w:szCs w:val="18"/>
              </w:rPr>
            </w:pPr>
            <w:r w:rsidRPr="006A4428">
              <w:rPr>
                <w:sz w:val="18"/>
                <w:szCs w:val="18"/>
              </w:rPr>
              <w:t>2 (1.1)</w:t>
            </w:r>
          </w:p>
        </w:tc>
        <w:tc>
          <w:tcPr>
            <w:tcW w:w="650" w:type="pct"/>
          </w:tcPr>
          <w:p w:rsidR="00903D9E" w:rsidRPr="006A4428" w:rsidRDefault="00903D9E" w:rsidP="00903D9E">
            <w:pPr>
              <w:rPr>
                <w:sz w:val="18"/>
                <w:szCs w:val="18"/>
              </w:rPr>
            </w:pPr>
            <w:r w:rsidRPr="006A4428">
              <w:rPr>
                <w:sz w:val="18"/>
                <w:szCs w:val="18"/>
              </w:rPr>
              <w:t>2 (0.9)</w:t>
            </w:r>
          </w:p>
        </w:tc>
        <w:tc>
          <w:tcPr>
            <w:tcW w:w="695" w:type="pct"/>
          </w:tcPr>
          <w:p w:rsidR="00903D9E" w:rsidRPr="006A4428" w:rsidRDefault="00903D9E" w:rsidP="00903D9E">
            <w:pPr>
              <w:rPr>
                <w:sz w:val="18"/>
                <w:szCs w:val="18"/>
              </w:rPr>
            </w:pPr>
            <w:r w:rsidRPr="006A4428">
              <w:rPr>
                <w:sz w:val="18"/>
                <w:szCs w:val="18"/>
              </w:rPr>
              <w:t>1 (0.5)</w:t>
            </w:r>
          </w:p>
        </w:tc>
      </w:tr>
      <w:tr w:rsidR="00903D9E" w:rsidRPr="006A4428" w:rsidTr="00CB5370">
        <w:tc>
          <w:tcPr>
            <w:tcW w:w="5000" w:type="pct"/>
            <w:gridSpan w:val="6"/>
          </w:tcPr>
          <w:p w:rsidR="00903D9E" w:rsidRPr="006A4428" w:rsidRDefault="006A4428" w:rsidP="006A4428">
            <w:pPr>
              <w:pStyle w:val="TableHeading2"/>
            </w:pPr>
            <w:r>
              <w:t>General disorders</w:t>
            </w:r>
            <w:r w:rsidR="00903D9E" w:rsidRPr="006A4428">
              <w:t xml:space="preserve"> and administration site conditions</w:t>
            </w:r>
          </w:p>
        </w:tc>
      </w:tr>
      <w:tr w:rsidR="00903D9E" w:rsidRPr="006A4428" w:rsidTr="00CB5370">
        <w:tc>
          <w:tcPr>
            <w:tcW w:w="1463" w:type="pct"/>
          </w:tcPr>
          <w:p w:rsidR="00903D9E" w:rsidRPr="006A4428" w:rsidRDefault="00903D9E" w:rsidP="00903D9E">
            <w:pPr>
              <w:rPr>
                <w:sz w:val="18"/>
                <w:szCs w:val="18"/>
              </w:rPr>
            </w:pPr>
            <w:r w:rsidRPr="006A4428">
              <w:rPr>
                <w:sz w:val="18"/>
                <w:szCs w:val="18"/>
              </w:rPr>
              <w:t>Application site pain</w:t>
            </w:r>
          </w:p>
        </w:tc>
        <w:tc>
          <w:tcPr>
            <w:tcW w:w="658" w:type="pct"/>
          </w:tcPr>
          <w:p w:rsidR="00903D9E" w:rsidRPr="006A4428" w:rsidRDefault="00903D9E" w:rsidP="00903D9E">
            <w:pPr>
              <w:rPr>
                <w:sz w:val="18"/>
                <w:szCs w:val="18"/>
              </w:rPr>
            </w:pPr>
            <w:r w:rsidRPr="006A4428">
              <w:rPr>
                <w:sz w:val="18"/>
                <w:szCs w:val="18"/>
              </w:rPr>
              <w:t>3 (0.4)</w:t>
            </w:r>
          </w:p>
        </w:tc>
        <w:tc>
          <w:tcPr>
            <w:tcW w:w="740" w:type="pct"/>
          </w:tcPr>
          <w:p w:rsidR="00903D9E" w:rsidRPr="006A4428" w:rsidRDefault="00903D9E" w:rsidP="00903D9E">
            <w:pPr>
              <w:rPr>
                <w:sz w:val="18"/>
                <w:szCs w:val="18"/>
              </w:rPr>
            </w:pPr>
            <w:r w:rsidRPr="006A4428">
              <w:rPr>
                <w:sz w:val="18"/>
                <w:szCs w:val="18"/>
              </w:rPr>
              <w:t>1 (0.2)</w:t>
            </w:r>
          </w:p>
        </w:tc>
        <w:tc>
          <w:tcPr>
            <w:tcW w:w="794" w:type="pct"/>
          </w:tcPr>
          <w:p w:rsidR="00903D9E" w:rsidRPr="006A4428" w:rsidRDefault="00903D9E" w:rsidP="00903D9E">
            <w:pPr>
              <w:rPr>
                <w:sz w:val="18"/>
                <w:szCs w:val="18"/>
              </w:rPr>
            </w:pPr>
            <w:r w:rsidRPr="006A4428">
              <w:rPr>
                <w:sz w:val="18"/>
                <w:szCs w:val="18"/>
              </w:rPr>
              <w:t>0 (0)</w:t>
            </w:r>
          </w:p>
        </w:tc>
        <w:tc>
          <w:tcPr>
            <w:tcW w:w="650" w:type="pct"/>
          </w:tcPr>
          <w:p w:rsidR="00903D9E" w:rsidRPr="006A4428" w:rsidRDefault="00903D9E" w:rsidP="00903D9E">
            <w:pPr>
              <w:rPr>
                <w:sz w:val="18"/>
                <w:szCs w:val="18"/>
              </w:rPr>
            </w:pPr>
            <w:r w:rsidRPr="006A4428">
              <w:rPr>
                <w:sz w:val="18"/>
                <w:szCs w:val="18"/>
              </w:rPr>
              <w:t>0 (1.3)</w:t>
            </w:r>
          </w:p>
        </w:tc>
        <w:tc>
          <w:tcPr>
            <w:tcW w:w="695" w:type="pct"/>
          </w:tcPr>
          <w:p w:rsidR="00903D9E" w:rsidRPr="006A4428" w:rsidRDefault="00903D9E" w:rsidP="00903D9E">
            <w:pPr>
              <w:rPr>
                <w:sz w:val="18"/>
                <w:szCs w:val="18"/>
              </w:rPr>
            </w:pPr>
            <w:r w:rsidRPr="006A4428">
              <w:rPr>
                <w:sz w:val="18"/>
                <w:szCs w:val="18"/>
              </w:rPr>
              <w:t>2 (1.1)</w:t>
            </w:r>
          </w:p>
        </w:tc>
      </w:tr>
      <w:tr w:rsidR="00903D9E" w:rsidRPr="006A4428" w:rsidTr="00CB5370">
        <w:tc>
          <w:tcPr>
            <w:tcW w:w="1463" w:type="pct"/>
          </w:tcPr>
          <w:p w:rsidR="00903D9E" w:rsidRPr="006A4428" w:rsidRDefault="00903D9E" w:rsidP="00903D9E">
            <w:pPr>
              <w:rPr>
                <w:sz w:val="18"/>
                <w:szCs w:val="18"/>
              </w:rPr>
            </w:pPr>
            <w:r w:rsidRPr="006A4428">
              <w:rPr>
                <w:sz w:val="18"/>
                <w:szCs w:val="18"/>
              </w:rPr>
              <w:t>Pain</w:t>
            </w:r>
          </w:p>
        </w:tc>
        <w:tc>
          <w:tcPr>
            <w:tcW w:w="658" w:type="pct"/>
          </w:tcPr>
          <w:p w:rsidR="00903D9E" w:rsidRPr="006A4428" w:rsidRDefault="00903D9E" w:rsidP="00903D9E">
            <w:pPr>
              <w:rPr>
                <w:sz w:val="18"/>
                <w:szCs w:val="18"/>
              </w:rPr>
            </w:pPr>
            <w:r w:rsidRPr="006A4428">
              <w:rPr>
                <w:sz w:val="18"/>
                <w:szCs w:val="18"/>
              </w:rPr>
              <w:t>2 (0.2)</w:t>
            </w:r>
          </w:p>
        </w:tc>
        <w:tc>
          <w:tcPr>
            <w:tcW w:w="740" w:type="pct"/>
          </w:tcPr>
          <w:p w:rsidR="00903D9E" w:rsidRPr="006A4428" w:rsidRDefault="00903D9E" w:rsidP="00903D9E">
            <w:pPr>
              <w:rPr>
                <w:sz w:val="18"/>
                <w:szCs w:val="18"/>
              </w:rPr>
            </w:pPr>
            <w:r w:rsidRPr="006A4428">
              <w:rPr>
                <w:sz w:val="18"/>
                <w:szCs w:val="18"/>
              </w:rPr>
              <w:t>1 (0.2)</w:t>
            </w:r>
          </w:p>
        </w:tc>
        <w:tc>
          <w:tcPr>
            <w:tcW w:w="794" w:type="pct"/>
          </w:tcPr>
          <w:p w:rsidR="00903D9E" w:rsidRPr="006A4428" w:rsidRDefault="00903D9E" w:rsidP="00903D9E">
            <w:pPr>
              <w:rPr>
                <w:sz w:val="18"/>
                <w:szCs w:val="18"/>
              </w:rPr>
            </w:pPr>
            <w:r w:rsidRPr="006A4428">
              <w:rPr>
                <w:sz w:val="18"/>
                <w:szCs w:val="18"/>
              </w:rPr>
              <w:t>2 (1.1)</w:t>
            </w:r>
          </w:p>
        </w:tc>
        <w:tc>
          <w:tcPr>
            <w:tcW w:w="650" w:type="pct"/>
          </w:tcPr>
          <w:p w:rsidR="00903D9E" w:rsidRPr="006A4428" w:rsidRDefault="00903D9E" w:rsidP="00903D9E">
            <w:pPr>
              <w:rPr>
                <w:sz w:val="18"/>
                <w:szCs w:val="18"/>
              </w:rPr>
            </w:pPr>
            <w:r w:rsidRPr="006A4428">
              <w:rPr>
                <w:sz w:val="18"/>
                <w:szCs w:val="18"/>
              </w:rPr>
              <w:t>0 (0.0)</w:t>
            </w:r>
          </w:p>
        </w:tc>
        <w:tc>
          <w:tcPr>
            <w:tcW w:w="695" w:type="pct"/>
          </w:tcPr>
          <w:p w:rsidR="00903D9E" w:rsidRPr="006A4428" w:rsidRDefault="00903D9E" w:rsidP="00903D9E">
            <w:pPr>
              <w:rPr>
                <w:sz w:val="18"/>
                <w:szCs w:val="18"/>
              </w:rPr>
            </w:pPr>
            <w:r w:rsidRPr="006A4428">
              <w:rPr>
                <w:sz w:val="18"/>
                <w:szCs w:val="18"/>
              </w:rPr>
              <w:t>0 (0.0)</w:t>
            </w:r>
          </w:p>
        </w:tc>
      </w:tr>
      <w:tr w:rsidR="00903D9E" w:rsidRPr="006A4428" w:rsidTr="00CB5370">
        <w:tc>
          <w:tcPr>
            <w:tcW w:w="5000" w:type="pct"/>
            <w:gridSpan w:val="6"/>
          </w:tcPr>
          <w:p w:rsidR="00903D9E" w:rsidRPr="006A4428" w:rsidRDefault="00903D9E" w:rsidP="006A4428">
            <w:pPr>
              <w:pStyle w:val="TableHeading2"/>
            </w:pPr>
            <w:r w:rsidRPr="006A4428">
              <w:t>Investigations</w:t>
            </w:r>
          </w:p>
        </w:tc>
      </w:tr>
      <w:tr w:rsidR="00903D9E" w:rsidRPr="006A4428" w:rsidTr="00CB5370">
        <w:tc>
          <w:tcPr>
            <w:tcW w:w="1463" w:type="pct"/>
          </w:tcPr>
          <w:p w:rsidR="00903D9E" w:rsidRPr="006A4428" w:rsidRDefault="00903D9E" w:rsidP="00903D9E">
            <w:pPr>
              <w:rPr>
                <w:sz w:val="18"/>
                <w:szCs w:val="18"/>
              </w:rPr>
            </w:pPr>
            <w:r w:rsidRPr="006A4428">
              <w:rPr>
                <w:sz w:val="18"/>
                <w:szCs w:val="18"/>
              </w:rPr>
              <w:t>Blood parathyroid hormone increased</w:t>
            </w:r>
          </w:p>
        </w:tc>
        <w:tc>
          <w:tcPr>
            <w:tcW w:w="658" w:type="pct"/>
          </w:tcPr>
          <w:p w:rsidR="00903D9E" w:rsidRPr="006A4428" w:rsidRDefault="00903D9E" w:rsidP="00903D9E">
            <w:pPr>
              <w:rPr>
                <w:sz w:val="18"/>
                <w:szCs w:val="18"/>
              </w:rPr>
            </w:pPr>
            <w:r w:rsidRPr="006A4428">
              <w:rPr>
                <w:sz w:val="18"/>
                <w:szCs w:val="18"/>
              </w:rPr>
              <w:t>7 (0.9)</w:t>
            </w:r>
          </w:p>
        </w:tc>
        <w:tc>
          <w:tcPr>
            <w:tcW w:w="740" w:type="pct"/>
          </w:tcPr>
          <w:p w:rsidR="00903D9E" w:rsidRPr="006A4428" w:rsidRDefault="00903D9E" w:rsidP="00903D9E">
            <w:pPr>
              <w:rPr>
                <w:sz w:val="18"/>
                <w:szCs w:val="18"/>
              </w:rPr>
            </w:pPr>
            <w:r w:rsidRPr="006A4428">
              <w:rPr>
                <w:sz w:val="18"/>
                <w:szCs w:val="18"/>
              </w:rPr>
              <w:t>6 (1.1)</w:t>
            </w:r>
          </w:p>
        </w:tc>
        <w:tc>
          <w:tcPr>
            <w:tcW w:w="794" w:type="pct"/>
          </w:tcPr>
          <w:p w:rsidR="00903D9E" w:rsidRPr="006A4428" w:rsidRDefault="00903D9E" w:rsidP="00903D9E">
            <w:pPr>
              <w:rPr>
                <w:sz w:val="18"/>
                <w:szCs w:val="18"/>
              </w:rPr>
            </w:pPr>
            <w:r w:rsidRPr="006A4428">
              <w:rPr>
                <w:sz w:val="18"/>
                <w:szCs w:val="18"/>
              </w:rPr>
              <w:t>0 (0.0)</w:t>
            </w:r>
          </w:p>
        </w:tc>
        <w:tc>
          <w:tcPr>
            <w:tcW w:w="650" w:type="pct"/>
          </w:tcPr>
          <w:p w:rsidR="00903D9E" w:rsidRPr="006A4428" w:rsidRDefault="00903D9E" w:rsidP="00903D9E">
            <w:pPr>
              <w:rPr>
                <w:sz w:val="18"/>
                <w:szCs w:val="18"/>
              </w:rPr>
            </w:pPr>
            <w:r w:rsidRPr="006A4428">
              <w:rPr>
                <w:sz w:val="18"/>
                <w:szCs w:val="18"/>
              </w:rPr>
              <w:t>1 (0.4)</w:t>
            </w:r>
          </w:p>
        </w:tc>
        <w:tc>
          <w:tcPr>
            <w:tcW w:w="695" w:type="pct"/>
          </w:tcPr>
          <w:p w:rsidR="00903D9E" w:rsidRPr="006A4428" w:rsidRDefault="00903D9E" w:rsidP="00903D9E">
            <w:pPr>
              <w:rPr>
                <w:sz w:val="18"/>
                <w:szCs w:val="18"/>
              </w:rPr>
            </w:pPr>
            <w:r w:rsidRPr="006A4428">
              <w:rPr>
                <w:sz w:val="18"/>
                <w:szCs w:val="18"/>
              </w:rPr>
              <w:t>0 (0.0)</w:t>
            </w:r>
          </w:p>
        </w:tc>
      </w:tr>
    </w:tbl>
    <w:p w:rsidR="00903D9E" w:rsidRPr="00CB5370" w:rsidRDefault="00903D9E" w:rsidP="006A4428">
      <w:pPr>
        <w:pStyle w:val="TableDescription"/>
      </w:pPr>
      <w:r w:rsidRPr="00CB5370">
        <w:t xml:space="preserve">1) Classification according to </w:t>
      </w:r>
      <w:r w:rsidR="00CB5370" w:rsidRPr="00CB5370">
        <w:t xml:space="preserve">Medical Dictionary for Regulatory Activities </w:t>
      </w:r>
      <w:r w:rsidR="00CB5370">
        <w:t>(</w:t>
      </w:r>
      <w:proofErr w:type="spellStart"/>
      <w:r w:rsidRPr="00CB5370">
        <w:t>MedDRA</w:t>
      </w:r>
      <w:proofErr w:type="spellEnd"/>
      <w:r w:rsidR="00CB5370">
        <w:t>)</w:t>
      </w:r>
      <w:r w:rsidRPr="00CB5370">
        <w:t xml:space="preserve"> version 14.1.</w:t>
      </w:r>
    </w:p>
    <w:p w:rsidR="00DB2A47" w:rsidRPr="00DB2A47" w:rsidRDefault="00DB2A47" w:rsidP="006A4428">
      <w:r w:rsidRPr="00DB2A47">
        <w:t xml:space="preserve">The numbers were small to detect any significant trends. Of note, were three subjects reporting adrenal suppression. </w:t>
      </w:r>
    </w:p>
    <w:p w:rsidR="00DB2A47" w:rsidRPr="00DB2A47" w:rsidRDefault="00DB2A47" w:rsidP="006A4428">
      <w:r w:rsidRPr="00DB2A47">
        <w:t>Th</w:t>
      </w:r>
      <w:r w:rsidR="00CB5370">
        <w:t>e evaluator also mentions that S</w:t>
      </w:r>
      <w:r w:rsidRPr="00DB2A47">
        <w:t>tudy LEO 80185-G24 evaluated once daily use of Daivobet gel on HPA and calcium metabolism. There were no significant trends seen in relation to albumin corrected serum calcium, urinary calcium: creatinine ratio, serum PTH. There were two subjects with possible clinically significant increases in 24 hour urinary calcium excretion. The average weekly use of Daivobet gel in these subjects ranged from 73- 87g. One subject was withdrawn at day 28 as there was an abnormal ACTH suppression test.</w:t>
      </w:r>
    </w:p>
    <w:p w:rsidR="00DB2A47" w:rsidRDefault="00DB2A47" w:rsidP="006A4428">
      <w:r w:rsidRPr="00DB2A47">
        <w:t xml:space="preserve">Overall the evaluator concludes that the AE profile was in line with previously reported AEs. </w:t>
      </w:r>
    </w:p>
    <w:p w:rsidR="00144A7C" w:rsidRPr="00144A7C" w:rsidRDefault="00144A7C" w:rsidP="006A4428">
      <w:pPr>
        <w:pStyle w:val="Heading4"/>
      </w:pPr>
      <w:r w:rsidRPr="00144A7C">
        <w:t>Clinical evaluator’s</w:t>
      </w:r>
      <w:r>
        <w:t xml:space="preserve"> overall conclusions and</w:t>
      </w:r>
      <w:r w:rsidRPr="00144A7C">
        <w:t xml:space="preserve"> recommendation</w:t>
      </w:r>
    </w:p>
    <w:p w:rsidR="00144A7C" w:rsidRDefault="00DB2A47" w:rsidP="006A4428">
      <w:r w:rsidRPr="00DB2A47">
        <w:t>The evaluator recommends that the indication be amended from ‘topical tr</w:t>
      </w:r>
      <w:r w:rsidR="00144A7C">
        <w:t xml:space="preserve">eatment of body psoriasis’ to, </w:t>
      </w:r>
    </w:p>
    <w:p w:rsidR="00144A7C" w:rsidRPr="006A4428" w:rsidRDefault="00DB2A47" w:rsidP="006A4428">
      <w:pPr>
        <w:ind w:left="720"/>
        <w:rPr>
          <w:i/>
        </w:rPr>
      </w:pPr>
      <w:r w:rsidRPr="006A4428">
        <w:rPr>
          <w:i/>
        </w:rPr>
        <w:t xml:space="preserve">‘topical treatment of mild to moderate ‘non-scalp plaque psoriasis in adults’. </w:t>
      </w:r>
    </w:p>
    <w:p w:rsidR="00DB2A47" w:rsidRPr="00DB2A47" w:rsidRDefault="00DB2A47" w:rsidP="006A4428">
      <w:r w:rsidRPr="00DB2A47">
        <w:t>This is to be in line</w:t>
      </w:r>
      <w:r w:rsidR="001066A2">
        <w:t xml:space="preserve"> with the indication in Europe, </w:t>
      </w:r>
      <w:r w:rsidRPr="00DB2A47">
        <w:t>based on a similar data set.</w:t>
      </w:r>
    </w:p>
    <w:p w:rsidR="00DB2A47" w:rsidRPr="00DB2A47" w:rsidRDefault="00DB2A47" w:rsidP="006A4428">
      <w:r w:rsidRPr="00DB2A47">
        <w:t xml:space="preserve">The evaluator also recommends that the statement </w:t>
      </w:r>
      <w:r w:rsidR="00144A7C">
        <w:t xml:space="preserve">in the proposed PI </w:t>
      </w:r>
      <w:r w:rsidRPr="00DB2A47">
        <w:t xml:space="preserve">on HPA effects based on study LEO80185-G24, ‘These results demonstrated that Daivobet gel may have effects on the HPA axis but the incidence is low and did not increase over time even in a maximum use setting,’ should be removed as the study was small and of a short duration. This should be replaced with the statement that is similar to that in the Daivobet ointment PI. </w:t>
      </w:r>
    </w:p>
    <w:p w:rsidR="00DB2A47" w:rsidRPr="00DB2A47" w:rsidRDefault="00DB2A47" w:rsidP="006A4428">
      <w:r w:rsidRPr="00DB2A47">
        <w:t>In line with the studies submitted, the sponsor has amended the dosing</w:t>
      </w:r>
      <w:r w:rsidR="00144A7C">
        <w:t>, that is, “</w:t>
      </w:r>
      <w:r w:rsidRPr="00DB2A47">
        <w:t>Body psoriasis: Daivobet should be applied once daily for up to 8 weeks.</w:t>
      </w:r>
      <w:r w:rsidR="00144A7C">
        <w:t>”</w:t>
      </w:r>
    </w:p>
    <w:p w:rsidR="00DB2A47" w:rsidRPr="00DB2A47" w:rsidRDefault="00DB2A47" w:rsidP="006A4428">
      <w:r w:rsidRPr="00DB2A47">
        <w:t>The dose proposed in PI is consistent with the dose used in the clinical trial.</w:t>
      </w:r>
    </w:p>
    <w:p w:rsidR="00DB2A47" w:rsidRPr="00DB2A47" w:rsidRDefault="00DB2A47" w:rsidP="00DB2A47">
      <w:r w:rsidRPr="00DB2A47">
        <w:t>The formulation of Daivobet gel used in the clinical trials is that which is proposed for marketing.</w:t>
      </w:r>
    </w:p>
    <w:p w:rsidR="00DB2A47" w:rsidRDefault="00DB2A47" w:rsidP="006A4428">
      <w:r w:rsidRPr="00DB2A47">
        <w:t xml:space="preserve">Overall, the evaluator recommends registration. </w:t>
      </w:r>
    </w:p>
    <w:p w:rsidR="00144A7C" w:rsidRPr="00144A7C" w:rsidRDefault="00144A7C" w:rsidP="006A4428">
      <w:pPr>
        <w:pStyle w:val="Heading3"/>
      </w:pPr>
      <w:bookmarkStart w:id="271" w:name="_Toc357062836"/>
      <w:bookmarkStart w:id="272" w:name="_Toc314842514"/>
      <w:bookmarkStart w:id="273" w:name="_Toc368490595"/>
      <w:r w:rsidRPr="00144A7C">
        <w:t>Risk management plan</w:t>
      </w:r>
      <w:bookmarkEnd w:id="271"/>
      <w:bookmarkEnd w:id="272"/>
      <w:bookmarkEnd w:id="273"/>
    </w:p>
    <w:p w:rsidR="00DB2A47" w:rsidRPr="00DB2A47" w:rsidRDefault="00DB2A47" w:rsidP="006A4428">
      <w:r w:rsidRPr="00DB2A47">
        <w:t>No RMP was submitted. This was considered acceptable by the Office of Product Review.</w:t>
      </w:r>
    </w:p>
    <w:p w:rsidR="008E7846" w:rsidRDefault="00AA0ED0" w:rsidP="006A4428">
      <w:pPr>
        <w:pStyle w:val="Heading3"/>
      </w:pPr>
      <w:bookmarkStart w:id="274" w:name="_Toc247691531"/>
      <w:bookmarkStart w:id="275" w:name="_Toc314842515"/>
      <w:bookmarkStart w:id="276" w:name="_Toc368490596"/>
      <w:bookmarkStart w:id="277" w:name="_Toc196046505"/>
      <w:bookmarkStart w:id="278" w:name="_Toc196046949"/>
      <w:r>
        <w:t>Risk-benefit a</w:t>
      </w:r>
      <w:r w:rsidR="008E7846">
        <w:t>nalysis</w:t>
      </w:r>
      <w:bookmarkEnd w:id="274"/>
      <w:bookmarkEnd w:id="275"/>
      <w:bookmarkEnd w:id="276"/>
    </w:p>
    <w:p w:rsidR="008E7846" w:rsidRDefault="008E7846" w:rsidP="006A4428">
      <w:pPr>
        <w:pStyle w:val="Heading4"/>
      </w:pPr>
      <w:r>
        <w:t xml:space="preserve">Delegate </w:t>
      </w:r>
      <w:r w:rsidR="00ED3CAD">
        <w:t>c</w:t>
      </w:r>
      <w:r>
        <w:t>onsiderations</w:t>
      </w:r>
    </w:p>
    <w:p w:rsidR="00D61149" w:rsidRPr="00D61149" w:rsidRDefault="00D61149" w:rsidP="000B3C0F">
      <w:r w:rsidRPr="00D61149">
        <w:t>The pivotal study is LEO 80185-G23 and in this study Daivobet gel shows superiority v</w:t>
      </w:r>
      <w:r w:rsidR="00144A7C">
        <w:t>er</w:t>
      </w:r>
      <w:r w:rsidRPr="00D61149">
        <w:t>s</w:t>
      </w:r>
      <w:r w:rsidR="00144A7C">
        <w:t>us</w:t>
      </w:r>
      <w:r w:rsidRPr="00D61149">
        <w:t xml:space="preserve"> the individual components in those with mild to moderate</w:t>
      </w:r>
      <w:r w:rsidR="00144A7C">
        <w:t xml:space="preserve"> disease as per the IGA. Thus, the Delegate</w:t>
      </w:r>
      <w:r w:rsidRPr="00D61149">
        <w:t xml:space="preserve"> agree</w:t>
      </w:r>
      <w:r w:rsidR="00144A7C">
        <w:t>d</w:t>
      </w:r>
      <w:r w:rsidRPr="00D61149">
        <w:t xml:space="preserve"> with the </w:t>
      </w:r>
      <w:r w:rsidR="00144A7C">
        <w:t xml:space="preserve">clinical </w:t>
      </w:r>
      <w:r w:rsidRPr="00D61149">
        <w:t>evaluator’s comment that the indication should include treatment of those with mild to moderate psoriasis, only, in relation to severity. Statistical superiority of Daivobet gel (over the comparators) was seen,</w:t>
      </w:r>
      <w:r w:rsidR="00144A7C">
        <w:t xml:space="preserve"> as specified in the protocol, </w:t>
      </w:r>
      <w:r w:rsidRPr="00D61149">
        <w:t xml:space="preserve">only at 8 </w:t>
      </w:r>
      <w:r w:rsidR="00144A7C">
        <w:t>W</w:t>
      </w:r>
      <w:r w:rsidRPr="00D61149">
        <w:t xml:space="preserve">eeks. This should be included in the PI. </w:t>
      </w:r>
    </w:p>
    <w:p w:rsidR="00D61149" w:rsidRPr="00D61149" w:rsidRDefault="00D61149" w:rsidP="000B3C0F">
      <w:r w:rsidRPr="00D61149">
        <w:t>The second</w:t>
      </w:r>
      <w:r w:rsidR="00881540">
        <w:t xml:space="preserve"> study, LEO 80185-G21 includes </w:t>
      </w:r>
      <w:proofErr w:type="spellStart"/>
      <w:r w:rsidR="00881540">
        <w:t>t</w:t>
      </w:r>
      <w:r w:rsidRPr="00D61149">
        <w:t>acalcitol</w:t>
      </w:r>
      <w:proofErr w:type="spellEnd"/>
      <w:r w:rsidRPr="00D61149">
        <w:t xml:space="preserve"> as a comparator which is not registered in Australia. Thus, it is a supportive study. There are data in a small group on relapse and rebound; this is inadequate. Thus the PI document should state that there are inadequate data on relapse and rebound with this product.</w:t>
      </w:r>
    </w:p>
    <w:p w:rsidR="00D61149" w:rsidRPr="00D61149" w:rsidRDefault="00D61149" w:rsidP="000B3C0F">
      <w:r w:rsidRPr="00D61149">
        <w:t xml:space="preserve">The </w:t>
      </w:r>
      <w:r w:rsidR="00144A7C">
        <w:t xml:space="preserve">PD </w:t>
      </w:r>
      <w:r w:rsidRPr="00D61149">
        <w:t xml:space="preserve">study LEO 80185-G24 examined HPA suppression. 3/43 subjects showed suppression. The number included in this study is too small to yield conclusive results. There should be a precautionary statement that there are no long term data with this product and body psoriasis. Also, that data on HPA is lacking. </w:t>
      </w:r>
    </w:p>
    <w:p w:rsidR="00D61149" w:rsidRPr="00D61149" w:rsidRDefault="00D61149" w:rsidP="000B3C0F">
      <w:r w:rsidRPr="00D61149">
        <w:t xml:space="preserve">The PI should also include a statement that treatment should not be continued beyond 8 </w:t>
      </w:r>
      <w:r w:rsidR="00144A7C">
        <w:t>W</w:t>
      </w:r>
      <w:r w:rsidRPr="00D61149">
        <w:t xml:space="preserve">eeks. </w:t>
      </w:r>
    </w:p>
    <w:p w:rsidR="00D61149" w:rsidRPr="00D61149" w:rsidRDefault="00D61149" w:rsidP="000B3C0F">
      <w:r w:rsidRPr="00D61149">
        <w:t xml:space="preserve">There also </w:t>
      </w:r>
      <w:r w:rsidR="00144A7C">
        <w:t>should be a statement in the PI</w:t>
      </w:r>
      <w:r w:rsidRPr="00D61149">
        <w:t xml:space="preserve"> that those who are non-responders at 4 weeks should discontinue treatment without continuing for a further 4 weeks. </w:t>
      </w:r>
    </w:p>
    <w:p w:rsidR="00D61149" w:rsidRPr="00D61149" w:rsidRDefault="00D61149" w:rsidP="000B3C0F">
      <w:r w:rsidRPr="00D61149">
        <w:t xml:space="preserve">All </w:t>
      </w:r>
      <w:r w:rsidR="001066A2">
        <w:t xml:space="preserve">other </w:t>
      </w:r>
      <w:r w:rsidRPr="00D61149">
        <w:t>PI amendments recommended by the evaluator should be incorporated</w:t>
      </w:r>
      <w:r w:rsidR="00144A7C">
        <w:rPr>
          <w:rStyle w:val="FootnoteReference"/>
        </w:rPr>
        <w:footnoteReference w:id="2"/>
      </w:r>
      <w:r w:rsidRPr="00D61149">
        <w:t xml:space="preserve">. </w:t>
      </w:r>
    </w:p>
    <w:p w:rsidR="00D61149" w:rsidRPr="00D61149" w:rsidRDefault="00D61149" w:rsidP="000B3C0F">
      <w:r w:rsidRPr="00D61149">
        <w:t>There is a statement in the PI that the maximum weekly dose should not exceed 100 g. The average weekly use, in the clinical trials is 29 g (23.2). The presentation section of the PI states that it comes in bottles of 30 g. Thus, it would appear that the patient would need up to 8 bottles for up to 8 weeks. The sponsor should justify the presentation of 30 g</w:t>
      </w:r>
      <w:r w:rsidR="00CA16C6">
        <w:t xml:space="preserve"> in their response to this overview</w:t>
      </w:r>
      <w:r w:rsidRPr="00D61149">
        <w:t xml:space="preserve">. </w:t>
      </w:r>
    </w:p>
    <w:p w:rsidR="00CA16C6" w:rsidRPr="00CA16C6" w:rsidRDefault="00CA16C6" w:rsidP="000B3C0F">
      <w:pPr>
        <w:pStyle w:val="Heading4"/>
      </w:pPr>
      <w:r w:rsidRPr="00CA16C6">
        <w:t>Proposed action</w:t>
      </w:r>
    </w:p>
    <w:p w:rsidR="00D61149" w:rsidRPr="00D61149" w:rsidRDefault="00CA16C6" w:rsidP="000B3C0F">
      <w:r>
        <w:t xml:space="preserve">The Delegate proposed to approve </w:t>
      </w:r>
      <w:r w:rsidR="00297C2A">
        <w:t>D</w:t>
      </w:r>
      <w:r w:rsidR="00D61149" w:rsidRPr="00D61149">
        <w:t>a</w:t>
      </w:r>
      <w:r w:rsidR="00297C2A">
        <w:t>i</w:t>
      </w:r>
      <w:r w:rsidR="00D61149" w:rsidRPr="00D61149">
        <w:t>vobet</w:t>
      </w:r>
      <w:r>
        <w:t xml:space="preserve"> </w:t>
      </w:r>
      <w:r w:rsidR="005A6A4A">
        <w:t>50/500 gel (</w:t>
      </w:r>
      <w:r w:rsidR="00D61149" w:rsidRPr="00D61149">
        <w:t xml:space="preserve">calcipotriol 50 </w:t>
      </w:r>
      <w:r w:rsidR="00D61149" w:rsidRPr="00D61149">
        <w:sym w:font="Symbol" w:char="F06D"/>
      </w:r>
      <w:r w:rsidR="00297C2A">
        <w:t>g/g betamethasone as diprop</w:t>
      </w:r>
      <w:r w:rsidR="00D61149" w:rsidRPr="00D61149">
        <w:t xml:space="preserve">ionate 500 </w:t>
      </w:r>
      <w:r w:rsidR="00D61149" w:rsidRPr="00D61149">
        <w:sym w:font="Symbol" w:char="F06D"/>
      </w:r>
      <w:r w:rsidR="0046550F">
        <w:t xml:space="preserve">g/g) </w:t>
      </w:r>
      <w:r w:rsidR="00D61149" w:rsidRPr="00D61149">
        <w:t>for the treatment of body psoriasis.</w:t>
      </w:r>
    </w:p>
    <w:p w:rsidR="00CA16C6" w:rsidRPr="00CA16C6" w:rsidRDefault="00CA16C6" w:rsidP="000B3C0F">
      <w:pPr>
        <w:pStyle w:val="Heading5"/>
      </w:pPr>
      <w:r w:rsidRPr="00CA16C6">
        <w:t xml:space="preserve">Advice requested from ACPM </w:t>
      </w:r>
    </w:p>
    <w:p w:rsidR="00D61149" w:rsidRPr="00D61149" w:rsidRDefault="00CA16C6" w:rsidP="000B3C0F">
      <w:r>
        <w:t>General advice on this application was sought from the Advisory Committee on Prescription Medicines (ACPM)</w:t>
      </w:r>
      <w:r w:rsidR="00D61149" w:rsidRPr="00D61149">
        <w:t>.</w:t>
      </w:r>
    </w:p>
    <w:p w:rsidR="008E7846" w:rsidRDefault="000B3C0F" w:rsidP="000B3C0F">
      <w:pPr>
        <w:pStyle w:val="Heading4"/>
      </w:pPr>
      <w:r>
        <w:t>Response from s</w:t>
      </w:r>
      <w:r w:rsidR="008E7846">
        <w:t>ponsor</w:t>
      </w:r>
    </w:p>
    <w:p w:rsidR="00A74DC4" w:rsidRPr="00A74DC4" w:rsidRDefault="00A74DC4" w:rsidP="000B3C0F">
      <w:pPr>
        <w:pStyle w:val="Heading5"/>
      </w:pPr>
      <w:r w:rsidRPr="00A74DC4">
        <w:t xml:space="preserve">Indication </w:t>
      </w:r>
    </w:p>
    <w:p w:rsidR="00A74DC4" w:rsidRPr="00A74DC4" w:rsidRDefault="00A74DC4" w:rsidP="000B3C0F">
      <w:r w:rsidRPr="00A74DC4">
        <w:t>The origi</w:t>
      </w:r>
      <w:r w:rsidR="00A7455E">
        <w:t>nal indication proposed by the a</w:t>
      </w:r>
      <w:r w:rsidRPr="00A74DC4">
        <w:t xml:space="preserve">pplicant was, </w:t>
      </w:r>
      <w:r w:rsidRPr="001066A2">
        <w:rPr>
          <w:i/>
        </w:rPr>
        <w:t>“Topical treatment of body and scalp psoriasis”</w:t>
      </w:r>
      <w:r w:rsidRPr="00A74DC4">
        <w:t xml:space="preserve">. </w:t>
      </w:r>
    </w:p>
    <w:p w:rsidR="00A74DC4" w:rsidRPr="00A74DC4" w:rsidRDefault="00A74DC4" w:rsidP="000B3C0F">
      <w:r w:rsidRPr="00A74DC4">
        <w:t xml:space="preserve">The clinical evaluator stated that the proposed indication should be changed to be the same as that approved in Europe, </w:t>
      </w:r>
      <w:r w:rsidRPr="000B3C0F">
        <w:rPr>
          <w:i/>
        </w:rPr>
        <w:t>“Topical treatment of scalp psoriasis in adults. Topical treatment of mild t</w:t>
      </w:r>
      <w:r w:rsidR="00A7455E" w:rsidRPr="000B3C0F">
        <w:rPr>
          <w:i/>
        </w:rPr>
        <w:t>o moderate, non-scalp</w:t>
      </w:r>
      <w:r w:rsidRPr="000B3C0F">
        <w:rPr>
          <w:i/>
        </w:rPr>
        <w:t xml:space="preserve"> plaque psoriasis in adults”</w:t>
      </w:r>
      <w:r w:rsidRPr="00A74DC4">
        <w:t xml:space="preserve">. </w:t>
      </w:r>
    </w:p>
    <w:p w:rsidR="00A7455E" w:rsidRDefault="00A74DC4" w:rsidP="000B3C0F">
      <w:r w:rsidRPr="00A74DC4">
        <w:t xml:space="preserve">The </w:t>
      </w:r>
      <w:r w:rsidR="00A7455E">
        <w:t>a</w:t>
      </w:r>
      <w:r w:rsidRPr="00A74DC4">
        <w:t xml:space="preserve">pplicant proposes a modified indication statement for Australia which is more in line with the European indication statement compared to that originally proposed, </w:t>
      </w:r>
    </w:p>
    <w:p w:rsidR="00A74DC4" w:rsidRPr="000B3C0F" w:rsidRDefault="00A74DC4" w:rsidP="000B3C0F">
      <w:pPr>
        <w:ind w:left="720"/>
        <w:rPr>
          <w:i/>
        </w:rPr>
      </w:pPr>
      <w:r w:rsidRPr="000B3C0F">
        <w:rPr>
          <w:i/>
        </w:rPr>
        <w:t xml:space="preserve">“Topical treatment of scalp psoriasis. Topical treatment of mild to moderate plaque psoriasis on the body”. </w:t>
      </w:r>
    </w:p>
    <w:p w:rsidR="008E7846" w:rsidRDefault="00A74DC4" w:rsidP="000B3C0F">
      <w:r w:rsidRPr="00A74DC4">
        <w:t>The first statement, “Topical treatment of scalp psoriasis”, is the same as that app</w:t>
      </w:r>
      <w:r w:rsidR="00A7455E">
        <w:t xml:space="preserve">roved in the original Daivobet </w:t>
      </w:r>
      <w:r w:rsidRPr="00A74DC4">
        <w:t xml:space="preserve">gel application. The second statement, “Topical treatment of mild to moderate plaque psoriasis on the body”, provides the restriction of “mild to moderate” and the type of psoriasis, “plaque psoriasis”. The term “non-scalp” is replaced by equivalent term “body” as this is the convention throughout the PI, CMI, </w:t>
      </w:r>
      <w:r w:rsidR="00A7455E" w:rsidRPr="00A74DC4">
        <w:t>labelling</w:t>
      </w:r>
      <w:r w:rsidRPr="00A74DC4">
        <w:t xml:space="preserve"> and packaging and will be the Australian convention used for all medical professional and patient directed information for this product. The term, “in adults”, has not been included in the Australian indication statement as it refers to the treatment population which is stated in the relevant section in the PI. Moreover, “in adults” was not included in the originally approved in</w:t>
      </w:r>
      <w:r w:rsidR="00A7455E">
        <w:t>dication statement for Daivobet</w:t>
      </w:r>
      <w:r w:rsidRPr="00A74DC4">
        <w:t xml:space="preserve"> gel for scalp psoriasis. </w:t>
      </w:r>
    </w:p>
    <w:p w:rsidR="007B3738" w:rsidRDefault="007B3738" w:rsidP="000B3C0F">
      <w:pPr>
        <w:pStyle w:val="Heading5"/>
      </w:pPr>
      <w:r>
        <w:t>Other revisions to the PI recommended by the clinical evaluator</w:t>
      </w:r>
    </w:p>
    <w:p w:rsidR="00A74DC4" w:rsidRDefault="007B3738" w:rsidP="000B3C0F">
      <w:r>
        <w:t xml:space="preserve">Details of these are beyond the scope of the AusPAR. </w:t>
      </w:r>
    </w:p>
    <w:p w:rsidR="00A74DC4" w:rsidRPr="00A74DC4" w:rsidRDefault="00A74DC4" w:rsidP="000B3C0F">
      <w:pPr>
        <w:pStyle w:val="Heading5"/>
      </w:pPr>
      <w:r w:rsidRPr="00A74DC4">
        <w:t xml:space="preserve">Comments from the </w:t>
      </w:r>
      <w:r w:rsidR="00353529">
        <w:t>d</w:t>
      </w:r>
      <w:r w:rsidRPr="00A74DC4">
        <w:t xml:space="preserve">elegate’s </w:t>
      </w:r>
      <w:r w:rsidR="00353529">
        <w:t>s</w:t>
      </w:r>
      <w:r w:rsidRPr="00A74DC4">
        <w:t xml:space="preserve">ummary and </w:t>
      </w:r>
      <w:r w:rsidR="00353529">
        <w:t>p</w:t>
      </w:r>
      <w:r w:rsidRPr="00A74DC4">
        <w:t xml:space="preserve">roposed </w:t>
      </w:r>
      <w:r w:rsidR="00353529">
        <w:t>a</w:t>
      </w:r>
      <w:r w:rsidRPr="00A74DC4">
        <w:t xml:space="preserve">ction </w:t>
      </w:r>
    </w:p>
    <w:p w:rsidR="00A74DC4" w:rsidRPr="00A74DC4" w:rsidRDefault="00A74DC4" w:rsidP="000B3C0F">
      <w:r w:rsidRPr="00A74DC4">
        <w:t xml:space="preserve">The Delegate requested that the statement, “there are inadequate data on relapse and rebound”, is incorporated into the PI. This statement has been added under the Adverse Effects </w:t>
      </w:r>
      <w:r w:rsidR="007B3738">
        <w:t>heading in the revised draft PI.</w:t>
      </w:r>
    </w:p>
    <w:p w:rsidR="00C26264" w:rsidRDefault="00A74DC4" w:rsidP="000B3C0F">
      <w:r w:rsidRPr="00A74DC4">
        <w:t xml:space="preserve">The Delegate requested that the statement, “there are no long term data with this product and body psoriasis”. </w:t>
      </w:r>
      <w:r w:rsidR="007B3738">
        <w:t>T</w:t>
      </w:r>
      <w:r w:rsidRPr="00A74DC4">
        <w:t>he balanced statement</w:t>
      </w:r>
      <w:r w:rsidR="007B3738">
        <w:t>,</w:t>
      </w:r>
      <w:r w:rsidRPr="00A74DC4">
        <w:t xml:space="preserve"> “While there are no long-term safety data available beyond 8 weeks in patients treated with Daivobet gel on the body, there</w:t>
      </w:r>
      <w:r w:rsidR="00C26264">
        <w:t xml:space="preserve"> are safety data on int</w:t>
      </w:r>
      <w:r w:rsidR="007B3738">
        <w:t>ermittent courses of Daivobet</w:t>
      </w:r>
      <w:r w:rsidR="00C26264">
        <w:t xml:space="preserve"> gel used for up to 52 weeks for scalp psoriasis.” has been added to the </w:t>
      </w:r>
      <w:r w:rsidR="00C26264" w:rsidRPr="007B3738">
        <w:rPr>
          <w:i/>
        </w:rPr>
        <w:t>Precautions</w:t>
      </w:r>
      <w:r w:rsidR="00C26264">
        <w:t xml:space="preserve"> section.</w:t>
      </w:r>
    </w:p>
    <w:p w:rsidR="00C26264" w:rsidRDefault="00C26264" w:rsidP="000B3C0F">
      <w:r>
        <w:t>The Delegate also adds, “Also, that data on HPA are lacking”. As there are data on HPA axis suppression, although limited, which the</w:t>
      </w:r>
      <w:r w:rsidR="007B3738">
        <w:t xml:space="preserve"> a</w:t>
      </w:r>
      <w:r>
        <w:t xml:space="preserve">pplicant considers useful information for medical professionals, the </w:t>
      </w:r>
      <w:r w:rsidR="007B3738">
        <w:t>a</w:t>
      </w:r>
      <w:r>
        <w:t xml:space="preserve">pplicant proposes the following addition to the proposed text (new text underlined), “The results </w:t>
      </w:r>
      <w:r w:rsidRPr="000B3C0F">
        <w:rPr>
          <w:b/>
        </w:rPr>
        <w:t>from this limited number of subjects</w:t>
      </w:r>
      <w:r w:rsidR="007B3738">
        <w:t xml:space="preserve"> demonstrated that </w:t>
      </w:r>
      <w:proofErr w:type="spellStart"/>
      <w:r w:rsidR="007B3738">
        <w:t>Daivobet</w:t>
      </w:r>
      <w:proofErr w:type="spellEnd"/>
      <w:r>
        <w:t xml:space="preserve"> gel may have effects on the HPA axis but the incidence is low and did not increase over tim</w:t>
      </w:r>
      <w:r w:rsidR="007B3738">
        <w:t>e even in a maximum use setting.</w:t>
      </w:r>
      <w:r>
        <w:t>”</w:t>
      </w:r>
    </w:p>
    <w:p w:rsidR="00C26264" w:rsidRDefault="00C26264" w:rsidP="000B3C0F">
      <w:r>
        <w:t>The Delegate requests that the statements, “treatment should not be continued beyond 8 weeks” and “those who are non-responders at 4 weeks should discontinue treatment without continuing for an additional 4 weeks”, are included in the PI.</w:t>
      </w:r>
      <w:r w:rsidR="007B3738">
        <w:t xml:space="preserve"> To address these comments the a</w:t>
      </w:r>
      <w:r>
        <w:t xml:space="preserve">pplicant proposes the following text in the </w:t>
      </w:r>
      <w:r w:rsidRPr="007B3738">
        <w:rPr>
          <w:i/>
        </w:rPr>
        <w:t>Dosage and Administration</w:t>
      </w:r>
      <w:r>
        <w:t xml:space="preserve"> section, “Body psoriasis: Daivobet gel should be applied once daily for up to 8 weeks. If there is no response after 4 weeks, treatment options should be reassessed by a medical practitioner”. Whether to discontinue or continue Daivobet gel treatment is a clinical issue that should really be decided and assessed by the medical practitioner on a case by case basis.</w:t>
      </w:r>
    </w:p>
    <w:p w:rsidR="00C26264" w:rsidRPr="00C26264" w:rsidRDefault="00C26264" w:rsidP="000B3C0F">
      <w:pPr>
        <w:pStyle w:val="Heading5"/>
      </w:pPr>
      <w:r w:rsidRPr="00C26264">
        <w:t xml:space="preserve">Other issue </w:t>
      </w:r>
    </w:p>
    <w:p w:rsidR="00C26264" w:rsidRDefault="00C26264" w:rsidP="000B3C0F">
      <w:r w:rsidRPr="00C26264">
        <w:t>To address the issue raised by the Delegate regarding the 30g pack size o</w:t>
      </w:r>
      <w:r w:rsidR="007B3738">
        <w:t xml:space="preserve">f Daivobet </w:t>
      </w:r>
      <w:r w:rsidRPr="00C26264">
        <w:t xml:space="preserve">gel, the </w:t>
      </w:r>
      <w:r w:rsidR="007B3738">
        <w:t>c</w:t>
      </w:r>
      <w:r w:rsidRPr="00C26264">
        <w:t>ompany will provide a larger 60g pack size in addition to the 30g immediately after approval of the extension of the indication to include the body. This new larger pack is stated in the updated</w:t>
      </w:r>
      <w:r>
        <w:t xml:space="preserve"> PI</w:t>
      </w:r>
    </w:p>
    <w:p w:rsidR="008E7846" w:rsidRDefault="008E7846" w:rsidP="000B3C0F">
      <w:pPr>
        <w:pStyle w:val="Heading4"/>
      </w:pPr>
      <w:r>
        <w:t xml:space="preserve">Advisory </w:t>
      </w:r>
      <w:r w:rsidR="000B3C0F">
        <w:t>c</w:t>
      </w:r>
      <w:r>
        <w:t>ommittee</w:t>
      </w:r>
      <w:r w:rsidR="000B3C0F">
        <w:t xml:space="preserve"> c</w:t>
      </w:r>
      <w:r>
        <w:t>onsiderations</w:t>
      </w:r>
    </w:p>
    <w:p w:rsidR="008E7846" w:rsidRDefault="008E7846" w:rsidP="000B3C0F">
      <w:r>
        <w:t>The Advisory Committee on Prescription Medicines (</w:t>
      </w:r>
      <w:r w:rsidRPr="001C5DFC">
        <w:t>AC</w:t>
      </w:r>
      <w:r>
        <w:t>PM)</w:t>
      </w:r>
      <w:r w:rsidR="00CD1F09">
        <w:t>,</w:t>
      </w:r>
      <w:r>
        <w:t xml:space="preserve"> having considered the evaluations and the Delegate’s overview,</w:t>
      </w:r>
      <w:r w:rsidRPr="001C5DFC">
        <w:t xml:space="preserve"> </w:t>
      </w:r>
      <w:r>
        <w:t>as well as the sponsor’s response to these documents, advised the following:</w:t>
      </w:r>
    </w:p>
    <w:p w:rsidR="00CD28E4" w:rsidRPr="00CD28E4" w:rsidRDefault="00CD28E4" w:rsidP="000B3C0F">
      <w:pPr>
        <w:rPr>
          <w:bCs/>
          <w:lang w:val="en-GB"/>
        </w:rPr>
      </w:pPr>
      <w:r w:rsidRPr="00CD28E4">
        <w:rPr>
          <w:lang w:val="en-GB"/>
        </w:rPr>
        <w:t>The ACPM, taking into account the submitted evidence of efficacy, safet</w:t>
      </w:r>
      <w:r w:rsidR="007B3738">
        <w:rPr>
          <w:lang w:val="en-GB"/>
        </w:rPr>
        <w:t>y and quality, agreed with the D</w:t>
      </w:r>
      <w:r w:rsidRPr="00CD28E4">
        <w:rPr>
          <w:lang w:val="en-GB"/>
        </w:rPr>
        <w:t>elegate and considered this product to have an overall positive benefit–risk profile for the following indication</w:t>
      </w:r>
      <w:r w:rsidRPr="00CD28E4">
        <w:rPr>
          <w:b/>
          <w:lang w:val="en-GB"/>
        </w:rPr>
        <w:t xml:space="preserve">: </w:t>
      </w:r>
    </w:p>
    <w:p w:rsidR="00CD28E4" w:rsidRPr="000B3C0F" w:rsidRDefault="00CD28E4" w:rsidP="000B3C0F">
      <w:pPr>
        <w:ind w:left="720"/>
        <w:rPr>
          <w:i/>
          <w:lang w:val="en-GB"/>
        </w:rPr>
      </w:pPr>
      <w:r w:rsidRPr="000B3C0F">
        <w:rPr>
          <w:i/>
          <w:lang w:val="en-GB"/>
        </w:rPr>
        <w:t>For the topical treatment of mild to moderate body psoriasis in adults</w:t>
      </w:r>
    </w:p>
    <w:p w:rsidR="00CD28E4" w:rsidRPr="00CD28E4" w:rsidRDefault="00CD28E4" w:rsidP="000B3C0F">
      <w:pPr>
        <w:rPr>
          <w:lang w:val="en-GB"/>
        </w:rPr>
      </w:pPr>
      <w:r w:rsidRPr="00CD28E4">
        <w:rPr>
          <w:lang w:val="en-GB"/>
        </w:rPr>
        <w:t xml:space="preserve">In making this recommendation, the ACPM expressed concern with the quality of the overall data package, the lack of specificity in end points and absence of long term data in support of the safe and efficacious use of this product. </w:t>
      </w:r>
    </w:p>
    <w:p w:rsidR="00CD28E4" w:rsidRPr="00CD28E4" w:rsidRDefault="007B3738" w:rsidP="000B3C0F">
      <w:pPr>
        <w:rPr>
          <w:lang w:val="en-GB"/>
        </w:rPr>
      </w:pPr>
      <w:r>
        <w:rPr>
          <w:lang w:val="en-GB"/>
        </w:rPr>
        <w:t>The ACPM agreed with the D</w:t>
      </w:r>
      <w:r w:rsidR="00CD28E4" w:rsidRPr="00CD28E4">
        <w:rPr>
          <w:lang w:val="en-GB"/>
        </w:rPr>
        <w:t xml:space="preserve">elegate to the proposed amendments to the PI and CMI and specifically advised on the inclusion of the following; </w:t>
      </w:r>
    </w:p>
    <w:p w:rsidR="00CD28E4" w:rsidRPr="00CD28E4" w:rsidRDefault="00CD28E4" w:rsidP="000B3C0F">
      <w:pPr>
        <w:pStyle w:val="ListBullet"/>
        <w:rPr>
          <w:lang w:val="en-GB"/>
        </w:rPr>
      </w:pPr>
      <w:r w:rsidRPr="00CD28E4">
        <w:rPr>
          <w:lang w:val="en-GB"/>
        </w:rPr>
        <w:t xml:space="preserve">a statement in the </w:t>
      </w:r>
      <w:r w:rsidRPr="00CD28E4">
        <w:rPr>
          <w:i/>
          <w:lang w:val="en-GB"/>
        </w:rPr>
        <w:t xml:space="preserve">Dosage and Administration </w:t>
      </w:r>
      <w:r w:rsidRPr="00CD28E4">
        <w:rPr>
          <w:lang w:val="en-GB"/>
        </w:rPr>
        <w:t>and</w:t>
      </w:r>
      <w:r w:rsidRPr="00CD28E4">
        <w:rPr>
          <w:i/>
          <w:lang w:val="en-GB"/>
        </w:rPr>
        <w:t xml:space="preserve"> Precautions </w:t>
      </w:r>
      <w:r w:rsidRPr="00CD28E4">
        <w:rPr>
          <w:lang w:val="en-GB"/>
        </w:rPr>
        <w:t xml:space="preserve">sections of the PI and relevant sections of the CMI to strengthen the detail of the overall and dose-dependent risk and management to prevent the development of HPA axis suppression. For example, patients may not fully understand the “30% body surface” description. In addition, the clarity in description of this adverse event in the EU and FDA PI’s should be considered </w:t>
      </w:r>
    </w:p>
    <w:p w:rsidR="00CD28E4" w:rsidRPr="00CD28E4" w:rsidRDefault="00CD28E4" w:rsidP="000B3C0F">
      <w:pPr>
        <w:pStyle w:val="ListBullet"/>
        <w:rPr>
          <w:lang w:val="en-GB"/>
        </w:rPr>
      </w:pPr>
      <w:r w:rsidRPr="00CD28E4">
        <w:rPr>
          <w:lang w:val="en-GB"/>
        </w:rPr>
        <w:t>a much greater emphasis on the risk to paediatric populations due to the lower body mass to body surface area ratio</w:t>
      </w:r>
    </w:p>
    <w:p w:rsidR="00CD28E4" w:rsidRPr="00CD28E4" w:rsidRDefault="00CD28E4" w:rsidP="000B3C0F">
      <w:pPr>
        <w:pStyle w:val="ListBullet"/>
        <w:rPr>
          <w:lang w:val="en-GB"/>
        </w:rPr>
      </w:pPr>
      <w:r w:rsidRPr="00CD28E4">
        <w:rPr>
          <w:lang w:val="en-GB"/>
        </w:rPr>
        <w:t xml:space="preserve">a statement in the </w:t>
      </w:r>
      <w:r w:rsidRPr="00CD28E4">
        <w:rPr>
          <w:i/>
          <w:lang w:val="en-GB"/>
        </w:rPr>
        <w:t xml:space="preserve">Dosage and Administration / Clinical Trials / Precautions </w:t>
      </w:r>
      <w:r w:rsidRPr="00CD28E4">
        <w:rPr>
          <w:lang w:val="en-GB"/>
        </w:rPr>
        <w:t>sections to require treatment to be ceased if no response is observed after 4 weeks and ceased after 8 weeks.</w:t>
      </w:r>
      <w:r w:rsidRPr="00CD28E4">
        <w:rPr>
          <w:i/>
          <w:lang w:val="en-GB"/>
        </w:rPr>
        <w:t xml:space="preserve"> </w:t>
      </w:r>
    </w:p>
    <w:p w:rsidR="00CD28E4" w:rsidRPr="00CD28E4" w:rsidRDefault="00CD28E4" w:rsidP="000B3C0F">
      <w:pPr>
        <w:rPr>
          <w:lang w:val="en-GB"/>
        </w:rPr>
      </w:pPr>
      <w:r w:rsidRPr="00CD28E4">
        <w:rPr>
          <w:lang w:val="en-GB"/>
        </w:rPr>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8E7846" w:rsidRPr="002E238E" w:rsidRDefault="008E7846" w:rsidP="000B3C0F">
      <w:pPr>
        <w:pStyle w:val="Heading3"/>
      </w:pPr>
      <w:bookmarkStart w:id="279" w:name="_Toc247691532"/>
      <w:bookmarkStart w:id="280" w:name="_Toc314842516"/>
      <w:bookmarkStart w:id="281" w:name="_Toc368490597"/>
      <w:bookmarkEnd w:id="247"/>
      <w:bookmarkEnd w:id="277"/>
      <w:bookmarkEnd w:id="278"/>
      <w:r>
        <w:t>Outcome</w:t>
      </w:r>
      <w:bookmarkEnd w:id="279"/>
      <w:bookmarkEnd w:id="280"/>
      <w:bookmarkEnd w:id="281"/>
    </w:p>
    <w:p w:rsidR="003F5388" w:rsidRPr="003F5388" w:rsidRDefault="008E7846" w:rsidP="000B3C0F">
      <w:r>
        <w:t xml:space="preserve">Based on a review of quality, safety and efficacy, </w:t>
      </w:r>
      <w:r w:rsidR="003F5388">
        <w:t xml:space="preserve">the </w:t>
      </w:r>
      <w:r>
        <w:t xml:space="preserve">TGA approved the </w:t>
      </w:r>
      <w:r w:rsidR="00C80965">
        <w:t xml:space="preserve">use of </w:t>
      </w:r>
      <w:r w:rsidR="003F5388" w:rsidRPr="003F5388">
        <w:t>Daivobet 50/500</w:t>
      </w:r>
      <w:r w:rsidR="003F5388">
        <w:t xml:space="preserve"> gel, containing </w:t>
      </w:r>
      <w:r w:rsidR="003F5388" w:rsidRPr="003F5388">
        <w:t>calcipotriol 50 µg/g and beta</w:t>
      </w:r>
      <w:r w:rsidR="00C80965">
        <w:t>methasone (as dipropionate) 500 </w:t>
      </w:r>
      <w:r w:rsidR="003F5388" w:rsidRPr="003F5388">
        <w:t>µg/g gel</w:t>
      </w:r>
      <w:r w:rsidR="00C80965">
        <w:t>, for the new indication</w:t>
      </w:r>
      <w:r w:rsidR="003F5388">
        <w:t>:</w:t>
      </w:r>
      <w:r w:rsidR="003F5388" w:rsidRPr="003F5388">
        <w:t xml:space="preserve"> </w:t>
      </w:r>
    </w:p>
    <w:p w:rsidR="003F5388" w:rsidRPr="000B3C0F" w:rsidRDefault="003F5388" w:rsidP="000B3C0F">
      <w:pPr>
        <w:ind w:left="720"/>
        <w:rPr>
          <w:i/>
        </w:rPr>
      </w:pPr>
      <w:r w:rsidRPr="000B3C0F">
        <w:rPr>
          <w:i/>
        </w:rPr>
        <w:t>Topical treatment of mild to moderate plaque psoriasis on the body in adults.</w:t>
      </w:r>
    </w:p>
    <w:p w:rsidR="003F5388" w:rsidRDefault="003F5388" w:rsidP="000B3C0F">
      <w:r>
        <w:t>The full indications are now:</w:t>
      </w:r>
    </w:p>
    <w:p w:rsidR="003F5388" w:rsidRPr="000B3C0F" w:rsidRDefault="003F5388" w:rsidP="000B3C0F">
      <w:pPr>
        <w:ind w:left="720"/>
        <w:rPr>
          <w:i/>
        </w:rPr>
      </w:pPr>
      <w:r w:rsidRPr="000B3C0F">
        <w:rPr>
          <w:i/>
        </w:rPr>
        <w:t xml:space="preserve">Topical treatment of scalp psoriasis. </w:t>
      </w:r>
    </w:p>
    <w:p w:rsidR="003F5388" w:rsidRPr="000B3C0F" w:rsidRDefault="003F5388" w:rsidP="000B3C0F">
      <w:pPr>
        <w:ind w:left="720"/>
        <w:rPr>
          <w:i/>
        </w:rPr>
      </w:pPr>
      <w:r w:rsidRPr="000B3C0F">
        <w:rPr>
          <w:i/>
        </w:rPr>
        <w:t>Topical treatment of mild to moderate plaque psoriasis on the body in adults.</w:t>
      </w:r>
    </w:p>
    <w:p w:rsidR="00C80965" w:rsidRPr="00C80965" w:rsidRDefault="00C80965" w:rsidP="000B3C0F">
      <w:r>
        <w:t xml:space="preserve">The usual conditions of registration were applied. </w:t>
      </w:r>
    </w:p>
    <w:p w:rsidR="008E7846" w:rsidRDefault="008E7846" w:rsidP="000B3C0F">
      <w:pPr>
        <w:pStyle w:val="Heading2"/>
      </w:pPr>
      <w:bookmarkStart w:id="282" w:name="_Toc247691533"/>
      <w:bookmarkStart w:id="283" w:name="_Toc314842517"/>
      <w:bookmarkStart w:id="284" w:name="_Toc368490598"/>
      <w:r>
        <w:t>Attachment 1.</w:t>
      </w:r>
      <w:r>
        <w:tab/>
        <w:t xml:space="preserve">Product </w:t>
      </w:r>
      <w:r w:rsidR="00AA0ED0">
        <w:t>I</w:t>
      </w:r>
      <w:r>
        <w:t>nformation</w:t>
      </w:r>
      <w:bookmarkEnd w:id="282"/>
      <w:bookmarkEnd w:id="283"/>
      <w:bookmarkEnd w:id="284"/>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4"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0B3C0F">
      <w:pPr>
        <w:pStyle w:val="Heading2"/>
        <w:rPr>
          <w:lang w:eastAsia="en-AU"/>
        </w:rPr>
      </w:pPr>
      <w:bookmarkStart w:id="285" w:name="_Toc368490599"/>
      <w:r>
        <w:rPr>
          <w:lang w:eastAsia="en-AU"/>
        </w:rPr>
        <w:t>Attachment 2. Extract from the Clinical Evaluation Report</w:t>
      </w:r>
      <w:bookmarkEnd w:id="285"/>
    </w:p>
    <w:p w:rsidR="00291957" w:rsidRDefault="00291957" w:rsidP="000B3C0F">
      <w:pPr>
        <w:rPr>
          <w:lang w:eastAsia="ja-JP"/>
        </w:rPr>
      </w:pPr>
    </w:p>
    <w:p w:rsidR="00C80137" w:rsidRPr="001D043B" w:rsidRDefault="00C80137" w:rsidP="000B3C0F">
      <w:pPr>
        <w:sectPr w:rsidR="00C80137" w:rsidRPr="001D043B" w:rsidSect="00F22ABA">
          <w:headerReference w:type="even" r:id="rId15"/>
          <w:headerReference w:type="default" r:id="rId16"/>
          <w:footerReference w:type="default" r:id="rId17"/>
          <w:headerReference w:type="first" r:id="rId18"/>
          <w:footerReference w:type="first" r:id="rId19"/>
          <w:pgSz w:w="11906" w:h="16838" w:code="9"/>
          <w:pgMar w:top="1702"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0"/>
      <w:headerReference w:type="default" r:id="rId21"/>
      <w:footerReference w:type="default" r:id="rId22"/>
      <w:headerReference w:type="first" r:id="rId23"/>
      <w:footerReference w:type="first" r:id="rId24"/>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C0F" w:rsidRDefault="000B3C0F" w:rsidP="00C40A36">
      <w:pPr>
        <w:spacing w:after="0"/>
      </w:pPr>
      <w:r>
        <w:separator/>
      </w:r>
    </w:p>
  </w:endnote>
  <w:endnote w:type="continuationSeparator" w:id="0">
    <w:p w:rsidR="000B3C0F" w:rsidRDefault="000B3C0F"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0B3C0F" w:rsidRPr="00487162" w:rsidTr="0053625B">
      <w:trPr>
        <w:trHeight w:val="269"/>
      </w:trPr>
      <w:tc>
        <w:tcPr>
          <w:tcW w:w="7938" w:type="dxa"/>
          <w:tcMar>
            <w:top w:w="142" w:type="dxa"/>
            <w:bottom w:w="0" w:type="dxa"/>
          </w:tcMar>
        </w:tcPr>
        <w:p w:rsidR="000B3C0F" w:rsidRPr="00487162" w:rsidRDefault="000B3C0F" w:rsidP="00003E80">
          <w:pPr>
            <w:pStyle w:val="Footer"/>
          </w:pPr>
          <w:r w:rsidRPr="00487162">
            <w:t xml:space="preserve">AusPAR </w:t>
          </w:r>
          <w:r w:rsidRPr="000966DD">
            <w:t>D</w:t>
          </w:r>
          <w:r>
            <w:t xml:space="preserve">aivobet </w:t>
          </w:r>
          <w:r w:rsidRPr="000966DD">
            <w:t>50/500</w:t>
          </w:r>
          <w:r>
            <w:t>;</w:t>
          </w:r>
          <w:r w:rsidRPr="000966DD">
            <w:t xml:space="preserve"> </w:t>
          </w:r>
          <w:r>
            <w:t>c</w:t>
          </w:r>
          <w:r w:rsidRPr="000966DD">
            <w:t xml:space="preserve">alcipotriol 50 </w:t>
          </w:r>
          <w:r>
            <w:t>µg</w:t>
          </w:r>
          <w:r w:rsidRPr="000966DD">
            <w:t xml:space="preserve">/g and </w:t>
          </w:r>
          <w:proofErr w:type="spellStart"/>
          <w:r w:rsidRPr="000966DD">
            <w:t>betamethasone</w:t>
          </w:r>
          <w:proofErr w:type="spellEnd"/>
          <w:r w:rsidRPr="000966DD">
            <w:t xml:space="preserve"> (as </w:t>
          </w:r>
          <w:proofErr w:type="spellStart"/>
          <w:r w:rsidRPr="000966DD">
            <w:t>dipropionate</w:t>
          </w:r>
          <w:proofErr w:type="spellEnd"/>
          <w:r w:rsidRPr="000966DD">
            <w:t xml:space="preserve">) 500 </w:t>
          </w:r>
          <w:r>
            <w:t>µg</w:t>
          </w:r>
          <w:r w:rsidRPr="000966DD">
            <w:t>/g gel</w:t>
          </w:r>
          <w:r>
            <w:t>;</w:t>
          </w:r>
          <w:r>
            <w:br/>
            <w:t xml:space="preserve">Leo </w:t>
          </w:r>
          <w:proofErr w:type="spellStart"/>
          <w:r>
            <w:t>Pharma</w:t>
          </w:r>
          <w:proofErr w:type="spellEnd"/>
          <w:r>
            <w:t xml:space="preserve"> Pty Ltd; </w:t>
          </w:r>
          <w:r w:rsidRPr="00487162">
            <w:t>PM-</w:t>
          </w:r>
          <w:r w:rsidRPr="000966DD">
            <w:t>2011-04144-3-5</w:t>
          </w:r>
          <w:r>
            <w:t xml:space="preserve">; </w:t>
          </w:r>
          <w:r w:rsidRPr="00487162">
            <w:t>Date of Finalisation</w:t>
          </w:r>
          <w:r>
            <w:t xml:space="preserve"> August 2013</w:t>
          </w:r>
        </w:p>
      </w:tc>
      <w:tc>
        <w:tcPr>
          <w:tcW w:w="923" w:type="dxa"/>
          <w:tcMar>
            <w:top w:w="142" w:type="dxa"/>
            <w:bottom w:w="0" w:type="dxa"/>
          </w:tcMar>
        </w:tcPr>
        <w:p w:rsidR="000B3C0F" w:rsidRPr="00487162" w:rsidRDefault="000B3C0F" w:rsidP="00D855D4">
          <w:pPr>
            <w:pStyle w:val="Footer"/>
            <w:jc w:val="right"/>
          </w:pPr>
          <w:r w:rsidRPr="00487162">
            <w:t xml:space="preserve">Page </w:t>
          </w:r>
          <w:r>
            <w:t>2</w:t>
          </w:r>
          <w:r w:rsidRPr="00487162">
            <w:t xml:space="preserve"> of </w:t>
          </w:r>
          <w:fldSimple w:instr=" NUMPAGES  \* Arabic ">
            <w:r w:rsidR="00353529">
              <w:rPr>
                <w:noProof/>
              </w:rPr>
              <w:t>37</w:t>
            </w:r>
          </w:fldSimple>
        </w:p>
      </w:tc>
    </w:tr>
  </w:tbl>
  <w:p w:rsidR="000B3C0F" w:rsidRDefault="000B3C0F"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0B3C0F" w:rsidRPr="00487162" w:rsidTr="000966DD">
      <w:trPr>
        <w:trHeight w:val="269"/>
      </w:trPr>
      <w:tc>
        <w:tcPr>
          <w:tcW w:w="7655" w:type="dxa"/>
          <w:tcMar>
            <w:top w:w="142" w:type="dxa"/>
            <w:bottom w:w="0" w:type="dxa"/>
          </w:tcMar>
        </w:tcPr>
        <w:p w:rsidR="000B3C0F" w:rsidRPr="00487162" w:rsidRDefault="000B3C0F" w:rsidP="00003E80">
          <w:pPr>
            <w:pStyle w:val="Footer"/>
          </w:pPr>
          <w:proofErr w:type="spellStart"/>
          <w:r w:rsidRPr="00487162">
            <w:t>AusPAR</w:t>
          </w:r>
          <w:proofErr w:type="spellEnd"/>
          <w:r w:rsidRPr="00487162">
            <w:t xml:space="preserve"> </w:t>
          </w:r>
          <w:proofErr w:type="spellStart"/>
          <w:r w:rsidRPr="000966DD">
            <w:t>D</w:t>
          </w:r>
          <w:r>
            <w:t>aivobet</w:t>
          </w:r>
          <w:proofErr w:type="spellEnd"/>
          <w:r>
            <w:t xml:space="preserve"> </w:t>
          </w:r>
          <w:r w:rsidRPr="000966DD">
            <w:t>50/500</w:t>
          </w:r>
          <w:r>
            <w:t>;</w:t>
          </w:r>
          <w:r w:rsidRPr="000966DD">
            <w:t xml:space="preserve"> </w:t>
          </w:r>
          <w:proofErr w:type="spellStart"/>
          <w:r>
            <w:t>c</w:t>
          </w:r>
          <w:r w:rsidRPr="000966DD">
            <w:t>alcipotriol</w:t>
          </w:r>
          <w:proofErr w:type="spellEnd"/>
          <w:r w:rsidRPr="000966DD">
            <w:t xml:space="preserve"> 50 </w:t>
          </w:r>
          <w:r>
            <w:t>µg</w:t>
          </w:r>
          <w:r w:rsidRPr="000966DD">
            <w:t xml:space="preserve">/g and </w:t>
          </w:r>
          <w:proofErr w:type="spellStart"/>
          <w:r w:rsidRPr="000966DD">
            <w:t>betamethasone</w:t>
          </w:r>
          <w:proofErr w:type="spellEnd"/>
          <w:r w:rsidRPr="000966DD">
            <w:t xml:space="preserve"> (as </w:t>
          </w:r>
          <w:proofErr w:type="spellStart"/>
          <w:r w:rsidRPr="000966DD">
            <w:t>dipropionate</w:t>
          </w:r>
          <w:proofErr w:type="spellEnd"/>
          <w:r w:rsidRPr="000966DD">
            <w:t xml:space="preserve">) 500 </w:t>
          </w:r>
          <w:r>
            <w:t>µg</w:t>
          </w:r>
          <w:r w:rsidRPr="000966DD">
            <w:t>/g gel</w:t>
          </w:r>
          <w:r>
            <w:t>;</w:t>
          </w:r>
          <w:r>
            <w:br/>
            <w:t xml:space="preserve">Leo </w:t>
          </w:r>
          <w:proofErr w:type="spellStart"/>
          <w:r>
            <w:t>Pharma</w:t>
          </w:r>
          <w:proofErr w:type="spellEnd"/>
          <w:r>
            <w:t xml:space="preserve"> Pty Ltd; </w:t>
          </w:r>
          <w:r w:rsidRPr="00487162">
            <w:t>PM-</w:t>
          </w:r>
          <w:r w:rsidRPr="000966DD">
            <w:t>2011-04144-3-5</w:t>
          </w:r>
          <w:r>
            <w:t xml:space="preserve">; </w:t>
          </w:r>
          <w:r w:rsidRPr="00487162">
            <w:t>Date of Finalisation</w:t>
          </w:r>
          <w:r>
            <w:t xml:space="preserve"> August 2013</w:t>
          </w:r>
        </w:p>
      </w:tc>
      <w:tc>
        <w:tcPr>
          <w:tcW w:w="1206" w:type="dxa"/>
          <w:tcMar>
            <w:top w:w="142" w:type="dxa"/>
            <w:bottom w:w="0" w:type="dxa"/>
          </w:tcMar>
        </w:tcPr>
        <w:p w:rsidR="000B3C0F" w:rsidRPr="00487162" w:rsidRDefault="000B3C0F" w:rsidP="00E45619">
          <w:pPr>
            <w:pStyle w:val="Footer"/>
            <w:jc w:val="right"/>
          </w:pPr>
          <w:r w:rsidRPr="00487162">
            <w:t xml:space="preserve">Page </w:t>
          </w:r>
          <w:fldSimple w:instr="PAGE">
            <w:r w:rsidR="00353529">
              <w:rPr>
                <w:noProof/>
              </w:rPr>
              <w:t>36</w:t>
            </w:r>
          </w:fldSimple>
          <w:r w:rsidRPr="00487162">
            <w:t xml:space="preserve"> of </w:t>
          </w:r>
          <w:fldSimple w:instr=" NUMPAGES  \* Arabic ">
            <w:r w:rsidR="00353529">
              <w:rPr>
                <w:noProof/>
              </w:rPr>
              <w:t>37</w:t>
            </w:r>
          </w:fldSimple>
        </w:p>
      </w:tc>
    </w:tr>
  </w:tbl>
  <w:p w:rsidR="000B3C0F" w:rsidRDefault="000B3C0F"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0B3C0F" w:rsidRPr="00487162" w:rsidTr="00E45619">
      <w:trPr>
        <w:trHeight w:val="269"/>
      </w:trPr>
      <w:tc>
        <w:tcPr>
          <w:tcW w:w="4519" w:type="dxa"/>
          <w:tcBorders>
            <w:top w:val="single" w:sz="4" w:space="0" w:color="auto"/>
          </w:tcBorders>
          <w:tcMar>
            <w:top w:w="142" w:type="dxa"/>
            <w:bottom w:w="0" w:type="dxa"/>
          </w:tcMar>
        </w:tcPr>
        <w:p w:rsidR="000B3C0F" w:rsidRPr="00487162" w:rsidRDefault="000B3C0F" w:rsidP="00FE1DEE">
          <w:pPr>
            <w:pStyle w:val="Footer"/>
          </w:pPr>
          <w:r w:rsidRPr="00487162">
            <w:t>Document title, Part #, Section # - Section title</w:t>
          </w:r>
        </w:p>
        <w:p w:rsidR="000B3C0F" w:rsidRPr="00487162" w:rsidRDefault="000B3C0F" w:rsidP="00FE1DEE">
          <w:pPr>
            <w:pStyle w:val="Footer"/>
          </w:pPr>
          <w:r w:rsidRPr="00487162">
            <w:t>V1.0 October 2010</w:t>
          </w:r>
        </w:p>
      </w:tc>
      <w:tc>
        <w:tcPr>
          <w:tcW w:w="4342" w:type="dxa"/>
          <w:tcBorders>
            <w:top w:val="single" w:sz="4" w:space="0" w:color="auto"/>
          </w:tcBorders>
          <w:tcMar>
            <w:top w:w="142" w:type="dxa"/>
            <w:bottom w:w="0" w:type="dxa"/>
          </w:tcMar>
        </w:tcPr>
        <w:p w:rsidR="000B3C0F" w:rsidRPr="00487162" w:rsidRDefault="000B3C0F"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0B3C0F" w:rsidRDefault="000B3C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0B3C0F" w:rsidRPr="00487162" w:rsidTr="00E45619">
              <w:trPr>
                <w:trHeight w:hRule="exact" w:val="704"/>
              </w:trPr>
              <w:tc>
                <w:tcPr>
                  <w:tcW w:w="9175" w:type="dxa"/>
                </w:tcPr>
                <w:p w:rsidR="000B3C0F" w:rsidRPr="00487162" w:rsidRDefault="000B3C0F" w:rsidP="008E7846">
                  <w:pPr>
                    <w:pStyle w:val="TGASignoff"/>
                  </w:pPr>
                  <w:r w:rsidRPr="00487162">
                    <w:t>Therapeutic Goods Administration</w:t>
                  </w:r>
                </w:p>
              </w:tc>
            </w:tr>
            <w:tr w:rsidR="000B3C0F" w:rsidRPr="00487162" w:rsidTr="00E45619">
              <w:trPr>
                <w:trHeight w:val="1221"/>
              </w:trPr>
              <w:tc>
                <w:tcPr>
                  <w:tcW w:w="9175" w:type="dxa"/>
                  <w:tcMar>
                    <w:top w:w="28" w:type="dxa"/>
                  </w:tcMar>
                </w:tcPr>
                <w:p w:rsidR="000B3C0F" w:rsidRPr="00487162" w:rsidRDefault="000B3C0F" w:rsidP="00E45619">
                  <w:pPr>
                    <w:pStyle w:val="Address"/>
                  </w:pPr>
                  <w:r w:rsidRPr="00487162">
                    <w:t>PO Box 100 Woden ACT 2606 Australia</w:t>
                  </w:r>
                </w:p>
                <w:p w:rsidR="000B3C0F" w:rsidRPr="00487162" w:rsidRDefault="000B3C0F"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0B3C0F" w:rsidRPr="004C239D" w:rsidRDefault="005C0FF9" w:rsidP="004C239D">
                  <w:pPr>
                    <w:pStyle w:val="Address"/>
                    <w:spacing w:line="260" w:lineRule="atLeast"/>
                    <w:rPr>
                      <w:b/>
                      <w:color w:val="0000FF"/>
                      <w:u w:val="single"/>
                    </w:rPr>
                  </w:pPr>
                  <w:hyperlink r:id="rId2" w:history="1">
                    <w:r w:rsidR="000B3C0F" w:rsidRPr="00607888">
                      <w:rPr>
                        <w:rStyle w:val="Hyperlink"/>
                        <w:b/>
                      </w:rPr>
                      <w:t>http://www.tga.gov.au</w:t>
                    </w:r>
                  </w:hyperlink>
                </w:p>
              </w:tc>
            </w:tr>
          </w:tbl>
          <w:p w:rsidR="000B3C0F" w:rsidRDefault="005C0FF9"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0B3C0F" w:rsidTr="0010601F">
      <w:trPr>
        <w:trHeight w:val="108"/>
      </w:trPr>
      <w:tc>
        <w:tcPr>
          <w:tcW w:w="8875" w:type="dxa"/>
          <w:gridSpan w:val="2"/>
          <w:tcBorders>
            <w:bottom w:val="single" w:sz="4" w:space="0" w:color="auto"/>
          </w:tcBorders>
          <w:tcMar>
            <w:right w:w="284" w:type="dxa"/>
          </w:tcMar>
        </w:tcPr>
        <w:p w:rsidR="000B3C0F" w:rsidRDefault="000B3C0F" w:rsidP="006E08B3">
          <w:pPr>
            <w:pStyle w:val="Heading3"/>
          </w:pPr>
          <w:r>
            <w:t>Copyright</w:t>
          </w:r>
        </w:p>
        <w:p w:rsidR="000B3C0F" w:rsidRDefault="000B3C0F" w:rsidP="006E08B3">
          <w:r>
            <w:rPr>
              <w:rFonts w:cs="Arial"/>
            </w:rPr>
            <w:t>©</w:t>
          </w:r>
          <w:r>
            <w:t xml:space="preserve"> Commonwealth of Australia [add year]</w:t>
          </w:r>
        </w:p>
        <w:p w:rsidR="000B3C0F" w:rsidRDefault="000B3C0F" w:rsidP="006E08B3"/>
        <w:p w:rsidR="000B3C0F" w:rsidRDefault="000B3C0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B3C0F" w:rsidRDefault="000B3C0F" w:rsidP="006E08B3"/>
        <w:p w:rsidR="000B3C0F" w:rsidRDefault="000B3C0F" w:rsidP="006E08B3">
          <w:pPr>
            <w:pStyle w:val="Heading3"/>
          </w:pPr>
          <w:r>
            <w:t>Confidentiality</w:t>
          </w:r>
        </w:p>
        <w:p w:rsidR="000B3C0F" w:rsidRDefault="000B3C0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B3C0F" w:rsidRDefault="000B3C0F" w:rsidP="006E08B3"/>
        <w:p w:rsidR="000B3C0F" w:rsidRDefault="000B3C0F" w:rsidP="006E08B3">
          <w:r>
            <w:t>For submission made by individuals, all personal details, other than your name, will be removed from your submission before it is published on the TGA’s Internet site.</w:t>
          </w:r>
        </w:p>
        <w:p w:rsidR="000B3C0F" w:rsidRDefault="000B3C0F" w:rsidP="006E08B3"/>
        <w:p w:rsidR="000B3C0F" w:rsidRDefault="000B3C0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B3C0F" w:rsidTr="0010601F">
      <w:trPr>
        <w:trHeight w:val="417"/>
      </w:trPr>
      <w:tc>
        <w:tcPr>
          <w:tcW w:w="4519" w:type="dxa"/>
          <w:tcBorders>
            <w:top w:val="single" w:sz="4" w:space="0" w:color="auto"/>
          </w:tcBorders>
          <w:tcMar>
            <w:top w:w="142" w:type="dxa"/>
            <w:bottom w:w="0" w:type="dxa"/>
          </w:tcMar>
        </w:tcPr>
        <w:p w:rsidR="000B3C0F" w:rsidRDefault="000B3C0F" w:rsidP="006E08B3">
          <w:r>
            <w:t>Document title, Part #, Section # - Section title</w:t>
          </w:r>
        </w:p>
        <w:p w:rsidR="000B3C0F" w:rsidRDefault="000B3C0F" w:rsidP="006E08B3">
          <w:r>
            <w:t>V1.0 October 2010</w:t>
          </w:r>
        </w:p>
      </w:tc>
      <w:tc>
        <w:tcPr>
          <w:tcW w:w="4356" w:type="dxa"/>
          <w:tcBorders>
            <w:top w:val="single" w:sz="4" w:space="0" w:color="auto"/>
          </w:tcBorders>
          <w:tcMar>
            <w:top w:w="142" w:type="dxa"/>
            <w:bottom w:w="0" w:type="dxa"/>
          </w:tcMar>
        </w:tcPr>
        <w:p w:rsidR="000B3C0F" w:rsidRDefault="000B3C0F"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0B3C0F" w:rsidRDefault="000B3C0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C0F" w:rsidRDefault="000B3C0F" w:rsidP="00C40A36">
      <w:pPr>
        <w:spacing w:after="0"/>
      </w:pPr>
      <w:r>
        <w:separator/>
      </w:r>
    </w:p>
  </w:footnote>
  <w:footnote w:type="continuationSeparator" w:id="0">
    <w:p w:rsidR="000B3C0F" w:rsidRDefault="000B3C0F" w:rsidP="00C40A36">
      <w:pPr>
        <w:spacing w:after="0"/>
      </w:pPr>
      <w:r>
        <w:continuationSeparator/>
      </w:r>
    </w:p>
  </w:footnote>
  <w:footnote w:id="1">
    <w:p w:rsidR="000B3C0F" w:rsidRPr="009E62D2" w:rsidRDefault="000B3C0F">
      <w:pPr>
        <w:pStyle w:val="FootnoteText"/>
        <w:rPr>
          <w:sz w:val="18"/>
          <w:szCs w:val="18"/>
        </w:rPr>
      </w:pPr>
      <w:r w:rsidRPr="009E62D2">
        <w:rPr>
          <w:rStyle w:val="FootnoteReference"/>
          <w:sz w:val="18"/>
          <w:szCs w:val="18"/>
        </w:rPr>
        <w:footnoteRef/>
      </w:r>
      <w:r w:rsidRPr="009E62D2">
        <w:rPr>
          <w:sz w:val="18"/>
          <w:szCs w:val="18"/>
        </w:rPr>
        <w:t xml:space="preserve"> </w:t>
      </w:r>
      <w:r w:rsidRPr="009E62D2">
        <w:rPr>
          <w:i/>
          <w:sz w:val="18"/>
          <w:szCs w:val="18"/>
        </w:rPr>
        <w:t>Guideline on Clinical Investigation of Medicinal Products Indicated for the Treatment of Psoriasis</w:t>
      </w:r>
      <w:r w:rsidRPr="009E62D2">
        <w:rPr>
          <w:sz w:val="18"/>
          <w:szCs w:val="18"/>
        </w:rPr>
        <w:t>. (CHMP/EWP/2454/02)</w:t>
      </w:r>
      <w:r>
        <w:rPr>
          <w:sz w:val="18"/>
          <w:szCs w:val="18"/>
        </w:rPr>
        <w:t xml:space="preserve">. </w:t>
      </w:r>
      <w:r w:rsidRPr="009E62D2">
        <w:rPr>
          <w:sz w:val="18"/>
          <w:szCs w:val="18"/>
        </w:rPr>
        <w:t>November 2004</w:t>
      </w:r>
    </w:p>
  </w:footnote>
  <w:footnote w:id="2">
    <w:p w:rsidR="000B3C0F" w:rsidRPr="00144A7C" w:rsidRDefault="000B3C0F">
      <w:pPr>
        <w:pStyle w:val="FootnoteText"/>
        <w:rPr>
          <w:sz w:val="18"/>
          <w:szCs w:val="18"/>
        </w:rPr>
      </w:pPr>
      <w:r w:rsidRPr="00144A7C">
        <w:rPr>
          <w:rStyle w:val="FootnoteReference"/>
          <w:sz w:val="18"/>
          <w:szCs w:val="18"/>
        </w:rPr>
        <w:footnoteRef/>
      </w:r>
      <w:r w:rsidRPr="00144A7C">
        <w:rPr>
          <w:sz w:val="18"/>
          <w:szCs w:val="18"/>
        </w:rPr>
        <w:t xml:space="preserve"> Details of recommended revisions to the PI are generally beyond the scope of the AusPAR.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5C0FF9">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0B3C0F" w:rsidRDefault="00353529" w:rsidP="00593AD1">
    <w:pPr>
      <w:pStyle w:val="HeaderNoLine"/>
    </w:pPr>
    <w:r>
      <w:rPr>
        <w:noProof/>
        <w:lang w:eastAsia="en-AU"/>
      </w:rPr>
      <w:pict>
        <v:shape id="_x0000_i1025" type="#_x0000_t75" alt="Lightblue.jpg" style="width:425pt;height:601.2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0F" w:rsidRDefault="000B3C0F" w:rsidP="006E08B3">
    <w:r>
      <w:t>Therapeutic Goods Administration</w:t>
    </w:r>
  </w:p>
  <w:p w:rsidR="000B3C0F" w:rsidRDefault="000B3C0F"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6873525F"/>
    <w:multiLevelType w:val="hybridMultilevel"/>
    <w:tmpl w:val="8AE4D87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9F07D0"/>
    <w:rsid w:val="00001249"/>
    <w:rsid w:val="00002031"/>
    <w:rsid w:val="00003E80"/>
    <w:rsid w:val="00004734"/>
    <w:rsid w:val="00006B22"/>
    <w:rsid w:val="0001276A"/>
    <w:rsid w:val="000246AE"/>
    <w:rsid w:val="00025C67"/>
    <w:rsid w:val="0004718C"/>
    <w:rsid w:val="0005559E"/>
    <w:rsid w:val="00074E47"/>
    <w:rsid w:val="000758EA"/>
    <w:rsid w:val="00077775"/>
    <w:rsid w:val="00090471"/>
    <w:rsid w:val="000966DD"/>
    <w:rsid w:val="00096AA7"/>
    <w:rsid w:val="000A3AED"/>
    <w:rsid w:val="000B3532"/>
    <w:rsid w:val="000B3A75"/>
    <w:rsid w:val="000B3C0F"/>
    <w:rsid w:val="000C690F"/>
    <w:rsid w:val="000D1295"/>
    <w:rsid w:val="000D23CA"/>
    <w:rsid w:val="000D391B"/>
    <w:rsid w:val="000D3D6D"/>
    <w:rsid w:val="000D4FC7"/>
    <w:rsid w:val="000F4869"/>
    <w:rsid w:val="000F5B42"/>
    <w:rsid w:val="000F6E6F"/>
    <w:rsid w:val="0010601F"/>
    <w:rsid w:val="001066A2"/>
    <w:rsid w:val="0010788A"/>
    <w:rsid w:val="00107A31"/>
    <w:rsid w:val="00110EA5"/>
    <w:rsid w:val="00112F56"/>
    <w:rsid w:val="00113F89"/>
    <w:rsid w:val="001216D3"/>
    <w:rsid w:val="00125318"/>
    <w:rsid w:val="001305A2"/>
    <w:rsid w:val="00133238"/>
    <w:rsid w:val="0014197B"/>
    <w:rsid w:val="001447CD"/>
    <w:rsid w:val="00144A7C"/>
    <w:rsid w:val="001516B1"/>
    <w:rsid w:val="00154EBB"/>
    <w:rsid w:val="00156316"/>
    <w:rsid w:val="00162D14"/>
    <w:rsid w:val="00165389"/>
    <w:rsid w:val="0017693F"/>
    <w:rsid w:val="0018110E"/>
    <w:rsid w:val="00181684"/>
    <w:rsid w:val="001843C6"/>
    <w:rsid w:val="001850E0"/>
    <w:rsid w:val="0019600A"/>
    <w:rsid w:val="001A2158"/>
    <w:rsid w:val="001A525F"/>
    <w:rsid w:val="001B09F9"/>
    <w:rsid w:val="001B6448"/>
    <w:rsid w:val="001E07CF"/>
    <w:rsid w:val="001E526C"/>
    <w:rsid w:val="001E59F1"/>
    <w:rsid w:val="001F49EB"/>
    <w:rsid w:val="001F6CBA"/>
    <w:rsid w:val="00201D4E"/>
    <w:rsid w:val="002076C9"/>
    <w:rsid w:val="00220B8A"/>
    <w:rsid w:val="002257F3"/>
    <w:rsid w:val="00233456"/>
    <w:rsid w:val="002339A5"/>
    <w:rsid w:val="00257848"/>
    <w:rsid w:val="0027084A"/>
    <w:rsid w:val="00272CF1"/>
    <w:rsid w:val="00286434"/>
    <w:rsid w:val="00286C59"/>
    <w:rsid w:val="00291957"/>
    <w:rsid w:val="002942D1"/>
    <w:rsid w:val="0029501A"/>
    <w:rsid w:val="00297C2A"/>
    <w:rsid w:val="002B1638"/>
    <w:rsid w:val="002E4C9A"/>
    <w:rsid w:val="002F11F8"/>
    <w:rsid w:val="002F3F56"/>
    <w:rsid w:val="002F44B5"/>
    <w:rsid w:val="00304BD0"/>
    <w:rsid w:val="00311AC0"/>
    <w:rsid w:val="003206D3"/>
    <w:rsid w:val="0032583B"/>
    <w:rsid w:val="00327883"/>
    <w:rsid w:val="00335504"/>
    <w:rsid w:val="00350C57"/>
    <w:rsid w:val="00351BD6"/>
    <w:rsid w:val="003521E8"/>
    <w:rsid w:val="00353529"/>
    <w:rsid w:val="003728F3"/>
    <w:rsid w:val="0037496E"/>
    <w:rsid w:val="00386150"/>
    <w:rsid w:val="003874CE"/>
    <w:rsid w:val="00387BE9"/>
    <w:rsid w:val="00390900"/>
    <w:rsid w:val="003A5470"/>
    <w:rsid w:val="003A7F6C"/>
    <w:rsid w:val="003B4D60"/>
    <w:rsid w:val="003B7E39"/>
    <w:rsid w:val="003C58DC"/>
    <w:rsid w:val="003D1E62"/>
    <w:rsid w:val="003E2486"/>
    <w:rsid w:val="003E3208"/>
    <w:rsid w:val="003F0B04"/>
    <w:rsid w:val="003F5388"/>
    <w:rsid w:val="00400561"/>
    <w:rsid w:val="0040134E"/>
    <w:rsid w:val="00404B47"/>
    <w:rsid w:val="00440A2D"/>
    <w:rsid w:val="004564A7"/>
    <w:rsid w:val="004617BF"/>
    <w:rsid w:val="00463477"/>
    <w:rsid w:val="00463658"/>
    <w:rsid w:val="0046550F"/>
    <w:rsid w:val="004722CC"/>
    <w:rsid w:val="004936E4"/>
    <w:rsid w:val="00494E60"/>
    <w:rsid w:val="00497487"/>
    <w:rsid w:val="004B7B76"/>
    <w:rsid w:val="004C239D"/>
    <w:rsid w:val="004C2DCA"/>
    <w:rsid w:val="004E1CF1"/>
    <w:rsid w:val="004F0F38"/>
    <w:rsid w:val="004F5FD3"/>
    <w:rsid w:val="00501921"/>
    <w:rsid w:val="0050680B"/>
    <w:rsid w:val="00530354"/>
    <w:rsid w:val="0053625B"/>
    <w:rsid w:val="005434C6"/>
    <w:rsid w:val="00543B39"/>
    <w:rsid w:val="00550096"/>
    <w:rsid w:val="00557FF9"/>
    <w:rsid w:val="00576378"/>
    <w:rsid w:val="00577130"/>
    <w:rsid w:val="00577945"/>
    <w:rsid w:val="00577E38"/>
    <w:rsid w:val="00585322"/>
    <w:rsid w:val="005857C6"/>
    <w:rsid w:val="00592A3C"/>
    <w:rsid w:val="00592F6E"/>
    <w:rsid w:val="00592FBB"/>
    <w:rsid w:val="00593AD1"/>
    <w:rsid w:val="005A4CEF"/>
    <w:rsid w:val="005A68B6"/>
    <w:rsid w:val="005A6A4A"/>
    <w:rsid w:val="005C0FF9"/>
    <w:rsid w:val="005C5570"/>
    <w:rsid w:val="005C79A4"/>
    <w:rsid w:val="005D5442"/>
    <w:rsid w:val="005F1ABF"/>
    <w:rsid w:val="00600C48"/>
    <w:rsid w:val="00603F32"/>
    <w:rsid w:val="00625A6E"/>
    <w:rsid w:val="00632398"/>
    <w:rsid w:val="00640FC3"/>
    <w:rsid w:val="00642020"/>
    <w:rsid w:val="0065337B"/>
    <w:rsid w:val="0065419D"/>
    <w:rsid w:val="006604D8"/>
    <w:rsid w:val="00664A5B"/>
    <w:rsid w:val="00666078"/>
    <w:rsid w:val="00667361"/>
    <w:rsid w:val="006763D2"/>
    <w:rsid w:val="00680C08"/>
    <w:rsid w:val="006931B1"/>
    <w:rsid w:val="006A15C0"/>
    <w:rsid w:val="006A4428"/>
    <w:rsid w:val="006B20A2"/>
    <w:rsid w:val="006C2B37"/>
    <w:rsid w:val="006C3E2A"/>
    <w:rsid w:val="006C61D3"/>
    <w:rsid w:val="006C642F"/>
    <w:rsid w:val="006D03E5"/>
    <w:rsid w:val="006D5D3E"/>
    <w:rsid w:val="006E08B3"/>
    <w:rsid w:val="006F17AC"/>
    <w:rsid w:val="006F572E"/>
    <w:rsid w:val="007046D6"/>
    <w:rsid w:val="00705DB0"/>
    <w:rsid w:val="0071245A"/>
    <w:rsid w:val="00717A20"/>
    <w:rsid w:val="00722B57"/>
    <w:rsid w:val="0074253D"/>
    <w:rsid w:val="0074429B"/>
    <w:rsid w:val="007615BC"/>
    <w:rsid w:val="00762F05"/>
    <w:rsid w:val="007652FF"/>
    <w:rsid w:val="00770EF1"/>
    <w:rsid w:val="00773EF7"/>
    <w:rsid w:val="00774E1D"/>
    <w:rsid w:val="0077675A"/>
    <w:rsid w:val="00780355"/>
    <w:rsid w:val="00785721"/>
    <w:rsid w:val="00793A59"/>
    <w:rsid w:val="007A052A"/>
    <w:rsid w:val="007B3738"/>
    <w:rsid w:val="007B6E9F"/>
    <w:rsid w:val="007C1216"/>
    <w:rsid w:val="007C1AF7"/>
    <w:rsid w:val="00805D27"/>
    <w:rsid w:val="00821776"/>
    <w:rsid w:val="008321F5"/>
    <w:rsid w:val="00832369"/>
    <w:rsid w:val="00834660"/>
    <w:rsid w:val="00836BC2"/>
    <w:rsid w:val="00843B02"/>
    <w:rsid w:val="00852B94"/>
    <w:rsid w:val="0085641B"/>
    <w:rsid w:val="00857136"/>
    <w:rsid w:val="00881540"/>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C71EA"/>
    <w:rsid w:val="008E4EFB"/>
    <w:rsid w:val="008E7846"/>
    <w:rsid w:val="008F1CCC"/>
    <w:rsid w:val="008F2967"/>
    <w:rsid w:val="008F31D9"/>
    <w:rsid w:val="008F4A5A"/>
    <w:rsid w:val="008F6943"/>
    <w:rsid w:val="00902A21"/>
    <w:rsid w:val="00903D9E"/>
    <w:rsid w:val="00920330"/>
    <w:rsid w:val="009219D7"/>
    <w:rsid w:val="00922D53"/>
    <w:rsid w:val="00923B70"/>
    <w:rsid w:val="00924482"/>
    <w:rsid w:val="00924741"/>
    <w:rsid w:val="00930237"/>
    <w:rsid w:val="00946EA5"/>
    <w:rsid w:val="0094746F"/>
    <w:rsid w:val="00947965"/>
    <w:rsid w:val="00963C08"/>
    <w:rsid w:val="0098585A"/>
    <w:rsid w:val="00991D16"/>
    <w:rsid w:val="009A4CED"/>
    <w:rsid w:val="009A690D"/>
    <w:rsid w:val="009B1D12"/>
    <w:rsid w:val="009B416B"/>
    <w:rsid w:val="009C4BD5"/>
    <w:rsid w:val="009D7B77"/>
    <w:rsid w:val="009E0BB0"/>
    <w:rsid w:val="009E3FBB"/>
    <w:rsid w:val="009E62D2"/>
    <w:rsid w:val="009F07D0"/>
    <w:rsid w:val="00A102E4"/>
    <w:rsid w:val="00A12C42"/>
    <w:rsid w:val="00A14DF7"/>
    <w:rsid w:val="00A206AE"/>
    <w:rsid w:val="00A23290"/>
    <w:rsid w:val="00A2747D"/>
    <w:rsid w:val="00A3246D"/>
    <w:rsid w:val="00A36FA7"/>
    <w:rsid w:val="00A475B7"/>
    <w:rsid w:val="00A47AF7"/>
    <w:rsid w:val="00A47C3E"/>
    <w:rsid w:val="00A50226"/>
    <w:rsid w:val="00A60BAD"/>
    <w:rsid w:val="00A64258"/>
    <w:rsid w:val="00A7455E"/>
    <w:rsid w:val="00A74DC4"/>
    <w:rsid w:val="00A84E36"/>
    <w:rsid w:val="00A964D1"/>
    <w:rsid w:val="00AA0ED0"/>
    <w:rsid w:val="00AC2B40"/>
    <w:rsid w:val="00AC2BB2"/>
    <w:rsid w:val="00AC2C3C"/>
    <w:rsid w:val="00AC512D"/>
    <w:rsid w:val="00AC5A1A"/>
    <w:rsid w:val="00AD0083"/>
    <w:rsid w:val="00AD0C21"/>
    <w:rsid w:val="00AE65EB"/>
    <w:rsid w:val="00AE67A7"/>
    <w:rsid w:val="00AE7196"/>
    <w:rsid w:val="00AF1D94"/>
    <w:rsid w:val="00AF60C5"/>
    <w:rsid w:val="00B009C6"/>
    <w:rsid w:val="00B01548"/>
    <w:rsid w:val="00B21D29"/>
    <w:rsid w:val="00B25034"/>
    <w:rsid w:val="00B33588"/>
    <w:rsid w:val="00B33863"/>
    <w:rsid w:val="00B37D17"/>
    <w:rsid w:val="00B4175E"/>
    <w:rsid w:val="00B41820"/>
    <w:rsid w:val="00B452CE"/>
    <w:rsid w:val="00B54C25"/>
    <w:rsid w:val="00B76B91"/>
    <w:rsid w:val="00B77EB1"/>
    <w:rsid w:val="00B811C6"/>
    <w:rsid w:val="00B855B0"/>
    <w:rsid w:val="00B92E08"/>
    <w:rsid w:val="00BA1853"/>
    <w:rsid w:val="00BB6ED5"/>
    <w:rsid w:val="00BC622A"/>
    <w:rsid w:val="00BE0A78"/>
    <w:rsid w:val="00BE79F0"/>
    <w:rsid w:val="00BF046D"/>
    <w:rsid w:val="00BF1190"/>
    <w:rsid w:val="00BF5D04"/>
    <w:rsid w:val="00C1164D"/>
    <w:rsid w:val="00C16861"/>
    <w:rsid w:val="00C2398A"/>
    <w:rsid w:val="00C26264"/>
    <w:rsid w:val="00C3684F"/>
    <w:rsid w:val="00C404A6"/>
    <w:rsid w:val="00C40A36"/>
    <w:rsid w:val="00C44419"/>
    <w:rsid w:val="00C45E7B"/>
    <w:rsid w:val="00C471B1"/>
    <w:rsid w:val="00C52FD1"/>
    <w:rsid w:val="00C53513"/>
    <w:rsid w:val="00C6316B"/>
    <w:rsid w:val="00C634A9"/>
    <w:rsid w:val="00C64586"/>
    <w:rsid w:val="00C70D53"/>
    <w:rsid w:val="00C73D0B"/>
    <w:rsid w:val="00C772FF"/>
    <w:rsid w:val="00C80137"/>
    <w:rsid w:val="00C801AF"/>
    <w:rsid w:val="00C80256"/>
    <w:rsid w:val="00C806E6"/>
    <w:rsid w:val="00C80965"/>
    <w:rsid w:val="00C87C4E"/>
    <w:rsid w:val="00CA16C6"/>
    <w:rsid w:val="00CB5370"/>
    <w:rsid w:val="00CB6BC0"/>
    <w:rsid w:val="00CC1B7C"/>
    <w:rsid w:val="00CC727F"/>
    <w:rsid w:val="00CD1F09"/>
    <w:rsid w:val="00CD28E4"/>
    <w:rsid w:val="00CF15C3"/>
    <w:rsid w:val="00CF2B6F"/>
    <w:rsid w:val="00CF58B6"/>
    <w:rsid w:val="00D005E7"/>
    <w:rsid w:val="00D017ED"/>
    <w:rsid w:val="00D040D3"/>
    <w:rsid w:val="00D04C65"/>
    <w:rsid w:val="00D224FE"/>
    <w:rsid w:val="00D61149"/>
    <w:rsid w:val="00D6493E"/>
    <w:rsid w:val="00D7301E"/>
    <w:rsid w:val="00D83AE1"/>
    <w:rsid w:val="00D855D4"/>
    <w:rsid w:val="00D93466"/>
    <w:rsid w:val="00DA1124"/>
    <w:rsid w:val="00DB2A47"/>
    <w:rsid w:val="00DB75B7"/>
    <w:rsid w:val="00DC6E02"/>
    <w:rsid w:val="00DE02AE"/>
    <w:rsid w:val="00DF1D7F"/>
    <w:rsid w:val="00DF4BE4"/>
    <w:rsid w:val="00E00EAF"/>
    <w:rsid w:val="00E02FB4"/>
    <w:rsid w:val="00E12FC5"/>
    <w:rsid w:val="00E20571"/>
    <w:rsid w:val="00E235F7"/>
    <w:rsid w:val="00E23659"/>
    <w:rsid w:val="00E239D4"/>
    <w:rsid w:val="00E24649"/>
    <w:rsid w:val="00E26130"/>
    <w:rsid w:val="00E40B22"/>
    <w:rsid w:val="00E45619"/>
    <w:rsid w:val="00E4588F"/>
    <w:rsid w:val="00E46DA3"/>
    <w:rsid w:val="00E51BB1"/>
    <w:rsid w:val="00E57B8F"/>
    <w:rsid w:val="00E624A5"/>
    <w:rsid w:val="00E7344E"/>
    <w:rsid w:val="00E743BA"/>
    <w:rsid w:val="00E97339"/>
    <w:rsid w:val="00EA5BE3"/>
    <w:rsid w:val="00EA6305"/>
    <w:rsid w:val="00EB0798"/>
    <w:rsid w:val="00EB40AD"/>
    <w:rsid w:val="00EB586E"/>
    <w:rsid w:val="00EB5FC8"/>
    <w:rsid w:val="00EB6F0E"/>
    <w:rsid w:val="00ED3CAD"/>
    <w:rsid w:val="00ED5A41"/>
    <w:rsid w:val="00EE1DE8"/>
    <w:rsid w:val="00F033EC"/>
    <w:rsid w:val="00F04A80"/>
    <w:rsid w:val="00F04F68"/>
    <w:rsid w:val="00F12670"/>
    <w:rsid w:val="00F14B27"/>
    <w:rsid w:val="00F22ABA"/>
    <w:rsid w:val="00F305F7"/>
    <w:rsid w:val="00F3148D"/>
    <w:rsid w:val="00F325C5"/>
    <w:rsid w:val="00F32FE0"/>
    <w:rsid w:val="00F35298"/>
    <w:rsid w:val="00F47333"/>
    <w:rsid w:val="00F47E37"/>
    <w:rsid w:val="00F53C07"/>
    <w:rsid w:val="00F54B65"/>
    <w:rsid w:val="00F640B6"/>
    <w:rsid w:val="00F80E40"/>
    <w:rsid w:val="00F848D9"/>
    <w:rsid w:val="00F9685D"/>
    <w:rsid w:val="00FA5B82"/>
    <w:rsid w:val="00FA639E"/>
    <w:rsid w:val="00FC25E4"/>
    <w:rsid w:val="00FC4EF7"/>
    <w:rsid w:val="00FD058F"/>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DocumentMap">
    <w:name w:val="Document Map"/>
    <w:basedOn w:val="Normal"/>
    <w:link w:val="DocumentMapChar"/>
    <w:uiPriority w:val="99"/>
    <w:semiHidden/>
    <w:unhideWhenUsed/>
    <w:rsid w:val="0071245A"/>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245A"/>
    <w:rPr>
      <w:rFonts w:ascii="Tahoma" w:eastAsia="Cambria" w:hAnsi="Tahoma" w:cs="Tahoma"/>
      <w:sz w:val="16"/>
      <w:szCs w:val="16"/>
    </w:rPr>
  </w:style>
  <w:style w:type="paragraph" w:styleId="FootnoteText">
    <w:name w:val="footnote text"/>
    <w:basedOn w:val="Normal"/>
    <w:link w:val="FootnoteTextChar"/>
    <w:uiPriority w:val="99"/>
    <w:semiHidden/>
    <w:unhideWhenUsed/>
    <w:rsid w:val="009E62D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E62D2"/>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9E62D2"/>
    <w:rPr>
      <w:vertAlign w:val="superscript"/>
    </w:rPr>
  </w:style>
</w:styles>
</file>

<file path=word/webSettings.xml><?xml version="1.0" encoding="utf-8"?>
<w:webSettings xmlns:r="http://schemas.openxmlformats.org/officeDocument/2006/relationships" xmlns:w="http://schemas.openxmlformats.org/wordprocessingml/2006/main">
  <w:divs>
    <w:div w:id="51277477">
      <w:bodyDiv w:val="1"/>
      <w:marLeft w:val="0"/>
      <w:marRight w:val="0"/>
      <w:marTop w:val="0"/>
      <w:marBottom w:val="0"/>
      <w:divBdr>
        <w:top w:val="none" w:sz="0" w:space="0" w:color="auto"/>
        <w:left w:val="none" w:sz="0" w:space="0" w:color="auto"/>
        <w:bottom w:val="none" w:sz="0" w:space="0" w:color="auto"/>
        <w:right w:val="none" w:sz="0" w:space="0" w:color="auto"/>
      </w:divBdr>
    </w:div>
    <w:div w:id="53937638">
      <w:bodyDiv w:val="1"/>
      <w:marLeft w:val="0"/>
      <w:marRight w:val="0"/>
      <w:marTop w:val="0"/>
      <w:marBottom w:val="0"/>
      <w:divBdr>
        <w:top w:val="none" w:sz="0" w:space="0" w:color="auto"/>
        <w:left w:val="none" w:sz="0" w:space="0" w:color="auto"/>
        <w:bottom w:val="none" w:sz="0" w:space="0" w:color="auto"/>
        <w:right w:val="none" w:sz="0" w:space="0" w:color="auto"/>
      </w:divBdr>
    </w:div>
    <w:div w:id="138152303">
      <w:bodyDiv w:val="1"/>
      <w:marLeft w:val="0"/>
      <w:marRight w:val="0"/>
      <w:marTop w:val="0"/>
      <w:marBottom w:val="0"/>
      <w:divBdr>
        <w:top w:val="none" w:sz="0" w:space="0" w:color="auto"/>
        <w:left w:val="none" w:sz="0" w:space="0" w:color="auto"/>
        <w:bottom w:val="none" w:sz="0" w:space="0" w:color="auto"/>
        <w:right w:val="none" w:sz="0" w:space="0" w:color="auto"/>
      </w:divBdr>
    </w:div>
    <w:div w:id="268589094">
      <w:bodyDiv w:val="1"/>
      <w:marLeft w:val="0"/>
      <w:marRight w:val="0"/>
      <w:marTop w:val="0"/>
      <w:marBottom w:val="0"/>
      <w:divBdr>
        <w:top w:val="none" w:sz="0" w:space="0" w:color="auto"/>
        <w:left w:val="none" w:sz="0" w:space="0" w:color="auto"/>
        <w:bottom w:val="none" w:sz="0" w:space="0" w:color="auto"/>
        <w:right w:val="none" w:sz="0" w:space="0" w:color="auto"/>
      </w:divBdr>
    </w:div>
    <w:div w:id="274141322">
      <w:bodyDiv w:val="1"/>
      <w:marLeft w:val="0"/>
      <w:marRight w:val="0"/>
      <w:marTop w:val="0"/>
      <w:marBottom w:val="0"/>
      <w:divBdr>
        <w:top w:val="none" w:sz="0" w:space="0" w:color="auto"/>
        <w:left w:val="none" w:sz="0" w:space="0" w:color="auto"/>
        <w:bottom w:val="none" w:sz="0" w:space="0" w:color="auto"/>
        <w:right w:val="none" w:sz="0" w:space="0" w:color="auto"/>
      </w:divBdr>
    </w:div>
    <w:div w:id="320307057">
      <w:bodyDiv w:val="1"/>
      <w:marLeft w:val="0"/>
      <w:marRight w:val="0"/>
      <w:marTop w:val="0"/>
      <w:marBottom w:val="0"/>
      <w:divBdr>
        <w:top w:val="none" w:sz="0" w:space="0" w:color="auto"/>
        <w:left w:val="none" w:sz="0" w:space="0" w:color="auto"/>
        <w:bottom w:val="none" w:sz="0" w:space="0" w:color="auto"/>
        <w:right w:val="none" w:sz="0" w:space="0" w:color="auto"/>
      </w:divBdr>
    </w:div>
    <w:div w:id="444617224">
      <w:bodyDiv w:val="1"/>
      <w:marLeft w:val="0"/>
      <w:marRight w:val="0"/>
      <w:marTop w:val="0"/>
      <w:marBottom w:val="0"/>
      <w:divBdr>
        <w:top w:val="none" w:sz="0" w:space="0" w:color="auto"/>
        <w:left w:val="none" w:sz="0" w:space="0" w:color="auto"/>
        <w:bottom w:val="none" w:sz="0" w:space="0" w:color="auto"/>
        <w:right w:val="none" w:sz="0" w:space="0" w:color="auto"/>
      </w:divBdr>
    </w:div>
    <w:div w:id="509104393">
      <w:bodyDiv w:val="1"/>
      <w:marLeft w:val="0"/>
      <w:marRight w:val="0"/>
      <w:marTop w:val="0"/>
      <w:marBottom w:val="0"/>
      <w:divBdr>
        <w:top w:val="none" w:sz="0" w:space="0" w:color="auto"/>
        <w:left w:val="none" w:sz="0" w:space="0" w:color="auto"/>
        <w:bottom w:val="none" w:sz="0" w:space="0" w:color="auto"/>
        <w:right w:val="none" w:sz="0" w:space="0" w:color="auto"/>
      </w:divBdr>
    </w:div>
    <w:div w:id="522011432">
      <w:bodyDiv w:val="1"/>
      <w:marLeft w:val="0"/>
      <w:marRight w:val="0"/>
      <w:marTop w:val="0"/>
      <w:marBottom w:val="0"/>
      <w:divBdr>
        <w:top w:val="none" w:sz="0" w:space="0" w:color="auto"/>
        <w:left w:val="none" w:sz="0" w:space="0" w:color="auto"/>
        <w:bottom w:val="none" w:sz="0" w:space="0" w:color="auto"/>
        <w:right w:val="none" w:sz="0" w:space="0" w:color="auto"/>
      </w:divBdr>
    </w:div>
    <w:div w:id="544609576">
      <w:bodyDiv w:val="1"/>
      <w:marLeft w:val="0"/>
      <w:marRight w:val="0"/>
      <w:marTop w:val="0"/>
      <w:marBottom w:val="0"/>
      <w:divBdr>
        <w:top w:val="none" w:sz="0" w:space="0" w:color="auto"/>
        <w:left w:val="none" w:sz="0" w:space="0" w:color="auto"/>
        <w:bottom w:val="none" w:sz="0" w:space="0" w:color="auto"/>
        <w:right w:val="none" w:sz="0" w:space="0" w:color="auto"/>
      </w:divBdr>
    </w:div>
    <w:div w:id="566572015">
      <w:bodyDiv w:val="1"/>
      <w:marLeft w:val="0"/>
      <w:marRight w:val="0"/>
      <w:marTop w:val="0"/>
      <w:marBottom w:val="0"/>
      <w:divBdr>
        <w:top w:val="none" w:sz="0" w:space="0" w:color="auto"/>
        <w:left w:val="none" w:sz="0" w:space="0" w:color="auto"/>
        <w:bottom w:val="none" w:sz="0" w:space="0" w:color="auto"/>
        <w:right w:val="none" w:sz="0" w:space="0" w:color="auto"/>
      </w:divBdr>
    </w:div>
    <w:div w:id="567766706">
      <w:bodyDiv w:val="1"/>
      <w:marLeft w:val="0"/>
      <w:marRight w:val="0"/>
      <w:marTop w:val="0"/>
      <w:marBottom w:val="0"/>
      <w:divBdr>
        <w:top w:val="none" w:sz="0" w:space="0" w:color="auto"/>
        <w:left w:val="none" w:sz="0" w:space="0" w:color="auto"/>
        <w:bottom w:val="none" w:sz="0" w:space="0" w:color="auto"/>
        <w:right w:val="none" w:sz="0" w:space="0" w:color="auto"/>
      </w:divBdr>
    </w:div>
    <w:div w:id="649480525">
      <w:bodyDiv w:val="1"/>
      <w:marLeft w:val="0"/>
      <w:marRight w:val="0"/>
      <w:marTop w:val="0"/>
      <w:marBottom w:val="0"/>
      <w:divBdr>
        <w:top w:val="none" w:sz="0" w:space="0" w:color="auto"/>
        <w:left w:val="none" w:sz="0" w:space="0" w:color="auto"/>
        <w:bottom w:val="none" w:sz="0" w:space="0" w:color="auto"/>
        <w:right w:val="none" w:sz="0" w:space="0" w:color="auto"/>
      </w:divBdr>
    </w:div>
    <w:div w:id="694119365">
      <w:bodyDiv w:val="1"/>
      <w:marLeft w:val="0"/>
      <w:marRight w:val="0"/>
      <w:marTop w:val="0"/>
      <w:marBottom w:val="0"/>
      <w:divBdr>
        <w:top w:val="none" w:sz="0" w:space="0" w:color="auto"/>
        <w:left w:val="none" w:sz="0" w:space="0" w:color="auto"/>
        <w:bottom w:val="none" w:sz="0" w:space="0" w:color="auto"/>
        <w:right w:val="none" w:sz="0" w:space="0" w:color="auto"/>
      </w:divBdr>
    </w:div>
    <w:div w:id="696084386">
      <w:bodyDiv w:val="1"/>
      <w:marLeft w:val="0"/>
      <w:marRight w:val="0"/>
      <w:marTop w:val="0"/>
      <w:marBottom w:val="0"/>
      <w:divBdr>
        <w:top w:val="none" w:sz="0" w:space="0" w:color="auto"/>
        <w:left w:val="none" w:sz="0" w:space="0" w:color="auto"/>
        <w:bottom w:val="none" w:sz="0" w:space="0" w:color="auto"/>
        <w:right w:val="none" w:sz="0" w:space="0" w:color="auto"/>
      </w:divBdr>
    </w:div>
    <w:div w:id="783772633">
      <w:bodyDiv w:val="1"/>
      <w:marLeft w:val="0"/>
      <w:marRight w:val="0"/>
      <w:marTop w:val="0"/>
      <w:marBottom w:val="0"/>
      <w:divBdr>
        <w:top w:val="none" w:sz="0" w:space="0" w:color="auto"/>
        <w:left w:val="none" w:sz="0" w:space="0" w:color="auto"/>
        <w:bottom w:val="none" w:sz="0" w:space="0" w:color="auto"/>
        <w:right w:val="none" w:sz="0" w:space="0" w:color="auto"/>
      </w:divBdr>
    </w:div>
    <w:div w:id="869104040">
      <w:bodyDiv w:val="1"/>
      <w:marLeft w:val="0"/>
      <w:marRight w:val="0"/>
      <w:marTop w:val="0"/>
      <w:marBottom w:val="0"/>
      <w:divBdr>
        <w:top w:val="none" w:sz="0" w:space="0" w:color="auto"/>
        <w:left w:val="none" w:sz="0" w:space="0" w:color="auto"/>
        <w:bottom w:val="none" w:sz="0" w:space="0" w:color="auto"/>
        <w:right w:val="none" w:sz="0" w:space="0" w:color="auto"/>
      </w:divBdr>
    </w:div>
    <w:div w:id="877933556">
      <w:bodyDiv w:val="1"/>
      <w:marLeft w:val="0"/>
      <w:marRight w:val="0"/>
      <w:marTop w:val="0"/>
      <w:marBottom w:val="0"/>
      <w:divBdr>
        <w:top w:val="none" w:sz="0" w:space="0" w:color="auto"/>
        <w:left w:val="none" w:sz="0" w:space="0" w:color="auto"/>
        <w:bottom w:val="none" w:sz="0" w:space="0" w:color="auto"/>
        <w:right w:val="none" w:sz="0" w:space="0" w:color="auto"/>
      </w:divBdr>
    </w:div>
    <w:div w:id="911432685">
      <w:bodyDiv w:val="1"/>
      <w:marLeft w:val="0"/>
      <w:marRight w:val="0"/>
      <w:marTop w:val="0"/>
      <w:marBottom w:val="0"/>
      <w:divBdr>
        <w:top w:val="none" w:sz="0" w:space="0" w:color="auto"/>
        <w:left w:val="none" w:sz="0" w:space="0" w:color="auto"/>
        <w:bottom w:val="none" w:sz="0" w:space="0" w:color="auto"/>
        <w:right w:val="none" w:sz="0" w:space="0" w:color="auto"/>
      </w:divBdr>
    </w:div>
    <w:div w:id="932251517">
      <w:bodyDiv w:val="1"/>
      <w:marLeft w:val="0"/>
      <w:marRight w:val="0"/>
      <w:marTop w:val="0"/>
      <w:marBottom w:val="0"/>
      <w:divBdr>
        <w:top w:val="none" w:sz="0" w:space="0" w:color="auto"/>
        <w:left w:val="none" w:sz="0" w:space="0" w:color="auto"/>
        <w:bottom w:val="none" w:sz="0" w:space="0" w:color="auto"/>
        <w:right w:val="none" w:sz="0" w:space="0" w:color="auto"/>
      </w:divBdr>
    </w:div>
    <w:div w:id="1056321665">
      <w:bodyDiv w:val="1"/>
      <w:marLeft w:val="0"/>
      <w:marRight w:val="0"/>
      <w:marTop w:val="0"/>
      <w:marBottom w:val="0"/>
      <w:divBdr>
        <w:top w:val="none" w:sz="0" w:space="0" w:color="auto"/>
        <w:left w:val="none" w:sz="0" w:space="0" w:color="auto"/>
        <w:bottom w:val="none" w:sz="0" w:space="0" w:color="auto"/>
        <w:right w:val="none" w:sz="0" w:space="0" w:color="auto"/>
      </w:divBdr>
    </w:div>
    <w:div w:id="1073315776">
      <w:bodyDiv w:val="1"/>
      <w:marLeft w:val="0"/>
      <w:marRight w:val="0"/>
      <w:marTop w:val="0"/>
      <w:marBottom w:val="0"/>
      <w:divBdr>
        <w:top w:val="none" w:sz="0" w:space="0" w:color="auto"/>
        <w:left w:val="none" w:sz="0" w:space="0" w:color="auto"/>
        <w:bottom w:val="none" w:sz="0" w:space="0" w:color="auto"/>
        <w:right w:val="none" w:sz="0" w:space="0" w:color="auto"/>
      </w:divBdr>
    </w:div>
    <w:div w:id="1079640113">
      <w:bodyDiv w:val="1"/>
      <w:marLeft w:val="0"/>
      <w:marRight w:val="0"/>
      <w:marTop w:val="0"/>
      <w:marBottom w:val="0"/>
      <w:divBdr>
        <w:top w:val="none" w:sz="0" w:space="0" w:color="auto"/>
        <w:left w:val="none" w:sz="0" w:space="0" w:color="auto"/>
        <w:bottom w:val="none" w:sz="0" w:space="0" w:color="auto"/>
        <w:right w:val="none" w:sz="0" w:space="0" w:color="auto"/>
      </w:divBdr>
    </w:div>
    <w:div w:id="1151947001">
      <w:bodyDiv w:val="1"/>
      <w:marLeft w:val="0"/>
      <w:marRight w:val="0"/>
      <w:marTop w:val="0"/>
      <w:marBottom w:val="0"/>
      <w:divBdr>
        <w:top w:val="none" w:sz="0" w:space="0" w:color="auto"/>
        <w:left w:val="none" w:sz="0" w:space="0" w:color="auto"/>
        <w:bottom w:val="none" w:sz="0" w:space="0" w:color="auto"/>
        <w:right w:val="none" w:sz="0" w:space="0" w:color="auto"/>
      </w:divBdr>
    </w:div>
    <w:div w:id="1180315886">
      <w:bodyDiv w:val="1"/>
      <w:marLeft w:val="0"/>
      <w:marRight w:val="0"/>
      <w:marTop w:val="0"/>
      <w:marBottom w:val="0"/>
      <w:divBdr>
        <w:top w:val="none" w:sz="0" w:space="0" w:color="auto"/>
        <w:left w:val="none" w:sz="0" w:space="0" w:color="auto"/>
        <w:bottom w:val="none" w:sz="0" w:space="0" w:color="auto"/>
        <w:right w:val="none" w:sz="0" w:space="0" w:color="auto"/>
      </w:divBdr>
    </w:div>
    <w:div w:id="1185293289">
      <w:bodyDiv w:val="1"/>
      <w:marLeft w:val="0"/>
      <w:marRight w:val="0"/>
      <w:marTop w:val="0"/>
      <w:marBottom w:val="0"/>
      <w:divBdr>
        <w:top w:val="none" w:sz="0" w:space="0" w:color="auto"/>
        <w:left w:val="none" w:sz="0" w:space="0" w:color="auto"/>
        <w:bottom w:val="none" w:sz="0" w:space="0" w:color="auto"/>
        <w:right w:val="none" w:sz="0" w:space="0" w:color="auto"/>
      </w:divBdr>
    </w:div>
    <w:div w:id="1211308744">
      <w:bodyDiv w:val="1"/>
      <w:marLeft w:val="0"/>
      <w:marRight w:val="0"/>
      <w:marTop w:val="0"/>
      <w:marBottom w:val="0"/>
      <w:divBdr>
        <w:top w:val="none" w:sz="0" w:space="0" w:color="auto"/>
        <w:left w:val="none" w:sz="0" w:space="0" w:color="auto"/>
        <w:bottom w:val="none" w:sz="0" w:space="0" w:color="auto"/>
        <w:right w:val="none" w:sz="0" w:space="0" w:color="auto"/>
      </w:divBdr>
    </w:div>
    <w:div w:id="1214927739">
      <w:bodyDiv w:val="1"/>
      <w:marLeft w:val="0"/>
      <w:marRight w:val="0"/>
      <w:marTop w:val="0"/>
      <w:marBottom w:val="0"/>
      <w:divBdr>
        <w:top w:val="none" w:sz="0" w:space="0" w:color="auto"/>
        <w:left w:val="none" w:sz="0" w:space="0" w:color="auto"/>
        <w:bottom w:val="none" w:sz="0" w:space="0" w:color="auto"/>
        <w:right w:val="none" w:sz="0" w:space="0" w:color="auto"/>
      </w:divBdr>
    </w:div>
    <w:div w:id="1220049707">
      <w:bodyDiv w:val="1"/>
      <w:marLeft w:val="0"/>
      <w:marRight w:val="0"/>
      <w:marTop w:val="0"/>
      <w:marBottom w:val="0"/>
      <w:divBdr>
        <w:top w:val="none" w:sz="0" w:space="0" w:color="auto"/>
        <w:left w:val="none" w:sz="0" w:space="0" w:color="auto"/>
        <w:bottom w:val="none" w:sz="0" w:space="0" w:color="auto"/>
        <w:right w:val="none" w:sz="0" w:space="0" w:color="auto"/>
      </w:divBdr>
    </w:div>
    <w:div w:id="1279290824">
      <w:bodyDiv w:val="1"/>
      <w:marLeft w:val="0"/>
      <w:marRight w:val="0"/>
      <w:marTop w:val="0"/>
      <w:marBottom w:val="0"/>
      <w:divBdr>
        <w:top w:val="none" w:sz="0" w:space="0" w:color="auto"/>
        <w:left w:val="none" w:sz="0" w:space="0" w:color="auto"/>
        <w:bottom w:val="none" w:sz="0" w:space="0" w:color="auto"/>
        <w:right w:val="none" w:sz="0" w:space="0" w:color="auto"/>
      </w:divBdr>
    </w:div>
    <w:div w:id="1305549305">
      <w:bodyDiv w:val="1"/>
      <w:marLeft w:val="0"/>
      <w:marRight w:val="0"/>
      <w:marTop w:val="0"/>
      <w:marBottom w:val="0"/>
      <w:divBdr>
        <w:top w:val="none" w:sz="0" w:space="0" w:color="auto"/>
        <w:left w:val="none" w:sz="0" w:space="0" w:color="auto"/>
        <w:bottom w:val="none" w:sz="0" w:space="0" w:color="auto"/>
        <w:right w:val="none" w:sz="0" w:space="0" w:color="auto"/>
      </w:divBdr>
    </w:div>
    <w:div w:id="1323123284">
      <w:bodyDiv w:val="1"/>
      <w:marLeft w:val="0"/>
      <w:marRight w:val="0"/>
      <w:marTop w:val="0"/>
      <w:marBottom w:val="0"/>
      <w:divBdr>
        <w:top w:val="none" w:sz="0" w:space="0" w:color="auto"/>
        <w:left w:val="none" w:sz="0" w:space="0" w:color="auto"/>
        <w:bottom w:val="none" w:sz="0" w:space="0" w:color="auto"/>
        <w:right w:val="none" w:sz="0" w:space="0" w:color="auto"/>
      </w:divBdr>
    </w:div>
    <w:div w:id="1336690677">
      <w:bodyDiv w:val="1"/>
      <w:marLeft w:val="0"/>
      <w:marRight w:val="0"/>
      <w:marTop w:val="0"/>
      <w:marBottom w:val="0"/>
      <w:divBdr>
        <w:top w:val="none" w:sz="0" w:space="0" w:color="auto"/>
        <w:left w:val="none" w:sz="0" w:space="0" w:color="auto"/>
        <w:bottom w:val="none" w:sz="0" w:space="0" w:color="auto"/>
        <w:right w:val="none" w:sz="0" w:space="0" w:color="auto"/>
      </w:divBdr>
    </w:div>
    <w:div w:id="1371802070">
      <w:bodyDiv w:val="1"/>
      <w:marLeft w:val="0"/>
      <w:marRight w:val="0"/>
      <w:marTop w:val="0"/>
      <w:marBottom w:val="0"/>
      <w:divBdr>
        <w:top w:val="none" w:sz="0" w:space="0" w:color="auto"/>
        <w:left w:val="none" w:sz="0" w:space="0" w:color="auto"/>
        <w:bottom w:val="none" w:sz="0" w:space="0" w:color="auto"/>
        <w:right w:val="none" w:sz="0" w:space="0" w:color="auto"/>
      </w:divBdr>
    </w:div>
    <w:div w:id="1398548527">
      <w:bodyDiv w:val="1"/>
      <w:marLeft w:val="0"/>
      <w:marRight w:val="0"/>
      <w:marTop w:val="0"/>
      <w:marBottom w:val="0"/>
      <w:divBdr>
        <w:top w:val="none" w:sz="0" w:space="0" w:color="auto"/>
        <w:left w:val="none" w:sz="0" w:space="0" w:color="auto"/>
        <w:bottom w:val="none" w:sz="0" w:space="0" w:color="auto"/>
        <w:right w:val="none" w:sz="0" w:space="0" w:color="auto"/>
      </w:divBdr>
    </w:div>
    <w:div w:id="1409887781">
      <w:bodyDiv w:val="1"/>
      <w:marLeft w:val="0"/>
      <w:marRight w:val="0"/>
      <w:marTop w:val="0"/>
      <w:marBottom w:val="0"/>
      <w:divBdr>
        <w:top w:val="none" w:sz="0" w:space="0" w:color="auto"/>
        <w:left w:val="none" w:sz="0" w:space="0" w:color="auto"/>
        <w:bottom w:val="none" w:sz="0" w:space="0" w:color="auto"/>
        <w:right w:val="none" w:sz="0" w:space="0" w:color="auto"/>
      </w:divBdr>
    </w:div>
    <w:div w:id="1421440458">
      <w:bodyDiv w:val="1"/>
      <w:marLeft w:val="0"/>
      <w:marRight w:val="0"/>
      <w:marTop w:val="0"/>
      <w:marBottom w:val="0"/>
      <w:divBdr>
        <w:top w:val="none" w:sz="0" w:space="0" w:color="auto"/>
        <w:left w:val="none" w:sz="0" w:space="0" w:color="auto"/>
        <w:bottom w:val="none" w:sz="0" w:space="0" w:color="auto"/>
        <w:right w:val="none" w:sz="0" w:space="0" w:color="auto"/>
      </w:divBdr>
    </w:div>
    <w:div w:id="1426346309">
      <w:bodyDiv w:val="1"/>
      <w:marLeft w:val="0"/>
      <w:marRight w:val="0"/>
      <w:marTop w:val="0"/>
      <w:marBottom w:val="0"/>
      <w:divBdr>
        <w:top w:val="none" w:sz="0" w:space="0" w:color="auto"/>
        <w:left w:val="none" w:sz="0" w:space="0" w:color="auto"/>
        <w:bottom w:val="none" w:sz="0" w:space="0" w:color="auto"/>
        <w:right w:val="none" w:sz="0" w:space="0" w:color="auto"/>
      </w:divBdr>
    </w:div>
    <w:div w:id="1437483758">
      <w:bodyDiv w:val="1"/>
      <w:marLeft w:val="0"/>
      <w:marRight w:val="0"/>
      <w:marTop w:val="0"/>
      <w:marBottom w:val="0"/>
      <w:divBdr>
        <w:top w:val="none" w:sz="0" w:space="0" w:color="auto"/>
        <w:left w:val="none" w:sz="0" w:space="0" w:color="auto"/>
        <w:bottom w:val="none" w:sz="0" w:space="0" w:color="auto"/>
        <w:right w:val="none" w:sz="0" w:space="0" w:color="auto"/>
      </w:divBdr>
    </w:div>
    <w:div w:id="1453399220">
      <w:bodyDiv w:val="1"/>
      <w:marLeft w:val="0"/>
      <w:marRight w:val="0"/>
      <w:marTop w:val="0"/>
      <w:marBottom w:val="0"/>
      <w:divBdr>
        <w:top w:val="none" w:sz="0" w:space="0" w:color="auto"/>
        <w:left w:val="none" w:sz="0" w:space="0" w:color="auto"/>
        <w:bottom w:val="none" w:sz="0" w:space="0" w:color="auto"/>
        <w:right w:val="none" w:sz="0" w:space="0" w:color="auto"/>
      </w:divBdr>
    </w:div>
    <w:div w:id="1461652503">
      <w:bodyDiv w:val="1"/>
      <w:marLeft w:val="0"/>
      <w:marRight w:val="0"/>
      <w:marTop w:val="0"/>
      <w:marBottom w:val="0"/>
      <w:divBdr>
        <w:top w:val="none" w:sz="0" w:space="0" w:color="auto"/>
        <w:left w:val="none" w:sz="0" w:space="0" w:color="auto"/>
        <w:bottom w:val="none" w:sz="0" w:space="0" w:color="auto"/>
        <w:right w:val="none" w:sz="0" w:space="0" w:color="auto"/>
      </w:divBdr>
    </w:div>
    <w:div w:id="1467159029">
      <w:bodyDiv w:val="1"/>
      <w:marLeft w:val="0"/>
      <w:marRight w:val="0"/>
      <w:marTop w:val="0"/>
      <w:marBottom w:val="0"/>
      <w:divBdr>
        <w:top w:val="none" w:sz="0" w:space="0" w:color="auto"/>
        <w:left w:val="none" w:sz="0" w:space="0" w:color="auto"/>
        <w:bottom w:val="none" w:sz="0" w:space="0" w:color="auto"/>
        <w:right w:val="none" w:sz="0" w:space="0" w:color="auto"/>
      </w:divBdr>
    </w:div>
    <w:div w:id="1501308410">
      <w:bodyDiv w:val="1"/>
      <w:marLeft w:val="0"/>
      <w:marRight w:val="0"/>
      <w:marTop w:val="0"/>
      <w:marBottom w:val="0"/>
      <w:divBdr>
        <w:top w:val="none" w:sz="0" w:space="0" w:color="auto"/>
        <w:left w:val="none" w:sz="0" w:space="0" w:color="auto"/>
        <w:bottom w:val="none" w:sz="0" w:space="0" w:color="auto"/>
        <w:right w:val="none" w:sz="0" w:space="0" w:color="auto"/>
      </w:divBdr>
    </w:div>
    <w:div w:id="1522350887">
      <w:bodyDiv w:val="1"/>
      <w:marLeft w:val="0"/>
      <w:marRight w:val="0"/>
      <w:marTop w:val="0"/>
      <w:marBottom w:val="0"/>
      <w:divBdr>
        <w:top w:val="none" w:sz="0" w:space="0" w:color="auto"/>
        <w:left w:val="none" w:sz="0" w:space="0" w:color="auto"/>
        <w:bottom w:val="none" w:sz="0" w:space="0" w:color="auto"/>
        <w:right w:val="none" w:sz="0" w:space="0" w:color="auto"/>
      </w:divBdr>
    </w:div>
    <w:div w:id="1525510182">
      <w:bodyDiv w:val="1"/>
      <w:marLeft w:val="0"/>
      <w:marRight w:val="0"/>
      <w:marTop w:val="0"/>
      <w:marBottom w:val="0"/>
      <w:divBdr>
        <w:top w:val="none" w:sz="0" w:space="0" w:color="auto"/>
        <w:left w:val="none" w:sz="0" w:space="0" w:color="auto"/>
        <w:bottom w:val="none" w:sz="0" w:space="0" w:color="auto"/>
        <w:right w:val="none" w:sz="0" w:space="0" w:color="auto"/>
      </w:divBdr>
    </w:div>
    <w:div w:id="1534229235">
      <w:bodyDiv w:val="1"/>
      <w:marLeft w:val="0"/>
      <w:marRight w:val="0"/>
      <w:marTop w:val="0"/>
      <w:marBottom w:val="0"/>
      <w:divBdr>
        <w:top w:val="none" w:sz="0" w:space="0" w:color="auto"/>
        <w:left w:val="none" w:sz="0" w:space="0" w:color="auto"/>
        <w:bottom w:val="none" w:sz="0" w:space="0" w:color="auto"/>
        <w:right w:val="none" w:sz="0" w:space="0" w:color="auto"/>
      </w:divBdr>
    </w:div>
    <w:div w:id="1576740931">
      <w:bodyDiv w:val="1"/>
      <w:marLeft w:val="0"/>
      <w:marRight w:val="0"/>
      <w:marTop w:val="0"/>
      <w:marBottom w:val="0"/>
      <w:divBdr>
        <w:top w:val="none" w:sz="0" w:space="0" w:color="auto"/>
        <w:left w:val="none" w:sz="0" w:space="0" w:color="auto"/>
        <w:bottom w:val="none" w:sz="0" w:space="0" w:color="auto"/>
        <w:right w:val="none" w:sz="0" w:space="0" w:color="auto"/>
      </w:divBdr>
    </w:div>
    <w:div w:id="1610116664">
      <w:bodyDiv w:val="1"/>
      <w:marLeft w:val="0"/>
      <w:marRight w:val="0"/>
      <w:marTop w:val="0"/>
      <w:marBottom w:val="0"/>
      <w:divBdr>
        <w:top w:val="none" w:sz="0" w:space="0" w:color="auto"/>
        <w:left w:val="none" w:sz="0" w:space="0" w:color="auto"/>
        <w:bottom w:val="none" w:sz="0" w:space="0" w:color="auto"/>
        <w:right w:val="none" w:sz="0" w:space="0" w:color="auto"/>
      </w:divBdr>
    </w:div>
    <w:div w:id="1647390969">
      <w:bodyDiv w:val="1"/>
      <w:marLeft w:val="0"/>
      <w:marRight w:val="0"/>
      <w:marTop w:val="0"/>
      <w:marBottom w:val="0"/>
      <w:divBdr>
        <w:top w:val="none" w:sz="0" w:space="0" w:color="auto"/>
        <w:left w:val="none" w:sz="0" w:space="0" w:color="auto"/>
        <w:bottom w:val="none" w:sz="0" w:space="0" w:color="auto"/>
        <w:right w:val="none" w:sz="0" w:space="0" w:color="auto"/>
      </w:divBdr>
    </w:div>
    <w:div w:id="1649437535">
      <w:bodyDiv w:val="1"/>
      <w:marLeft w:val="0"/>
      <w:marRight w:val="0"/>
      <w:marTop w:val="0"/>
      <w:marBottom w:val="0"/>
      <w:divBdr>
        <w:top w:val="none" w:sz="0" w:space="0" w:color="auto"/>
        <w:left w:val="none" w:sz="0" w:space="0" w:color="auto"/>
        <w:bottom w:val="none" w:sz="0" w:space="0" w:color="auto"/>
        <w:right w:val="none" w:sz="0" w:space="0" w:color="auto"/>
      </w:divBdr>
    </w:div>
    <w:div w:id="1653290138">
      <w:bodyDiv w:val="1"/>
      <w:marLeft w:val="0"/>
      <w:marRight w:val="0"/>
      <w:marTop w:val="0"/>
      <w:marBottom w:val="0"/>
      <w:divBdr>
        <w:top w:val="none" w:sz="0" w:space="0" w:color="auto"/>
        <w:left w:val="none" w:sz="0" w:space="0" w:color="auto"/>
        <w:bottom w:val="none" w:sz="0" w:space="0" w:color="auto"/>
        <w:right w:val="none" w:sz="0" w:space="0" w:color="auto"/>
      </w:divBdr>
    </w:div>
    <w:div w:id="1724913075">
      <w:bodyDiv w:val="1"/>
      <w:marLeft w:val="0"/>
      <w:marRight w:val="0"/>
      <w:marTop w:val="0"/>
      <w:marBottom w:val="0"/>
      <w:divBdr>
        <w:top w:val="none" w:sz="0" w:space="0" w:color="auto"/>
        <w:left w:val="none" w:sz="0" w:space="0" w:color="auto"/>
        <w:bottom w:val="none" w:sz="0" w:space="0" w:color="auto"/>
        <w:right w:val="none" w:sz="0" w:space="0" w:color="auto"/>
      </w:divBdr>
    </w:div>
    <w:div w:id="1733654986">
      <w:bodyDiv w:val="1"/>
      <w:marLeft w:val="0"/>
      <w:marRight w:val="0"/>
      <w:marTop w:val="0"/>
      <w:marBottom w:val="0"/>
      <w:divBdr>
        <w:top w:val="none" w:sz="0" w:space="0" w:color="auto"/>
        <w:left w:val="none" w:sz="0" w:space="0" w:color="auto"/>
        <w:bottom w:val="none" w:sz="0" w:space="0" w:color="auto"/>
        <w:right w:val="none" w:sz="0" w:space="0" w:color="auto"/>
      </w:divBdr>
    </w:div>
    <w:div w:id="1838381647">
      <w:bodyDiv w:val="1"/>
      <w:marLeft w:val="0"/>
      <w:marRight w:val="0"/>
      <w:marTop w:val="0"/>
      <w:marBottom w:val="0"/>
      <w:divBdr>
        <w:top w:val="none" w:sz="0" w:space="0" w:color="auto"/>
        <w:left w:val="none" w:sz="0" w:space="0" w:color="auto"/>
        <w:bottom w:val="none" w:sz="0" w:space="0" w:color="auto"/>
        <w:right w:val="none" w:sz="0" w:space="0" w:color="auto"/>
      </w:divBdr>
    </w:div>
    <w:div w:id="1838499586">
      <w:bodyDiv w:val="1"/>
      <w:marLeft w:val="0"/>
      <w:marRight w:val="0"/>
      <w:marTop w:val="0"/>
      <w:marBottom w:val="0"/>
      <w:divBdr>
        <w:top w:val="none" w:sz="0" w:space="0" w:color="auto"/>
        <w:left w:val="none" w:sz="0" w:space="0" w:color="auto"/>
        <w:bottom w:val="none" w:sz="0" w:space="0" w:color="auto"/>
        <w:right w:val="none" w:sz="0" w:space="0" w:color="auto"/>
      </w:divBdr>
    </w:div>
    <w:div w:id="1987128970">
      <w:bodyDiv w:val="1"/>
      <w:marLeft w:val="0"/>
      <w:marRight w:val="0"/>
      <w:marTop w:val="0"/>
      <w:marBottom w:val="0"/>
      <w:divBdr>
        <w:top w:val="none" w:sz="0" w:space="0" w:color="auto"/>
        <w:left w:val="none" w:sz="0" w:space="0" w:color="auto"/>
        <w:bottom w:val="none" w:sz="0" w:space="0" w:color="auto"/>
        <w:right w:val="none" w:sz="0" w:space="0" w:color="auto"/>
      </w:divBdr>
    </w:div>
    <w:div w:id="2068608318">
      <w:bodyDiv w:val="1"/>
      <w:marLeft w:val="0"/>
      <w:marRight w:val="0"/>
      <w:marTop w:val="0"/>
      <w:marBottom w:val="0"/>
      <w:divBdr>
        <w:top w:val="none" w:sz="0" w:space="0" w:color="auto"/>
        <w:left w:val="none" w:sz="0" w:space="0" w:color="auto"/>
        <w:bottom w:val="none" w:sz="0" w:space="0" w:color="auto"/>
        <w:right w:val="none" w:sz="0" w:space="0" w:color="auto"/>
      </w:divBdr>
    </w:div>
    <w:div w:id="2121221497">
      <w:bodyDiv w:val="1"/>
      <w:marLeft w:val="0"/>
      <w:marRight w:val="0"/>
      <w:marTop w:val="0"/>
      <w:marBottom w:val="0"/>
      <w:divBdr>
        <w:top w:val="none" w:sz="0" w:space="0" w:color="auto"/>
        <w:left w:val="none" w:sz="0" w:space="0" w:color="auto"/>
        <w:bottom w:val="none" w:sz="0" w:space="0" w:color="auto"/>
        <w:right w:val="none" w:sz="0" w:space="0" w:color="auto"/>
      </w:divBdr>
    </w:div>
    <w:div w:id="2121297888">
      <w:bodyDiv w:val="1"/>
      <w:marLeft w:val="0"/>
      <w:marRight w:val="0"/>
      <w:marTop w:val="0"/>
      <w:marBottom w:val="0"/>
      <w:divBdr>
        <w:top w:val="none" w:sz="0" w:space="0" w:color="auto"/>
        <w:left w:val="none" w:sz="0" w:space="0" w:color="auto"/>
        <w:bottom w:val="none" w:sz="0" w:space="0" w:color="auto"/>
        <w:right w:val="none" w:sz="0" w:space="0" w:color="auto"/>
      </w:divBdr>
    </w:div>
    <w:div w:id="21452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tga.gov.au" TargetMode="External"/><Relationship Id="rId13" Type="http://schemas.openxmlformats.org/officeDocument/2006/relationships/image" Target="media/image3.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http://www.tga.gov.au/hp/information-medicines-pi.htm" TargetMode="Externa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3588\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DC57-2268-4105-84AD-2D6DD1FF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Template>
  <TotalTime>337</TotalTime>
  <Pages>37</Pages>
  <Words>12676</Words>
  <Characters>67568</Characters>
  <Application>Microsoft Office Word</Application>
  <DocSecurity>0</DocSecurity>
  <Lines>1987</Lines>
  <Paragraphs>1315</Paragraphs>
  <ScaleCrop>false</ScaleCrop>
  <HeadingPairs>
    <vt:vector size="2" baseType="variant">
      <vt:variant>
        <vt:lpstr>Title</vt:lpstr>
      </vt:variant>
      <vt:variant>
        <vt:i4>1</vt:i4>
      </vt:variant>
    </vt:vector>
  </HeadingPairs>
  <TitlesOfParts>
    <vt:vector size="1" baseType="lpstr">
      <vt:lpstr>Australian public assessment report for calcipotriol and betamethasone (as dipropionate)</vt:lpstr>
    </vt:vector>
  </TitlesOfParts>
  <Company>Department of Health and Ageing Therapeutic Goods Administration</Company>
  <LinksUpToDate>false</LinksUpToDate>
  <CharactersWithSpaces>78929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calcipotriol and betamethasone (as dipropionate)</dc:title>
  <dc:subject>prescription medicine regulation</dc:subject>
  <dc:creator>Therapeutic Goods Administration</dc:creator>
  <cp:keywords>auspar, prescription, medicine, assessment, regulation, australia, calcipotriol, betamethasone, dipropionate, daivobet, leo pharma</cp:keywords>
  <cp:lastModifiedBy>Searson, Lisa</cp:lastModifiedBy>
  <cp:revision>9</cp:revision>
  <cp:lastPrinted>2010-12-20T22:59:00Z</cp:lastPrinted>
  <dcterms:created xsi:type="dcterms:W3CDTF">2013-09-26T09:29:00Z</dcterms:created>
  <dcterms:modified xsi:type="dcterms:W3CDTF">2013-10-02T06:46:00Z</dcterms:modified>
</cp:coreProperties>
</file>