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8261474"/>
    <w:bookmarkEnd w:id="0"/>
    <w:p w14:paraId="098A508D" w14:textId="77777777" w:rsidR="00375DF3" w:rsidRPr="00071855" w:rsidRDefault="00375DF3" w:rsidP="006018AE">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22C8CE7D" wp14:editId="0CA64796">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A1CAB" w14:textId="77777777" w:rsidR="00676B36" w:rsidRPr="00BE2A26" w:rsidRDefault="00676B3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2C8CE7D"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417A1CAB" w14:textId="77777777" w:rsidR="00676B36" w:rsidRPr="00BE2A26" w:rsidRDefault="00676B3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ascii="Arial" w:hAnsi="Arial" w:cs="Arial"/>
          </w:rPr>
          <w:t>www.tga.gov.au/reporting-problems</w:t>
        </w:r>
      </w:hyperlink>
      <w:r w:rsidRPr="00071855">
        <w:rPr>
          <w:rFonts w:ascii="Arial" w:hAnsi="Arial" w:cs="Arial"/>
        </w:rPr>
        <w:t>.</w:t>
      </w:r>
      <w:r w:rsidR="001E3868">
        <w:rPr>
          <w:rFonts w:ascii="Arial" w:hAnsi="Arial" w:cs="Arial"/>
        </w:rPr>
        <w:t xml:space="preserve"> </w:t>
      </w:r>
    </w:p>
    <w:p w14:paraId="1A40EED1" w14:textId="77777777" w:rsidR="00622066" w:rsidRDefault="00C327ED" w:rsidP="006E595D">
      <w:pPr>
        <w:pStyle w:val="Heading1"/>
        <w:numPr>
          <w:ilvl w:val="0"/>
          <w:numId w:val="0"/>
        </w:numPr>
        <w:spacing w:after="240"/>
        <w:jc w:val="center"/>
        <w:rPr>
          <w:rFonts w:ascii="Arial" w:eastAsia="SimSun" w:hAnsi="Arial" w:cs="Arial"/>
        </w:rPr>
      </w:pPr>
      <w:r>
        <w:rPr>
          <w:rFonts w:ascii="Arial" w:eastAsia="SimSun" w:hAnsi="Arial" w:cs="Arial"/>
        </w:rPr>
        <w:t>Australian PRODUCT INFORMATION</w:t>
      </w:r>
    </w:p>
    <w:p w14:paraId="4816873D" w14:textId="7A0FBCF5" w:rsidR="006018AE" w:rsidRPr="00071855" w:rsidRDefault="00905388" w:rsidP="00622066">
      <w:pPr>
        <w:pStyle w:val="Heading1"/>
        <w:numPr>
          <w:ilvl w:val="0"/>
          <w:numId w:val="0"/>
        </w:numPr>
        <w:spacing w:before="240" w:after="240"/>
        <w:jc w:val="center"/>
        <w:rPr>
          <w:rFonts w:ascii="Arial" w:eastAsia="SimSun" w:hAnsi="Arial" w:cs="Arial"/>
        </w:rPr>
      </w:pPr>
      <w:r>
        <w:rPr>
          <w:rFonts w:ascii="Arial" w:eastAsia="SimSun" w:hAnsi="Arial" w:cs="Arial"/>
        </w:rPr>
        <w:t>VOCABRIA</w:t>
      </w:r>
      <w:r w:rsidR="00AF238D" w:rsidRPr="00071855">
        <w:rPr>
          <w:rFonts w:ascii="Arial" w:eastAsia="SimSun" w:hAnsi="Arial" w:cs="Arial"/>
        </w:rPr>
        <w:t xml:space="preserve"> </w:t>
      </w:r>
      <w:r w:rsidR="006018AE" w:rsidRPr="00071855">
        <w:rPr>
          <w:rFonts w:ascii="Arial" w:eastAsia="SimSun" w:hAnsi="Arial" w:cs="Arial"/>
        </w:rPr>
        <w:t>(</w:t>
      </w:r>
      <w:proofErr w:type="spellStart"/>
      <w:r>
        <w:rPr>
          <w:rFonts w:ascii="Arial" w:eastAsia="SimSun" w:hAnsi="Arial" w:cs="Arial"/>
          <w:caps w:val="0"/>
        </w:rPr>
        <w:t>cabotegravir</w:t>
      </w:r>
      <w:proofErr w:type="spellEnd"/>
      <w:r w:rsidR="006018AE" w:rsidRPr="00071855">
        <w:rPr>
          <w:rFonts w:ascii="Arial" w:eastAsia="SimSun" w:hAnsi="Arial" w:cs="Arial"/>
        </w:rPr>
        <w:t>)</w:t>
      </w:r>
      <w:r w:rsidR="00A64655" w:rsidRPr="00071855">
        <w:rPr>
          <w:rFonts w:ascii="Arial" w:eastAsia="SimSun" w:hAnsi="Arial" w:cs="Arial"/>
        </w:rPr>
        <w:t xml:space="preserve"> </w:t>
      </w:r>
      <w:r>
        <w:rPr>
          <w:rFonts w:ascii="Arial" w:eastAsia="SimSun" w:hAnsi="Arial" w:cs="Arial"/>
          <w:caps w:val="0"/>
        </w:rPr>
        <w:t xml:space="preserve">film-coated tablets </w:t>
      </w:r>
    </w:p>
    <w:p w14:paraId="234F1BA9" w14:textId="77777777" w:rsidR="001A3992" w:rsidRPr="00071855" w:rsidRDefault="001A3992" w:rsidP="001A3992">
      <w:pPr>
        <w:pStyle w:val="Heading1"/>
        <w:spacing w:before="0" w:after="120"/>
        <w:rPr>
          <w:rFonts w:ascii="Arial" w:hAnsi="Arial" w:cs="Arial"/>
        </w:rPr>
      </w:pPr>
      <w:r w:rsidRPr="00071855">
        <w:rPr>
          <w:rFonts w:ascii="Arial" w:hAnsi="Arial" w:cs="Arial"/>
        </w:rPr>
        <w:t>Name of the medicine</w:t>
      </w:r>
    </w:p>
    <w:p w14:paraId="2CE4D679" w14:textId="77777777" w:rsidR="00905388" w:rsidRPr="00A9234B" w:rsidRDefault="00905388" w:rsidP="00905388">
      <w:pPr>
        <w:rPr>
          <w:rFonts w:ascii="Arial" w:hAnsi="Arial" w:cs="Arial"/>
        </w:rPr>
      </w:pPr>
      <w:proofErr w:type="spellStart"/>
      <w:r w:rsidRPr="00A9234B">
        <w:rPr>
          <w:rFonts w:ascii="Arial" w:hAnsi="Arial" w:cs="Arial"/>
        </w:rPr>
        <w:t>Cabotegravir</w:t>
      </w:r>
      <w:proofErr w:type="spellEnd"/>
      <w:r w:rsidRPr="00A9234B">
        <w:rPr>
          <w:rFonts w:ascii="Arial" w:hAnsi="Arial" w:cs="Arial"/>
        </w:rPr>
        <w:t xml:space="preserve"> (as </w:t>
      </w:r>
      <w:proofErr w:type="spellStart"/>
      <w:r w:rsidRPr="00A9234B">
        <w:rPr>
          <w:rFonts w:ascii="Arial" w:hAnsi="Arial" w:cs="Arial"/>
        </w:rPr>
        <w:t>cabotegravir</w:t>
      </w:r>
      <w:proofErr w:type="spellEnd"/>
      <w:r w:rsidRPr="00A9234B">
        <w:rPr>
          <w:rFonts w:ascii="Arial" w:hAnsi="Arial" w:cs="Arial"/>
        </w:rPr>
        <w:t xml:space="preserve"> sodium) </w:t>
      </w:r>
    </w:p>
    <w:p w14:paraId="65FA6B16" w14:textId="77777777" w:rsidR="001A3992" w:rsidRPr="00071855" w:rsidRDefault="001A3992" w:rsidP="001A3992">
      <w:pPr>
        <w:pStyle w:val="Heading1"/>
        <w:spacing w:before="0" w:after="120"/>
        <w:rPr>
          <w:rFonts w:ascii="Arial" w:hAnsi="Arial" w:cs="Arial"/>
        </w:rPr>
      </w:pPr>
      <w:r w:rsidRPr="00071855">
        <w:rPr>
          <w:rFonts w:ascii="Arial" w:hAnsi="Arial" w:cs="Arial"/>
        </w:rPr>
        <w:t>Qualitative and quantitative composition</w:t>
      </w:r>
    </w:p>
    <w:p w14:paraId="52EB2294" w14:textId="77777777" w:rsidR="00C80A48" w:rsidRPr="00A9234B" w:rsidRDefault="00C80A48" w:rsidP="00992EF4">
      <w:pPr>
        <w:rPr>
          <w:rFonts w:ascii="Arial" w:hAnsi="Arial" w:cs="Arial"/>
        </w:rPr>
      </w:pPr>
      <w:r w:rsidRPr="00A9234B">
        <w:rPr>
          <w:rFonts w:ascii="Arial" w:hAnsi="Arial" w:cs="Arial"/>
        </w:rPr>
        <w:t xml:space="preserve">VOCABRIA tablet contains 30 mg </w:t>
      </w:r>
      <w:proofErr w:type="spellStart"/>
      <w:r w:rsidRPr="00A9234B">
        <w:rPr>
          <w:rFonts w:ascii="Arial" w:hAnsi="Arial" w:cs="Arial"/>
        </w:rPr>
        <w:t>cabotegravir</w:t>
      </w:r>
      <w:proofErr w:type="spellEnd"/>
      <w:r w:rsidRPr="00A9234B">
        <w:rPr>
          <w:rFonts w:ascii="Arial" w:hAnsi="Arial" w:cs="Arial"/>
        </w:rPr>
        <w:t xml:space="preserve"> (as </w:t>
      </w:r>
      <w:proofErr w:type="spellStart"/>
      <w:r w:rsidRPr="00A9234B">
        <w:rPr>
          <w:rFonts w:ascii="Arial" w:hAnsi="Arial" w:cs="Arial"/>
        </w:rPr>
        <w:t>cabotegravir</w:t>
      </w:r>
      <w:proofErr w:type="spellEnd"/>
      <w:r w:rsidRPr="00A9234B">
        <w:rPr>
          <w:rFonts w:ascii="Arial" w:hAnsi="Arial" w:cs="Arial"/>
        </w:rPr>
        <w:t xml:space="preserve"> sodium).</w:t>
      </w:r>
    </w:p>
    <w:p w14:paraId="3A09CFB5" w14:textId="77777777" w:rsidR="00C80A48" w:rsidRPr="00A9234B" w:rsidRDefault="00C80A48" w:rsidP="00992EF4">
      <w:pPr>
        <w:rPr>
          <w:rFonts w:ascii="Arial" w:hAnsi="Arial" w:cs="Arial"/>
        </w:rPr>
      </w:pPr>
      <w:proofErr w:type="spellStart"/>
      <w:r w:rsidRPr="00A9234B">
        <w:rPr>
          <w:rFonts w:ascii="Arial" w:hAnsi="Arial" w:cs="Arial"/>
        </w:rPr>
        <w:t>Cabotegravir</w:t>
      </w:r>
      <w:proofErr w:type="spellEnd"/>
      <w:r w:rsidRPr="00A9234B">
        <w:rPr>
          <w:rFonts w:ascii="Arial" w:hAnsi="Arial" w:cs="Arial"/>
        </w:rPr>
        <w:t xml:space="preserve"> is a white to almost white solid.</w:t>
      </w:r>
    </w:p>
    <w:p w14:paraId="25721C43" w14:textId="77777777" w:rsidR="00E42B91" w:rsidRPr="00E42B91" w:rsidRDefault="00E42B91" w:rsidP="005B2812">
      <w:pPr>
        <w:rPr>
          <w:rFonts w:ascii="Arial" w:hAnsi="Arial" w:cs="Arial"/>
          <w:b/>
          <w:lang w:val="en"/>
        </w:rPr>
      </w:pPr>
      <w:r w:rsidRPr="00E42B91">
        <w:rPr>
          <w:rFonts w:ascii="Arial" w:hAnsi="Arial" w:cs="Arial"/>
          <w:b/>
          <w:lang w:val="en"/>
        </w:rPr>
        <w:t>List of excipients with known effect</w:t>
      </w:r>
    </w:p>
    <w:p w14:paraId="25B2F116" w14:textId="3E46E9DF" w:rsidR="00992EF4" w:rsidRDefault="00992EF4" w:rsidP="005B2812">
      <w:pPr>
        <w:rPr>
          <w:rFonts w:ascii="Arial" w:hAnsi="Arial" w:cs="Arial"/>
          <w:lang w:val="en"/>
        </w:rPr>
      </w:pPr>
      <w:r>
        <w:rPr>
          <w:rFonts w:ascii="Arial" w:hAnsi="Arial" w:cs="Arial"/>
          <w:lang w:val="en"/>
        </w:rPr>
        <w:t xml:space="preserve">VOCABRIA tablets contain lactose monohydrate. </w:t>
      </w:r>
    </w:p>
    <w:p w14:paraId="5CD79C0D" w14:textId="7777777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568A8E5D" w14:textId="77777777" w:rsidR="001A3992" w:rsidRPr="00071855" w:rsidRDefault="001A3992" w:rsidP="001A3992">
      <w:pPr>
        <w:pStyle w:val="Heading1"/>
        <w:spacing w:before="0" w:after="120"/>
        <w:rPr>
          <w:rFonts w:ascii="Arial" w:hAnsi="Arial" w:cs="Arial"/>
        </w:rPr>
      </w:pPr>
      <w:r w:rsidRPr="00071855">
        <w:rPr>
          <w:rFonts w:ascii="Arial" w:hAnsi="Arial" w:cs="Arial"/>
        </w:rPr>
        <w:t>Pharmaceutical form</w:t>
      </w:r>
    </w:p>
    <w:p w14:paraId="2109E41F" w14:textId="5788E29C" w:rsidR="00983079" w:rsidRPr="00983079" w:rsidRDefault="00983079" w:rsidP="00071855">
      <w:pPr>
        <w:rPr>
          <w:rFonts w:ascii="Arial" w:hAnsi="Arial" w:cs="Arial"/>
          <w:lang w:val="en"/>
        </w:rPr>
      </w:pPr>
      <w:r w:rsidRPr="00983079">
        <w:rPr>
          <w:rFonts w:ascii="Arial" w:hAnsi="Arial" w:cs="Arial"/>
          <w:lang w:val="en"/>
        </w:rPr>
        <w:t xml:space="preserve">VOCABRIA tablets are white, oval, film-coated, tablets, debossed with ‘SV CTV’ on one side </w:t>
      </w:r>
    </w:p>
    <w:p w14:paraId="1381416C" w14:textId="77777777" w:rsidR="001A3992" w:rsidRPr="00071855" w:rsidRDefault="001A3992" w:rsidP="001A3992">
      <w:pPr>
        <w:pStyle w:val="Heading1"/>
        <w:spacing w:before="0" w:after="120"/>
        <w:rPr>
          <w:rFonts w:ascii="Arial" w:hAnsi="Arial" w:cs="Arial"/>
        </w:rPr>
      </w:pPr>
      <w:r w:rsidRPr="00071855">
        <w:rPr>
          <w:rFonts w:ascii="Arial" w:hAnsi="Arial" w:cs="Arial"/>
        </w:rPr>
        <w:t>Clinical particulars</w:t>
      </w:r>
    </w:p>
    <w:p w14:paraId="60B77CA3" w14:textId="77777777" w:rsidR="001A3992" w:rsidRPr="00071855" w:rsidRDefault="00071855" w:rsidP="001A3992">
      <w:pPr>
        <w:pStyle w:val="Heading2"/>
        <w:spacing w:before="0" w:after="120"/>
        <w:rPr>
          <w:rFonts w:ascii="Arial" w:hAnsi="Arial" w:cs="Arial"/>
          <w:smallCaps w:val="0"/>
        </w:rPr>
      </w:pPr>
      <w:r w:rsidRPr="00071855">
        <w:rPr>
          <w:rFonts w:ascii="Arial" w:hAnsi="Arial" w:cs="Arial"/>
          <w:smallCaps w:val="0"/>
        </w:rPr>
        <w:t xml:space="preserve">THERAPEUTIC INDICATIONS </w:t>
      </w:r>
    </w:p>
    <w:p w14:paraId="6CB43B41" w14:textId="77777777" w:rsidR="00983079" w:rsidRPr="00983079" w:rsidRDefault="00983079" w:rsidP="000D668F">
      <w:pPr>
        <w:rPr>
          <w:rFonts w:ascii="Arial" w:hAnsi="Arial" w:cs="Arial"/>
          <w:lang w:val="en"/>
        </w:rPr>
      </w:pPr>
      <w:bookmarkStart w:id="1" w:name="_Hlk8288613"/>
      <w:r w:rsidRPr="00983079">
        <w:rPr>
          <w:rFonts w:ascii="Arial" w:hAnsi="Arial" w:cs="Arial"/>
          <w:lang w:val="en"/>
        </w:rPr>
        <w:t xml:space="preserve">VOCABRIA tablets are indicated in combination with </w:t>
      </w:r>
      <w:proofErr w:type="spellStart"/>
      <w:r w:rsidRPr="00983079">
        <w:rPr>
          <w:rFonts w:ascii="Arial" w:hAnsi="Arial" w:cs="Arial"/>
          <w:lang w:val="en"/>
        </w:rPr>
        <w:t>rilpivirine</w:t>
      </w:r>
      <w:proofErr w:type="spellEnd"/>
      <w:r w:rsidRPr="00983079">
        <w:rPr>
          <w:rFonts w:ascii="Arial" w:hAnsi="Arial" w:cs="Arial"/>
          <w:lang w:val="en"/>
        </w:rPr>
        <w:t xml:space="preserve"> tablets for the short-term treatment of Human Immunodeficiency Virus type 1 (HIV-1) infection in adults who are </w:t>
      </w:r>
      <w:proofErr w:type="spellStart"/>
      <w:r w:rsidRPr="00983079">
        <w:rPr>
          <w:rFonts w:ascii="Arial" w:hAnsi="Arial" w:cs="Arial"/>
          <w:lang w:val="en"/>
        </w:rPr>
        <w:t>virologically</w:t>
      </w:r>
      <w:proofErr w:type="spellEnd"/>
      <w:r w:rsidRPr="00983079">
        <w:rPr>
          <w:rFonts w:ascii="Arial" w:hAnsi="Arial" w:cs="Arial"/>
          <w:lang w:val="en"/>
        </w:rPr>
        <w:t xml:space="preserve"> suppressed (HIV-1 RNA &lt;50 copies/mL) and have no known or suspected resistance to either </w:t>
      </w:r>
      <w:proofErr w:type="spellStart"/>
      <w:r w:rsidRPr="00983079">
        <w:rPr>
          <w:rFonts w:ascii="Arial" w:hAnsi="Arial" w:cs="Arial"/>
          <w:lang w:val="en"/>
        </w:rPr>
        <w:t>cabotegravir</w:t>
      </w:r>
      <w:proofErr w:type="spellEnd"/>
      <w:r w:rsidRPr="00983079">
        <w:rPr>
          <w:rFonts w:ascii="Arial" w:hAnsi="Arial" w:cs="Arial"/>
          <w:lang w:val="en"/>
        </w:rPr>
        <w:t xml:space="preserve"> or </w:t>
      </w:r>
      <w:proofErr w:type="spellStart"/>
      <w:r w:rsidRPr="00983079">
        <w:rPr>
          <w:rFonts w:ascii="Arial" w:hAnsi="Arial" w:cs="Arial"/>
          <w:lang w:val="en"/>
        </w:rPr>
        <w:t>rilpivirine</w:t>
      </w:r>
      <w:proofErr w:type="spellEnd"/>
      <w:r w:rsidRPr="00983079">
        <w:rPr>
          <w:rFonts w:ascii="Arial" w:hAnsi="Arial" w:cs="Arial"/>
          <w:lang w:val="en"/>
        </w:rPr>
        <w:t xml:space="preserve"> (see sections 4.2 </w:t>
      </w:r>
      <w:r>
        <w:rPr>
          <w:rFonts w:ascii="Arial" w:hAnsi="Arial" w:cs="Arial"/>
          <w:lang w:val="en"/>
        </w:rPr>
        <w:t xml:space="preserve">DOSE AND METHOD OF ADMINISTRATION </w:t>
      </w:r>
      <w:r w:rsidRPr="00983079">
        <w:rPr>
          <w:rFonts w:ascii="Arial" w:hAnsi="Arial" w:cs="Arial"/>
          <w:lang w:val="en"/>
        </w:rPr>
        <w:t>and 5.1</w:t>
      </w:r>
      <w:r>
        <w:rPr>
          <w:rFonts w:ascii="Arial" w:hAnsi="Arial" w:cs="Arial"/>
          <w:lang w:val="en"/>
        </w:rPr>
        <w:t xml:space="preserve"> PHARMACODYNAMIC PROPERTIES, Clinical </w:t>
      </w:r>
      <w:r w:rsidR="00EC1C0B">
        <w:rPr>
          <w:rFonts w:ascii="Arial" w:hAnsi="Arial" w:cs="Arial"/>
          <w:lang w:val="en"/>
        </w:rPr>
        <w:t>t</w:t>
      </w:r>
      <w:r>
        <w:rPr>
          <w:rFonts w:ascii="Arial" w:hAnsi="Arial" w:cs="Arial"/>
          <w:lang w:val="en"/>
        </w:rPr>
        <w:t>rials</w:t>
      </w:r>
      <w:r w:rsidRPr="00983079">
        <w:rPr>
          <w:rFonts w:ascii="Arial" w:hAnsi="Arial" w:cs="Arial"/>
          <w:lang w:val="en"/>
        </w:rPr>
        <w:t>) for:</w:t>
      </w:r>
    </w:p>
    <w:p w14:paraId="595211D7" w14:textId="11108C59" w:rsidR="00983079" w:rsidRPr="00983079" w:rsidRDefault="00983079" w:rsidP="000D668F">
      <w:pPr>
        <w:pStyle w:val="ListParagraph"/>
        <w:numPr>
          <w:ilvl w:val="0"/>
          <w:numId w:val="11"/>
        </w:numPr>
        <w:rPr>
          <w:rFonts w:ascii="Arial" w:hAnsi="Arial" w:cs="Arial"/>
          <w:lang w:val="en"/>
        </w:rPr>
      </w:pPr>
      <w:r w:rsidRPr="00983079">
        <w:rPr>
          <w:rFonts w:ascii="Arial" w:hAnsi="Arial" w:cs="Arial"/>
          <w:lang w:val="en"/>
        </w:rPr>
        <w:t xml:space="preserve">oral lead in to assess tolerability of </w:t>
      </w:r>
      <w:proofErr w:type="spellStart"/>
      <w:r w:rsidR="00C01904">
        <w:rPr>
          <w:rFonts w:ascii="Arial" w:hAnsi="Arial" w:cs="Arial"/>
          <w:lang w:val="en"/>
        </w:rPr>
        <w:t>cabotegravir</w:t>
      </w:r>
      <w:proofErr w:type="spellEnd"/>
      <w:r w:rsidRPr="00983079">
        <w:rPr>
          <w:rFonts w:ascii="Arial" w:hAnsi="Arial" w:cs="Arial"/>
          <w:lang w:val="en"/>
        </w:rPr>
        <w:t xml:space="preserve"> prior to administration of </w:t>
      </w:r>
      <w:proofErr w:type="spellStart"/>
      <w:r w:rsidR="00C01904">
        <w:rPr>
          <w:rFonts w:ascii="Arial" w:hAnsi="Arial" w:cs="Arial"/>
          <w:lang w:val="en"/>
        </w:rPr>
        <w:t>cabotegravir</w:t>
      </w:r>
      <w:proofErr w:type="spellEnd"/>
      <w:r w:rsidRPr="00983079">
        <w:rPr>
          <w:rFonts w:ascii="Arial" w:hAnsi="Arial" w:cs="Arial"/>
          <w:lang w:val="en"/>
        </w:rPr>
        <w:t xml:space="preserve"> </w:t>
      </w:r>
      <w:r w:rsidR="00041420">
        <w:rPr>
          <w:rFonts w:ascii="Arial" w:hAnsi="Arial" w:cs="Arial"/>
          <w:lang w:val="en"/>
        </w:rPr>
        <w:t xml:space="preserve">prolonged-release suspension for </w:t>
      </w:r>
      <w:r w:rsidRPr="00983079">
        <w:rPr>
          <w:rFonts w:ascii="Arial" w:hAnsi="Arial" w:cs="Arial"/>
          <w:lang w:val="en"/>
        </w:rPr>
        <w:t xml:space="preserve">injection plus </w:t>
      </w:r>
      <w:proofErr w:type="spellStart"/>
      <w:r w:rsidRPr="00983079">
        <w:rPr>
          <w:rFonts w:ascii="Arial" w:hAnsi="Arial" w:cs="Arial"/>
          <w:lang w:val="en"/>
        </w:rPr>
        <w:t>rilpivirine</w:t>
      </w:r>
      <w:proofErr w:type="spellEnd"/>
      <w:r w:rsidRPr="00983079">
        <w:rPr>
          <w:rFonts w:ascii="Arial" w:hAnsi="Arial" w:cs="Arial"/>
          <w:lang w:val="en"/>
        </w:rPr>
        <w:t xml:space="preserve"> </w:t>
      </w:r>
      <w:r w:rsidR="00041420">
        <w:rPr>
          <w:rFonts w:ascii="Arial" w:hAnsi="Arial" w:cs="Arial"/>
          <w:lang w:val="en"/>
        </w:rPr>
        <w:t xml:space="preserve">prolonged-release suspension for </w:t>
      </w:r>
      <w:r w:rsidRPr="00983079">
        <w:rPr>
          <w:rFonts w:ascii="Arial" w:hAnsi="Arial" w:cs="Arial"/>
          <w:lang w:val="en"/>
        </w:rPr>
        <w:t>injection.</w:t>
      </w:r>
    </w:p>
    <w:p w14:paraId="3C834E3B" w14:textId="42E4F88A" w:rsidR="00983079" w:rsidRPr="00983079" w:rsidRDefault="00983079" w:rsidP="000D668F">
      <w:pPr>
        <w:pStyle w:val="ListParagraph"/>
        <w:numPr>
          <w:ilvl w:val="0"/>
          <w:numId w:val="11"/>
        </w:numPr>
        <w:rPr>
          <w:rFonts w:ascii="Arial" w:hAnsi="Arial" w:cs="Arial"/>
          <w:lang w:val="en"/>
        </w:rPr>
      </w:pPr>
      <w:r w:rsidRPr="00983079">
        <w:rPr>
          <w:rFonts w:ascii="Arial" w:hAnsi="Arial" w:cs="Arial"/>
          <w:lang w:val="en"/>
        </w:rPr>
        <w:t xml:space="preserve">oral therapy for adults who will miss planned dosing with </w:t>
      </w:r>
      <w:proofErr w:type="spellStart"/>
      <w:r w:rsidR="00C01904">
        <w:rPr>
          <w:rFonts w:ascii="Arial" w:hAnsi="Arial" w:cs="Arial"/>
          <w:lang w:val="en"/>
        </w:rPr>
        <w:t>cabotegravir</w:t>
      </w:r>
      <w:proofErr w:type="spellEnd"/>
      <w:r w:rsidRPr="00983079">
        <w:rPr>
          <w:rFonts w:ascii="Arial" w:hAnsi="Arial" w:cs="Arial"/>
          <w:lang w:val="en"/>
        </w:rPr>
        <w:t xml:space="preserve"> </w:t>
      </w:r>
      <w:r w:rsidR="00041420">
        <w:rPr>
          <w:rFonts w:ascii="Arial" w:hAnsi="Arial" w:cs="Arial"/>
          <w:lang w:val="en"/>
        </w:rPr>
        <w:t xml:space="preserve">prolonged-release suspension for </w:t>
      </w:r>
      <w:r w:rsidRPr="00983079">
        <w:rPr>
          <w:rFonts w:ascii="Arial" w:hAnsi="Arial" w:cs="Arial"/>
          <w:lang w:val="en"/>
        </w:rPr>
        <w:t>injection</w:t>
      </w:r>
      <w:r w:rsidR="00041420">
        <w:rPr>
          <w:rFonts w:ascii="Arial" w:hAnsi="Arial" w:cs="Arial"/>
          <w:lang w:val="en"/>
        </w:rPr>
        <w:t>.</w:t>
      </w:r>
    </w:p>
    <w:bookmarkEnd w:id="1"/>
    <w:p w14:paraId="68306FB0" w14:textId="77777777"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DOSE AND METHOD OF ADMINISTRATION </w:t>
      </w:r>
    </w:p>
    <w:p w14:paraId="2539AF8C" w14:textId="77777777" w:rsidR="00AB30B1" w:rsidRPr="00391F4A" w:rsidRDefault="00AB30B1" w:rsidP="00D66292">
      <w:pPr>
        <w:rPr>
          <w:rFonts w:ascii="Arial" w:hAnsi="Arial" w:cs="Arial"/>
          <w:lang w:val="en"/>
        </w:rPr>
      </w:pPr>
      <w:r w:rsidRPr="00391F4A">
        <w:rPr>
          <w:rFonts w:ascii="Arial" w:hAnsi="Arial" w:cs="Arial"/>
          <w:lang w:val="en"/>
        </w:rPr>
        <w:t>VOCABRIA should be prescribed by a physician experienced in the management of HIV infection.</w:t>
      </w:r>
    </w:p>
    <w:p w14:paraId="311043F5" w14:textId="1AE61888" w:rsidR="00AB30B1" w:rsidRPr="00391F4A" w:rsidRDefault="00AB30B1" w:rsidP="00D66292">
      <w:pPr>
        <w:rPr>
          <w:rFonts w:ascii="Arial" w:hAnsi="Arial" w:cs="Arial"/>
          <w:lang w:val="en"/>
        </w:rPr>
      </w:pPr>
      <w:r w:rsidRPr="00391F4A">
        <w:rPr>
          <w:rFonts w:ascii="Arial" w:hAnsi="Arial" w:cs="Arial"/>
          <w:lang w:val="en"/>
        </w:rPr>
        <w:t xml:space="preserve">VOCABRIA is indicated for the treatment of HIV-1 in combination with </w:t>
      </w:r>
      <w:proofErr w:type="spellStart"/>
      <w:r w:rsidRPr="00391F4A">
        <w:rPr>
          <w:rFonts w:ascii="Arial" w:hAnsi="Arial" w:cs="Arial"/>
          <w:lang w:val="en"/>
        </w:rPr>
        <w:t>rilpivirine</w:t>
      </w:r>
      <w:proofErr w:type="spellEnd"/>
      <w:r w:rsidRPr="00391F4A">
        <w:rPr>
          <w:rFonts w:ascii="Arial" w:hAnsi="Arial" w:cs="Arial"/>
          <w:lang w:val="en"/>
        </w:rPr>
        <w:t>, therefore, the pr</w:t>
      </w:r>
      <w:r w:rsidR="00164997">
        <w:rPr>
          <w:rFonts w:ascii="Arial" w:hAnsi="Arial" w:cs="Arial"/>
          <w:lang w:val="en"/>
        </w:rPr>
        <w:t>oduct</w:t>
      </w:r>
      <w:r w:rsidRPr="00391F4A">
        <w:rPr>
          <w:rFonts w:ascii="Arial" w:hAnsi="Arial" w:cs="Arial"/>
          <w:lang w:val="en"/>
        </w:rPr>
        <w:t xml:space="preserve"> information for </w:t>
      </w:r>
      <w:proofErr w:type="spellStart"/>
      <w:r w:rsidRPr="00391F4A">
        <w:rPr>
          <w:rFonts w:ascii="Arial" w:hAnsi="Arial" w:cs="Arial"/>
          <w:lang w:val="en"/>
        </w:rPr>
        <w:t>rilpivirine</w:t>
      </w:r>
      <w:proofErr w:type="spellEnd"/>
      <w:r w:rsidRPr="00391F4A">
        <w:rPr>
          <w:rFonts w:ascii="Arial" w:hAnsi="Arial" w:cs="Arial"/>
          <w:lang w:val="en"/>
        </w:rPr>
        <w:t xml:space="preserve"> should be consulted for recommended dosing.</w:t>
      </w:r>
    </w:p>
    <w:p w14:paraId="580BED63" w14:textId="77777777" w:rsidR="00AB30B1" w:rsidRDefault="00AB30B1" w:rsidP="00D7523E">
      <w:pPr>
        <w:pStyle w:val="Heading3"/>
        <w:ind w:left="0"/>
        <w:rPr>
          <w:rFonts w:ascii="Arial" w:hAnsi="Arial" w:cs="Arial"/>
        </w:rPr>
      </w:pPr>
      <w:r>
        <w:rPr>
          <w:rFonts w:ascii="Arial" w:hAnsi="Arial" w:cs="Arial"/>
        </w:rPr>
        <w:lastRenderedPageBreak/>
        <w:t>Adults</w:t>
      </w:r>
    </w:p>
    <w:p w14:paraId="5C9ED192" w14:textId="2E3BB088" w:rsidR="00AB30B1" w:rsidRPr="00391F4A" w:rsidRDefault="00AB30B1" w:rsidP="00391F4A">
      <w:pPr>
        <w:pStyle w:val="Heading4"/>
        <w:numPr>
          <w:ilvl w:val="0"/>
          <w:numId w:val="0"/>
        </w:numPr>
        <w:rPr>
          <w:rFonts w:ascii="Arial" w:hAnsi="Arial" w:cs="Arial"/>
          <w:color w:val="auto"/>
        </w:rPr>
      </w:pPr>
      <w:r w:rsidRPr="00391F4A">
        <w:rPr>
          <w:rFonts w:ascii="Arial" w:hAnsi="Arial" w:cs="Arial"/>
          <w:color w:val="auto"/>
        </w:rPr>
        <w:t xml:space="preserve">Oral lead-in </w:t>
      </w:r>
      <w:r w:rsidR="00866F3D">
        <w:rPr>
          <w:rFonts w:ascii="Arial" w:hAnsi="Arial" w:cs="Arial"/>
          <w:color w:val="auto"/>
        </w:rPr>
        <w:t>dosing</w:t>
      </w:r>
    </w:p>
    <w:p w14:paraId="53DAA960" w14:textId="118CEF03" w:rsidR="00AB30B1" w:rsidRDefault="00391F4A" w:rsidP="00D66292">
      <w:pPr>
        <w:rPr>
          <w:rFonts w:ascii="Arial" w:hAnsi="Arial" w:cs="Arial"/>
          <w:lang w:val="en"/>
        </w:rPr>
      </w:pPr>
      <w:bookmarkStart w:id="2" w:name="_Hlk6228500"/>
      <w:r>
        <w:rPr>
          <w:rFonts w:ascii="Arial" w:hAnsi="Arial" w:cs="Arial"/>
          <w:lang w:val="en"/>
        </w:rPr>
        <w:t>VOCABRIA</w:t>
      </w:r>
      <w:r w:rsidR="00AB30B1" w:rsidRPr="00391F4A">
        <w:rPr>
          <w:rFonts w:ascii="Arial" w:hAnsi="Arial" w:cs="Arial"/>
          <w:lang w:val="en"/>
        </w:rPr>
        <w:t xml:space="preserve"> tablets are </w:t>
      </w:r>
      <w:r w:rsidR="00AB30B1" w:rsidRPr="00866F3D">
        <w:rPr>
          <w:rFonts w:ascii="Arial" w:hAnsi="Arial" w:cs="Arial"/>
          <w:lang w:val="en"/>
        </w:rPr>
        <w:t xml:space="preserve">recommended for approximately one month (at least 28 days) in </w:t>
      </w:r>
      <w:proofErr w:type="spellStart"/>
      <w:r w:rsidR="00AB30B1" w:rsidRPr="00866F3D">
        <w:rPr>
          <w:rFonts w:ascii="Arial" w:hAnsi="Arial" w:cs="Arial"/>
          <w:lang w:val="en"/>
        </w:rPr>
        <w:t>virologically</w:t>
      </w:r>
      <w:proofErr w:type="spellEnd"/>
      <w:r w:rsidR="00AB30B1" w:rsidRPr="00866F3D">
        <w:rPr>
          <w:rFonts w:ascii="Arial" w:hAnsi="Arial" w:cs="Arial"/>
          <w:lang w:val="en"/>
        </w:rPr>
        <w:t xml:space="preserve"> suppressed patients prior to the initiation of </w:t>
      </w:r>
      <w:proofErr w:type="spellStart"/>
      <w:r w:rsidR="0020184A" w:rsidRPr="00866F3D">
        <w:rPr>
          <w:rFonts w:ascii="Arial" w:hAnsi="Arial" w:cs="Arial"/>
          <w:lang w:val="en"/>
        </w:rPr>
        <w:t>cabotegravir</w:t>
      </w:r>
      <w:proofErr w:type="spellEnd"/>
      <w:r w:rsidR="0020184A" w:rsidRPr="00866F3D">
        <w:rPr>
          <w:rFonts w:ascii="Arial" w:hAnsi="Arial" w:cs="Arial"/>
          <w:lang w:val="en"/>
        </w:rPr>
        <w:t xml:space="preserve"> </w:t>
      </w:r>
      <w:r w:rsidR="00AB30B1" w:rsidRPr="00866F3D">
        <w:rPr>
          <w:rFonts w:ascii="Arial" w:hAnsi="Arial" w:cs="Arial"/>
          <w:lang w:val="en"/>
        </w:rPr>
        <w:t>injection</w:t>
      </w:r>
      <w:r w:rsidR="00C01904" w:rsidRPr="00866F3D">
        <w:rPr>
          <w:rFonts w:ascii="Arial" w:hAnsi="Arial" w:cs="Arial"/>
          <w:lang w:val="en"/>
        </w:rPr>
        <w:t xml:space="preserve">s, </w:t>
      </w:r>
      <w:r w:rsidR="00C01904" w:rsidRPr="0090328A">
        <w:rPr>
          <w:rStyle w:val="commenttext0"/>
          <w:rFonts w:ascii="Arial" w:hAnsi="Arial" w:cs="Arial"/>
        </w:rPr>
        <w:t>a component of CABENUVA</w:t>
      </w:r>
      <w:r w:rsidR="00C01904" w:rsidRPr="00866F3D">
        <w:rPr>
          <w:rStyle w:val="commenttext0"/>
          <w:rFonts w:ascii="Arial" w:hAnsi="Arial" w:cs="Arial"/>
        </w:rPr>
        <w:t xml:space="preserve"> </w:t>
      </w:r>
      <w:r w:rsidR="00C01904" w:rsidRPr="0090328A">
        <w:rPr>
          <w:rFonts w:ascii="Arial" w:hAnsi="Arial" w:cs="Arial"/>
          <w:szCs w:val="24"/>
        </w:rPr>
        <w:t>(</w:t>
      </w:r>
      <w:proofErr w:type="spellStart"/>
      <w:r w:rsidR="00C01904" w:rsidRPr="0090328A">
        <w:rPr>
          <w:rFonts w:ascii="Arial" w:hAnsi="Arial" w:cs="Arial"/>
          <w:szCs w:val="24"/>
        </w:rPr>
        <w:t>cabotegravir</w:t>
      </w:r>
      <w:proofErr w:type="spellEnd"/>
      <w:r w:rsidR="00C01904" w:rsidRPr="0090328A">
        <w:rPr>
          <w:rFonts w:ascii="Arial" w:hAnsi="Arial" w:cs="Arial"/>
          <w:szCs w:val="24"/>
        </w:rPr>
        <w:t xml:space="preserve"> and </w:t>
      </w:r>
      <w:proofErr w:type="spellStart"/>
      <w:r w:rsidR="00C01904" w:rsidRPr="0090328A">
        <w:rPr>
          <w:rFonts w:ascii="Arial" w:hAnsi="Arial" w:cs="Arial"/>
          <w:szCs w:val="24"/>
        </w:rPr>
        <w:t>rilpivirine</w:t>
      </w:r>
      <w:proofErr w:type="spellEnd"/>
      <w:r w:rsidR="00C01904" w:rsidRPr="0090328A">
        <w:rPr>
          <w:rFonts w:ascii="Arial" w:hAnsi="Arial" w:cs="Arial"/>
          <w:szCs w:val="24"/>
        </w:rPr>
        <w:t xml:space="preserve"> prolonged release suspensions for injection)</w:t>
      </w:r>
      <w:r w:rsidR="00C01904" w:rsidRPr="0090328A">
        <w:rPr>
          <w:rStyle w:val="commenttext0"/>
          <w:rFonts w:ascii="Arial" w:hAnsi="Arial" w:cs="Arial"/>
        </w:rPr>
        <w:t>,</w:t>
      </w:r>
      <w:r w:rsidR="00AB30B1" w:rsidRPr="00866F3D">
        <w:rPr>
          <w:rFonts w:ascii="Arial" w:hAnsi="Arial" w:cs="Arial"/>
          <w:lang w:val="en"/>
        </w:rPr>
        <w:t xml:space="preserve"> to assess tolerability to </w:t>
      </w:r>
      <w:proofErr w:type="spellStart"/>
      <w:r w:rsidR="00AB30B1" w:rsidRPr="00866F3D">
        <w:rPr>
          <w:rFonts w:ascii="Arial" w:hAnsi="Arial" w:cs="Arial"/>
          <w:lang w:val="en"/>
        </w:rPr>
        <w:t>cabotegravir</w:t>
      </w:r>
      <w:proofErr w:type="spellEnd"/>
      <w:r w:rsidR="00AB30B1" w:rsidRPr="00866F3D">
        <w:rPr>
          <w:rFonts w:ascii="Arial" w:hAnsi="Arial" w:cs="Arial"/>
          <w:lang w:val="en"/>
        </w:rPr>
        <w:t xml:space="preserve">. One </w:t>
      </w:r>
      <w:r w:rsidRPr="00866F3D">
        <w:rPr>
          <w:rFonts w:ascii="Arial" w:hAnsi="Arial" w:cs="Arial"/>
          <w:lang w:val="en"/>
        </w:rPr>
        <w:t>VOCABRIA</w:t>
      </w:r>
      <w:r w:rsidR="00AB30B1" w:rsidRPr="00866F3D">
        <w:rPr>
          <w:rFonts w:ascii="Arial" w:hAnsi="Arial" w:cs="Arial"/>
          <w:lang w:val="en"/>
        </w:rPr>
        <w:t xml:space="preserve"> tablet (30 mg) should be taken with one </w:t>
      </w:r>
      <w:proofErr w:type="spellStart"/>
      <w:r w:rsidR="00AB30B1" w:rsidRPr="00866F3D">
        <w:rPr>
          <w:rFonts w:ascii="Arial" w:hAnsi="Arial" w:cs="Arial"/>
          <w:lang w:val="en"/>
        </w:rPr>
        <w:t>rilpivirine</w:t>
      </w:r>
      <w:proofErr w:type="spellEnd"/>
      <w:r w:rsidR="00AB30B1" w:rsidRPr="00866F3D">
        <w:rPr>
          <w:rFonts w:ascii="Arial" w:hAnsi="Arial" w:cs="Arial"/>
          <w:lang w:val="en"/>
        </w:rPr>
        <w:t xml:space="preserve"> tablet (25 mg) once daily</w:t>
      </w:r>
      <w:bookmarkEnd w:id="2"/>
      <w:r w:rsidR="00766549" w:rsidRPr="00866F3D">
        <w:rPr>
          <w:rFonts w:ascii="Arial" w:hAnsi="Arial" w:cs="Arial"/>
          <w:lang w:val="en"/>
        </w:rPr>
        <w:t>.</w:t>
      </w:r>
    </w:p>
    <w:p w14:paraId="349D91A4" w14:textId="33A57F7C" w:rsidR="00866F3D" w:rsidRPr="00866F3D" w:rsidRDefault="00866F3D" w:rsidP="00D66292">
      <w:pPr>
        <w:rPr>
          <w:rFonts w:ascii="Arial" w:hAnsi="Arial" w:cs="Arial"/>
          <w:lang w:val="en"/>
        </w:rPr>
      </w:pPr>
      <w:r>
        <w:rPr>
          <w:rFonts w:ascii="Arial" w:hAnsi="Arial" w:cs="Arial"/>
          <w:lang w:val="en"/>
        </w:rPr>
        <w:t>The final oral dose should be taken on the same day injections with CABENUVA are started.</w:t>
      </w:r>
    </w:p>
    <w:p w14:paraId="4313C775" w14:textId="77777777" w:rsidR="00391F4A" w:rsidRPr="005F487B" w:rsidRDefault="00391F4A" w:rsidP="0090328A">
      <w:pPr>
        <w:rPr>
          <w:rFonts w:ascii="Arial" w:hAnsi="Arial" w:cs="Arial"/>
        </w:rPr>
      </w:pPr>
      <w:bookmarkStart w:id="3" w:name="_Hlk526169874"/>
      <w:bookmarkStart w:id="4" w:name="_Hlk5897080"/>
      <w:r w:rsidRPr="0090328A">
        <w:rPr>
          <w:rFonts w:ascii="Arial" w:hAnsi="Arial" w:cs="Arial"/>
          <w:b/>
        </w:rPr>
        <w:t>Missed doses</w:t>
      </w:r>
    </w:p>
    <w:p w14:paraId="68D7B3B6" w14:textId="15410FF5" w:rsidR="00D66292" w:rsidRPr="00335E5C" w:rsidRDefault="00DB36C7" w:rsidP="003E7E6F">
      <w:pPr>
        <w:keepNext/>
        <w:keepLines/>
        <w:spacing w:line="240" w:lineRule="auto"/>
        <w:rPr>
          <w:rFonts w:ascii="Arial" w:hAnsi="Arial" w:cs="Arial"/>
          <w:u w:val="single"/>
          <w:lang w:val="en"/>
        </w:rPr>
      </w:pPr>
      <w:bookmarkStart w:id="5" w:name="_Hlk523315892"/>
      <w:bookmarkEnd w:id="3"/>
      <w:r>
        <w:rPr>
          <w:rFonts w:ascii="Arial" w:hAnsi="Arial" w:cs="Arial"/>
          <w:u w:val="single"/>
          <w:lang w:val="en"/>
        </w:rPr>
        <w:t xml:space="preserve">Missed </w:t>
      </w:r>
      <w:r w:rsidR="00335E5C" w:rsidRPr="00335E5C">
        <w:rPr>
          <w:rFonts w:ascii="Arial" w:hAnsi="Arial" w:cs="Arial"/>
          <w:u w:val="single"/>
          <w:lang w:val="en"/>
        </w:rPr>
        <w:t>VOCABRIA f</w:t>
      </w:r>
      <w:r w:rsidR="00D66292" w:rsidRPr="00335E5C">
        <w:rPr>
          <w:rFonts w:ascii="Arial" w:hAnsi="Arial" w:cs="Arial"/>
          <w:u w:val="single"/>
          <w:lang w:val="en"/>
        </w:rPr>
        <w:t xml:space="preserve">ilm-coated </w:t>
      </w:r>
      <w:r w:rsidR="00335E5C" w:rsidRPr="00335E5C">
        <w:rPr>
          <w:rFonts w:ascii="Arial" w:hAnsi="Arial" w:cs="Arial"/>
          <w:u w:val="single"/>
          <w:lang w:val="en"/>
        </w:rPr>
        <w:t>t</w:t>
      </w:r>
      <w:r w:rsidR="00D66292" w:rsidRPr="00335E5C">
        <w:rPr>
          <w:rFonts w:ascii="Arial" w:hAnsi="Arial" w:cs="Arial"/>
          <w:u w:val="single"/>
          <w:lang w:val="en"/>
        </w:rPr>
        <w:t>ablet</w:t>
      </w:r>
    </w:p>
    <w:p w14:paraId="36163B1D" w14:textId="77777777" w:rsidR="00D66292" w:rsidRPr="005F2315" w:rsidRDefault="00D66292" w:rsidP="003E7E6F">
      <w:pPr>
        <w:keepNext/>
        <w:keepLines/>
        <w:rPr>
          <w:rFonts w:ascii="Arial" w:hAnsi="Arial" w:cs="Arial"/>
          <w:lang w:val="en"/>
        </w:rPr>
      </w:pPr>
      <w:r>
        <w:rPr>
          <w:rFonts w:ascii="Arial" w:hAnsi="Arial" w:cs="Arial"/>
          <w:lang w:val="en"/>
        </w:rPr>
        <w:t xml:space="preserve">If a patient </w:t>
      </w:r>
      <w:r w:rsidRPr="005F2315">
        <w:rPr>
          <w:rFonts w:ascii="Arial" w:hAnsi="Arial" w:cs="Arial"/>
          <w:lang w:val="en"/>
        </w:rPr>
        <w:t>misses a</w:t>
      </w:r>
      <w:r w:rsidR="00335E5C" w:rsidRPr="005F2315">
        <w:rPr>
          <w:rFonts w:ascii="Arial" w:hAnsi="Arial" w:cs="Arial"/>
          <w:lang w:val="en"/>
        </w:rPr>
        <w:t>n</w:t>
      </w:r>
      <w:r w:rsidRPr="005F2315">
        <w:rPr>
          <w:rFonts w:ascii="Arial" w:hAnsi="Arial" w:cs="Arial"/>
          <w:lang w:val="en"/>
        </w:rPr>
        <w:t xml:space="preserve"> oral dose of VOCABRIA, the patient should take the missed dose as soon as possible</w:t>
      </w:r>
    </w:p>
    <w:p w14:paraId="6EDBCC5D" w14:textId="25C84A99" w:rsidR="00866F3D" w:rsidRPr="0090328A" w:rsidRDefault="00866F3D" w:rsidP="000D668F">
      <w:pPr>
        <w:rPr>
          <w:rFonts w:ascii="Arial" w:hAnsi="Arial" w:cs="Arial"/>
          <w:u w:val="single"/>
          <w:lang w:val="en"/>
        </w:rPr>
      </w:pPr>
      <w:r w:rsidRPr="0090328A">
        <w:rPr>
          <w:rFonts w:ascii="Arial" w:hAnsi="Arial" w:cs="Arial"/>
          <w:u w:val="single"/>
          <w:lang w:val="en"/>
        </w:rPr>
        <w:t xml:space="preserve">Oral dosing for missed </w:t>
      </w:r>
      <w:r w:rsidRPr="005F2315">
        <w:rPr>
          <w:rFonts w:ascii="Arial" w:hAnsi="Arial" w:cs="Arial"/>
          <w:u w:val="single"/>
          <w:lang w:val="en"/>
        </w:rPr>
        <w:t>injections of CABENUVA</w:t>
      </w:r>
    </w:p>
    <w:p w14:paraId="4EB2D790" w14:textId="4B386305" w:rsidR="00E943AD" w:rsidRPr="0090328A" w:rsidRDefault="00E943AD" w:rsidP="000D668F">
      <w:pPr>
        <w:rPr>
          <w:rFonts w:ascii="Arial" w:hAnsi="Arial" w:cs="Arial"/>
          <w:bCs/>
        </w:rPr>
      </w:pPr>
      <w:r w:rsidRPr="0090328A">
        <w:rPr>
          <w:rFonts w:ascii="Arial" w:hAnsi="Arial" w:cs="Arial"/>
          <w:bCs/>
        </w:rPr>
        <w:t>If a deviation of more than</w:t>
      </w:r>
      <w:r w:rsidR="00866F3D" w:rsidRPr="0090328A">
        <w:rPr>
          <w:rFonts w:ascii="Arial" w:hAnsi="Arial" w:cs="Arial"/>
          <w:bCs/>
        </w:rPr>
        <w:t xml:space="preserve"> </w:t>
      </w:r>
      <w:r w:rsidRPr="0090328A">
        <w:rPr>
          <w:rFonts w:ascii="Arial" w:hAnsi="Arial" w:cs="Arial"/>
          <w:bCs/>
        </w:rPr>
        <w:t>7 days from a scheduled injection visit cannot be avoided</w:t>
      </w:r>
      <w:r w:rsidR="00391F4A" w:rsidRPr="005F2315">
        <w:rPr>
          <w:rFonts w:ascii="Arial" w:hAnsi="Arial" w:cs="Arial"/>
          <w:lang w:val="en"/>
        </w:rPr>
        <w:t xml:space="preserve">, oral therapy (one </w:t>
      </w:r>
      <w:r w:rsidR="00335E5C" w:rsidRPr="005F2315">
        <w:rPr>
          <w:rFonts w:ascii="Arial" w:hAnsi="Arial" w:cs="Arial"/>
          <w:lang w:val="en"/>
        </w:rPr>
        <w:t>VOCABRIA</w:t>
      </w:r>
      <w:r w:rsidR="00391F4A" w:rsidRPr="005F2315">
        <w:rPr>
          <w:rFonts w:ascii="Arial" w:hAnsi="Arial" w:cs="Arial"/>
          <w:lang w:val="en"/>
        </w:rPr>
        <w:t xml:space="preserve"> tablet [30 mg] and one </w:t>
      </w:r>
      <w:proofErr w:type="spellStart"/>
      <w:r w:rsidR="00391F4A" w:rsidRPr="005F2315">
        <w:rPr>
          <w:rFonts w:ascii="Arial" w:hAnsi="Arial" w:cs="Arial"/>
          <w:lang w:val="en"/>
        </w:rPr>
        <w:t>rilpivirine</w:t>
      </w:r>
      <w:proofErr w:type="spellEnd"/>
      <w:r w:rsidR="00391F4A" w:rsidRPr="005F2315">
        <w:rPr>
          <w:rFonts w:ascii="Arial" w:hAnsi="Arial" w:cs="Arial"/>
          <w:lang w:val="en"/>
        </w:rPr>
        <w:t xml:space="preserve"> tablet [25 mg] once daily) may be used to replace up to 2 consecutive monthly injection visits. </w:t>
      </w:r>
      <w:r w:rsidRPr="0090328A">
        <w:rPr>
          <w:rFonts w:ascii="Arial" w:hAnsi="Arial" w:cs="Arial"/>
          <w:bCs/>
        </w:rPr>
        <w:t>For oral therapy durations greater than two months, an alternative oral regimen is recommended.</w:t>
      </w:r>
    </w:p>
    <w:p w14:paraId="763A4CF2" w14:textId="3ED73E36" w:rsidR="00AB30B1" w:rsidRDefault="00391F4A" w:rsidP="00AB30B1">
      <w:r w:rsidRPr="005F2315">
        <w:rPr>
          <w:rFonts w:ascii="Arial" w:hAnsi="Arial" w:cs="Arial"/>
          <w:lang w:val="en"/>
        </w:rPr>
        <w:t xml:space="preserve">The first dose of oral therapy should be taken approximately one month after the last injection dose of </w:t>
      </w:r>
      <w:proofErr w:type="spellStart"/>
      <w:r w:rsidR="001E3F43">
        <w:rPr>
          <w:rFonts w:ascii="Arial" w:hAnsi="Arial" w:cs="Arial"/>
          <w:lang w:val="en"/>
        </w:rPr>
        <w:t>cabotegravir</w:t>
      </w:r>
      <w:proofErr w:type="spellEnd"/>
      <w:r w:rsidR="001E3F43" w:rsidRPr="005F2315">
        <w:rPr>
          <w:rFonts w:ascii="Arial" w:hAnsi="Arial" w:cs="Arial"/>
          <w:lang w:val="en"/>
        </w:rPr>
        <w:t xml:space="preserve"> </w:t>
      </w:r>
      <w:r w:rsidRPr="005F2315">
        <w:rPr>
          <w:rFonts w:ascii="Arial" w:hAnsi="Arial" w:cs="Arial"/>
          <w:lang w:val="en"/>
        </w:rPr>
        <w:t xml:space="preserve">or </w:t>
      </w:r>
      <w:proofErr w:type="spellStart"/>
      <w:r w:rsidRPr="005F2315">
        <w:rPr>
          <w:rFonts w:ascii="Arial" w:hAnsi="Arial" w:cs="Arial"/>
          <w:lang w:val="en"/>
        </w:rPr>
        <w:t>rilpivirine</w:t>
      </w:r>
      <w:proofErr w:type="spellEnd"/>
      <w:r w:rsidRPr="005F2315">
        <w:rPr>
          <w:rFonts w:ascii="Arial" w:hAnsi="Arial" w:cs="Arial"/>
          <w:lang w:val="en"/>
        </w:rPr>
        <w:t xml:space="preserve">. Injection dosing should be resumed on the </w:t>
      </w:r>
      <w:r w:rsidRPr="00D66292">
        <w:rPr>
          <w:rFonts w:ascii="Arial" w:hAnsi="Arial" w:cs="Arial"/>
          <w:lang w:val="en"/>
        </w:rPr>
        <w:t>day oral dosing completes</w:t>
      </w:r>
      <w:r w:rsidR="00866F3D">
        <w:rPr>
          <w:rFonts w:ascii="Arial" w:hAnsi="Arial" w:cs="Arial"/>
          <w:lang w:val="en"/>
        </w:rPr>
        <w:t>.</w:t>
      </w:r>
      <w:bookmarkEnd w:id="4"/>
      <w:bookmarkEnd w:id="5"/>
    </w:p>
    <w:p w14:paraId="35A6DEEB" w14:textId="77777777" w:rsidR="00335E5C" w:rsidRPr="00335E5C" w:rsidRDefault="00335E5C" w:rsidP="00335E5C">
      <w:pPr>
        <w:pStyle w:val="Heading3"/>
        <w:ind w:left="0"/>
        <w:rPr>
          <w:rFonts w:ascii="Arial" w:hAnsi="Arial" w:cs="Arial"/>
        </w:rPr>
      </w:pPr>
      <w:r w:rsidRPr="00335E5C">
        <w:rPr>
          <w:rFonts w:ascii="Arial" w:hAnsi="Arial" w:cs="Arial"/>
        </w:rPr>
        <w:t>Elderly</w:t>
      </w:r>
    </w:p>
    <w:p w14:paraId="5DC2B2B7" w14:textId="77777777" w:rsidR="00335E5C" w:rsidRPr="00335E5C" w:rsidRDefault="00335E5C" w:rsidP="00335E5C">
      <w:pPr>
        <w:rPr>
          <w:rFonts w:ascii="Arial" w:hAnsi="Arial" w:cs="Arial"/>
          <w:lang w:val="en"/>
        </w:rPr>
      </w:pPr>
      <w:r w:rsidRPr="00335E5C">
        <w:rPr>
          <w:rFonts w:ascii="Arial" w:hAnsi="Arial" w:cs="Arial"/>
          <w:lang w:val="en"/>
        </w:rPr>
        <w:t xml:space="preserve">No dose adjustment is required in elderly patients. There are limited data available on the use of </w:t>
      </w:r>
      <w:proofErr w:type="spellStart"/>
      <w:r w:rsidRPr="00335E5C">
        <w:rPr>
          <w:rFonts w:ascii="Arial" w:hAnsi="Arial" w:cs="Arial"/>
          <w:lang w:val="en"/>
        </w:rPr>
        <w:t>cabotegravir</w:t>
      </w:r>
      <w:proofErr w:type="spellEnd"/>
      <w:r w:rsidRPr="00335E5C">
        <w:rPr>
          <w:rFonts w:ascii="Arial" w:hAnsi="Arial" w:cs="Arial"/>
          <w:lang w:val="en"/>
        </w:rPr>
        <w:t xml:space="preserve"> in patients aged 65 years and over (see section 5.2</w:t>
      </w:r>
      <w:r>
        <w:rPr>
          <w:rFonts w:ascii="Arial" w:hAnsi="Arial" w:cs="Arial"/>
          <w:lang w:val="en"/>
        </w:rPr>
        <w:t xml:space="preserve"> PHARMACOKINETIC PROPERTIES</w:t>
      </w:r>
      <w:r w:rsidR="00766549">
        <w:rPr>
          <w:rFonts w:ascii="Arial" w:hAnsi="Arial" w:cs="Arial"/>
          <w:lang w:val="en"/>
        </w:rPr>
        <w:t xml:space="preserve">, Special </w:t>
      </w:r>
      <w:r w:rsidR="005057D6">
        <w:rPr>
          <w:rFonts w:ascii="Arial" w:hAnsi="Arial" w:cs="Arial"/>
          <w:lang w:val="en"/>
        </w:rPr>
        <w:t xml:space="preserve">patient </w:t>
      </w:r>
      <w:r w:rsidR="00766549">
        <w:rPr>
          <w:rFonts w:ascii="Arial" w:hAnsi="Arial" w:cs="Arial"/>
          <w:lang w:val="en"/>
        </w:rPr>
        <w:t>populations</w:t>
      </w:r>
      <w:r w:rsidRPr="00335E5C">
        <w:rPr>
          <w:rFonts w:ascii="Arial" w:hAnsi="Arial" w:cs="Arial"/>
          <w:lang w:val="en"/>
        </w:rPr>
        <w:t>).</w:t>
      </w:r>
    </w:p>
    <w:p w14:paraId="114EEC0D" w14:textId="77777777" w:rsidR="00335E5C" w:rsidRPr="00335E5C" w:rsidRDefault="00335E5C" w:rsidP="00335E5C">
      <w:pPr>
        <w:pStyle w:val="Heading3"/>
        <w:ind w:left="0"/>
        <w:rPr>
          <w:rFonts w:ascii="Arial" w:hAnsi="Arial" w:cs="Arial"/>
        </w:rPr>
      </w:pPr>
      <w:r w:rsidRPr="00335E5C">
        <w:rPr>
          <w:rFonts w:ascii="Arial" w:hAnsi="Arial" w:cs="Arial"/>
        </w:rPr>
        <w:t xml:space="preserve">Renal impairment </w:t>
      </w:r>
    </w:p>
    <w:p w14:paraId="1BC272D6" w14:textId="77777777" w:rsidR="00335E5C" w:rsidRPr="00335E5C" w:rsidRDefault="00335E5C" w:rsidP="00335E5C">
      <w:pPr>
        <w:rPr>
          <w:rFonts w:ascii="Arial" w:hAnsi="Arial" w:cs="Arial"/>
          <w:lang w:val="en"/>
        </w:rPr>
      </w:pPr>
      <w:r w:rsidRPr="00335E5C">
        <w:rPr>
          <w:rFonts w:ascii="Arial" w:hAnsi="Arial" w:cs="Arial"/>
          <w:lang w:val="en"/>
        </w:rPr>
        <w:t>No dosage adjustment is required in patients with mild to severe renal impairment (</w:t>
      </w:r>
      <w:proofErr w:type="spellStart"/>
      <w:r w:rsidRPr="00335E5C">
        <w:rPr>
          <w:rFonts w:ascii="Arial" w:hAnsi="Arial" w:cs="Arial"/>
          <w:lang w:val="en"/>
        </w:rPr>
        <w:t>CrCL</w:t>
      </w:r>
      <w:proofErr w:type="spellEnd"/>
      <w:r w:rsidRPr="00335E5C">
        <w:rPr>
          <w:rFonts w:ascii="Arial" w:hAnsi="Arial" w:cs="Arial"/>
          <w:lang w:val="en"/>
        </w:rPr>
        <w:t xml:space="preserve"> &lt;30 mL/min</w:t>
      </w:r>
      <w:r>
        <w:rPr>
          <w:rFonts w:ascii="Arial" w:hAnsi="Arial" w:cs="Arial"/>
          <w:lang w:val="en"/>
        </w:rPr>
        <w:t>)</w:t>
      </w:r>
      <w:r w:rsidRPr="00335E5C">
        <w:rPr>
          <w:rFonts w:ascii="Arial" w:hAnsi="Arial" w:cs="Arial"/>
          <w:lang w:val="en"/>
        </w:rPr>
        <w:t xml:space="preserve"> and not on dialysis </w:t>
      </w:r>
      <w:r>
        <w:rPr>
          <w:rFonts w:ascii="Arial" w:hAnsi="Arial" w:cs="Arial"/>
          <w:lang w:val="en"/>
        </w:rPr>
        <w:t>(</w:t>
      </w:r>
      <w:r w:rsidRPr="00335E5C">
        <w:rPr>
          <w:rFonts w:ascii="Arial" w:hAnsi="Arial" w:cs="Arial"/>
          <w:lang w:val="en"/>
        </w:rPr>
        <w:t>see section 5.2</w:t>
      </w:r>
      <w:r>
        <w:rPr>
          <w:rFonts w:ascii="Arial" w:hAnsi="Arial" w:cs="Arial"/>
          <w:lang w:val="en"/>
        </w:rPr>
        <w:t xml:space="preserve"> PHARMACOKINETIC PROPERTIES, Special </w:t>
      </w:r>
      <w:r w:rsidR="005057D6">
        <w:rPr>
          <w:rFonts w:ascii="Arial" w:hAnsi="Arial" w:cs="Arial"/>
          <w:lang w:val="en"/>
        </w:rPr>
        <w:t xml:space="preserve">patient </w:t>
      </w:r>
      <w:r>
        <w:rPr>
          <w:rFonts w:ascii="Arial" w:hAnsi="Arial" w:cs="Arial"/>
          <w:lang w:val="en"/>
        </w:rPr>
        <w:t>populations)</w:t>
      </w:r>
      <w:r w:rsidRPr="00335E5C">
        <w:rPr>
          <w:rFonts w:ascii="Arial" w:hAnsi="Arial" w:cs="Arial"/>
          <w:lang w:val="en"/>
        </w:rPr>
        <w:t>.</w:t>
      </w:r>
    </w:p>
    <w:p w14:paraId="0DBC337E" w14:textId="77777777" w:rsidR="00335E5C" w:rsidRPr="00335E5C" w:rsidRDefault="00335E5C" w:rsidP="00335E5C">
      <w:pPr>
        <w:pStyle w:val="Heading3"/>
        <w:ind w:left="0"/>
        <w:rPr>
          <w:rFonts w:ascii="Arial" w:hAnsi="Arial" w:cs="Arial"/>
        </w:rPr>
      </w:pPr>
      <w:r w:rsidRPr="00335E5C">
        <w:rPr>
          <w:rFonts w:ascii="Arial" w:hAnsi="Arial" w:cs="Arial"/>
        </w:rPr>
        <w:t>Hepatic impairment</w:t>
      </w:r>
    </w:p>
    <w:p w14:paraId="081021A6" w14:textId="77777777" w:rsidR="00335E5C" w:rsidRPr="00335E5C" w:rsidRDefault="00335E5C" w:rsidP="00335E5C">
      <w:pPr>
        <w:rPr>
          <w:rFonts w:ascii="Arial" w:hAnsi="Arial" w:cs="Arial"/>
          <w:lang w:val="en"/>
        </w:rPr>
      </w:pPr>
      <w:r w:rsidRPr="00335E5C">
        <w:rPr>
          <w:rFonts w:ascii="Arial" w:hAnsi="Arial" w:cs="Arial"/>
          <w:lang w:val="en"/>
        </w:rPr>
        <w:t xml:space="preserve">No dosage adjustment is required in patients with mild or moderate hepatic impairment (Child-Pugh score A or B). </w:t>
      </w:r>
      <w:proofErr w:type="spellStart"/>
      <w:r w:rsidRPr="00335E5C">
        <w:rPr>
          <w:rFonts w:ascii="Arial" w:hAnsi="Arial" w:cs="Arial"/>
          <w:lang w:val="en"/>
        </w:rPr>
        <w:t>Cabotegravir</w:t>
      </w:r>
      <w:proofErr w:type="spellEnd"/>
      <w:r w:rsidRPr="00335E5C">
        <w:rPr>
          <w:rFonts w:ascii="Arial" w:hAnsi="Arial" w:cs="Arial"/>
          <w:lang w:val="en"/>
        </w:rPr>
        <w:t xml:space="preserve"> has not been studied in patients with severe hepatic impairment (Child-Pugh score C</w:t>
      </w:r>
      <w:r>
        <w:rPr>
          <w:rFonts w:ascii="Arial" w:hAnsi="Arial" w:cs="Arial"/>
          <w:lang w:val="en"/>
        </w:rPr>
        <w:t>)</w:t>
      </w:r>
      <w:r w:rsidRPr="00335E5C">
        <w:rPr>
          <w:rFonts w:ascii="Arial" w:hAnsi="Arial" w:cs="Arial"/>
          <w:lang w:val="en"/>
        </w:rPr>
        <w:t xml:space="preserve"> </w:t>
      </w:r>
      <w:r>
        <w:rPr>
          <w:rFonts w:ascii="Arial" w:hAnsi="Arial" w:cs="Arial"/>
          <w:lang w:val="en"/>
        </w:rPr>
        <w:t>(</w:t>
      </w:r>
      <w:r w:rsidRPr="00335E5C">
        <w:rPr>
          <w:rFonts w:ascii="Arial" w:hAnsi="Arial" w:cs="Arial"/>
          <w:lang w:val="en"/>
        </w:rPr>
        <w:t>see section 5.2</w:t>
      </w:r>
      <w:r w:rsidR="00766549" w:rsidRPr="00766549">
        <w:rPr>
          <w:rFonts w:ascii="Arial" w:hAnsi="Arial" w:cs="Arial"/>
          <w:lang w:val="en"/>
        </w:rPr>
        <w:t xml:space="preserve"> </w:t>
      </w:r>
      <w:r w:rsidR="00766549">
        <w:rPr>
          <w:rFonts w:ascii="Arial" w:hAnsi="Arial" w:cs="Arial"/>
          <w:lang w:val="en"/>
        </w:rPr>
        <w:t xml:space="preserve">PHARMACOKINETIC PROPERTIES, Special </w:t>
      </w:r>
      <w:r w:rsidR="005057D6">
        <w:rPr>
          <w:rFonts w:ascii="Arial" w:hAnsi="Arial" w:cs="Arial"/>
          <w:lang w:val="en"/>
        </w:rPr>
        <w:t xml:space="preserve">patient </w:t>
      </w:r>
      <w:r w:rsidR="00766549">
        <w:rPr>
          <w:rFonts w:ascii="Arial" w:hAnsi="Arial" w:cs="Arial"/>
          <w:lang w:val="en"/>
        </w:rPr>
        <w:t>populations</w:t>
      </w:r>
      <w:r w:rsidRPr="00335E5C">
        <w:rPr>
          <w:rFonts w:ascii="Arial" w:hAnsi="Arial" w:cs="Arial"/>
          <w:lang w:val="en"/>
        </w:rPr>
        <w:t>).</w:t>
      </w:r>
    </w:p>
    <w:p w14:paraId="6DE78B9C" w14:textId="77777777" w:rsidR="00335E5C" w:rsidRPr="00335E5C" w:rsidRDefault="00335E5C" w:rsidP="00335E5C">
      <w:pPr>
        <w:pStyle w:val="Heading3"/>
        <w:ind w:left="0"/>
        <w:rPr>
          <w:rFonts w:ascii="Arial" w:hAnsi="Arial" w:cs="Arial"/>
        </w:rPr>
      </w:pPr>
      <w:r w:rsidRPr="00335E5C">
        <w:rPr>
          <w:rFonts w:ascii="Arial" w:hAnsi="Arial" w:cs="Arial"/>
        </w:rPr>
        <w:t xml:space="preserve">Paediatric </w:t>
      </w:r>
      <w:r w:rsidR="005057D6">
        <w:rPr>
          <w:rFonts w:ascii="Arial" w:hAnsi="Arial" w:cs="Arial"/>
        </w:rPr>
        <w:t xml:space="preserve">and adolescent </w:t>
      </w:r>
      <w:r w:rsidRPr="00335E5C">
        <w:rPr>
          <w:rFonts w:ascii="Arial" w:hAnsi="Arial" w:cs="Arial"/>
        </w:rPr>
        <w:t>population</w:t>
      </w:r>
    </w:p>
    <w:p w14:paraId="66E3C340" w14:textId="77777777" w:rsidR="00335E5C" w:rsidRPr="00335E5C" w:rsidRDefault="00335E5C" w:rsidP="00335E5C">
      <w:pPr>
        <w:rPr>
          <w:rFonts w:ascii="Arial" w:hAnsi="Arial" w:cs="Arial"/>
          <w:lang w:val="en"/>
        </w:rPr>
      </w:pPr>
      <w:r w:rsidRPr="00335E5C">
        <w:rPr>
          <w:rFonts w:ascii="Arial" w:hAnsi="Arial" w:cs="Arial"/>
          <w:lang w:val="en"/>
        </w:rPr>
        <w:t xml:space="preserve">The safety and efficacy of </w:t>
      </w:r>
      <w:r w:rsidR="00766549" w:rsidRPr="00335E5C">
        <w:rPr>
          <w:rFonts w:ascii="Arial" w:hAnsi="Arial" w:cs="Arial"/>
          <w:lang w:val="en"/>
        </w:rPr>
        <w:t>VOCABRIA</w:t>
      </w:r>
      <w:r w:rsidRPr="00335E5C">
        <w:rPr>
          <w:rFonts w:ascii="Arial" w:hAnsi="Arial" w:cs="Arial"/>
          <w:lang w:val="en"/>
        </w:rPr>
        <w:t xml:space="preserve"> in children and adolescents aged under 18 years has not been established.</w:t>
      </w:r>
    </w:p>
    <w:p w14:paraId="4AC65786" w14:textId="77777777" w:rsidR="00335E5C" w:rsidRPr="00DD2F4B" w:rsidRDefault="00766549" w:rsidP="00DD2F4B">
      <w:pPr>
        <w:pStyle w:val="Heading3"/>
        <w:ind w:left="0"/>
        <w:rPr>
          <w:rFonts w:ascii="Arial" w:hAnsi="Arial" w:cs="Arial"/>
        </w:rPr>
      </w:pPr>
      <w:r w:rsidRPr="00DD2F4B">
        <w:rPr>
          <w:rFonts w:ascii="Arial" w:hAnsi="Arial" w:cs="Arial"/>
        </w:rPr>
        <w:t>Method of Administration</w:t>
      </w:r>
    </w:p>
    <w:p w14:paraId="678E5768" w14:textId="77777777" w:rsidR="00766549" w:rsidRPr="00DD2F4B" w:rsidRDefault="00766549" w:rsidP="00DD2F4B">
      <w:pPr>
        <w:rPr>
          <w:rFonts w:ascii="Arial" w:hAnsi="Arial" w:cs="Arial"/>
          <w:lang w:val="en"/>
        </w:rPr>
      </w:pPr>
      <w:r w:rsidRPr="00DD2F4B">
        <w:rPr>
          <w:rFonts w:ascii="Arial" w:hAnsi="Arial" w:cs="Arial"/>
          <w:lang w:val="en"/>
        </w:rPr>
        <w:t>Oral use.</w:t>
      </w:r>
    </w:p>
    <w:p w14:paraId="5ABC25D1" w14:textId="77777777" w:rsidR="00766549" w:rsidRPr="00DD2F4B" w:rsidRDefault="00DD2F4B" w:rsidP="00DD2F4B">
      <w:pPr>
        <w:rPr>
          <w:rFonts w:ascii="Arial" w:hAnsi="Arial" w:cs="Arial"/>
          <w:lang w:val="en"/>
        </w:rPr>
      </w:pPr>
      <w:r w:rsidRPr="00DD2F4B">
        <w:rPr>
          <w:rFonts w:ascii="Arial" w:hAnsi="Arial" w:cs="Arial"/>
          <w:lang w:val="en"/>
        </w:rPr>
        <w:lastRenderedPageBreak/>
        <w:t>VOCABRIA</w:t>
      </w:r>
      <w:r w:rsidR="00766549" w:rsidRPr="00DD2F4B">
        <w:rPr>
          <w:rFonts w:ascii="Arial" w:hAnsi="Arial" w:cs="Arial"/>
          <w:lang w:val="en"/>
        </w:rPr>
        <w:t xml:space="preserve"> tablets may be taken with or without food. When taken at the same time as </w:t>
      </w:r>
      <w:proofErr w:type="spellStart"/>
      <w:r w:rsidR="00766549" w:rsidRPr="00DD2F4B">
        <w:rPr>
          <w:rFonts w:ascii="Arial" w:hAnsi="Arial" w:cs="Arial"/>
          <w:lang w:val="en"/>
        </w:rPr>
        <w:t>rilpivirine</w:t>
      </w:r>
      <w:proofErr w:type="spellEnd"/>
      <w:r w:rsidR="00766549" w:rsidRPr="00DD2F4B">
        <w:rPr>
          <w:rFonts w:ascii="Arial" w:hAnsi="Arial" w:cs="Arial"/>
          <w:lang w:val="en"/>
        </w:rPr>
        <w:t xml:space="preserve"> tablets, </w:t>
      </w:r>
      <w:r w:rsidRPr="00DD2F4B">
        <w:rPr>
          <w:rFonts w:ascii="Arial" w:hAnsi="Arial" w:cs="Arial"/>
          <w:lang w:val="en"/>
        </w:rPr>
        <w:t>VOCABRIA</w:t>
      </w:r>
      <w:r w:rsidR="00766549" w:rsidRPr="00DD2F4B">
        <w:rPr>
          <w:rFonts w:ascii="Arial" w:hAnsi="Arial" w:cs="Arial"/>
          <w:lang w:val="en"/>
        </w:rPr>
        <w:t> tablets should be taken with a meal.</w:t>
      </w:r>
    </w:p>
    <w:p w14:paraId="35516D3E"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CONTRAINDICATIONS</w:t>
      </w:r>
    </w:p>
    <w:p w14:paraId="0FD8B9D8" w14:textId="77777777" w:rsidR="00DD2F4B" w:rsidRPr="00614781" w:rsidRDefault="00DD2F4B" w:rsidP="00614781">
      <w:pPr>
        <w:rPr>
          <w:rFonts w:ascii="Arial" w:hAnsi="Arial" w:cs="Arial"/>
          <w:lang w:val="en"/>
        </w:rPr>
      </w:pPr>
      <w:bookmarkStart w:id="6" w:name="_Hlk6229737"/>
      <w:r w:rsidRPr="00614781">
        <w:rPr>
          <w:rFonts w:ascii="Arial" w:hAnsi="Arial" w:cs="Arial"/>
          <w:lang w:val="en"/>
        </w:rPr>
        <w:t>VOCABRIA is contraindicated in patient</w:t>
      </w:r>
      <w:r w:rsidR="00614781">
        <w:rPr>
          <w:rFonts w:ascii="Arial" w:hAnsi="Arial" w:cs="Arial"/>
          <w:lang w:val="en"/>
        </w:rPr>
        <w:t>s</w:t>
      </w:r>
      <w:r w:rsidRPr="00614781">
        <w:rPr>
          <w:rFonts w:ascii="Arial" w:hAnsi="Arial" w:cs="Arial"/>
          <w:lang w:val="en"/>
        </w:rPr>
        <w:t>:</w:t>
      </w:r>
    </w:p>
    <w:p w14:paraId="085E508A" w14:textId="77777777" w:rsidR="00DD2F4B" w:rsidRPr="00614781" w:rsidRDefault="00614781" w:rsidP="00B9290E">
      <w:pPr>
        <w:pStyle w:val="ListParagraph"/>
        <w:numPr>
          <w:ilvl w:val="0"/>
          <w:numId w:val="12"/>
        </w:numPr>
        <w:rPr>
          <w:rFonts w:ascii="Arial" w:hAnsi="Arial" w:cs="Arial"/>
          <w:lang w:val="en"/>
        </w:rPr>
      </w:pPr>
      <w:r>
        <w:rPr>
          <w:rFonts w:ascii="Arial" w:hAnsi="Arial" w:cs="Arial"/>
          <w:lang w:val="en"/>
        </w:rPr>
        <w:t>w</w:t>
      </w:r>
      <w:r w:rsidR="00DD2F4B" w:rsidRPr="00614781">
        <w:rPr>
          <w:rFonts w:ascii="Arial" w:hAnsi="Arial" w:cs="Arial"/>
          <w:lang w:val="en"/>
        </w:rPr>
        <w:t xml:space="preserve">ith known hypersensitivity to </w:t>
      </w:r>
      <w:proofErr w:type="spellStart"/>
      <w:r w:rsidR="00DD2F4B" w:rsidRPr="00614781">
        <w:rPr>
          <w:rFonts w:ascii="Arial" w:hAnsi="Arial" w:cs="Arial"/>
          <w:lang w:val="en"/>
        </w:rPr>
        <w:t>cabotegravir</w:t>
      </w:r>
      <w:proofErr w:type="spellEnd"/>
      <w:r w:rsidR="00DD2F4B" w:rsidRPr="00614781">
        <w:rPr>
          <w:rFonts w:ascii="Arial" w:hAnsi="Arial" w:cs="Arial"/>
          <w:lang w:val="en"/>
        </w:rPr>
        <w:t xml:space="preserve"> or to any of the excipients listed in section 6.1.</w:t>
      </w:r>
    </w:p>
    <w:p w14:paraId="25447309" w14:textId="77777777" w:rsidR="00DD2F4B" w:rsidRPr="00614781" w:rsidRDefault="00DD2F4B" w:rsidP="00B9290E">
      <w:pPr>
        <w:pStyle w:val="ListParagraph"/>
        <w:numPr>
          <w:ilvl w:val="0"/>
          <w:numId w:val="12"/>
        </w:numPr>
        <w:rPr>
          <w:rFonts w:ascii="Arial" w:hAnsi="Arial" w:cs="Arial"/>
          <w:lang w:val="en"/>
        </w:rPr>
      </w:pPr>
      <w:bookmarkStart w:id="7" w:name="_Hlk6240326"/>
      <w:r w:rsidRPr="00614781">
        <w:rPr>
          <w:rFonts w:ascii="Arial" w:hAnsi="Arial" w:cs="Arial"/>
          <w:lang w:val="en"/>
        </w:rPr>
        <w:t xml:space="preserve">receiving rifampicin, </w:t>
      </w:r>
      <w:proofErr w:type="spellStart"/>
      <w:r w:rsidRPr="00614781">
        <w:rPr>
          <w:rFonts w:ascii="Arial" w:hAnsi="Arial" w:cs="Arial"/>
          <w:lang w:val="en"/>
        </w:rPr>
        <w:t>rifapentine</w:t>
      </w:r>
      <w:proofErr w:type="spellEnd"/>
      <w:r w:rsidRPr="00614781">
        <w:rPr>
          <w:rFonts w:ascii="Arial" w:hAnsi="Arial" w:cs="Arial"/>
          <w:lang w:val="en"/>
        </w:rPr>
        <w:t>, phenytoin</w:t>
      </w:r>
      <w:r w:rsidR="00614781" w:rsidRPr="00614781">
        <w:rPr>
          <w:rFonts w:ascii="Arial" w:hAnsi="Arial" w:cs="Arial"/>
          <w:lang w:val="en"/>
        </w:rPr>
        <w:t xml:space="preserve">, </w:t>
      </w:r>
      <w:r w:rsidRPr="00614781">
        <w:rPr>
          <w:rFonts w:ascii="Arial" w:hAnsi="Arial" w:cs="Arial"/>
          <w:lang w:val="en"/>
        </w:rPr>
        <w:t>phenobarbital carbamazepine</w:t>
      </w:r>
      <w:r w:rsidR="00614781" w:rsidRPr="00614781">
        <w:rPr>
          <w:rFonts w:ascii="Arial" w:hAnsi="Arial" w:cs="Arial"/>
          <w:lang w:val="en"/>
        </w:rPr>
        <w:t xml:space="preserve"> and</w:t>
      </w:r>
      <w:r w:rsidRPr="00614781">
        <w:rPr>
          <w:rFonts w:ascii="Arial" w:hAnsi="Arial" w:cs="Arial"/>
          <w:lang w:val="en"/>
        </w:rPr>
        <w:t xml:space="preserve"> oxcarbazepine</w:t>
      </w:r>
      <w:r w:rsidR="00614781" w:rsidRPr="00614781">
        <w:rPr>
          <w:rFonts w:ascii="Arial" w:hAnsi="Arial" w:cs="Arial"/>
          <w:lang w:val="en"/>
        </w:rPr>
        <w:t xml:space="preserve"> </w:t>
      </w:r>
      <w:r w:rsidRPr="00614781">
        <w:rPr>
          <w:rFonts w:ascii="Arial" w:hAnsi="Arial" w:cs="Arial"/>
          <w:lang w:val="en"/>
        </w:rPr>
        <w:t>(see section 4.5</w:t>
      </w:r>
      <w:r w:rsidR="00614781" w:rsidRPr="00614781">
        <w:rPr>
          <w:rFonts w:ascii="Arial" w:hAnsi="Arial" w:cs="Arial"/>
          <w:lang w:val="en"/>
        </w:rPr>
        <w:t xml:space="preserve"> INTERACTIONS WITH OTHER MEDICINES AND OTHER FORMS OF INTERACTIONS</w:t>
      </w:r>
      <w:r w:rsidRPr="00614781">
        <w:rPr>
          <w:rFonts w:ascii="Arial" w:hAnsi="Arial" w:cs="Arial"/>
          <w:lang w:val="en"/>
        </w:rPr>
        <w:t>).</w:t>
      </w:r>
    </w:p>
    <w:bookmarkEnd w:id="7"/>
    <w:p w14:paraId="4DFDDCE3" w14:textId="77777777" w:rsidR="00DD2F4B" w:rsidRPr="00614781" w:rsidRDefault="00DD2F4B" w:rsidP="00614781">
      <w:pPr>
        <w:rPr>
          <w:rFonts w:ascii="Arial" w:hAnsi="Arial" w:cs="Arial"/>
          <w:lang w:val="en"/>
        </w:rPr>
      </w:pPr>
      <w:r w:rsidRPr="00614781">
        <w:rPr>
          <w:rFonts w:ascii="Arial" w:hAnsi="Arial" w:cs="Arial"/>
          <w:lang w:val="en"/>
        </w:rPr>
        <w:t xml:space="preserve">VOCABRIA is only indicated for treatment of HIV-1 in combination with </w:t>
      </w:r>
      <w:proofErr w:type="spellStart"/>
      <w:r w:rsidRPr="00614781">
        <w:rPr>
          <w:rFonts w:ascii="Arial" w:hAnsi="Arial" w:cs="Arial"/>
          <w:lang w:val="en"/>
        </w:rPr>
        <w:t>rilpivirine</w:t>
      </w:r>
      <w:proofErr w:type="spellEnd"/>
      <w:r w:rsidRPr="00614781">
        <w:rPr>
          <w:rFonts w:ascii="Arial" w:hAnsi="Arial" w:cs="Arial"/>
          <w:lang w:val="en"/>
        </w:rPr>
        <w:t xml:space="preserve">, therefore, the prescribing information for </w:t>
      </w:r>
      <w:proofErr w:type="spellStart"/>
      <w:r w:rsidRPr="00614781">
        <w:rPr>
          <w:rFonts w:ascii="Arial" w:hAnsi="Arial" w:cs="Arial"/>
          <w:lang w:val="en"/>
        </w:rPr>
        <w:t>rilpivirine</w:t>
      </w:r>
      <w:proofErr w:type="spellEnd"/>
      <w:r w:rsidRPr="00614781">
        <w:rPr>
          <w:rFonts w:ascii="Arial" w:hAnsi="Arial" w:cs="Arial"/>
          <w:lang w:val="en"/>
        </w:rPr>
        <w:t xml:space="preserve"> should also be consulted.</w:t>
      </w:r>
    </w:p>
    <w:bookmarkEnd w:id="6"/>
    <w:p w14:paraId="1F0FC848" w14:textId="77777777" w:rsidR="00071855" w:rsidRPr="006E595D"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WARNINGS AND PRECAUTIONS FOR USE</w:t>
      </w:r>
    </w:p>
    <w:p w14:paraId="3B834780" w14:textId="77777777" w:rsidR="001A3992" w:rsidRPr="00614781" w:rsidRDefault="00614781" w:rsidP="005617F2">
      <w:pPr>
        <w:pStyle w:val="Heading3"/>
        <w:ind w:left="0"/>
        <w:rPr>
          <w:rFonts w:ascii="Arial" w:hAnsi="Arial" w:cs="Arial"/>
        </w:rPr>
      </w:pPr>
      <w:r w:rsidRPr="00614781">
        <w:rPr>
          <w:rFonts w:ascii="Arial" w:hAnsi="Arial" w:cs="Arial"/>
        </w:rPr>
        <w:t>Hypersensitivity reactions</w:t>
      </w:r>
    </w:p>
    <w:p w14:paraId="365ACF12" w14:textId="7B5ABCE3" w:rsidR="00614781" w:rsidRDefault="00614781" w:rsidP="000D668F">
      <w:pPr>
        <w:rPr>
          <w:rFonts w:ascii="Arial" w:hAnsi="Arial" w:cs="Arial"/>
          <w:lang w:val="en"/>
        </w:rPr>
      </w:pPr>
      <w:r w:rsidRPr="00614781">
        <w:rPr>
          <w:rFonts w:ascii="Arial" w:hAnsi="Arial" w:cs="Arial"/>
          <w:lang w:val="en"/>
        </w:rPr>
        <w:t xml:space="preserve">Hypersensitivity reactions have been reported in association with other integrase inhibitors. These reactions were </w:t>
      </w:r>
      <w:proofErr w:type="spellStart"/>
      <w:r w:rsidRPr="00614781">
        <w:rPr>
          <w:rFonts w:ascii="Arial" w:hAnsi="Arial" w:cs="Arial"/>
          <w:lang w:val="en"/>
        </w:rPr>
        <w:t>characterised</w:t>
      </w:r>
      <w:proofErr w:type="spellEnd"/>
      <w:r w:rsidRPr="00614781">
        <w:rPr>
          <w:rFonts w:ascii="Arial" w:hAnsi="Arial" w:cs="Arial"/>
          <w:lang w:val="en"/>
        </w:rPr>
        <w:t xml:space="preserve"> by rash, constitutional findings and sometimes organ dysfunction, including liver injury. While no such reactions have been observed to date in association with VOCABRIA, physicians should remain vigilant and should discontinue VOCABRIA and other suspected medicinal products immediately, should signs or symptoms of hypersensitivity develop (including, but not limited to, severe rash, or rash accompanied by fever, general malaise, fatigue, muscle or joint aches, blisters, oral lesions, conjunctivitis, facial </w:t>
      </w:r>
      <w:proofErr w:type="spellStart"/>
      <w:r w:rsidRPr="00614781">
        <w:rPr>
          <w:rFonts w:ascii="Arial" w:hAnsi="Arial" w:cs="Arial"/>
          <w:lang w:val="en"/>
        </w:rPr>
        <w:t>oedema</w:t>
      </w:r>
      <w:proofErr w:type="spellEnd"/>
      <w:r w:rsidRPr="00614781">
        <w:rPr>
          <w:rFonts w:ascii="Arial" w:hAnsi="Arial" w:cs="Arial"/>
          <w:lang w:val="en"/>
        </w:rPr>
        <w:t xml:space="preserve">, hepatitis, eosinophilia or angioedema). Clinical status, including liver aminotransferases should be monitored and appropriate therapy initiated. Administration of oral lead-in is recommended to help identify patients who may be at risk of a hypersensitivity reaction (see section 4.2 DOSAGE AND METHOD OF ADMINISTRATION, </w:t>
      </w:r>
      <w:r w:rsidR="005057D6">
        <w:rPr>
          <w:rFonts w:ascii="Arial" w:hAnsi="Arial" w:cs="Arial"/>
          <w:lang w:val="en"/>
        </w:rPr>
        <w:t xml:space="preserve">4.3  CONTRAINDICATIONS </w:t>
      </w:r>
      <w:r w:rsidRPr="00614781">
        <w:rPr>
          <w:rFonts w:ascii="Arial" w:hAnsi="Arial" w:cs="Arial"/>
          <w:lang w:val="en"/>
        </w:rPr>
        <w:t xml:space="preserve">and </w:t>
      </w:r>
      <w:r w:rsidR="00041420">
        <w:rPr>
          <w:rFonts w:ascii="Arial" w:hAnsi="Arial" w:cs="Arial"/>
          <w:lang w:val="en"/>
        </w:rPr>
        <w:t>prolonged-release</w:t>
      </w:r>
      <w:r w:rsidRPr="00614781">
        <w:rPr>
          <w:rFonts w:ascii="Arial" w:hAnsi="Arial" w:cs="Arial"/>
          <w:lang w:val="en"/>
        </w:rPr>
        <w:t xml:space="preserve"> properties of </w:t>
      </w:r>
      <w:proofErr w:type="spellStart"/>
      <w:r w:rsidR="001E3F43">
        <w:rPr>
          <w:rFonts w:ascii="Arial" w:hAnsi="Arial" w:cs="Arial"/>
          <w:lang w:val="en"/>
        </w:rPr>
        <w:t>cabotegravir</w:t>
      </w:r>
      <w:proofErr w:type="spellEnd"/>
      <w:r w:rsidRPr="00614781">
        <w:rPr>
          <w:rFonts w:ascii="Arial" w:hAnsi="Arial" w:cs="Arial"/>
          <w:lang w:val="en"/>
        </w:rPr>
        <w:t xml:space="preserve"> injection below).</w:t>
      </w:r>
    </w:p>
    <w:p w14:paraId="54C6A9A6" w14:textId="77777777" w:rsidR="00614781" w:rsidRPr="003E6706" w:rsidRDefault="00614781" w:rsidP="005617F2">
      <w:pPr>
        <w:pStyle w:val="Heading3"/>
        <w:ind w:left="0"/>
        <w:rPr>
          <w:rFonts w:ascii="Arial" w:hAnsi="Arial" w:cs="Arial"/>
        </w:rPr>
      </w:pPr>
      <w:r w:rsidRPr="003E6706">
        <w:rPr>
          <w:rFonts w:ascii="Arial" w:hAnsi="Arial" w:cs="Arial"/>
        </w:rPr>
        <w:t>Hepatotoxicity</w:t>
      </w:r>
    </w:p>
    <w:p w14:paraId="6467236A" w14:textId="77777777" w:rsidR="003E6706" w:rsidRPr="003E6706" w:rsidRDefault="003E6706" w:rsidP="00E728C5">
      <w:pPr>
        <w:rPr>
          <w:rFonts w:ascii="Arial" w:hAnsi="Arial" w:cs="Arial"/>
          <w:lang w:val="en"/>
        </w:rPr>
      </w:pPr>
      <w:r w:rsidRPr="003E6706">
        <w:rPr>
          <w:rFonts w:ascii="Arial" w:hAnsi="Arial" w:cs="Arial"/>
          <w:lang w:val="en"/>
        </w:rPr>
        <w:t xml:space="preserve">Hepatotoxicity has been reported in a limited number of patients receiving </w:t>
      </w:r>
      <w:proofErr w:type="spellStart"/>
      <w:r w:rsidRPr="003E6706">
        <w:rPr>
          <w:rFonts w:ascii="Arial" w:hAnsi="Arial" w:cs="Arial"/>
          <w:lang w:val="en"/>
        </w:rPr>
        <w:t>cabotegravir</w:t>
      </w:r>
      <w:proofErr w:type="spellEnd"/>
      <w:r w:rsidRPr="003E6706">
        <w:rPr>
          <w:rFonts w:ascii="Arial" w:hAnsi="Arial" w:cs="Arial"/>
          <w:lang w:val="en"/>
        </w:rPr>
        <w:t xml:space="preserve"> with or without known pre-existing hepatic disease (see section 4.8</w:t>
      </w:r>
      <w:r>
        <w:rPr>
          <w:rFonts w:ascii="Arial" w:hAnsi="Arial" w:cs="Arial"/>
          <w:lang w:val="en"/>
        </w:rPr>
        <w:t xml:space="preserve"> ADVERSE EFFECTS (UNDESIRABLE EFFECTS)</w:t>
      </w:r>
      <w:r w:rsidRPr="003E6706">
        <w:rPr>
          <w:rFonts w:ascii="Arial" w:hAnsi="Arial" w:cs="Arial"/>
          <w:lang w:val="en"/>
        </w:rPr>
        <w:t>).</w:t>
      </w:r>
    </w:p>
    <w:p w14:paraId="63C678BD" w14:textId="1A46AB2A" w:rsidR="003E6706" w:rsidRPr="003E6706" w:rsidRDefault="003E6706" w:rsidP="00C94936">
      <w:pPr>
        <w:rPr>
          <w:rFonts w:ascii="Arial" w:hAnsi="Arial" w:cs="Arial"/>
          <w:lang w:val="en"/>
        </w:rPr>
      </w:pPr>
      <w:r w:rsidRPr="003E6706">
        <w:rPr>
          <w:rFonts w:ascii="Arial" w:hAnsi="Arial" w:cs="Arial"/>
          <w:lang w:val="en"/>
        </w:rPr>
        <w:t>Monitoring of liver chemistries is recommended and treatment with VOCABRIA should be discontinued if hepatotoxicity is suspected</w:t>
      </w:r>
      <w:r w:rsidR="003976D2">
        <w:rPr>
          <w:rFonts w:ascii="Arial" w:hAnsi="Arial" w:cs="Arial"/>
          <w:lang w:val="en"/>
        </w:rPr>
        <w:t>.</w:t>
      </w:r>
      <w:r w:rsidRPr="003E6706">
        <w:rPr>
          <w:rFonts w:ascii="Arial" w:hAnsi="Arial" w:cs="Arial"/>
          <w:lang w:val="en"/>
        </w:rPr>
        <w:t xml:space="preserve"> </w:t>
      </w:r>
    </w:p>
    <w:p w14:paraId="7EFC92EF" w14:textId="77777777" w:rsidR="003E6706" w:rsidRPr="003E6706" w:rsidRDefault="003E6706" w:rsidP="005617F2">
      <w:pPr>
        <w:pStyle w:val="Heading3"/>
        <w:ind w:left="0"/>
        <w:rPr>
          <w:rFonts w:ascii="Arial" w:hAnsi="Arial" w:cs="Arial"/>
        </w:rPr>
      </w:pPr>
      <w:bookmarkStart w:id="8" w:name="_Hlk2941882"/>
      <w:r w:rsidRPr="003E6706">
        <w:rPr>
          <w:rFonts w:ascii="Arial" w:hAnsi="Arial" w:cs="Arial"/>
        </w:rPr>
        <w:t>Risk of resistance following treatment discontinuation</w:t>
      </w:r>
    </w:p>
    <w:p w14:paraId="3A9DDBED" w14:textId="21238BB5" w:rsidR="003E6706" w:rsidRDefault="003E6706" w:rsidP="00E728C5">
      <w:pPr>
        <w:rPr>
          <w:rFonts w:ascii="Arial" w:hAnsi="Arial" w:cs="Arial"/>
          <w:lang w:val="en"/>
        </w:rPr>
      </w:pPr>
      <w:r w:rsidRPr="003E6706">
        <w:rPr>
          <w:rFonts w:ascii="Arial" w:hAnsi="Arial" w:cs="Arial"/>
          <w:lang w:val="en"/>
        </w:rPr>
        <w:t xml:space="preserve">To </w:t>
      </w:r>
      <w:proofErr w:type="spellStart"/>
      <w:r w:rsidRPr="003E6706">
        <w:rPr>
          <w:rFonts w:ascii="Arial" w:hAnsi="Arial" w:cs="Arial"/>
          <w:lang w:val="en"/>
        </w:rPr>
        <w:t>minimise</w:t>
      </w:r>
      <w:proofErr w:type="spellEnd"/>
      <w:r w:rsidRPr="003E6706">
        <w:rPr>
          <w:rFonts w:ascii="Arial" w:hAnsi="Arial" w:cs="Arial"/>
          <w:lang w:val="en"/>
        </w:rPr>
        <w:t xml:space="preserve"> the risk of developing viral resistance it is essential to adopt an alternative, fully suppressive</w:t>
      </w:r>
      <w:r w:rsidR="00C03D04">
        <w:rPr>
          <w:rFonts w:ascii="Arial" w:hAnsi="Arial" w:cs="Arial"/>
          <w:lang w:val="en"/>
        </w:rPr>
        <w:t>,</w:t>
      </w:r>
      <w:r w:rsidRPr="003E6706">
        <w:rPr>
          <w:rFonts w:ascii="Arial" w:hAnsi="Arial" w:cs="Arial"/>
          <w:lang w:val="en"/>
        </w:rPr>
        <w:t xml:space="preserve"> antiretroviral regimen no later than one month after the final injection of</w:t>
      </w:r>
      <w:r w:rsidR="00BC16D4" w:rsidRPr="0090328A">
        <w:rPr>
          <w:rFonts w:ascii="Arial" w:hAnsi="Arial" w:cs="Arial"/>
          <w:lang w:val="en"/>
        </w:rPr>
        <w:t xml:space="preserve"> </w:t>
      </w:r>
      <w:proofErr w:type="spellStart"/>
      <w:r w:rsidR="00BC16D4" w:rsidRPr="0090328A">
        <w:rPr>
          <w:rFonts w:ascii="Arial" w:hAnsi="Arial" w:cs="Arial"/>
          <w:lang w:val="en"/>
        </w:rPr>
        <w:t>cabotegravir</w:t>
      </w:r>
      <w:proofErr w:type="spellEnd"/>
      <w:r w:rsidR="00BC16D4" w:rsidRPr="0090328A">
        <w:rPr>
          <w:rFonts w:ascii="Arial" w:hAnsi="Arial" w:cs="Arial"/>
          <w:lang w:val="en"/>
        </w:rPr>
        <w:t xml:space="preserve"> when dosed monthly and no later than two months after the final injection of </w:t>
      </w:r>
      <w:proofErr w:type="spellStart"/>
      <w:r w:rsidR="00BC16D4" w:rsidRPr="0090328A">
        <w:rPr>
          <w:rFonts w:ascii="Arial" w:hAnsi="Arial" w:cs="Arial"/>
          <w:lang w:val="en"/>
        </w:rPr>
        <w:t>cabotegravir</w:t>
      </w:r>
      <w:proofErr w:type="spellEnd"/>
      <w:r w:rsidR="00BC16D4" w:rsidRPr="0090328A">
        <w:rPr>
          <w:rFonts w:ascii="Arial" w:hAnsi="Arial" w:cs="Arial"/>
          <w:lang w:val="en"/>
        </w:rPr>
        <w:t xml:space="preserve"> when dosed every 2 months.</w:t>
      </w:r>
      <w:r w:rsidRPr="003E6706">
        <w:rPr>
          <w:rFonts w:ascii="Arial" w:hAnsi="Arial" w:cs="Arial"/>
          <w:lang w:val="en"/>
        </w:rPr>
        <w:t xml:space="preserve">. </w:t>
      </w:r>
    </w:p>
    <w:p w14:paraId="550AF986" w14:textId="30936B2D" w:rsidR="003E6706" w:rsidRDefault="003E6706" w:rsidP="003E6706">
      <w:pPr>
        <w:tabs>
          <w:tab w:val="left" w:pos="720"/>
        </w:tabs>
        <w:spacing w:line="240" w:lineRule="auto"/>
        <w:rPr>
          <w:rFonts w:ascii="Arial" w:hAnsi="Arial" w:cs="Arial"/>
          <w:lang w:val="en"/>
        </w:rPr>
      </w:pPr>
      <w:r w:rsidRPr="003E6706">
        <w:rPr>
          <w:rFonts w:ascii="Arial" w:hAnsi="Arial" w:cs="Arial"/>
          <w:lang w:val="en"/>
        </w:rPr>
        <w:t xml:space="preserve">If </w:t>
      </w:r>
      <w:proofErr w:type="spellStart"/>
      <w:r w:rsidRPr="003E6706">
        <w:rPr>
          <w:rFonts w:ascii="Arial" w:hAnsi="Arial" w:cs="Arial"/>
          <w:lang w:val="en"/>
        </w:rPr>
        <w:t>virologic</w:t>
      </w:r>
      <w:proofErr w:type="spellEnd"/>
      <w:r w:rsidRPr="003E6706">
        <w:rPr>
          <w:rFonts w:ascii="Arial" w:hAnsi="Arial" w:cs="Arial"/>
          <w:lang w:val="en"/>
        </w:rPr>
        <w:t xml:space="preserve"> failure is suspected, an alternative regimen should be adopted as soon as possible.</w:t>
      </w:r>
    </w:p>
    <w:p w14:paraId="2608D68E" w14:textId="77777777" w:rsidR="00CB2FD0" w:rsidRPr="00BB1B96" w:rsidRDefault="00CB2FD0" w:rsidP="00BB1B96">
      <w:pPr>
        <w:pStyle w:val="Heading3"/>
        <w:ind w:left="0"/>
        <w:rPr>
          <w:rFonts w:ascii="Arial" w:hAnsi="Arial" w:cs="Arial"/>
        </w:rPr>
      </w:pPr>
      <w:r w:rsidRPr="00BB1B96">
        <w:rPr>
          <w:rFonts w:ascii="Arial" w:hAnsi="Arial" w:cs="Arial"/>
        </w:rPr>
        <w:lastRenderedPageBreak/>
        <w:t>Baseline factors associated with virological failure</w:t>
      </w:r>
    </w:p>
    <w:p w14:paraId="22836C40" w14:textId="6BB3737F" w:rsidR="00CB2FD0" w:rsidRPr="00BB1B96" w:rsidRDefault="00CB2FD0" w:rsidP="00BB1B96">
      <w:pPr>
        <w:pStyle w:val="StyleDefaultJustified"/>
        <w:keepNext/>
        <w:spacing w:before="0"/>
        <w:ind w:right="-142"/>
        <w:jc w:val="left"/>
        <w:rPr>
          <w:rFonts w:ascii="Arial" w:eastAsiaTheme="minorHAnsi" w:hAnsi="Arial" w:cs="Arial"/>
          <w:color w:val="auto"/>
          <w:sz w:val="22"/>
          <w:szCs w:val="22"/>
          <w:lang w:val="en" w:eastAsia="en-US"/>
        </w:rPr>
      </w:pPr>
      <w:r w:rsidRPr="00BB1B96">
        <w:rPr>
          <w:rFonts w:ascii="Arial" w:eastAsiaTheme="minorHAnsi" w:hAnsi="Arial" w:cs="Arial"/>
          <w:color w:val="auto"/>
          <w:sz w:val="22"/>
          <w:szCs w:val="22"/>
          <w:lang w:val="en" w:eastAsia="en-US"/>
        </w:rPr>
        <w:t xml:space="preserve">Before starting the regimen, it should be taken into account that multivariable analyses indicate that a combination of at least 2 of the following baseline factors may be associated with an increased risk of </w:t>
      </w:r>
      <w:proofErr w:type="spellStart"/>
      <w:r w:rsidRPr="00BB1B96">
        <w:rPr>
          <w:rFonts w:ascii="Arial" w:eastAsiaTheme="minorHAnsi" w:hAnsi="Arial" w:cs="Arial"/>
          <w:color w:val="auto"/>
          <w:sz w:val="22"/>
          <w:szCs w:val="22"/>
          <w:lang w:val="en" w:eastAsia="en-US"/>
        </w:rPr>
        <w:t>virological</w:t>
      </w:r>
      <w:proofErr w:type="spellEnd"/>
      <w:r w:rsidRPr="00BB1B96">
        <w:rPr>
          <w:rFonts w:ascii="Arial" w:eastAsiaTheme="minorHAnsi" w:hAnsi="Arial" w:cs="Arial"/>
          <w:color w:val="auto"/>
          <w:sz w:val="22"/>
          <w:szCs w:val="22"/>
          <w:lang w:val="en" w:eastAsia="en-US"/>
        </w:rPr>
        <w:t xml:space="preserve"> failure: archived </w:t>
      </w:r>
      <w:proofErr w:type="spellStart"/>
      <w:r w:rsidRPr="00BB1B96">
        <w:rPr>
          <w:rFonts w:ascii="Arial" w:eastAsiaTheme="minorHAnsi" w:hAnsi="Arial" w:cs="Arial"/>
          <w:color w:val="auto"/>
          <w:sz w:val="22"/>
          <w:szCs w:val="22"/>
          <w:lang w:val="en" w:eastAsia="en-US"/>
        </w:rPr>
        <w:t>rilpivirine</w:t>
      </w:r>
      <w:proofErr w:type="spellEnd"/>
      <w:r w:rsidRPr="00BB1B96">
        <w:rPr>
          <w:rFonts w:ascii="Arial" w:eastAsiaTheme="minorHAnsi" w:hAnsi="Arial" w:cs="Arial"/>
          <w:color w:val="auto"/>
          <w:sz w:val="22"/>
          <w:szCs w:val="22"/>
          <w:lang w:val="en" w:eastAsia="en-US"/>
        </w:rPr>
        <w:t xml:space="preserve"> resistance mutations, HIV-1 subtype A6/A1, or BMI </w:t>
      </w:r>
      <w:r w:rsidRPr="00BB1B96">
        <w:rPr>
          <w:rFonts w:ascii="Arial" w:eastAsiaTheme="minorHAnsi" w:hAnsi="Arial" w:cs="Arial"/>
          <w:color w:val="auto"/>
          <w:sz w:val="22"/>
          <w:szCs w:val="22"/>
          <w:lang w:val="en" w:eastAsia="en-US"/>
        </w:rPr>
        <w:sym w:font="Symbol" w:char="F0B3"/>
      </w:r>
      <w:r w:rsidRPr="00BB1B96">
        <w:rPr>
          <w:rFonts w:ascii="Arial" w:eastAsiaTheme="minorHAnsi" w:hAnsi="Arial" w:cs="Arial"/>
          <w:color w:val="auto"/>
          <w:sz w:val="22"/>
          <w:szCs w:val="22"/>
          <w:lang w:val="en" w:eastAsia="en-US"/>
        </w:rPr>
        <w:t xml:space="preserve">30 kg/m2. In patients with an incomplete or uncertain treatment history without pre-treatment resistance analyses, caution is warranted in the presence of either BMI </w:t>
      </w:r>
      <w:r w:rsidRPr="00BB1B96">
        <w:rPr>
          <w:rFonts w:ascii="Arial" w:eastAsiaTheme="minorHAnsi" w:hAnsi="Arial" w:cs="Arial"/>
          <w:color w:val="auto"/>
          <w:sz w:val="22"/>
          <w:szCs w:val="22"/>
          <w:lang w:val="en" w:eastAsia="en-US"/>
        </w:rPr>
        <w:sym w:font="Symbol" w:char="F0B3"/>
      </w:r>
      <w:r w:rsidRPr="00BB1B96">
        <w:rPr>
          <w:rFonts w:ascii="Arial" w:eastAsiaTheme="minorHAnsi" w:hAnsi="Arial" w:cs="Arial"/>
          <w:color w:val="auto"/>
          <w:sz w:val="22"/>
          <w:szCs w:val="22"/>
          <w:lang w:val="en" w:eastAsia="en-US"/>
        </w:rPr>
        <w:t xml:space="preserve">30 kg/m2 or HIV-1 A6/A1 subtype (see section </w:t>
      </w:r>
      <w:bookmarkStart w:id="9" w:name="_Hlk56157692"/>
      <w:r w:rsidRPr="00BB1B96">
        <w:rPr>
          <w:rFonts w:ascii="Arial" w:eastAsiaTheme="minorHAnsi" w:hAnsi="Arial" w:cs="Arial"/>
          <w:color w:val="auto"/>
          <w:sz w:val="22"/>
          <w:szCs w:val="22"/>
          <w:lang w:val="en" w:eastAsia="en-US"/>
        </w:rPr>
        <w:t>5.1 PHARMACODYNAMIC PROPERTIES</w:t>
      </w:r>
      <w:bookmarkEnd w:id="9"/>
      <w:r w:rsidRPr="00BB1B96">
        <w:rPr>
          <w:rFonts w:ascii="Arial" w:eastAsiaTheme="minorHAnsi" w:hAnsi="Arial" w:cs="Arial"/>
          <w:color w:val="auto"/>
          <w:sz w:val="22"/>
          <w:szCs w:val="22"/>
          <w:lang w:val="en" w:eastAsia="en-US"/>
        </w:rPr>
        <w:t>)</w:t>
      </w:r>
      <w:r w:rsidR="00690968" w:rsidRPr="00BB1B96">
        <w:rPr>
          <w:rFonts w:ascii="Arial" w:eastAsiaTheme="minorHAnsi" w:hAnsi="Arial" w:cs="Arial"/>
          <w:color w:val="auto"/>
          <w:sz w:val="22"/>
          <w:szCs w:val="22"/>
          <w:lang w:val="en" w:eastAsia="en-US"/>
        </w:rPr>
        <w:t xml:space="preserve">. </w:t>
      </w:r>
    </w:p>
    <w:bookmarkEnd w:id="8"/>
    <w:p w14:paraId="21136F23" w14:textId="77777777" w:rsidR="003E6706" w:rsidRPr="003E6706" w:rsidRDefault="003E6706" w:rsidP="005617F2">
      <w:pPr>
        <w:pStyle w:val="Heading3"/>
        <w:ind w:left="0"/>
        <w:rPr>
          <w:rFonts w:ascii="Arial" w:hAnsi="Arial" w:cs="Arial"/>
        </w:rPr>
      </w:pPr>
      <w:r w:rsidRPr="003E6706">
        <w:rPr>
          <w:rFonts w:ascii="Arial" w:hAnsi="Arial" w:cs="Arial"/>
        </w:rPr>
        <w:t>Interactions with medicinal products</w:t>
      </w:r>
    </w:p>
    <w:p w14:paraId="019B42F2" w14:textId="77777777" w:rsidR="003E6706" w:rsidRPr="003E6706" w:rsidRDefault="003E6706" w:rsidP="00E728C5">
      <w:pPr>
        <w:rPr>
          <w:rFonts w:ascii="Arial" w:hAnsi="Arial" w:cs="Arial"/>
          <w:lang w:val="en"/>
        </w:rPr>
      </w:pPr>
      <w:r w:rsidRPr="003E6706">
        <w:rPr>
          <w:rFonts w:ascii="Arial" w:hAnsi="Arial" w:cs="Arial"/>
          <w:lang w:val="en"/>
        </w:rPr>
        <w:t>Caution should be given to prescribing VOCABRIA with medicinal products that may reduce its exposure (see Section 4.5</w:t>
      </w:r>
      <w:r>
        <w:rPr>
          <w:rFonts w:ascii="Arial" w:hAnsi="Arial" w:cs="Arial"/>
          <w:lang w:val="en"/>
        </w:rPr>
        <w:t xml:space="preserve"> INTERACTIONS WITH OTHER MEDICINES AND OTHER FORMS OF INTERACTIONS</w:t>
      </w:r>
      <w:r w:rsidRPr="003E6706">
        <w:rPr>
          <w:rFonts w:ascii="Arial" w:hAnsi="Arial" w:cs="Arial"/>
          <w:lang w:val="en"/>
        </w:rPr>
        <w:t>).</w:t>
      </w:r>
    </w:p>
    <w:p w14:paraId="3C63FE5A" w14:textId="77777777" w:rsidR="003E6706" w:rsidRPr="003E6706" w:rsidRDefault="003E6706" w:rsidP="005617F2">
      <w:pPr>
        <w:pStyle w:val="Heading3"/>
        <w:ind w:left="0"/>
        <w:rPr>
          <w:rFonts w:ascii="Arial" w:hAnsi="Arial" w:cs="Arial"/>
        </w:rPr>
      </w:pPr>
      <w:r w:rsidRPr="003E6706">
        <w:rPr>
          <w:rFonts w:ascii="Arial" w:hAnsi="Arial" w:cs="Arial"/>
        </w:rPr>
        <w:t>Opportunistic infections</w:t>
      </w:r>
    </w:p>
    <w:p w14:paraId="6321A4A0" w14:textId="77777777" w:rsidR="003E6706" w:rsidRDefault="003E6706" w:rsidP="00E728C5">
      <w:pPr>
        <w:rPr>
          <w:rFonts w:ascii="Arial" w:hAnsi="Arial" w:cs="Arial"/>
          <w:lang w:val="en"/>
        </w:rPr>
      </w:pPr>
      <w:r w:rsidRPr="003E6706">
        <w:rPr>
          <w:rFonts w:ascii="Arial" w:hAnsi="Arial" w:cs="Arial"/>
          <w:lang w:val="en"/>
        </w:rPr>
        <w:t xml:space="preserve">Patients </w:t>
      </w:r>
      <w:r w:rsidR="00275717">
        <w:rPr>
          <w:rFonts w:ascii="Arial" w:hAnsi="Arial" w:cs="Arial"/>
          <w:lang w:val="en"/>
        </w:rPr>
        <w:t>receiving</w:t>
      </w:r>
      <w:r w:rsidR="00275717" w:rsidRPr="003E6706">
        <w:rPr>
          <w:rFonts w:ascii="Arial" w:hAnsi="Arial" w:cs="Arial"/>
          <w:lang w:val="en"/>
        </w:rPr>
        <w:t xml:space="preserve"> VOCABRIA </w:t>
      </w:r>
      <w:r w:rsidRPr="003E6706">
        <w:rPr>
          <w:rFonts w:ascii="Arial" w:hAnsi="Arial" w:cs="Arial"/>
          <w:lang w:val="en"/>
        </w:rPr>
        <w:t>or any other antiretroviral therapy may still develop opportunistic infections and other complications of HIV infection. Therefore, patients should remain under close clinical observation by physicians experienced in the treatment of these associated HIV diseases.</w:t>
      </w:r>
    </w:p>
    <w:p w14:paraId="1CB582F1" w14:textId="77777777" w:rsidR="00275717" w:rsidRPr="00275717" w:rsidRDefault="00275717" w:rsidP="005617F2">
      <w:pPr>
        <w:pStyle w:val="Heading3"/>
        <w:ind w:left="0"/>
        <w:rPr>
          <w:rFonts w:ascii="Arial" w:hAnsi="Arial" w:cs="Arial"/>
        </w:rPr>
      </w:pPr>
      <w:r w:rsidRPr="00275717">
        <w:rPr>
          <w:rFonts w:ascii="Arial" w:hAnsi="Arial" w:cs="Arial"/>
        </w:rPr>
        <w:t>Transmission of Infection</w:t>
      </w:r>
    </w:p>
    <w:p w14:paraId="7A6D11D7" w14:textId="77777777" w:rsidR="00275717" w:rsidRPr="003E6706" w:rsidRDefault="00275717" w:rsidP="00E728C5">
      <w:pPr>
        <w:rPr>
          <w:rFonts w:ascii="Arial" w:hAnsi="Arial" w:cs="Arial"/>
          <w:lang w:val="en"/>
        </w:rPr>
      </w:pPr>
      <w:r w:rsidRPr="00275717">
        <w:rPr>
          <w:rFonts w:ascii="Arial" w:hAnsi="Arial" w:cs="Arial"/>
          <w:lang w:val="en"/>
        </w:rPr>
        <w:t>While effective viral suppression with antiretroviral therapy has been proven to substantially reduce the risk of sexual transmission, a residual risk cannot be excluded. Precautions to prevent transmission should be taken in accordance with national guidelines.</w:t>
      </w:r>
    </w:p>
    <w:p w14:paraId="45527172" w14:textId="77777777" w:rsidR="00275717" w:rsidRPr="00275717" w:rsidRDefault="003E6706" w:rsidP="005617F2">
      <w:pPr>
        <w:pStyle w:val="Heading3"/>
        <w:ind w:left="0"/>
        <w:rPr>
          <w:rFonts w:ascii="Arial" w:hAnsi="Arial" w:cs="Arial"/>
        </w:rPr>
      </w:pPr>
      <w:r w:rsidRPr="00275717">
        <w:rPr>
          <w:rFonts w:ascii="Arial" w:hAnsi="Arial" w:cs="Arial"/>
        </w:rPr>
        <w:t xml:space="preserve">Concomitant treatment with </w:t>
      </w:r>
      <w:proofErr w:type="spellStart"/>
      <w:r w:rsidRPr="00275717">
        <w:rPr>
          <w:rFonts w:ascii="Arial" w:hAnsi="Arial" w:cs="Arial"/>
        </w:rPr>
        <w:t>rilpivirine</w:t>
      </w:r>
      <w:proofErr w:type="spellEnd"/>
    </w:p>
    <w:p w14:paraId="06D70480" w14:textId="51FDEC88" w:rsidR="003E6706" w:rsidRPr="00614781" w:rsidRDefault="00275717" w:rsidP="00E728C5">
      <w:pPr>
        <w:rPr>
          <w:rFonts w:ascii="Arial" w:hAnsi="Arial" w:cs="Arial"/>
          <w:lang w:val="en"/>
        </w:rPr>
      </w:pPr>
      <w:r w:rsidRPr="003E6706">
        <w:rPr>
          <w:rFonts w:ascii="Arial" w:hAnsi="Arial" w:cs="Arial"/>
          <w:lang w:val="en"/>
        </w:rPr>
        <w:t xml:space="preserve">VOCABRIA </w:t>
      </w:r>
      <w:r w:rsidR="003E6706" w:rsidRPr="003E6706">
        <w:rPr>
          <w:rFonts w:ascii="Arial" w:hAnsi="Arial" w:cs="Arial"/>
          <w:lang w:val="en"/>
        </w:rPr>
        <w:t xml:space="preserve">is indicated for the treatment of HIV-1 in combination with </w:t>
      </w:r>
      <w:proofErr w:type="spellStart"/>
      <w:r w:rsidR="003E6706" w:rsidRPr="003E6706">
        <w:rPr>
          <w:rFonts w:ascii="Arial" w:hAnsi="Arial" w:cs="Arial"/>
          <w:lang w:val="en"/>
        </w:rPr>
        <w:t>rilpivirine</w:t>
      </w:r>
      <w:proofErr w:type="spellEnd"/>
      <w:r w:rsidR="003E6706" w:rsidRPr="003E6706">
        <w:rPr>
          <w:rFonts w:ascii="Arial" w:hAnsi="Arial" w:cs="Arial"/>
          <w:lang w:val="en"/>
        </w:rPr>
        <w:t>, therefore, the pr</w:t>
      </w:r>
      <w:r w:rsidR="00164997">
        <w:rPr>
          <w:rFonts w:ascii="Arial" w:hAnsi="Arial" w:cs="Arial"/>
          <w:lang w:val="en"/>
        </w:rPr>
        <w:t>oduct</w:t>
      </w:r>
      <w:r w:rsidR="003E6706" w:rsidRPr="003E6706">
        <w:rPr>
          <w:rFonts w:ascii="Arial" w:hAnsi="Arial" w:cs="Arial"/>
          <w:lang w:val="en"/>
        </w:rPr>
        <w:t xml:space="preserve"> information for </w:t>
      </w:r>
      <w:proofErr w:type="spellStart"/>
      <w:r w:rsidR="003E6706" w:rsidRPr="003E6706">
        <w:rPr>
          <w:rFonts w:ascii="Arial" w:hAnsi="Arial" w:cs="Arial"/>
          <w:lang w:val="en"/>
        </w:rPr>
        <w:t>rilpivirine</w:t>
      </w:r>
      <w:proofErr w:type="spellEnd"/>
      <w:r w:rsidR="003E6706" w:rsidRPr="003E6706">
        <w:rPr>
          <w:rFonts w:ascii="Arial" w:hAnsi="Arial" w:cs="Arial"/>
          <w:lang w:val="en"/>
        </w:rPr>
        <w:t xml:space="preserve"> injection should be consulted.</w:t>
      </w:r>
    </w:p>
    <w:p w14:paraId="01D44D10" w14:textId="77777777" w:rsidR="001A3992" w:rsidRPr="00275717" w:rsidRDefault="001A3992" w:rsidP="005617F2">
      <w:pPr>
        <w:pStyle w:val="Heading3"/>
        <w:ind w:left="0"/>
        <w:rPr>
          <w:rFonts w:ascii="Arial" w:hAnsi="Arial" w:cs="Arial"/>
        </w:rPr>
      </w:pPr>
      <w:r w:rsidRPr="00275717">
        <w:rPr>
          <w:rFonts w:ascii="Arial" w:hAnsi="Arial" w:cs="Arial"/>
        </w:rPr>
        <w:t xml:space="preserve">Use in hepatic impairment </w:t>
      </w:r>
    </w:p>
    <w:p w14:paraId="489D18E2"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4DD0672D" w14:textId="77777777" w:rsidR="001A3992" w:rsidRPr="00275717" w:rsidRDefault="001A3992" w:rsidP="005617F2">
      <w:pPr>
        <w:pStyle w:val="Heading3"/>
        <w:ind w:left="0"/>
        <w:rPr>
          <w:rFonts w:ascii="Arial" w:hAnsi="Arial" w:cs="Arial"/>
        </w:rPr>
      </w:pPr>
      <w:r w:rsidRPr="00275717">
        <w:rPr>
          <w:rFonts w:ascii="Arial" w:hAnsi="Arial" w:cs="Arial"/>
        </w:rPr>
        <w:t xml:space="preserve">Use in renal impairment </w:t>
      </w:r>
    </w:p>
    <w:p w14:paraId="4F13085B"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28347130" w14:textId="77777777" w:rsidR="001A3992" w:rsidRPr="00275717" w:rsidRDefault="001A3992" w:rsidP="005617F2">
      <w:pPr>
        <w:pStyle w:val="Heading3"/>
        <w:ind w:left="0"/>
        <w:rPr>
          <w:rFonts w:ascii="Arial" w:hAnsi="Arial" w:cs="Arial"/>
        </w:rPr>
      </w:pPr>
      <w:r w:rsidRPr="00275717">
        <w:rPr>
          <w:rFonts w:ascii="Arial" w:hAnsi="Arial" w:cs="Arial"/>
        </w:rPr>
        <w:t>Use in the elderly</w:t>
      </w:r>
    </w:p>
    <w:p w14:paraId="7EE70803" w14:textId="77777777" w:rsidR="00275717" w:rsidRPr="00E728C5" w:rsidRDefault="00275717" w:rsidP="00275717">
      <w:pPr>
        <w:rPr>
          <w:rFonts w:ascii="Arial" w:hAnsi="Arial" w:cs="Arial"/>
          <w:lang w:val="en"/>
        </w:rPr>
      </w:pPr>
      <w:r w:rsidRPr="00E728C5">
        <w:rPr>
          <w:rFonts w:ascii="Arial" w:hAnsi="Arial" w:cs="Arial"/>
          <w:lang w:val="en"/>
        </w:rPr>
        <w:t>See Section 4.2 DOSE AND METHOD OF ADMINISTRATION and Section 5.2 PHARMACOKINETIC PROPERTIES, Special patient populations.</w:t>
      </w:r>
    </w:p>
    <w:p w14:paraId="002B6988" w14:textId="77777777" w:rsidR="001A3992" w:rsidRPr="00275717" w:rsidRDefault="001A3992" w:rsidP="005617F2">
      <w:pPr>
        <w:pStyle w:val="Heading3"/>
        <w:ind w:left="0"/>
        <w:rPr>
          <w:rFonts w:ascii="Arial" w:hAnsi="Arial" w:cs="Arial"/>
        </w:rPr>
      </w:pPr>
      <w:r w:rsidRPr="00275717">
        <w:rPr>
          <w:rFonts w:ascii="Arial" w:hAnsi="Arial" w:cs="Arial"/>
        </w:rPr>
        <w:t>Paediatric use</w:t>
      </w:r>
    </w:p>
    <w:p w14:paraId="1C7C456C" w14:textId="77777777" w:rsidR="00275717" w:rsidRPr="00335E5C" w:rsidRDefault="00275717" w:rsidP="00275717">
      <w:pPr>
        <w:rPr>
          <w:rFonts w:ascii="Arial" w:hAnsi="Arial" w:cs="Arial"/>
          <w:lang w:val="en"/>
        </w:rPr>
      </w:pPr>
      <w:r w:rsidRPr="00335E5C">
        <w:rPr>
          <w:rFonts w:ascii="Arial" w:hAnsi="Arial" w:cs="Arial"/>
          <w:lang w:val="en"/>
        </w:rPr>
        <w:t>The safety and efficacy of VOCABRIA in children and adolescents aged under 18 years has not been established. No data is available.</w:t>
      </w:r>
    </w:p>
    <w:p w14:paraId="668010DB" w14:textId="77777777" w:rsidR="001A3992" w:rsidRPr="00275717" w:rsidRDefault="001A3992" w:rsidP="005617F2">
      <w:pPr>
        <w:pStyle w:val="Heading3"/>
        <w:ind w:left="0"/>
        <w:rPr>
          <w:rFonts w:ascii="Arial" w:hAnsi="Arial" w:cs="Arial"/>
        </w:rPr>
      </w:pPr>
      <w:r w:rsidRPr="00275717">
        <w:rPr>
          <w:rFonts w:ascii="Arial" w:hAnsi="Arial" w:cs="Arial"/>
        </w:rPr>
        <w:t>Effects on laboratory tests</w:t>
      </w:r>
    </w:p>
    <w:p w14:paraId="5A139ADE" w14:textId="7C32897A" w:rsidR="00E728C5" w:rsidRPr="00E728C5" w:rsidRDefault="00E728C5" w:rsidP="000D668F">
      <w:pPr>
        <w:rPr>
          <w:rFonts w:ascii="Arial" w:hAnsi="Arial" w:cs="Arial"/>
          <w:lang w:val="en"/>
        </w:rPr>
      </w:pPr>
      <w:r w:rsidRPr="00E728C5">
        <w:rPr>
          <w:rFonts w:ascii="Arial" w:hAnsi="Arial" w:cs="Arial"/>
          <w:lang w:val="en"/>
        </w:rPr>
        <w:t xml:space="preserve">Small, non-progressive increases in total bilirubin (without clinical jaundice) were observed with treatment with </w:t>
      </w:r>
      <w:proofErr w:type="spellStart"/>
      <w:r w:rsidR="002172E0">
        <w:rPr>
          <w:rFonts w:ascii="Arial" w:hAnsi="Arial" w:cs="Arial"/>
          <w:lang w:val="en"/>
        </w:rPr>
        <w:t>cabotegravir</w:t>
      </w:r>
      <w:proofErr w:type="spellEnd"/>
      <w:r w:rsidR="002172E0" w:rsidRPr="00E728C5">
        <w:rPr>
          <w:rFonts w:ascii="Arial" w:hAnsi="Arial" w:cs="Arial"/>
          <w:lang w:val="en"/>
        </w:rPr>
        <w:t xml:space="preserve"> </w:t>
      </w:r>
      <w:r w:rsidRPr="00E728C5">
        <w:rPr>
          <w:rFonts w:ascii="Arial" w:hAnsi="Arial" w:cs="Arial"/>
          <w:lang w:val="en"/>
        </w:rPr>
        <w:t xml:space="preserve">plus </w:t>
      </w:r>
      <w:proofErr w:type="spellStart"/>
      <w:r w:rsidRPr="00E728C5">
        <w:rPr>
          <w:rFonts w:ascii="Arial" w:hAnsi="Arial" w:cs="Arial"/>
          <w:lang w:val="en"/>
        </w:rPr>
        <w:t>rilpivirine</w:t>
      </w:r>
      <w:proofErr w:type="spellEnd"/>
      <w:r w:rsidRPr="00E728C5">
        <w:rPr>
          <w:rFonts w:ascii="Arial" w:hAnsi="Arial" w:cs="Arial"/>
          <w:lang w:val="en"/>
        </w:rPr>
        <w:t xml:space="preserve">. These changes are not considered clinically relevant as they likely reflect competition between </w:t>
      </w:r>
      <w:proofErr w:type="spellStart"/>
      <w:r w:rsidRPr="00E728C5">
        <w:rPr>
          <w:rFonts w:ascii="Arial" w:hAnsi="Arial" w:cs="Arial"/>
          <w:lang w:val="en"/>
        </w:rPr>
        <w:t>cabotegravir</w:t>
      </w:r>
      <w:proofErr w:type="spellEnd"/>
      <w:r w:rsidRPr="00E728C5">
        <w:rPr>
          <w:rFonts w:ascii="Arial" w:hAnsi="Arial" w:cs="Arial"/>
          <w:lang w:val="en"/>
        </w:rPr>
        <w:t xml:space="preserve"> and unconjugated bilirubin for a common clearance pathway (UGT1A1).</w:t>
      </w:r>
    </w:p>
    <w:p w14:paraId="3D291369" w14:textId="1907FEDA" w:rsidR="00E728C5" w:rsidRPr="00E728C5" w:rsidRDefault="00E728C5" w:rsidP="000D668F">
      <w:pPr>
        <w:rPr>
          <w:rFonts w:ascii="Arial" w:hAnsi="Arial" w:cs="Arial"/>
          <w:lang w:val="en"/>
        </w:rPr>
      </w:pPr>
      <w:r w:rsidRPr="00E728C5">
        <w:rPr>
          <w:rFonts w:ascii="Arial" w:hAnsi="Arial" w:cs="Arial"/>
          <w:lang w:val="en"/>
        </w:rPr>
        <w:lastRenderedPageBreak/>
        <w:t>Elevated transaminases (ALT</w:t>
      </w:r>
      <w:r w:rsidR="002172E0">
        <w:rPr>
          <w:rFonts w:ascii="Arial" w:hAnsi="Arial" w:cs="Arial"/>
          <w:lang w:val="en"/>
        </w:rPr>
        <w:t>/AST</w:t>
      </w:r>
      <w:r w:rsidRPr="00E728C5">
        <w:rPr>
          <w:rFonts w:ascii="Arial" w:hAnsi="Arial" w:cs="Arial"/>
          <w:lang w:val="en"/>
        </w:rPr>
        <w:t xml:space="preserve">) were observed in subjects receiving </w:t>
      </w:r>
      <w:proofErr w:type="spellStart"/>
      <w:r w:rsidR="002172E0">
        <w:rPr>
          <w:rFonts w:ascii="Arial" w:hAnsi="Arial" w:cs="Arial"/>
          <w:lang w:val="en"/>
        </w:rPr>
        <w:t>cabotegravir</w:t>
      </w:r>
      <w:proofErr w:type="spellEnd"/>
      <w:r w:rsidR="00B9290E" w:rsidRPr="00E728C5">
        <w:rPr>
          <w:rFonts w:ascii="Arial" w:hAnsi="Arial" w:cs="Arial"/>
          <w:lang w:val="en"/>
        </w:rPr>
        <w:t xml:space="preserve"> </w:t>
      </w:r>
      <w:r w:rsidRPr="00E728C5">
        <w:rPr>
          <w:rFonts w:ascii="Arial" w:hAnsi="Arial" w:cs="Arial"/>
          <w:lang w:val="en"/>
        </w:rPr>
        <w:t xml:space="preserve">plus </w:t>
      </w:r>
      <w:proofErr w:type="spellStart"/>
      <w:r w:rsidRPr="00E728C5">
        <w:rPr>
          <w:rFonts w:ascii="Arial" w:hAnsi="Arial" w:cs="Arial"/>
          <w:lang w:val="en"/>
        </w:rPr>
        <w:t>rilpivirine</w:t>
      </w:r>
      <w:proofErr w:type="spellEnd"/>
      <w:r w:rsidRPr="00E728C5">
        <w:rPr>
          <w:rFonts w:ascii="Arial" w:hAnsi="Arial" w:cs="Arial"/>
          <w:lang w:val="en"/>
        </w:rPr>
        <w:t xml:space="preserve"> during the</w:t>
      </w:r>
      <w:r w:rsidR="002A1CC4">
        <w:rPr>
          <w:rFonts w:ascii="Arial" w:hAnsi="Arial" w:cs="Arial"/>
          <w:lang w:val="en"/>
        </w:rPr>
        <w:t xml:space="preserve"> clinical</w:t>
      </w:r>
      <w:r w:rsidRPr="00E728C5">
        <w:rPr>
          <w:rFonts w:ascii="Arial" w:hAnsi="Arial" w:cs="Arial"/>
          <w:lang w:val="en"/>
        </w:rPr>
        <w:t xml:space="preserve"> </w:t>
      </w:r>
      <w:r w:rsidR="00EC1C0B">
        <w:rPr>
          <w:rFonts w:ascii="Arial" w:hAnsi="Arial" w:cs="Arial"/>
          <w:lang w:val="en"/>
        </w:rPr>
        <w:t>studies</w:t>
      </w:r>
      <w:r w:rsidR="002A1CC4">
        <w:rPr>
          <w:rFonts w:ascii="Arial" w:hAnsi="Arial" w:cs="Arial"/>
          <w:lang w:val="en"/>
        </w:rPr>
        <w:t>.</w:t>
      </w:r>
      <w:r w:rsidRPr="00E728C5">
        <w:rPr>
          <w:rFonts w:ascii="Arial" w:hAnsi="Arial" w:cs="Arial"/>
          <w:lang w:val="en"/>
        </w:rPr>
        <w:t xml:space="preserve"> </w:t>
      </w:r>
      <w:r w:rsidR="002A1CC4">
        <w:rPr>
          <w:rFonts w:ascii="Arial" w:hAnsi="Arial" w:cs="Arial"/>
          <w:lang w:val="en"/>
        </w:rPr>
        <w:t>T</w:t>
      </w:r>
      <w:r w:rsidRPr="00E728C5">
        <w:rPr>
          <w:rFonts w:ascii="Arial" w:hAnsi="Arial" w:cs="Arial"/>
          <w:lang w:val="en"/>
        </w:rPr>
        <w:t xml:space="preserve">hese elevations </w:t>
      </w:r>
      <w:r w:rsidR="002A1CC4">
        <w:rPr>
          <w:rFonts w:ascii="Arial" w:hAnsi="Arial" w:cs="Arial"/>
          <w:lang w:val="en"/>
        </w:rPr>
        <w:t xml:space="preserve">were primarily attributed to </w:t>
      </w:r>
      <w:r w:rsidRPr="00E728C5">
        <w:rPr>
          <w:rFonts w:ascii="Arial" w:hAnsi="Arial" w:cs="Arial"/>
          <w:lang w:val="en"/>
        </w:rPr>
        <w:t xml:space="preserve"> acute viral hepatitis.</w:t>
      </w:r>
      <w:r w:rsidR="002A1CC4">
        <w:rPr>
          <w:rFonts w:ascii="Arial" w:hAnsi="Arial" w:cs="Arial"/>
          <w:lang w:val="en"/>
        </w:rPr>
        <w:t xml:space="preserve"> </w:t>
      </w:r>
      <w:r w:rsidR="002A1CC4" w:rsidRPr="00763708">
        <w:rPr>
          <w:rFonts w:ascii="Arial" w:hAnsi="Arial" w:cs="Arial"/>
          <w:lang w:val="en"/>
        </w:rPr>
        <w:t>A few subjects had transaminase elevations attributed to suspected drug-related hepatotoxicity.</w:t>
      </w:r>
    </w:p>
    <w:p w14:paraId="6BDA7809" w14:textId="77777777" w:rsidR="00071855" w:rsidRPr="00E728C5" w:rsidRDefault="00E728C5" w:rsidP="000D668F">
      <w:pPr>
        <w:rPr>
          <w:rFonts w:ascii="Arial" w:hAnsi="Arial" w:cs="Arial"/>
          <w:lang w:val="en"/>
        </w:rPr>
      </w:pPr>
      <w:r w:rsidRPr="00E728C5">
        <w:rPr>
          <w:rFonts w:ascii="Arial" w:hAnsi="Arial" w:cs="Arial"/>
          <w:lang w:val="en"/>
        </w:rPr>
        <w:t xml:space="preserve">Asymptomatic </w:t>
      </w:r>
      <w:proofErr w:type="spellStart"/>
      <w:r w:rsidRPr="00E728C5">
        <w:rPr>
          <w:rFonts w:ascii="Arial" w:hAnsi="Arial" w:cs="Arial"/>
          <w:lang w:val="en"/>
        </w:rPr>
        <w:t>creatine</w:t>
      </w:r>
      <w:proofErr w:type="spellEnd"/>
      <w:r w:rsidRPr="00E728C5">
        <w:rPr>
          <w:rFonts w:ascii="Arial" w:hAnsi="Arial" w:cs="Arial"/>
          <w:lang w:val="en"/>
        </w:rPr>
        <w:t xml:space="preserve"> phosphokinase</w:t>
      </w:r>
      <w:r w:rsidR="00B9290E">
        <w:rPr>
          <w:rFonts w:ascii="Arial" w:hAnsi="Arial" w:cs="Arial"/>
          <w:lang w:val="en"/>
        </w:rPr>
        <w:t xml:space="preserve"> (CPK)</w:t>
      </w:r>
      <w:r w:rsidRPr="00E728C5">
        <w:rPr>
          <w:rFonts w:ascii="Arial" w:hAnsi="Arial" w:cs="Arial"/>
          <w:lang w:val="en"/>
        </w:rPr>
        <w:t xml:space="preserve"> elevations</w:t>
      </w:r>
      <w:r w:rsidR="00B9290E">
        <w:rPr>
          <w:rFonts w:ascii="Arial" w:hAnsi="Arial" w:cs="Arial"/>
          <w:lang w:val="en"/>
        </w:rPr>
        <w:t xml:space="preserve"> </w:t>
      </w:r>
      <w:r w:rsidRPr="00E728C5">
        <w:rPr>
          <w:rFonts w:ascii="Arial" w:hAnsi="Arial" w:cs="Arial"/>
          <w:lang w:val="en"/>
        </w:rPr>
        <w:t xml:space="preserve">mainly in association with exercise, have also been reported with </w:t>
      </w:r>
      <w:proofErr w:type="spellStart"/>
      <w:r w:rsidRPr="00E728C5">
        <w:rPr>
          <w:rFonts w:ascii="Arial" w:hAnsi="Arial" w:cs="Arial"/>
          <w:lang w:val="en"/>
        </w:rPr>
        <w:t>cabotegravir</w:t>
      </w:r>
      <w:proofErr w:type="spellEnd"/>
      <w:r w:rsidRPr="00E728C5">
        <w:rPr>
          <w:rFonts w:ascii="Arial" w:hAnsi="Arial" w:cs="Arial"/>
          <w:lang w:val="en"/>
        </w:rPr>
        <w:t xml:space="preserve"> plus </w:t>
      </w:r>
      <w:proofErr w:type="spellStart"/>
      <w:r w:rsidRPr="00E728C5">
        <w:rPr>
          <w:rFonts w:ascii="Arial" w:hAnsi="Arial" w:cs="Arial"/>
          <w:lang w:val="en"/>
        </w:rPr>
        <w:t>rilpivirine</w:t>
      </w:r>
      <w:proofErr w:type="spellEnd"/>
      <w:r w:rsidRPr="00E728C5">
        <w:rPr>
          <w:rFonts w:ascii="Arial" w:hAnsi="Arial" w:cs="Arial"/>
          <w:lang w:val="en"/>
        </w:rPr>
        <w:t xml:space="preserve"> treatment.</w:t>
      </w:r>
    </w:p>
    <w:p w14:paraId="373BE9C1"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INTERACTIONS WITH OTHER MEDICINES AND OTHER FORMS OF INTERACTIONS</w:t>
      </w:r>
    </w:p>
    <w:p w14:paraId="10836DF4" w14:textId="17876B26" w:rsidR="00B9290E" w:rsidRPr="00B9290E" w:rsidRDefault="001E3F43" w:rsidP="00B9290E">
      <w:pPr>
        <w:rPr>
          <w:rFonts w:ascii="Arial" w:hAnsi="Arial" w:cs="Arial"/>
          <w:lang w:val="en"/>
        </w:rPr>
      </w:pPr>
      <w:r>
        <w:rPr>
          <w:rFonts w:ascii="Arial" w:hAnsi="Arial" w:cs="Arial"/>
          <w:lang w:val="en"/>
        </w:rPr>
        <w:t>VOCABRIA</w:t>
      </w:r>
      <w:r w:rsidR="00B9290E" w:rsidRPr="00B9290E">
        <w:rPr>
          <w:rFonts w:ascii="Arial" w:hAnsi="Arial" w:cs="Arial"/>
          <w:lang w:val="en"/>
        </w:rPr>
        <w:t xml:space="preserve">, in combination with </w:t>
      </w:r>
      <w:proofErr w:type="spellStart"/>
      <w:r w:rsidR="00B9290E" w:rsidRPr="00B9290E">
        <w:rPr>
          <w:rFonts w:ascii="Arial" w:hAnsi="Arial" w:cs="Arial"/>
          <w:lang w:val="en"/>
        </w:rPr>
        <w:t>rilpivirine</w:t>
      </w:r>
      <w:proofErr w:type="spellEnd"/>
      <w:r w:rsidR="00B9290E" w:rsidRPr="00B9290E">
        <w:rPr>
          <w:rFonts w:ascii="Arial" w:hAnsi="Arial" w:cs="Arial"/>
          <w:lang w:val="en"/>
        </w:rPr>
        <w:t>, is indicated for the treatment of HIV-1, therefore, the pr</w:t>
      </w:r>
      <w:r w:rsidR="00C81D88">
        <w:rPr>
          <w:rFonts w:ascii="Arial" w:hAnsi="Arial" w:cs="Arial"/>
          <w:lang w:val="en"/>
        </w:rPr>
        <w:t>oduct</w:t>
      </w:r>
      <w:r w:rsidR="00B9290E" w:rsidRPr="00B9290E">
        <w:rPr>
          <w:rFonts w:ascii="Arial" w:hAnsi="Arial" w:cs="Arial"/>
          <w:lang w:val="en"/>
        </w:rPr>
        <w:t xml:space="preserve"> information for </w:t>
      </w:r>
      <w:proofErr w:type="spellStart"/>
      <w:r w:rsidR="00B9290E" w:rsidRPr="00B9290E">
        <w:rPr>
          <w:rFonts w:ascii="Arial" w:hAnsi="Arial" w:cs="Arial"/>
          <w:lang w:val="en"/>
        </w:rPr>
        <w:t>rilpivirine</w:t>
      </w:r>
      <w:proofErr w:type="spellEnd"/>
      <w:r w:rsidR="00B9290E" w:rsidRPr="00B9290E">
        <w:rPr>
          <w:rFonts w:ascii="Arial" w:hAnsi="Arial" w:cs="Arial"/>
          <w:lang w:val="en"/>
        </w:rPr>
        <w:t xml:space="preserve"> should be consulted for associated interactions.</w:t>
      </w:r>
    </w:p>
    <w:p w14:paraId="1D1DDF24" w14:textId="77777777" w:rsidR="00B9290E" w:rsidRPr="00A51746" w:rsidRDefault="00B9290E" w:rsidP="005617F2">
      <w:pPr>
        <w:pStyle w:val="Heading3"/>
        <w:ind w:left="0"/>
        <w:rPr>
          <w:rFonts w:ascii="Arial" w:hAnsi="Arial" w:cs="Arial"/>
        </w:rPr>
      </w:pPr>
      <w:r w:rsidRPr="00A51746">
        <w:rPr>
          <w:rFonts w:ascii="Arial" w:hAnsi="Arial" w:cs="Arial"/>
        </w:rPr>
        <w:t xml:space="preserve">Effect of other medicinal products on the pharmacokinetics of </w:t>
      </w:r>
      <w:proofErr w:type="spellStart"/>
      <w:r w:rsidRPr="00A51746">
        <w:rPr>
          <w:rFonts w:ascii="Arial" w:hAnsi="Arial" w:cs="Arial"/>
        </w:rPr>
        <w:t>cabotegravir</w:t>
      </w:r>
      <w:proofErr w:type="spellEnd"/>
    </w:p>
    <w:p w14:paraId="1E063615" w14:textId="77777777" w:rsidR="00A51746" w:rsidRDefault="00B9290E" w:rsidP="00A51746">
      <w:pPr>
        <w:rPr>
          <w:rFonts w:ascii="Arial" w:hAnsi="Arial" w:cs="Arial"/>
          <w:lang w:val="en"/>
        </w:rPr>
      </w:pPr>
      <w:proofErr w:type="spellStart"/>
      <w:r w:rsidRPr="00A51746">
        <w:rPr>
          <w:rFonts w:ascii="Arial" w:hAnsi="Arial" w:cs="Arial"/>
          <w:lang w:val="en"/>
        </w:rPr>
        <w:t>Cabotegravir</w:t>
      </w:r>
      <w:proofErr w:type="spellEnd"/>
      <w:r w:rsidRPr="00A51746">
        <w:rPr>
          <w:rFonts w:ascii="Arial" w:hAnsi="Arial" w:cs="Arial"/>
          <w:lang w:val="en"/>
        </w:rPr>
        <w:t xml:space="preserve"> is primarily </w:t>
      </w:r>
      <w:proofErr w:type="spellStart"/>
      <w:r w:rsidRPr="00A51746">
        <w:rPr>
          <w:rFonts w:ascii="Arial" w:hAnsi="Arial" w:cs="Arial"/>
          <w:lang w:val="en"/>
        </w:rPr>
        <w:t>metabolised</w:t>
      </w:r>
      <w:proofErr w:type="spellEnd"/>
      <w:r w:rsidRPr="00A51746">
        <w:rPr>
          <w:rFonts w:ascii="Arial" w:hAnsi="Arial" w:cs="Arial"/>
          <w:lang w:val="en"/>
        </w:rPr>
        <w:t xml:space="preserve"> by uridine diphosphate </w:t>
      </w:r>
      <w:proofErr w:type="spellStart"/>
      <w:r w:rsidRPr="00A51746">
        <w:rPr>
          <w:rFonts w:ascii="Arial" w:hAnsi="Arial" w:cs="Arial"/>
          <w:lang w:val="en"/>
        </w:rPr>
        <w:t>glucuronosyl</w:t>
      </w:r>
      <w:proofErr w:type="spellEnd"/>
      <w:r w:rsidRPr="00A51746">
        <w:rPr>
          <w:rFonts w:ascii="Arial" w:hAnsi="Arial" w:cs="Arial"/>
          <w:lang w:val="en"/>
        </w:rPr>
        <w:t xml:space="preserve"> transferase (UGT) 1A1 with some contribution from UGT1A9. Medicinal products which are strong inducers of UGT1A1 or UGT1A9 are expected to decrease </w:t>
      </w:r>
      <w:proofErr w:type="spellStart"/>
      <w:r w:rsidRPr="00A51746">
        <w:rPr>
          <w:rFonts w:ascii="Arial" w:hAnsi="Arial" w:cs="Arial"/>
          <w:lang w:val="en"/>
        </w:rPr>
        <w:t>cabotegravir</w:t>
      </w:r>
      <w:proofErr w:type="spellEnd"/>
      <w:r w:rsidRPr="00A51746">
        <w:rPr>
          <w:rFonts w:ascii="Arial" w:hAnsi="Arial" w:cs="Arial"/>
          <w:lang w:val="en"/>
        </w:rPr>
        <w:t xml:space="preserve"> plasma concentrations leading to lack of efficacy (see section 4.3</w:t>
      </w:r>
      <w:r w:rsidR="00A51746">
        <w:rPr>
          <w:rFonts w:ascii="Arial" w:hAnsi="Arial" w:cs="Arial"/>
          <w:lang w:val="en"/>
        </w:rPr>
        <w:t xml:space="preserve"> CONTRAINDICATIONS</w:t>
      </w:r>
      <w:r w:rsidRPr="00A51746">
        <w:rPr>
          <w:rFonts w:ascii="Arial" w:hAnsi="Arial" w:cs="Arial"/>
          <w:lang w:val="en"/>
        </w:rPr>
        <w:t xml:space="preserve">). </w:t>
      </w:r>
    </w:p>
    <w:p w14:paraId="6F557A79" w14:textId="77777777" w:rsidR="00B9290E" w:rsidRPr="00A51746" w:rsidRDefault="00B9290E" w:rsidP="00A51746">
      <w:pPr>
        <w:rPr>
          <w:rFonts w:ascii="Arial" w:hAnsi="Arial" w:cs="Arial"/>
          <w:lang w:val="en"/>
        </w:rPr>
      </w:pPr>
      <w:r w:rsidRPr="00A51746">
        <w:rPr>
          <w:rFonts w:ascii="Arial" w:hAnsi="Arial" w:cs="Arial"/>
          <w:lang w:val="en"/>
        </w:rPr>
        <w:t xml:space="preserve">Simulations using physiologically based pharmacokinetic (PBPK) </w:t>
      </w:r>
      <w:r w:rsidR="00012BD4">
        <w:rPr>
          <w:rFonts w:ascii="Arial" w:hAnsi="Arial" w:cs="Arial"/>
          <w:lang w:val="en"/>
        </w:rPr>
        <w:t xml:space="preserve">modelling </w:t>
      </w:r>
      <w:r w:rsidRPr="00A51746">
        <w:rPr>
          <w:rFonts w:ascii="Arial" w:hAnsi="Arial" w:cs="Arial"/>
          <w:lang w:val="en"/>
        </w:rPr>
        <w:t xml:space="preserve">show that no clinically significant interaction is expected following co-administration of </w:t>
      </w:r>
      <w:proofErr w:type="spellStart"/>
      <w:r w:rsidRPr="00A51746">
        <w:rPr>
          <w:rFonts w:ascii="Arial" w:hAnsi="Arial" w:cs="Arial"/>
          <w:lang w:val="en"/>
        </w:rPr>
        <w:t>cabotegravir</w:t>
      </w:r>
      <w:proofErr w:type="spellEnd"/>
      <w:r w:rsidRPr="00A51746">
        <w:rPr>
          <w:rFonts w:ascii="Arial" w:hAnsi="Arial" w:cs="Arial"/>
          <w:lang w:val="en"/>
        </w:rPr>
        <w:t xml:space="preserve"> with medicines that inhibit UGT enzymes.</w:t>
      </w:r>
    </w:p>
    <w:p w14:paraId="3D4872A9" w14:textId="79FF90E5" w:rsidR="00B9290E" w:rsidRPr="00A51746" w:rsidRDefault="00B9290E" w:rsidP="00A51746">
      <w:pPr>
        <w:rPr>
          <w:rFonts w:ascii="Arial" w:hAnsi="Arial" w:cs="Arial"/>
          <w:lang w:val="en"/>
        </w:rPr>
      </w:pPr>
      <w:bookmarkStart w:id="10" w:name="_Hlk532115201"/>
      <w:r w:rsidRPr="00A51746">
        <w:rPr>
          <w:rFonts w:ascii="Arial" w:hAnsi="Arial" w:cs="Arial"/>
          <w:i/>
          <w:lang w:val="en"/>
        </w:rPr>
        <w:t>In vitro</w:t>
      </w:r>
      <w:r w:rsidRPr="00A51746">
        <w:rPr>
          <w:rFonts w:ascii="Arial" w:hAnsi="Arial" w:cs="Arial"/>
          <w:lang w:val="en"/>
        </w:rPr>
        <w:t xml:space="preserve">, </w:t>
      </w:r>
      <w:proofErr w:type="spellStart"/>
      <w:r w:rsidRPr="00A51746">
        <w:rPr>
          <w:rFonts w:ascii="Arial" w:hAnsi="Arial" w:cs="Arial"/>
          <w:lang w:val="en"/>
        </w:rPr>
        <w:t>cabotegravir</w:t>
      </w:r>
      <w:proofErr w:type="spellEnd"/>
      <w:r w:rsidRPr="00A51746">
        <w:rPr>
          <w:rFonts w:ascii="Arial" w:hAnsi="Arial" w:cs="Arial"/>
          <w:lang w:val="en"/>
        </w:rPr>
        <w:t xml:space="preserve"> was not a substrate of </w:t>
      </w:r>
      <w:bookmarkStart w:id="11" w:name="_Hlk12287297"/>
      <w:r w:rsidRPr="00A51746">
        <w:rPr>
          <w:rFonts w:ascii="Arial" w:hAnsi="Arial" w:cs="Arial"/>
          <w:lang w:val="en"/>
        </w:rPr>
        <w:t>organic anion transporting polypeptide (</w:t>
      </w:r>
      <w:bookmarkEnd w:id="11"/>
      <w:r w:rsidRPr="00A51746">
        <w:rPr>
          <w:rFonts w:ascii="Arial" w:hAnsi="Arial" w:cs="Arial"/>
          <w:lang w:val="en"/>
        </w:rPr>
        <w:t>OATP) 1B1, OATP1B3</w:t>
      </w:r>
      <w:r w:rsidR="00B25819">
        <w:rPr>
          <w:rFonts w:ascii="Arial" w:hAnsi="Arial" w:cs="Arial"/>
          <w:lang w:val="en"/>
        </w:rPr>
        <w:t>,</w:t>
      </w:r>
      <w:r w:rsidR="00B25819" w:rsidRPr="00B25819">
        <w:rPr>
          <w:rFonts w:ascii="Arial" w:hAnsi="Arial" w:cs="Arial"/>
          <w:lang w:val="en"/>
        </w:rPr>
        <w:t xml:space="preserve"> </w:t>
      </w:r>
      <w:r w:rsidR="00B25819">
        <w:rPr>
          <w:rFonts w:ascii="Arial" w:hAnsi="Arial" w:cs="Arial"/>
          <w:lang w:val="en"/>
        </w:rPr>
        <w:t>OATP2B1</w:t>
      </w:r>
      <w:r w:rsidRPr="00A51746">
        <w:rPr>
          <w:rFonts w:ascii="Arial" w:hAnsi="Arial" w:cs="Arial"/>
          <w:lang w:val="en"/>
        </w:rPr>
        <w:t xml:space="preserve"> or organic cation transporter (OCT1).</w:t>
      </w:r>
      <w:bookmarkEnd w:id="10"/>
    </w:p>
    <w:p w14:paraId="1F639D3B" w14:textId="77777777" w:rsidR="00B9290E" w:rsidRPr="00A51746" w:rsidRDefault="00B9290E" w:rsidP="00A51746">
      <w:pPr>
        <w:rPr>
          <w:rFonts w:ascii="Arial" w:hAnsi="Arial" w:cs="Arial"/>
          <w:lang w:val="en"/>
        </w:rPr>
      </w:pPr>
      <w:proofErr w:type="spellStart"/>
      <w:r w:rsidRPr="00A51746">
        <w:rPr>
          <w:rFonts w:ascii="Arial" w:hAnsi="Arial" w:cs="Arial"/>
          <w:lang w:val="en"/>
        </w:rPr>
        <w:t>Cabotegravir</w:t>
      </w:r>
      <w:proofErr w:type="spellEnd"/>
      <w:r w:rsidRPr="00A51746">
        <w:rPr>
          <w:rFonts w:ascii="Arial" w:hAnsi="Arial" w:cs="Arial"/>
          <w:lang w:val="en"/>
        </w:rPr>
        <w:t xml:space="preserve"> is a substrate of P-glycoprotein (P-</w:t>
      </w:r>
      <w:proofErr w:type="spellStart"/>
      <w:r w:rsidRPr="00A51746">
        <w:rPr>
          <w:rFonts w:ascii="Arial" w:hAnsi="Arial" w:cs="Arial"/>
          <w:lang w:val="en"/>
        </w:rPr>
        <w:t>gp</w:t>
      </w:r>
      <w:proofErr w:type="spellEnd"/>
      <w:r w:rsidRPr="00A51746">
        <w:rPr>
          <w:rFonts w:ascii="Arial" w:hAnsi="Arial" w:cs="Arial"/>
          <w:lang w:val="en"/>
        </w:rPr>
        <w:t>) and breast cancer resistance protein (BCRP), however, because of its high permeability, no alteration in absorption is expected when co-administered with either P-</w:t>
      </w:r>
      <w:proofErr w:type="spellStart"/>
      <w:r w:rsidRPr="00A51746">
        <w:rPr>
          <w:rFonts w:ascii="Arial" w:hAnsi="Arial" w:cs="Arial"/>
          <w:lang w:val="en"/>
        </w:rPr>
        <w:t>gp</w:t>
      </w:r>
      <w:proofErr w:type="spellEnd"/>
      <w:r w:rsidRPr="00A51746">
        <w:rPr>
          <w:rFonts w:ascii="Arial" w:hAnsi="Arial" w:cs="Arial"/>
          <w:lang w:val="en"/>
        </w:rPr>
        <w:t xml:space="preserve"> or BCRP inhibitors.</w:t>
      </w:r>
    </w:p>
    <w:p w14:paraId="4B93A01F" w14:textId="77777777" w:rsidR="00B9290E" w:rsidRPr="00A51746" w:rsidRDefault="00B9290E" w:rsidP="005617F2">
      <w:pPr>
        <w:pStyle w:val="Heading3"/>
        <w:ind w:left="0"/>
        <w:rPr>
          <w:rFonts w:ascii="Arial" w:hAnsi="Arial" w:cs="Arial"/>
        </w:rPr>
      </w:pPr>
      <w:r w:rsidRPr="00A51746">
        <w:rPr>
          <w:rFonts w:ascii="Arial" w:hAnsi="Arial" w:cs="Arial"/>
        </w:rPr>
        <w:t xml:space="preserve">Effect of </w:t>
      </w:r>
      <w:proofErr w:type="spellStart"/>
      <w:r w:rsidRPr="00A51746">
        <w:rPr>
          <w:rFonts w:ascii="Arial" w:hAnsi="Arial" w:cs="Arial"/>
        </w:rPr>
        <w:t>cabotegravir</w:t>
      </w:r>
      <w:proofErr w:type="spellEnd"/>
      <w:r w:rsidRPr="00A51746">
        <w:rPr>
          <w:rFonts w:ascii="Arial" w:hAnsi="Arial" w:cs="Arial"/>
        </w:rPr>
        <w:t xml:space="preserve"> on the pharmacokinetics of other medicinal products</w:t>
      </w:r>
    </w:p>
    <w:p w14:paraId="7972AE3C" w14:textId="77777777" w:rsidR="00B9290E" w:rsidRPr="00A51746" w:rsidRDefault="00B9290E" w:rsidP="00A51746">
      <w:pPr>
        <w:rPr>
          <w:rFonts w:ascii="Arial" w:hAnsi="Arial" w:cs="Arial"/>
          <w:lang w:val="en"/>
        </w:rPr>
      </w:pPr>
      <w:bookmarkStart w:id="12" w:name="_Hlk6583819"/>
      <w:r w:rsidRPr="00A51746">
        <w:rPr>
          <w:rFonts w:ascii="Arial" w:hAnsi="Arial" w:cs="Arial"/>
          <w:i/>
          <w:lang w:val="en"/>
        </w:rPr>
        <w:t>In vivo</w:t>
      </w:r>
      <w:r w:rsidRPr="00A51746">
        <w:rPr>
          <w:rFonts w:ascii="Arial" w:hAnsi="Arial" w:cs="Arial"/>
          <w:lang w:val="en"/>
        </w:rPr>
        <w:t xml:space="preserve">, </w:t>
      </w:r>
      <w:proofErr w:type="spellStart"/>
      <w:r w:rsidRPr="00A51746">
        <w:rPr>
          <w:rFonts w:ascii="Arial" w:hAnsi="Arial" w:cs="Arial"/>
          <w:lang w:val="en"/>
        </w:rPr>
        <w:t>cabotegravir</w:t>
      </w:r>
      <w:proofErr w:type="spellEnd"/>
      <w:r w:rsidRPr="00A51746">
        <w:rPr>
          <w:rFonts w:ascii="Arial" w:hAnsi="Arial" w:cs="Arial"/>
          <w:lang w:val="en"/>
        </w:rPr>
        <w:t xml:space="preserve"> did not have an effect on midazolam, a cytochrome P450 (CYP) 3A4 probe. </w:t>
      </w:r>
      <w:bookmarkEnd w:id="12"/>
      <w:proofErr w:type="spellStart"/>
      <w:r w:rsidRPr="00A51746">
        <w:rPr>
          <w:rFonts w:ascii="Arial" w:hAnsi="Arial" w:cs="Arial"/>
          <w:lang w:val="en"/>
        </w:rPr>
        <w:t>Cabotegravir</w:t>
      </w:r>
      <w:proofErr w:type="spellEnd"/>
      <w:r w:rsidRPr="00A51746">
        <w:rPr>
          <w:rFonts w:ascii="Arial" w:hAnsi="Arial" w:cs="Arial"/>
          <w:lang w:val="en"/>
        </w:rPr>
        <w:t xml:space="preserve"> is not a clinically relevant inhibitor of the following enzymes and transporters: CYP1A2, CYP2A6, CYP2B6, CYP2C8, CYP2C9, CYP2C19, CYP2D6, CYP3A4, UGT1A1, UGT1A3, UGT1A4, UGT1A6, UGT1A9, UGT2B4, UGT2B7, UGT2B15, and UGT2B17, P-</w:t>
      </w:r>
      <w:proofErr w:type="spellStart"/>
      <w:r w:rsidRPr="00A51746">
        <w:rPr>
          <w:rFonts w:ascii="Arial" w:hAnsi="Arial" w:cs="Arial"/>
          <w:lang w:val="en"/>
        </w:rPr>
        <w:t>gp</w:t>
      </w:r>
      <w:proofErr w:type="spellEnd"/>
      <w:r w:rsidRPr="00A51746">
        <w:rPr>
          <w:rFonts w:ascii="Arial" w:hAnsi="Arial" w:cs="Arial"/>
          <w:lang w:val="en"/>
        </w:rPr>
        <w:t>, BCRP, Bile salt export pump (BSEP), OCT1, OCT2, OATP1B1, OATP1B3, multidrug and toxin extrusion transporter (MATE) 1, MATE 2-K, multidrug resistance protein (MRP) 2 or MRP4.</w:t>
      </w:r>
    </w:p>
    <w:p w14:paraId="3F931FFE" w14:textId="77777777" w:rsidR="00B9290E" w:rsidRPr="00A51746" w:rsidRDefault="00B9290E" w:rsidP="00A51746">
      <w:pPr>
        <w:rPr>
          <w:rFonts w:ascii="Arial" w:hAnsi="Arial" w:cs="Arial"/>
          <w:lang w:val="en"/>
        </w:rPr>
      </w:pPr>
      <w:proofErr w:type="spellStart"/>
      <w:r w:rsidRPr="00A51746">
        <w:rPr>
          <w:rFonts w:ascii="Arial" w:hAnsi="Arial" w:cs="Arial"/>
          <w:lang w:val="en"/>
        </w:rPr>
        <w:t>Cabotegravir</w:t>
      </w:r>
      <w:proofErr w:type="spellEnd"/>
      <w:r w:rsidRPr="00A51746">
        <w:rPr>
          <w:rFonts w:ascii="Arial" w:hAnsi="Arial" w:cs="Arial"/>
          <w:lang w:val="en"/>
        </w:rPr>
        <w:t xml:space="preserve"> inhibited the organic anion transporters (OAT) 1 (IC</w:t>
      </w:r>
      <w:r w:rsidRPr="001C1B56">
        <w:rPr>
          <w:rFonts w:ascii="Arial" w:hAnsi="Arial" w:cs="Arial"/>
          <w:vertAlign w:val="subscript"/>
          <w:lang w:val="en"/>
        </w:rPr>
        <w:t>50</w:t>
      </w:r>
      <w:r w:rsidRPr="00A51746">
        <w:rPr>
          <w:rFonts w:ascii="Arial" w:hAnsi="Arial" w:cs="Arial"/>
          <w:lang w:val="en"/>
        </w:rPr>
        <w:t>=0.81 µM) and OAT3 (IC</w:t>
      </w:r>
      <w:r w:rsidRPr="001C1B56">
        <w:rPr>
          <w:rFonts w:ascii="Arial" w:hAnsi="Arial" w:cs="Arial"/>
          <w:vertAlign w:val="subscript"/>
          <w:lang w:val="en"/>
        </w:rPr>
        <w:t>50</w:t>
      </w:r>
      <w:r w:rsidRPr="00A51746">
        <w:rPr>
          <w:rFonts w:ascii="Arial" w:hAnsi="Arial" w:cs="Arial"/>
          <w:lang w:val="en"/>
        </w:rPr>
        <w:t xml:space="preserve">=0.41 µM) </w:t>
      </w:r>
      <w:r w:rsidRPr="001C1B56">
        <w:rPr>
          <w:rFonts w:ascii="Arial" w:hAnsi="Arial" w:cs="Arial"/>
          <w:i/>
          <w:lang w:val="en"/>
        </w:rPr>
        <w:t>in vitro</w:t>
      </w:r>
      <w:r w:rsidRPr="00A51746">
        <w:rPr>
          <w:rFonts w:ascii="Arial" w:hAnsi="Arial" w:cs="Arial"/>
          <w:lang w:val="en"/>
        </w:rPr>
        <w:t>, however, based on PBPK modelling no interaction with OAT substrates is expected at clinically relevant concentrations.</w:t>
      </w:r>
    </w:p>
    <w:p w14:paraId="0A3F3835" w14:textId="77777777" w:rsidR="00B9290E" w:rsidRPr="00A51746" w:rsidRDefault="00B9290E" w:rsidP="00A51746">
      <w:pPr>
        <w:rPr>
          <w:rFonts w:ascii="Arial" w:hAnsi="Arial" w:cs="Arial"/>
          <w:lang w:val="en"/>
        </w:rPr>
      </w:pPr>
      <w:r w:rsidRPr="001C1B56">
        <w:rPr>
          <w:rFonts w:ascii="Arial" w:hAnsi="Arial" w:cs="Arial"/>
          <w:i/>
          <w:lang w:val="en"/>
        </w:rPr>
        <w:t>In vitro</w:t>
      </w:r>
      <w:r w:rsidRPr="00A51746">
        <w:rPr>
          <w:rFonts w:ascii="Arial" w:hAnsi="Arial" w:cs="Arial"/>
          <w:lang w:val="en"/>
        </w:rPr>
        <w:t xml:space="preserve">, </w:t>
      </w:r>
      <w:proofErr w:type="spellStart"/>
      <w:r w:rsidRPr="00A51746">
        <w:rPr>
          <w:rFonts w:ascii="Arial" w:hAnsi="Arial" w:cs="Arial"/>
          <w:lang w:val="en"/>
        </w:rPr>
        <w:t>cabotegravir</w:t>
      </w:r>
      <w:proofErr w:type="spellEnd"/>
      <w:r w:rsidRPr="00A51746">
        <w:rPr>
          <w:rFonts w:ascii="Arial" w:hAnsi="Arial" w:cs="Arial"/>
          <w:lang w:val="en"/>
        </w:rPr>
        <w:t xml:space="preserve"> did not induce CYP1A2, CYP2B6, or CYP3A4.</w:t>
      </w:r>
    </w:p>
    <w:p w14:paraId="365BF011" w14:textId="77777777" w:rsidR="00B9290E" w:rsidRPr="00A51746" w:rsidRDefault="00B9290E" w:rsidP="00A51746">
      <w:pPr>
        <w:rPr>
          <w:rFonts w:ascii="Arial" w:hAnsi="Arial" w:cs="Arial"/>
          <w:lang w:val="en"/>
        </w:rPr>
      </w:pPr>
      <w:r w:rsidRPr="00A51746">
        <w:rPr>
          <w:rFonts w:ascii="Arial" w:hAnsi="Arial" w:cs="Arial"/>
          <w:lang w:val="en"/>
        </w:rPr>
        <w:t xml:space="preserve">Based on these data and the results of drug interaction studies, </w:t>
      </w:r>
      <w:proofErr w:type="spellStart"/>
      <w:r w:rsidRPr="00A51746">
        <w:rPr>
          <w:rFonts w:ascii="Arial" w:hAnsi="Arial" w:cs="Arial"/>
          <w:lang w:val="en"/>
        </w:rPr>
        <w:t>cabotegravir</w:t>
      </w:r>
      <w:proofErr w:type="spellEnd"/>
      <w:r w:rsidRPr="00A51746">
        <w:rPr>
          <w:rFonts w:ascii="Arial" w:hAnsi="Arial" w:cs="Arial"/>
          <w:lang w:val="en"/>
        </w:rPr>
        <w:t xml:space="preserve"> is not expected to affect the pharmacokinetics of medicinal products that are substrates of these enzymes or transporters.</w:t>
      </w:r>
    </w:p>
    <w:p w14:paraId="00159977" w14:textId="6B696C57" w:rsidR="00B9290E" w:rsidRPr="00A51746" w:rsidRDefault="00B9290E" w:rsidP="00A51746">
      <w:pPr>
        <w:rPr>
          <w:rFonts w:ascii="Arial" w:hAnsi="Arial" w:cs="Arial"/>
          <w:lang w:val="en"/>
        </w:rPr>
      </w:pPr>
      <w:r w:rsidRPr="00A51746">
        <w:rPr>
          <w:rFonts w:ascii="Arial" w:hAnsi="Arial" w:cs="Arial"/>
          <w:lang w:val="en"/>
        </w:rPr>
        <w:lastRenderedPageBreak/>
        <w:t xml:space="preserve">Based on the </w:t>
      </w:r>
      <w:r w:rsidRPr="001C1B56">
        <w:rPr>
          <w:rFonts w:ascii="Arial" w:hAnsi="Arial" w:cs="Arial"/>
          <w:i/>
          <w:lang w:val="en"/>
        </w:rPr>
        <w:t>in vitro</w:t>
      </w:r>
      <w:r w:rsidRPr="00A51746">
        <w:rPr>
          <w:rFonts w:ascii="Arial" w:hAnsi="Arial" w:cs="Arial"/>
          <w:lang w:val="en"/>
        </w:rPr>
        <w:t xml:space="preserve"> and clinical drug interaction profile, </w:t>
      </w:r>
      <w:proofErr w:type="spellStart"/>
      <w:r w:rsidRPr="00A51746">
        <w:rPr>
          <w:rFonts w:ascii="Arial" w:hAnsi="Arial" w:cs="Arial"/>
          <w:lang w:val="en"/>
        </w:rPr>
        <w:t>cabotegravir</w:t>
      </w:r>
      <w:proofErr w:type="spellEnd"/>
      <w:r w:rsidRPr="00A51746">
        <w:rPr>
          <w:rFonts w:ascii="Arial" w:hAnsi="Arial" w:cs="Arial"/>
          <w:lang w:val="en"/>
        </w:rPr>
        <w:t xml:space="preserve"> is not expected to alter concentrations of other antiretroviral medications including protease inhibitors, nucleoside reverse transcriptase inhibitors, non-nucleoside reverse transcriptase inhibitors, integrase inhibitors, entry inhibitors or </w:t>
      </w:r>
      <w:proofErr w:type="spellStart"/>
      <w:r w:rsidRPr="00A51746">
        <w:rPr>
          <w:rFonts w:ascii="Arial" w:hAnsi="Arial" w:cs="Arial"/>
          <w:lang w:val="en"/>
        </w:rPr>
        <w:t>ibalizumab</w:t>
      </w:r>
      <w:proofErr w:type="spellEnd"/>
      <w:r w:rsidRPr="00A51746">
        <w:rPr>
          <w:rFonts w:ascii="Arial" w:hAnsi="Arial" w:cs="Arial"/>
          <w:lang w:val="en"/>
        </w:rPr>
        <w:t>.</w:t>
      </w:r>
    </w:p>
    <w:p w14:paraId="57AD232D" w14:textId="76D91AFA" w:rsidR="00B9290E" w:rsidRPr="00A51746" w:rsidRDefault="00B9290E" w:rsidP="00A51746">
      <w:pPr>
        <w:rPr>
          <w:rFonts w:ascii="Arial" w:hAnsi="Arial" w:cs="Arial"/>
          <w:lang w:val="en"/>
        </w:rPr>
      </w:pPr>
      <w:r w:rsidRPr="00A51746">
        <w:rPr>
          <w:rFonts w:ascii="Arial" w:hAnsi="Arial" w:cs="Arial"/>
          <w:lang w:val="en"/>
        </w:rPr>
        <w:t xml:space="preserve">No drug interaction studies have been performed with </w:t>
      </w:r>
      <w:proofErr w:type="spellStart"/>
      <w:r w:rsidRPr="00A51746">
        <w:rPr>
          <w:rFonts w:ascii="Arial" w:hAnsi="Arial" w:cs="Arial"/>
          <w:lang w:val="en"/>
        </w:rPr>
        <w:t>cabotegravir</w:t>
      </w:r>
      <w:proofErr w:type="spellEnd"/>
      <w:r w:rsidRPr="00A51746">
        <w:rPr>
          <w:rFonts w:ascii="Arial" w:hAnsi="Arial" w:cs="Arial"/>
          <w:lang w:val="en"/>
        </w:rPr>
        <w:t xml:space="preserve"> injection. </w:t>
      </w:r>
      <w:bookmarkStart w:id="13" w:name="_Hlk6246196"/>
      <w:r w:rsidRPr="00A51746">
        <w:rPr>
          <w:rFonts w:ascii="Arial" w:hAnsi="Arial" w:cs="Arial"/>
          <w:lang w:val="en"/>
        </w:rPr>
        <w:t xml:space="preserve">The drug interaction data provided in Table </w:t>
      </w:r>
      <w:r w:rsidR="00B11DE6">
        <w:rPr>
          <w:rFonts w:ascii="Arial" w:hAnsi="Arial" w:cs="Arial"/>
          <w:lang w:val="en"/>
        </w:rPr>
        <w:t>1</w:t>
      </w:r>
      <w:r w:rsidRPr="00A51746">
        <w:rPr>
          <w:rFonts w:ascii="Arial" w:hAnsi="Arial" w:cs="Arial"/>
          <w:lang w:val="en"/>
        </w:rPr>
        <w:t xml:space="preserve"> is obtained from studies with oral </w:t>
      </w:r>
      <w:proofErr w:type="spellStart"/>
      <w:r w:rsidRPr="00A51746">
        <w:rPr>
          <w:rFonts w:ascii="Arial" w:hAnsi="Arial" w:cs="Arial"/>
          <w:lang w:val="en"/>
        </w:rPr>
        <w:t>cabotegravir</w:t>
      </w:r>
      <w:bookmarkEnd w:id="13"/>
      <w:proofErr w:type="spellEnd"/>
      <w:r w:rsidR="002A27F8">
        <w:rPr>
          <w:rFonts w:ascii="Arial" w:hAnsi="Arial" w:cs="Arial"/>
          <w:lang w:val="en"/>
        </w:rPr>
        <w:t>.</w:t>
      </w:r>
    </w:p>
    <w:p w14:paraId="282B50FD" w14:textId="59DFB1DA" w:rsidR="00071855" w:rsidRPr="002A27F8" w:rsidRDefault="001C1B56" w:rsidP="00071855">
      <w:pPr>
        <w:rPr>
          <w:rFonts w:ascii="Arial" w:hAnsi="Arial" w:cs="Arial"/>
          <w:b/>
        </w:rPr>
      </w:pPr>
      <w:r w:rsidRPr="002A27F8">
        <w:rPr>
          <w:rFonts w:ascii="Arial" w:hAnsi="Arial" w:cs="Arial"/>
          <w:b/>
        </w:rPr>
        <w:t xml:space="preserve">Table </w:t>
      </w:r>
      <w:r w:rsidR="00B11DE6">
        <w:rPr>
          <w:rFonts w:ascii="Arial" w:hAnsi="Arial" w:cs="Arial"/>
          <w:b/>
        </w:rPr>
        <w:t>1</w:t>
      </w:r>
      <w:r w:rsidRPr="002A27F8">
        <w:rPr>
          <w:rFonts w:ascii="Arial" w:hAnsi="Arial" w:cs="Arial"/>
          <w:b/>
        </w:rPr>
        <w:t>: Drug Interactions</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765"/>
        <w:gridCol w:w="4749"/>
      </w:tblGrid>
      <w:tr w:rsidR="001C1B56" w:rsidRPr="001C1B56" w14:paraId="5E2AE75A" w14:textId="77777777" w:rsidTr="00D551A4">
        <w:trPr>
          <w:tblHeader/>
        </w:trPr>
        <w:tc>
          <w:tcPr>
            <w:tcW w:w="2236" w:type="dxa"/>
            <w:tcBorders>
              <w:top w:val="single" w:sz="4" w:space="0" w:color="auto"/>
              <w:left w:val="single" w:sz="4" w:space="0" w:color="auto"/>
              <w:bottom w:val="single" w:sz="4" w:space="0" w:color="auto"/>
              <w:right w:val="single" w:sz="4" w:space="0" w:color="auto"/>
            </w:tcBorders>
            <w:hideMark/>
          </w:tcPr>
          <w:p w14:paraId="20CEC0A5" w14:textId="77777777" w:rsidR="001C1B56" w:rsidRPr="001C1B56" w:rsidRDefault="001C1B56" w:rsidP="002A27F8">
            <w:pPr>
              <w:spacing w:after="0"/>
              <w:rPr>
                <w:rFonts w:ascii="Arial Narrow" w:hAnsi="Arial Narrow"/>
                <w:b/>
                <w:sz w:val="20"/>
                <w:szCs w:val="20"/>
                <w:lang w:val="en-US"/>
              </w:rPr>
            </w:pPr>
            <w:r w:rsidRPr="001C1B56">
              <w:rPr>
                <w:rFonts w:ascii="Arial Narrow" w:hAnsi="Arial Narrow"/>
                <w:b/>
                <w:sz w:val="20"/>
                <w:szCs w:val="20"/>
                <w:lang w:val="en-US"/>
              </w:rPr>
              <w:t>Medicinal products by therapeutic areas</w:t>
            </w:r>
          </w:p>
        </w:tc>
        <w:tc>
          <w:tcPr>
            <w:tcW w:w="2765" w:type="dxa"/>
            <w:tcBorders>
              <w:top w:val="single" w:sz="4" w:space="0" w:color="auto"/>
              <w:left w:val="single" w:sz="4" w:space="0" w:color="auto"/>
              <w:bottom w:val="single" w:sz="4" w:space="0" w:color="auto"/>
              <w:right w:val="single" w:sz="4" w:space="0" w:color="auto"/>
            </w:tcBorders>
            <w:hideMark/>
          </w:tcPr>
          <w:p w14:paraId="36C13F67" w14:textId="77777777" w:rsidR="001C1B56" w:rsidRPr="001C1B56" w:rsidRDefault="001C1B56" w:rsidP="002A27F8">
            <w:pPr>
              <w:spacing w:after="0"/>
              <w:rPr>
                <w:rFonts w:ascii="Arial Narrow" w:hAnsi="Arial Narrow"/>
                <w:b/>
                <w:sz w:val="20"/>
                <w:szCs w:val="20"/>
                <w:lang w:val="en-US"/>
              </w:rPr>
            </w:pPr>
            <w:r w:rsidRPr="001C1B56">
              <w:rPr>
                <w:rFonts w:ascii="Arial Narrow" w:hAnsi="Arial Narrow"/>
                <w:b/>
                <w:sz w:val="20"/>
                <w:szCs w:val="20"/>
                <w:lang w:val="en-US"/>
              </w:rPr>
              <w:t>Interaction</w:t>
            </w:r>
          </w:p>
          <w:p w14:paraId="2EAA1482" w14:textId="77777777" w:rsidR="001C1B56" w:rsidRPr="00041420" w:rsidRDefault="001C1B56" w:rsidP="002A27F8">
            <w:pPr>
              <w:spacing w:after="0"/>
              <w:rPr>
                <w:rFonts w:ascii="Arial Narrow" w:hAnsi="Arial Narrow"/>
                <w:b/>
                <w:sz w:val="20"/>
                <w:szCs w:val="20"/>
                <w:lang w:val="en-US"/>
              </w:rPr>
            </w:pPr>
            <w:r w:rsidRPr="00003780">
              <w:rPr>
                <w:rFonts w:ascii="Arial Narrow" w:hAnsi="Arial Narrow"/>
                <w:b/>
                <w:sz w:val="20"/>
                <w:szCs w:val="20"/>
                <w:lang w:val="en-US"/>
              </w:rPr>
              <w:t>Geometric mean change (%)</w:t>
            </w:r>
          </w:p>
        </w:tc>
        <w:tc>
          <w:tcPr>
            <w:tcW w:w="4749" w:type="dxa"/>
            <w:tcBorders>
              <w:top w:val="single" w:sz="4" w:space="0" w:color="auto"/>
              <w:left w:val="single" w:sz="4" w:space="0" w:color="auto"/>
              <w:bottom w:val="single" w:sz="4" w:space="0" w:color="auto"/>
              <w:right w:val="single" w:sz="4" w:space="0" w:color="auto"/>
            </w:tcBorders>
            <w:hideMark/>
          </w:tcPr>
          <w:p w14:paraId="4DE17AA5" w14:textId="77777777" w:rsidR="001C1B56" w:rsidRPr="001C1B56" w:rsidRDefault="001C1B56" w:rsidP="002A27F8">
            <w:pPr>
              <w:spacing w:after="0"/>
              <w:rPr>
                <w:rFonts w:ascii="Arial Narrow" w:hAnsi="Arial Narrow"/>
                <w:b/>
                <w:sz w:val="20"/>
                <w:szCs w:val="20"/>
                <w:lang w:val="en-US"/>
              </w:rPr>
            </w:pPr>
            <w:r w:rsidRPr="001C1B56">
              <w:rPr>
                <w:rFonts w:ascii="Arial Narrow" w:hAnsi="Arial Narrow"/>
                <w:b/>
                <w:sz w:val="20"/>
                <w:szCs w:val="20"/>
                <w:lang w:val="en-US"/>
              </w:rPr>
              <w:t>Recommendations concerning co</w:t>
            </w:r>
            <w:r w:rsidRPr="001C1B56">
              <w:rPr>
                <w:rFonts w:ascii="Arial Narrow" w:hAnsi="Arial Narrow"/>
                <w:b/>
                <w:sz w:val="20"/>
                <w:szCs w:val="20"/>
                <w:lang w:val="en-US"/>
              </w:rPr>
              <w:noBreakHyphen/>
              <w:t>administration</w:t>
            </w:r>
          </w:p>
        </w:tc>
      </w:tr>
      <w:tr w:rsidR="001C1B56" w:rsidRPr="001C1B56" w14:paraId="55264E9C"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2EFA589D" w14:textId="77777777" w:rsidR="001C1B56" w:rsidRPr="001C1B56" w:rsidRDefault="001C1B56" w:rsidP="002A27F8">
            <w:pPr>
              <w:spacing w:after="0"/>
              <w:rPr>
                <w:rFonts w:ascii="Arial Narrow" w:hAnsi="Arial Narrow"/>
                <w:i/>
                <w:sz w:val="20"/>
                <w:szCs w:val="20"/>
                <w:lang w:val="en-US"/>
              </w:rPr>
            </w:pPr>
            <w:r w:rsidRPr="001C1B56">
              <w:rPr>
                <w:rFonts w:ascii="Arial Narrow" w:hAnsi="Arial Narrow"/>
                <w:i/>
                <w:sz w:val="20"/>
                <w:szCs w:val="20"/>
                <w:lang w:val="en-US"/>
              </w:rPr>
              <w:t>HIV-1 Antiviral medicinal products</w:t>
            </w:r>
          </w:p>
        </w:tc>
      </w:tr>
      <w:tr w:rsidR="001C1B56" w:rsidRPr="001C1B56" w14:paraId="58E74F7A"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39A28CC4"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Non-nucleoside Reverse Transcriptase Inhibitor:</w:t>
            </w:r>
            <w:r w:rsidRPr="001C1B56">
              <w:rPr>
                <w:rFonts w:ascii="Arial Narrow" w:hAnsi="Arial Narrow"/>
                <w:sz w:val="20"/>
                <w:szCs w:val="20"/>
                <w:lang w:val="en-US"/>
              </w:rPr>
              <w:br/>
            </w:r>
            <w:proofErr w:type="spellStart"/>
            <w:r w:rsidRPr="001C1B56">
              <w:rPr>
                <w:rFonts w:ascii="Arial Narrow" w:hAnsi="Arial Narrow"/>
                <w:sz w:val="20"/>
                <w:szCs w:val="20"/>
                <w:lang w:val="en-US"/>
              </w:rPr>
              <w:t>Etravirine</w:t>
            </w:r>
            <w:proofErr w:type="spellEnd"/>
          </w:p>
        </w:tc>
        <w:tc>
          <w:tcPr>
            <w:tcW w:w="2765" w:type="dxa"/>
            <w:tcBorders>
              <w:top w:val="single" w:sz="4" w:space="0" w:color="auto"/>
              <w:left w:val="single" w:sz="4" w:space="0" w:color="auto"/>
              <w:bottom w:val="single" w:sz="4" w:space="0" w:color="auto"/>
              <w:right w:val="single" w:sz="4" w:space="0" w:color="auto"/>
            </w:tcBorders>
          </w:tcPr>
          <w:p w14:paraId="2BFF09BB"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B"/>
            </w:r>
          </w:p>
          <w:p w14:paraId="72250C32"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AUC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1%</w:t>
            </w:r>
          </w:p>
          <w:p w14:paraId="1251BC06"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Pr="002A27F8">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4%</w:t>
            </w:r>
          </w:p>
          <w:p w14:paraId="64A6EE58"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sz w:val="20"/>
                <w:szCs w:val="20"/>
                <w:lang w:val="en-US"/>
              </w:rPr>
              <w:t>τ</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B"/>
            </w:r>
            <w:r w:rsidRPr="002A27F8">
              <w:rPr>
                <w:rFonts w:ascii="Arial Narrow" w:eastAsia="Times New Roman" w:hAnsi="Arial Narrow" w:cs="Times New Roman"/>
                <w:sz w:val="20"/>
                <w:szCs w:val="20"/>
                <w:lang w:val="en-US"/>
              </w:rPr>
              <w:t xml:space="preserve"> 0%</w:t>
            </w:r>
          </w:p>
          <w:p w14:paraId="7312A0B3"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
        </w:tc>
        <w:tc>
          <w:tcPr>
            <w:tcW w:w="4749" w:type="dxa"/>
            <w:tcBorders>
              <w:top w:val="single" w:sz="4" w:space="0" w:color="auto"/>
              <w:left w:val="single" w:sz="4" w:space="0" w:color="auto"/>
              <w:bottom w:val="single" w:sz="4" w:space="0" w:color="auto"/>
              <w:right w:val="single" w:sz="4" w:space="0" w:color="auto"/>
            </w:tcBorders>
            <w:hideMark/>
          </w:tcPr>
          <w:p w14:paraId="2CABE119" w14:textId="77777777" w:rsidR="001C1B56" w:rsidRPr="001C1B56" w:rsidRDefault="001C1B56" w:rsidP="002A27F8">
            <w:pPr>
              <w:spacing w:after="0"/>
              <w:rPr>
                <w:rFonts w:ascii="Arial Narrow" w:hAnsi="Arial Narrow"/>
                <w:sz w:val="20"/>
                <w:szCs w:val="20"/>
                <w:lang w:val="en-US"/>
              </w:rPr>
            </w:pPr>
            <w:proofErr w:type="spellStart"/>
            <w:r w:rsidRPr="001C1B56">
              <w:rPr>
                <w:rFonts w:ascii="Arial Narrow" w:hAnsi="Arial Narrow"/>
                <w:sz w:val="20"/>
                <w:szCs w:val="20"/>
                <w:lang w:val="en-US"/>
              </w:rPr>
              <w:t>Etravirine</w:t>
            </w:r>
            <w:proofErr w:type="spellEnd"/>
            <w:r w:rsidRPr="001C1B56">
              <w:rPr>
                <w:rFonts w:ascii="Arial Narrow" w:hAnsi="Arial Narrow"/>
                <w:sz w:val="20"/>
                <w:szCs w:val="20"/>
                <w:lang w:val="en-US"/>
              </w:rPr>
              <w:t xml:space="preserve"> did not significantly change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 No dose adjustment of </w:t>
            </w:r>
            <w:r w:rsidR="002A27F8" w:rsidRPr="001C1B56">
              <w:rPr>
                <w:rFonts w:ascii="Arial Narrow" w:hAnsi="Arial Narrow"/>
                <w:sz w:val="20"/>
                <w:szCs w:val="20"/>
                <w:lang w:val="en-US"/>
              </w:rPr>
              <w:t xml:space="preserve">VOCABRIA </w:t>
            </w:r>
            <w:r w:rsidRPr="001C1B56">
              <w:rPr>
                <w:rFonts w:ascii="Arial Narrow" w:hAnsi="Arial Narrow"/>
                <w:sz w:val="20"/>
                <w:szCs w:val="20"/>
                <w:lang w:val="en-US"/>
              </w:rPr>
              <w:t xml:space="preserve">is necessary when co-administered with </w:t>
            </w:r>
            <w:proofErr w:type="spellStart"/>
            <w:r w:rsidRPr="001C1B56">
              <w:rPr>
                <w:rFonts w:ascii="Arial Narrow" w:hAnsi="Arial Narrow"/>
                <w:sz w:val="20"/>
                <w:szCs w:val="20"/>
                <w:lang w:val="en-US"/>
              </w:rPr>
              <w:t>etravirine</w:t>
            </w:r>
            <w:proofErr w:type="spellEnd"/>
            <w:r w:rsidRPr="001C1B56">
              <w:rPr>
                <w:rFonts w:ascii="Arial Narrow" w:hAnsi="Arial Narrow"/>
                <w:sz w:val="20"/>
                <w:szCs w:val="20"/>
                <w:lang w:val="en-US"/>
              </w:rPr>
              <w:t>.</w:t>
            </w:r>
          </w:p>
        </w:tc>
      </w:tr>
      <w:tr w:rsidR="001C1B56" w:rsidRPr="001C1B56" w14:paraId="2295312D"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3CE0DB87"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Non-nucleoside Reverse Transcriptase Inhibitor:</w:t>
            </w:r>
            <w:r w:rsidRPr="001C1B56">
              <w:rPr>
                <w:rFonts w:ascii="Arial Narrow" w:hAnsi="Arial Narrow"/>
                <w:sz w:val="20"/>
                <w:szCs w:val="20"/>
                <w:lang w:val="en-US"/>
              </w:rPr>
              <w:br/>
            </w:r>
            <w:proofErr w:type="spellStart"/>
            <w:r w:rsidRPr="001C1B56">
              <w:rPr>
                <w:rFonts w:ascii="Arial Narrow" w:hAnsi="Arial Narrow"/>
                <w:sz w:val="20"/>
                <w:szCs w:val="20"/>
                <w:lang w:val="en-US"/>
              </w:rPr>
              <w:t>Rilpivirine</w:t>
            </w:r>
            <w:proofErr w:type="spellEnd"/>
          </w:p>
        </w:tc>
        <w:tc>
          <w:tcPr>
            <w:tcW w:w="2765" w:type="dxa"/>
            <w:tcBorders>
              <w:top w:val="single" w:sz="4" w:space="0" w:color="auto"/>
              <w:left w:val="single" w:sz="4" w:space="0" w:color="auto"/>
              <w:bottom w:val="single" w:sz="4" w:space="0" w:color="auto"/>
              <w:right w:val="single" w:sz="4" w:space="0" w:color="auto"/>
            </w:tcBorders>
          </w:tcPr>
          <w:p w14:paraId="1952AC94" w14:textId="0A90C08A"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00FF7220" w:rsidRPr="002A27F8">
              <w:rPr>
                <w:rFonts w:ascii="Arial Narrow" w:eastAsia="Times New Roman" w:hAnsi="Arial Narrow" w:cs="Times New Roman"/>
                <w:sz w:val="20"/>
                <w:szCs w:val="20"/>
                <w:lang w:val="en-US"/>
              </w:rPr>
              <w:sym w:font="Symbol" w:char="F0AB"/>
            </w:r>
            <w:r w:rsidRPr="002A27F8">
              <w:rPr>
                <w:rFonts w:ascii="Arial Narrow" w:eastAsia="Times New Roman" w:hAnsi="Arial Narrow" w:cs="Times New Roman"/>
                <w:sz w:val="20"/>
                <w:szCs w:val="20"/>
                <w:lang w:val="en-US"/>
              </w:rPr>
              <w:br/>
              <w:t xml:space="preserve">AUC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12%</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2A27F8">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5%</w:t>
            </w:r>
          </w:p>
          <w:p w14:paraId="13B357C6"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14%</w:t>
            </w:r>
          </w:p>
          <w:p w14:paraId="623B0EA2"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
          <w:p w14:paraId="0EAD568A"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Rilpivirine</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B"/>
            </w:r>
          </w:p>
          <w:p w14:paraId="2ADD9F03"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AUC </w:t>
            </w:r>
            <w:r w:rsidR="00774CD0"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1%</w:t>
            </w:r>
          </w:p>
          <w:p w14:paraId="1329F662"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Pr="00774CD0">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00774CD0" w:rsidRPr="002A27F8">
              <w:rPr>
                <w:rFonts w:ascii="Arial Narrow" w:eastAsia="Times New Roman" w:hAnsi="Arial Narrow" w:cs="Times New Roman"/>
                <w:sz w:val="20"/>
                <w:szCs w:val="20"/>
                <w:lang w:val="en-US"/>
              </w:rPr>
              <w:sym w:font="Symbol" w:char="F0AF"/>
            </w:r>
            <w:r w:rsidR="00774CD0">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t>4%</w:t>
            </w:r>
          </w:p>
          <w:p w14:paraId="4BDDBB3C"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00774CD0" w:rsidRPr="002A27F8">
              <w:rPr>
                <w:rFonts w:ascii="Arial Narrow" w:eastAsia="Times New Roman" w:hAnsi="Arial Narrow" w:cs="Times New Roman"/>
                <w:sz w:val="20"/>
                <w:szCs w:val="20"/>
                <w:lang w:val="en-US"/>
              </w:rPr>
              <w:sym w:font="Symbol" w:char="F0AF"/>
            </w:r>
            <w:r w:rsidR="00774CD0">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t>8%</w:t>
            </w:r>
          </w:p>
          <w:p w14:paraId="1464B807"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
        </w:tc>
        <w:tc>
          <w:tcPr>
            <w:tcW w:w="4749" w:type="dxa"/>
            <w:tcBorders>
              <w:top w:val="single" w:sz="4" w:space="0" w:color="auto"/>
              <w:left w:val="single" w:sz="4" w:space="0" w:color="auto"/>
              <w:bottom w:val="single" w:sz="4" w:space="0" w:color="auto"/>
              <w:right w:val="single" w:sz="4" w:space="0" w:color="auto"/>
            </w:tcBorders>
            <w:hideMark/>
          </w:tcPr>
          <w:p w14:paraId="76F4A61A" w14:textId="77777777" w:rsidR="001C1B56" w:rsidRPr="001C1B56" w:rsidRDefault="001C1B56" w:rsidP="002A27F8">
            <w:pPr>
              <w:spacing w:after="0"/>
              <w:rPr>
                <w:rFonts w:ascii="Arial Narrow" w:hAnsi="Arial Narrow"/>
                <w:sz w:val="20"/>
                <w:szCs w:val="20"/>
                <w:lang w:val="en-US"/>
              </w:rPr>
            </w:pPr>
            <w:proofErr w:type="spellStart"/>
            <w:r w:rsidRPr="001C1B56">
              <w:rPr>
                <w:rFonts w:ascii="Arial Narrow" w:hAnsi="Arial Narrow"/>
                <w:sz w:val="20"/>
                <w:szCs w:val="20"/>
                <w:lang w:val="en-US"/>
              </w:rPr>
              <w:t>Rilpivirine</w:t>
            </w:r>
            <w:proofErr w:type="spellEnd"/>
            <w:r w:rsidRPr="001C1B56">
              <w:rPr>
                <w:rFonts w:ascii="Arial Narrow" w:hAnsi="Arial Narrow"/>
                <w:sz w:val="20"/>
                <w:szCs w:val="20"/>
                <w:lang w:val="en-US"/>
              </w:rPr>
              <w:t xml:space="preserve"> did not significantly change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 No dose adjustment of </w:t>
            </w:r>
            <w:r w:rsidR="002A27F8" w:rsidRPr="001C1B56">
              <w:rPr>
                <w:rFonts w:ascii="Arial Narrow" w:hAnsi="Arial Narrow"/>
                <w:sz w:val="20"/>
                <w:szCs w:val="20"/>
                <w:lang w:val="en-US"/>
              </w:rPr>
              <w:t xml:space="preserve">VOCABRIA </w:t>
            </w:r>
            <w:r w:rsidRPr="001C1B56">
              <w:rPr>
                <w:rFonts w:ascii="Arial Narrow" w:hAnsi="Arial Narrow"/>
                <w:sz w:val="20"/>
                <w:szCs w:val="20"/>
                <w:lang w:val="en-US"/>
              </w:rPr>
              <w:t xml:space="preserve">is necessary when co-administered with </w:t>
            </w:r>
            <w:proofErr w:type="spellStart"/>
            <w:r w:rsidRPr="001C1B56">
              <w:rPr>
                <w:rFonts w:ascii="Arial Narrow" w:hAnsi="Arial Narrow"/>
                <w:sz w:val="20"/>
                <w:szCs w:val="20"/>
                <w:lang w:val="en-US"/>
              </w:rPr>
              <w:t>rilpivirine</w:t>
            </w:r>
            <w:proofErr w:type="spellEnd"/>
            <w:r w:rsidRPr="001C1B56">
              <w:rPr>
                <w:rFonts w:ascii="Arial Narrow" w:hAnsi="Arial Narrow"/>
                <w:sz w:val="20"/>
                <w:szCs w:val="20"/>
                <w:lang w:val="en-US"/>
              </w:rPr>
              <w:t>.</w:t>
            </w:r>
          </w:p>
        </w:tc>
      </w:tr>
      <w:tr w:rsidR="001C1B56" w:rsidRPr="001C1B56" w14:paraId="33E7C18F"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508C5D65" w14:textId="77777777" w:rsidR="001C1B56" w:rsidRPr="001C1B56" w:rsidRDefault="001C1B56" w:rsidP="002A27F8">
            <w:pPr>
              <w:spacing w:after="0"/>
              <w:rPr>
                <w:rFonts w:ascii="Arial Narrow" w:hAnsi="Arial Narrow"/>
                <w:i/>
                <w:sz w:val="20"/>
                <w:szCs w:val="20"/>
                <w:lang w:val="en-US"/>
              </w:rPr>
            </w:pPr>
            <w:r w:rsidRPr="001C1B56">
              <w:rPr>
                <w:rFonts w:ascii="Arial Narrow" w:hAnsi="Arial Narrow"/>
                <w:i/>
                <w:sz w:val="20"/>
                <w:szCs w:val="20"/>
                <w:lang w:val="en-US"/>
              </w:rPr>
              <w:t>Anticonvulsants</w:t>
            </w:r>
          </w:p>
        </w:tc>
      </w:tr>
      <w:tr w:rsidR="001C1B56" w:rsidRPr="001C1B56" w14:paraId="16B9B42D"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5CF96AEE" w14:textId="77777777"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Carbamazepine</w:t>
            </w:r>
            <w:r w:rsidRPr="001C1B56">
              <w:rPr>
                <w:rFonts w:ascii="Arial Narrow" w:hAnsi="Arial Narrow"/>
                <w:sz w:val="20"/>
                <w:szCs w:val="20"/>
                <w:lang w:val="en-US"/>
              </w:rPr>
              <w:br/>
              <w:t>Oxcarbazepine</w:t>
            </w:r>
            <w:r w:rsidRPr="001C1B56">
              <w:rPr>
                <w:rFonts w:ascii="Arial Narrow" w:hAnsi="Arial Narrow"/>
                <w:sz w:val="20"/>
                <w:szCs w:val="20"/>
                <w:lang w:val="en-US"/>
              </w:rPr>
              <w:br/>
              <w:t>Phenytoin</w:t>
            </w:r>
            <w:r w:rsidRPr="001C1B56">
              <w:rPr>
                <w:rFonts w:ascii="Arial Narrow" w:hAnsi="Arial Narrow"/>
                <w:sz w:val="20"/>
                <w:szCs w:val="20"/>
                <w:lang w:val="en-US"/>
              </w:rPr>
              <w:br/>
              <w:t>Phenobarbital</w:t>
            </w:r>
          </w:p>
        </w:tc>
        <w:tc>
          <w:tcPr>
            <w:tcW w:w="2765" w:type="dxa"/>
            <w:tcBorders>
              <w:top w:val="single" w:sz="4" w:space="0" w:color="auto"/>
              <w:left w:val="single" w:sz="4" w:space="0" w:color="auto"/>
              <w:bottom w:val="single" w:sz="4" w:space="0" w:color="auto"/>
              <w:right w:val="single" w:sz="4" w:space="0" w:color="auto"/>
            </w:tcBorders>
            <w:hideMark/>
          </w:tcPr>
          <w:p w14:paraId="67882073"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p>
        </w:tc>
        <w:tc>
          <w:tcPr>
            <w:tcW w:w="4749" w:type="dxa"/>
            <w:tcBorders>
              <w:top w:val="single" w:sz="4" w:space="0" w:color="auto"/>
              <w:left w:val="single" w:sz="4" w:space="0" w:color="auto"/>
              <w:bottom w:val="single" w:sz="4" w:space="0" w:color="auto"/>
              <w:right w:val="single" w:sz="4" w:space="0" w:color="auto"/>
            </w:tcBorders>
            <w:hideMark/>
          </w:tcPr>
          <w:p w14:paraId="6C51BC82" w14:textId="6358D324" w:rsidR="001C1B56" w:rsidRPr="001C1B56" w:rsidRDefault="001C1B56" w:rsidP="002A27F8">
            <w:pPr>
              <w:spacing w:after="0"/>
              <w:rPr>
                <w:rFonts w:ascii="Arial Narrow" w:hAnsi="Arial Narrow"/>
                <w:sz w:val="20"/>
                <w:szCs w:val="20"/>
                <w:lang w:val="en-US"/>
              </w:rPr>
            </w:pPr>
            <w:r w:rsidRPr="001C1B56">
              <w:rPr>
                <w:rFonts w:ascii="Arial Narrow" w:hAnsi="Arial Narrow"/>
                <w:sz w:val="20"/>
                <w:szCs w:val="20"/>
                <w:lang w:val="en-US"/>
              </w:rPr>
              <w:t xml:space="preserve">Metabolic inducers may significantly decrease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 Concomitant use is contraindicated</w:t>
            </w:r>
            <w:r w:rsidR="00C81D88">
              <w:rPr>
                <w:rFonts w:ascii="Arial Narrow" w:hAnsi="Arial Narrow"/>
                <w:sz w:val="20"/>
                <w:szCs w:val="20"/>
                <w:lang w:val="en-US"/>
              </w:rPr>
              <w:t xml:space="preserve"> (see Section 4.3 CONTRAINDICATIONS)</w:t>
            </w:r>
            <w:r w:rsidRPr="001C1B56">
              <w:rPr>
                <w:rFonts w:ascii="Arial Narrow" w:hAnsi="Arial Narrow"/>
                <w:sz w:val="20"/>
                <w:szCs w:val="20"/>
                <w:lang w:val="en-US"/>
              </w:rPr>
              <w:t>.</w:t>
            </w:r>
          </w:p>
        </w:tc>
      </w:tr>
      <w:tr w:rsidR="001C1B56" w:rsidRPr="001C1B56" w14:paraId="1255CA16"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6D41DA04" w14:textId="77777777" w:rsidR="001C1B56" w:rsidRPr="001C1B56" w:rsidRDefault="001C1B56" w:rsidP="002A27F8">
            <w:pPr>
              <w:spacing w:after="0"/>
              <w:rPr>
                <w:rFonts w:ascii="Arial Narrow" w:hAnsi="Arial Narrow"/>
                <w:i/>
                <w:sz w:val="20"/>
                <w:szCs w:val="20"/>
                <w:lang w:val="en-US"/>
              </w:rPr>
            </w:pPr>
            <w:proofErr w:type="spellStart"/>
            <w:r w:rsidRPr="001C1B56">
              <w:rPr>
                <w:rFonts w:ascii="Arial Narrow" w:hAnsi="Arial Narrow"/>
                <w:i/>
                <w:sz w:val="20"/>
                <w:szCs w:val="20"/>
                <w:lang w:val="en-US"/>
              </w:rPr>
              <w:t>Antimycobacterials</w:t>
            </w:r>
            <w:proofErr w:type="spellEnd"/>
          </w:p>
        </w:tc>
      </w:tr>
      <w:tr w:rsidR="001C1B56" w:rsidRPr="001C1B56" w14:paraId="57EF320A" w14:textId="77777777" w:rsidTr="002A27F8">
        <w:tc>
          <w:tcPr>
            <w:tcW w:w="2236" w:type="dxa"/>
            <w:tcBorders>
              <w:top w:val="single" w:sz="4" w:space="0" w:color="auto"/>
              <w:left w:val="single" w:sz="4" w:space="0" w:color="auto"/>
              <w:bottom w:val="single" w:sz="4" w:space="0" w:color="auto"/>
              <w:right w:val="single" w:sz="4" w:space="0" w:color="auto"/>
            </w:tcBorders>
          </w:tcPr>
          <w:p w14:paraId="0BB7B569" w14:textId="6AA33DA0" w:rsidR="001C1B56" w:rsidRPr="001C1B56" w:rsidRDefault="001C1B56" w:rsidP="00D551A4">
            <w:pPr>
              <w:spacing w:after="0"/>
              <w:rPr>
                <w:rFonts w:ascii="Arial Narrow" w:hAnsi="Arial Narrow"/>
                <w:sz w:val="20"/>
                <w:szCs w:val="20"/>
                <w:lang w:val="en-US"/>
              </w:rPr>
            </w:pPr>
            <w:r w:rsidRPr="001C1B56">
              <w:rPr>
                <w:rFonts w:ascii="Arial Narrow" w:hAnsi="Arial Narrow"/>
                <w:sz w:val="20"/>
                <w:szCs w:val="20"/>
                <w:lang w:val="en-US"/>
              </w:rPr>
              <w:t>Rifampicin</w:t>
            </w:r>
          </w:p>
        </w:tc>
        <w:tc>
          <w:tcPr>
            <w:tcW w:w="2765" w:type="dxa"/>
            <w:tcBorders>
              <w:top w:val="single" w:sz="4" w:space="0" w:color="auto"/>
              <w:left w:val="single" w:sz="4" w:space="0" w:color="auto"/>
              <w:bottom w:val="single" w:sz="4" w:space="0" w:color="auto"/>
              <w:right w:val="single" w:sz="4" w:space="0" w:color="auto"/>
            </w:tcBorders>
            <w:hideMark/>
          </w:tcPr>
          <w:p w14:paraId="21B72EE6"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br/>
              <w:t xml:space="preserve">AUC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59%</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774CD0">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6%</w:t>
            </w:r>
          </w:p>
        </w:tc>
        <w:tc>
          <w:tcPr>
            <w:tcW w:w="4749" w:type="dxa"/>
            <w:tcBorders>
              <w:top w:val="single" w:sz="4" w:space="0" w:color="auto"/>
              <w:left w:val="single" w:sz="4" w:space="0" w:color="auto"/>
              <w:bottom w:val="single" w:sz="4" w:space="0" w:color="auto"/>
              <w:right w:val="single" w:sz="4" w:space="0" w:color="auto"/>
            </w:tcBorders>
          </w:tcPr>
          <w:p w14:paraId="06DC993B" w14:textId="0BFA65C9" w:rsidR="001C1B56" w:rsidRPr="001C1B56" w:rsidRDefault="001C1B56" w:rsidP="00D551A4">
            <w:pPr>
              <w:spacing w:after="0"/>
              <w:rPr>
                <w:rFonts w:ascii="Arial Narrow" w:hAnsi="Arial Narrow"/>
                <w:sz w:val="20"/>
                <w:szCs w:val="20"/>
                <w:lang w:val="en-US"/>
              </w:rPr>
            </w:pPr>
            <w:r w:rsidRPr="001C1B56">
              <w:rPr>
                <w:rFonts w:ascii="Arial Narrow" w:hAnsi="Arial Narrow"/>
                <w:sz w:val="20"/>
                <w:szCs w:val="20"/>
                <w:lang w:val="en-US"/>
              </w:rPr>
              <w:t xml:space="preserve">Rifampicin significantly decreased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 which is likely to result in loss of therapeutic effect. Dosing recommendations for co-administration of </w:t>
            </w:r>
            <w:r w:rsidR="00774CD0" w:rsidRPr="001C1B56">
              <w:rPr>
                <w:rFonts w:ascii="Arial Narrow" w:hAnsi="Arial Narrow"/>
                <w:sz w:val="20"/>
                <w:szCs w:val="20"/>
                <w:lang w:val="en-US"/>
              </w:rPr>
              <w:t xml:space="preserve">VOCABRIA </w:t>
            </w:r>
            <w:r w:rsidRPr="001C1B56">
              <w:rPr>
                <w:rFonts w:ascii="Arial Narrow" w:hAnsi="Arial Narrow"/>
                <w:sz w:val="20"/>
                <w:szCs w:val="20"/>
                <w:lang w:val="en-US"/>
              </w:rPr>
              <w:t xml:space="preserve">with rifampicin have not been established and co-administration of </w:t>
            </w:r>
            <w:r w:rsidR="00774CD0" w:rsidRPr="001C1B56">
              <w:rPr>
                <w:rFonts w:ascii="Arial Narrow" w:hAnsi="Arial Narrow"/>
                <w:sz w:val="20"/>
                <w:szCs w:val="20"/>
                <w:lang w:val="en-US"/>
              </w:rPr>
              <w:t xml:space="preserve">VOCABRIA </w:t>
            </w:r>
            <w:r w:rsidRPr="001C1B56">
              <w:rPr>
                <w:rFonts w:ascii="Arial Narrow" w:hAnsi="Arial Narrow"/>
                <w:sz w:val="20"/>
                <w:szCs w:val="20"/>
                <w:lang w:val="en-US"/>
              </w:rPr>
              <w:t>with rifampicin is contraindicated</w:t>
            </w:r>
            <w:r w:rsidR="00C81D88">
              <w:rPr>
                <w:rFonts w:ascii="Arial Narrow" w:hAnsi="Arial Narrow"/>
                <w:sz w:val="20"/>
                <w:szCs w:val="20"/>
                <w:lang w:val="en-US"/>
              </w:rPr>
              <w:t xml:space="preserve"> (see Section 4.3 CONTRAINDICATIONS)</w:t>
            </w:r>
          </w:p>
        </w:tc>
      </w:tr>
      <w:tr w:rsidR="001C1B56" w:rsidRPr="001C1B56" w14:paraId="2E0FB238"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0E5FA006" w14:textId="77777777" w:rsidR="001C1B56" w:rsidRPr="001C1B56" w:rsidRDefault="001C1B56" w:rsidP="002A27F8">
            <w:pPr>
              <w:spacing w:after="0"/>
              <w:rPr>
                <w:rFonts w:ascii="Arial Narrow" w:hAnsi="Arial Narrow"/>
                <w:sz w:val="20"/>
                <w:szCs w:val="20"/>
                <w:lang w:val="en-US"/>
              </w:rPr>
            </w:pPr>
            <w:proofErr w:type="spellStart"/>
            <w:r w:rsidRPr="001C1B56">
              <w:rPr>
                <w:rFonts w:ascii="Arial Narrow" w:hAnsi="Arial Narrow"/>
                <w:sz w:val="20"/>
                <w:szCs w:val="20"/>
                <w:lang w:val="en-US"/>
              </w:rPr>
              <w:t>Rifapentine</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058AB95C"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p>
        </w:tc>
        <w:tc>
          <w:tcPr>
            <w:tcW w:w="4749" w:type="dxa"/>
            <w:tcBorders>
              <w:top w:val="single" w:sz="4" w:space="0" w:color="auto"/>
              <w:left w:val="single" w:sz="4" w:space="0" w:color="auto"/>
              <w:bottom w:val="single" w:sz="4" w:space="0" w:color="auto"/>
              <w:right w:val="single" w:sz="4" w:space="0" w:color="auto"/>
            </w:tcBorders>
            <w:hideMark/>
          </w:tcPr>
          <w:p w14:paraId="35F5B439" w14:textId="4FBB8897" w:rsidR="001C1B56" w:rsidRPr="001C1B56" w:rsidRDefault="001C1B56" w:rsidP="002A27F8">
            <w:pPr>
              <w:spacing w:after="0"/>
              <w:rPr>
                <w:rFonts w:ascii="Arial Narrow" w:hAnsi="Arial Narrow"/>
                <w:sz w:val="20"/>
                <w:szCs w:val="20"/>
                <w:lang w:val="en-US"/>
              </w:rPr>
            </w:pPr>
            <w:proofErr w:type="spellStart"/>
            <w:r w:rsidRPr="001C1B56">
              <w:rPr>
                <w:rFonts w:ascii="Arial Narrow" w:hAnsi="Arial Narrow"/>
                <w:sz w:val="20"/>
                <w:szCs w:val="20"/>
                <w:lang w:val="en-US"/>
              </w:rPr>
              <w:t>Rifapentine</w:t>
            </w:r>
            <w:proofErr w:type="spellEnd"/>
            <w:r w:rsidRPr="001C1B56">
              <w:rPr>
                <w:rFonts w:ascii="Arial Narrow" w:hAnsi="Arial Narrow"/>
                <w:sz w:val="20"/>
                <w:szCs w:val="20"/>
                <w:lang w:val="en-US"/>
              </w:rPr>
              <w:t xml:space="preserve"> may significantly decrease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concentrations. Concomitant use is contraindicated</w:t>
            </w:r>
            <w:r w:rsidR="00C81D88">
              <w:rPr>
                <w:rFonts w:ascii="Arial Narrow" w:hAnsi="Arial Narrow"/>
                <w:sz w:val="20"/>
                <w:szCs w:val="20"/>
                <w:lang w:val="en-US"/>
              </w:rPr>
              <w:t xml:space="preserve"> (see Section 4.3 CONTRAINDICATIONS)</w:t>
            </w:r>
            <w:r w:rsidR="00C81D88" w:rsidRPr="001C1B56">
              <w:rPr>
                <w:rFonts w:ascii="Arial Narrow" w:hAnsi="Arial Narrow"/>
                <w:sz w:val="20"/>
                <w:szCs w:val="20"/>
                <w:lang w:val="en-US"/>
              </w:rPr>
              <w:t>.</w:t>
            </w:r>
          </w:p>
        </w:tc>
      </w:tr>
      <w:tr w:rsidR="001C1B56" w:rsidRPr="001C1B56" w14:paraId="1E60A836" w14:textId="77777777" w:rsidTr="002A27F8">
        <w:tc>
          <w:tcPr>
            <w:tcW w:w="2236" w:type="dxa"/>
            <w:tcBorders>
              <w:top w:val="single" w:sz="4" w:space="0" w:color="auto"/>
              <w:left w:val="single" w:sz="4" w:space="0" w:color="auto"/>
              <w:bottom w:val="single" w:sz="4" w:space="0" w:color="auto"/>
              <w:right w:val="single" w:sz="4" w:space="0" w:color="auto"/>
            </w:tcBorders>
          </w:tcPr>
          <w:p w14:paraId="25C51B61" w14:textId="72D84820" w:rsidR="001C1B56" w:rsidRPr="001C1B56" w:rsidRDefault="001C1B56" w:rsidP="00D551A4">
            <w:pPr>
              <w:spacing w:after="0"/>
              <w:rPr>
                <w:rFonts w:ascii="Arial Narrow" w:hAnsi="Arial Narrow"/>
                <w:sz w:val="20"/>
                <w:szCs w:val="20"/>
                <w:lang w:val="en-US"/>
              </w:rPr>
            </w:pPr>
            <w:proofErr w:type="spellStart"/>
            <w:r w:rsidRPr="001C1B56">
              <w:rPr>
                <w:rFonts w:ascii="Arial Narrow" w:hAnsi="Arial Narrow"/>
                <w:sz w:val="20"/>
                <w:szCs w:val="20"/>
                <w:lang w:val="en-US"/>
              </w:rPr>
              <w:t>Rifabutin</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15B829EA"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Cabotegravir</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br/>
              <w:t xml:space="preserve">AUC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21%</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EC1C0B">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17%</w:t>
            </w:r>
          </w:p>
          <w:p w14:paraId="552CA908"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00774CD0" w:rsidRPr="002A27F8">
              <w:rPr>
                <w:rFonts w:ascii="Arial Narrow" w:eastAsia="Times New Roman" w:hAnsi="Arial Narrow" w:cs="Times New Roman"/>
                <w:sz w:val="20"/>
                <w:szCs w:val="20"/>
                <w:lang w:val="en-US"/>
              </w:rPr>
              <w:sym w:font="Symbol" w:char="F0AF"/>
            </w:r>
            <w:r w:rsidR="00774CD0">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t>8%</w:t>
            </w:r>
          </w:p>
        </w:tc>
        <w:tc>
          <w:tcPr>
            <w:tcW w:w="4749" w:type="dxa"/>
            <w:tcBorders>
              <w:top w:val="single" w:sz="4" w:space="0" w:color="auto"/>
              <w:left w:val="single" w:sz="4" w:space="0" w:color="auto"/>
              <w:bottom w:val="single" w:sz="4" w:space="0" w:color="auto"/>
              <w:right w:val="single" w:sz="4" w:space="0" w:color="auto"/>
            </w:tcBorders>
            <w:hideMark/>
          </w:tcPr>
          <w:p w14:paraId="00141B1C" w14:textId="1144BBC7" w:rsidR="001C1B56" w:rsidRPr="001C1B56" w:rsidRDefault="00636B40" w:rsidP="00D551A4">
            <w:pPr>
              <w:widowControl w:val="0"/>
              <w:spacing w:after="0" w:line="240" w:lineRule="auto"/>
              <w:rPr>
                <w:rFonts w:ascii="Arial Narrow" w:hAnsi="Arial Narrow"/>
                <w:sz w:val="20"/>
                <w:szCs w:val="20"/>
                <w:lang w:val="en-US"/>
              </w:rPr>
            </w:pPr>
            <w:proofErr w:type="spellStart"/>
            <w:r w:rsidRPr="001C1B56">
              <w:rPr>
                <w:rFonts w:ascii="Arial Narrow" w:hAnsi="Arial Narrow"/>
                <w:sz w:val="20"/>
                <w:szCs w:val="20"/>
                <w:lang w:val="en-US"/>
              </w:rPr>
              <w:t>Rifabutin</w:t>
            </w:r>
            <w:proofErr w:type="spellEnd"/>
            <w:r w:rsidRPr="001C1B56">
              <w:rPr>
                <w:rFonts w:ascii="Arial Narrow" w:hAnsi="Arial Narrow"/>
                <w:sz w:val="20"/>
                <w:szCs w:val="20"/>
                <w:lang w:val="en-US"/>
              </w:rPr>
              <w:t xml:space="preserve"> </w:t>
            </w:r>
            <w:r>
              <w:rPr>
                <w:rFonts w:ascii="Arial Narrow" w:hAnsi="Arial Narrow"/>
                <w:sz w:val="20"/>
                <w:szCs w:val="20"/>
                <w:lang w:val="en-US"/>
              </w:rPr>
              <w:t>did not significantly change</w:t>
            </w:r>
            <w:r w:rsidRPr="001C1B56">
              <w:rPr>
                <w:rFonts w:ascii="Arial Narrow" w:hAnsi="Arial Narrow"/>
                <w:sz w:val="20"/>
                <w:szCs w:val="20"/>
                <w:lang w:val="en-US"/>
              </w:rPr>
              <w:t xml:space="preserve"> </w:t>
            </w:r>
            <w:proofErr w:type="spellStart"/>
            <w:r w:rsidRPr="001C1B56">
              <w:rPr>
                <w:rFonts w:ascii="Arial Narrow" w:hAnsi="Arial Narrow"/>
                <w:sz w:val="20"/>
                <w:szCs w:val="20"/>
                <w:lang w:val="en-US"/>
              </w:rPr>
              <w:t>cabotegravir</w:t>
            </w:r>
            <w:proofErr w:type="spellEnd"/>
            <w:r w:rsidRPr="001C1B56">
              <w:rPr>
                <w:rFonts w:ascii="Arial Narrow" w:hAnsi="Arial Narrow"/>
                <w:sz w:val="20"/>
                <w:szCs w:val="20"/>
                <w:lang w:val="en-US"/>
              </w:rPr>
              <w:t xml:space="preserve"> plasma concentration. </w:t>
            </w:r>
            <w:r>
              <w:rPr>
                <w:rFonts w:ascii="Arial Narrow" w:hAnsi="Arial Narrow"/>
                <w:sz w:val="20"/>
                <w:szCs w:val="20"/>
                <w:lang w:val="en-US"/>
              </w:rPr>
              <w:t>No dose adjustment is required.</w:t>
            </w:r>
          </w:p>
        </w:tc>
      </w:tr>
      <w:tr w:rsidR="001C1B56" w:rsidRPr="001C1B56" w14:paraId="19525500" w14:textId="77777777" w:rsidTr="002A27F8">
        <w:tc>
          <w:tcPr>
            <w:tcW w:w="9750" w:type="dxa"/>
            <w:gridSpan w:val="3"/>
            <w:tcBorders>
              <w:top w:val="single" w:sz="4" w:space="0" w:color="auto"/>
              <w:left w:val="single" w:sz="4" w:space="0" w:color="auto"/>
              <w:bottom w:val="single" w:sz="4" w:space="0" w:color="auto"/>
              <w:right w:val="single" w:sz="4" w:space="0" w:color="auto"/>
            </w:tcBorders>
            <w:hideMark/>
          </w:tcPr>
          <w:p w14:paraId="7D21EB71" w14:textId="77777777" w:rsidR="001C1B56" w:rsidRPr="001C1B56" w:rsidRDefault="001C1B56" w:rsidP="002A27F8">
            <w:pPr>
              <w:widowControl w:val="0"/>
              <w:spacing w:after="0" w:line="240" w:lineRule="auto"/>
              <w:rPr>
                <w:rFonts w:ascii="Arial Narrow" w:hAnsi="Arial Narrow"/>
                <w:bCs/>
                <w:sz w:val="20"/>
                <w:szCs w:val="20"/>
                <w:lang w:val="en-US"/>
              </w:rPr>
            </w:pPr>
            <w:r w:rsidRPr="001C1B56">
              <w:rPr>
                <w:rFonts w:ascii="Arial Narrow" w:hAnsi="Arial Narrow"/>
                <w:i/>
                <w:sz w:val="20"/>
                <w:szCs w:val="20"/>
                <w:lang w:val="en-US"/>
              </w:rPr>
              <w:t>Oral contraceptives</w:t>
            </w:r>
          </w:p>
        </w:tc>
      </w:tr>
      <w:tr w:rsidR="001C1B56" w:rsidRPr="001C1B56" w14:paraId="23F2EB00" w14:textId="77777777" w:rsidTr="002A27F8">
        <w:tc>
          <w:tcPr>
            <w:tcW w:w="2236" w:type="dxa"/>
            <w:tcBorders>
              <w:top w:val="single" w:sz="4" w:space="0" w:color="auto"/>
              <w:left w:val="single" w:sz="4" w:space="0" w:color="auto"/>
              <w:bottom w:val="single" w:sz="4" w:space="0" w:color="auto"/>
              <w:right w:val="single" w:sz="4" w:space="0" w:color="auto"/>
            </w:tcBorders>
            <w:hideMark/>
          </w:tcPr>
          <w:p w14:paraId="069399B9" w14:textId="77777777" w:rsidR="001C1B56" w:rsidRPr="001C1B56" w:rsidRDefault="001C1B56" w:rsidP="002A27F8">
            <w:pPr>
              <w:spacing w:after="0"/>
              <w:rPr>
                <w:rFonts w:ascii="Arial Narrow" w:hAnsi="Arial Narrow"/>
                <w:sz w:val="20"/>
                <w:szCs w:val="20"/>
                <w:lang w:val="en-US"/>
              </w:rPr>
            </w:pPr>
            <w:proofErr w:type="spellStart"/>
            <w:r w:rsidRPr="001C1B56">
              <w:rPr>
                <w:rFonts w:ascii="Arial Narrow" w:hAnsi="Arial Narrow"/>
                <w:sz w:val="20"/>
                <w:szCs w:val="20"/>
                <w:lang w:val="en-US"/>
              </w:rPr>
              <w:t>Ethinyl</w:t>
            </w:r>
            <w:proofErr w:type="spellEnd"/>
            <w:r w:rsidRPr="001C1B56">
              <w:rPr>
                <w:rFonts w:ascii="Arial Narrow" w:hAnsi="Arial Narrow"/>
                <w:sz w:val="20"/>
                <w:szCs w:val="20"/>
                <w:lang w:val="en-US"/>
              </w:rPr>
              <w:t xml:space="preserve"> estradiol (EE) and </w:t>
            </w:r>
            <w:proofErr w:type="spellStart"/>
            <w:r w:rsidRPr="001C1B56">
              <w:rPr>
                <w:rFonts w:ascii="Arial Narrow" w:hAnsi="Arial Narrow"/>
                <w:sz w:val="20"/>
                <w:szCs w:val="20"/>
                <w:lang w:val="en-US"/>
              </w:rPr>
              <w:t>Levonorgestrel</w:t>
            </w:r>
            <w:proofErr w:type="spellEnd"/>
            <w:r w:rsidRPr="001C1B56">
              <w:rPr>
                <w:rFonts w:ascii="Arial Narrow" w:hAnsi="Arial Narrow"/>
                <w:sz w:val="20"/>
                <w:szCs w:val="20"/>
                <w:lang w:val="en-US"/>
              </w:rPr>
              <w:t xml:space="preserve"> (LNG)</w:t>
            </w:r>
          </w:p>
        </w:tc>
        <w:tc>
          <w:tcPr>
            <w:tcW w:w="2765" w:type="dxa"/>
            <w:tcBorders>
              <w:top w:val="single" w:sz="4" w:space="0" w:color="auto"/>
              <w:left w:val="single" w:sz="4" w:space="0" w:color="auto"/>
              <w:bottom w:val="single" w:sz="4" w:space="0" w:color="auto"/>
              <w:right w:val="single" w:sz="4" w:space="0" w:color="auto"/>
            </w:tcBorders>
          </w:tcPr>
          <w:p w14:paraId="677D14F0"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EE </w:t>
            </w:r>
            <w:r w:rsidRPr="002A27F8">
              <w:rPr>
                <w:rFonts w:ascii="Arial Narrow" w:eastAsia="Times New Roman" w:hAnsi="Arial Narrow" w:cs="Times New Roman"/>
                <w:sz w:val="20"/>
                <w:szCs w:val="20"/>
                <w:lang w:val="en-US"/>
              </w:rPr>
              <w:sym w:font="Symbol" w:char="F0AB"/>
            </w:r>
          </w:p>
          <w:p w14:paraId="44992702"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AUC </w:t>
            </w:r>
            <w:r w:rsidRPr="002A27F8">
              <w:rPr>
                <w:rFonts w:ascii="Arial Narrow" w:eastAsia="Times New Roman" w:hAnsi="Arial Narrow" w:cs="Times New Roman"/>
                <w:sz w:val="20"/>
                <w:szCs w:val="20"/>
                <w:lang w:val="en-US"/>
              </w:rPr>
              <w:sym w:font="Symbol" w:char="F0AD"/>
            </w:r>
            <w:r w:rsidRPr="002A27F8">
              <w:rPr>
                <w:rFonts w:ascii="Arial Narrow" w:eastAsia="Times New Roman" w:hAnsi="Arial Narrow" w:cs="Times New Roman"/>
                <w:sz w:val="20"/>
                <w:szCs w:val="20"/>
                <w:lang w:val="en-US"/>
              </w:rPr>
              <w:t xml:space="preserve"> 2%</w:t>
            </w:r>
            <w:r w:rsidRPr="002A27F8">
              <w:rPr>
                <w:rFonts w:ascii="Arial Narrow" w:eastAsia="Times New Roman" w:hAnsi="Arial Narrow" w:cs="Times New Roman"/>
                <w:sz w:val="20"/>
                <w:szCs w:val="20"/>
                <w:lang w:val="en-US"/>
              </w:rPr>
              <w:br/>
            </w:r>
            <w:proofErr w:type="spellStart"/>
            <w:r w:rsidRPr="002A27F8">
              <w:rPr>
                <w:rFonts w:ascii="Arial Narrow" w:eastAsia="Times New Roman" w:hAnsi="Arial Narrow" w:cs="Times New Roman"/>
                <w:sz w:val="20"/>
                <w:szCs w:val="20"/>
                <w:lang w:val="en-US"/>
              </w:rPr>
              <w:t>C</w:t>
            </w:r>
            <w:r w:rsidRPr="00EC1C0B">
              <w:rPr>
                <w:rFonts w:ascii="Arial Narrow" w:eastAsia="Times New Roman" w:hAnsi="Arial Narrow" w:cs="Times New Roman"/>
                <w:sz w:val="20"/>
                <w:szCs w:val="20"/>
                <w:vertAlign w:val="subscript"/>
                <w:lang w:val="en-US"/>
              </w:rPr>
              <w:t>max</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F"/>
            </w:r>
            <w:r w:rsidRPr="002A27F8">
              <w:rPr>
                <w:rFonts w:ascii="Arial Narrow" w:eastAsia="Times New Roman" w:hAnsi="Arial Narrow" w:cs="Times New Roman"/>
                <w:sz w:val="20"/>
                <w:szCs w:val="20"/>
                <w:lang w:val="en-US"/>
              </w:rPr>
              <w:t xml:space="preserve"> 8%</w:t>
            </w:r>
          </w:p>
          <w:p w14:paraId="427A602D"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roofErr w:type="spellStart"/>
            <w:r w:rsidRPr="002A27F8">
              <w:rPr>
                <w:rFonts w:ascii="Arial Narrow" w:eastAsia="Times New Roman" w:hAnsi="Arial Narrow" w:cs="Times New Roman"/>
                <w:sz w:val="20"/>
                <w:szCs w:val="20"/>
                <w:lang w:val="en-US"/>
              </w:rPr>
              <w:lastRenderedPageBreak/>
              <w:t>C</w:t>
            </w:r>
            <w:r w:rsidR="002A27F8" w:rsidRPr="002A27F8">
              <w:rPr>
                <w:rFonts w:ascii="Arial Narrow" w:eastAsia="Times New Roman" w:hAnsi="Arial Narrow" w:cs="Times New Roman" w:hint="eastAsia"/>
                <w:sz w:val="20"/>
                <w:szCs w:val="20"/>
                <w:lang w:val="en-US"/>
              </w:rPr>
              <w:t>τ</w:t>
            </w:r>
            <w:proofErr w:type="spellEnd"/>
            <w:r w:rsidRPr="002A27F8">
              <w:rPr>
                <w:rFonts w:ascii="Arial Narrow" w:eastAsia="Times New Roman" w:hAnsi="Arial Narrow" w:cs="Times New Roman"/>
                <w:sz w:val="20"/>
                <w:szCs w:val="20"/>
                <w:lang w:val="en-US"/>
              </w:rPr>
              <w:t xml:space="preserve"> </w:t>
            </w:r>
            <w:r w:rsidRPr="002A27F8">
              <w:rPr>
                <w:rFonts w:ascii="Arial Narrow" w:eastAsia="Times New Roman" w:hAnsi="Arial Narrow" w:cs="Times New Roman"/>
                <w:sz w:val="20"/>
                <w:szCs w:val="20"/>
                <w:lang w:val="en-US"/>
              </w:rPr>
              <w:sym w:font="Symbol" w:char="F0AB"/>
            </w:r>
            <w:r w:rsidRPr="002A27F8">
              <w:rPr>
                <w:rFonts w:ascii="Arial Narrow" w:eastAsia="Times New Roman" w:hAnsi="Arial Narrow" w:cs="Times New Roman"/>
                <w:sz w:val="20"/>
                <w:szCs w:val="20"/>
                <w:lang w:val="en-US"/>
              </w:rPr>
              <w:t xml:space="preserve"> 0%</w:t>
            </w:r>
          </w:p>
          <w:p w14:paraId="6BC88020" w14:textId="77777777" w:rsidR="001C1B56" w:rsidRPr="002A27F8" w:rsidRDefault="001C1B56" w:rsidP="002A27F8">
            <w:pPr>
              <w:tabs>
                <w:tab w:val="left" w:pos="567"/>
              </w:tabs>
              <w:spacing w:after="0" w:line="260" w:lineRule="exact"/>
              <w:rPr>
                <w:rFonts w:ascii="Arial Narrow" w:eastAsia="Times New Roman" w:hAnsi="Arial Narrow" w:cs="Times New Roman"/>
                <w:sz w:val="20"/>
                <w:szCs w:val="20"/>
                <w:lang w:val="en-US"/>
              </w:rPr>
            </w:pPr>
          </w:p>
          <w:p w14:paraId="3BEE32F9" w14:textId="4A3C7052" w:rsidR="001C1B56" w:rsidRPr="002A27F8" w:rsidRDefault="001C1B56" w:rsidP="00D551A4">
            <w:pPr>
              <w:tabs>
                <w:tab w:val="left" w:pos="567"/>
              </w:tabs>
              <w:spacing w:after="0" w:line="260" w:lineRule="exact"/>
              <w:rPr>
                <w:rFonts w:ascii="Arial Narrow" w:eastAsia="Times New Roman" w:hAnsi="Arial Narrow" w:cs="Times New Roman"/>
                <w:sz w:val="20"/>
                <w:szCs w:val="20"/>
                <w:lang w:val="en-US"/>
              </w:rPr>
            </w:pPr>
            <w:r w:rsidRPr="002A27F8">
              <w:rPr>
                <w:rFonts w:ascii="Arial Narrow" w:eastAsia="Times New Roman" w:hAnsi="Arial Narrow" w:cs="Times New Roman"/>
                <w:sz w:val="20"/>
                <w:szCs w:val="20"/>
                <w:lang w:val="en-US"/>
              </w:rPr>
              <w:t xml:space="preserve">LNG </w:t>
            </w:r>
            <w:r w:rsidRPr="002A27F8">
              <w:rPr>
                <w:rFonts w:ascii="Arial Narrow" w:eastAsia="Times New Roman" w:hAnsi="Arial Narrow" w:cs="Times New Roman"/>
                <w:sz w:val="20"/>
                <w:szCs w:val="20"/>
                <w:lang w:val="en-US"/>
              </w:rPr>
              <w:sym w:font="Symbol" w:char="F0AB"/>
            </w:r>
          </w:p>
        </w:tc>
        <w:tc>
          <w:tcPr>
            <w:tcW w:w="4749" w:type="dxa"/>
            <w:tcBorders>
              <w:top w:val="single" w:sz="4" w:space="0" w:color="auto"/>
              <w:left w:val="single" w:sz="4" w:space="0" w:color="auto"/>
              <w:bottom w:val="single" w:sz="4" w:space="0" w:color="auto"/>
              <w:right w:val="single" w:sz="4" w:space="0" w:color="auto"/>
            </w:tcBorders>
            <w:hideMark/>
          </w:tcPr>
          <w:p w14:paraId="3C264A08" w14:textId="77777777" w:rsidR="001C1B56" w:rsidRPr="001C1B56" w:rsidRDefault="001C1B56" w:rsidP="002A27F8">
            <w:pPr>
              <w:widowControl w:val="0"/>
              <w:spacing w:after="0" w:line="240" w:lineRule="auto"/>
              <w:rPr>
                <w:rFonts w:ascii="Arial Narrow" w:hAnsi="Arial Narrow"/>
                <w:bCs/>
                <w:sz w:val="20"/>
                <w:szCs w:val="20"/>
                <w:lang w:val="en-US"/>
              </w:rPr>
            </w:pPr>
            <w:proofErr w:type="spellStart"/>
            <w:r w:rsidRPr="001C1B56">
              <w:rPr>
                <w:rFonts w:ascii="Arial Narrow" w:hAnsi="Arial Narrow"/>
                <w:sz w:val="20"/>
                <w:szCs w:val="20"/>
                <w:lang w:val="en-US"/>
              </w:rPr>
              <w:lastRenderedPageBreak/>
              <w:t>Cabotegravir</w:t>
            </w:r>
            <w:proofErr w:type="spellEnd"/>
            <w:r w:rsidRPr="001C1B56">
              <w:rPr>
                <w:rFonts w:ascii="Arial Narrow" w:hAnsi="Arial Narrow"/>
                <w:sz w:val="20"/>
                <w:szCs w:val="20"/>
                <w:lang w:val="en-US"/>
              </w:rPr>
              <w:t xml:space="preserve"> did not significantly change </w:t>
            </w:r>
            <w:proofErr w:type="spellStart"/>
            <w:r w:rsidRPr="001C1B56">
              <w:rPr>
                <w:rFonts w:ascii="Arial Narrow" w:hAnsi="Arial Narrow"/>
                <w:sz w:val="20"/>
                <w:szCs w:val="20"/>
                <w:lang w:val="en-US"/>
              </w:rPr>
              <w:t>ethinyl</w:t>
            </w:r>
            <w:proofErr w:type="spellEnd"/>
            <w:r w:rsidRPr="001C1B56">
              <w:rPr>
                <w:rFonts w:ascii="Arial Narrow" w:hAnsi="Arial Narrow"/>
                <w:sz w:val="20"/>
                <w:szCs w:val="20"/>
                <w:lang w:val="en-US"/>
              </w:rPr>
              <w:t xml:space="preserve"> estradiol and </w:t>
            </w:r>
            <w:proofErr w:type="spellStart"/>
            <w:r w:rsidRPr="001C1B56">
              <w:rPr>
                <w:rFonts w:ascii="Arial Narrow" w:hAnsi="Arial Narrow"/>
                <w:sz w:val="20"/>
                <w:szCs w:val="20"/>
                <w:lang w:val="en-US"/>
              </w:rPr>
              <w:t>levonorgestrel</w:t>
            </w:r>
            <w:proofErr w:type="spellEnd"/>
            <w:r w:rsidRPr="001C1B56">
              <w:rPr>
                <w:rFonts w:ascii="Arial Narrow" w:hAnsi="Arial Narrow"/>
                <w:sz w:val="20"/>
                <w:szCs w:val="20"/>
                <w:lang w:val="en-US"/>
              </w:rPr>
              <w:t xml:space="preserve"> plasma concentrations to a clinically relevant extent. No dose adjustment of oral contraceptives is necessary when co-administered with </w:t>
            </w:r>
            <w:r w:rsidR="00774CD0" w:rsidRPr="001C1B56">
              <w:rPr>
                <w:rFonts w:ascii="Arial Narrow" w:hAnsi="Arial Narrow"/>
                <w:sz w:val="20"/>
                <w:szCs w:val="20"/>
                <w:lang w:val="en-US"/>
              </w:rPr>
              <w:t>VOCABRIA</w:t>
            </w:r>
            <w:r w:rsidRPr="001C1B56">
              <w:rPr>
                <w:rFonts w:ascii="Arial Narrow" w:hAnsi="Arial Narrow"/>
                <w:sz w:val="20"/>
                <w:szCs w:val="20"/>
                <w:lang w:val="en-US"/>
              </w:rPr>
              <w:t>.</w:t>
            </w:r>
          </w:p>
        </w:tc>
      </w:tr>
    </w:tbl>
    <w:p w14:paraId="696E9B01" w14:textId="2A133B1D" w:rsidR="00690968" w:rsidRPr="002A27F8" w:rsidRDefault="002A27F8" w:rsidP="002A27F8">
      <w:pPr>
        <w:rPr>
          <w:rFonts w:ascii="Arial Narrow" w:hAnsi="Arial Narrow" w:cs="Arial"/>
          <w:sz w:val="18"/>
          <w:szCs w:val="18"/>
          <w:lang w:val="en"/>
        </w:rPr>
      </w:pPr>
      <w:r w:rsidRPr="002A27F8">
        <w:rPr>
          <w:rFonts w:ascii="Arial Narrow" w:hAnsi="Arial Narrow" w:cs="Arial"/>
          <w:sz w:val="18"/>
          <w:szCs w:val="18"/>
          <w:lang w:val="en"/>
        </w:rPr>
        <w:t>Abbreviations: ↑ = increase; ↓ = decrease; ↔ = no change ;</w:t>
      </w:r>
      <w:r>
        <w:rPr>
          <w:rFonts w:ascii="Arial Narrow" w:hAnsi="Arial Narrow" w:cs="Arial"/>
          <w:sz w:val="18"/>
          <w:szCs w:val="18"/>
          <w:lang w:val="en"/>
        </w:rPr>
        <w:t xml:space="preserve"> </w:t>
      </w:r>
      <w:r w:rsidRPr="002A27F8">
        <w:rPr>
          <w:rFonts w:ascii="Arial Narrow" w:hAnsi="Arial Narrow" w:cs="Arial"/>
          <w:sz w:val="18"/>
          <w:szCs w:val="18"/>
          <w:lang w:val="en"/>
        </w:rPr>
        <w:t xml:space="preserve">AUC = area under the concentration versus time curve ; </w:t>
      </w:r>
      <w:proofErr w:type="spellStart"/>
      <w:r w:rsidRPr="002A27F8">
        <w:rPr>
          <w:rFonts w:ascii="Arial Narrow" w:hAnsi="Arial Narrow" w:cs="Arial"/>
          <w:sz w:val="18"/>
          <w:szCs w:val="18"/>
          <w:lang w:val="en"/>
        </w:rPr>
        <w:t>C</w:t>
      </w:r>
      <w:r w:rsidRPr="002A27F8">
        <w:rPr>
          <w:rFonts w:ascii="Arial Narrow" w:hAnsi="Arial Narrow" w:cs="Arial"/>
          <w:sz w:val="18"/>
          <w:szCs w:val="18"/>
          <w:vertAlign w:val="subscript"/>
          <w:lang w:val="en"/>
        </w:rPr>
        <w:t>max</w:t>
      </w:r>
      <w:proofErr w:type="spellEnd"/>
      <w:r w:rsidRPr="002A27F8">
        <w:rPr>
          <w:rFonts w:ascii="Arial Narrow" w:hAnsi="Arial Narrow" w:cs="Arial"/>
          <w:sz w:val="18"/>
          <w:szCs w:val="18"/>
          <w:lang w:val="en"/>
        </w:rPr>
        <w:t xml:space="preserve"> = maximum observed concentration; </w:t>
      </w:r>
      <w:bookmarkStart w:id="14" w:name="_Hlk9411816"/>
      <w:proofErr w:type="spellStart"/>
      <w:r w:rsidRPr="002A27F8">
        <w:rPr>
          <w:rFonts w:ascii="Arial Narrow" w:hAnsi="Arial Narrow" w:cs="Arial"/>
          <w:sz w:val="18"/>
          <w:szCs w:val="18"/>
          <w:lang w:val="en"/>
        </w:rPr>
        <w:t>C</w:t>
      </w:r>
      <w:r w:rsidRPr="002A27F8">
        <w:rPr>
          <w:rFonts w:ascii="Arial Narrow" w:hAnsi="Arial Narrow" w:cs="Arial"/>
          <w:sz w:val="18"/>
          <w:szCs w:val="18"/>
          <w:vertAlign w:val="subscript"/>
          <w:lang w:val="en"/>
        </w:rPr>
        <w:t>τ</w:t>
      </w:r>
      <w:proofErr w:type="spellEnd"/>
      <w:r w:rsidRPr="002A27F8">
        <w:rPr>
          <w:rFonts w:ascii="Arial Narrow" w:hAnsi="Arial Narrow" w:cs="Arial"/>
          <w:sz w:val="18"/>
          <w:szCs w:val="18"/>
          <w:lang w:val="en"/>
        </w:rPr>
        <w:t xml:space="preserve">  = concentration at end of dosing interval</w:t>
      </w:r>
      <w:bookmarkEnd w:id="14"/>
      <w:r w:rsidRPr="002A27F8">
        <w:rPr>
          <w:rFonts w:ascii="Arial Narrow" w:hAnsi="Arial Narrow" w:cs="Arial"/>
          <w:sz w:val="18"/>
          <w:szCs w:val="18"/>
          <w:lang w:val="en"/>
        </w:rPr>
        <w:t>.</w:t>
      </w:r>
    </w:p>
    <w:p w14:paraId="3B95554E" w14:textId="77777777" w:rsidR="001A3992" w:rsidRPr="00071855" w:rsidRDefault="00071855" w:rsidP="00C94C16">
      <w:pPr>
        <w:pStyle w:val="Heading2"/>
        <w:keepNext/>
        <w:spacing w:before="0" w:after="120"/>
        <w:ind w:left="578" w:hanging="578"/>
        <w:rPr>
          <w:rFonts w:ascii="Arial" w:hAnsi="Arial" w:cs="Arial"/>
          <w:smallCaps w:val="0"/>
        </w:rPr>
      </w:pPr>
      <w:r w:rsidRPr="00071855">
        <w:rPr>
          <w:rFonts w:ascii="Arial" w:hAnsi="Arial" w:cs="Arial"/>
          <w:smallCaps w:val="0"/>
        </w:rPr>
        <w:t xml:space="preserve">FERTILITY, PREGNANCY AND LACTATION </w:t>
      </w:r>
    </w:p>
    <w:p w14:paraId="6AF67331" w14:textId="77777777" w:rsidR="001A3992" w:rsidRPr="005B1108" w:rsidRDefault="001A3992" w:rsidP="00C94C16">
      <w:pPr>
        <w:pStyle w:val="Heading3"/>
        <w:ind w:left="0"/>
        <w:rPr>
          <w:rFonts w:ascii="Arial" w:hAnsi="Arial" w:cs="Arial"/>
        </w:rPr>
      </w:pPr>
      <w:r w:rsidRPr="005B1108">
        <w:rPr>
          <w:rFonts w:ascii="Arial" w:hAnsi="Arial" w:cs="Arial"/>
        </w:rPr>
        <w:t>Effects on fertility</w:t>
      </w:r>
    </w:p>
    <w:p w14:paraId="0BAE012F" w14:textId="77777777" w:rsidR="00071855" w:rsidRPr="00774CD0" w:rsidRDefault="00774CD0" w:rsidP="00C94C16">
      <w:pPr>
        <w:keepNext/>
        <w:rPr>
          <w:rFonts w:ascii="Arial" w:hAnsi="Arial" w:cs="Arial"/>
          <w:lang w:val="en"/>
        </w:rPr>
      </w:pPr>
      <w:r w:rsidRPr="00774CD0">
        <w:rPr>
          <w:rFonts w:ascii="Arial" w:hAnsi="Arial" w:cs="Arial"/>
          <w:lang w:val="en"/>
        </w:rPr>
        <w:t xml:space="preserve">There are no data on the effects of </w:t>
      </w:r>
      <w:proofErr w:type="spellStart"/>
      <w:r w:rsidRPr="00774CD0">
        <w:rPr>
          <w:rFonts w:ascii="Arial" w:hAnsi="Arial" w:cs="Arial"/>
          <w:lang w:val="en"/>
        </w:rPr>
        <w:t>cabotegravir</w:t>
      </w:r>
      <w:proofErr w:type="spellEnd"/>
      <w:r w:rsidRPr="00774CD0">
        <w:rPr>
          <w:rFonts w:ascii="Arial" w:hAnsi="Arial" w:cs="Arial"/>
          <w:lang w:val="en"/>
        </w:rPr>
        <w:t xml:space="preserve"> on human male or female fertility. Animal studies indicate no effects of </w:t>
      </w:r>
      <w:proofErr w:type="spellStart"/>
      <w:r w:rsidRPr="00774CD0">
        <w:rPr>
          <w:rFonts w:ascii="Arial" w:hAnsi="Arial" w:cs="Arial"/>
          <w:lang w:val="en"/>
        </w:rPr>
        <w:t>cabotegravir</w:t>
      </w:r>
      <w:proofErr w:type="spellEnd"/>
      <w:r w:rsidRPr="00774CD0">
        <w:rPr>
          <w:rFonts w:ascii="Arial" w:hAnsi="Arial" w:cs="Arial"/>
          <w:lang w:val="en"/>
        </w:rPr>
        <w:t xml:space="preserve"> on male or female fertility. </w:t>
      </w:r>
    </w:p>
    <w:p w14:paraId="2D702E95" w14:textId="008A39BD" w:rsidR="00774CD0" w:rsidRPr="00774CD0" w:rsidRDefault="00774CD0" w:rsidP="00774CD0">
      <w:pPr>
        <w:rPr>
          <w:rFonts w:ascii="Arial" w:hAnsi="Arial" w:cs="Arial"/>
          <w:lang w:val="en"/>
        </w:rPr>
      </w:pPr>
      <w:proofErr w:type="spellStart"/>
      <w:r w:rsidRPr="00774CD0">
        <w:rPr>
          <w:rFonts w:ascii="Arial" w:hAnsi="Arial" w:cs="Arial"/>
          <w:lang w:val="en"/>
        </w:rPr>
        <w:t>Cabotegravir</w:t>
      </w:r>
      <w:proofErr w:type="spellEnd"/>
      <w:r w:rsidRPr="00774CD0">
        <w:rPr>
          <w:rFonts w:ascii="Arial" w:hAnsi="Arial" w:cs="Arial"/>
          <w:lang w:val="en"/>
        </w:rPr>
        <w:t xml:space="preserve"> when administered orally to male and female rats at 1,000 mg/kg/day (&gt;30 times the exposure in humans at the Maximum Recommended Human Dose [MHRD] of 30 mg </w:t>
      </w:r>
      <w:bookmarkStart w:id="15" w:name="_Hlk2093489"/>
      <w:r w:rsidRPr="00774CD0">
        <w:rPr>
          <w:rFonts w:ascii="Arial" w:hAnsi="Arial" w:cs="Arial"/>
          <w:lang w:val="en"/>
        </w:rPr>
        <w:t xml:space="preserve">oral or 400 mg </w:t>
      </w:r>
      <w:r>
        <w:rPr>
          <w:rFonts w:ascii="Arial" w:hAnsi="Arial" w:cs="Arial"/>
          <w:lang w:val="en"/>
        </w:rPr>
        <w:t>intramuscular</w:t>
      </w:r>
      <w:r w:rsidR="005B1108">
        <w:rPr>
          <w:rFonts w:ascii="Arial" w:hAnsi="Arial" w:cs="Arial"/>
          <w:lang w:val="en"/>
        </w:rPr>
        <w:t xml:space="preserve"> (IM)</w:t>
      </w:r>
      <w:r w:rsidRPr="00774CD0">
        <w:rPr>
          <w:rFonts w:ascii="Arial" w:hAnsi="Arial" w:cs="Arial"/>
          <w:lang w:val="en"/>
        </w:rPr>
        <w:t xml:space="preserve"> dose</w:t>
      </w:r>
      <w:bookmarkEnd w:id="15"/>
      <w:r w:rsidRPr="00774CD0">
        <w:rPr>
          <w:rFonts w:ascii="Arial" w:hAnsi="Arial" w:cs="Arial"/>
          <w:lang w:val="en"/>
        </w:rPr>
        <w:t xml:space="preserve">) for up to 26 weeks did not cause adverse effects on male or female reproductive organs or spermatogenesis. No functional effects on male or female mating or fertility were observed in rats given </w:t>
      </w:r>
      <w:proofErr w:type="spellStart"/>
      <w:r w:rsidRPr="00774CD0">
        <w:rPr>
          <w:rFonts w:ascii="Arial" w:hAnsi="Arial" w:cs="Arial"/>
          <w:lang w:val="en"/>
        </w:rPr>
        <w:t>cabotegravir</w:t>
      </w:r>
      <w:proofErr w:type="spellEnd"/>
      <w:r w:rsidRPr="00774CD0">
        <w:rPr>
          <w:rFonts w:ascii="Arial" w:hAnsi="Arial" w:cs="Arial"/>
          <w:lang w:val="en"/>
        </w:rPr>
        <w:t xml:space="preserve"> at doses up to 1,000 mg/kg/day.</w:t>
      </w:r>
    </w:p>
    <w:p w14:paraId="43B7E10C" w14:textId="77777777" w:rsidR="00071855" w:rsidRPr="005B1108" w:rsidRDefault="00071855" w:rsidP="005617F2">
      <w:pPr>
        <w:pStyle w:val="Heading3"/>
        <w:ind w:left="0"/>
        <w:rPr>
          <w:rFonts w:ascii="Arial" w:hAnsi="Arial" w:cs="Arial"/>
        </w:rPr>
      </w:pPr>
      <w:r w:rsidRPr="005B1108">
        <w:rPr>
          <w:rFonts w:ascii="Arial" w:hAnsi="Arial" w:cs="Arial"/>
        </w:rPr>
        <w:t>Use in pregnancy</w:t>
      </w:r>
    </w:p>
    <w:p w14:paraId="004157D0" w14:textId="77777777" w:rsidR="001A3992" w:rsidRPr="005B1108" w:rsidRDefault="00071855" w:rsidP="005B1108">
      <w:pPr>
        <w:rPr>
          <w:rFonts w:ascii="Arial" w:hAnsi="Arial" w:cs="Arial"/>
          <w:b/>
          <w:lang w:val="en"/>
        </w:rPr>
      </w:pPr>
      <w:r w:rsidRPr="005B1108">
        <w:rPr>
          <w:rFonts w:ascii="Arial" w:hAnsi="Arial" w:cs="Arial"/>
          <w:b/>
          <w:lang w:val="en"/>
        </w:rPr>
        <w:t>(</w:t>
      </w:r>
      <w:r w:rsidR="005B2812" w:rsidRPr="005B1108">
        <w:rPr>
          <w:rFonts w:ascii="Arial" w:hAnsi="Arial" w:cs="Arial"/>
          <w:b/>
          <w:lang w:val="en"/>
        </w:rPr>
        <w:t>Pregnancy Category B</w:t>
      </w:r>
      <w:r w:rsidR="00FE721E">
        <w:rPr>
          <w:rFonts w:ascii="Arial" w:hAnsi="Arial" w:cs="Arial"/>
          <w:b/>
          <w:lang w:val="en"/>
        </w:rPr>
        <w:t>1</w:t>
      </w:r>
      <w:r w:rsidRPr="005B1108">
        <w:rPr>
          <w:rFonts w:ascii="Arial" w:hAnsi="Arial" w:cs="Arial"/>
          <w:b/>
          <w:lang w:val="en"/>
        </w:rPr>
        <w:t>)</w:t>
      </w:r>
    </w:p>
    <w:p w14:paraId="65D280DB" w14:textId="77777777" w:rsidR="00C560EF" w:rsidRPr="005B1108" w:rsidRDefault="00C560EF" w:rsidP="000D668F">
      <w:pPr>
        <w:rPr>
          <w:rFonts w:ascii="Arial" w:hAnsi="Arial" w:cs="Arial"/>
          <w:lang w:val="en"/>
        </w:rPr>
      </w:pPr>
      <w:r w:rsidRPr="005B1108">
        <w:rPr>
          <w:rFonts w:ascii="Arial" w:hAnsi="Arial" w:cs="Arial"/>
          <w:lang w:val="en"/>
        </w:rPr>
        <w:t xml:space="preserve">There are no studies of </w:t>
      </w:r>
      <w:proofErr w:type="spellStart"/>
      <w:r w:rsidRPr="005B1108">
        <w:rPr>
          <w:rFonts w:ascii="Arial" w:hAnsi="Arial" w:cs="Arial"/>
          <w:lang w:val="en"/>
        </w:rPr>
        <w:t>cabotegravir</w:t>
      </w:r>
      <w:proofErr w:type="spellEnd"/>
      <w:r w:rsidRPr="005B1108">
        <w:rPr>
          <w:rFonts w:ascii="Arial" w:hAnsi="Arial" w:cs="Arial"/>
          <w:lang w:val="en"/>
        </w:rPr>
        <w:t xml:space="preserve"> in pregnant women. The effect of VOCABRIA on human pregnancy is unknown.</w:t>
      </w:r>
    </w:p>
    <w:p w14:paraId="57A63789" w14:textId="024E3359" w:rsidR="005B1108" w:rsidRPr="005B1108" w:rsidRDefault="005B1108" w:rsidP="000D668F">
      <w:pPr>
        <w:rPr>
          <w:rFonts w:ascii="Arial" w:hAnsi="Arial" w:cs="Arial"/>
          <w:lang w:val="en"/>
        </w:rPr>
      </w:pPr>
      <w:r w:rsidRPr="005B1108">
        <w:rPr>
          <w:rFonts w:ascii="Arial" w:hAnsi="Arial" w:cs="Arial"/>
          <w:lang w:val="en"/>
        </w:rPr>
        <w:t>VOCABRIA should be used during pregnancy only if the expected benefit justifies the potential risk to the fetus.</w:t>
      </w:r>
    </w:p>
    <w:p w14:paraId="1EAD732A" w14:textId="0D148067" w:rsidR="005B1108" w:rsidRDefault="005B1108" w:rsidP="000D668F">
      <w:pPr>
        <w:rPr>
          <w:rFonts w:ascii="Arial" w:hAnsi="Arial" w:cs="Arial"/>
          <w:lang w:val="en"/>
        </w:rPr>
      </w:pPr>
      <w:proofErr w:type="spellStart"/>
      <w:r w:rsidRPr="005B1108">
        <w:rPr>
          <w:rFonts w:ascii="Arial" w:hAnsi="Arial" w:cs="Arial"/>
          <w:lang w:val="en"/>
        </w:rPr>
        <w:t>Cabotegravir</w:t>
      </w:r>
      <w:proofErr w:type="spellEnd"/>
      <w:r w:rsidRPr="005B1108">
        <w:rPr>
          <w:rFonts w:ascii="Arial" w:hAnsi="Arial" w:cs="Arial"/>
          <w:lang w:val="en"/>
        </w:rPr>
        <w:t xml:space="preserve"> has been detected in systemic circulation for up to 12 months or longer after an injection, therefore, consideration should be given to the potential for fetal exposure during pregnancy (see section 4.4 SPECIAL WARNINGS AND PRECAUTIONS FOR USE).</w:t>
      </w:r>
    </w:p>
    <w:p w14:paraId="5A4F4FB6" w14:textId="2E20C4BB" w:rsidR="00B25819" w:rsidRDefault="00B25819" w:rsidP="005B1108">
      <w:pPr>
        <w:rPr>
          <w:rFonts w:ascii="Arial" w:hAnsi="Arial" w:cs="Arial"/>
          <w:lang w:val="en"/>
        </w:rPr>
      </w:pPr>
      <w:proofErr w:type="spellStart"/>
      <w:r w:rsidRPr="00B25819">
        <w:rPr>
          <w:rFonts w:ascii="Arial" w:hAnsi="Arial" w:cs="Arial"/>
          <w:lang w:val="en"/>
        </w:rPr>
        <w:t>Cabotegravir</w:t>
      </w:r>
      <w:proofErr w:type="spellEnd"/>
      <w:r w:rsidRPr="00B25819">
        <w:rPr>
          <w:rFonts w:ascii="Arial" w:hAnsi="Arial" w:cs="Arial"/>
          <w:lang w:val="en"/>
        </w:rPr>
        <w:t xml:space="preserve"> crossed the placenta in pregnant rats and could be detected in fetal tissues. </w:t>
      </w:r>
      <w:proofErr w:type="spellStart"/>
      <w:r w:rsidRPr="00B25819">
        <w:rPr>
          <w:rFonts w:ascii="Arial" w:hAnsi="Arial" w:cs="Arial"/>
          <w:lang w:val="en"/>
        </w:rPr>
        <w:t>Cabotegravir</w:t>
      </w:r>
      <w:proofErr w:type="spellEnd"/>
      <w:r w:rsidRPr="00B25819">
        <w:rPr>
          <w:rFonts w:ascii="Arial" w:hAnsi="Arial" w:cs="Arial"/>
          <w:lang w:val="en"/>
        </w:rPr>
        <w:t xml:space="preserve"> was not teratogenic in rats at oral doses up to 1000 mg/kg/day (&gt;30 times the exposure in humans at the MRHD of 30 mg oral or 400 mg IM dose) but caused a delay in delivery that was associated with reduced survival and viability of rat offspring; there was no effect on survival </w:t>
      </w:r>
      <w:r w:rsidR="0016251C">
        <w:rPr>
          <w:rFonts w:ascii="Arial" w:hAnsi="Arial" w:cs="Arial"/>
          <w:lang w:val="en"/>
        </w:rPr>
        <w:t xml:space="preserve">at birth </w:t>
      </w:r>
      <w:r w:rsidRPr="00B25819">
        <w:rPr>
          <w:rFonts w:ascii="Arial" w:hAnsi="Arial" w:cs="Arial"/>
          <w:lang w:val="en"/>
        </w:rPr>
        <w:t>when fetuses were delivered by caesarean section. Exposures at the NOAEL were at least 11 times the exposure in humans at the MRHD of 30 mg oral or 400 mg IM dose. The relevance to human pregnancy is unknown.</w:t>
      </w:r>
    </w:p>
    <w:p w14:paraId="05763E08" w14:textId="55C74FDA" w:rsidR="005F487B" w:rsidRPr="005B1108" w:rsidRDefault="005F487B" w:rsidP="005B1108">
      <w:pPr>
        <w:rPr>
          <w:rFonts w:ascii="Arial" w:hAnsi="Arial" w:cs="Arial"/>
          <w:lang w:val="en"/>
        </w:rPr>
      </w:pPr>
      <w:r w:rsidRPr="00D82AE9">
        <w:rPr>
          <w:rFonts w:ascii="Arial" w:hAnsi="Arial" w:cs="Arial"/>
          <w:lang w:val="en"/>
        </w:rPr>
        <w:t>To monitor maternal-fetal outcomes of pregnant women, an Antiretroviral Pregnancy Registry has been established (</w:t>
      </w:r>
      <w:hyperlink r:id="rId12" w:history="1">
        <w:r w:rsidRPr="009C0AE5">
          <w:rPr>
            <w:rStyle w:val="Hyperlink"/>
            <w:rFonts w:ascii="Arial" w:hAnsi="Arial" w:cs="Arial"/>
            <w:lang w:val="en"/>
          </w:rPr>
          <w:t>http://www.apregistry.com</w:t>
        </w:r>
      </w:hyperlink>
      <w:r w:rsidRPr="00D82AE9">
        <w:rPr>
          <w:rFonts w:ascii="Arial" w:hAnsi="Arial" w:cs="Arial"/>
          <w:lang w:val="en"/>
        </w:rPr>
        <w:t>)</w:t>
      </w:r>
      <w:r>
        <w:rPr>
          <w:rFonts w:ascii="Arial" w:hAnsi="Arial" w:cs="Arial"/>
          <w:lang w:val="en"/>
        </w:rPr>
        <w:t xml:space="preserve"> for  </w:t>
      </w:r>
      <w:proofErr w:type="spellStart"/>
      <w:r>
        <w:rPr>
          <w:rFonts w:ascii="Arial" w:hAnsi="Arial" w:cs="Arial"/>
          <w:lang w:val="en"/>
        </w:rPr>
        <w:t>cabotegravir</w:t>
      </w:r>
      <w:proofErr w:type="spellEnd"/>
      <w:r w:rsidRPr="00D82AE9">
        <w:rPr>
          <w:rFonts w:ascii="Arial" w:hAnsi="Arial" w:cs="Arial"/>
          <w:lang w:val="en"/>
        </w:rPr>
        <w:t xml:space="preserve">. This is a voluntary prospective, exposure-registration, observational study designed to collect and evaluate data on the outcomes of pregnancy exposures to antiretroviral products. For </w:t>
      </w:r>
      <w:proofErr w:type="spellStart"/>
      <w:r w:rsidRPr="00D82AE9">
        <w:rPr>
          <w:rFonts w:ascii="Arial" w:hAnsi="Arial" w:cs="Arial"/>
          <w:lang w:val="en"/>
        </w:rPr>
        <w:t>rilpivirine</w:t>
      </w:r>
      <w:proofErr w:type="spellEnd"/>
      <w:r w:rsidRPr="00D82AE9">
        <w:rPr>
          <w:rFonts w:ascii="Arial" w:hAnsi="Arial" w:cs="Arial"/>
          <w:lang w:val="en"/>
        </w:rPr>
        <w:t>, sufficient first trimester exposures are available to allow detection of at least a two-fold increase in risk of overall birth defects.</w:t>
      </w:r>
    </w:p>
    <w:p w14:paraId="38C2A7DE" w14:textId="77777777" w:rsidR="001A3992" w:rsidRPr="005B1108" w:rsidRDefault="001A3992" w:rsidP="005617F2">
      <w:pPr>
        <w:pStyle w:val="Heading3"/>
        <w:ind w:left="0"/>
        <w:rPr>
          <w:rFonts w:ascii="Arial" w:hAnsi="Arial" w:cs="Arial"/>
        </w:rPr>
      </w:pPr>
      <w:r w:rsidRPr="005B1108">
        <w:rPr>
          <w:rFonts w:ascii="Arial" w:hAnsi="Arial" w:cs="Arial"/>
        </w:rPr>
        <w:lastRenderedPageBreak/>
        <w:t>Use in</w:t>
      </w:r>
      <w:r w:rsidR="00071855" w:rsidRPr="005B1108">
        <w:rPr>
          <w:rFonts w:ascii="Arial" w:hAnsi="Arial" w:cs="Arial"/>
        </w:rPr>
        <w:t xml:space="preserve"> lactation</w:t>
      </w:r>
    </w:p>
    <w:p w14:paraId="1EAEC00D" w14:textId="20B35CDC" w:rsidR="000D5825" w:rsidRDefault="000D5825" w:rsidP="005B1108">
      <w:pPr>
        <w:rPr>
          <w:rFonts w:ascii="Arial" w:hAnsi="Arial" w:cs="Arial"/>
          <w:color w:val="000000"/>
        </w:rPr>
      </w:pPr>
      <w:r>
        <w:rPr>
          <w:rFonts w:ascii="Arial" w:eastAsia="Calibri" w:hAnsi="Arial" w:cs="Arial"/>
          <w:color w:val="000000"/>
          <w:lang w:val="en-CA"/>
        </w:rPr>
        <w:t xml:space="preserve">Health experts recommend that where possible </w:t>
      </w:r>
      <w:r w:rsidR="00636B40" w:rsidRPr="00AD7B12">
        <w:rPr>
          <w:rFonts w:ascii="Arial" w:eastAsia="Calibri" w:hAnsi="Arial" w:cs="Arial"/>
          <w:color w:val="000000"/>
          <w:lang w:val="en-CA"/>
        </w:rPr>
        <w:t xml:space="preserve">HIV 1 infected </w:t>
      </w:r>
      <w:r>
        <w:rPr>
          <w:rFonts w:ascii="Arial" w:eastAsia="Calibri" w:hAnsi="Arial" w:cs="Arial"/>
          <w:color w:val="000000"/>
          <w:lang w:val="en-CA"/>
        </w:rPr>
        <w:t>women should</w:t>
      </w:r>
      <w:r w:rsidR="00636B40" w:rsidRPr="00AD7B12">
        <w:rPr>
          <w:rFonts w:ascii="Arial" w:eastAsia="Calibri" w:hAnsi="Arial" w:cs="Arial"/>
          <w:color w:val="000000"/>
          <w:lang w:val="en-CA"/>
        </w:rPr>
        <w:t xml:space="preserve"> not breastfeed their infants </w:t>
      </w:r>
      <w:r>
        <w:rPr>
          <w:rFonts w:ascii="Arial" w:eastAsia="Calibri" w:hAnsi="Arial" w:cs="Arial"/>
          <w:color w:val="000000"/>
          <w:lang w:val="en-CA"/>
        </w:rPr>
        <w:t xml:space="preserve">in order </w:t>
      </w:r>
      <w:r w:rsidR="00636B40" w:rsidRPr="00AD7B12">
        <w:rPr>
          <w:rFonts w:ascii="Arial" w:eastAsia="Calibri" w:hAnsi="Arial" w:cs="Arial"/>
          <w:color w:val="000000"/>
          <w:lang w:val="en-CA"/>
        </w:rPr>
        <w:t>to avoid transmission of HIV-1.</w:t>
      </w:r>
      <w:r w:rsidR="00D6566C">
        <w:rPr>
          <w:rFonts w:ascii="Arial" w:eastAsia="Calibri" w:hAnsi="Arial" w:cs="Arial"/>
          <w:color w:val="000000"/>
          <w:lang w:val="en-CA"/>
        </w:rPr>
        <w:t xml:space="preserve"> </w:t>
      </w:r>
      <w:r>
        <w:rPr>
          <w:rFonts w:ascii="Arial" w:eastAsia="Calibri" w:hAnsi="Arial" w:cs="Arial"/>
          <w:color w:val="000000"/>
          <w:lang w:val="en-CA"/>
        </w:rPr>
        <w:t>In settings where formula feeding is not feasible, local official lactation and treatment guidelines should be followed when considering breast feeding during antiretroviral therapy</w:t>
      </w:r>
      <w:r w:rsidR="00D551A4">
        <w:rPr>
          <w:rFonts w:ascii="Arial" w:hAnsi="Arial" w:cs="Arial"/>
          <w:color w:val="000000"/>
        </w:rPr>
        <w:t>.</w:t>
      </w:r>
    </w:p>
    <w:p w14:paraId="310A6261" w14:textId="77777777" w:rsidR="005B1108" w:rsidRPr="005B1108" w:rsidRDefault="005B1108" w:rsidP="005B1108">
      <w:pPr>
        <w:rPr>
          <w:rFonts w:ascii="Arial" w:hAnsi="Arial" w:cs="Arial"/>
          <w:lang w:val="en"/>
        </w:rPr>
      </w:pPr>
      <w:r w:rsidRPr="005B1108">
        <w:rPr>
          <w:rFonts w:ascii="Arial" w:hAnsi="Arial" w:cs="Arial"/>
          <w:lang w:val="en"/>
        </w:rPr>
        <w:t xml:space="preserve">It is expected that </w:t>
      </w:r>
      <w:proofErr w:type="spellStart"/>
      <w:r w:rsidRPr="005B1108">
        <w:rPr>
          <w:rFonts w:ascii="Arial" w:hAnsi="Arial" w:cs="Arial"/>
          <w:lang w:val="en"/>
        </w:rPr>
        <w:t>cabotegravir</w:t>
      </w:r>
      <w:proofErr w:type="spellEnd"/>
      <w:r w:rsidRPr="005B1108">
        <w:rPr>
          <w:rFonts w:ascii="Arial" w:hAnsi="Arial" w:cs="Arial"/>
          <w:lang w:val="en"/>
        </w:rPr>
        <w:t xml:space="preserve"> will be secreted into human milk based on animal data, although this has not been confirmed in humans. </w:t>
      </w:r>
      <w:proofErr w:type="spellStart"/>
      <w:r w:rsidRPr="005B1108">
        <w:rPr>
          <w:rFonts w:ascii="Arial" w:hAnsi="Arial" w:cs="Arial"/>
          <w:lang w:val="en"/>
        </w:rPr>
        <w:t>Cabotegravir</w:t>
      </w:r>
      <w:proofErr w:type="spellEnd"/>
      <w:r w:rsidRPr="005B1108">
        <w:rPr>
          <w:rFonts w:ascii="Arial" w:hAnsi="Arial" w:cs="Arial"/>
          <w:lang w:val="en"/>
        </w:rPr>
        <w:t xml:space="preserve"> may be present in human milk for up to 12 months or longer after the last </w:t>
      </w:r>
      <w:proofErr w:type="spellStart"/>
      <w:r w:rsidRPr="005B1108">
        <w:rPr>
          <w:rFonts w:ascii="Arial" w:hAnsi="Arial" w:cs="Arial"/>
          <w:lang w:val="en"/>
        </w:rPr>
        <w:t>cabotegravir</w:t>
      </w:r>
      <w:proofErr w:type="spellEnd"/>
      <w:r w:rsidRPr="005B1108">
        <w:rPr>
          <w:rFonts w:ascii="Arial" w:hAnsi="Arial" w:cs="Arial"/>
          <w:lang w:val="en"/>
        </w:rPr>
        <w:t xml:space="preserve"> injection.</w:t>
      </w:r>
    </w:p>
    <w:p w14:paraId="766CEACB"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EFFECTS ON ABILITY TO DRIVE AND USE MACHINES </w:t>
      </w:r>
    </w:p>
    <w:p w14:paraId="4B78597E" w14:textId="77777777" w:rsidR="000D5825" w:rsidRPr="000D5825" w:rsidRDefault="000D5825" w:rsidP="000D5825">
      <w:pPr>
        <w:rPr>
          <w:rFonts w:ascii="Arial" w:hAnsi="Arial" w:cs="Arial"/>
          <w:lang w:val="en"/>
        </w:rPr>
      </w:pPr>
      <w:bookmarkStart w:id="16" w:name="_Hlk6230953"/>
      <w:r>
        <w:rPr>
          <w:rFonts w:ascii="Arial" w:hAnsi="Arial" w:cs="Arial"/>
          <w:lang w:val="en"/>
        </w:rPr>
        <w:t xml:space="preserve">There have been no studies to investigate the effect of </w:t>
      </w:r>
      <w:proofErr w:type="spellStart"/>
      <w:r>
        <w:rPr>
          <w:rFonts w:ascii="Arial" w:hAnsi="Arial" w:cs="Arial"/>
          <w:lang w:val="en"/>
        </w:rPr>
        <w:t>cabotegravir</w:t>
      </w:r>
      <w:proofErr w:type="spellEnd"/>
      <w:r>
        <w:rPr>
          <w:rFonts w:ascii="Arial" w:hAnsi="Arial" w:cs="Arial"/>
          <w:lang w:val="en"/>
        </w:rPr>
        <w:t xml:space="preserve"> on driving performance or the ability to operate machinery.</w:t>
      </w:r>
      <w:r w:rsidRPr="000D5825">
        <w:rPr>
          <w:rFonts w:ascii="Arial" w:hAnsi="Arial" w:cs="Arial"/>
          <w:lang w:val="en"/>
        </w:rPr>
        <w:t xml:space="preserve"> The clinical status of the patient and the adverse </w:t>
      </w:r>
      <w:r>
        <w:rPr>
          <w:rFonts w:ascii="Arial" w:hAnsi="Arial" w:cs="Arial"/>
          <w:lang w:val="en"/>
        </w:rPr>
        <w:t>event</w:t>
      </w:r>
      <w:r w:rsidRPr="000D5825">
        <w:rPr>
          <w:rFonts w:ascii="Arial" w:hAnsi="Arial" w:cs="Arial"/>
          <w:lang w:val="en"/>
        </w:rPr>
        <w:t xml:space="preserve"> profile of VOCABRIA should be borne in mind when considering the patient's ability to drive or operate machinery.</w:t>
      </w:r>
    </w:p>
    <w:bookmarkEnd w:id="16"/>
    <w:p w14:paraId="630E1867"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ADVERSE EFFECTS (UNDESIRABLE EFFECTS)</w:t>
      </w:r>
    </w:p>
    <w:p w14:paraId="2ECB1B42" w14:textId="77777777" w:rsidR="006E595D" w:rsidRDefault="000D5825" w:rsidP="005617F2">
      <w:pPr>
        <w:pStyle w:val="Heading3"/>
        <w:ind w:left="0"/>
        <w:rPr>
          <w:rFonts w:ascii="Arial" w:hAnsi="Arial" w:cs="Arial"/>
        </w:rPr>
      </w:pPr>
      <w:r w:rsidRPr="00D26973">
        <w:rPr>
          <w:rFonts w:ascii="Arial" w:hAnsi="Arial" w:cs="Arial"/>
        </w:rPr>
        <w:t xml:space="preserve">Clinical </w:t>
      </w:r>
      <w:r w:rsidR="00EC1C0B">
        <w:rPr>
          <w:rFonts w:ascii="Arial" w:hAnsi="Arial" w:cs="Arial"/>
        </w:rPr>
        <w:t>t</w:t>
      </w:r>
      <w:r w:rsidRPr="00D26973">
        <w:rPr>
          <w:rFonts w:ascii="Arial" w:hAnsi="Arial" w:cs="Arial"/>
        </w:rPr>
        <w:t xml:space="preserve">rial </w:t>
      </w:r>
      <w:r w:rsidR="00EC1C0B">
        <w:rPr>
          <w:rFonts w:ascii="Arial" w:hAnsi="Arial" w:cs="Arial"/>
        </w:rPr>
        <w:t>d</w:t>
      </w:r>
      <w:r w:rsidRPr="00D26973">
        <w:rPr>
          <w:rFonts w:ascii="Arial" w:hAnsi="Arial" w:cs="Arial"/>
        </w:rPr>
        <w:t>ata</w:t>
      </w:r>
    </w:p>
    <w:p w14:paraId="40E185C6" w14:textId="2EA8234F" w:rsidR="00D26973" w:rsidRDefault="00D26973" w:rsidP="000D668F">
      <w:pPr>
        <w:rPr>
          <w:rFonts w:ascii="Arial" w:eastAsia="Calibri" w:hAnsi="Arial" w:cs="Arial"/>
          <w:lang w:val="en-CA"/>
        </w:rPr>
      </w:pPr>
      <w:r>
        <w:rPr>
          <w:rFonts w:ascii="Arial" w:hAnsi="Arial" w:cs="Arial"/>
          <w:lang w:val="en"/>
        </w:rPr>
        <w:t xml:space="preserve">The safety </w:t>
      </w:r>
      <w:r w:rsidRPr="00AD7B12">
        <w:rPr>
          <w:rFonts w:ascii="Arial" w:eastAsia="Calibri" w:hAnsi="Arial" w:cs="Arial"/>
          <w:lang w:val="en-CA"/>
        </w:rPr>
        <w:t xml:space="preserve">assessment of VOCABRIA in HIV-1-infected, </w:t>
      </w:r>
      <w:proofErr w:type="spellStart"/>
      <w:r w:rsidRPr="00AD7B12">
        <w:rPr>
          <w:rFonts w:ascii="Arial" w:eastAsia="Calibri" w:hAnsi="Arial" w:cs="Arial"/>
          <w:lang w:val="en-CA"/>
        </w:rPr>
        <w:t>virologically</w:t>
      </w:r>
      <w:proofErr w:type="spellEnd"/>
      <w:r w:rsidRPr="00AD7B12">
        <w:rPr>
          <w:rFonts w:ascii="Arial" w:eastAsia="Calibri" w:hAnsi="Arial" w:cs="Arial"/>
          <w:lang w:val="en-CA"/>
        </w:rPr>
        <w:t xml:space="preserve"> suppressed patients is based on pooled primary Week 48 analyses of data from </w:t>
      </w:r>
      <w:r>
        <w:rPr>
          <w:rFonts w:ascii="Arial" w:eastAsia="Calibri" w:hAnsi="Arial" w:cs="Arial"/>
          <w:lang w:val="en-CA"/>
        </w:rPr>
        <w:t>two</w:t>
      </w:r>
      <w:r w:rsidRPr="00AD7B12">
        <w:rPr>
          <w:rFonts w:ascii="Arial" w:eastAsia="Calibri" w:hAnsi="Arial" w:cs="Arial"/>
          <w:lang w:val="en-CA"/>
        </w:rPr>
        <w:t xml:space="preserve"> international, multicenter open-label </w:t>
      </w:r>
      <w:r w:rsidR="00EC1C0B">
        <w:rPr>
          <w:rFonts w:ascii="Arial" w:eastAsia="Calibri" w:hAnsi="Arial" w:cs="Arial"/>
          <w:lang w:val="en-CA"/>
        </w:rPr>
        <w:t>studies</w:t>
      </w:r>
      <w:r w:rsidR="00BC16D4">
        <w:rPr>
          <w:rFonts w:ascii="Arial" w:eastAsia="Calibri" w:hAnsi="Arial" w:cs="Arial"/>
          <w:lang w:val="en-CA"/>
        </w:rPr>
        <w:t xml:space="preserve">, </w:t>
      </w:r>
      <w:r w:rsidRPr="00AD7B12">
        <w:rPr>
          <w:rFonts w:ascii="Arial" w:eastAsia="Calibri" w:hAnsi="Arial" w:cs="Arial"/>
          <w:lang w:val="en-CA"/>
        </w:rPr>
        <w:t>FLAIR and ATLAS</w:t>
      </w:r>
      <w:r w:rsidR="00BC16D4">
        <w:rPr>
          <w:rFonts w:ascii="Arial" w:eastAsia="Calibri" w:hAnsi="Arial" w:cs="Arial"/>
          <w:lang w:val="en-CA"/>
        </w:rPr>
        <w:t xml:space="preserve"> and </w:t>
      </w:r>
      <w:r w:rsidR="00BC16D4" w:rsidRPr="00763708">
        <w:rPr>
          <w:rFonts w:ascii="Arial" w:hAnsi="Arial" w:cs="Arial"/>
        </w:rPr>
        <w:t xml:space="preserve"> one Phase </w:t>
      </w:r>
      <w:proofErr w:type="spellStart"/>
      <w:r w:rsidR="00BC16D4" w:rsidRPr="00763708">
        <w:rPr>
          <w:rFonts w:ascii="Arial" w:hAnsi="Arial" w:cs="Arial"/>
        </w:rPr>
        <w:t>IIIb</w:t>
      </w:r>
      <w:proofErr w:type="spellEnd"/>
      <w:r w:rsidR="00BC16D4" w:rsidRPr="00763708">
        <w:rPr>
          <w:rFonts w:ascii="Arial" w:hAnsi="Arial" w:cs="Arial"/>
        </w:rPr>
        <w:t xml:space="preserve"> </w:t>
      </w:r>
      <w:r w:rsidR="00BC16D4" w:rsidRPr="00492682">
        <w:rPr>
          <w:rFonts w:ascii="Arial" w:hAnsi="Arial" w:cs="Arial"/>
        </w:rPr>
        <w:t>international</w:t>
      </w:r>
      <w:r w:rsidR="00BC16D4" w:rsidRPr="00763708">
        <w:rPr>
          <w:rFonts w:ascii="Arial" w:hAnsi="Arial" w:cs="Arial"/>
        </w:rPr>
        <w:t>, multicentre</w:t>
      </w:r>
      <w:r w:rsidR="00BC16D4" w:rsidRPr="00492682">
        <w:rPr>
          <w:rFonts w:ascii="Arial" w:hAnsi="Arial" w:cs="Arial"/>
        </w:rPr>
        <w:t xml:space="preserve"> </w:t>
      </w:r>
      <w:r w:rsidR="00BC16D4" w:rsidRPr="00763708">
        <w:rPr>
          <w:rFonts w:ascii="Arial" w:hAnsi="Arial" w:cs="Arial"/>
        </w:rPr>
        <w:t>open-label</w:t>
      </w:r>
      <w:r w:rsidR="00BC16D4" w:rsidRPr="00492682">
        <w:rPr>
          <w:rFonts w:ascii="Arial" w:hAnsi="Arial" w:cs="Arial"/>
        </w:rPr>
        <w:t xml:space="preserve"> study,</w:t>
      </w:r>
      <w:r w:rsidR="00BC16D4" w:rsidRPr="00763708">
        <w:rPr>
          <w:rFonts w:ascii="Arial" w:hAnsi="Arial" w:cs="Arial"/>
        </w:rPr>
        <w:t xml:space="preserve"> ATLAS-2M.</w:t>
      </w:r>
    </w:p>
    <w:p w14:paraId="26D5CBC2" w14:textId="7AD4780D" w:rsidR="00D26973" w:rsidRDefault="00D26973" w:rsidP="000D668F">
      <w:pPr>
        <w:contextualSpacing/>
        <w:rPr>
          <w:rFonts w:ascii="Arial" w:hAnsi="Arial" w:cs="Arial"/>
        </w:rPr>
      </w:pPr>
      <w:r>
        <w:rPr>
          <w:rFonts w:ascii="Arial" w:hAnsi="Arial" w:cs="Arial"/>
        </w:rPr>
        <w:t xml:space="preserve">In FLAIR and ATLAS, a total of 1,182 HIV-1 infected patients were </w:t>
      </w:r>
      <w:r w:rsidRPr="00564B63">
        <w:rPr>
          <w:rFonts w:ascii="Arial" w:hAnsi="Arial" w:cs="Arial"/>
        </w:rPr>
        <w:t xml:space="preserve">randomized to receive either a </w:t>
      </w:r>
      <w:proofErr w:type="spellStart"/>
      <w:r w:rsidRPr="00564B63">
        <w:rPr>
          <w:rFonts w:ascii="Arial" w:hAnsi="Arial" w:cs="Arial"/>
        </w:rPr>
        <w:t>cabotegravir</w:t>
      </w:r>
      <w:proofErr w:type="spellEnd"/>
      <w:r w:rsidRPr="00564B63">
        <w:rPr>
          <w:rFonts w:ascii="Arial" w:hAnsi="Arial" w:cs="Arial"/>
        </w:rPr>
        <w:t xml:space="preserve"> plus </w:t>
      </w:r>
      <w:proofErr w:type="spellStart"/>
      <w:r w:rsidRPr="00564B63">
        <w:rPr>
          <w:rFonts w:ascii="Arial" w:hAnsi="Arial" w:cs="Arial"/>
        </w:rPr>
        <w:t>rilpivirine</w:t>
      </w:r>
      <w:proofErr w:type="spellEnd"/>
      <w:r w:rsidRPr="00564B63">
        <w:rPr>
          <w:rFonts w:ascii="Arial" w:hAnsi="Arial" w:cs="Arial"/>
        </w:rPr>
        <w:t xml:space="preserve"> regimen or remain on their baseline antiretroviral regimen. </w:t>
      </w:r>
      <w:r>
        <w:rPr>
          <w:rFonts w:ascii="Arial" w:hAnsi="Arial" w:cs="Arial"/>
        </w:rPr>
        <w:t>Patients</w:t>
      </w:r>
      <w:r w:rsidRPr="00564B63">
        <w:rPr>
          <w:rFonts w:ascii="Arial" w:hAnsi="Arial" w:cs="Arial"/>
        </w:rPr>
        <w:t xml:space="preserve"> randomized to receive the </w:t>
      </w:r>
      <w:proofErr w:type="spellStart"/>
      <w:r w:rsidRPr="00564B63">
        <w:rPr>
          <w:rFonts w:ascii="Arial" w:hAnsi="Arial" w:cs="Arial"/>
        </w:rPr>
        <w:t>cabotegravir</w:t>
      </w:r>
      <w:proofErr w:type="spellEnd"/>
      <w:r w:rsidRPr="00564B63">
        <w:rPr>
          <w:rFonts w:ascii="Arial" w:hAnsi="Arial" w:cs="Arial"/>
        </w:rPr>
        <w:t xml:space="preserve"> plus </w:t>
      </w:r>
      <w:proofErr w:type="spellStart"/>
      <w:r w:rsidRPr="00564B63">
        <w:rPr>
          <w:rFonts w:ascii="Arial" w:hAnsi="Arial" w:cs="Arial"/>
        </w:rPr>
        <w:t>rilpivirine</w:t>
      </w:r>
      <w:proofErr w:type="spellEnd"/>
      <w:r w:rsidRPr="00564B63">
        <w:rPr>
          <w:rFonts w:ascii="Arial" w:hAnsi="Arial" w:cs="Arial"/>
        </w:rPr>
        <w:t xml:space="preserve"> regimen</w:t>
      </w:r>
      <w:r>
        <w:rPr>
          <w:rFonts w:ascii="Arial" w:hAnsi="Arial" w:cs="Arial"/>
        </w:rPr>
        <w:t>,</w:t>
      </w:r>
      <w:r w:rsidRPr="00564B63">
        <w:rPr>
          <w:rFonts w:ascii="Arial" w:hAnsi="Arial" w:cs="Arial"/>
        </w:rPr>
        <w:t xml:space="preserve"> initiated treatment with daily oral lead-in dosing with one 30</w:t>
      </w:r>
      <w:r w:rsidR="009B3DC4">
        <w:rPr>
          <w:rFonts w:ascii="Arial" w:hAnsi="Arial" w:cs="Arial"/>
        </w:rPr>
        <w:t xml:space="preserve"> </w:t>
      </w:r>
      <w:r w:rsidRPr="00564B63">
        <w:rPr>
          <w:rFonts w:ascii="Arial" w:hAnsi="Arial" w:cs="Arial"/>
        </w:rPr>
        <w:t xml:space="preserve">mg </w:t>
      </w:r>
      <w:proofErr w:type="spellStart"/>
      <w:r w:rsidRPr="00564B63">
        <w:rPr>
          <w:rFonts w:ascii="Arial" w:hAnsi="Arial" w:cs="Arial"/>
        </w:rPr>
        <w:t>cabotegravir</w:t>
      </w:r>
      <w:proofErr w:type="spellEnd"/>
      <w:r w:rsidRPr="00564B63">
        <w:rPr>
          <w:rFonts w:ascii="Arial" w:hAnsi="Arial" w:cs="Arial"/>
        </w:rPr>
        <w:t xml:space="preserve"> tablet</w:t>
      </w:r>
      <w:r>
        <w:rPr>
          <w:rFonts w:ascii="Arial" w:hAnsi="Arial" w:cs="Arial"/>
        </w:rPr>
        <w:t xml:space="preserve"> </w:t>
      </w:r>
      <w:r w:rsidRPr="00564B63">
        <w:rPr>
          <w:rFonts w:ascii="Arial" w:hAnsi="Arial" w:cs="Arial"/>
        </w:rPr>
        <w:t>plus one 25</w:t>
      </w:r>
      <w:r w:rsidR="009B3DC4">
        <w:rPr>
          <w:rFonts w:ascii="Arial" w:hAnsi="Arial" w:cs="Arial"/>
        </w:rPr>
        <w:t xml:space="preserve"> </w:t>
      </w:r>
      <w:r w:rsidRPr="00564B63">
        <w:rPr>
          <w:rFonts w:ascii="Arial" w:hAnsi="Arial" w:cs="Arial"/>
        </w:rPr>
        <w:t xml:space="preserve">mg </w:t>
      </w:r>
      <w:proofErr w:type="spellStart"/>
      <w:r w:rsidRPr="00564B63">
        <w:rPr>
          <w:rFonts w:ascii="Arial" w:hAnsi="Arial" w:cs="Arial"/>
        </w:rPr>
        <w:t>rilpivirine</w:t>
      </w:r>
      <w:proofErr w:type="spellEnd"/>
      <w:r w:rsidRPr="00564B63">
        <w:rPr>
          <w:rFonts w:ascii="Arial" w:hAnsi="Arial" w:cs="Arial"/>
        </w:rPr>
        <w:t xml:space="preserve"> tablet</w:t>
      </w:r>
      <w:r>
        <w:rPr>
          <w:rFonts w:ascii="Arial" w:hAnsi="Arial" w:cs="Arial"/>
        </w:rPr>
        <w:t xml:space="preserve"> (EDURANT)</w:t>
      </w:r>
      <w:r w:rsidRPr="00564B63">
        <w:rPr>
          <w:rFonts w:ascii="Arial" w:hAnsi="Arial" w:cs="Arial"/>
        </w:rPr>
        <w:t xml:space="preserve"> for at least 4 weeks</w:t>
      </w:r>
      <w:r>
        <w:rPr>
          <w:rFonts w:ascii="Arial" w:hAnsi="Arial" w:cs="Arial"/>
        </w:rPr>
        <w:t xml:space="preserve"> </w:t>
      </w:r>
      <w:r w:rsidRPr="00564B63">
        <w:rPr>
          <w:rFonts w:ascii="Arial" w:hAnsi="Arial" w:cs="Arial"/>
        </w:rPr>
        <w:t xml:space="preserve">followed by treatment with </w:t>
      </w:r>
      <w:proofErr w:type="spellStart"/>
      <w:r w:rsidRPr="00564B63">
        <w:rPr>
          <w:rFonts w:ascii="Arial" w:hAnsi="Arial" w:cs="Arial"/>
        </w:rPr>
        <w:t>cabotegravir</w:t>
      </w:r>
      <w:proofErr w:type="spellEnd"/>
      <w:r w:rsidRPr="00564B63">
        <w:rPr>
          <w:rFonts w:ascii="Arial" w:hAnsi="Arial" w:cs="Arial"/>
        </w:rPr>
        <w:t xml:space="preserve"> injection plus </w:t>
      </w:r>
      <w:proofErr w:type="spellStart"/>
      <w:r w:rsidRPr="00564B63">
        <w:rPr>
          <w:rFonts w:ascii="Arial" w:hAnsi="Arial" w:cs="Arial"/>
        </w:rPr>
        <w:t>rilpivirine</w:t>
      </w:r>
      <w:proofErr w:type="spellEnd"/>
      <w:r w:rsidRPr="00564B63">
        <w:rPr>
          <w:rFonts w:ascii="Arial" w:hAnsi="Arial" w:cs="Arial"/>
        </w:rPr>
        <w:t xml:space="preserve"> injection</w:t>
      </w:r>
      <w:r>
        <w:rPr>
          <w:rFonts w:ascii="Arial" w:hAnsi="Arial" w:cs="Arial"/>
        </w:rPr>
        <w:t xml:space="preserve"> </w:t>
      </w:r>
      <w:r w:rsidRPr="00564B63">
        <w:rPr>
          <w:rFonts w:ascii="Arial" w:hAnsi="Arial" w:cs="Arial"/>
        </w:rPr>
        <w:t xml:space="preserve">for </w:t>
      </w:r>
      <w:r>
        <w:rPr>
          <w:rFonts w:ascii="Arial" w:hAnsi="Arial" w:cs="Arial"/>
        </w:rPr>
        <w:t xml:space="preserve">at least </w:t>
      </w:r>
      <w:r w:rsidRPr="00564B63">
        <w:rPr>
          <w:rFonts w:ascii="Arial" w:hAnsi="Arial" w:cs="Arial"/>
        </w:rPr>
        <w:t>an additional 44 weeks.</w:t>
      </w:r>
    </w:p>
    <w:p w14:paraId="440E7D37" w14:textId="7AE66F6F" w:rsidR="00BC16D4" w:rsidRDefault="00BC16D4" w:rsidP="000D668F">
      <w:pPr>
        <w:contextualSpacing/>
        <w:rPr>
          <w:rFonts w:ascii="Arial" w:hAnsi="Arial" w:cs="Arial"/>
        </w:rPr>
      </w:pPr>
    </w:p>
    <w:p w14:paraId="5944E07A" w14:textId="0066A4C2" w:rsidR="00BC16D4" w:rsidRPr="002E2FB4" w:rsidRDefault="00BC16D4" w:rsidP="00BC16D4">
      <w:pPr>
        <w:keepNext/>
        <w:autoSpaceDE w:val="0"/>
        <w:autoSpaceDN w:val="0"/>
        <w:adjustRightInd w:val="0"/>
        <w:rPr>
          <w:rFonts w:ascii="Arial" w:hAnsi="Arial" w:cs="Arial"/>
        </w:rPr>
      </w:pPr>
      <w:r w:rsidRPr="00763708">
        <w:rPr>
          <w:rFonts w:ascii="Arial" w:hAnsi="Arial" w:cs="Arial"/>
        </w:rPr>
        <w:t xml:space="preserve">In ATLAS-2M, 1045 HIV-1 infected, ART experienced, virologically suppressed subjects were randomised and received a </w:t>
      </w:r>
      <w:proofErr w:type="spellStart"/>
      <w:r w:rsidRPr="00763708">
        <w:rPr>
          <w:rFonts w:ascii="Arial" w:hAnsi="Arial" w:cs="Arial"/>
        </w:rPr>
        <w:t>cabotegravir</w:t>
      </w:r>
      <w:proofErr w:type="spellEnd"/>
      <w:r w:rsidRPr="00763708">
        <w:rPr>
          <w:rFonts w:ascii="Arial" w:hAnsi="Arial" w:cs="Arial"/>
        </w:rPr>
        <w:t xml:space="preserve"> plus </w:t>
      </w:r>
      <w:proofErr w:type="spellStart"/>
      <w:r w:rsidRPr="00763708">
        <w:rPr>
          <w:rFonts w:ascii="Arial" w:hAnsi="Arial" w:cs="Arial"/>
        </w:rPr>
        <w:t>rilpivirine</w:t>
      </w:r>
      <w:proofErr w:type="spellEnd"/>
      <w:r w:rsidRPr="00763708">
        <w:rPr>
          <w:rFonts w:ascii="Arial" w:hAnsi="Arial" w:cs="Arial"/>
        </w:rPr>
        <w:t xml:space="preserve"> injection regimen administered either every 2 months or monthly. Subjects initially on non-CAB/RPV treatment received oral lead-in treatment comprising one </w:t>
      </w:r>
      <w:proofErr w:type="spellStart"/>
      <w:r w:rsidRPr="00763708">
        <w:rPr>
          <w:rFonts w:ascii="Arial" w:hAnsi="Arial" w:cs="Arial"/>
        </w:rPr>
        <w:t>cabotegravir</w:t>
      </w:r>
      <w:proofErr w:type="spellEnd"/>
      <w:r w:rsidRPr="00763708">
        <w:rPr>
          <w:rFonts w:ascii="Arial" w:hAnsi="Arial" w:cs="Arial"/>
        </w:rPr>
        <w:t xml:space="preserve"> 30 mg tablet </w:t>
      </w:r>
      <w:r>
        <w:rPr>
          <w:rFonts w:ascii="Arial" w:hAnsi="Arial" w:cs="Arial"/>
        </w:rPr>
        <w:t xml:space="preserve">(VOCABRIA) </w:t>
      </w:r>
      <w:r w:rsidRPr="00763708">
        <w:rPr>
          <w:rFonts w:ascii="Arial" w:hAnsi="Arial" w:cs="Arial"/>
        </w:rPr>
        <w:t xml:space="preserve">plus one </w:t>
      </w:r>
      <w:proofErr w:type="spellStart"/>
      <w:r w:rsidRPr="00763708">
        <w:rPr>
          <w:rFonts w:ascii="Arial" w:hAnsi="Arial" w:cs="Arial"/>
        </w:rPr>
        <w:t>rilpivirine</w:t>
      </w:r>
      <w:proofErr w:type="spellEnd"/>
      <w:r w:rsidRPr="00763708">
        <w:rPr>
          <w:rFonts w:ascii="Arial" w:hAnsi="Arial" w:cs="Arial"/>
        </w:rPr>
        <w:t xml:space="preserve"> 25 mg tablet </w:t>
      </w:r>
      <w:r>
        <w:rPr>
          <w:rFonts w:ascii="Arial" w:hAnsi="Arial" w:cs="Arial"/>
        </w:rPr>
        <w:t>(EDURANT)</w:t>
      </w:r>
      <w:r w:rsidRPr="00763708">
        <w:rPr>
          <w:rFonts w:ascii="Arial" w:hAnsi="Arial" w:cs="Arial"/>
        </w:rPr>
        <w:t xml:space="preserve">, daily, for at least 4 weeks. Subjects randomised to monthly </w:t>
      </w:r>
      <w:proofErr w:type="spellStart"/>
      <w:r w:rsidRPr="00763708">
        <w:rPr>
          <w:rFonts w:ascii="Arial" w:hAnsi="Arial" w:cs="Arial"/>
        </w:rPr>
        <w:t>cabotegravir</w:t>
      </w:r>
      <w:proofErr w:type="spellEnd"/>
      <w:r w:rsidRPr="00763708">
        <w:rPr>
          <w:rFonts w:ascii="Arial" w:hAnsi="Arial" w:cs="Arial"/>
        </w:rPr>
        <w:t xml:space="preserve"> injections and </w:t>
      </w:r>
      <w:proofErr w:type="spellStart"/>
      <w:r w:rsidRPr="00763708">
        <w:rPr>
          <w:rFonts w:ascii="Arial" w:hAnsi="Arial" w:cs="Arial"/>
        </w:rPr>
        <w:t>rilpivirine</w:t>
      </w:r>
      <w:proofErr w:type="spellEnd"/>
      <w:r w:rsidRPr="00763708">
        <w:rPr>
          <w:rFonts w:ascii="Arial" w:hAnsi="Arial" w:cs="Arial"/>
        </w:rPr>
        <w:t xml:space="preserve"> injections received treatment for an additional 44 weeks. Subjects randomised to every 2 month </w:t>
      </w:r>
      <w:proofErr w:type="spellStart"/>
      <w:r w:rsidRPr="00763708">
        <w:rPr>
          <w:rFonts w:ascii="Arial" w:hAnsi="Arial" w:cs="Arial"/>
        </w:rPr>
        <w:t>cabotegravir</w:t>
      </w:r>
      <w:proofErr w:type="spellEnd"/>
      <w:r w:rsidRPr="00763708">
        <w:rPr>
          <w:rFonts w:ascii="Arial" w:hAnsi="Arial" w:cs="Arial"/>
        </w:rPr>
        <w:t xml:space="preserve"> injections and </w:t>
      </w:r>
      <w:proofErr w:type="spellStart"/>
      <w:r w:rsidRPr="00763708">
        <w:rPr>
          <w:rFonts w:ascii="Arial" w:hAnsi="Arial" w:cs="Arial"/>
        </w:rPr>
        <w:t>rilpivirine</w:t>
      </w:r>
      <w:proofErr w:type="spellEnd"/>
      <w:r w:rsidRPr="00763708">
        <w:rPr>
          <w:rFonts w:ascii="Arial" w:hAnsi="Arial" w:cs="Arial"/>
        </w:rPr>
        <w:t xml:space="preserve"> injections</w:t>
      </w:r>
      <w:r w:rsidR="0090328A">
        <w:rPr>
          <w:rFonts w:ascii="Arial" w:hAnsi="Arial" w:cs="Arial"/>
        </w:rPr>
        <w:t xml:space="preserve"> received treatment </w:t>
      </w:r>
      <w:r w:rsidR="00D551A4">
        <w:rPr>
          <w:rFonts w:ascii="Arial" w:hAnsi="Arial" w:cs="Arial"/>
        </w:rPr>
        <w:t xml:space="preserve"> for an additional 44 weeks.</w:t>
      </w:r>
    </w:p>
    <w:p w14:paraId="76D5D09E" w14:textId="77777777" w:rsidR="00D26973" w:rsidRPr="005617F2" w:rsidRDefault="001359F2" w:rsidP="005617F2">
      <w:pPr>
        <w:pStyle w:val="Heading4"/>
        <w:numPr>
          <w:ilvl w:val="0"/>
          <w:numId w:val="0"/>
        </w:numPr>
        <w:rPr>
          <w:rFonts w:ascii="Arial" w:hAnsi="Arial" w:cs="Arial"/>
          <w:color w:val="auto"/>
        </w:rPr>
      </w:pPr>
      <w:r w:rsidRPr="005617F2">
        <w:rPr>
          <w:rFonts w:ascii="Arial" w:hAnsi="Arial" w:cs="Arial"/>
          <w:color w:val="auto"/>
        </w:rPr>
        <w:t xml:space="preserve">Adverse </w:t>
      </w:r>
      <w:r w:rsidR="00EC1C0B">
        <w:rPr>
          <w:rFonts w:ascii="Arial" w:hAnsi="Arial" w:cs="Arial"/>
          <w:color w:val="auto"/>
        </w:rPr>
        <w:t>e</w:t>
      </w:r>
      <w:r w:rsidRPr="005617F2">
        <w:rPr>
          <w:rFonts w:ascii="Arial" w:hAnsi="Arial" w:cs="Arial"/>
          <w:color w:val="auto"/>
        </w:rPr>
        <w:t>vents</w:t>
      </w:r>
    </w:p>
    <w:p w14:paraId="03B147CC" w14:textId="733711C4" w:rsidR="001359F2" w:rsidRDefault="008D6D88" w:rsidP="00D26973">
      <w:pPr>
        <w:rPr>
          <w:rFonts w:ascii="Arial" w:hAnsi="Arial" w:cs="Arial"/>
          <w:lang w:val="en"/>
        </w:rPr>
      </w:pPr>
      <w:r w:rsidRPr="008D6D88">
        <w:rPr>
          <w:rFonts w:ascii="Arial" w:hAnsi="Arial" w:cs="Arial"/>
          <w:lang w:val="en"/>
        </w:rPr>
        <w:t xml:space="preserve">For many of the adverse events listed in Table </w:t>
      </w:r>
      <w:r w:rsidR="00B11DE6">
        <w:rPr>
          <w:rFonts w:ascii="Arial" w:hAnsi="Arial" w:cs="Arial"/>
          <w:lang w:val="en"/>
        </w:rPr>
        <w:t>2</w:t>
      </w:r>
      <w:r w:rsidRPr="008D6D88">
        <w:rPr>
          <w:rFonts w:ascii="Arial" w:hAnsi="Arial" w:cs="Arial"/>
          <w:lang w:val="en"/>
        </w:rPr>
        <w:t>, it is unclear whether they are related to the active substance, the wide range of other medicinal products used in the management of HIV infection, or whether they are a result of the underlying disease process</w:t>
      </w:r>
    </w:p>
    <w:p w14:paraId="431BFD1B" w14:textId="051CF224" w:rsidR="008D6D88" w:rsidRPr="00676B36" w:rsidRDefault="008D6D88" w:rsidP="00676B36">
      <w:pPr>
        <w:rPr>
          <w:rFonts w:ascii="Arial" w:hAnsi="Arial" w:cs="Arial"/>
          <w:lang w:val="en"/>
        </w:rPr>
      </w:pPr>
      <w:r w:rsidRPr="00676B36">
        <w:rPr>
          <w:rFonts w:ascii="Arial" w:hAnsi="Arial" w:cs="Arial"/>
          <w:lang w:val="en"/>
        </w:rPr>
        <w:t>The most common adverse events reported in &gt;</w:t>
      </w:r>
      <w:r w:rsidR="00E8626B" w:rsidRPr="00676B36">
        <w:rPr>
          <w:rFonts w:ascii="Arial" w:hAnsi="Arial" w:cs="Arial"/>
          <w:lang w:val="en"/>
        </w:rPr>
        <w:t>10</w:t>
      </w:r>
      <w:r w:rsidRPr="00676B36">
        <w:rPr>
          <w:rFonts w:ascii="Arial" w:hAnsi="Arial" w:cs="Arial"/>
          <w:lang w:val="en"/>
        </w:rPr>
        <w:t xml:space="preserve">% of subjects in the group that received VOCABRIA in the </w:t>
      </w:r>
      <w:r w:rsidR="00FB5E91" w:rsidRPr="00676B36">
        <w:rPr>
          <w:rFonts w:ascii="Arial" w:hAnsi="Arial" w:cs="Arial"/>
          <w:lang w:val="en"/>
        </w:rPr>
        <w:t>FLAIR</w:t>
      </w:r>
      <w:r w:rsidRPr="00676B36">
        <w:rPr>
          <w:rFonts w:ascii="Arial" w:hAnsi="Arial" w:cs="Arial"/>
          <w:lang w:val="en"/>
        </w:rPr>
        <w:t xml:space="preserve"> and </w:t>
      </w:r>
      <w:r w:rsidR="00FB5E91" w:rsidRPr="00676B36">
        <w:rPr>
          <w:rFonts w:ascii="Arial" w:hAnsi="Arial" w:cs="Arial"/>
          <w:lang w:val="en"/>
        </w:rPr>
        <w:t>ATLAS</w:t>
      </w:r>
      <w:r w:rsidRPr="00676B36">
        <w:rPr>
          <w:rFonts w:ascii="Arial" w:hAnsi="Arial" w:cs="Arial"/>
          <w:lang w:val="en"/>
        </w:rPr>
        <w:t xml:space="preserve"> </w:t>
      </w:r>
      <w:r w:rsidR="00EC1C0B" w:rsidRPr="00676B36">
        <w:rPr>
          <w:rFonts w:ascii="Arial" w:hAnsi="Arial" w:cs="Arial"/>
          <w:lang w:val="en"/>
        </w:rPr>
        <w:t>studies</w:t>
      </w:r>
      <w:r w:rsidRPr="00676B36">
        <w:rPr>
          <w:rFonts w:ascii="Arial" w:hAnsi="Arial" w:cs="Arial"/>
          <w:lang w:val="en"/>
        </w:rPr>
        <w:t xml:space="preserve"> were</w:t>
      </w:r>
      <w:r w:rsidR="00CF510C" w:rsidRPr="00676B36">
        <w:rPr>
          <w:rFonts w:ascii="Arial" w:hAnsi="Arial" w:cs="Arial"/>
          <w:lang w:val="en"/>
        </w:rPr>
        <w:t xml:space="preserve"> </w:t>
      </w:r>
      <w:r w:rsidR="00C03D04" w:rsidRPr="00676B36">
        <w:rPr>
          <w:rFonts w:ascii="Arial" w:hAnsi="Arial" w:cs="Arial"/>
          <w:lang w:val="en"/>
        </w:rPr>
        <w:t>i</w:t>
      </w:r>
      <w:r w:rsidR="00CF510C" w:rsidRPr="00676B36">
        <w:rPr>
          <w:rFonts w:ascii="Arial" w:hAnsi="Arial" w:cs="Arial"/>
          <w:lang w:val="en"/>
        </w:rPr>
        <w:t xml:space="preserve">njection site pain, </w:t>
      </w:r>
      <w:proofErr w:type="spellStart"/>
      <w:r w:rsidR="00CF510C" w:rsidRPr="00676B36">
        <w:rPr>
          <w:rFonts w:ascii="Arial" w:hAnsi="Arial" w:cs="Arial"/>
          <w:lang w:val="en"/>
        </w:rPr>
        <w:t>nasopharyngitis</w:t>
      </w:r>
      <w:proofErr w:type="spellEnd"/>
      <w:r w:rsidR="00CF510C" w:rsidRPr="00676B36">
        <w:rPr>
          <w:rFonts w:ascii="Arial" w:hAnsi="Arial" w:cs="Arial"/>
          <w:lang w:val="en"/>
        </w:rPr>
        <w:t xml:space="preserve">, upper </w:t>
      </w:r>
      <w:r w:rsidR="00CF510C" w:rsidRPr="00676B36">
        <w:rPr>
          <w:rFonts w:ascii="Arial" w:hAnsi="Arial" w:cs="Arial"/>
          <w:lang w:val="en"/>
        </w:rPr>
        <w:lastRenderedPageBreak/>
        <w:t xml:space="preserve">respiratory tract infection, headache, </w:t>
      </w:r>
      <w:proofErr w:type="spellStart"/>
      <w:r w:rsidR="00CF510C" w:rsidRPr="00676B36">
        <w:rPr>
          <w:rFonts w:ascii="Arial" w:hAnsi="Arial" w:cs="Arial"/>
          <w:lang w:val="en"/>
        </w:rPr>
        <w:t>diarrhoea</w:t>
      </w:r>
      <w:proofErr w:type="spellEnd"/>
      <w:r w:rsidR="00CF510C" w:rsidRPr="00676B36">
        <w:rPr>
          <w:rFonts w:ascii="Arial" w:hAnsi="Arial" w:cs="Arial"/>
          <w:lang w:val="en"/>
        </w:rPr>
        <w:t>, injection site nodule and injection site induration</w:t>
      </w:r>
      <w:r w:rsidRPr="00676B36">
        <w:rPr>
          <w:rFonts w:ascii="Arial" w:hAnsi="Arial" w:cs="Arial"/>
          <w:lang w:val="en"/>
        </w:rPr>
        <w:t>.</w:t>
      </w:r>
    </w:p>
    <w:p w14:paraId="23C9BDCA" w14:textId="22B18E22" w:rsidR="008D6D88" w:rsidRDefault="008D6D88" w:rsidP="00925000">
      <w:pPr>
        <w:pStyle w:val="Heading3"/>
      </w:pPr>
      <w:bookmarkStart w:id="17" w:name="_Hlk17655594"/>
      <w:r w:rsidRPr="008D6D88">
        <w:t xml:space="preserve">Table </w:t>
      </w:r>
      <w:r w:rsidR="00B11DE6">
        <w:t>2</w:t>
      </w:r>
      <w:r w:rsidRPr="008D6D88">
        <w:t xml:space="preserve">: </w:t>
      </w:r>
      <w:r w:rsidRPr="008D6D88">
        <w:tab/>
        <w:t>Summary of adverse events reported in ≥</w:t>
      </w:r>
      <w:r w:rsidR="00CE674E">
        <w:t>3</w:t>
      </w:r>
      <w:r w:rsidRPr="008D6D88">
        <w:t xml:space="preserve">% of subjects in any treatment group by overall frequency in </w:t>
      </w:r>
      <w:r>
        <w:t>ATLAS</w:t>
      </w:r>
      <w:r w:rsidRPr="008D6D88">
        <w:t xml:space="preserve"> and </w:t>
      </w:r>
      <w:r>
        <w:t>FLAIR</w:t>
      </w:r>
      <w:r w:rsidRPr="008D6D88">
        <w:t xml:space="preserve"> (Week 48 pooled analysis)</w:t>
      </w:r>
    </w:p>
    <w:p w14:paraId="7BD5AF1F" w14:textId="4C195895" w:rsidR="00843D75" w:rsidRPr="00843D75" w:rsidRDefault="00C46F97" w:rsidP="00676B36">
      <w:bookmarkStart w:id="18" w:name="_Hlk6090180"/>
      <w:bookmarkEnd w:id="17"/>
      <w:r>
        <w:rPr>
          <w:noProof/>
          <w:lang w:eastAsia="en-AU"/>
        </w:rPr>
        <w:drawing>
          <wp:inline distT="0" distB="0" distL="0" distR="0" wp14:anchorId="036819AF" wp14:editId="0B981DA8">
            <wp:extent cx="5731510" cy="51155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5115560"/>
                    </a:xfrm>
                    <a:prstGeom prst="rect">
                      <a:avLst/>
                    </a:prstGeom>
                  </pic:spPr>
                </pic:pic>
              </a:graphicData>
            </a:graphic>
          </wp:inline>
        </w:drawing>
      </w:r>
    </w:p>
    <w:p w14:paraId="5648D8CB" w14:textId="64A3460C" w:rsidR="008D6D88" w:rsidRPr="0011749B" w:rsidRDefault="008D6D88" w:rsidP="008D6D88">
      <w:pPr>
        <w:rPr>
          <w:rFonts w:ascii="Arial" w:hAnsi="Arial" w:cs="Arial"/>
          <w:lang w:val="en"/>
        </w:rPr>
      </w:pPr>
      <w:r w:rsidRPr="00003780">
        <w:rPr>
          <w:rFonts w:ascii="Arial" w:hAnsi="Arial" w:cs="Arial"/>
          <w:lang w:val="en"/>
        </w:rPr>
        <w:t xml:space="preserve">Adverse events leading to discontinuation and occurring in more than 1 </w:t>
      </w:r>
      <w:r w:rsidR="0011749B" w:rsidRPr="00003780">
        <w:rPr>
          <w:rFonts w:ascii="Arial" w:hAnsi="Arial" w:cs="Arial"/>
          <w:lang w:val="en"/>
        </w:rPr>
        <w:t>subject</w:t>
      </w:r>
      <w:r w:rsidRPr="00003780">
        <w:rPr>
          <w:rFonts w:ascii="Arial" w:hAnsi="Arial" w:cs="Arial"/>
          <w:lang w:val="en"/>
        </w:rPr>
        <w:t xml:space="preserve"> were injection site reactions, hepatitis A, acute hepatitis B, headache, and diarrhea which occurred with an incidence of ≤1%.</w:t>
      </w:r>
      <w:r w:rsidR="0011749B" w:rsidRPr="00003780">
        <w:rPr>
          <w:rFonts w:ascii="Arial" w:hAnsi="Arial" w:cs="Arial"/>
          <w:lang w:val="en"/>
        </w:rPr>
        <w:t xml:space="preserve"> </w:t>
      </w:r>
      <w:r w:rsidR="00794627" w:rsidRPr="00003780">
        <w:rPr>
          <w:rFonts w:ascii="Arial" w:hAnsi="Arial" w:cs="Arial"/>
          <w:lang w:val="en"/>
        </w:rPr>
        <w:t xml:space="preserve">The incidence of serious adverse events was 5% in subjects receiving </w:t>
      </w:r>
      <w:proofErr w:type="spellStart"/>
      <w:r w:rsidR="001E3F43">
        <w:rPr>
          <w:rFonts w:ascii="Arial" w:hAnsi="Arial" w:cs="Arial"/>
          <w:lang w:val="en"/>
        </w:rPr>
        <w:t>cabotegravir</w:t>
      </w:r>
      <w:proofErr w:type="spellEnd"/>
      <w:r w:rsidR="00CF510C">
        <w:rPr>
          <w:rFonts w:ascii="Arial" w:hAnsi="Arial" w:cs="Arial"/>
          <w:lang w:val="en"/>
        </w:rPr>
        <w:t xml:space="preserve"> plus </w:t>
      </w:r>
      <w:proofErr w:type="spellStart"/>
      <w:r w:rsidR="00794627" w:rsidRPr="00003780">
        <w:rPr>
          <w:rFonts w:ascii="Arial" w:hAnsi="Arial" w:cs="Arial"/>
          <w:lang w:val="en"/>
        </w:rPr>
        <w:t>rilpivirine</w:t>
      </w:r>
      <w:proofErr w:type="spellEnd"/>
      <w:r w:rsidR="00794627" w:rsidRPr="00003780">
        <w:rPr>
          <w:rFonts w:ascii="Arial" w:hAnsi="Arial" w:cs="Arial"/>
          <w:lang w:val="en"/>
        </w:rPr>
        <w:t xml:space="preserve"> and 4% for subjects remaining on current antiretroviral therapy.</w:t>
      </w:r>
    </w:p>
    <w:bookmarkEnd w:id="18"/>
    <w:p w14:paraId="43B1BA4A" w14:textId="77777777" w:rsidR="0011749B" w:rsidRPr="00925000" w:rsidRDefault="0011749B" w:rsidP="00925000">
      <w:pPr>
        <w:pStyle w:val="Heading3"/>
        <w:rPr>
          <w:i/>
        </w:rPr>
      </w:pPr>
      <w:r w:rsidRPr="00925000">
        <w:rPr>
          <w:i/>
        </w:rPr>
        <w:t xml:space="preserve">Adverse </w:t>
      </w:r>
      <w:r w:rsidR="00EC1C0B" w:rsidRPr="00925000">
        <w:rPr>
          <w:i/>
        </w:rPr>
        <w:t>drug r</w:t>
      </w:r>
      <w:r w:rsidRPr="00925000">
        <w:rPr>
          <w:i/>
        </w:rPr>
        <w:t>eactions</w:t>
      </w:r>
    </w:p>
    <w:p w14:paraId="2C0A96D3" w14:textId="77777777" w:rsidR="00E9744B" w:rsidRDefault="00E9744B" w:rsidP="000D668F">
      <w:pPr>
        <w:rPr>
          <w:rFonts w:ascii="Arial" w:hAnsi="Arial" w:cs="Arial"/>
          <w:lang w:val="en"/>
        </w:rPr>
      </w:pPr>
      <w:r w:rsidRPr="00E9744B">
        <w:rPr>
          <w:rFonts w:ascii="Arial" w:hAnsi="Arial" w:cs="Arial"/>
          <w:lang w:val="en"/>
        </w:rPr>
        <w:t>ADRs are adverse events that are considered to be reasonably associated with the use of a drug based on the comprehensive assessment of the available adverse event information. A causal relationship cannot be reliably established in individual cases.</w:t>
      </w:r>
    </w:p>
    <w:p w14:paraId="14447ADB" w14:textId="5CDD9A31" w:rsidR="0011749B" w:rsidRPr="0011749B" w:rsidRDefault="0011749B" w:rsidP="000D668F">
      <w:pPr>
        <w:rPr>
          <w:rFonts w:ascii="Arial" w:hAnsi="Arial" w:cs="Arial"/>
          <w:lang w:val="en"/>
        </w:rPr>
      </w:pPr>
      <w:r w:rsidRPr="0011749B">
        <w:rPr>
          <w:rFonts w:ascii="Arial" w:hAnsi="Arial" w:cs="Arial"/>
          <w:lang w:val="en"/>
        </w:rPr>
        <w:t xml:space="preserve">Adverse </w:t>
      </w:r>
      <w:r w:rsidR="00EC1C0B">
        <w:rPr>
          <w:rFonts w:ascii="Arial" w:hAnsi="Arial" w:cs="Arial"/>
          <w:lang w:val="en"/>
        </w:rPr>
        <w:t xml:space="preserve">drug </w:t>
      </w:r>
      <w:r w:rsidRPr="0011749B">
        <w:rPr>
          <w:rFonts w:ascii="Arial" w:hAnsi="Arial" w:cs="Arial"/>
          <w:lang w:val="en"/>
        </w:rPr>
        <w:t xml:space="preserve">reactions for </w:t>
      </w:r>
      <w:proofErr w:type="spellStart"/>
      <w:r w:rsidR="001E3F43">
        <w:rPr>
          <w:rFonts w:ascii="Arial" w:hAnsi="Arial" w:cs="Arial"/>
          <w:lang w:val="en"/>
        </w:rPr>
        <w:t>cabotegravir</w:t>
      </w:r>
      <w:proofErr w:type="spellEnd"/>
      <w:r w:rsidRPr="0011749B">
        <w:rPr>
          <w:rFonts w:ascii="Arial" w:hAnsi="Arial" w:cs="Arial"/>
          <w:lang w:val="en"/>
        </w:rPr>
        <w:t xml:space="preserve"> plus </w:t>
      </w:r>
      <w:proofErr w:type="spellStart"/>
      <w:r w:rsidRPr="0011749B">
        <w:rPr>
          <w:rFonts w:ascii="Arial" w:hAnsi="Arial" w:cs="Arial"/>
          <w:lang w:val="en"/>
        </w:rPr>
        <w:t>rilpivirine</w:t>
      </w:r>
      <w:proofErr w:type="spellEnd"/>
      <w:r w:rsidRPr="0011749B">
        <w:rPr>
          <w:rFonts w:ascii="Arial" w:hAnsi="Arial" w:cs="Arial"/>
          <w:lang w:val="en"/>
        </w:rPr>
        <w:t xml:space="preserve"> were identified from pivotal Phase III clinical </w:t>
      </w:r>
      <w:r w:rsidR="00EC1C0B">
        <w:rPr>
          <w:rFonts w:ascii="Arial" w:hAnsi="Arial" w:cs="Arial"/>
          <w:lang w:val="en"/>
        </w:rPr>
        <w:t>studies</w:t>
      </w:r>
      <w:r w:rsidRPr="0011749B">
        <w:rPr>
          <w:rFonts w:ascii="Arial" w:hAnsi="Arial" w:cs="Arial"/>
          <w:lang w:val="en"/>
        </w:rPr>
        <w:t xml:space="preserve"> (FLAIR and ATLAS) based on an analysis of pooled data (N=591) </w:t>
      </w:r>
      <w:r w:rsidR="002172E0">
        <w:rPr>
          <w:rFonts w:ascii="Arial" w:hAnsi="Arial" w:cs="Arial"/>
          <w:lang w:val="en"/>
        </w:rPr>
        <w:t>an</w:t>
      </w:r>
      <w:r w:rsidR="0090328A">
        <w:rPr>
          <w:rFonts w:ascii="Arial" w:hAnsi="Arial" w:cs="Arial"/>
          <w:lang w:val="en"/>
        </w:rPr>
        <w:t>d</w:t>
      </w:r>
      <w:r w:rsidR="002172E0">
        <w:rPr>
          <w:rFonts w:ascii="Arial" w:hAnsi="Arial" w:cs="Arial"/>
          <w:lang w:val="en"/>
        </w:rPr>
        <w:t xml:space="preserve"> ATLAS-2M </w:t>
      </w:r>
      <w:r w:rsidRPr="0011749B">
        <w:rPr>
          <w:rFonts w:ascii="Arial" w:hAnsi="Arial" w:cs="Arial"/>
          <w:lang w:val="en"/>
        </w:rPr>
        <w:t xml:space="preserve">at Week 48. </w:t>
      </w:r>
    </w:p>
    <w:p w14:paraId="2229F276" w14:textId="5CC72CDC" w:rsidR="0011749B" w:rsidRDefault="002172E0" w:rsidP="000D668F">
      <w:pPr>
        <w:rPr>
          <w:rFonts w:ascii="Arial" w:hAnsi="Arial" w:cs="Arial"/>
          <w:lang w:val="en"/>
        </w:rPr>
      </w:pPr>
      <w:proofErr w:type="spellStart"/>
      <w:r>
        <w:rPr>
          <w:rFonts w:ascii="Arial" w:hAnsi="Arial" w:cs="Arial"/>
          <w:lang w:val="en"/>
        </w:rPr>
        <w:lastRenderedPageBreak/>
        <w:t>Cabotegravir</w:t>
      </w:r>
      <w:proofErr w:type="spellEnd"/>
      <w:r w:rsidR="0011749B" w:rsidRPr="0011749B">
        <w:rPr>
          <w:rFonts w:ascii="Arial" w:hAnsi="Arial" w:cs="Arial"/>
          <w:lang w:val="en"/>
        </w:rPr>
        <w:t xml:space="preserve"> plus </w:t>
      </w:r>
      <w:proofErr w:type="spellStart"/>
      <w:r w:rsidR="0011749B" w:rsidRPr="0011749B">
        <w:rPr>
          <w:rFonts w:ascii="Arial" w:hAnsi="Arial" w:cs="Arial"/>
          <w:lang w:val="en"/>
        </w:rPr>
        <w:t>rilpivirine</w:t>
      </w:r>
      <w:proofErr w:type="spellEnd"/>
      <w:r w:rsidR="0011749B" w:rsidRPr="0011749B">
        <w:rPr>
          <w:rFonts w:ascii="Arial" w:hAnsi="Arial" w:cs="Arial"/>
          <w:lang w:val="en"/>
        </w:rPr>
        <w:t xml:space="preserve"> were administered as a combination regimen </w:t>
      </w:r>
      <w:r w:rsidRPr="00763708">
        <w:rPr>
          <w:rFonts w:ascii="Arial" w:hAnsi="Arial" w:cs="Arial"/>
          <w:szCs w:val="24"/>
        </w:rPr>
        <w:t xml:space="preserve">(monthly and every 2 month dosing) </w:t>
      </w:r>
      <w:r w:rsidR="0011749B" w:rsidRPr="0011749B">
        <w:rPr>
          <w:rFonts w:ascii="Arial" w:hAnsi="Arial" w:cs="Arial"/>
          <w:lang w:val="en"/>
        </w:rPr>
        <w:t xml:space="preserve">and associated </w:t>
      </w:r>
      <w:r w:rsidR="0011749B">
        <w:rPr>
          <w:rFonts w:ascii="Arial" w:hAnsi="Arial" w:cs="Arial"/>
          <w:lang w:val="en"/>
        </w:rPr>
        <w:t>adverse reactions</w:t>
      </w:r>
      <w:r w:rsidR="0011749B" w:rsidRPr="0011749B">
        <w:rPr>
          <w:rFonts w:ascii="Arial" w:hAnsi="Arial" w:cs="Arial"/>
          <w:lang w:val="en"/>
        </w:rPr>
        <w:t xml:space="preserve"> are listed in Table </w:t>
      </w:r>
      <w:r w:rsidR="00B11DE6">
        <w:rPr>
          <w:rFonts w:ascii="Arial" w:hAnsi="Arial" w:cs="Arial"/>
          <w:lang w:val="en"/>
        </w:rPr>
        <w:t>3</w:t>
      </w:r>
      <w:r w:rsidR="0011749B" w:rsidRPr="0011749B">
        <w:rPr>
          <w:rFonts w:ascii="Arial" w:hAnsi="Arial" w:cs="Arial"/>
          <w:lang w:val="en"/>
        </w:rPr>
        <w:t xml:space="preserve">. </w:t>
      </w:r>
    </w:p>
    <w:p w14:paraId="09283339" w14:textId="4F63394D" w:rsidR="002172E0" w:rsidRPr="00763708" w:rsidRDefault="0011749B" w:rsidP="002172E0">
      <w:pPr>
        <w:rPr>
          <w:rFonts w:ascii="Arial" w:hAnsi="Arial" w:cs="Arial"/>
          <w:szCs w:val="24"/>
        </w:rPr>
      </w:pPr>
      <w:r>
        <w:rPr>
          <w:rFonts w:ascii="Arial" w:hAnsi="Arial" w:cs="Arial"/>
          <w:lang w:val="en"/>
        </w:rPr>
        <w:t xml:space="preserve">Adverse </w:t>
      </w:r>
      <w:r w:rsidR="00EC1C0B">
        <w:rPr>
          <w:rFonts w:ascii="Arial" w:hAnsi="Arial" w:cs="Arial"/>
          <w:lang w:val="en"/>
        </w:rPr>
        <w:t xml:space="preserve">drug </w:t>
      </w:r>
      <w:r>
        <w:rPr>
          <w:rFonts w:ascii="Arial" w:hAnsi="Arial" w:cs="Arial"/>
          <w:lang w:val="en"/>
        </w:rPr>
        <w:t>reactions</w:t>
      </w:r>
      <w:r w:rsidRPr="0011749B">
        <w:rPr>
          <w:rFonts w:ascii="Arial" w:hAnsi="Arial" w:cs="Arial"/>
          <w:lang w:val="en"/>
        </w:rPr>
        <w:t xml:space="preserve"> listed include those attributable to both the oral and injectable formulations of </w:t>
      </w:r>
      <w:proofErr w:type="spellStart"/>
      <w:r w:rsidRPr="0011749B">
        <w:rPr>
          <w:rFonts w:ascii="Arial" w:hAnsi="Arial" w:cs="Arial"/>
          <w:lang w:val="en"/>
        </w:rPr>
        <w:t>cabotegravir</w:t>
      </w:r>
      <w:proofErr w:type="spellEnd"/>
      <w:r w:rsidRPr="0011749B">
        <w:rPr>
          <w:rFonts w:ascii="Arial" w:hAnsi="Arial" w:cs="Arial"/>
          <w:lang w:val="en"/>
        </w:rPr>
        <w:t xml:space="preserve"> and </w:t>
      </w:r>
      <w:proofErr w:type="spellStart"/>
      <w:r w:rsidRPr="0011749B">
        <w:rPr>
          <w:rFonts w:ascii="Arial" w:hAnsi="Arial" w:cs="Arial"/>
          <w:lang w:val="en"/>
        </w:rPr>
        <w:t>rilpivirine</w:t>
      </w:r>
      <w:proofErr w:type="spellEnd"/>
      <w:r w:rsidRPr="0011749B">
        <w:rPr>
          <w:rFonts w:ascii="Arial" w:hAnsi="Arial" w:cs="Arial"/>
          <w:lang w:val="en"/>
        </w:rPr>
        <w:t xml:space="preserve">. </w:t>
      </w:r>
      <w:r w:rsidR="002172E0" w:rsidRPr="00763708">
        <w:rPr>
          <w:rFonts w:ascii="Arial" w:hAnsi="Arial" w:cs="Arial"/>
          <w:szCs w:val="24"/>
        </w:rPr>
        <w:t xml:space="preserve">When frequencies differed between phase III studies, the highest frequency category is quoted in Table </w:t>
      </w:r>
      <w:r w:rsidR="00B11DE6">
        <w:rPr>
          <w:rFonts w:ascii="Arial" w:hAnsi="Arial" w:cs="Arial"/>
          <w:szCs w:val="24"/>
        </w:rPr>
        <w:t>3</w:t>
      </w:r>
      <w:r w:rsidR="002172E0" w:rsidRPr="00763708">
        <w:rPr>
          <w:rFonts w:ascii="Arial" w:hAnsi="Arial" w:cs="Arial"/>
          <w:szCs w:val="24"/>
        </w:rPr>
        <w:t>.</w:t>
      </w:r>
    </w:p>
    <w:p w14:paraId="6641CCE6" w14:textId="3D4580B7" w:rsidR="002172E0" w:rsidRPr="00763708" w:rsidRDefault="002172E0" w:rsidP="002172E0">
      <w:pPr>
        <w:rPr>
          <w:rFonts w:ascii="Arial" w:hAnsi="Arial" w:cs="Arial"/>
          <w:szCs w:val="24"/>
        </w:rPr>
      </w:pPr>
      <w:r w:rsidRPr="00763708">
        <w:rPr>
          <w:rFonts w:ascii="Arial" w:hAnsi="Arial" w:cs="Arial"/>
          <w:szCs w:val="24"/>
        </w:rPr>
        <w:t xml:space="preserve">The most frequently reported </w:t>
      </w:r>
      <w:r>
        <w:rPr>
          <w:rFonts w:ascii="Arial" w:hAnsi="Arial" w:cs="Arial"/>
          <w:lang w:val="en"/>
        </w:rPr>
        <w:t>adverse drug reactions</w:t>
      </w:r>
      <w:r w:rsidRPr="0011749B">
        <w:rPr>
          <w:rFonts w:ascii="Arial" w:hAnsi="Arial" w:cs="Arial"/>
          <w:lang w:val="en"/>
        </w:rPr>
        <w:t xml:space="preserve"> </w:t>
      </w:r>
      <w:r w:rsidRPr="00763708">
        <w:rPr>
          <w:rFonts w:ascii="Arial" w:hAnsi="Arial" w:cs="Arial"/>
          <w:szCs w:val="24"/>
        </w:rPr>
        <w:t>from monthly dosing studies were headache (up to 12%) and pyrexia</w:t>
      </w:r>
      <w:r w:rsidRPr="00763708">
        <w:rPr>
          <w:rFonts w:ascii="Arial" w:hAnsi="Arial" w:cs="Arial"/>
          <w:szCs w:val="24"/>
          <w:vertAlign w:val="superscript"/>
        </w:rPr>
        <w:t>3</w:t>
      </w:r>
      <w:r w:rsidRPr="00763708">
        <w:rPr>
          <w:rFonts w:ascii="Arial" w:hAnsi="Arial" w:cs="Arial"/>
          <w:szCs w:val="24"/>
        </w:rPr>
        <w:t xml:space="preserve"> (10%).</w:t>
      </w:r>
    </w:p>
    <w:p w14:paraId="055E806E" w14:textId="2E67AF18" w:rsidR="002172E0" w:rsidRPr="00763708" w:rsidRDefault="002172E0" w:rsidP="002172E0">
      <w:pPr>
        <w:rPr>
          <w:rFonts w:ascii="Arial" w:hAnsi="Arial" w:cs="Arial"/>
          <w:szCs w:val="24"/>
        </w:rPr>
      </w:pPr>
      <w:r w:rsidRPr="00763708">
        <w:rPr>
          <w:rFonts w:ascii="Arial" w:hAnsi="Arial" w:cs="Arial"/>
          <w:szCs w:val="24"/>
        </w:rPr>
        <w:t xml:space="preserve">The most frequently reported </w:t>
      </w:r>
      <w:r>
        <w:rPr>
          <w:rFonts w:ascii="Arial" w:hAnsi="Arial" w:cs="Arial"/>
          <w:lang w:val="en"/>
        </w:rPr>
        <w:t>adverse drug reactions</w:t>
      </w:r>
      <w:r w:rsidRPr="00763708">
        <w:rPr>
          <w:rFonts w:ascii="Arial" w:hAnsi="Arial" w:cs="Arial"/>
          <w:szCs w:val="24"/>
        </w:rPr>
        <w:t xml:space="preserve"> from ATLAS-2M every 2 month dosing were headache (7%) and pyrexia</w:t>
      </w:r>
      <w:r w:rsidRPr="00763708">
        <w:rPr>
          <w:rFonts w:ascii="Arial" w:hAnsi="Arial" w:cs="Arial"/>
          <w:szCs w:val="24"/>
          <w:vertAlign w:val="superscript"/>
        </w:rPr>
        <w:t>3</w:t>
      </w:r>
      <w:r w:rsidRPr="00763708">
        <w:rPr>
          <w:rFonts w:ascii="Arial" w:hAnsi="Arial" w:cs="Arial"/>
          <w:szCs w:val="24"/>
        </w:rPr>
        <w:t xml:space="preserve"> (7%).</w:t>
      </w:r>
    </w:p>
    <w:p w14:paraId="3E47569C" w14:textId="6010D5A0" w:rsidR="0011749B" w:rsidRPr="0011749B" w:rsidRDefault="0011749B" w:rsidP="00843D75">
      <w:pPr>
        <w:rPr>
          <w:rFonts w:ascii="Arial" w:hAnsi="Arial" w:cs="Arial"/>
          <w:lang w:val="en"/>
        </w:rPr>
      </w:pPr>
      <w:r w:rsidRPr="0011749B">
        <w:rPr>
          <w:rFonts w:ascii="Arial" w:hAnsi="Arial" w:cs="Arial"/>
          <w:lang w:val="en"/>
        </w:rPr>
        <w:t xml:space="preserve">The adverse reactions considered at least possibly related to </w:t>
      </w:r>
      <w:proofErr w:type="spellStart"/>
      <w:r w:rsidRPr="0011749B">
        <w:rPr>
          <w:rFonts w:ascii="Arial" w:hAnsi="Arial" w:cs="Arial"/>
          <w:lang w:val="en"/>
        </w:rPr>
        <w:t>cabotegravir</w:t>
      </w:r>
      <w:proofErr w:type="spellEnd"/>
      <w:r w:rsidRPr="0011749B">
        <w:rPr>
          <w:rFonts w:ascii="Arial" w:hAnsi="Arial" w:cs="Arial"/>
          <w:lang w:val="en"/>
        </w:rPr>
        <w:t xml:space="preserve"> are listed in Table </w:t>
      </w:r>
      <w:r w:rsidR="00B11DE6">
        <w:rPr>
          <w:rFonts w:ascii="Arial" w:hAnsi="Arial" w:cs="Arial"/>
          <w:lang w:val="en"/>
        </w:rPr>
        <w:t>3</w:t>
      </w:r>
      <w:r w:rsidRPr="0011749B">
        <w:rPr>
          <w:rFonts w:ascii="Arial" w:hAnsi="Arial" w:cs="Arial"/>
          <w:lang w:val="en"/>
        </w:rPr>
        <w:t xml:space="preserve"> by body system</w:t>
      </w:r>
      <w:r w:rsidR="00C03D04">
        <w:rPr>
          <w:rFonts w:ascii="Arial" w:hAnsi="Arial" w:cs="Arial"/>
          <w:lang w:val="en"/>
        </w:rPr>
        <w:t>,</w:t>
      </w:r>
      <w:r w:rsidRPr="0011749B">
        <w:rPr>
          <w:rFonts w:ascii="Arial" w:hAnsi="Arial" w:cs="Arial"/>
          <w:lang w:val="en"/>
        </w:rPr>
        <w:t xml:space="preserve"> organ</w:t>
      </w:r>
      <w:r w:rsidR="00C03D04">
        <w:rPr>
          <w:rFonts w:ascii="Arial" w:hAnsi="Arial" w:cs="Arial"/>
          <w:lang w:val="en"/>
        </w:rPr>
        <w:t>,</w:t>
      </w:r>
      <w:r w:rsidRPr="0011749B">
        <w:rPr>
          <w:rFonts w:ascii="Arial" w:hAnsi="Arial" w:cs="Arial"/>
          <w:lang w:val="en"/>
        </w:rPr>
        <w:t xml:space="preserve"> class and frequency. Frequencies are defined as very common (</w:t>
      </w:r>
      <w:r>
        <w:rPr>
          <w:rFonts w:ascii="Symbol" w:hAnsi="Symbol" w:cs="Symbol"/>
          <w:color w:val="000000"/>
        </w:rPr>
        <w:t></w:t>
      </w:r>
      <w:r w:rsidRPr="0011749B">
        <w:rPr>
          <w:rFonts w:ascii="Arial" w:hAnsi="Arial" w:cs="Arial"/>
          <w:lang w:val="en"/>
        </w:rPr>
        <w:t>1/10), common (</w:t>
      </w:r>
      <w:r>
        <w:rPr>
          <w:rFonts w:ascii="Symbol" w:hAnsi="Symbol" w:cs="Symbol"/>
          <w:color w:val="000000"/>
        </w:rPr>
        <w:t></w:t>
      </w:r>
      <w:r w:rsidRPr="0011749B">
        <w:rPr>
          <w:rFonts w:ascii="Arial" w:hAnsi="Arial" w:cs="Arial"/>
          <w:lang w:val="en"/>
        </w:rPr>
        <w:t>1/100 to &lt;1/10), uncommon (</w:t>
      </w:r>
      <w:r>
        <w:rPr>
          <w:rFonts w:ascii="Symbol" w:hAnsi="Symbol" w:cs="Symbol"/>
          <w:color w:val="000000"/>
        </w:rPr>
        <w:t></w:t>
      </w:r>
      <w:r w:rsidRPr="0011749B">
        <w:rPr>
          <w:rFonts w:ascii="Arial" w:hAnsi="Arial" w:cs="Arial"/>
          <w:lang w:val="en"/>
        </w:rPr>
        <w:t>1/1,000 to &lt;1/100), rare (</w:t>
      </w:r>
      <w:r>
        <w:rPr>
          <w:rFonts w:ascii="Symbol" w:hAnsi="Symbol" w:cs="Symbol"/>
          <w:color w:val="000000"/>
        </w:rPr>
        <w:t></w:t>
      </w:r>
      <w:r w:rsidRPr="0011749B">
        <w:rPr>
          <w:rFonts w:ascii="Arial" w:hAnsi="Arial" w:cs="Arial"/>
          <w:lang w:val="en"/>
        </w:rPr>
        <w:t>1/10,000 to &lt;1/1,000), very rare (&lt;1/10,000)</w:t>
      </w:r>
      <w:r w:rsidR="00BB0049">
        <w:rPr>
          <w:rFonts w:ascii="Arial" w:hAnsi="Arial" w:cs="Arial"/>
          <w:lang w:val="en"/>
        </w:rPr>
        <w:t>, including isolated reports</w:t>
      </w:r>
      <w:r w:rsidRPr="0011749B">
        <w:rPr>
          <w:rFonts w:ascii="Arial" w:hAnsi="Arial" w:cs="Arial"/>
          <w:lang w:val="en"/>
        </w:rPr>
        <w:t>.</w:t>
      </w:r>
    </w:p>
    <w:p w14:paraId="51D26BEC" w14:textId="00E055F0" w:rsidR="00C763E6" w:rsidRPr="00C763E6" w:rsidRDefault="00C763E6" w:rsidP="00C763E6">
      <w:pPr>
        <w:keepNext/>
        <w:rPr>
          <w:rFonts w:ascii="Arial" w:hAnsi="Arial" w:cs="Arial"/>
          <w:b/>
        </w:rPr>
      </w:pPr>
      <w:r w:rsidRPr="00C763E6">
        <w:rPr>
          <w:rFonts w:ascii="Arial" w:hAnsi="Arial" w:cs="Arial"/>
          <w:b/>
        </w:rPr>
        <w:t xml:space="preserve">Table </w:t>
      </w:r>
      <w:r w:rsidR="00B11DE6">
        <w:rPr>
          <w:rFonts w:ascii="Arial" w:hAnsi="Arial" w:cs="Arial"/>
          <w:b/>
        </w:rPr>
        <w:t>3</w:t>
      </w:r>
      <w:r w:rsidRPr="00C763E6">
        <w:rPr>
          <w:rFonts w:ascii="Arial" w:hAnsi="Arial" w:cs="Arial"/>
          <w:b/>
        </w:rPr>
        <w:t xml:space="preserve">: Tabulated summary of adverse </w:t>
      </w:r>
      <w:r w:rsidR="00EC1C0B">
        <w:rPr>
          <w:rFonts w:ascii="Arial" w:hAnsi="Arial" w:cs="Arial"/>
          <w:b/>
        </w:rPr>
        <w:t xml:space="preserve">drug </w:t>
      </w:r>
      <w:r w:rsidRPr="00C763E6">
        <w:rPr>
          <w:rFonts w:ascii="Arial" w:hAnsi="Arial" w:cs="Arial"/>
          <w:b/>
        </w:rPr>
        <w:t>reactions</w:t>
      </w:r>
    </w:p>
    <w:tbl>
      <w:tblPr>
        <w:tblStyle w:val="TableGrid"/>
        <w:tblW w:w="9015" w:type="dxa"/>
        <w:tblLook w:val="04A0" w:firstRow="1" w:lastRow="0" w:firstColumn="1" w:lastColumn="0" w:noHBand="0" w:noVBand="1"/>
      </w:tblPr>
      <w:tblGrid>
        <w:gridCol w:w="3005"/>
        <w:gridCol w:w="2093"/>
        <w:gridCol w:w="3917"/>
      </w:tblGrid>
      <w:tr w:rsidR="00C763E6" w:rsidRPr="00C763E6" w14:paraId="56A3D200" w14:textId="77777777" w:rsidTr="00C763E6">
        <w:trPr>
          <w:tblHeader/>
        </w:trPr>
        <w:tc>
          <w:tcPr>
            <w:tcW w:w="3005" w:type="dxa"/>
          </w:tcPr>
          <w:p w14:paraId="108320FE" w14:textId="77777777" w:rsidR="00C763E6" w:rsidRPr="00C763E6" w:rsidRDefault="00C763E6" w:rsidP="00C763E6">
            <w:pPr>
              <w:keepNext/>
              <w:tabs>
                <w:tab w:val="left" w:pos="720"/>
              </w:tabs>
              <w:spacing w:after="240"/>
              <w:rPr>
                <w:rFonts w:ascii="Arial Narrow" w:eastAsia="SimSun" w:hAnsi="Arial Narrow"/>
                <w:b/>
                <w:lang w:val="en-US" w:eastAsia="en-GB"/>
              </w:rPr>
            </w:pPr>
            <w:r w:rsidRPr="00C763E6">
              <w:rPr>
                <w:rFonts w:ascii="Arial Narrow" w:eastAsia="SimSun" w:hAnsi="Arial Narrow"/>
                <w:b/>
                <w:lang w:val="en-US" w:eastAsia="en-GB"/>
              </w:rPr>
              <w:t>MedDRA System Organ Class (SOC)</w:t>
            </w:r>
          </w:p>
        </w:tc>
        <w:tc>
          <w:tcPr>
            <w:tcW w:w="2093" w:type="dxa"/>
          </w:tcPr>
          <w:p w14:paraId="1195651A" w14:textId="77777777" w:rsidR="00C763E6" w:rsidRPr="00C763E6" w:rsidRDefault="00C763E6" w:rsidP="00C763E6">
            <w:pPr>
              <w:keepNext/>
              <w:tabs>
                <w:tab w:val="left" w:pos="720"/>
              </w:tabs>
              <w:spacing w:after="240"/>
              <w:rPr>
                <w:rFonts w:ascii="Arial Narrow" w:eastAsia="SimSun" w:hAnsi="Arial Narrow"/>
                <w:b/>
                <w:lang w:val="en-US" w:eastAsia="en-GB"/>
              </w:rPr>
            </w:pPr>
            <w:r w:rsidRPr="00C763E6">
              <w:rPr>
                <w:rFonts w:ascii="Arial Narrow" w:eastAsia="SimSun" w:hAnsi="Arial Narrow"/>
                <w:b/>
                <w:lang w:val="en-US" w:eastAsia="en-GB"/>
              </w:rPr>
              <w:t>Frequency Category</w:t>
            </w:r>
          </w:p>
        </w:tc>
        <w:tc>
          <w:tcPr>
            <w:tcW w:w="3917" w:type="dxa"/>
          </w:tcPr>
          <w:p w14:paraId="2B544C18" w14:textId="77777777" w:rsidR="00C763E6" w:rsidRPr="00C763E6" w:rsidRDefault="00C763E6" w:rsidP="00C763E6">
            <w:pPr>
              <w:keepNext/>
              <w:tabs>
                <w:tab w:val="left" w:pos="720"/>
              </w:tabs>
              <w:rPr>
                <w:rFonts w:ascii="Arial Narrow" w:eastAsia="SimSun" w:hAnsi="Arial Narrow"/>
                <w:b/>
                <w:lang w:val="en-US" w:eastAsia="en-GB"/>
              </w:rPr>
            </w:pPr>
            <w:r w:rsidRPr="00C763E6">
              <w:rPr>
                <w:rFonts w:ascii="Arial Narrow" w:eastAsia="SimSun" w:hAnsi="Arial Narrow"/>
                <w:b/>
                <w:lang w:val="en-US" w:eastAsia="en-GB"/>
              </w:rPr>
              <w:t xml:space="preserve">Adverse </w:t>
            </w:r>
            <w:r w:rsidR="00EC1C0B">
              <w:rPr>
                <w:rFonts w:ascii="Arial Narrow" w:eastAsia="SimSun" w:hAnsi="Arial Narrow"/>
                <w:b/>
                <w:lang w:val="en-US" w:eastAsia="en-GB"/>
              </w:rPr>
              <w:t>drug r</w:t>
            </w:r>
            <w:r w:rsidRPr="00C763E6">
              <w:rPr>
                <w:rFonts w:ascii="Arial Narrow" w:eastAsia="SimSun" w:hAnsi="Arial Narrow"/>
                <w:b/>
                <w:lang w:val="en-US" w:eastAsia="en-GB"/>
              </w:rPr>
              <w:t xml:space="preserve">eactions for </w:t>
            </w:r>
          </w:p>
          <w:p w14:paraId="5BF810A8" w14:textId="77777777" w:rsidR="00C763E6" w:rsidRPr="00C763E6" w:rsidRDefault="00C763E6" w:rsidP="00C763E6">
            <w:pPr>
              <w:keepNext/>
              <w:tabs>
                <w:tab w:val="left" w:pos="720"/>
              </w:tabs>
              <w:spacing w:after="240"/>
              <w:rPr>
                <w:rFonts w:ascii="Arial Narrow" w:eastAsia="SimSun" w:hAnsi="Arial Narrow"/>
                <w:b/>
                <w:lang w:val="en-US" w:eastAsia="en-GB"/>
              </w:rPr>
            </w:pPr>
            <w:proofErr w:type="spellStart"/>
            <w:r w:rsidRPr="00C763E6">
              <w:rPr>
                <w:rFonts w:ascii="Arial Narrow" w:eastAsia="SimSun" w:hAnsi="Arial Narrow"/>
                <w:b/>
                <w:lang w:val="en-US" w:eastAsia="en-GB"/>
              </w:rPr>
              <w:t>cabotegravir</w:t>
            </w:r>
            <w:proofErr w:type="spellEnd"/>
            <w:r w:rsidRPr="00C763E6">
              <w:rPr>
                <w:rFonts w:ascii="Arial Narrow" w:eastAsia="SimSun" w:hAnsi="Arial Narrow"/>
                <w:b/>
                <w:lang w:val="en-US" w:eastAsia="en-GB"/>
              </w:rPr>
              <w:t xml:space="preserve"> + </w:t>
            </w:r>
            <w:proofErr w:type="spellStart"/>
            <w:r w:rsidRPr="00C763E6">
              <w:rPr>
                <w:rFonts w:ascii="Arial Narrow" w:eastAsia="SimSun" w:hAnsi="Arial Narrow"/>
                <w:b/>
                <w:lang w:val="en-US" w:eastAsia="en-GB"/>
              </w:rPr>
              <w:t>rilpivirine</w:t>
            </w:r>
            <w:proofErr w:type="spellEnd"/>
            <w:r w:rsidRPr="00C763E6">
              <w:rPr>
                <w:rFonts w:ascii="Arial Narrow" w:eastAsia="SimSun" w:hAnsi="Arial Narrow"/>
                <w:b/>
                <w:lang w:val="en-US" w:eastAsia="en-GB"/>
              </w:rPr>
              <w:t xml:space="preserve"> regimen</w:t>
            </w:r>
          </w:p>
        </w:tc>
      </w:tr>
      <w:tr w:rsidR="00C763E6" w:rsidRPr="00C763E6" w14:paraId="1F8106E7" w14:textId="77777777" w:rsidTr="00C763E6">
        <w:tc>
          <w:tcPr>
            <w:tcW w:w="3005" w:type="dxa"/>
          </w:tcPr>
          <w:p w14:paraId="65BC2316"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Psychiatric disorders</w:t>
            </w:r>
          </w:p>
        </w:tc>
        <w:tc>
          <w:tcPr>
            <w:tcW w:w="2093" w:type="dxa"/>
          </w:tcPr>
          <w:p w14:paraId="7D9B0211"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3EAB48C7"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Depression</w:t>
            </w:r>
          </w:p>
          <w:p w14:paraId="4C13C4D9"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Anxiety</w:t>
            </w:r>
          </w:p>
          <w:p w14:paraId="2D738868"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Abnormal dreams</w:t>
            </w:r>
          </w:p>
          <w:p w14:paraId="4444D3E0"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Insomnia</w:t>
            </w:r>
          </w:p>
        </w:tc>
      </w:tr>
      <w:tr w:rsidR="00C763E6" w:rsidRPr="00C763E6" w14:paraId="688945F4" w14:textId="77777777" w:rsidTr="00C763E6">
        <w:tc>
          <w:tcPr>
            <w:tcW w:w="3005" w:type="dxa"/>
          </w:tcPr>
          <w:p w14:paraId="33F28D2E"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Nervous system disorders</w:t>
            </w:r>
          </w:p>
        </w:tc>
        <w:tc>
          <w:tcPr>
            <w:tcW w:w="2093" w:type="dxa"/>
          </w:tcPr>
          <w:p w14:paraId="7B1EFF90"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Very common</w:t>
            </w:r>
          </w:p>
        </w:tc>
        <w:tc>
          <w:tcPr>
            <w:tcW w:w="3917" w:type="dxa"/>
          </w:tcPr>
          <w:p w14:paraId="6F3F400E"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Headache</w:t>
            </w:r>
          </w:p>
        </w:tc>
      </w:tr>
      <w:tr w:rsidR="00C763E6" w:rsidRPr="00C763E6" w14:paraId="4ED63D1D" w14:textId="77777777" w:rsidTr="00C763E6">
        <w:tc>
          <w:tcPr>
            <w:tcW w:w="3005" w:type="dxa"/>
            <w:vAlign w:val="center"/>
          </w:tcPr>
          <w:p w14:paraId="754D9EFE" w14:textId="77777777" w:rsidR="00C763E6" w:rsidRPr="00C763E6" w:rsidRDefault="00C763E6" w:rsidP="00C763E6">
            <w:pPr>
              <w:rPr>
                <w:rFonts w:ascii="Arial Narrow" w:eastAsia="SimSun" w:hAnsi="Arial Narrow"/>
                <w:lang w:val="en-US" w:eastAsia="en-GB"/>
              </w:rPr>
            </w:pPr>
          </w:p>
        </w:tc>
        <w:tc>
          <w:tcPr>
            <w:tcW w:w="2093" w:type="dxa"/>
          </w:tcPr>
          <w:p w14:paraId="3DD9720E"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 xml:space="preserve">Common </w:t>
            </w:r>
          </w:p>
        </w:tc>
        <w:tc>
          <w:tcPr>
            <w:tcW w:w="3917" w:type="dxa"/>
          </w:tcPr>
          <w:p w14:paraId="59F95F9F"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Dizziness</w:t>
            </w:r>
          </w:p>
        </w:tc>
      </w:tr>
      <w:tr w:rsidR="00C763E6" w:rsidRPr="00C763E6" w14:paraId="4DEC710C" w14:textId="77777777" w:rsidTr="00C763E6">
        <w:tc>
          <w:tcPr>
            <w:tcW w:w="3005" w:type="dxa"/>
            <w:vAlign w:val="center"/>
          </w:tcPr>
          <w:p w14:paraId="0BF36006" w14:textId="77777777" w:rsidR="00C763E6" w:rsidRPr="00C763E6" w:rsidRDefault="00C763E6" w:rsidP="00C763E6">
            <w:pPr>
              <w:rPr>
                <w:rFonts w:ascii="Arial Narrow" w:eastAsia="SimSun" w:hAnsi="Arial Narrow"/>
                <w:lang w:val="en-US" w:eastAsia="en-GB"/>
              </w:rPr>
            </w:pPr>
          </w:p>
        </w:tc>
        <w:tc>
          <w:tcPr>
            <w:tcW w:w="2093" w:type="dxa"/>
          </w:tcPr>
          <w:p w14:paraId="12B77B88"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Uncommon</w:t>
            </w:r>
          </w:p>
        </w:tc>
        <w:tc>
          <w:tcPr>
            <w:tcW w:w="3917" w:type="dxa"/>
          </w:tcPr>
          <w:p w14:paraId="240AD079"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Somnolence</w:t>
            </w:r>
          </w:p>
        </w:tc>
      </w:tr>
      <w:tr w:rsidR="00C763E6" w:rsidRPr="00C763E6" w14:paraId="4D04A02D" w14:textId="77777777" w:rsidTr="00C763E6">
        <w:tc>
          <w:tcPr>
            <w:tcW w:w="3005" w:type="dxa"/>
          </w:tcPr>
          <w:p w14:paraId="02B9B0F4"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Gastrointestinal disorders</w:t>
            </w:r>
          </w:p>
        </w:tc>
        <w:tc>
          <w:tcPr>
            <w:tcW w:w="2093" w:type="dxa"/>
          </w:tcPr>
          <w:p w14:paraId="28C64115"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58BB7E33"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Nausea</w:t>
            </w:r>
          </w:p>
          <w:p w14:paraId="2BE54485"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Vomiting</w:t>
            </w:r>
          </w:p>
          <w:p w14:paraId="15825B91" w14:textId="77777777" w:rsidR="00C763E6" w:rsidRPr="00C763E6" w:rsidRDefault="00C763E6" w:rsidP="00C763E6">
            <w:pPr>
              <w:tabs>
                <w:tab w:val="left" w:pos="720"/>
              </w:tabs>
              <w:rPr>
                <w:rFonts w:ascii="Arial Narrow" w:eastAsia="SimSun" w:hAnsi="Arial Narrow"/>
                <w:vertAlign w:val="superscript"/>
                <w:lang w:val="en-US" w:eastAsia="en-GB"/>
              </w:rPr>
            </w:pPr>
            <w:r w:rsidRPr="00C763E6">
              <w:rPr>
                <w:rFonts w:ascii="Arial Narrow" w:eastAsia="SimSun" w:hAnsi="Arial Narrow"/>
                <w:lang w:val="en-US" w:eastAsia="en-GB"/>
              </w:rPr>
              <w:t>Abdominal pain</w:t>
            </w:r>
            <w:r w:rsidRPr="00C763E6">
              <w:rPr>
                <w:rFonts w:ascii="Arial Narrow" w:eastAsia="SimSun" w:hAnsi="Arial Narrow"/>
                <w:vertAlign w:val="superscript"/>
                <w:lang w:val="en-US" w:eastAsia="en-GB"/>
              </w:rPr>
              <w:t>1</w:t>
            </w:r>
          </w:p>
          <w:p w14:paraId="44FF7476"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Flatulence</w:t>
            </w:r>
          </w:p>
          <w:p w14:paraId="1723A1D8" w14:textId="77777777" w:rsidR="00C763E6" w:rsidRPr="00D6566C" w:rsidRDefault="00C763E6" w:rsidP="00C763E6">
            <w:pPr>
              <w:tabs>
                <w:tab w:val="left" w:pos="720"/>
              </w:tabs>
              <w:spacing w:after="240"/>
              <w:rPr>
                <w:rFonts w:ascii="Arial Narrow" w:eastAsia="SimSun" w:hAnsi="Arial Narrow"/>
                <w:lang w:eastAsia="en-GB"/>
              </w:rPr>
            </w:pPr>
            <w:r w:rsidRPr="00D6566C">
              <w:rPr>
                <w:rFonts w:ascii="Arial Narrow" w:eastAsia="SimSun" w:hAnsi="Arial Narrow"/>
                <w:lang w:eastAsia="en-GB"/>
              </w:rPr>
              <w:t>Diarrhoea</w:t>
            </w:r>
          </w:p>
        </w:tc>
      </w:tr>
      <w:tr w:rsidR="00C763E6" w:rsidRPr="00C763E6" w14:paraId="5251DF23" w14:textId="77777777" w:rsidTr="00C763E6">
        <w:tc>
          <w:tcPr>
            <w:tcW w:w="3005" w:type="dxa"/>
          </w:tcPr>
          <w:p w14:paraId="4581CDD7"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Hepatobiliary Disorders</w:t>
            </w:r>
          </w:p>
        </w:tc>
        <w:tc>
          <w:tcPr>
            <w:tcW w:w="2093" w:type="dxa"/>
          </w:tcPr>
          <w:p w14:paraId="1FC295BD"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Uncommon</w:t>
            </w:r>
          </w:p>
        </w:tc>
        <w:tc>
          <w:tcPr>
            <w:tcW w:w="3917" w:type="dxa"/>
          </w:tcPr>
          <w:p w14:paraId="06F724F7" w14:textId="394D8080"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Hepatotoxicity</w:t>
            </w:r>
          </w:p>
        </w:tc>
      </w:tr>
      <w:tr w:rsidR="00C763E6" w:rsidRPr="00C763E6" w14:paraId="1A1D501F" w14:textId="77777777" w:rsidTr="00C763E6">
        <w:tc>
          <w:tcPr>
            <w:tcW w:w="3005" w:type="dxa"/>
          </w:tcPr>
          <w:p w14:paraId="29EA1F87"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Skin and subcutaneous tissue disorders</w:t>
            </w:r>
          </w:p>
        </w:tc>
        <w:tc>
          <w:tcPr>
            <w:tcW w:w="2093" w:type="dxa"/>
          </w:tcPr>
          <w:p w14:paraId="15C84168"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3E81F192" w14:textId="6D477DB3"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Rash</w:t>
            </w:r>
            <w:r w:rsidR="002172E0">
              <w:rPr>
                <w:rFonts w:ascii="Arial Narrow" w:eastAsia="SimSun" w:hAnsi="Arial Narrow"/>
                <w:vertAlign w:val="superscript"/>
                <w:lang w:val="en-US" w:eastAsia="en-GB"/>
              </w:rPr>
              <w:t>2</w:t>
            </w:r>
          </w:p>
        </w:tc>
      </w:tr>
      <w:tr w:rsidR="00C763E6" w:rsidRPr="00C763E6" w14:paraId="17E6EEDA" w14:textId="77777777" w:rsidTr="00C763E6">
        <w:tc>
          <w:tcPr>
            <w:tcW w:w="3005" w:type="dxa"/>
          </w:tcPr>
          <w:p w14:paraId="7197862E"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Musculoskeletal and connective tissue disorders</w:t>
            </w:r>
          </w:p>
        </w:tc>
        <w:tc>
          <w:tcPr>
            <w:tcW w:w="2093" w:type="dxa"/>
          </w:tcPr>
          <w:p w14:paraId="5D039981"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6E24E15F"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Myalgia</w:t>
            </w:r>
          </w:p>
        </w:tc>
      </w:tr>
      <w:tr w:rsidR="00C763E6" w:rsidRPr="00C763E6" w14:paraId="5A4B50BA" w14:textId="77777777" w:rsidTr="00C763E6">
        <w:tc>
          <w:tcPr>
            <w:tcW w:w="3005" w:type="dxa"/>
          </w:tcPr>
          <w:p w14:paraId="1165E60F"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General disorders and administrative site conditions</w:t>
            </w:r>
          </w:p>
        </w:tc>
        <w:tc>
          <w:tcPr>
            <w:tcW w:w="2093" w:type="dxa"/>
          </w:tcPr>
          <w:p w14:paraId="0D377E28"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Very common</w:t>
            </w:r>
          </w:p>
        </w:tc>
        <w:tc>
          <w:tcPr>
            <w:tcW w:w="3917" w:type="dxa"/>
          </w:tcPr>
          <w:p w14:paraId="123D7201" w14:textId="3538E3FF" w:rsidR="00C763E6" w:rsidRPr="00C763E6" w:rsidRDefault="00C763E6" w:rsidP="00C763E6">
            <w:pPr>
              <w:tabs>
                <w:tab w:val="left" w:pos="720"/>
              </w:tabs>
              <w:rPr>
                <w:rFonts w:ascii="Arial Narrow" w:eastAsia="SimSun" w:hAnsi="Arial Narrow"/>
                <w:vertAlign w:val="superscript"/>
                <w:lang w:val="en-US" w:eastAsia="en-GB"/>
              </w:rPr>
            </w:pPr>
            <w:r w:rsidRPr="00C763E6">
              <w:rPr>
                <w:rFonts w:ascii="Arial Narrow" w:eastAsia="SimSun" w:hAnsi="Arial Narrow"/>
                <w:lang w:val="en-US" w:eastAsia="en-GB"/>
              </w:rPr>
              <w:t>Pyrexia</w:t>
            </w:r>
            <w:r w:rsidR="002172E0">
              <w:rPr>
                <w:rFonts w:ascii="Arial Narrow" w:eastAsia="SimSun" w:hAnsi="Arial Narrow"/>
                <w:vertAlign w:val="superscript"/>
                <w:lang w:val="en-US" w:eastAsia="en-GB"/>
              </w:rPr>
              <w:t>3</w:t>
            </w:r>
          </w:p>
        </w:tc>
      </w:tr>
      <w:tr w:rsidR="00C763E6" w:rsidRPr="00C763E6" w14:paraId="68EF72CE" w14:textId="77777777" w:rsidTr="00C763E6">
        <w:tc>
          <w:tcPr>
            <w:tcW w:w="3005" w:type="dxa"/>
            <w:vAlign w:val="center"/>
          </w:tcPr>
          <w:p w14:paraId="1664CA89" w14:textId="77777777" w:rsidR="00C763E6" w:rsidRPr="00C763E6" w:rsidRDefault="00C763E6" w:rsidP="00C763E6">
            <w:pPr>
              <w:rPr>
                <w:rFonts w:ascii="Arial Narrow" w:eastAsia="SimSun" w:hAnsi="Arial Narrow"/>
                <w:lang w:val="en-US" w:eastAsia="en-GB"/>
              </w:rPr>
            </w:pPr>
          </w:p>
        </w:tc>
        <w:tc>
          <w:tcPr>
            <w:tcW w:w="2093" w:type="dxa"/>
          </w:tcPr>
          <w:p w14:paraId="33BAB0E1"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t>Common</w:t>
            </w:r>
          </w:p>
        </w:tc>
        <w:tc>
          <w:tcPr>
            <w:tcW w:w="3917" w:type="dxa"/>
          </w:tcPr>
          <w:p w14:paraId="1C2069AD"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Fatigue</w:t>
            </w:r>
          </w:p>
          <w:p w14:paraId="2282E5B2"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Asthenia</w:t>
            </w:r>
          </w:p>
          <w:p w14:paraId="12B29AF5" w14:textId="77777777" w:rsidR="00C763E6" w:rsidRPr="00C763E6" w:rsidRDefault="00C763E6" w:rsidP="00C763E6">
            <w:pPr>
              <w:tabs>
                <w:tab w:val="left" w:pos="720"/>
              </w:tabs>
              <w:rPr>
                <w:rFonts w:ascii="Arial Narrow" w:eastAsia="SimSun" w:hAnsi="Arial Narrow"/>
                <w:lang w:val="en-US" w:eastAsia="en-GB"/>
              </w:rPr>
            </w:pPr>
            <w:r w:rsidRPr="00C763E6">
              <w:rPr>
                <w:rFonts w:ascii="Arial Narrow" w:eastAsia="SimSun" w:hAnsi="Arial Narrow"/>
                <w:lang w:val="en-US" w:eastAsia="en-GB"/>
              </w:rPr>
              <w:t>Malaise</w:t>
            </w:r>
          </w:p>
        </w:tc>
      </w:tr>
      <w:tr w:rsidR="00C763E6" w:rsidRPr="00C763E6" w14:paraId="2882C8FF" w14:textId="77777777" w:rsidTr="00C763E6">
        <w:tc>
          <w:tcPr>
            <w:tcW w:w="3005" w:type="dxa"/>
          </w:tcPr>
          <w:p w14:paraId="451445D1" w14:textId="77777777" w:rsidR="00C763E6" w:rsidRPr="00C763E6" w:rsidRDefault="00C763E6" w:rsidP="00C763E6">
            <w:pPr>
              <w:tabs>
                <w:tab w:val="left" w:pos="720"/>
              </w:tabs>
              <w:spacing w:after="240"/>
              <w:rPr>
                <w:rFonts w:ascii="Arial Narrow" w:eastAsia="SimSun" w:hAnsi="Arial Narrow"/>
                <w:lang w:val="en-US" w:eastAsia="en-GB"/>
              </w:rPr>
            </w:pPr>
            <w:r w:rsidRPr="00C763E6">
              <w:rPr>
                <w:rFonts w:ascii="Arial Narrow" w:eastAsia="SimSun" w:hAnsi="Arial Narrow"/>
                <w:lang w:val="en-US" w:eastAsia="en-GB"/>
              </w:rPr>
              <w:lastRenderedPageBreak/>
              <w:t>Investigations</w:t>
            </w:r>
          </w:p>
        </w:tc>
        <w:tc>
          <w:tcPr>
            <w:tcW w:w="2093" w:type="dxa"/>
          </w:tcPr>
          <w:p w14:paraId="35C73BDE" w14:textId="628F89A6" w:rsidR="00C763E6" w:rsidRPr="00C763E6" w:rsidRDefault="002172E0" w:rsidP="00C763E6">
            <w:pPr>
              <w:tabs>
                <w:tab w:val="left" w:pos="720"/>
              </w:tabs>
              <w:spacing w:after="240"/>
              <w:rPr>
                <w:rFonts w:ascii="Arial Narrow" w:eastAsia="SimSun" w:hAnsi="Arial Narrow"/>
                <w:lang w:val="en-US" w:eastAsia="en-GB"/>
              </w:rPr>
            </w:pPr>
            <w:r>
              <w:rPr>
                <w:rFonts w:ascii="Arial Narrow" w:eastAsia="SimSun" w:hAnsi="Arial Narrow"/>
                <w:lang w:val="en-US" w:eastAsia="en-GB"/>
              </w:rPr>
              <w:t>C</w:t>
            </w:r>
            <w:r w:rsidR="00C763E6" w:rsidRPr="00C763E6">
              <w:rPr>
                <w:rFonts w:ascii="Arial Narrow" w:eastAsia="SimSun" w:hAnsi="Arial Narrow"/>
                <w:lang w:val="en-US" w:eastAsia="en-GB"/>
              </w:rPr>
              <w:t>ommon</w:t>
            </w:r>
          </w:p>
        </w:tc>
        <w:tc>
          <w:tcPr>
            <w:tcW w:w="3917" w:type="dxa"/>
          </w:tcPr>
          <w:p w14:paraId="260F0014" w14:textId="7A2A1046" w:rsidR="00C763E6" w:rsidRPr="00C763E6" w:rsidRDefault="00C763E6" w:rsidP="00D551A4">
            <w:pPr>
              <w:tabs>
                <w:tab w:val="left" w:pos="720"/>
              </w:tabs>
              <w:rPr>
                <w:rFonts w:ascii="Arial Narrow" w:eastAsia="SimSun" w:hAnsi="Arial Narrow"/>
                <w:lang w:val="en-US" w:eastAsia="en-GB"/>
              </w:rPr>
            </w:pPr>
            <w:r w:rsidRPr="00C763E6">
              <w:rPr>
                <w:rFonts w:ascii="Arial Narrow" w:eastAsia="SimSun" w:hAnsi="Arial Narrow"/>
                <w:lang w:val="en-US" w:eastAsia="en-GB"/>
              </w:rPr>
              <w:t>Weight increased</w:t>
            </w:r>
          </w:p>
        </w:tc>
      </w:tr>
      <w:tr w:rsidR="002172E0" w:rsidRPr="00C763E6" w14:paraId="004C8A69" w14:textId="77777777" w:rsidTr="00C763E6">
        <w:tc>
          <w:tcPr>
            <w:tcW w:w="3005" w:type="dxa"/>
          </w:tcPr>
          <w:p w14:paraId="3C65AE49" w14:textId="77777777" w:rsidR="002172E0" w:rsidRPr="00C763E6" w:rsidRDefault="002172E0" w:rsidP="002172E0">
            <w:pPr>
              <w:rPr>
                <w:rFonts w:ascii="Arial Narrow" w:hAnsi="Arial Narrow" w:cs="Arial"/>
                <w:lang w:val="en"/>
              </w:rPr>
            </w:pPr>
          </w:p>
        </w:tc>
        <w:tc>
          <w:tcPr>
            <w:tcW w:w="2093" w:type="dxa"/>
          </w:tcPr>
          <w:p w14:paraId="23DC0395" w14:textId="56F8A185" w:rsidR="002172E0" w:rsidRPr="00C763E6" w:rsidRDefault="002172E0" w:rsidP="002172E0">
            <w:pPr>
              <w:rPr>
                <w:rFonts w:ascii="Arial Narrow" w:hAnsi="Arial Narrow" w:cs="Arial"/>
                <w:lang w:val="en"/>
              </w:rPr>
            </w:pPr>
            <w:r w:rsidRPr="00C763E6">
              <w:rPr>
                <w:rFonts w:ascii="Arial Narrow" w:eastAsia="SimSun" w:hAnsi="Arial Narrow"/>
                <w:lang w:val="en-US" w:eastAsia="en-GB"/>
              </w:rPr>
              <w:t>Uncommon</w:t>
            </w:r>
          </w:p>
        </w:tc>
        <w:tc>
          <w:tcPr>
            <w:tcW w:w="3917" w:type="dxa"/>
          </w:tcPr>
          <w:p w14:paraId="4A823588" w14:textId="4D5CA312" w:rsidR="002172E0" w:rsidRPr="00C763E6" w:rsidRDefault="002172E0" w:rsidP="002172E0">
            <w:pPr>
              <w:rPr>
                <w:rFonts w:ascii="Arial Narrow" w:hAnsi="Arial Narrow" w:cs="Arial"/>
                <w:lang w:val="en"/>
              </w:rPr>
            </w:pPr>
            <w:r w:rsidRPr="00C763E6">
              <w:rPr>
                <w:rFonts w:ascii="Arial Narrow" w:eastAsia="SimSun" w:hAnsi="Arial Narrow"/>
                <w:lang w:val="en-US" w:eastAsia="en-GB"/>
              </w:rPr>
              <w:t>Transaminase increased</w:t>
            </w:r>
          </w:p>
        </w:tc>
      </w:tr>
    </w:tbl>
    <w:p w14:paraId="1366961E" w14:textId="363420CD" w:rsidR="00C763E6" w:rsidRPr="00C763E6" w:rsidRDefault="00C763E6" w:rsidP="00C763E6">
      <w:pPr>
        <w:tabs>
          <w:tab w:val="left" w:pos="720"/>
        </w:tabs>
        <w:autoSpaceDE w:val="0"/>
        <w:autoSpaceDN w:val="0"/>
        <w:spacing w:after="0" w:line="240" w:lineRule="auto"/>
        <w:rPr>
          <w:rFonts w:ascii="Arial Narrow" w:hAnsi="Arial Narrow"/>
          <w:color w:val="000000"/>
          <w:sz w:val="20"/>
          <w:szCs w:val="20"/>
          <w:lang w:eastAsia="en-GB"/>
        </w:rPr>
      </w:pPr>
      <w:r w:rsidRPr="00C763E6">
        <w:rPr>
          <w:rFonts w:ascii="Arial Narrow" w:hAnsi="Arial Narrow"/>
          <w:color w:val="000000"/>
          <w:sz w:val="20"/>
          <w:szCs w:val="20"/>
          <w:vertAlign w:val="superscript"/>
          <w:lang w:eastAsia="en-GB"/>
        </w:rPr>
        <w:t>1</w:t>
      </w:r>
      <w:r w:rsidRPr="00C763E6">
        <w:rPr>
          <w:rFonts w:ascii="Arial Narrow" w:hAnsi="Arial Narrow"/>
          <w:color w:val="000000"/>
          <w:sz w:val="20"/>
          <w:szCs w:val="20"/>
          <w:lang w:eastAsia="en-GB"/>
        </w:rPr>
        <w:t xml:space="preserve"> </w:t>
      </w:r>
      <w:r w:rsidRPr="00C763E6">
        <w:rPr>
          <w:rFonts w:ascii="Arial Narrow" w:hAnsi="Arial Narrow"/>
          <w:sz w:val="20"/>
          <w:szCs w:val="20"/>
          <w:lang w:eastAsia="en-GB"/>
        </w:rPr>
        <w:t>Abdominal pain includes the following grouped MedDRA preferred term</w:t>
      </w:r>
      <w:r w:rsidR="00AF5F12">
        <w:rPr>
          <w:rFonts w:ascii="Arial Narrow" w:hAnsi="Arial Narrow"/>
          <w:sz w:val="20"/>
          <w:szCs w:val="20"/>
          <w:lang w:eastAsia="en-GB"/>
        </w:rPr>
        <w:t>s</w:t>
      </w:r>
      <w:r w:rsidRPr="00C763E6">
        <w:rPr>
          <w:rFonts w:ascii="Arial Narrow" w:hAnsi="Arial Narrow"/>
          <w:sz w:val="20"/>
          <w:szCs w:val="20"/>
          <w:lang w:eastAsia="en-GB"/>
        </w:rPr>
        <w:t xml:space="preserve">: </w:t>
      </w:r>
      <w:r w:rsidR="00AF5F12">
        <w:rPr>
          <w:rFonts w:ascii="Arial Narrow" w:hAnsi="Arial Narrow"/>
          <w:sz w:val="20"/>
          <w:szCs w:val="20"/>
          <w:lang w:eastAsia="en-GB"/>
        </w:rPr>
        <w:t xml:space="preserve">abdominal pain, </w:t>
      </w:r>
      <w:r w:rsidRPr="00C763E6">
        <w:rPr>
          <w:rFonts w:ascii="Arial Narrow" w:hAnsi="Arial Narrow"/>
          <w:sz w:val="20"/>
          <w:szCs w:val="20"/>
          <w:lang w:eastAsia="en-GB"/>
        </w:rPr>
        <w:t>upper abdominal pain.</w:t>
      </w:r>
    </w:p>
    <w:p w14:paraId="6199CAAC" w14:textId="024B8730" w:rsidR="00C763E6" w:rsidRPr="00C763E6" w:rsidRDefault="00C763E6" w:rsidP="00C763E6">
      <w:pPr>
        <w:tabs>
          <w:tab w:val="left" w:pos="720"/>
        </w:tabs>
        <w:autoSpaceDE w:val="0"/>
        <w:autoSpaceDN w:val="0"/>
        <w:spacing w:after="0" w:line="240" w:lineRule="auto"/>
        <w:rPr>
          <w:rFonts w:ascii="Arial Narrow" w:hAnsi="Arial Narrow"/>
          <w:sz w:val="20"/>
          <w:szCs w:val="20"/>
          <w:lang w:eastAsia="en-GB"/>
        </w:rPr>
      </w:pPr>
      <w:r w:rsidRPr="00C763E6">
        <w:rPr>
          <w:rFonts w:ascii="Arial Narrow" w:hAnsi="Arial Narrow"/>
          <w:sz w:val="20"/>
          <w:szCs w:val="20"/>
        </w:rPr>
        <w:br w:type="textWrapping" w:clear="all"/>
      </w:r>
      <w:r w:rsidR="002172E0">
        <w:rPr>
          <w:rFonts w:ascii="Arial Narrow" w:hAnsi="Arial Narrow"/>
          <w:sz w:val="20"/>
          <w:szCs w:val="20"/>
          <w:vertAlign w:val="superscript"/>
        </w:rPr>
        <w:t>2</w:t>
      </w:r>
      <w:r w:rsidRPr="00C763E6">
        <w:rPr>
          <w:rFonts w:ascii="Arial Narrow" w:hAnsi="Arial Narrow"/>
          <w:sz w:val="20"/>
          <w:szCs w:val="20"/>
        </w:rPr>
        <w:t xml:space="preserve"> Rash includes the following grouped MedDRA preferred terms: Rash, rash erythematous, rash generalised, rash macular, rash </w:t>
      </w:r>
      <w:proofErr w:type="spellStart"/>
      <w:r w:rsidRPr="00C763E6">
        <w:rPr>
          <w:rFonts w:ascii="Arial Narrow" w:hAnsi="Arial Narrow"/>
          <w:sz w:val="20"/>
          <w:szCs w:val="20"/>
        </w:rPr>
        <w:t>maculo-papular</w:t>
      </w:r>
      <w:proofErr w:type="spellEnd"/>
      <w:r w:rsidRPr="00C763E6">
        <w:rPr>
          <w:rFonts w:ascii="Arial Narrow" w:hAnsi="Arial Narrow"/>
          <w:sz w:val="20"/>
          <w:szCs w:val="20"/>
        </w:rPr>
        <w:t xml:space="preserve">, rash </w:t>
      </w:r>
      <w:proofErr w:type="spellStart"/>
      <w:r w:rsidRPr="00C763E6">
        <w:rPr>
          <w:rFonts w:ascii="Arial Narrow" w:hAnsi="Arial Narrow"/>
          <w:sz w:val="20"/>
          <w:szCs w:val="20"/>
        </w:rPr>
        <w:t>morbilliform</w:t>
      </w:r>
      <w:proofErr w:type="spellEnd"/>
      <w:r w:rsidRPr="00C763E6">
        <w:rPr>
          <w:rFonts w:ascii="Arial Narrow" w:hAnsi="Arial Narrow"/>
          <w:sz w:val="20"/>
          <w:szCs w:val="20"/>
        </w:rPr>
        <w:t xml:space="preserve">, rash </w:t>
      </w:r>
      <w:r w:rsidR="00C03D04">
        <w:rPr>
          <w:rFonts w:ascii="Arial Narrow" w:hAnsi="Arial Narrow"/>
          <w:sz w:val="20"/>
          <w:szCs w:val="20"/>
        </w:rPr>
        <w:t>popular,</w:t>
      </w:r>
      <w:r w:rsidRPr="00C763E6">
        <w:rPr>
          <w:rFonts w:ascii="Arial Narrow" w:hAnsi="Arial Narrow"/>
          <w:sz w:val="20"/>
          <w:szCs w:val="20"/>
        </w:rPr>
        <w:t xml:space="preserve"> rash pruritic.</w:t>
      </w:r>
    </w:p>
    <w:p w14:paraId="64012585" w14:textId="268DF05D" w:rsidR="00C763E6" w:rsidRPr="00C763E6" w:rsidRDefault="002172E0" w:rsidP="00C763E6">
      <w:pPr>
        <w:tabs>
          <w:tab w:val="left" w:pos="720"/>
        </w:tabs>
        <w:autoSpaceDE w:val="0"/>
        <w:autoSpaceDN w:val="0"/>
        <w:spacing w:after="0" w:line="240" w:lineRule="auto"/>
        <w:rPr>
          <w:rFonts w:ascii="Arial Narrow" w:hAnsi="Arial Narrow"/>
          <w:sz w:val="20"/>
          <w:szCs w:val="20"/>
          <w:lang w:eastAsia="en-GB"/>
        </w:rPr>
      </w:pPr>
      <w:r>
        <w:rPr>
          <w:rFonts w:ascii="Arial Narrow" w:hAnsi="Arial Narrow"/>
          <w:sz w:val="20"/>
          <w:szCs w:val="20"/>
          <w:vertAlign w:val="superscript"/>
          <w:lang w:eastAsia="en-GB"/>
        </w:rPr>
        <w:t>3</w:t>
      </w:r>
      <w:r w:rsidR="00C763E6" w:rsidRPr="00C763E6">
        <w:rPr>
          <w:rFonts w:ascii="Arial Narrow" w:hAnsi="Arial Narrow"/>
          <w:sz w:val="20"/>
          <w:szCs w:val="20"/>
          <w:vertAlign w:val="superscript"/>
          <w:lang w:eastAsia="en-GB"/>
        </w:rPr>
        <w:t xml:space="preserve"> </w:t>
      </w:r>
      <w:r w:rsidR="00C763E6" w:rsidRPr="00C763E6">
        <w:rPr>
          <w:rFonts w:ascii="Arial Narrow" w:hAnsi="Arial Narrow"/>
          <w:sz w:val="20"/>
          <w:szCs w:val="20"/>
          <w:lang w:eastAsia="en-GB"/>
        </w:rPr>
        <w:t>Pyrexia includes the following grouped MedDRA preferred terms: feeling hot, body temperature increased.</w:t>
      </w:r>
    </w:p>
    <w:p w14:paraId="1B094718" w14:textId="77777777" w:rsidR="0011749B" w:rsidRDefault="0011749B" w:rsidP="00D26973">
      <w:pPr>
        <w:rPr>
          <w:rFonts w:ascii="Arial" w:hAnsi="Arial" w:cs="Arial"/>
          <w:lang w:val="en"/>
        </w:rPr>
      </w:pPr>
    </w:p>
    <w:p w14:paraId="4DF92D26" w14:textId="77777777" w:rsidR="00FB5E91" w:rsidRDefault="00FB5E91" w:rsidP="00D65787">
      <w:pPr>
        <w:pStyle w:val="Heading3"/>
        <w:ind w:left="0"/>
        <w:rPr>
          <w:rFonts w:ascii="Arial" w:hAnsi="Arial" w:cs="Arial"/>
        </w:rPr>
      </w:pPr>
      <w:r w:rsidRPr="00FB5E91">
        <w:rPr>
          <w:rFonts w:ascii="Arial" w:hAnsi="Arial" w:cs="Arial"/>
        </w:rPr>
        <w:t>Description of selected adverse reactions</w:t>
      </w:r>
    </w:p>
    <w:p w14:paraId="46619B73" w14:textId="77777777" w:rsidR="00FB5E91" w:rsidRPr="00FB5E91" w:rsidRDefault="00FB5E91" w:rsidP="00C03D04">
      <w:pPr>
        <w:keepNext/>
        <w:tabs>
          <w:tab w:val="left" w:pos="720"/>
        </w:tabs>
        <w:autoSpaceDE w:val="0"/>
        <w:autoSpaceDN w:val="0"/>
        <w:spacing w:after="120" w:line="240" w:lineRule="auto"/>
        <w:rPr>
          <w:rFonts w:ascii="Arial" w:eastAsia="Calibri" w:hAnsi="Arial" w:cs="Arial"/>
          <w:bCs/>
          <w:color w:val="000000"/>
          <w:u w:val="single"/>
          <w:lang w:val="en-US" w:eastAsia="en-GB"/>
        </w:rPr>
      </w:pPr>
      <w:r w:rsidRPr="00FB5E91">
        <w:rPr>
          <w:rFonts w:ascii="Arial" w:eastAsia="Calibri" w:hAnsi="Arial" w:cs="Arial"/>
          <w:bCs/>
          <w:color w:val="000000"/>
          <w:u w:val="single"/>
          <w:lang w:val="en-US" w:eastAsia="en-GB"/>
        </w:rPr>
        <w:t>Weight increased</w:t>
      </w:r>
    </w:p>
    <w:p w14:paraId="29956D89" w14:textId="3CC23AF7" w:rsidR="00FB5E91" w:rsidRPr="00FB5E91" w:rsidRDefault="00FB5E91" w:rsidP="00C03D04">
      <w:pPr>
        <w:keepNext/>
        <w:tabs>
          <w:tab w:val="left" w:pos="720"/>
        </w:tabs>
        <w:autoSpaceDE w:val="0"/>
        <w:autoSpaceDN w:val="0"/>
        <w:rPr>
          <w:rFonts w:ascii="Arial" w:hAnsi="Arial" w:cs="Arial"/>
          <w:lang w:val="en"/>
        </w:rPr>
      </w:pPr>
      <w:bookmarkStart w:id="19" w:name="_Hlk3813467"/>
      <w:r w:rsidRPr="00FB5E91">
        <w:rPr>
          <w:rFonts w:ascii="Arial" w:hAnsi="Arial" w:cs="Arial"/>
          <w:lang w:val="en"/>
        </w:rPr>
        <w:t xml:space="preserve">At the Week 48 time point, subjects in </w:t>
      </w:r>
      <w:r>
        <w:rPr>
          <w:rFonts w:ascii="Arial" w:hAnsi="Arial" w:cs="Arial"/>
          <w:lang w:val="en"/>
        </w:rPr>
        <w:t xml:space="preserve">the </w:t>
      </w:r>
      <w:r w:rsidRPr="00FB5E91">
        <w:rPr>
          <w:rFonts w:ascii="Arial" w:hAnsi="Arial" w:cs="Arial"/>
          <w:lang w:val="en"/>
        </w:rPr>
        <w:t>FLAIR and ATLAS</w:t>
      </w:r>
      <w:r>
        <w:rPr>
          <w:rFonts w:ascii="Arial" w:hAnsi="Arial" w:cs="Arial"/>
          <w:lang w:val="en"/>
        </w:rPr>
        <w:t xml:space="preserve"> </w:t>
      </w:r>
      <w:r w:rsidR="00EC1C0B">
        <w:rPr>
          <w:rFonts w:ascii="Arial" w:hAnsi="Arial" w:cs="Arial"/>
          <w:lang w:val="en"/>
        </w:rPr>
        <w:t>studies</w:t>
      </w:r>
      <w:r w:rsidRPr="00FB5E91">
        <w:rPr>
          <w:rFonts w:ascii="Arial" w:hAnsi="Arial" w:cs="Arial"/>
          <w:lang w:val="en"/>
        </w:rPr>
        <w:t xml:space="preserve">, who received </w:t>
      </w:r>
      <w:proofErr w:type="spellStart"/>
      <w:r w:rsidR="002172E0">
        <w:rPr>
          <w:rFonts w:ascii="Arial" w:hAnsi="Arial" w:cs="Arial"/>
          <w:lang w:val="en"/>
        </w:rPr>
        <w:t>cabotegravir</w:t>
      </w:r>
      <w:proofErr w:type="spellEnd"/>
      <w:r w:rsidR="002172E0" w:rsidRPr="00FB5E91">
        <w:rPr>
          <w:rFonts w:ascii="Arial" w:hAnsi="Arial" w:cs="Arial"/>
          <w:lang w:val="en"/>
        </w:rPr>
        <w:t xml:space="preserve"> </w:t>
      </w:r>
      <w:r w:rsidRPr="00FB5E91">
        <w:rPr>
          <w:rFonts w:ascii="Arial" w:hAnsi="Arial" w:cs="Arial"/>
          <w:lang w:val="en"/>
        </w:rPr>
        <w:t xml:space="preserve">plus </w:t>
      </w:r>
      <w:proofErr w:type="spellStart"/>
      <w:r w:rsidRPr="00FB5E91">
        <w:rPr>
          <w:rFonts w:ascii="Arial" w:hAnsi="Arial" w:cs="Arial"/>
          <w:lang w:val="en"/>
        </w:rPr>
        <w:t>rilpivirine</w:t>
      </w:r>
      <w:proofErr w:type="spellEnd"/>
      <w:r w:rsidRPr="00FB5E91">
        <w:rPr>
          <w:rFonts w:ascii="Arial" w:hAnsi="Arial" w:cs="Arial"/>
          <w:lang w:val="en"/>
        </w:rPr>
        <w:t xml:space="preserve"> gained a median of 1.5 kg in weight; those in the </w:t>
      </w:r>
      <w:r>
        <w:rPr>
          <w:rFonts w:ascii="Arial" w:hAnsi="Arial" w:cs="Arial"/>
          <w:lang w:val="en"/>
        </w:rPr>
        <w:t>c</w:t>
      </w:r>
      <w:r w:rsidR="007B5EA6">
        <w:rPr>
          <w:rFonts w:ascii="Arial" w:hAnsi="Arial" w:cs="Arial"/>
          <w:lang w:val="en"/>
        </w:rPr>
        <w:t>urrent</w:t>
      </w:r>
      <w:r>
        <w:rPr>
          <w:rFonts w:ascii="Arial" w:hAnsi="Arial" w:cs="Arial"/>
          <w:lang w:val="en"/>
        </w:rPr>
        <w:t xml:space="preserve"> antiretroviral therapy (CAR)</w:t>
      </w:r>
      <w:r w:rsidRPr="00FB5E91">
        <w:rPr>
          <w:rFonts w:ascii="Arial" w:hAnsi="Arial" w:cs="Arial"/>
          <w:lang w:val="en"/>
        </w:rPr>
        <w:t xml:space="preserve"> group gained a median of 1.0 kg (pooled analysis). In the individual FLAIR and ATLAS</w:t>
      </w:r>
      <w:r>
        <w:rPr>
          <w:rFonts w:ascii="Arial" w:hAnsi="Arial" w:cs="Arial"/>
          <w:lang w:val="en"/>
        </w:rPr>
        <w:t xml:space="preserve"> </w:t>
      </w:r>
      <w:r w:rsidR="00EC1C0B">
        <w:rPr>
          <w:rFonts w:ascii="Arial" w:hAnsi="Arial" w:cs="Arial"/>
          <w:lang w:val="en"/>
        </w:rPr>
        <w:t>studies</w:t>
      </w:r>
      <w:r w:rsidRPr="00FB5E91">
        <w:rPr>
          <w:rFonts w:ascii="Arial" w:hAnsi="Arial" w:cs="Arial"/>
          <w:lang w:val="en"/>
        </w:rPr>
        <w:t xml:space="preserve">, the median weight gains in the </w:t>
      </w:r>
      <w:proofErr w:type="spellStart"/>
      <w:r w:rsidR="001E3F43">
        <w:rPr>
          <w:rFonts w:ascii="Arial" w:hAnsi="Arial" w:cs="Arial"/>
          <w:lang w:val="en"/>
        </w:rPr>
        <w:t>cabotegravir</w:t>
      </w:r>
      <w:proofErr w:type="spellEnd"/>
      <w:r w:rsidRPr="00FB5E91">
        <w:rPr>
          <w:rFonts w:ascii="Arial" w:hAnsi="Arial" w:cs="Arial"/>
          <w:lang w:val="en"/>
        </w:rPr>
        <w:t xml:space="preserve"> plus </w:t>
      </w:r>
      <w:proofErr w:type="spellStart"/>
      <w:r w:rsidRPr="00FB5E91">
        <w:rPr>
          <w:rFonts w:ascii="Arial" w:hAnsi="Arial" w:cs="Arial"/>
          <w:lang w:val="en"/>
        </w:rPr>
        <w:t>rilpivirine</w:t>
      </w:r>
      <w:proofErr w:type="spellEnd"/>
      <w:r w:rsidRPr="00FB5E91">
        <w:rPr>
          <w:rFonts w:ascii="Arial" w:hAnsi="Arial" w:cs="Arial"/>
          <w:lang w:val="en"/>
        </w:rPr>
        <w:t xml:space="preserve"> </w:t>
      </w:r>
      <w:r w:rsidR="007B5EA6">
        <w:rPr>
          <w:rFonts w:ascii="Arial" w:hAnsi="Arial" w:cs="Arial"/>
          <w:lang w:val="en"/>
        </w:rPr>
        <w:t>group</w:t>
      </w:r>
      <w:r w:rsidRPr="00FB5E91">
        <w:rPr>
          <w:rFonts w:ascii="Arial" w:hAnsi="Arial" w:cs="Arial"/>
          <w:lang w:val="en"/>
        </w:rPr>
        <w:t xml:space="preserve"> were 1.3 kg and 1.8 kg respectively, compared to 1.5 kg and 0.3 kg in the CAR </w:t>
      </w:r>
      <w:r w:rsidR="007B5EA6">
        <w:rPr>
          <w:rFonts w:ascii="Arial" w:hAnsi="Arial" w:cs="Arial"/>
          <w:lang w:val="en"/>
        </w:rPr>
        <w:t>group</w:t>
      </w:r>
      <w:r w:rsidRPr="00FB5E91">
        <w:rPr>
          <w:rFonts w:ascii="Arial" w:hAnsi="Arial" w:cs="Arial"/>
          <w:lang w:val="en"/>
        </w:rPr>
        <w:t>.</w:t>
      </w:r>
      <w:bookmarkEnd w:id="19"/>
      <w:r w:rsidR="002172E0">
        <w:rPr>
          <w:rFonts w:ascii="Arial" w:hAnsi="Arial" w:cs="Arial"/>
          <w:lang w:val="en"/>
        </w:rPr>
        <w:t xml:space="preserve"> </w:t>
      </w:r>
      <w:r w:rsidR="002172E0" w:rsidRPr="0090328A">
        <w:rPr>
          <w:rFonts w:ascii="Arial" w:hAnsi="Arial" w:cs="Arial"/>
          <w:lang w:val="en"/>
        </w:rPr>
        <w:t xml:space="preserve">At the 48 week </w:t>
      </w:r>
      <w:proofErr w:type="spellStart"/>
      <w:r w:rsidR="002172E0" w:rsidRPr="0090328A">
        <w:rPr>
          <w:rFonts w:ascii="Arial" w:hAnsi="Arial" w:cs="Arial"/>
          <w:lang w:val="en"/>
        </w:rPr>
        <w:t>timepoint</w:t>
      </w:r>
      <w:proofErr w:type="spellEnd"/>
      <w:r w:rsidR="002172E0" w:rsidRPr="0090328A">
        <w:rPr>
          <w:rFonts w:ascii="Arial" w:hAnsi="Arial" w:cs="Arial"/>
          <w:lang w:val="en"/>
        </w:rPr>
        <w:t xml:space="preserve">, in ATLAS-2M the median weight gain in both the monthly and 2-monthly </w:t>
      </w:r>
      <w:proofErr w:type="spellStart"/>
      <w:r w:rsidR="002172E0">
        <w:rPr>
          <w:rFonts w:ascii="Arial" w:hAnsi="Arial" w:cs="Arial"/>
          <w:lang w:val="en"/>
        </w:rPr>
        <w:t>cabotegravir</w:t>
      </w:r>
      <w:proofErr w:type="spellEnd"/>
      <w:r w:rsidR="002172E0" w:rsidRPr="00FB5E91">
        <w:rPr>
          <w:rFonts w:ascii="Arial" w:hAnsi="Arial" w:cs="Arial"/>
          <w:lang w:val="en"/>
        </w:rPr>
        <w:t xml:space="preserve"> plus </w:t>
      </w:r>
      <w:proofErr w:type="spellStart"/>
      <w:r w:rsidR="002172E0" w:rsidRPr="00FB5E91">
        <w:rPr>
          <w:rFonts w:ascii="Arial" w:hAnsi="Arial" w:cs="Arial"/>
          <w:lang w:val="en"/>
        </w:rPr>
        <w:t>rilpivirine</w:t>
      </w:r>
      <w:proofErr w:type="spellEnd"/>
      <w:r w:rsidR="002172E0" w:rsidRPr="00FB5E91">
        <w:rPr>
          <w:rFonts w:ascii="Arial" w:hAnsi="Arial" w:cs="Arial"/>
          <w:lang w:val="en"/>
        </w:rPr>
        <w:t xml:space="preserve"> </w:t>
      </w:r>
      <w:r w:rsidR="002172E0" w:rsidRPr="0090328A">
        <w:rPr>
          <w:rFonts w:ascii="Arial" w:hAnsi="Arial" w:cs="Arial"/>
          <w:lang w:val="en"/>
        </w:rPr>
        <w:t>dosing arms was 1.0 kg.</w:t>
      </w:r>
    </w:p>
    <w:p w14:paraId="6497E3AE" w14:textId="77777777" w:rsidR="00E42B91" w:rsidRPr="00D26973" w:rsidRDefault="00E42B91" w:rsidP="00D65787">
      <w:pPr>
        <w:pStyle w:val="Heading3"/>
        <w:ind w:left="0"/>
        <w:rPr>
          <w:rFonts w:ascii="Arial" w:hAnsi="Arial" w:cs="Arial"/>
        </w:rPr>
      </w:pPr>
      <w:r w:rsidRPr="00D26973">
        <w:rPr>
          <w:rFonts w:ascii="Arial" w:hAnsi="Arial" w:cs="Arial"/>
        </w:rPr>
        <w:t>Reporting suspected adverse effects</w:t>
      </w:r>
    </w:p>
    <w:p w14:paraId="32066BEB" w14:textId="77777777" w:rsidR="005B2812" w:rsidRPr="00071855" w:rsidRDefault="005B2812" w:rsidP="000D668F">
      <w:pPr>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071855">
          <w:rPr>
            <w:rStyle w:val="Hyperlink"/>
            <w:rFonts w:ascii="Arial" w:hAnsi="Arial" w:cs="Arial"/>
            <w:lang w:val="en"/>
          </w:rPr>
          <w:t>www.tga.gov.au/reporting-problems</w:t>
        </w:r>
      </w:hyperlink>
      <w:r w:rsidRPr="00071855">
        <w:rPr>
          <w:rFonts w:ascii="Arial" w:hAnsi="Arial" w:cs="Arial"/>
          <w:lang w:val="en"/>
        </w:rPr>
        <w:t>.</w:t>
      </w:r>
    </w:p>
    <w:p w14:paraId="3B66EAD1"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OVERDOSE</w:t>
      </w:r>
    </w:p>
    <w:p w14:paraId="764B2299" w14:textId="77777777" w:rsidR="007B5EA6" w:rsidRPr="007B5EA6" w:rsidRDefault="007B5EA6" w:rsidP="000D668F">
      <w:pPr>
        <w:rPr>
          <w:rFonts w:ascii="Arial" w:hAnsi="Arial" w:cs="Arial"/>
          <w:lang w:val="en"/>
        </w:rPr>
      </w:pPr>
      <w:bookmarkStart w:id="20" w:name="_Hlk6231142"/>
      <w:r w:rsidRPr="007B5EA6">
        <w:rPr>
          <w:rFonts w:ascii="Arial" w:hAnsi="Arial" w:cs="Arial"/>
          <w:lang w:val="en"/>
        </w:rPr>
        <w:t xml:space="preserve">There is currently no experience with </w:t>
      </w:r>
      <w:proofErr w:type="spellStart"/>
      <w:r w:rsidRPr="007B5EA6">
        <w:rPr>
          <w:rFonts w:ascii="Arial" w:hAnsi="Arial" w:cs="Arial"/>
          <w:lang w:val="en"/>
        </w:rPr>
        <w:t>overdosage</w:t>
      </w:r>
      <w:proofErr w:type="spellEnd"/>
      <w:r w:rsidRPr="007B5EA6">
        <w:rPr>
          <w:rFonts w:ascii="Arial" w:hAnsi="Arial" w:cs="Arial"/>
          <w:lang w:val="en"/>
        </w:rPr>
        <w:t xml:space="preserve"> of VOCABRIA.</w:t>
      </w:r>
    </w:p>
    <w:p w14:paraId="3B7B3D25" w14:textId="77777777" w:rsidR="007B5EA6" w:rsidRPr="007B5EA6" w:rsidRDefault="007B5EA6" w:rsidP="000D668F">
      <w:pPr>
        <w:rPr>
          <w:rFonts w:ascii="Arial" w:hAnsi="Arial" w:cs="Arial"/>
          <w:lang w:val="en"/>
        </w:rPr>
      </w:pPr>
      <w:r w:rsidRPr="007B5EA6">
        <w:rPr>
          <w:rFonts w:ascii="Arial" w:hAnsi="Arial" w:cs="Arial"/>
          <w:lang w:val="en"/>
        </w:rPr>
        <w:t xml:space="preserve">There is no specific treatment for overdose with VOCABRIA. If overdose occurs, the patient should be treated supportively with appropriate monitoring as necessary. Further management should be as clinically indicated or as recommended by the national poisons </w:t>
      </w:r>
      <w:proofErr w:type="spellStart"/>
      <w:r w:rsidRPr="007B5EA6">
        <w:rPr>
          <w:rFonts w:ascii="Arial" w:hAnsi="Arial" w:cs="Arial"/>
          <w:lang w:val="en"/>
        </w:rPr>
        <w:t>centre</w:t>
      </w:r>
      <w:proofErr w:type="spellEnd"/>
      <w:r w:rsidRPr="007B5EA6">
        <w:rPr>
          <w:rFonts w:ascii="Arial" w:hAnsi="Arial" w:cs="Arial"/>
          <w:lang w:val="en"/>
        </w:rPr>
        <w:t>, where available.</w:t>
      </w:r>
    </w:p>
    <w:p w14:paraId="01E58E22" w14:textId="2FF29CD1" w:rsidR="007B5EA6" w:rsidRPr="007B5EA6" w:rsidRDefault="007B5EA6" w:rsidP="000D668F">
      <w:pPr>
        <w:rPr>
          <w:rFonts w:ascii="Arial" w:hAnsi="Arial" w:cs="Arial"/>
          <w:lang w:val="en"/>
        </w:rPr>
      </w:pPr>
      <w:proofErr w:type="spellStart"/>
      <w:r w:rsidRPr="007B5EA6">
        <w:rPr>
          <w:rFonts w:ascii="Arial" w:hAnsi="Arial" w:cs="Arial"/>
          <w:lang w:val="en"/>
        </w:rPr>
        <w:t>Cabotegravir</w:t>
      </w:r>
      <w:proofErr w:type="spellEnd"/>
      <w:r w:rsidRPr="007B5EA6">
        <w:rPr>
          <w:rFonts w:ascii="Arial" w:hAnsi="Arial" w:cs="Arial"/>
          <w:lang w:val="en"/>
        </w:rPr>
        <w:t xml:space="preserve"> is known to be highly protein bound in plasma; therefore, dialysis is unlikely to be helpful in removal of </w:t>
      </w:r>
      <w:proofErr w:type="spellStart"/>
      <w:r w:rsidRPr="007B5EA6">
        <w:rPr>
          <w:rFonts w:ascii="Arial" w:hAnsi="Arial" w:cs="Arial"/>
          <w:lang w:val="en"/>
        </w:rPr>
        <w:t>cabotegravir</w:t>
      </w:r>
      <w:proofErr w:type="spellEnd"/>
      <w:r w:rsidRPr="007B5EA6">
        <w:rPr>
          <w:rFonts w:ascii="Arial" w:hAnsi="Arial" w:cs="Arial"/>
          <w:lang w:val="en"/>
        </w:rPr>
        <w:t xml:space="preserve"> from the body. Management of overdose with </w:t>
      </w:r>
      <w:proofErr w:type="spellStart"/>
      <w:r w:rsidR="001E3F43">
        <w:rPr>
          <w:rFonts w:ascii="Arial" w:hAnsi="Arial" w:cs="Arial"/>
          <w:lang w:val="en"/>
        </w:rPr>
        <w:t>cabotegravir</w:t>
      </w:r>
      <w:proofErr w:type="spellEnd"/>
      <w:r w:rsidRPr="007B5EA6">
        <w:rPr>
          <w:rFonts w:ascii="Arial" w:hAnsi="Arial" w:cs="Arial"/>
          <w:lang w:val="en"/>
        </w:rPr>
        <w:t xml:space="preserve"> injection should take into consideration the prolonged exposure to the medicine following an injection (see section 4.4</w:t>
      </w:r>
      <w:r>
        <w:rPr>
          <w:rFonts w:ascii="Arial" w:hAnsi="Arial" w:cs="Arial"/>
          <w:lang w:val="en"/>
        </w:rPr>
        <w:t xml:space="preserve"> SPECIAL WARNINGS AND PRECAUTIONS FOR USE</w:t>
      </w:r>
      <w:r w:rsidRPr="007B5EA6">
        <w:rPr>
          <w:rFonts w:ascii="Arial" w:hAnsi="Arial" w:cs="Arial"/>
          <w:lang w:val="en"/>
        </w:rPr>
        <w:t>).</w:t>
      </w:r>
    </w:p>
    <w:bookmarkEnd w:id="20"/>
    <w:p w14:paraId="5E8A7216" w14:textId="77777777" w:rsidR="005B2812" w:rsidRPr="00071855" w:rsidRDefault="005B2812" w:rsidP="000D668F">
      <w:pPr>
        <w:rPr>
          <w:rFonts w:ascii="Arial" w:hAnsi="Arial" w:cs="Arial"/>
        </w:rPr>
      </w:pPr>
      <w:r w:rsidRPr="00071855">
        <w:rPr>
          <w:rFonts w:ascii="Arial" w:hAnsi="Arial" w:cs="Arial"/>
          <w:lang w:val="en"/>
        </w:rPr>
        <w:t>For information on the management of overdose, contact the Poisons Information Centre on 13 11 26 (Australia).</w:t>
      </w:r>
    </w:p>
    <w:p w14:paraId="004797A1" w14:textId="77777777" w:rsidR="001A3992" w:rsidRPr="00071855" w:rsidRDefault="001A3992" w:rsidP="00C46F97">
      <w:pPr>
        <w:pStyle w:val="Heading1"/>
        <w:keepNext w:val="0"/>
        <w:keepLines w:val="0"/>
        <w:spacing w:before="0" w:after="120"/>
        <w:ind w:left="431" w:hanging="431"/>
        <w:rPr>
          <w:rFonts w:ascii="Arial" w:hAnsi="Arial" w:cs="Arial"/>
          <w:lang w:val="en-US"/>
        </w:rPr>
      </w:pPr>
      <w:r w:rsidRPr="00071855">
        <w:rPr>
          <w:rFonts w:ascii="Arial" w:hAnsi="Arial" w:cs="Arial"/>
          <w:lang w:val="en-US"/>
        </w:rPr>
        <w:t>Pharmacological properties</w:t>
      </w:r>
    </w:p>
    <w:p w14:paraId="5590B99A" w14:textId="7777777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PHARMACODYNAMIC PROPERTIES </w:t>
      </w:r>
    </w:p>
    <w:p w14:paraId="2C2D390B" w14:textId="77777777" w:rsidR="001A3992" w:rsidRPr="00B02CA3" w:rsidRDefault="001A3992" w:rsidP="00D65787">
      <w:pPr>
        <w:pStyle w:val="Heading3"/>
        <w:ind w:left="0"/>
        <w:rPr>
          <w:rFonts w:ascii="Arial" w:hAnsi="Arial" w:cs="Arial"/>
        </w:rPr>
      </w:pPr>
      <w:r w:rsidRPr="00B02CA3">
        <w:rPr>
          <w:rFonts w:ascii="Arial" w:hAnsi="Arial" w:cs="Arial"/>
        </w:rPr>
        <w:lastRenderedPageBreak/>
        <w:t>Mechanism of action</w:t>
      </w:r>
    </w:p>
    <w:p w14:paraId="5DF212AB" w14:textId="77777777" w:rsidR="006B1BDC" w:rsidRPr="00B02CA3" w:rsidRDefault="006B1BDC" w:rsidP="000D668F">
      <w:pPr>
        <w:rPr>
          <w:rFonts w:ascii="Arial" w:hAnsi="Arial" w:cs="Arial"/>
          <w:lang w:val="en"/>
        </w:rPr>
      </w:pPr>
      <w:proofErr w:type="spellStart"/>
      <w:r w:rsidRPr="00B02CA3">
        <w:rPr>
          <w:rFonts w:ascii="Arial" w:hAnsi="Arial" w:cs="Arial"/>
          <w:lang w:val="en"/>
        </w:rPr>
        <w:t>Cabotegravir</w:t>
      </w:r>
      <w:proofErr w:type="spellEnd"/>
      <w:r w:rsidRPr="00B02CA3">
        <w:rPr>
          <w:rFonts w:ascii="Arial" w:hAnsi="Arial" w:cs="Arial"/>
          <w:lang w:val="en"/>
        </w:rPr>
        <w:t xml:space="preserve"> inhibits HIV integrase by binding to the integrase active site and blocking the strand transfer step of retroviral Deoxyribonucleic acid (DNA) integration which is essential for the HIV replication cycle.</w:t>
      </w:r>
    </w:p>
    <w:p w14:paraId="2AC30263" w14:textId="77777777" w:rsidR="00B02CA3" w:rsidRPr="00B02CA3" w:rsidRDefault="00B02CA3" w:rsidP="00D65787">
      <w:pPr>
        <w:pStyle w:val="Heading3"/>
        <w:ind w:left="0"/>
        <w:rPr>
          <w:rFonts w:ascii="Arial" w:hAnsi="Arial" w:cs="Arial"/>
        </w:rPr>
      </w:pPr>
      <w:r w:rsidRPr="00B02CA3">
        <w:rPr>
          <w:rFonts w:ascii="Arial" w:hAnsi="Arial" w:cs="Arial"/>
        </w:rPr>
        <w:t>Pharmacodynamic effects</w:t>
      </w:r>
    </w:p>
    <w:p w14:paraId="163F68C2" w14:textId="3FE020F4" w:rsidR="00B02CA3" w:rsidRPr="00B02CA3" w:rsidRDefault="00B02CA3" w:rsidP="000D668F">
      <w:pPr>
        <w:rPr>
          <w:rFonts w:ascii="Arial" w:hAnsi="Arial" w:cs="Arial"/>
          <w:lang w:val="en"/>
        </w:rPr>
      </w:pPr>
      <w:r w:rsidRPr="00D65787">
        <w:rPr>
          <w:rFonts w:ascii="Arial" w:eastAsiaTheme="majorEastAsia" w:hAnsi="Arial" w:cs="Arial"/>
          <w:b/>
          <w:bCs/>
          <w:i/>
          <w:iCs/>
        </w:rPr>
        <w:t>Antiviral activity in cell culture</w:t>
      </w:r>
      <w:r w:rsidRPr="00D65787">
        <w:rPr>
          <w:rFonts w:ascii="Arial" w:eastAsiaTheme="majorEastAsia" w:hAnsi="Arial" w:cs="Arial"/>
          <w:b/>
          <w:bCs/>
          <w:i/>
          <w:iCs/>
        </w:rPr>
        <w:br/>
      </w:r>
      <w:proofErr w:type="spellStart"/>
      <w:r w:rsidRPr="00B02CA3">
        <w:rPr>
          <w:rFonts w:ascii="Arial" w:hAnsi="Arial" w:cs="Arial"/>
          <w:lang w:val="en"/>
        </w:rPr>
        <w:t>Cabotegravir</w:t>
      </w:r>
      <w:proofErr w:type="spellEnd"/>
      <w:r w:rsidRPr="00B02CA3">
        <w:rPr>
          <w:rFonts w:ascii="Arial" w:hAnsi="Arial" w:cs="Arial"/>
          <w:lang w:val="en"/>
        </w:rPr>
        <w:t xml:space="preserve"> exhibited antiviral activity against laboratory strains of wild-type HIV-1 with mean concentration of </w:t>
      </w:r>
      <w:proofErr w:type="spellStart"/>
      <w:r w:rsidRPr="00B02CA3">
        <w:rPr>
          <w:rFonts w:ascii="Arial" w:hAnsi="Arial" w:cs="Arial"/>
          <w:lang w:val="en"/>
        </w:rPr>
        <w:t>cabotegravir</w:t>
      </w:r>
      <w:proofErr w:type="spellEnd"/>
      <w:r w:rsidRPr="00B02CA3">
        <w:rPr>
          <w:rFonts w:ascii="Arial" w:hAnsi="Arial" w:cs="Arial"/>
          <w:lang w:val="en"/>
        </w:rPr>
        <w:t xml:space="preserve"> necessary to reduce viral replication by 50 percent (EC</w:t>
      </w:r>
      <w:r w:rsidRPr="007D4266">
        <w:rPr>
          <w:rFonts w:ascii="Arial" w:hAnsi="Arial" w:cs="Arial"/>
          <w:vertAlign w:val="subscript"/>
          <w:lang w:val="en"/>
        </w:rPr>
        <w:t>50</w:t>
      </w:r>
      <w:r w:rsidRPr="00B02CA3">
        <w:rPr>
          <w:rFonts w:ascii="Arial" w:hAnsi="Arial" w:cs="Arial"/>
          <w:lang w:val="en"/>
        </w:rPr>
        <w:t>) values of 0.22 </w:t>
      </w:r>
      <w:proofErr w:type="spellStart"/>
      <w:r w:rsidRPr="00B02CA3">
        <w:rPr>
          <w:rFonts w:ascii="Arial" w:hAnsi="Arial" w:cs="Arial"/>
          <w:lang w:val="en"/>
        </w:rPr>
        <w:t>nM</w:t>
      </w:r>
      <w:proofErr w:type="spellEnd"/>
      <w:r w:rsidRPr="00B02CA3">
        <w:rPr>
          <w:rFonts w:ascii="Arial" w:hAnsi="Arial" w:cs="Arial"/>
          <w:lang w:val="en"/>
        </w:rPr>
        <w:t xml:space="preserve"> to 1.</w:t>
      </w:r>
      <w:r w:rsidR="00B25819">
        <w:rPr>
          <w:rFonts w:ascii="Arial" w:hAnsi="Arial" w:cs="Arial"/>
          <w:lang w:val="en"/>
        </w:rPr>
        <w:t>6</w:t>
      </w:r>
      <w:r w:rsidRPr="00B02CA3">
        <w:rPr>
          <w:rFonts w:ascii="Arial" w:hAnsi="Arial" w:cs="Arial"/>
          <w:lang w:val="en"/>
        </w:rPr>
        <w:t> </w:t>
      </w:r>
      <w:proofErr w:type="spellStart"/>
      <w:r w:rsidRPr="00B02CA3">
        <w:rPr>
          <w:rFonts w:ascii="Arial" w:hAnsi="Arial" w:cs="Arial"/>
          <w:lang w:val="en"/>
        </w:rPr>
        <w:t>nM</w:t>
      </w:r>
      <w:proofErr w:type="spellEnd"/>
      <w:r w:rsidRPr="00B02CA3">
        <w:rPr>
          <w:rFonts w:ascii="Arial" w:hAnsi="Arial" w:cs="Arial"/>
          <w:lang w:val="en"/>
        </w:rPr>
        <w:t xml:space="preserve"> in peripheral blood mononuclear cells (PBMCs) and 293T cells. </w:t>
      </w:r>
      <w:proofErr w:type="spellStart"/>
      <w:r w:rsidRPr="00B02CA3">
        <w:rPr>
          <w:rFonts w:ascii="Arial" w:hAnsi="Arial" w:cs="Arial"/>
          <w:lang w:val="en"/>
        </w:rPr>
        <w:t>Cabotegravir</w:t>
      </w:r>
      <w:proofErr w:type="spellEnd"/>
      <w:r w:rsidRPr="00B02CA3">
        <w:rPr>
          <w:rFonts w:ascii="Arial" w:hAnsi="Arial" w:cs="Arial"/>
          <w:lang w:val="en"/>
        </w:rPr>
        <w:t xml:space="preserve"> demonstrated antiviral activity in cell culture against a panel of 24 HIV-1 clinical isolates (three in each group of M clades A, B, C, D, E, F, and G, and 3 in group O) with EC</w:t>
      </w:r>
      <w:r w:rsidRPr="007D4266">
        <w:rPr>
          <w:rFonts w:ascii="Arial" w:hAnsi="Arial" w:cs="Arial"/>
          <w:vertAlign w:val="subscript"/>
          <w:lang w:val="en"/>
        </w:rPr>
        <w:t>50</w:t>
      </w:r>
      <w:r w:rsidRPr="00B02CA3">
        <w:rPr>
          <w:rFonts w:ascii="Arial" w:hAnsi="Arial" w:cs="Arial"/>
          <w:lang w:val="en"/>
        </w:rPr>
        <w:t xml:space="preserve"> values ranging from 0.02 </w:t>
      </w:r>
      <w:proofErr w:type="spellStart"/>
      <w:r w:rsidRPr="00B02CA3">
        <w:rPr>
          <w:rFonts w:ascii="Arial" w:hAnsi="Arial" w:cs="Arial"/>
          <w:lang w:val="en"/>
        </w:rPr>
        <w:t>nM</w:t>
      </w:r>
      <w:proofErr w:type="spellEnd"/>
      <w:r w:rsidRPr="00B02CA3">
        <w:rPr>
          <w:rFonts w:ascii="Arial" w:hAnsi="Arial" w:cs="Arial"/>
          <w:lang w:val="en"/>
        </w:rPr>
        <w:t xml:space="preserve"> to 1.06 </w:t>
      </w:r>
      <w:proofErr w:type="spellStart"/>
      <w:r w:rsidRPr="00B02CA3">
        <w:rPr>
          <w:rFonts w:ascii="Arial" w:hAnsi="Arial" w:cs="Arial"/>
          <w:lang w:val="en"/>
        </w:rPr>
        <w:t>nM</w:t>
      </w:r>
      <w:proofErr w:type="spellEnd"/>
      <w:r w:rsidRPr="00B02CA3">
        <w:rPr>
          <w:rFonts w:ascii="Arial" w:hAnsi="Arial" w:cs="Arial"/>
          <w:lang w:val="en"/>
        </w:rPr>
        <w:t xml:space="preserve"> for HIV-1. </w:t>
      </w:r>
      <w:proofErr w:type="spellStart"/>
      <w:r w:rsidRPr="00B02CA3">
        <w:rPr>
          <w:rFonts w:ascii="Arial" w:hAnsi="Arial" w:cs="Arial"/>
          <w:lang w:val="en"/>
        </w:rPr>
        <w:t>Cabotegravir</w:t>
      </w:r>
      <w:proofErr w:type="spellEnd"/>
      <w:r w:rsidRPr="00B02CA3">
        <w:rPr>
          <w:rFonts w:ascii="Arial" w:hAnsi="Arial" w:cs="Arial"/>
          <w:lang w:val="en"/>
        </w:rPr>
        <w:t xml:space="preserve"> EC</w:t>
      </w:r>
      <w:r w:rsidRPr="007D4266">
        <w:rPr>
          <w:rFonts w:ascii="Arial" w:hAnsi="Arial" w:cs="Arial"/>
          <w:vertAlign w:val="subscript"/>
          <w:lang w:val="en"/>
        </w:rPr>
        <w:t>50</w:t>
      </w:r>
      <w:r w:rsidRPr="00B02CA3">
        <w:rPr>
          <w:rFonts w:ascii="Arial" w:hAnsi="Arial" w:cs="Arial"/>
          <w:lang w:val="en"/>
        </w:rPr>
        <w:t xml:space="preserve"> values against four HIV-2 clinical isolates ranged from 0.10 </w:t>
      </w:r>
      <w:proofErr w:type="spellStart"/>
      <w:r w:rsidRPr="00B02CA3">
        <w:rPr>
          <w:rFonts w:ascii="Arial" w:hAnsi="Arial" w:cs="Arial"/>
          <w:lang w:val="en"/>
        </w:rPr>
        <w:t>nM</w:t>
      </w:r>
      <w:proofErr w:type="spellEnd"/>
      <w:r w:rsidRPr="00B02CA3">
        <w:rPr>
          <w:rFonts w:ascii="Arial" w:hAnsi="Arial" w:cs="Arial"/>
          <w:lang w:val="en"/>
        </w:rPr>
        <w:t xml:space="preserve"> to 0.14 </w:t>
      </w:r>
      <w:proofErr w:type="spellStart"/>
      <w:r w:rsidRPr="00B02CA3">
        <w:rPr>
          <w:rFonts w:ascii="Arial" w:hAnsi="Arial" w:cs="Arial"/>
          <w:lang w:val="en"/>
        </w:rPr>
        <w:t>nM</w:t>
      </w:r>
      <w:proofErr w:type="spellEnd"/>
      <w:r w:rsidRPr="00B02CA3">
        <w:rPr>
          <w:rFonts w:ascii="Arial" w:hAnsi="Arial" w:cs="Arial"/>
          <w:lang w:val="en"/>
        </w:rPr>
        <w:t>.</w:t>
      </w:r>
    </w:p>
    <w:p w14:paraId="57E18859" w14:textId="08548B40" w:rsidR="00103CED" w:rsidRPr="00B02CA3" w:rsidRDefault="00B02CA3" w:rsidP="000D668F">
      <w:pPr>
        <w:rPr>
          <w:rFonts w:ascii="Arial" w:hAnsi="Arial" w:cs="Arial"/>
          <w:lang w:val="en"/>
        </w:rPr>
      </w:pPr>
      <w:r w:rsidRPr="00D65787">
        <w:rPr>
          <w:rFonts w:ascii="Arial" w:eastAsiaTheme="majorEastAsia" w:hAnsi="Arial" w:cs="Arial"/>
          <w:b/>
          <w:bCs/>
          <w:i/>
          <w:iCs/>
        </w:rPr>
        <w:t>Antiviral Activity in combination with other medicinal products</w:t>
      </w:r>
      <w:r w:rsidRPr="00D65787">
        <w:rPr>
          <w:rFonts w:ascii="Arial" w:eastAsiaTheme="majorEastAsia" w:hAnsi="Arial" w:cs="Arial"/>
          <w:b/>
          <w:bCs/>
          <w:i/>
          <w:iCs/>
        </w:rPr>
        <w:br/>
      </w:r>
      <w:r w:rsidR="00103CED">
        <w:rPr>
          <w:rFonts w:ascii="Arial" w:hAnsi="Arial" w:cs="Arial"/>
          <w:lang w:val="en"/>
        </w:rPr>
        <w:t>I</w:t>
      </w:r>
      <w:r w:rsidR="00103CED" w:rsidRPr="00103CED">
        <w:rPr>
          <w:rFonts w:ascii="Arial" w:hAnsi="Arial" w:cs="Arial"/>
          <w:lang w:val="en"/>
        </w:rPr>
        <w:t xml:space="preserve">n </w:t>
      </w:r>
      <w:r w:rsidR="00103CED" w:rsidRPr="00103CED">
        <w:rPr>
          <w:rFonts w:ascii="Arial" w:hAnsi="Arial" w:cs="Arial"/>
          <w:i/>
          <w:iCs/>
          <w:lang w:val="en"/>
        </w:rPr>
        <w:t>in vitro</w:t>
      </w:r>
      <w:r w:rsidR="00103CED" w:rsidRPr="00103CED">
        <w:rPr>
          <w:rFonts w:ascii="Arial" w:hAnsi="Arial" w:cs="Arial"/>
          <w:lang w:val="en"/>
        </w:rPr>
        <w:t xml:space="preserve"> combination studies, </w:t>
      </w:r>
      <w:proofErr w:type="spellStart"/>
      <w:r w:rsidR="00103CED" w:rsidRPr="00103CED">
        <w:rPr>
          <w:rFonts w:ascii="Arial" w:hAnsi="Arial" w:cs="Arial"/>
          <w:lang w:val="en"/>
        </w:rPr>
        <w:t>cabotegravir</w:t>
      </w:r>
      <w:proofErr w:type="spellEnd"/>
      <w:r w:rsidR="00103CED" w:rsidRPr="00103CED">
        <w:rPr>
          <w:rFonts w:ascii="Arial" w:hAnsi="Arial" w:cs="Arial"/>
          <w:lang w:val="en"/>
        </w:rPr>
        <w:t xml:space="preserve"> had weak synergistic antiviral effects with nucleoside reverse transcriptase inhibitors (lamivudine, tenofovir disoproxil fumarate, emtricitabine) and additive effects with the non-nucleoside reverse transcriptase inhibitor, </w:t>
      </w:r>
      <w:proofErr w:type="spellStart"/>
      <w:r w:rsidR="00103CED" w:rsidRPr="00103CED">
        <w:rPr>
          <w:rFonts w:ascii="Arial" w:hAnsi="Arial" w:cs="Arial"/>
          <w:lang w:val="en"/>
        </w:rPr>
        <w:t>rilpivirine</w:t>
      </w:r>
      <w:proofErr w:type="spellEnd"/>
      <w:r w:rsidR="00103CED" w:rsidRPr="00103CED">
        <w:rPr>
          <w:rFonts w:ascii="Arial" w:hAnsi="Arial" w:cs="Arial"/>
          <w:lang w:val="en"/>
        </w:rPr>
        <w:t>.</w:t>
      </w:r>
    </w:p>
    <w:p w14:paraId="0D93EB26" w14:textId="68A000BA" w:rsidR="00B02CA3" w:rsidRPr="00B02CA3" w:rsidRDefault="00B02CA3" w:rsidP="000D668F">
      <w:pPr>
        <w:rPr>
          <w:rFonts w:ascii="Arial" w:hAnsi="Arial" w:cs="Arial"/>
          <w:lang w:val="en"/>
        </w:rPr>
      </w:pPr>
      <w:r w:rsidRPr="00D65787">
        <w:rPr>
          <w:rFonts w:ascii="Arial" w:eastAsiaTheme="majorEastAsia" w:hAnsi="Arial" w:cs="Arial"/>
          <w:b/>
          <w:bCs/>
          <w:i/>
          <w:iCs/>
        </w:rPr>
        <w:t>Effect of Human Serum and Serum Proteins</w:t>
      </w:r>
      <w:r w:rsidRPr="00D65787">
        <w:rPr>
          <w:rFonts w:ascii="Arial" w:eastAsiaTheme="majorEastAsia" w:hAnsi="Arial" w:cs="Arial"/>
          <w:b/>
          <w:bCs/>
          <w:i/>
          <w:iCs/>
        </w:rPr>
        <w:br/>
      </w:r>
      <w:r w:rsidRPr="008C60CE">
        <w:rPr>
          <w:rFonts w:ascii="Arial" w:hAnsi="Arial" w:cs="Arial"/>
          <w:i/>
          <w:lang w:val="en"/>
        </w:rPr>
        <w:t>In vitro</w:t>
      </w:r>
      <w:r w:rsidRPr="00B02CA3">
        <w:rPr>
          <w:rFonts w:ascii="Arial" w:hAnsi="Arial" w:cs="Arial"/>
          <w:lang w:val="en"/>
        </w:rPr>
        <w:t xml:space="preserve"> studies suggested a </w:t>
      </w:r>
      <w:r w:rsidR="0016251C">
        <w:rPr>
          <w:rFonts w:ascii="Arial" w:hAnsi="Arial" w:cs="Arial"/>
          <w:lang w:val="en"/>
        </w:rPr>
        <w:t>660</w:t>
      </w:r>
      <w:r w:rsidRPr="00B02CA3">
        <w:rPr>
          <w:rFonts w:ascii="Arial" w:hAnsi="Arial" w:cs="Arial"/>
          <w:lang w:val="en"/>
        </w:rPr>
        <w:noBreakHyphen/>
        <w:t>fold shift in IC</w:t>
      </w:r>
      <w:r w:rsidRPr="007D4266">
        <w:rPr>
          <w:rFonts w:ascii="Arial" w:hAnsi="Arial" w:cs="Arial"/>
          <w:vertAlign w:val="subscript"/>
          <w:lang w:val="en"/>
        </w:rPr>
        <w:t>50</w:t>
      </w:r>
      <w:r w:rsidRPr="00B02CA3">
        <w:rPr>
          <w:rFonts w:ascii="Arial" w:hAnsi="Arial" w:cs="Arial"/>
          <w:lang w:val="en"/>
        </w:rPr>
        <w:t xml:space="preserve"> of </w:t>
      </w:r>
      <w:proofErr w:type="spellStart"/>
      <w:r w:rsidRPr="00B02CA3">
        <w:rPr>
          <w:rFonts w:ascii="Arial" w:hAnsi="Arial" w:cs="Arial"/>
          <w:lang w:val="en"/>
        </w:rPr>
        <w:t>cabotegravir</w:t>
      </w:r>
      <w:proofErr w:type="spellEnd"/>
      <w:r w:rsidRPr="00B02CA3">
        <w:rPr>
          <w:rFonts w:ascii="Arial" w:hAnsi="Arial" w:cs="Arial"/>
          <w:lang w:val="en"/>
        </w:rPr>
        <w:t xml:space="preserve"> in the presence of 100% human serum (by method of extrapolation), and the protein adjusted IC</w:t>
      </w:r>
      <w:r w:rsidRPr="007D4266">
        <w:rPr>
          <w:rFonts w:ascii="Arial" w:hAnsi="Arial" w:cs="Arial"/>
          <w:vertAlign w:val="subscript"/>
          <w:lang w:val="en"/>
        </w:rPr>
        <w:t xml:space="preserve">50 </w:t>
      </w:r>
      <w:r w:rsidRPr="00B02CA3">
        <w:rPr>
          <w:rFonts w:ascii="Arial" w:hAnsi="Arial" w:cs="Arial"/>
          <w:lang w:val="en"/>
        </w:rPr>
        <w:t>(PA-IC</w:t>
      </w:r>
      <w:r w:rsidRPr="007D4266">
        <w:rPr>
          <w:rFonts w:ascii="Arial" w:hAnsi="Arial" w:cs="Arial"/>
          <w:vertAlign w:val="subscript"/>
          <w:lang w:val="en"/>
        </w:rPr>
        <w:t>50</w:t>
      </w:r>
      <w:r w:rsidRPr="00B02CA3">
        <w:rPr>
          <w:rFonts w:ascii="Arial" w:hAnsi="Arial" w:cs="Arial"/>
          <w:lang w:val="en"/>
        </w:rPr>
        <w:t xml:space="preserve">) was estimated to be </w:t>
      </w:r>
      <w:r w:rsidR="0016251C" w:rsidRPr="0016251C">
        <w:rPr>
          <w:rFonts w:ascii="Arial" w:hAnsi="Arial" w:cs="Arial"/>
          <w:lang w:val="en"/>
        </w:rPr>
        <w:t xml:space="preserve">&lt;1.1 </w:t>
      </w:r>
      <w:proofErr w:type="spellStart"/>
      <w:r w:rsidR="0016251C" w:rsidRPr="0016251C">
        <w:rPr>
          <w:rFonts w:ascii="Arial" w:hAnsi="Arial" w:cs="Arial"/>
          <w:lang w:val="en"/>
        </w:rPr>
        <w:t>μM</w:t>
      </w:r>
      <w:proofErr w:type="spellEnd"/>
      <w:r w:rsidR="0016251C" w:rsidRPr="00B02CA3" w:rsidDel="0016251C">
        <w:rPr>
          <w:rFonts w:ascii="Arial" w:hAnsi="Arial" w:cs="Arial"/>
          <w:lang w:val="en"/>
        </w:rPr>
        <w:t xml:space="preserve"> </w:t>
      </w:r>
      <w:r w:rsidRPr="00B02CA3">
        <w:rPr>
          <w:rFonts w:ascii="Arial" w:hAnsi="Arial" w:cs="Arial"/>
          <w:lang w:val="en"/>
        </w:rPr>
        <w:t>.</w:t>
      </w:r>
    </w:p>
    <w:p w14:paraId="7EB0D9C8" w14:textId="5D48CD57" w:rsidR="00B02CA3" w:rsidRPr="00B02CA3" w:rsidRDefault="00B02CA3" w:rsidP="00EA441B">
      <w:pPr>
        <w:rPr>
          <w:rFonts w:ascii="Arial" w:hAnsi="Arial" w:cs="Arial"/>
          <w:lang w:val="en"/>
        </w:rPr>
      </w:pPr>
      <w:r w:rsidRPr="00D65787">
        <w:rPr>
          <w:rFonts w:ascii="Arial" w:eastAsiaTheme="majorEastAsia" w:hAnsi="Arial" w:cs="Arial"/>
          <w:b/>
          <w:bCs/>
          <w:i/>
          <w:iCs/>
        </w:rPr>
        <w:t>Resistance in vitro</w:t>
      </w:r>
      <w:r w:rsidRPr="00D65787">
        <w:rPr>
          <w:rFonts w:ascii="Arial" w:eastAsiaTheme="majorEastAsia" w:hAnsi="Arial" w:cs="Arial"/>
          <w:b/>
          <w:bCs/>
          <w:i/>
          <w:iCs/>
        </w:rPr>
        <w:br/>
      </w:r>
      <w:r w:rsidRPr="00B02CA3">
        <w:rPr>
          <w:rFonts w:ascii="Arial" w:hAnsi="Arial" w:cs="Arial"/>
          <w:lang w:val="en"/>
        </w:rPr>
        <w:t xml:space="preserve">Isolation from wild-type HIV-1 and activity against resistant strains: </w:t>
      </w:r>
      <w:bookmarkStart w:id="21" w:name="_Hlk531358524"/>
      <w:r w:rsidRPr="00B02CA3">
        <w:rPr>
          <w:rFonts w:ascii="Arial" w:hAnsi="Arial" w:cs="Arial"/>
          <w:lang w:val="en"/>
        </w:rPr>
        <w:t xml:space="preserve">Viruses with &gt;10-fold increase in </w:t>
      </w:r>
      <w:proofErr w:type="spellStart"/>
      <w:r w:rsidRPr="00B02CA3">
        <w:rPr>
          <w:rFonts w:ascii="Arial" w:hAnsi="Arial" w:cs="Arial"/>
          <w:lang w:val="en"/>
        </w:rPr>
        <w:t>cabotegravir</w:t>
      </w:r>
      <w:proofErr w:type="spellEnd"/>
      <w:r w:rsidRPr="00B02CA3">
        <w:rPr>
          <w:rFonts w:ascii="Arial" w:hAnsi="Arial" w:cs="Arial"/>
          <w:lang w:val="en"/>
        </w:rPr>
        <w:t xml:space="preserve"> EC</w:t>
      </w:r>
      <w:r w:rsidRPr="007D4266">
        <w:rPr>
          <w:rFonts w:ascii="Arial" w:hAnsi="Arial" w:cs="Arial"/>
          <w:vertAlign w:val="subscript"/>
          <w:lang w:val="en"/>
        </w:rPr>
        <w:t>50</w:t>
      </w:r>
      <w:r w:rsidRPr="00B02CA3">
        <w:rPr>
          <w:rFonts w:ascii="Arial" w:hAnsi="Arial" w:cs="Arial"/>
          <w:lang w:val="en"/>
        </w:rPr>
        <w:t xml:space="preserve"> were not observed during the 112-day passage of strain IIIB. </w:t>
      </w:r>
      <w:bookmarkStart w:id="22" w:name="_Hlk531703892"/>
      <w:bookmarkEnd w:id="21"/>
      <w:r w:rsidRPr="00B02CA3">
        <w:rPr>
          <w:rFonts w:ascii="Arial" w:hAnsi="Arial" w:cs="Arial"/>
          <w:lang w:val="en"/>
        </w:rPr>
        <w:t xml:space="preserve">The following integrase (IN) mutations emerged after passaging wild type HIV-1 (with T124A polymorphism) in the presence of </w:t>
      </w:r>
      <w:proofErr w:type="spellStart"/>
      <w:r w:rsidRPr="00B02CA3">
        <w:rPr>
          <w:rFonts w:ascii="Arial" w:hAnsi="Arial" w:cs="Arial"/>
          <w:lang w:val="en"/>
        </w:rPr>
        <w:t>cabotegravir</w:t>
      </w:r>
      <w:proofErr w:type="spellEnd"/>
      <w:r w:rsidRPr="00B02CA3">
        <w:rPr>
          <w:rFonts w:ascii="Arial" w:hAnsi="Arial" w:cs="Arial"/>
          <w:lang w:val="en"/>
        </w:rPr>
        <w:t xml:space="preserve">: Q146L (fold-change range 1.3-4.6), S153Y (fold-change range 3.6-8.4), and I162M (fold-change = 2.8). As noted above, the detection of T124A is selection of a pre-existing minority variant that does not have differential susceptibility to </w:t>
      </w:r>
      <w:proofErr w:type="spellStart"/>
      <w:r w:rsidRPr="00B02CA3">
        <w:rPr>
          <w:rFonts w:ascii="Arial" w:hAnsi="Arial" w:cs="Arial"/>
          <w:lang w:val="en"/>
        </w:rPr>
        <w:t>cabotegravir</w:t>
      </w:r>
      <w:proofErr w:type="spellEnd"/>
      <w:r w:rsidRPr="00B02CA3">
        <w:rPr>
          <w:rFonts w:ascii="Arial" w:hAnsi="Arial" w:cs="Arial"/>
          <w:lang w:val="en"/>
        </w:rPr>
        <w:t xml:space="preserve">. </w:t>
      </w:r>
      <w:bookmarkEnd w:id="22"/>
      <w:r w:rsidRPr="00B02CA3">
        <w:rPr>
          <w:rFonts w:ascii="Arial" w:hAnsi="Arial" w:cs="Arial"/>
          <w:lang w:val="en"/>
        </w:rPr>
        <w:t>No amino acid substitutions in the integrase region were selected when passaging the wild-type HIV-1 NL</w:t>
      </w:r>
      <w:r w:rsidRPr="00B02CA3">
        <w:rPr>
          <w:rFonts w:ascii="Arial" w:hAnsi="Arial" w:cs="Arial"/>
          <w:lang w:val="en"/>
        </w:rPr>
        <w:noBreakHyphen/>
        <w:t>432 in the presence of 6.4 </w:t>
      </w:r>
      <w:proofErr w:type="spellStart"/>
      <w:r w:rsidRPr="00B02CA3">
        <w:rPr>
          <w:rFonts w:ascii="Arial" w:hAnsi="Arial" w:cs="Arial"/>
          <w:lang w:val="en"/>
        </w:rPr>
        <w:t>nM</w:t>
      </w:r>
      <w:proofErr w:type="spellEnd"/>
      <w:r w:rsidRPr="00B02CA3">
        <w:rPr>
          <w:rFonts w:ascii="Arial" w:hAnsi="Arial" w:cs="Arial"/>
          <w:lang w:val="en"/>
        </w:rPr>
        <w:t xml:space="preserve"> of </w:t>
      </w:r>
      <w:proofErr w:type="spellStart"/>
      <w:r w:rsidRPr="00B02CA3">
        <w:rPr>
          <w:rFonts w:ascii="Arial" w:hAnsi="Arial" w:cs="Arial"/>
          <w:lang w:val="en"/>
        </w:rPr>
        <w:t>cabotegravir</w:t>
      </w:r>
      <w:proofErr w:type="spellEnd"/>
      <w:r w:rsidRPr="00B02CA3">
        <w:rPr>
          <w:rFonts w:ascii="Arial" w:hAnsi="Arial" w:cs="Arial"/>
          <w:lang w:val="en"/>
        </w:rPr>
        <w:t xml:space="preserve"> through Day 56.</w:t>
      </w:r>
    </w:p>
    <w:p w14:paraId="2E96D102" w14:textId="77777777" w:rsidR="00DB26E3" w:rsidRDefault="009F2A74" w:rsidP="00306A18">
      <w:pPr>
        <w:autoSpaceDE w:val="0"/>
        <w:autoSpaceDN w:val="0"/>
        <w:adjustRightInd w:val="0"/>
        <w:rPr>
          <w:rFonts w:ascii="Arial" w:hAnsi="Arial" w:cs="Arial"/>
          <w:lang w:val="en"/>
        </w:rPr>
      </w:pPr>
      <w:r w:rsidRPr="009F2A74">
        <w:rPr>
          <w:rFonts w:ascii="Arial" w:hAnsi="Arial" w:cs="Arial"/>
          <w:lang w:val="en"/>
        </w:rPr>
        <w:t>Among the known integrase resistant mutants tested, mild resistance (≥ 5-fold but &lt;10-fold resistance) was seen with E92Q/N155H, G118R, G140S/Q148H, Y143H/N155H, Q148K, Q148R, T66K/L74M and G140S/Q148K. High resistance (≥10-fold resistance) was seen with E138K/Q148K, V72I/E138K/Q148K, E138K/Q148R, E138K/G140S/Q148R, L74M/V75A/G140S/Q148H, G140C/Q148R, Q148R/N155H and G140S/Q148R.</w:t>
      </w:r>
    </w:p>
    <w:p w14:paraId="4A30881A" w14:textId="4966F60C" w:rsidR="00B02CA3" w:rsidRPr="00B02CA3" w:rsidRDefault="00B02CA3" w:rsidP="00306A18">
      <w:pPr>
        <w:autoSpaceDE w:val="0"/>
        <w:autoSpaceDN w:val="0"/>
        <w:adjustRightInd w:val="0"/>
        <w:rPr>
          <w:rFonts w:ascii="Arial" w:hAnsi="Arial" w:cs="Arial"/>
          <w:lang w:val="en"/>
        </w:rPr>
      </w:pPr>
      <w:r w:rsidRPr="00D65787">
        <w:rPr>
          <w:rFonts w:ascii="Arial" w:eastAsiaTheme="majorEastAsia" w:hAnsi="Arial" w:cs="Arial"/>
          <w:b/>
          <w:bCs/>
          <w:i/>
          <w:iCs/>
        </w:rPr>
        <w:t>Resistance in vivo</w:t>
      </w:r>
      <w:r w:rsidRPr="00D65787">
        <w:rPr>
          <w:rFonts w:ascii="Arial" w:eastAsiaTheme="majorEastAsia" w:hAnsi="Arial" w:cs="Arial"/>
          <w:b/>
          <w:bCs/>
          <w:i/>
          <w:iCs/>
        </w:rPr>
        <w:br/>
      </w:r>
      <w:bookmarkStart w:id="23" w:name="_Hlk18415652"/>
      <w:r w:rsidRPr="00B02CA3">
        <w:rPr>
          <w:rFonts w:ascii="Arial" w:hAnsi="Arial" w:cs="Arial"/>
          <w:lang w:val="en"/>
        </w:rPr>
        <w:t xml:space="preserve">The number of subjects who met Confirmed </w:t>
      </w:r>
      <w:proofErr w:type="spellStart"/>
      <w:r w:rsidRPr="00B02CA3">
        <w:rPr>
          <w:rFonts w:ascii="Arial" w:hAnsi="Arial" w:cs="Arial"/>
          <w:lang w:val="en"/>
        </w:rPr>
        <w:t>Virologic</w:t>
      </w:r>
      <w:proofErr w:type="spellEnd"/>
      <w:r w:rsidRPr="00B02CA3">
        <w:rPr>
          <w:rFonts w:ascii="Arial" w:hAnsi="Arial" w:cs="Arial"/>
          <w:lang w:val="en"/>
        </w:rPr>
        <w:t xml:space="preserve"> Failure (CVF) criteria was low across the pooled FLAIR and ATLAS </w:t>
      </w:r>
      <w:r w:rsidR="00EC1C0B">
        <w:rPr>
          <w:rFonts w:ascii="Arial" w:hAnsi="Arial" w:cs="Arial"/>
          <w:lang w:val="en"/>
        </w:rPr>
        <w:t>studies</w:t>
      </w:r>
      <w:r w:rsidRPr="00B02CA3">
        <w:rPr>
          <w:rFonts w:ascii="Arial" w:hAnsi="Arial" w:cs="Arial"/>
          <w:lang w:val="en"/>
        </w:rPr>
        <w:t xml:space="preserve">. In the pooled analysis, there were 7 CVFs on </w:t>
      </w:r>
      <w:proofErr w:type="spellStart"/>
      <w:r w:rsidRPr="00B02CA3">
        <w:rPr>
          <w:rFonts w:ascii="Arial" w:hAnsi="Arial" w:cs="Arial"/>
          <w:lang w:val="en"/>
        </w:rPr>
        <w:t>cabotegravir</w:t>
      </w:r>
      <w:proofErr w:type="spellEnd"/>
      <w:r w:rsidRPr="00B02CA3">
        <w:rPr>
          <w:rFonts w:ascii="Arial" w:hAnsi="Arial" w:cs="Arial"/>
          <w:lang w:val="en"/>
        </w:rPr>
        <w:t xml:space="preserve"> plus </w:t>
      </w:r>
      <w:proofErr w:type="spellStart"/>
      <w:r w:rsidRPr="00B02CA3">
        <w:rPr>
          <w:rFonts w:ascii="Arial" w:hAnsi="Arial" w:cs="Arial"/>
          <w:lang w:val="en"/>
        </w:rPr>
        <w:t>rilpivirine</w:t>
      </w:r>
      <w:proofErr w:type="spellEnd"/>
      <w:r w:rsidRPr="00B02CA3">
        <w:rPr>
          <w:rFonts w:ascii="Arial" w:hAnsi="Arial" w:cs="Arial"/>
          <w:lang w:val="en"/>
        </w:rPr>
        <w:t xml:space="preserve"> (7/591, 1.2%) and 7 CVFs on current antiretroviral regimen (7/591, 1.2%). The </w:t>
      </w:r>
      <w:r w:rsidR="00D25AFD">
        <w:rPr>
          <w:rFonts w:ascii="Arial" w:hAnsi="Arial" w:cs="Arial"/>
          <w:lang w:val="en"/>
        </w:rPr>
        <w:t>3</w:t>
      </w:r>
      <w:r w:rsidRPr="00B02CA3">
        <w:rPr>
          <w:rFonts w:ascii="Arial" w:hAnsi="Arial" w:cs="Arial"/>
          <w:lang w:val="en"/>
        </w:rPr>
        <w:t xml:space="preserve"> CVFs on </w:t>
      </w:r>
      <w:proofErr w:type="spellStart"/>
      <w:r w:rsidRPr="00B02CA3">
        <w:rPr>
          <w:rFonts w:ascii="Arial" w:hAnsi="Arial" w:cs="Arial"/>
          <w:lang w:val="en"/>
        </w:rPr>
        <w:t>cabotegravir</w:t>
      </w:r>
      <w:proofErr w:type="spellEnd"/>
      <w:r w:rsidRPr="00B02CA3">
        <w:rPr>
          <w:rFonts w:ascii="Arial" w:hAnsi="Arial" w:cs="Arial"/>
          <w:lang w:val="en"/>
        </w:rPr>
        <w:t xml:space="preserve"> plus </w:t>
      </w:r>
      <w:proofErr w:type="spellStart"/>
      <w:r w:rsidRPr="00B02CA3">
        <w:rPr>
          <w:rFonts w:ascii="Arial" w:hAnsi="Arial" w:cs="Arial"/>
          <w:lang w:val="en"/>
        </w:rPr>
        <w:t>rilpivirine</w:t>
      </w:r>
      <w:proofErr w:type="spellEnd"/>
      <w:r w:rsidRPr="00B02CA3">
        <w:rPr>
          <w:rFonts w:ascii="Arial" w:hAnsi="Arial" w:cs="Arial"/>
          <w:lang w:val="en"/>
        </w:rPr>
        <w:t xml:space="preserve"> in FLAIR with resistance data had Subtype A1</w:t>
      </w:r>
      <w:r w:rsidR="00D25AFD">
        <w:rPr>
          <w:rFonts w:ascii="Arial" w:hAnsi="Arial" w:cs="Arial"/>
          <w:lang w:val="en"/>
        </w:rPr>
        <w:t xml:space="preserve"> </w:t>
      </w:r>
      <w:r w:rsidR="00D25AFD" w:rsidRPr="00D25AFD">
        <w:rPr>
          <w:rFonts w:ascii="Arial" w:hAnsi="Arial" w:cs="Arial"/>
          <w:lang w:val="en"/>
        </w:rPr>
        <w:t>with IN substitution L74I (which by itself does not cause</w:t>
      </w:r>
      <w:r w:rsidR="00D25AFD">
        <w:rPr>
          <w:rFonts w:ascii="Arial" w:hAnsi="Arial" w:cs="Arial"/>
          <w:lang w:val="en"/>
        </w:rPr>
        <w:t xml:space="preserve"> </w:t>
      </w:r>
      <w:r w:rsidR="00D25AFD" w:rsidRPr="00D25AFD">
        <w:rPr>
          <w:rFonts w:ascii="Arial" w:hAnsi="Arial" w:cs="Arial"/>
          <w:lang w:val="en"/>
        </w:rPr>
        <w:t xml:space="preserve">resistance to any INI) </w:t>
      </w:r>
      <w:r w:rsidR="00D25AFD" w:rsidRPr="00D25AFD">
        <w:rPr>
          <w:rFonts w:ascii="Arial" w:hAnsi="Arial" w:cs="Arial"/>
          <w:lang w:val="en"/>
        </w:rPr>
        <w:lastRenderedPageBreak/>
        <w:t xml:space="preserve">detected at </w:t>
      </w:r>
      <w:r w:rsidR="00D25AFD">
        <w:rPr>
          <w:rFonts w:ascii="Arial" w:hAnsi="Arial" w:cs="Arial"/>
          <w:lang w:val="en"/>
        </w:rPr>
        <w:t>b</w:t>
      </w:r>
      <w:r w:rsidR="00D25AFD" w:rsidRPr="00D25AFD">
        <w:rPr>
          <w:rFonts w:ascii="Arial" w:hAnsi="Arial" w:cs="Arial"/>
          <w:lang w:val="en"/>
        </w:rPr>
        <w:t xml:space="preserve">aseline and suspected </w:t>
      </w:r>
      <w:proofErr w:type="spellStart"/>
      <w:r w:rsidR="00D25AFD" w:rsidRPr="00D25AFD">
        <w:rPr>
          <w:rFonts w:ascii="Arial" w:hAnsi="Arial" w:cs="Arial"/>
          <w:lang w:val="en"/>
        </w:rPr>
        <w:t>virologic</w:t>
      </w:r>
      <w:proofErr w:type="spellEnd"/>
      <w:r w:rsidR="00D25AFD" w:rsidRPr="00D25AFD">
        <w:rPr>
          <w:rFonts w:ascii="Arial" w:hAnsi="Arial" w:cs="Arial"/>
          <w:lang w:val="en"/>
        </w:rPr>
        <w:t xml:space="preserve"> failure (SVF).</w:t>
      </w:r>
      <w:r w:rsidR="00D25AFD" w:rsidRPr="00EA441B">
        <w:rPr>
          <w:rFonts w:ascii="Arial" w:hAnsi="Arial" w:cs="Arial"/>
          <w:lang w:val="en"/>
        </w:rPr>
        <w:t xml:space="preserve"> </w:t>
      </w:r>
      <w:r w:rsidRPr="00B02CA3">
        <w:rPr>
          <w:rFonts w:ascii="Arial" w:hAnsi="Arial" w:cs="Arial"/>
          <w:lang w:val="en"/>
        </w:rPr>
        <w:t xml:space="preserve">In addition, 2 of the 3 CVFs had treatment-emergent integrase inhibitor resistance associated substitution Q148R while </w:t>
      </w:r>
      <w:r w:rsidR="00D25AFD">
        <w:rPr>
          <w:rFonts w:ascii="Arial" w:hAnsi="Arial" w:cs="Arial"/>
          <w:lang w:val="en"/>
        </w:rPr>
        <w:t>1</w:t>
      </w:r>
      <w:r w:rsidRPr="00B02CA3">
        <w:rPr>
          <w:rFonts w:ascii="Arial" w:hAnsi="Arial" w:cs="Arial"/>
          <w:lang w:val="en"/>
        </w:rPr>
        <w:t xml:space="preserve"> of the </w:t>
      </w:r>
      <w:r w:rsidR="00D25AFD">
        <w:rPr>
          <w:rFonts w:ascii="Arial" w:hAnsi="Arial" w:cs="Arial"/>
          <w:lang w:val="en"/>
        </w:rPr>
        <w:t>3</w:t>
      </w:r>
      <w:r w:rsidRPr="00B02CA3">
        <w:rPr>
          <w:rFonts w:ascii="Arial" w:hAnsi="Arial" w:cs="Arial"/>
          <w:lang w:val="en"/>
        </w:rPr>
        <w:t xml:space="preserve"> had G140R with reduced phenotypic susceptibility to </w:t>
      </w:r>
      <w:proofErr w:type="spellStart"/>
      <w:r w:rsidRPr="00B02CA3">
        <w:rPr>
          <w:rFonts w:ascii="Arial" w:hAnsi="Arial" w:cs="Arial"/>
          <w:lang w:val="en"/>
        </w:rPr>
        <w:t>cabotegravir</w:t>
      </w:r>
      <w:proofErr w:type="spellEnd"/>
      <w:r w:rsidRPr="00B02CA3">
        <w:rPr>
          <w:rFonts w:ascii="Arial" w:hAnsi="Arial" w:cs="Arial"/>
          <w:lang w:val="en"/>
        </w:rPr>
        <w:t xml:space="preserve">. All 3 CVFs carried one </w:t>
      </w:r>
      <w:proofErr w:type="spellStart"/>
      <w:r w:rsidRPr="00B02CA3">
        <w:rPr>
          <w:rFonts w:ascii="Arial" w:hAnsi="Arial" w:cs="Arial"/>
          <w:lang w:val="en"/>
        </w:rPr>
        <w:t>rilpivirine</w:t>
      </w:r>
      <w:proofErr w:type="spellEnd"/>
      <w:r w:rsidRPr="00B02CA3">
        <w:rPr>
          <w:rFonts w:ascii="Arial" w:hAnsi="Arial" w:cs="Arial"/>
          <w:lang w:val="en"/>
        </w:rPr>
        <w:t xml:space="preserve"> resistance-associated substitution: K101E, E138E/A/K/T or E138K, and </w:t>
      </w:r>
      <w:r w:rsidR="00D25AFD">
        <w:rPr>
          <w:rFonts w:ascii="Arial" w:hAnsi="Arial" w:cs="Arial"/>
          <w:lang w:val="en"/>
        </w:rPr>
        <w:t>2</w:t>
      </w:r>
      <w:r w:rsidRPr="00B02CA3">
        <w:rPr>
          <w:rFonts w:ascii="Arial" w:hAnsi="Arial" w:cs="Arial"/>
          <w:lang w:val="en"/>
        </w:rPr>
        <w:t xml:space="preserve"> of the </w:t>
      </w:r>
      <w:r w:rsidR="00D25AFD">
        <w:rPr>
          <w:rFonts w:ascii="Arial" w:hAnsi="Arial" w:cs="Arial"/>
          <w:lang w:val="en"/>
        </w:rPr>
        <w:t>3</w:t>
      </w:r>
      <w:r w:rsidRPr="00B02CA3">
        <w:rPr>
          <w:rFonts w:ascii="Arial" w:hAnsi="Arial" w:cs="Arial"/>
          <w:lang w:val="en"/>
        </w:rPr>
        <w:t xml:space="preserve"> showed reduced phenotypic susceptibility to </w:t>
      </w:r>
      <w:proofErr w:type="spellStart"/>
      <w:r w:rsidRPr="00B02CA3">
        <w:rPr>
          <w:rFonts w:ascii="Arial" w:hAnsi="Arial" w:cs="Arial"/>
          <w:lang w:val="en"/>
        </w:rPr>
        <w:t>rilpivirine</w:t>
      </w:r>
      <w:proofErr w:type="spellEnd"/>
      <w:r w:rsidRPr="00B02CA3">
        <w:rPr>
          <w:rFonts w:ascii="Arial" w:hAnsi="Arial" w:cs="Arial"/>
          <w:lang w:val="en"/>
        </w:rPr>
        <w:t xml:space="preserve">. The 3 CVFs in ATLAS had subtype A, A1 and AG. </w:t>
      </w:r>
      <w:r w:rsidR="00D25AFD" w:rsidRPr="00B62BD3">
        <w:rPr>
          <w:rFonts w:ascii="Arial" w:hAnsi="Arial" w:cs="Arial"/>
          <w:lang w:val="en"/>
        </w:rPr>
        <w:t>The 2 CVFs with subtype A and A1 both carried IN</w:t>
      </w:r>
      <w:r w:rsidR="00B62BD3" w:rsidRPr="00B62BD3">
        <w:rPr>
          <w:rFonts w:ascii="Arial" w:hAnsi="Arial" w:cs="Arial"/>
          <w:lang w:val="en"/>
        </w:rPr>
        <w:t xml:space="preserve"> </w:t>
      </w:r>
      <w:r w:rsidR="00D25AFD" w:rsidRPr="00B62BD3">
        <w:rPr>
          <w:rFonts w:ascii="Arial" w:hAnsi="Arial" w:cs="Arial"/>
          <w:lang w:val="en"/>
        </w:rPr>
        <w:t xml:space="preserve">substitution L74I  in </w:t>
      </w:r>
      <w:r w:rsidR="00AF5F12">
        <w:rPr>
          <w:rFonts w:ascii="Arial" w:hAnsi="Arial" w:cs="Arial"/>
          <w:lang w:val="en"/>
        </w:rPr>
        <w:t>b</w:t>
      </w:r>
      <w:r w:rsidR="002A1CC4">
        <w:rPr>
          <w:rFonts w:ascii="Arial" w:hAnsi="Arial" w:cs="Arial"/>
          <w:lang w:val="en"/>
        </w:rPr>
        <w:t xml:space="preserve">aseline </w:t>
      </w:r>
      <w:r w:rsidR="00D25AFD" w:rsidRPr="00B62BD3">
        <w:rPr>
          <w:rFonts w:ascii="Arial" w:hAnsi="Arial" w:cs="Arial"/>
          <w:lang w:val="en"/>
        </w:rPr>
        <w:t xml:space="preserve">PBMC HIV-1 DNA and at </w:t>
      </w:r>
      <w:r w:rsidR="002A1CC4">
        <w:rPr>
          <w:rFonts w:ascii="Arial" w:hAnsi="Arial" w:cs="Arial"/>
          <w:lang w:val="en"/>
        </w:rPr>
        <w:t>S</w:t>
      </w:r>
      <w:r w:rsidR="00D25AFD" w:rsidRPr="00B62BD3">
        <w:rPr>
          <w:rFonts w:ascii="Arial" w:hAnsi="Arial" w:cs="Arial"/>
          <w:lang w:val="en"/>
        </w:rPr>
        <w:t>VF in HIV-1 RNA. In addition, 1</w:t>
      </w:r>
      <w:r w:rsidRPr="00B02CA3">
        <w:rPr>
          <w:rFonts w:ascii="Arial" w:hAnsi="Arial" w:cs="Arial"/>
          <w:lang w:val="en"/>
        </w:rPr>
        <w:t xml:space="preserve"> of the </w:t>
      </w:r>
      <w:r w:rsidR="00D25AFD">
        <w:rPr>
          <w:rFonts w:ascii="Arial" w:hAnsi="Arial" w:cs="Arial"/>
          <w:lang w:val="en"/>
        </w:rPr>
        <w:t>3</w:t>
      </w:r>
      <w:r w:rsidRPr="00B02CA3">
        <w:rPr>
          <w:rFonts w:ascii="Arial" w:hAnsi="Arial" w:cs="Arial"/>
          <w:lang w:val="en"/>
        </w:rPr>
        <w:t xml:space="preserve"> CVFs carried the INI resistance-associated substitution N155H</w:t>
      </w:r>
      <w:r w:rsidR="002A1CC4">
        <w:rPr>
          <w:rFonts w:ascii="Arial" w:hAnsi="Arial" w:cs="Arial"/>
          <w:lang w:val="en"/>
        </w:rPr>
        <w:t xml:space="preserve"> at SVF</w:t>
      </w:r>
      <w:r w:rsidR="00B62BD3">
        <w:rPr>
          <w:rFonts w:ascii="Arial" w:hAnsi="Arial" w:cs="Arial"/>
          <w:lang w:val="en"/>
        </w:rPr>
        <w:t xml:space="preserve">. </w:t>
      </w:r>
      <w:r w:rsidRPr="00B02CA3">
        <w:rPr>
          <w:rFonts w:ascii="Arial" w:hAnsi="Arial" w:cs="Arial"/>
          <w:lang w:val="en"/>
        </w:rPr>
        <w:t xml:space="preserve">All </w:t>
      </w:r>
      <w:r w:rsidR="00B62BD3">
        <w:rPr>
          <w:rFonts w:ascii="Arial" w:hAnsi="Arial" w:cs="Arial"/>
          <w:lang w:val="en"/>
        </w:rPr>
        <w:t>3</w:t>
      </w:r>
      <w:r w:rsidRPr="00B02CA3">
        <w:rPr>
          <w:rFonts w:ascii="Arial" w:hAnsi="Arial" w:cs="Arial"/>
          <w:lang w:val="en"/>
        </w:rPr>
        <w:t xml:space="preserve"> CVFs </w:t>
      </w:r>
      <w:r w:rsidR="00B62BD3">
        <w:rPr>
          <w:rFonts w:ascii="Arial" w:hAnsi="Arial" w:cs="Arial"/>
          <w:lang w:val="en"/>
        </w:rPr>
        <w:t xml:space="preserve">had treatment-emergent </w:t>
      </w:r>
      <w:proofErr w:type="spellStart"/>
      <w:r w:rsidRPr="00B02CA3">
        <w:rPr>
          <w:rFonts w:ascii="Arial" w:hAnsi="Arial" w:cs="Arial"/>
          <w:lang w:val="en"/>
        </w:rPr>
        <w:t>rilpivirine</w:t>
      </w:r>
      <w:proofErr w:type="spellEnd"/>
      <w:r w:rsidRPr="00B02CA3">
        <w:rPr>
          <w:rFonts w:ascii="Arial" w:hAnsi="Arial" w:cs="Arial"/>
          <w:lang w:val="en"/>
        </w:rPr>
        <w:t xml:space="preserve"> resistance-associated substitution: E138A, E138E/K or E138K, and showed reduced phenotypic susceptibility to </w:t>
      </w:r>
      <w:proofErr w:type="spellStart"/>
      <w:r w:rsidR="00B62BD3">
        <w:rPr>
          <w:rFonts w:ascii="Arial" w:hAnsi="Arial" w:cs="Arial"/>
          <w:lang w:val="en"/>
        </w:rPr>
        <w:t>rilpivirine</w:t>
      </w:r>
      <w:proofErr w:type="spellEnd"/>
      <w:r w:rsidR="00715262">
        <w:rPr>
          <w:rFonts w:ascii="Arial" w:hAnsi="Arial" w:cs="Arial"/>
          <w:lang w:val="en"/>
        </w:rPr>
        <w:t xml:space="preserve"> while 1 of the 3 also showed reduced phenotypic susceptibility to </w:t>
      </w:r>
      <w:proofErr w:type="spellStart"/>
      <w:r w:rsidR="00715262">
        <w:rPr>
          <w:rFonts w:ascii="Arial" w:hAnsi="Arial" w:cs="Arial"/>
          <w:lang w:val="en"/>
        </w:rPr>
        <w:t>cabotegravir</w:t>
      </w:r>
      <w:proofErr w:type="spellEnd"/>
      <w:r w:rsidRPr="00B02CA3">
        <w:rPr>
          <w:rFonts w:ascii="Arial" w:hAnsi="Arial" w:cs="Arial"/>
          <w:lang w:val="en"/>
        </w:rPr>
        <w:t xml:space="preserve">. In </w:t>
      </w:r>
      <w:r w:rsidR="00715262">
        <w:rPr>
          <w:rFonts w:ascii="Arial" w:hAnsi="Arial" w:cs="Arial"/>
          <w:lang w:val="en"/>
        </w:rPr>
        <w:t>2</w:t>
      </w:r>
      <w:r w:rsidRPr="00B02CA3">
        <w:rPr>
          <w:rFonts w:ascii="Arial" w:hAnsi="Arial" w:cs="Arial"/>
          <w:lang w:val="en"/>
        </w:rPr>
        <w:t xml:space="preserve"> of these </w:t>
      </w:r>
      <w:r w:rsidR="00715262">
        <w:rPr>
          <w:rFonts w:ascii="Arial" w:hAnsi="Arial" w:cs="Arial"/>
          <w:lang w:val="en"/>
        </w:rPr>
        <w:t>3</w:t>
      </w:r>
      <w:r w:rsidRPr="00B02CA3">
        <w:rPr>
          <w:rFonts w:ascii="Arial" w:hAnsi="Arial" w:cs="Arial"/>
          <w:lang w:val="en"/>
        </w:rPr>
        <w:t xml:space="preserve"> CVFs, the </w:t>
      </w:r>
      <w:proofErr w:type="spellStart"/>
      <w:r w:rsidRPr="00B02CA3">
        <w:rPr>
          <w:rFonts w:ascii="Arial" w:hAnsi="Arial" w:cs="Arial"/>
          <w:lang w:val="en"/>
        </w:rPr>
        <w:t>rilpivirine</w:t>
      </w:r>
      <w:proofErr w:type="spellEnd"/>
      <w:r w:rsidRPr="00B02CA3">
        <w:rPr>
          <w:rFonts w:ascii="Arial" w:hAnsi="Arial" w:cs="Arial"/>
          <w:lang w:val="en"/>
        </w:rPr>
        <w:t xml:space="preserve"> resistance-associated substitutions observed at failure were also observed at </w:t>
      </w:r>
      <w:r w:rsidR="00AF5F12">
        <w:rPr>
          <w:rFonts w:ascii="Arial" w:hAnsi="Arial" w:cs="Arial"/>
          <w:lang w:val="en"/>
        </w:rPr>
        <w:t>b</w:t>
      </w:r>
      <w:r w:rsidR="002A1CC4">
        <w:rPr>
          <w:rFonts w:ascii="Arial" w:hAnsi="Arial" w:cs="Arial"/>
          <w:lang w:val="en"/>
        </w:rPr>
        <w:t>aseline</w:t>
      </w:r>
      <w:r w:rsidRPr="00B02CA3">
        <w:rPr>
          <w:rFonts w:ascii="Arial" w:hAnsi="Arial" w:cs="Arial"/>
          <w:lang w:val="en"/>
        </w:rPr>
        <w:t xml:space="preserve"> in PBMC HIV-1 DNA. The seventh CVF (FLAIR) never received an injection.</w:t>
      </w:r>
    </w:p>
    <w:p w14:paraId="42E21B12" w14:textId="304D417E" w:rsidR="00B02CA3" w:rsidRPr="002A1CC4" w:rsidRDefault="00B02CA3" w:rsidP="000D668F">
      <w:pPr>
        <w:rPr>
          <w:rFonts w:ascii="Arial" w:hAnsi="Arial" w:cs="Arial"/>
          <w:lang w:val="en"/>
        </w:rPr>
      </w:pPr>
      <w:r w:rsidRPr="00B02CA3">
        <w:rPr>
          <w:rFonts w:ascii="Arial" w:hAnsi="Arial" w:cs="Arial"/>
          <w:lang w:val="en"/>
        </w:rPr>
        <w:t xml:space="preserve">The substitutions associated with resistance to long-acting </w:t>
      </w:r>
      <w:proofErr w:type="spellStart"/>
      <w:r w:rsidRPr="00B02CA3">
        <w:rPr>
          <w:rFonts w:ascii="Arial" w:hAnsi="Arial" w:cs="Arial"/>
          <w:lang w:val="en"/>
        </w:rPr>
        <w:t>cabotegravir</w:t>
      </w:r>
      <w:proofErr w:type="spellEnd"/>
      <w:r w:rsidRPr="00B02CA3">
        <w:rPr>
          <w:rFonts w:ascii="Arial" w:hAnsi="Arial" w:cs="Arial"/>
          <w:lang w:val="en"/>
        </w:rPr>
        <w:t xml:space="preserve"> injection, observed in the pooled ATLAS and FLAIR </w:t>
      </w:r>
      <w:r w:rsidR="00EC1C0B">
        <w:rPr>
          <w:rFonts w:ascii="Arial" w:hAnsi="Arial" w:cs="Arial"/>
          <w:lang w:val="en"/>
        </w:rPr>
        <w:t>studies</w:t>
      </w:r>
      <w:r w:rsidRPr="00B02CA3">
        <w:rPr>
          <w:rFonts w:ascii="Arial" w:hAnsi="Arial" w:cs="Arial"/>
          <w:lang w:val="en"/>
        </w:rPr>
        <w:t xml:space="preserve"> were G140R (n=1), Q148R (n=2), and N155H (n=1</w:t>
      </w:r>
      <w:r w:rsidRPr="002A1CC4">
        <w:rPr>
          <w:rFonts w:ascii="Arial" w:hAnsi="Arial" w:cs="Arial"/>
          <w:lang w:val="en"/>
        </w:rPr>
        <w:t>).</w:t>
      </w:r>
    </w:p>
    <w:p w14:paraId="3F9D2F5A" w14:textId="2DE80054" w:rsidR="002A1CC4" w:rsidRPr="0090328A" w:rsidRDefault="002A1CC4" w:rsidP="002A1CC4">
      <w:pPr>
        <w:rPr>
          <w:rFonts w:ascii="Arial" w:hAnsi="Arial" w:cs="Arial"/>
          <w:color w:val="000000"/>
        </w:rPr>
      </w:pPr>
      <w:r w:rsidRPr="0090328A">
        <w:rPr>
          <w:rFonts w:ascii="Arial" w:hAnsi="Arial" w:cs="Arial"/>
          <w:color w:val="000000"/>
          <w:szCs w:val="24"/>
        </w:rPr>
        <w:t xml:space="preserve">In the ATLAS-2M study 10 subjects met CVF criteria through Week 48: 8 subjects (1.5%) in the </w:t>
      </w:r>
      <w:r w:rsidR="0090328A">
        <w:rPr>
          <w:rFonts w:ascii="Arial" w:hAnsi="Arial" w:cs="Arial"/>
          <w:color w:val="000000"/>
          <w:szCs w:val="24"/>
        </w:rPr>
        <w:t>every 2 month dose</w:t>
      </w:r>
      <w:r w:rsidRPr="0090328A">
        <w:rPr>
          <w:rFonts w:ascii="Arial" w:hAnsi="Arial" w:cs="Arial"/>
          <w:color w:val="000000"/>
          <w:szCs w:val="24"/>
        </w:rPr>
        <w:t xml:space="preserve"> arm and 2 subjects (0.4%) in the </w:t>
      </w:r>
      <w:r w:rsidR="0090328A">
        <w:rPr>
          <w:rFonts w:ascii="Arial" w:hAnsi="Arial" w:cs="Arial"/>
          <w:color w:val="000000"/>
          <w:szCs w:val="24"/>
        </w:rPr>
        <w:t>monthly dose</w:t>
      </w:r>
      <w:r w:rsidRPr="0090328A">
        <w:rPr>
          <w:rFonts w:ascii="Arial" w:hAnsi="Arial" w:cs="Arial"/>
          <w:color w:val="000000"/>
          <w:szCs w:val="24"/>
        </w:rPr>
        <w:t xml:space="preserve"> arm.  Eight subjects met CVF criteria at or before the Week 24 </w:t>
      </w:r>
      <w:proofErr w:type="spellStart"/>
      <w:r w:rsidRPr="0090328A">
        <w:rPr>
          <w:rFonts w:ascii="Arial" w:hAnsi="Arial" w:cs="Arial"/>
          <w:color w:val="000000"/>
          <w:szCs w:val="24"/>
        </w:rPr>
        <w:t>timepoint</w:t>
      </w:r>
      <w:proofErr w:type="spellEnd"/>
      <w:r w:rsidRPr="0090328A">
        <w:rPr>
          <w:rFonts w:ascii="Arial" w:hAnsi="Arial" w:cs="Arial"/>
          <w:color w:val="000000"/>
          <w:szCs w:val="24"/>
        </w:rPr>
        <w:t>.</w:t>
      </w:r>
    </w:p>
    <w:p w14:paraId="5AD4CFB6" w14:textId="35C9B774" w:rsidR="002A1CC4" w:rsidRPr="0090328A" w:rsidRDefault="002A1CC4" w:rsidP="002A1CC4">
      <w:pPr>
        <w:rPr>
          <w:rFonts w:ascii="Arial" w:hAnsi="Arial" w:cs="Arial"/>
          <w:color w:val="000000"/>
        </w:rPr>
      </w:pPr>
      <w:r w:rsidRPr="0090328A">
        <w:rPr>
          <w:rFonts w:ascii="Arial" w:hAnsi="Arial" w:cs="Arial"/>
          <w:color w:val="000000"/>
          <w:szCs w:val="24"/>
        </w:rPr>
        <w:t xml:space="preserve">At </w:t>
      </w:r>
      <w:r w:rsidR="00AF5F12">
        <w:rPr>
          <w:rFonts w:ascii="Arial" w:hAnsi="Arial" w:cs="Arial"/>
          <w:color w:val="000000"/>
          <w:szCs w:val="24"/>
        </w:rPr>
        <w:t>b</w:t>
      </w:r>
      <w:r w:rsidRPr="0090328A">
        <w:rPr>
          <w:rFonts w:ascii="Arial" w:hAnsi="Arial" w:cs="Arial"/>
          <w:color w:val="000000"/>
          <w:szCs w:val="24"/>
        </w:rPr>
        <w:t xml:space="preserve">aseline in the </w:t>
      </w:r>
      <w:r w:rsidR="0090328A">
        <w:rPr>
          <w:rFonts w:ascii="Arial" w:hAnsi="Arial" w:cs="Arial"/>
          <w:color w:val="000000"/>
          <w:szCs w:val="24"/>
        </w:rPr>
        <w:t>every 2 month dose</w:t>
      </w:r>
      <w:r w:rsidRPr="0090328A">
        <w:rPr>
          <w:rFonts w:ascii="Arial" w:hAnsi="Arial" w:cs="Arial"/>
          <w:color w:val="000000"/>
          <w:szCs w:val="24"/>
        </w:rPr>
        <w:t xml:space="preserve"> arm, 5 subjects had RPV resistance-associated mutations of Y181Y/C + H221H/Y, Y188Y/F/H/L, Y188L, E138A or E138E/A and 1 subject contained </w:t>
      </w:r>
      <w:proofErr w:type="spellStart"/>
      <w:r w:rsidRPr="0090328A">
        <w:rPr>
          <w:rFonts w:ascii="Arial" w:hAnsi="Arial" w:cs="Arial"/>
          <w:color w:val="000000"/>
          <w:szCs w:val="24"/>
        </w:rPr>
        <w:t>cabotegravir</w:t>
      </w:r>
      <w:proofErr w:type="spellEnd"/>
      <w:r w:rsidRPr="0090328A">
        <w:rPr>
          <w:rFonts w:ascii="Arial" w:hAnsi="Arial" w:cs="Arial"/>
          <w:color w:val="000000"/>
          <w:szCs w:val="24"/>
        </w:rPr>
        <w:t xml:space="preserve"> resistance mutation, G140G/R (in addition to the above Y181Y/C + H221H/Y RPV resistance-associated mutation). At the SVF </w:t>
      </w:r>
      <w:proofErr w:type="spellStart"/>
      <w:r w:rsidRPr="0090328A">
        <w:rPr>
          <w:rFonts w:ascii="Arial" w:hAnsi="Arial" w:cs="Arial"/>
          <w:color w:val="000000"/>
          <w:szCs w:val="24"/>
        </w:rPr>
        <w:t>timepoint</w:t>
      </w:r>
      <w:proofErr w:type="spellEnd"/>
      <w:r w:rsidRPr="0090328A">
        <w:rPr>
          <w:rFonts w:ascii="Arial" w:hAnsi="Arial" w:cs="Arial"/>
          <w:color w:val="000000"/>
          <w:szCs w:val="24"/>
        </w:rPr>
        <w:t xml:space="preserve"> in the </w:t>
      </w:r>
      <w:r w:rsidR="0090328A">
        <w:rPr>
          <w:rFonts w:ascii="Arial" w:hAnsi="Arial" w:cs="Arial"/>
          <w:color w:val="000000"/>
          <w:szCs w:val="24"/>
        </w:rPr>
        <w:t>every 2 month dose</w:t>
      </w:r>
      <w:r w:rsidRPr="0090328A">
        <w:rPr>
          <w:rFonts w:ascii="Arial" w:hAnsi="Arial" w:cs="Arial"/>
          <w:color w:val="000000"/>
          <w:szCs w:val="24"/>
        </w:rPr>
        <w:t xml:space="preserve"> arm, 6 subjects had </w:t>
      </w:r>
      <w:proofErr w:type="spellStart"/>
      <w:r w:rsidRPr="0090328A">
        <w:rPr>
          <w:rFonts w:ascii="Arial" w:hAnsi="Arial" w:cs="Arial"/>
          <w:color w:val="000000"/>
          <w:szCs w:val="24"/>
        </w:rPr>
        <w:t>rilpivirine</w:t>
      </w:r>
      <w:proofErr w:type="spellEnd"/>
      <w:r w:rsidRPr="0090328A">
        <w:rPr>
          <w:rFonts w:ascii="Arial" w:hAnsi="Arial" w:cs="Arial"/>
          <w:color w:val="000000"/>
          <w:szCs w:val="24"/>
        </w:rPr>
        <w:t xml:space="preserve"> resistance-associated mutations with 2 subjects having an addition of K101E and 1 subject having an addition of E138E/K from Baseline to SVF </w:t>
      </w:r>
      <w:proofErr w:type="spellStart"/>
      <w:r w:rsidRPr="0090328A">
        <w:rPr>
          <w:rFonts w:ascii="Arial" w:hAnsi="Arial" w:cs="Arial"/>
          <w:color w:val="000000"/>
          <w:szCs w:val="24"/>
        </w:rPr>
        <w:t>timepoint</w:t>
      </w:r>
      <w:proofErr w:type="spellEnd"/>
      <w:r w:rsidRPr="0090328A">
        <w:rPr>
          <w:rFonts w:ascii="Arial" w:hAnsi="Arial" w:cs="Arial"/>
          <w:color w:val="000000"/>
          <w:szCs w:val="24"/>
        </w:rPr>
        <w:t xml:space="preserve">. </w:t>
      </w:r>
      <w:proofErr w:type="spellStart"/>
      <w:r w:rsidRPr="0090328A">
        <w:rPr>
          <w:rFonts w:ascii="Arial" w:hAnsi="Arial" w:cs="Arial"/>
          <w:color w:val="000000"/>
          <w:szCs w:val="24"/>
        </w:rPr>
        <w:t>Rilpivirine</w:t>
      </w:r>
      <w:proofErr w:type="spellEnd"/>
      <w:r w:rsidRPr="0090328A">
        <w:rPr>
          <w:rFonts w:ascii="Arial" w:hAnsi="Arial" w:cs="Arial"/>
          <w:color w:val="000000"/>
          <w:szCs w:val="24"/>
        </w:rPr>
        <w:t xml:space="preserve"> fold-change (FC) was above the clinical cut-off for 7 subjects and ranged from 2.4 to 15.  Five of the 6 subjects with </w:t>
      </w:r>
      <w:proofErr w:type="spellStart"/>
      <w:r w:rsidRPr="0090328A">
        <w:rPr>
          <w:rFonts w:ascii="Arial" w:hAnsi="Arial" w:cs="Arial"/>
          <w:color w:val="000000"/>
          <w:szCs w:val="24"/>
        </w:rPr>
        <w:t>rilpivirine</w:t>
      </w:r>
      <w:proofErr w:type="spellEnd"/>
      <w:r w:rsidRPr="0090328A">
        <w:rPr>
          <w:rFonts w:ascii="Arial" w:hAnsi="Arial" w:cs="Arial"/>
          <w:color w:val="000000"/>
          <w:szCs w:val="24"/>
        </w:rPr>
        <w:t xml:space="preserve"> resistance-associated substitution, also had INSTI resistance-associated substitutions, N155H (2); Q148R; Q148Q/R+N155N/H (2).  INSTI substitution, L74I, was seen in 4/7 subjects.  The Integrase genotype and phenotype assay failed for one subject and </w:t>
      </w:r>
      <w:proofErr w:type="spellStart"/>
      <w:r w:rsidRPr="0090328A">
        <w:rPr>
          <w:rFonts w:ascii="Arial" w:hAnsi="Arial" w:cs="Arial"/>
          <w:color w:val="000000"/>
          <w:szCs w:val="24"/>
        </w:rPr>
        <w:t>cabotegravir</w:t>
      </w:r>
      <w:proofErr w:type="spellEnd"/>
      <w:r w:rsidRPr="0090328A">
        <w:rPr>
          <w:rFonts w:ascii="Arial" w:hAnsi="Arial" w:cs="Arial"/>
          <w:color w:val="000000"/>
          <w:szCs w:val="24"/>
        </w:rPr>
        <w:t xml:space="preserve"> phenotype was unavailable for another. </w:t>
      </w:r>
      <w:proofErr w:type="spellStart"/>
      <w:r w:rsidRPr="0090328A">
        <w:rPr>
          <w:rFonts w:ascii="Arial" w:hAnsi="Arial" w:cs="Arial"/>
          <w:color w:val="000000"/>
          <w:szCs w:val="24"/>
        </w:rPr>
        <w:t>Cabotegravir</w:t>
      </w:r>
      <w:proofErr w:type="spellEnd"/>
      <w:r w:rsidRPr="0090328A">
        <w:rPr>
          <w:rFonts w:ascii="Arial" w:hAnsi="Arial" w:cs="Arial"/>
          <w:color w:val="000000"/>
          <w:szCs w:val="24"/>
        </w:rPr>
        <w:t xml:space="preserve"> FCs for these subjects ranged from 1.8 to 9.1.  All subjects remained sensitive to </w:t>
      </w:r>
      <w:proofErr w:type="spellStart"/>
      <w:r w:rsidRPr="0090328A">
        <w:rPr>
          <w:rFonts w:ascii="Arial" w:hAnsi="Arial" w:cs="Arial"/>
          <w:color w:val="000000"/>
          <w:szCs w:val="24"/>
        </w:rPr>
        <w:t>dolutegravir</w:t>
      </w:r>
      <w:proofErr w:type="spellEnd"/>
      <w:r w:rsidRPr="0090328A">
        <w:rPr>
          <w:rFonts w:ascii="Arial" w:hAnsi="Arial" w:cs="Arial"/>
          <w:color w:val="000000"/>
          <w:szCs w:val="24"/>
        </w:rPr>
        <w:t xml:space="preserve"> and </w:t>
      </w:r>
      <w:proofErr w:type="spellStart"/>
      <w:r w:rsidRPr="0090328A">
        <w:rPr>
          <w:rFonts w:ascii="Arial" w:hAnsi="Arial" w:cs="Arial"/>
          <w:color w:val="000000"/>
          <w:szCs w:val="24"/>
        </w:rPr>
        <w:t>bictegravir</w:t>
      </w:r>
      <w:proofErr w:type="spellEnd"/>
      <w:r w:rsidRPr="0090328A">
        <w:rPr>
          <w:rFonts w:ascii="Arial" w:hAnsi="Arial" w:cs="Arial"/>
          <w:color w:val="000000"/>
          <w:szCs w:val="24"/>
        </w:rPr>
        <w:t>.</w:t>
      </w:r>
    </w:p>
    <w:p w14:paraId="1ED658EA" w14:textId="0DFA18BB" w:rsidR="002A1CC4" w:rsidRPr="00B02CA3" w:rsidRDefault="002A1CC4" w:rsidP="002A1CC4">
      <w:pPr>
        <w:rPr>
          <w:rFonts w:ascii="Arial" w:hAnsi="Arial" w:cs="Arial"/>
          <w:lang w:val="en"/>
        </w:rPr>
      </w:pPr>
      <w:r w:rsidRPr="0090328A">
        <w:rPr>
          <w:rFonts w:ascii="Arial" w:hAnsi="Arial" w:cs="Arial"/>
          <w:color w:val="000000"/>
          <w:szCs w:val="24"/>
        </w:rPr>
        <w:t xml:space="preserve">In the </w:t>
      </w:r>
      <w:r w:rsidR="0090328A">
        <w:rPr>
          <w:rFonts w:ascii="Arial" w:hAnsi="Arial" w:cs="Arial"/>
          <w:color w:val="000000"/>
          <w:szCs w:val="24"/>
        </w:rPr>
        <w:t>monthly dose</w:t>
      </w:r>
      <w:r w:rsidRPr="0090328A">
        <w:rPr>
          <w:rFonts w:ascii="Arial" w:hAnsi="Arial" w:cs="Arial"/>
          <w:color w:val="000000"/>
          <w:szCs w:val="24"/>
        </w:rPr>
        <w:t xml:space="preserve"> arm, neither subject had any RPV or INSTI resistance-associated substitutions at </w:t>
      </w:r>
      <w:r w:rsidR="00AF5F12">
        <w:rPr>
          <w:rFonts w:ascii="Arial" w:hAnsi="Arial" w:cs="Arial"/>
          <w:color w:val="000000"/>
          <w:szCs w:val="24"/>
        </w:rPr>
        <w:t>b</w:t>
      </w:r>
      <w:r w:rsidRPr="0090328A">
        <w:rPr>
          <w:rFonts w:ascii="Arial" w:hAnsi="Arial" w:cs="Arial"/>
          <w:color w:val="000000"/>
          <w:szCs w:val="24"/>
        </w:rPr>
        <w:t xml:space="preserve">aseline.  One subject had the NNRTI substitution, G190Q, in combination with the NNRTI polymorphism, V189I.  At SVF </w:t>
      </w:r>
      <w:proofErr w:type="spellStart"/>
      <w:r w:rsidRPr="0090328A">
        <w:rPr>
          <w:rFonts w:ascii="Arial" w:hAnsi="Arial" w:cs="Arial"/>
          <w:color w:val="000000"/>
          <w:szCs w:val="24"/>
        </w:rPr>
        <w:t>timepoint</w:t>
      </w:r>
      <w:proofErr w:type="spellEnd"/>
      <w:r w:rsidRPr="0090328A">
        <w:rPr>
          <w:rFonts w:ascii="Arial" w:hAnsi="Arial" w:cs="Arial"/>
          <w:color w:val="000000"/>
          <w:szCs w:val="24"/>
        </w:rPr>
        <w:t xml:space="preserve">, one subject had on-treatment </w:t>
      </w:r>
      <w:proofErr w:type="spellStart"/>
      <w:r w:rsidRPr="0090328A">
        <w:rPr>
          <w:rFonts w:ascii="Arial" w:hAnsi="Arial" w:cs="Arial"/>
          <w:color w:val="000000"/>
          <w:szCs w:val="24"/>
        </w:rPr>
        <w:t>rilpivirine</w:t>
      </w:r>
      <w:proofErr w:type="spellEnd"/>
      <w:r w:rsidRPr="0090328A">
        <w:rPr>
          <w:rFonts w:ascii="Arial" w:hAnsi="Arial" w:cs="Arial"/>
          <w:color w:val="000000"/>
          <w:szCs w:val="24"/>
        </w:rPr>
        <w:t xml:space="preserve"> resistance-associated mutations, K101E + M230L and the other retained the G190Q + V189I NNRTI substitutions with the addition of V179V/I. Both subjects showed reduced phenotypic susceptibility to RPV. </w:t>
      </w:r>
      <w:r w:rsidRPr="0090328A">
        <w:rPr>
          <w:rFonts w:ascii="Arial" w:hAnsi="Arial" w:cs="Arial"/>
        </w:rPr>
        <w:t>Both subjects also had INSTI resistance-associated mutations, either Q148R + E138E/K or N155N/H at SVF and 1 subject had reduced susceptibility to CAB</w:t>
      </w:r>
      <w:r w:rsidRPr="0090328A">
        <w:rPr>
          <w:rFonts w:ascii="Arial" w:hAnsi="Arial" w:cs="Arial"/>
          <w:color w:val="000000"/>
          <w:szCs w:val="24"/>
        </w:rPr>
        <w:t xml:space="preserve">. Neither subject had the INSTI substitution, L74I. All subjects remained sensitive to </w:t>
      </w:r>
      <w:proofErr w:type="spellStart"/>
      <w:r w:rsidRPr="0090328A">
        <w:rPr>
          <w:rFonts w:ascii="Arial" w:hAnsi="Arial" w:cs="Arial"/>
          <w:color w:val="000000"/>
          <w:szCs w:val="24"/>
        </w:rPr>
        <w:t>dolutegravir</w:t>
      </w:r>
      <w:proofErr w:type="spellEnd"/>
      <w:r w:rsidRPr="0090328A">
        <w:rPr>
          <w:rFonts w:ascii="Arial" w:hAnsi="Arial" w:cs="Arial"/>
          <w:color w:val="000000"/>
          <w:szCs w:val="24"/>
        </w:rPr>
        <w:t xml:space="preserve"> and </w:t>
      </w:r>
      <w:proofErr w:type="spellStart"/>
      <w:r w:rsidRPr="0090328A">
        <w:rPr>
          <w:rFonts w:ascii="Arial" w:hAnsi="Arial" w:cs="Arial"/>
          <w:color w:val="000000"/>
          <w:szCs w:val="24"/>
        </w:rPr>
        <w:t>bictegravir</w:t>
      </w:r>
      <w:proofErr w:type="spellEnd"/>
      <w:r w:rsidRPr="0090328A">
        <w:rPr>
          <w:rFonts w:ascii="Arial" w:hAnsi="Arial" w:cs="Arial"/>
          <w:color w:val="000000"/>
          <w:szCs w:val="24"/>
        </w:rPr>
        <w:t>.</w:t>
      </w:r>
    </w:p>
    <w:p w14:paraId="77356245" w14:textId="42055785" w:rsidR="00B02CA3" w:rsidRPr="00B02CA3" w:rsidRDefault="00B02CA3" w:rsidP="000D668F">
      <w:pPr>
        <w:rPr>
          <w:rFonts w:ascii="Arial" w:hAnsi="Arial" w:cs="Arial"/>
          <w:lang w:val="en"/>
        </w:rPr>
      </w:pPr>
      <w:bookmarkStart w:id="24" w:name="_Hlk2967821"/>
      <w:bookmarkEnd w:id="23"/>
      <w:r w:rsidRPr="00D65787">
        <w:rPr>
          <w:rFonts w:ascii="Arial" w:eastAsiaTheme="majorEastAsia" w:hAnsi="Arial" w:cs="Arial"/>
          <w:b/>
          <w:bCs/>
          <w:i/>
          <w:iCs/>
        </w:rPr>
        <w:t>Effects on Electrocardiogram</w:t>
      </w:r>
      <w:bookmarkEnd w:id="24"/>
      <w:r w:rsidRPr="00D65787">
        <w:rPr>
          <w:rFonts w:ascii="Arial" w:eastAsiaTheme="majorEastAsia" w:hAnsi="Arial" w:cs="Arial"/>
          <w:b/>
          <w:bCs/>
          <w:i/>
          <w:iCs/>
        </w:rPr>
        <w:br w:type="textWrapping" w:clear="all"/>
      </w:r>
      <w:r w:rsidRPr="00B02CA3">
        <w:rPr>
          <w:rFonts w:ascii="Arial" w:hAnsi="Arial" w:cs="Arial"/>
          <w:lang w:val="en"/>
        </w:rPr>
        <w:t xml:space="preserve">In a </w:t>
      </w:r>
      <w:proofErr w:type="spellStart"/>
      <w:r w:rsidRPr="00B02CA3">
        <w:rPr>
          <w:rFonts w:ascii="Arial" w:hAnsi="Arial" w:cs="Arial"/>
          <w:lang w:val="en"/>
        </w:rPr>
        <w:t>randomised</w:t>
      </w:r>
      <w:proofErr w:type="spellEnd"/>
      <w:r w:rsidRPr="00B02CA3">
        <w:rPr>
          <w:rFonts w:ascii="Arial" w:hAnsi="Arial" w:cs="Arial"/>
          <w:lang w:val="en"/>
        </w:rPr>
        <w:t xml:space="preserve">, placebo-controlled, three-period cross-over trial, 42 healthy subjects were </w:t>
      </w:r>
      <w:proofErr w:type="spellStart"/>
      <w:r w:rsidRPr="00B02CA3">
        <w:rPr>
          <w:rFonts w:ascii="Arial" w:hAnsi="Arial" w:cs="Arial"/>
          <w:lang w:val="en"/>
        </w:rPr>
        <w:lastRenderedPageBreak/>
        <w:t>randomised</w:t>
      </w:r>
      <w:proofErr w:type="spellEnd"/>
      <w:r w:rsidRPr="00B02CA3">
        <w:rPr>
          <w:rFonts w:ascii="Arial" w:hAnsi="Arial" w:cs="Arial"/>
          <w:lang w:val="en"/>
        </w:rPr>
        <w:t xml:space="preserve"> into 6 random sequences and received three doses of oral administration of placebo, </w:t>
      </w:r>
      <w:proofErr w:type="spellStart"/>
      <w:r w:rsidRPr="00B02CA3">
        <w:rPr>
          <w:rFonts w:ascii="Arial" w:hAnsi="Arial" w:cs="Arial"/>
          <w:lang w:val="en"/>
        </w:rPr>
        <w:t>cabotegravir</w:t>
      </w:r>
      <w:proofErr w:type="spellEnd"/>
      <w:r w:rsidRPr="00B02CA3">
        <w:rPr>
          <w:rFonts w:ascii="Arial" w:hAnsi="Arial" w:cs="Arial"/>
          <w:lang w:val="en"/>
        </w:rPr>
        <w:t xml:space="preserve"> 150 mg every 12 hours (</w:t>
      </w:r>
      <w:r w:rsidR="00AF5F12">
        <w:rPr>
          <w:rFonts w:ascii="Arial" w:hAnsi="Arial" w:cs="Arial"/>
          <w:lang w:val="en"/>
        </w:rPr>
        <w:t xml:space="preserve">mean steady state </w:t>
      </w:r>
      <w:proofErr w:type="spellStart"/>
      <w:r w:rsidRPr="00B02CA3">
        <w:rPr>
          <w:rFonts w:ascii="Arial" w:hAnsi="Arial" w:cs="Arial"/>
          <w:lang w:val="en"/>
        </w:rPr>
        <w:t>C</w:t>
      </w:r>
      <w:r w:rsidRPr="000D668F">
        <w:rPr>
          <w:rFonts w:ascii="Arial" w:hAnsi="Arial" w:cs="Arial"/>
          <w:vertAlign w:val="subscript"/>
          <w:lang w:val="en"/>
        </w:rPr>
        <w:t>max</w:t>
      </w:r>
      <w:proofErr w:type="spellEnd"/>
      <w:r w:rsidRPr="00B02CA3">
        <w:rPr>
          <w:rFonts w:ascii="Arial" w:hAnsi="Arial" w:cs="Arial"/>
          <w:lang w:val="en"/>
        </w:rPr>
        <w:t xml:space="preserve"> </w:t>
      </w:r>
      <w:r w:rsidR="00AF5F12">
        <w:rPr>
          <w:rFonts w:ascii="Arial" w:hAnsi="Arial" w:cs="Arial"/>
          <w:lang w:val="en"/>
        </w:rPr>
        <w:t xml:space="preserve">was </w:t>
      </w:r>
      <w:r w:rsidRPr="00B02CA3">
        <w:rPr>
          <w:rFonts w:ascii="Arial" w:hAnsi="Arial" w:cs="Arial"/>
          <w:lang w:val="en"/>
        </w:rPr>
        <w:t xml:space="preserve">approximately </w:t>
      </w:r>
      <w:r w:rsidR="00AF5F12">
        <w:rPr>
          <w:rFonts w:ascii="Arial" w:hAnsi="Arial" w:cs="Arial"/>
          <w:lang w:val="en"/>
        </w:rPr>
        <w:t>2.8</w:t>
      </w:r>
      <w:r w:rsidRPr="00B02CA3">
        <w:rPr>
          <w:rFonts w:ascii="Arial" w:hAnsi="Arial" w:cs="Arial"/>
          <w:lang w:val="en"/>
        </w:rPr>
        <w:t>-fold</w:t>
      </w:r>
      <w:r w:rsidR="00E05134">
        <w:rPr>
          <w:rFonts w:ascii="Arial" w:hAnsi="Arial" w:cs="Arial"/>
          <w:lang w:val="en"/>
        </w:rPr>
        <w:t>, 5.4-fold and 5.6 fold above</w:t>
      </w:r>
      <w:r w:rsidRPr="00B02CA3">
        <w:rPr>
          <w:rFonts w:ascii="Arial" w:hAnsi="Arial" w:cs="Arial"/>
          <w:lang w:val="en"/>
        </w:rPr>
        <w:t xml:space="preserve"> the 30 mg once-daily dose</w:t>
      </w:r>
      <w:r w:rsidR="00E05134" w:rsidRPr="00D13251">
        <w:rPr>
          <w:rFonts w:ascii="Arial" w:hAnsi="Arial" w:cs="Arial"/>
        </w:rPr>
        <w:t xml:space="preserve">, the 400 mg </w:t>
      </w:r>
      <w:proofErr w:type="spellStart"/>
      <w:r w:rsidR="00E05134" w:rsidRPr="00D13251">
        <w:rPr>
          <w:rFonts w:ascii="Arial" w:hAnsi="Arial" w:cs="Arial"/>
        </w:rPr>
        <w:t>cabotegravir</w:t>
      </w:r>
      <w:proofErr w:type="spellEnd"/>
      <w:r w:rsidR="00E05134" w:rsidRPr="00D13251">
        <w:rPr>
          <w:rFonts w:ascii="Arial" w:hAnsi="Arial" w:cs="Arial"/>
        </w:rPr>
        <w:t xml:space="preserve"> injection monthly dose and the 600 mg </w:t>
      </w:r>
      <w:proofErr w:type="spellStart"/>
      <w:r w:rsidR="00E05134" w:rsidRPr="00D13251">
        <w:rPr>
          <w:rFonts w:ascii="Arial" w:hAnsi="Arial" w:cs="Arial"/>
        </w:rPr>
        <w:t>cabotegravir</w:t>
      </w:r>
      <w:proofErr w:type="spellEnd"/>
      <w:r w:rsidR="00E05134" w:rsidRPr="00D13251">
        <w:rPr>
          <w:rFonts w:ascii="Arial" w:hAnsi="Arial" w:cs="Arial"/>
        </w:rPr>
        <w:t xml:space="preserve"> injection every 2 month dose, respectively</w:t>
      </w:r>
      <w:r w:rsidRPr="00B02CA3">
        <w:rPr>
          <w:rFonts w:ascii="Arial" w:hAnsi="Arial" w:cs="Arial"/>
          <w:lang w:val="en"/>
        </w:rPr>
        <w:t xml:space="preserve">, and single dose of </w:t>
      </w:r>
      <w:proofErr w:type="spellStart"/>
      <w:r w:rsidRPr="00B02CA3">
        <w:rPr>
          <w:rFonts w:ascii="Arial" w:hAnsi="Arial" w:cs="Arial"/>
          <w:lang w:val="en"/>
        </w:rPr>
        <w:t>moxifloxacin</w:t>
      </w:r>
      <w:proofErr w:type="spellEnd"/>
      <w:r w:rsidRPr="00B02CA3">
        <w:rPr>
          <w:rFonts w:ascii="Arial" w:hAnsi="Arial" w:cs="Arial"/>
          <w:lang w:val="en"/>
        </w:rPr>
        <w:t xml:space="preserve"> 400 mg (active control). After baseline and placebo adjustment, the maximum time-matched mean </w:t>
      </w:r>
      <w:proofErr w:type="spellStart"/>
      <w:r w:rsidRPr="00B02CA3">
        <w:rPr>
          <w:rFonts w:ascii="Arial" w:hAnsi="Arial" w:cs="Arial"/>
          <w:lang w:val="en"/>
        </w:rPr>
        <w:t>QTc</w:t>
      </w:r>
      <w:proofErr w:type="spellEnd"/>
      <w:r w:rsidRPr="00B02CA3">
        <w:rPr>
          <w:rFonts w:ascii="Arial" w:hAnsi="Arial" w:cs="Arial"/>
          <w:lang w:val="en"/>
        </w:rPr>
        <w:t xml:space="preserve"> change based on </w:t>
      </w:r>
      <w:proofErr w:type="spellStart"/>
      <w:r w:rsidRPr="00B02CA3">
        <w:rPr>
          <w:rFonts w:ascii="Arial" w:hAnsi="Arial" w:cs="Arial"/>
          <w:lang w:val="en"/>
        </w:rPr>
        <w:t>Fridericia’s</w:t>
      </w:r>
      <w:proofErr w:type="spellEnd"/>
      <w:r w:rsidRPr="00B02CA3">
        <w:rPr>
          <w:rFonts w:ascii="Arial" w:hAnsi="Arial" w:cs="Arial"/>
          <w:lang w:val="en"/>
        </w:rPr>
        <w:t xml:space="preserve"> correction method (</w:t>
      </w:r>
      <w:proofErr w:type="spellStart"/>
      <w:r w:rsidRPr="00B02CA3">
        <w:rPr>
          <w:rFonts w:ascii="Arial" w:hAnsi="Arial" w:cs="Arial"/>
          <w:lang w:val="en"/>
        </w:rPr>
        <w:t>QTcF</w:t>
      </w:r>
      <w:proofErr w:type="spellEnd"/>
      <w:r w:rsidRPr="00B02CA3">
        <w:rPr>
          <w:rFonts w:ascii="Arial" w:hAnsi="Arial" w:cs="Arial"/>
          <w:lang w:val="en"/>
        </w:rPr>
        <w:t xml:space="preserve">) for </w:t>
      </w:r>
      <w:proofErr w:type="spellStart"/>
      <w:r w:rsidRPr="00B02CA3">
        <w:rPr>
          <w:rFonts w:ascii="Arial" w:hAnsi="Arial" w:cs="Arial"/>
          <w:lang w:val="en"/>
        </w:rPr>
        <w:t>cabotegravir</w:t>
      </w:r>
      <w:proofErr w:type="spellEnd"/>
      <w:r w:rsidRPr="00B02CA3">
        <w:rPr>
          <w:rFonts w:ascii="Arial" w:hAnsi="Arial" w:cs="Arial"/>
          <w:lang w:val="en"/>
        </w:rPr>
        <w:t xml:space="preserve"> was 2.62 </w:t>
      </w:r>
      <w:proofErr w:type="spellStart"/>
      <w:r w:rsidRPr="00B02CA3">
        <w:rPr>
          <w:rFonts w:ascii="Arial" w:hAnsi="Arial" w:cs="Arial"/>
          <w:lang w:val="en"/>
        </w:rPr>
        <w:t>msec</w:t>
      </w:r>
      <w:proofErr w:type="spellEnd"/>
      <w:r w:rsidRPr="00B02CA3">
        <w:rPr>
          <w:rFonts w:ascii="Arial" w:hAnsi="Arial" w:cs="Arial"/>
          <w:lang w:val="en"/>
        </w:rPr>
        <w:t xml:space="preserve"> (1-side 90% upper CI:5.26 </w:t>
      </w:r>
      <w:proofErr w:type="spellStart"/>
      <w:r w:rsidRPr="00B02CA3">
        <w:rPr>
          <w:rFonts w:ascii="Arial" w:hAnsi="Arial" w:cs="Arial"/>
          <w:lang w:val="en"/>
        </w:rPr>
        <w:t>msec</w:t>
      </w:r>
      <w:proofErr w:type="spellEnd"/>
      <w:r w:rsidRPr="00B02CA3">
        <w:rPr>
          <w:rFonts w:ascii="Arial" w:hAnsi="Arial" w:cs="Arial"/>
          <w:lang w:val="en"/>
        </w:rPr>
        <w:t xml:space="preserve">). </w:t>
      </w:r>
      <w:proofErr w:type="spellStart"/>
      <w:r w:rsidRPr="00B02CA3">
        <w:rPr>
          <w:rFonts w:ascii="Arial" w:hAnsi="Arial" w:cs="Arial"/>
          <w:lang w:val="en"/>
        </w:rPr>
        <w:t>Cabotegravir</w:t>
      </w:r>
      <w:proofErr w:type="spellEnd"/>
      <w:r w:rsidRPr="00B02CA3">
        <w:rPr>
          <w:rFonts w:ascii="Arial" w:hAnsi="Arial" w:cs="Arial"/>
          <w:lang w:val="en"/>
        </w:rPr>
        <w:t xml:space="preserve"> did not prolong the </w:t>
      </w:r>
      <w:proofErr w:type="spellStart"/>
      <w:r w:rsidRPr="00B02CA3">
        <w:rPr>
          <w:rFonts w:ascii="Arial" w:hAnsi="Arial" w:cs="Arial"/>
          <w:lang w:val="en"/>
        </w:rPr>
        <w:t>QTc</w:t>
      </w:r>
      <w:proofErr w:type="spellEnd"/>
      <w:r w:rsidRPr="00B02CA3">
        <w:rPr>
          <w:rFonts w:ascii="Arial" w:hAnsi="Arial" w:cs="Arial"/>
          <w:lang w:val="en"/>
        </w:rPr>
        <w:t xml:space="preserve"> interval over 24 hours post-dose.</w:t>
      </w:r>
    </w:p>
    <w:p w14:paraId="4B1249BB" w14:textId="17A378C8" w:rsidR="00C63EDA" w:rsidRPr="0090328A" w:rsidRDefault="001A3992" w:rsidP="0090328A">
      <w:pPr>
        <w:pStyle w:val="Heading3"/>
        <w:spacing w:line="480" w:lineRule="auto"/>
        <w:ind w:left="0"/>
        <w:rPr>
          <w:rFonts w:ascii="Arial" w:hAnsi="Arial" w:cs="Arial"/>
        </w:rPr>
      </w:pPr>
      <w:r w:rsidRPr="000D668F">
        <w:rPr>
          <w:rFonts w:ascii="Arial" w:hAnsi="Arial" w:cs="Arial"/>
        </w:rPr>
        <w:t>Clinical trials</w:t>
      </w:r>
    </w:p>
    <w:p w14:paraId="3DCFBF3D" w14:textId="29F95B0D" w:rsidR="009F1F67" w:rsidRPr="0090328A" w:rsidRDefault="009F1F67" w:rsidP="0090328A">
      <w:pPr>
        <w:rPr>
          <w:rFonts w:ascii="Arial" w:hAnsi="Arial" w:cs="Arial"/>
          <w:i/>
        </w:rPr>
      </w:pPr>
      <w:r w:rsidRPr="0090328A">
        <w:rPr>
          <w:rFonts w:ascii="Arial" w:hAnsi="Arial" w:cs="Arial"/>
          <w:b/>
          <w:i/>
        </w:rPr>
        <w:t>Monthly Dosing</w:t>
      </w:r>
    </w:p>
    <w:p w14:paraId="06DCF721" w14:textId="61FB651A" w:rsidR="007D4266" w:rsidRPr="000D668F" w:rsidRDefault="007D4266" w:rsidP="000D668F">
      <w:pPr>
        <w:keepNext/>
        <w:tabs>
          <w:tab w:val="left" w:pos="720"/>
        </w:tabs>
        <w:autoSpaceDE w:val="0"/>
        <w:autoSpaceDN w:val="0"/>
        <w:adjustRightInd w:val="0"/>
        <w:rPr>
          <w:rFonts w:ascii="Arial" w:hAnsi="Arial" w:cs="Arial"/>
          <w:lang w:val="en"/>
        </w:rPr>
      </w:pPr>
      <w:r w:rsidRPr="000D668F">
        <w:rPr>
          <w:rFonts w:ascii="Arial" w:hAnsi="Arial" w:cs="Arial"/>
          <w:lang w:val="en"/>
        </w:rPr>
        <w:t xml:space="preserve">The efficacy of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has been evaluated in two Phase III </w:t>
      </w:r>
      <w:proofErr w:type="spellStart"/>
      <w:r w:rsidRPr="000D668F">
        <w:rPr>
          <w:rFonts w:ascii="Arial" w:hAnsi="Arial" w:cs="Arial"/>
          <w:lang w:val="en"/>
        </w:rPr>
        <w:t>randomised</w:t>
      </w:r>
      <w:proofErr w:type="spellEnd"/>
      <w:r w:rsidRPr="000D668F">
        <w:rPr>
          <w:rFonts w:ascii="Arial" w:hAnsi="Arial" w:cs="Arial"/>
          <w:lang w:val="en"/>
        </w:rPr>
        <w:t xml:space="preserve">, </w:t>
      </w:r>
      <w:proofErr w:type="spellStart"/>
      <w:r w:rsidRPr="000D668F">
        <w:rPr>
          <w:rFonts w:ascii="Arial" w:hAnsi="Arial" w:cs="Arial"/>
          <w:lang w:val="en"/>
        </w:rPr>
        <w:t>multicentre</w:t>
      </w:r>
      <w:proofErr w:type="spellEnd"/>
      <w:r w:rsidRPr="000D668F">
        <w:rPr>
          <w:rFonts w:ascii="Arial" w:hAnsi="Arial" w:cs="Arial"/>
          <w:lang w:val="en"/>
        </w:rPr>
        <w:t xml:space="preserve">, active-controlled, parallel-arm, open-label, non-inferiority </w:t>
      </w:r>
      <w:r w:rsidR="00EC1C0B">
        <w:rPr>
          <w:rFonts w:ascii="Arial" w:hAnsi="Arial" w:cs="Arial"/>
          <w:lang w:val="en"/>
        </w:rPr>
        <w:t>studies</w:t>
      </w:r>
      <w:r w:rsidRPr="000D668F">
        <w:rPr>
          <w:rFonts w:ascii="Arial" w:hAnsi="Arial" w:cs="Arial"/>
          <w:lang w:val="en"/>
        </w:rPr>
        <w:t>, FLAIR (201584) and ATLAS (201585). The primary analysis was conducted after all subjects completed their Week 48 visit or discontinued the study prematurely.</w:t>
      </w:r>
    </w:p>
    <w:p w14:paraId="66015EE3" w14:textId="73253752" w:rsidR="007D4266" w:rsidRPr="009F1F67" w:rsidRDefault="007D4266" w:rsidP="000D668F">
      <w:pPr>
        <w:tabs>
          <w:tab w:val="left" w:pos="720"/>
        </w:tabs>
        <w:autoSpaceDE w:val="0"/>
        <w:autoSpaceDN w:val="0"/>
        <w:adjustRightInd w:val="0"/>
        <w:rPr>
          <w:rFonts w:ascii="Arial" w:hAnsi="Arial" w:cs="Arial"/>
          <w:lang w:val="en"/>
        </w:rPr>
      </w:pPr>
      <w:r w:rsidRPr="000D668F">
        <w:rPr>
          <w:rFonts w:ascii="Arial" w:hAnsi="Arial" w:cs="Arial"/>
          <w:lang w:val="en"/>
        </w:rPr>
        <w:t>In FLAIR, 629 HIV-1-infected, antiretroviral treatment (ART)-n</w:t>
      </w:r>
      <w:r w:rsidR="004A7BEA">
        <w:rPr>
          <w:rFonts w:ascii="Arial" w:hAnsi="Arial" w:cs="Arial"/>
          <w:lang w:val="en"/>
        </w:rPr>
        <w:t>aïve</w:t>
      </w:r>
      <w:r w:rsidRPr="000D668F">
        <w:rPr>
          <w:rFonts w:ascii="Arial" w:hAnsi="Arial" w:cs="Arial"/>
          <w:lang w:val="en"/>
        </w:rPr>
        <w:t xml:space="preserve"> subjects received a </w:t>
      </w:r>
      <w:proofErr w:type="spellStart"/>
      <w:r w:rsidRPr="000D668F">
        <w:rPr>
          <w:rFonts w:ascii="Arial" w:hAnsi="Arial" w:cs="Arial"/>
          <w:lang w:val="en"/>
        </w:rPr>
        <w:t>dolutegravir</w:t>
      </w:r>
      <w:proofErr w:type="spellEnd"/>
      <w:r w:rsidRPr="000D668F">
        <w:rPr>
          <w:rFonts w:ascii="Arial" w:hAnsi="Arial" w:cs="Arial"/>
          <w:lang w:val="en"/>
        </w:rPr>
        <w:t xml:space="preserve"> integrase strand transfer inhibitor (INSTI) containing regimen for 20 weeks (either </w:t>
      </w:r>
      <w:proofErr w:type="spellStart"/>
      <w:r w:rsidRPr="000D668F">
        <w:rPr>
          <w:rFonts w:ascii="Arial" w:hAnsi="Arial" w:cs="Arial"/>
          <w:lang w:val="en"/>
        </w:rPr>
        <w:t>dolutegravir</w:t>
      </w:r>
      <w:proofErr w:type="spellEnd"/>
      <w:r w:rsidRPr="000D668F">
        <w:rPr>
          <w:rFonts w:ascii="Arial" w:hAnsi="Arial" w:cs="Arial"/>
          <w:lang w:val="en"/>
        </w:rPr>
        <w:t>/</w:t>
      </w:r>
      <w:proofErr w:type="spellStart"/>
      <w:r w:rsidRPr="000D668F">
        <w:rPr>
          <w:rFonts w:ascii="Arial" w:hAnsi="Arial" w:cs="Arial"/>
          <w:lang w:val="en"/>
        </w:rPr>
        <w:t>abacavir</w:t>
      </w:r>
      <w:proofErr w:type="spellEnd"/>
      <w:r w:rsidRPr="000D668F">
        <w:rPr>
          <w:rFonts w:ascii="Arial" w:hAnsi="Arial" w:cs="Arial"/>
          <w:lang w:val="en"/>
        </w:rPr>
        <w:t xml:space="preserve">/lamivudine or </w:t>
      </w:r>
      <w:proofErr w:type="spellStart"/>
      <w:r w:rsidRPr="000D668F">
        <w:rPr>
          <w:rFonts w:ascii="Arial" w:hAnsi="Arial" w:cs="Arial"/>
          <w:lang w:val="en"/>
        </w:rPr>
        <w:t>dolutegravir</w:t>
      </w:r>
      <w:proofErr w:type="spellEnd"/>
      <w:r w:rsidRPr="000D668F">
        <w:rPr>
          <w:rFonts w:ascii="Arial" w:hAnsi="Arial" w:cs="Arial"/>
          <w:lang w:val="en"/>
        </w:rPr>
        <w:t xml:space="preserve"> plus 2 other nucleoside reverse transcriptase inhibitors if subjects were HLA-B*5701 positive). Subjects who were </w:t>
      </w:r>
      <w:proofErr w:type="spellStart"/>
      <w:r w:rsidRPr="000D668F">
        <w:rPr>
          <w:rFonts w:ascii="Arial" w:hAnsi="Arial" w:cs="Arial"/>
          <w:lang w:val="en"/>
        </w:rPr>
        <w:t>virologically</w:t>
      </w:r>
      <w:proofErr w:type="spellEnd"/>
      <w:r w:rsidRPr="000D668F">
        <w:rPr>
          <w:rFonts w:ascii="Arial" w:hAnsi="Arial" w:cs="Arial"/>
          <w:lang w:val="en"/>
        </w:rPr>
        <w:t xml:space="preserve"> suppressed (HIV-1 RNA &lt;50 copies per mL, n=566) were then </w:t>
      </w:r>
      <w:proofErr w:type="spellStart"/>
      <w:r w:rsidRPr="000D668F">
        <w:rPr>
          <w:rFonts w:ascii="Arial" w:hAnsi="Arial" w:cs="Arial"/>
          <w:lang w:val="en"/>
        </w:rPr>
        <w:t>randomised</w:t>
      </w:r>
      <w:proofErr w:type="spellEnd"/>
      <w:r w:rsidRPr="000D668F">
        <w:rPr>
          <w:rFonts w:ascii="Arial" w:hAnsi="Arial" w:cs="Arial"/>
          <w:lang w:val="en"/>
        </w:rPr>
        <w:t xml:space="preserve"> (1:1) to receive either the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regimen or remain on the current antiretroviral (CAR) regimen. Subjects </w:t>
      </w:r>
      <w:proofErr w:type="spellStart"/>
      <w:r w:rsidRPr="000D668F">
        <w:rPr>
          <w:rFonts w:ascii="Arial" w:hAnsi="Arial" w:cs="Arial"/>
          <w:lang w:val="en"/>
        </w:rPr>
        <w:t>randomised</w:t>
      </w:r>
      <w:proofErr w:type="spellEnd"/>
      <w:r w:rsidRPr="000D668F">
        <w:rPr>
          <w:rFonts w:ascii="Arial" w:hAnsi="Arial" w:cs="Arial"/>
          <w:lang w:val="en"/>
        </w:rPr>
        <w:t xml:space="preserve"> to receive the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regimen, initiated treatment with oral lead-in dosing with </w:t>
      </w:r>
      <w:r w:rsidR="00EC1C0B" w:rsidRPr="000D668F">
        <w:rPr>
          <w:rFonts w:ascii="Arial" w:hAnsi="Arial" w:cs="Arial"/>
          <w:lang w:val="en"/>
        </w:rPr>
        <w:t>VOCABRIA</w:t>
      </w:r>
      <w:r w:rsidR="009F1F67">
        <w:rPr>
          <w:rFonts w:ascii="Arial" w:hAnsi="Arial" w:cs="Arial"/>
          <w:lang w:val="en"/>
        </w:rPr>
        <w:t xml:space="preserve"> 30 mg</w:t>
      </w:r>
      <w:r w:rsidRPr="000D668F">
        <w:rPr>
          <w:rFonts w:ascii="Arial" w:hAnsi="Arial" w:cs="Arial"/>
          <w:lang w:val="en"/>
        </w:rPr>
        <w:t xml:space="preserve"> tablets plus </w:t>
      </w:r>
      <w:proofErr w:type="spellStart"/>
      <w:r w:rsidRPr="000D668F">
        <w:rPr>
          <w:rFonts w:ascii="Arial" w:hAnsi="Arial" w:cs="Arial"/>
          <w:lang w:val="en"/>
        </w:rPr>
        <w:t>rilpivirine</w:t>
      </w:r>
      <w:proofErr w:type="spellEnd"/>
      <w:r w:rsidRPr="000D668F">
        <w:rPr>
          <w:rFonts w:ascii="Arial" w:hAnsi="Arial" w:cs="Arial"/>
          <w:lang w:val="en"/>
        </w:rPr>
        <w:t xml:space="preserve"> </w:t>
      </w:r>
      <w:r w:rsidR="009F1F67">
        <w:rPr>
          <w:rFonts w:ascii="Arial" w:hAnsi="Arial" w:cs="Arial"/>
          <w:lang w:val="en"/>
        </w:rPr>
        <w:t xml:space="preserve">25 mg </w:t>
      </w:r>
      <w:r w:rsidRPr="000D668F">
        <w:rPr>
          <w:rFonts w:ascii="Arial" w:hAnsi="Arial" w:cs="Arial"/>
          <w:lang w:val="en"/>
        </w:rPr>
        <w:t>tablets</w:t>
      </w:r>
      <w:r w:rsidR="009F1F67">
        <w:rPr>
          <w:rFonts w:ascii="Arial" w:hAnsi="Arial" w:cs="Arial"/>
          <w:lang w:val="en"/>
        </w:rPr>
        <w:t>, daily,</w:t>
      </w:r>
      <w:r w:rsidRPr="000D668F">
        <w:rPr>
          <w:rFonts w:ascii="Arial" w:hAnsi="Arial" w:cs="Arial"/>
          <w:lang w:val="en"/>
        </w:rPr>
        <w:t xml:space="preserve"> for at least 4 weeks, followed by treatment </w:t>
      </w:r>
      <w:r w:rsidRPr="009F1F67">
        <w:rPr>
          <w:rFonts w:ascii="Arial" w:hAnsi="Arial" w:cs="Arial"/>
          <w:lang w:val="en"/>
        </w:rPr>
        <w:t xml:space="preserve">with </w:t>
      </w:r>
      <w:bookmarkStart w:id="25" w:name="_Hlk41916073"/>
      <w:proofErr w:type="spellStart"/>
      <w:r w:rsidR="009F1F67" w:rsidRPr="0090328A">
        <w:rPr>
          <w:rFonts w:ascii="Arial" w:hAnsi="Arial" w:cs="Arial"/>
          <w:szCs w:val="24"/>
        </w:rPr>
        <w:t>cabotegravir</w:t>
      </w:r>
      <w:proofErr w:type="spellEnd"/>
      <w:r w:rsidR="009F1F67" w:rsidRPr="0090328A">
        <w:rPr>
          <w:rFonts w:ascii="Arial" w:hAnsi="Arial" w:cs="Arial"/>
          <w:szCs w:val="24"/>
        </w:rPr>
        <w:t xml:space="preserve"> injection </w:t>
      </w:r>
      <w:bookmarkStart w:id="26" w:name="_Hlk27395292"/>
      <w:bookmarkStart w:id="27" w:name="_Hlk29507654"/>
      <w:bookmarkEnd w:id="25"/>
      <w:r w:rsidR="009F1F67" w:rsidRPr="0090328A">
        <w:rPr>
          <w:rFonts w:ascii="Arial" w:hAnsi="Arial" w:cs="Arial"/>
          <w:szCs w:val="24"/>
        </w:rPr>
        <w:t xml:space="preserve">(month 1: 600 mg injection, month 2 onwards: 400 mg injection) plus </w:t>
      </w:r>
      <w:proofErr w:type="spellStart"/>
      <w:r w:rsidR="009F1F67" w:rsidRPr="0090328A">
        <w:rPr>
          <w:rFonts w:ascii="Arial" w:hAnsi="Arial" w:cs="Arial"/>
          <w:szCs w:val="24"/>
        </w:rPr>
        <w:t>rilpivirine</w:t>
      </w:r>
      <w:proofErr w:type="spellEnd"/>
      <w:r w:rsidR="009F1F67" w:rsidRPr="0090328A">
        <w:rPr>
          <w:rFonts w:ascii="Arial" w:hAnsi="Arial" w:cs="Arial"/>
          <w:szCs w:val="24"/>
        </w:rPr>
        <w:t xml:space="preserve"> injection (month 1: 900 mg injection, month 2 onwards: 600 mg injection), every month, </w:t>
      </w:r>
      <w:bookmarkEnd w:id="26"/>
      <w:bookmarkEnd w:id="27"/>
      <w:r w:rsidRPr="009F1F67">
        <w:rPr>
          <w:rFonts w:ascii="Arial" w:hAnsi="Arial" w:cs="Arial"/>
          <w:lang w:val="en"/>
        </w:rPr>
        <w:t xml:space="preserve"> for an additional 44 weeks.</w:t>
      </w:r>
    </w:p>
    <w:p w14:paraId="5DA2299E" w14:textId="65098D44" w:rsidR="007D4266" w:rsidRPr="000D668F" w:rsidRDefault="007D4266" w:rsidP="000D668F">
      <w:pPr>
        <w:tabs>
          <w:tab w:val="left" w:pos="720"/>
        </w:tabs>
        <w:autoSpaceDE w:val="0"/>
        <w:autoSpaceDN w:val="0"/>
        <w:adjustRightInd w:val="0"/>
        <w:rPr>
          <w:rFonts w:ascii="Arial" w:hAnsi="Arial" w:cs="Arial"/>
          <w:lang w:val="en"/>
        </w:rPr>
      </w:pPr>
      <w:r w:rsidRPr="000D668F">
        <w:rPr>
          <w:rFonts w:ascii="Arial" w:hAnsi="Arial" w:cs="Arial"/>
          <w:lang w:val="en"/>
        </w:rPr>
        <w:t xml:space="preserve">In ATLAS, 616 HIV-1-infected, ART-experienced, </w:t>
      </w:r>
      <w:proofErr w:type="spellStart"/>
      <w:r w:rsidRPr="000D668F">
        <w:rPr>
          <w:rFonts w:ascii="Arial" w:hAnsi="Arial" w:cs="Arial"/>
          <w:lang w:val="en"/>
        </w:rPr>
        <w:t>virologically</w:t>
      </w:r>
      <w:proofErr w:type="spellEnd"/>
      <w:r w:rsidRPr="000D668F">
        <w:rPr>
          <w:rFonts w:ascii="Arial" w:hAnsi="Arial" w:cs="Arial"/>
          <w:lang w:val="en"/>
        </w:rPr>
        <w:t xml:space="preserve">-suppressed (for at least 6 months) subjects (HIV-1 RNA &lt;50 copies per mL) were </w:t>
      </w:r>
      <w:proofErr w:type="spellStart"/>
      <w:r w:rsidRPr="000D668F">
        <w:rPr>
          <w:rFonts w:ascii="Arial" w:hAnsi="Arial" w:cs="Arial"/>
          <w:lang w:val="en"/>
        </w:rPr>
        <w:t>randomised</w:t>
      </w:r>
      <w:proofErr w:type="spellEnd"/>
      <w:r w:rsidRPr="000D668F">
        <w:rPr>
          <w:rFonts w:ascii="Arial" w:hAnsi="Arial" w:cs="Arial"/>
          <w:lang w:val="en"/>
        </w:rPr>
        <w:t xml:space="preserve"> (1:1) and received either the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regimen </w:t>
      </w:r>
      <w:r w:rsidRPr="009F1F67">
        <w:rPr>
          <w:rFonts w:ascii="Arial" w:hAnsi="Arial" w:cs="Arial"/>
          <w:lang w:val="en"/>
        </w:rPr>
        <w:t xml:space="preserve">or remained on the CAR regimen. Subjects </w:t>
      </w:r>
      <w:proofErr w:type="spellStart"/>
      <w:r w:rsidRPr="009F1F67">
        <w:rPr>
          <w:rFonts w:ascii="Arial" w:hAnsi="Arial" w:cs="Arial"/>
          <w:lang w:val="en"/>
        </w:rPr>
        <w:t>randomised</w:t>
      </w:r>
      <w:proofErr w:type="spellEnd"/>
      <w:r w:rsidRPr="009F1F67">
        <w:rPr>
          <w:rFonts w:ascii="Arial" w:hAnsi="Arial" w:cs="Arial"/>
          <w:lang w:val="en"/>
        </w:rPr>
        <w:t xml:space="preserve"> to receive the </w:t>
      </w:r>
      <w:proofErr w:type="spellStart"/>
      <w:r w:rsidR="009F1F67" w:rsidRPr="009F1F67">
        <w:rPr>
          <w:rFonts w:ascii="Arial" w:hAnsi="Arial" w:cs="Arial"/>
          <w:lang w:val="en"/>
        </w:rPr>
        <w:t>cabotegravir</w:t>
      </w:r>
      <w:proofErr w:type="spellEnd"/>
      <w:r w:rsidR="009F1F67" w:rsidRPr="009F1F67">
        <w:rPr>
          <w:rFonts w:ascii="Arial" w:hAnsi="Arial" w:cs="Arial"/>
          <w:lang w:val="en"/>
        </w:rPr>
        <w:t xml:space="preserve"> </w:t>
      </w:r>
      <w:r w:rsidRPr="009F1F67">
        <w:rPr>
          <w:rFonts w:ascii="Arial" w:hAnsi="Arial" w:cs="Arial"/>
          <w:lang w:val="en"/>
        </w:rPr>
        <w:t xml:space="preserve">plus </w:t>
      </w:r>
      <w:proofErr w:type="spellStart"/>
      <w:r w:rsidRPr="009F1F67">
        <w:rPr>
          <w:rFonts w:ascii="Arial" w:hAnsi="Arial" w:cs="Arial"/>
          <w:lang w:val="en"/>
        </w:rPr>
        <w:t>rilpivirine</w:t>
      </w:r>
      <w:proofErr w:type="spellEnd"/>
      <w:r w:rsidRPr="009F1F67">
        <w:rPr>
          <w:rFonts w:ascii="Arial" w:hAnsi="Arial" w:cs="Arial"/>
          <w:lang w:val="en"/>
        </w:rPr>
        <w:t xml:space="preserve"> regimen, initiated treatment with oral lead-in dosing with </w:t>
      </w:r>
      <w:r w:rsidR="00EC1C0B" w:rsidRPr="009F1F67">
        <w:rPr>
          <w:rFonts w:ascii="Arial" w:hAnsi="Arial" w:cs="Arial"/>
          <w:lang w:val="en"/>
        </w:rPr>
        <w:t>VOCABRIA</w:t>
      </w:r>
      <w:r w:rsidR="009F1F67" w:rsidRPr="009F1F67">
        <w:rPr>
          <w:rFonts w:ascii="Arial" w:hAnsi="Arial" w:cs="Arial"/>
          <w:lang w:val="en"/>
        </w:rPr>
        <w:t xml:space="preserve"> 30 </w:t>
      </w:r>
      <w:r w:rsidR="00AF5F12">
        <w:rPr>
          <w:rFonts w:ascii="Arial" w:hAnsi="Arial" w:cs="Arial"/>
          <w:lang w:val="en"/>
        </w:rPr>
        <w:t>mg</w:t>
      </w:r>
      <w:r w:rsidRPr="009F1F67">
        <w:rPr>
          <w:rFonts w:ascii="Arial" w:hAnsi="Arial" w:cs="Arial"/>
          <w:lang w:val="en"/>
        </w:rPr>
        <w:t xml:space="preserve"> tablets plus </w:t>
      </w:r>
      <w:proofErr w:type="spellStart"/>
      <w:r w:rsidRPr="009F1F67">
        <w:rPr>
          <w:rFonts w:ascii="Arial" w:hAnsi="Arial" w:cs="Arial"/>
          <w:lang w:val="en"/>
        </w:rPr>
        <w:t>rilpivirine</w:t>
      </w:r>
      <w:proofErr w:type="spellEnd"/>
      <w:r w:rsidRPr="009F1F67">
        <w:rPr>
          <w:rFonts w:ascii="Arial" w:hAnsi="Arial" w:cs="Arial"/>
          <w:lang w:val="en"/>
        </w:rPr>
        <w:t xml:space="preserve"> </w:t>
      </w:r>
      <w:r w:rsidR="009F1F67" w:rsidRPr="009F1F67">
        <w:rPr>
          <w:rFonts w:ascii="Arial" w:hAnsi="Arial" w:cs="Arial"/>
          <w:lang w:val="en"/>
        </w:rPr>
        <w:t xml:space="preserve">25 mg </w:t>
      </w:r>
      <w:r w:rsidRPr="009F1F67">
        <w:rPr>
          <w:rFonts w:ascii="Arial" w:hAnsi="Arial" w:cs="Arial"/>
          <w:lang w:val="en"/>
        </w:rPr>
        <w:t>tablets</w:t>
      </w:r>
      <w:r w:rsidR="009F1F67" w:rsidRPr="009F1F67">
        <w:rPr>
          <w:rFonts w:ascii="Arial" w:hAnsi="Arial" w:cs="Arial"/>
          <w:lang w:val="en"/>
        </w:rPr>
        <w:t xml:space="preserve">, daily, </w:t>
      </w:r>
      <w:r w:rsidRPr="009F1F67">
        <w:rPr>
          <w:rFonts w:ascii="Arial" w:hAnsi="Arial" w:cs="Arial"/>
          <w:lang w:val="en"/>
        </w:rPr>
        <w:t xml:space="preserve"> for at least 4 weeks, </w:t>
      </w:r>
      <w:bookmarkStart w:id="28" w:name="_Hlk29234453"/>
      <w:bookmarkStart w:id="29" w:name="_Hlk41916219"/>
      <w:r w:rsidR="009F1F67" w:rsidRPr="0090328A">
        <w:rPr>
          <w:rFonts w:ascii="Arial" w:hAnsi="Arial" w:cs="Arial"/>
          <w:szCs w:val="24"/>
        </w:rPr>
        <w:t xml:space="preserve">followed by treatment with </w:t>
      </w:r>
      <w:proofErr w:type="spellStart"/>
      <w:r w:rsidR="009F1F67" w:rsidRPr="0090328A">
        <w:rPr>
          <w:rFonts w:ascii="Arial" w:hAnsi="Arial" w:cs="Arial"/>
          <w:szCs w:val="24"/>
        </w:rPr>
        <w:t>cabotegravir</w:t>
      </w:r>
      <w:proofErr w:type="spellEnd"/>
      <w:r w:rsidR="009F1F67" w:rsidRPr="0090328A">
        <w:rPr>
          <w:rFonts w:ascii="Arial" w:hAnsi="Arial" w:cs="Arial"/>
          <w:szCs w:val="24"/>
        </w:rPr>
        <w:t xml:space="preserve"> injection </w:t>
      </w:r>
      <w:bookmarkEnd w:id="28"/>
      <w:r w:rsidR="009F1F67" w:rsidRPr="0090328A">
        <w:rPr>
          <w:rFonts w:ascii="Arial" w:hAnsi="Arial" w:cs="Arial"/>
          <w:szCs w:val="24"/>
        </w:rPr>
        <w:t xml:space="preserve">(month 1: 600 mg, month 2 onwards: 400 mg injection) plus </w:t>
      </w:r>
      <w:proofErr w:type="spellStart"/>
      <w:r w:rsidR="009F1F67" w:rsidRPr="0090328A">
        <w:rPr>
          <w:rFonts w:ascii="Arial" w:hAnsi="Arial" w:cs="Arial"/>
          <w:szCs w:val="24"/>
        </w:rPr>
        <w:t>rilpivirine</w:t>
      </w:r>
      <w:proofErr w:type="spellEnd"/>
      <w:r w:rsidR="009F1F67" w:rsidRPr="0090328A">
        <w:rPr>
          <w:rFonts w:ascii="Arial" w:hAnsi="Arial" w:cs="Arial"/>
          <w:szCs w:val="24"/>
        </w:rPr>
        <w:t xml:space="preserve"> injection (month 1: 900 mg injection, month 2 onwards: 600 mg injection), every month,</w:t>
      </w:r>
      <w:bookmarkEnd w:id="29"/>
      <w:r w:rsidR="009F1F67" w:rsidRPr="0090328A">
        <w:rPr>
          <w:rFonts w:ascii="Arial" w:hAnsi="Arial" w:cs="Arial"/>
          <w:szCs w:val="24"/>
        </w:rPr>
        <w:t xml:space="preserve"> </w:t>
      </w:r>
      <w:r w:rsidRPr="009F1F67">
        <w:rPr>
          <w:rFonts w:ascii="Arial" w:hAnsi="Arial" w:cs="Arial"/>
          <w:lang w:val="en"/>
        </w:rPr>
        <w:t>for an additional 44 weeks. In ATLAS, 50%, 17%, and 33% of subjects received an NNRTI, PI, or INI (respectively) as their</w:t>
      </w:r>
      <w:r w:rsidRPr="000D668F">
        <w:rPr>
          <w:rFonts w:ascii="Arial" w:hAnsi="Arial" w:cs="Arial"/>
          <w:lang w:val="en"/>
        </w:rPr>
        <w:t xml:space="preserve"> baseline third treatment medicine class prior to </w:t>
      </w:r>
      <w:proofErr w:type="spellStart"/>
      <w:r w:rsidRPr="000D668F">
        <w:rPr>
          <w:rFonts w:ascii="Arial" w:hAnsi="Arial" w:cs="Arial"/>
          <w:lang w:val="en"/>
        </w:rPr>
        <w:t>randomisation</w:t>
      </w:r>
      <w:proofErr w:type="spellEnd"/>
      <w:r w:rsidRPr="000D668F">
        <w:rPr>
          <w:rFonts w:ascii="Arial" w:hAnsi="Arial" w:cs="Arial"/>
          <w:lang w:val="en"/>
        </w:rPr>
        <w:t xml:space="preserve"> and this was similar between treatment arms.</w:t>
      </w:r>
    </w:p>
    <w:p w14:paraId="3123759B" w14:textId="3A7D4604"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At baseline, in the pooled analysis, for the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arm, the median age of subjects was 38 years, 27% were female, 27% were non-white, and 7% had CD4+ cell count less than 350 cells per mm3; these characteristics were similar between treatment arms.</w:t>
      </w:r>
    </w:p>
    <w:p w14:paraId="386381AB" w14:textId="77777777" w:rsidR="007D4266" w:rsidRPr="000D668F" w:rsidRDefault="007D4266" w:rsidP="000D668F">
      <w:pPr>
        <w:tabs>
          <w:tab w:val="left" w:pos="720"/>
        </w:tabs>
        <w:rPr>
          <w:rFonts w:ascii="Arial" w:hAnsi="Arial" w:cs="Arial"/>
          <w:lang w:val="en"/>
        </w:rPr>
      </w:pPr>
      <w:r w:rsidRPr="000D668F">
        <w:rPr>
          <w:rFonts w:ascii="Arial" w:hAnsi="Arial" w:cs="Arial"/>
          <w:lang w:val="en"/>
        </w:rPr>
        <w:lastRenderedPageBreak/>
        <w:t xml:space="preserve">The primary endpoint of both </w:t>
      </w:r>
      <w:r w:rsidR="00EC1C0B">
        <w:rPr>
          <w:rFonts w:ascii="Arial" w:hAnsi="Arial" w:cs="Arial"/>
          <w:lang w:val="en"/>
        </w:rPr>
        <w:t>studies</w:t>
      </w:r>
      <w:r w:rsidRPr="000D668F">
        <w:rPr>
          <w:rFonts w:ascii="Arial" w:hAnsi="Arial" w:cs="Arial"/>
          <w:lang w:val="en"/>
        </w:rPr>
        <w:t xml:space="preserve"> was the proportion of subjects with plasma HIV-1 RNA ≥50 copies/mL at week 48 (snapshot algorithm for the ITT-E population).</w:t>
      </w:r>
    </w:p>
    <w:p w14:paraId="5C72461A" w14:textId="6DFD51F2" w:rsidR="007D4266" w:rsidRPr="000D668F" w:rsidRDefault="007D4266" w:rsidP="00C46F97">
      <w:pPr>
        <w:tabs>
          <w:tab w:val="left" w:pos="720"/>
        </w:tabs>
        <w:rPr>
          <w:rFonts w:ascii="Arial" w:hAnsi="Arial" w:cs="Arial"/>
          <w:lang w:val="en"/>
        </w:rPr>
      </w:pPr>
      <w:r w:rsidRPr="000D668F">
        <w:rPr>
          <w:rFonts w:ascii="Arial" w:hAnsi="Arial" w:cs="Arial"/>
          <w:lang w:val="en"/>
        </w:rPr>
        <w:t xml:space="preserve">In a pooled analysis of the two pivotal </w:t>
      </w:r>
      <w:r w:rsidR="003C1FEB">
        <w:rPr>
          <w:rFonts w:ascii="Arial" w:hAnsi="Arial" w:cs="Arial"/>
          <w:lang w:val="en"/>
        </w:rPr>
        <w:t>studies</w:t>
      </w:r>
      <w:r w:rsidRPr="000D668F">
        <w:rPr>
          <w:rFonts w:ascii="Arial" w:hAnsi="Arial" w:cs="Arial"/>
          <w:lang w:val="en"/>
        </w:rPr>
        <w:t xml:space="preserve">,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was non-inferior to CAR on the proportion of subjects having plasma HIV-1 RNA ≥50 c/mL (1.9% and 1.7% respectively) at Week 48. The adjusted treatment difference between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and CAR (0.2; 95% CI: -1.4, 1.7) for the pooled analysis met the non-inferiority criterion (upper bound of the 95% CI below 4%). Furthermore, in the pooled analysis,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was non-inferior to CAR on the proportion of subjects having plasma HIV-1 RNA &lt;50 c/mL (93.1% and 94.4%, respectively) at Week 48. The adjusted treatment difference between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and CAR (-1.4; 95% CI: </w:t>
      </w:r>
      <w:r w:rsidRPr="000D668F">
        <w:rPr>
          <w:rFonts w:ascii="Arial" w:hAnsi="Arial" w:cs="Arial"/>
          <w:lang w:val="en"/>
        </w:rPr>
        <w:noBreakHyphen/>
        <w:t xml:space="preserve">4.1, 1.4) for the pooled analysis met the non-inferiority criteria (lower bound of the 95% CI greater than -10%. [See Table </w:t>
      </w:r>
      <w:r w:rsidR="00B11DE6">
        <w:rPr>
          <w:rFonts w:ascii="Arial" w:hAnsi="Arial" w:cs="Arial"/>
          <w:lang w:val="en"/>
        </w:rPr>
        <w:t>4</w:t>
      </w:r>
      <w:r w:rsidRPr="000D668F">
        <w:rPr>
          <w:rFonts w:ascii="Arial" w:hAnsi="Arial" w:cs="Arial"/>
          <w:lang w:val="en"/>
        </w:rPr>
        <w:t>]).</w:t>
      </w:r>
    </w:p>
    <w:p w14:paraId="26F82A24" w14:textId="2A3DA2CF"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The non-inferiority result established in FLAIR and ATLAS demonstrated that the length of HIV-1 RNA </w:t>
      </w:r>
      <w:proofErr w:type="spellStart"/>
      <w:r w:rsidRPr="000D668F">
        <w:rPr>
          <w:rFonts w:ascii="Arial" w:hAnsi="Arial" w:cs="Arial"/>
          <w:lang w:val="en"/>
        </w:rPr>
        <w:t>virologic</w:t>
      </w:r>
      <w:proofErr w:type="spellEnd"/>
      <w:r w:rsidRPr="000D668F">
        <w:rPr>
          <w:rFonts w:ascii="Arial" w:hAnsi="Arial" w:cs="Arial"/>
          <w:lang w:val="en"/>
        </w:rPr>
        <w:t xml:space="preserve"> suppression prior to initiation of </w:t>
      </w:r>
      <w:proofErr w:type="spellStart"/>
      <w:r w:rsidR="001E3F43">
        <w:rPr>
          <w:rFonts w:ascii="Arial" w:hAnsi="Arial" w:cs="Arial"/>
          <w:lang w:val="en"/>
        </w:rPr>
        <w:t>cabotegravir</w:t>
      </w:r>
      <w:proofErr w:type="spellEnd"/>
      <w:r w:rsidRPr="000D668F">
        <w:rPr>
          <w:rFonts w:ascii="Arial" w:hAnsi="Arial" w:cs="Arial"/>
          <w:lang w:val="en"/>
        </w:rPr>
        <w:t xml:space="preserve"> plus </w:t>
      </w:r>
      <w:proofErr w:type="spellStart"/>
      <w:r w:rsidRPr="000D668F">
        <w:rPr>
          <w:rFonts w:ascii="Arial" w:hAnsi="Arial" w:cs="Arial"/>
          <w:lang w:val="en"/>
        </w:rPr>
        <w:t>rilpivirine</w:t>
      </w:r>
      <w:proofErr w:type="spellEnd"/>
      <w:r w:rsidRPr="000D668F">
        <w:rPr>
          <w:rFonts w:ascii="Arial" w:hAnsi="Arial" w:cs="Arial"/>
          <w:lang w:val="en"/>
        </w:rPr>
        <w:t xml:space="preserve"> (i.e. &lt;6 months or ≥6 months) did not impact overall response rates.</w:t>
      </w:r>
    </w:p>
    <w:p w14:paraId="197560A0" w14:textId="77777777" w:rsidR="007D4266" w:rsidRPr="000D668F" w:rsidRDefault="007D4266" w:rsidP="000D668F">
      <w:pPr>
        <w:tabs>
          <w:tab w:val="left" w:pos="720"/>
        </w:tabs>
        <w:rPr>
          <w:rFonts w:ascii="Arial" w:hAnsi="Arial" w:cs="Arial"/>
          <w:lang w:val="en"/>
        </w:rPr>
      </w:pPr>
      <w:r w:rsidRPr="000D668F">
        <w:rPr>
          <w:rFonts w:ascii="Arial" w:hAnsi="Arial" w:cs="Arial"/>
          <w:lang w:val="en"/>
        </w:rPr>
        <w:t xml:space="preserve">The primary endpoint and other week 48 outcomes, including outcomes by key baseline factors, for FLAIR and ATLAS are shown in Tables </w:t>
      </w:r>
      <w:r w:rsidR="00095967">
        <w:rPr>
          <w:rFonts w:ascii="Arial" w:hAnsi="Arial" w:cs="Arial"/>
          <w:lang w:val="en"/>
        </w:rPr>
        <w:t>6</w:t>
      </w:r>
      <w:r w:rsidRPr="000D668F">
        <w:rPr>
          <w:rFonts w:ascii="Arial" w:hAnsi="Arial" w:cs="Arial"/>
          <w:lang w:val="en"/>
        </w:rPr>
        <w:t xml:space="preserve"> and </w:t>
      </w:r>
      <w:r w:rsidR="00095967">
        <w:rPr>
          <w:rFonts w:ascii="Arial" w:hAnsi="Arial" w:cs="Arial"/>
          <w:lang w:val="en"/>
        </w:rPr>
        <w:t>7</w:t>
      </w:r>
      <w:r w:rsidRPr="000D668F">
        <w:rPr>
          <w:rFonts w:ascii="Arial" w:hAnsi="Arial" w:cs="Arial"/>
          <w:lang w:val="en"/>
        </w:rPr>
        <w:t>.</w:t>
      </w:r>
    </w:p>
    <w:p w14:paraId="4708A0C8" w14:textId="199B9646" w:rsidR="007D4266" w:rsidRPr="005617F2" w:rsidRDefault="007D4266" w:rsidP="00843D75">
      <w:pPr>
        <w:tabs>
          <w:tab w:val="left" w:pos="720"/>
        </w:tabs>
        <w:spacing w:after="240" w:line="240" w:lineRule="auto"/>
        <w:ind w:left="1440" w:hanging="1440"/>
        <w:rPr>
          <w:rFonts w:ascii="Arial" w:hAnsi="Arial" w:cs="Arial"/>
          <w:b/>
        </w:rPr>
      </w:pPr>
      <w:r w:rsidRPr="005617F2">
        <w:rPr>
          <w:rFonts w:ascii="Arial" w:hAnsi="Arial" w:cs="Arial"/>
          <w:b/>
        </w:rPr>
        <w:t xml:space="preserve">Table </w:t>
      </w:r>
      <w:r w:rsidR="00B11DE6">
        <w:rPr>
          <w:rFonts w:ascii="Arial" w:hAnsi="Arial" w:cs="Arial"/>
          <w:b/>
        </w:rPr>
        <w:t>4</w:t>
      </w:r>
      <w:r w:rsidR="005617F2">
        <w:rPr>
          <w:rFonts w:ascii="Arial" w:hAnsi="Arial" w:cs="Arial"/>
          <w:b/>
        </w:rPr>
        <w:t>:</w:t>
      </w:r>
      <w:r w:rsidRPr="005617F2">
        <w:rPr>
          <w:rFonts w:ascii="Arial" w:hAnsi="Arial" w:cs="Arial"/>
          <w:b/>
        </w:rPr>
        <w:tab/>
      </w:r>
      <w:proofErr w:type="spellStart"/>
      <w:r w:rsidRPr="005617F2">
        <w:rPr>
          <w:rFonts w:ascii="Arial" w:hAnsi="Arial" w:cs="Arial"/>
          <w:b/>
        </w:rPr>
        <w:t>Virologic</w:t>
      </w:r>
      <w:proofErr w:type="spellEnd"/>
      <w:r w:rsidRPr="005617F2">
        <w:rPr>
          <w:rFonts w:ascii="Arial" w:hAnsi="Arial" w:cs="Arial"/>
          <w:b/>
        </w:rPr>
        <w:t xml:space="preserve"> Outcomes of Randomised Treatment of FLAIR and ATLAS at 48 Weeks (Snapshot</w:t>
      </w:r>
      <w:r>
        <w:rPr>
          <w:b/>
          <w:bCs/>
          <w:lang w:val="x-none" w:eastAsia="x-none"/>
        </w:rPr>
        <w:t xml:space="preserve"> </w:t>
      </w:r>
      <w:r w:rsidRPr="005617F2">
        <w:rPr>
          <w:rFonts w:ascii="Arial" w:hAnsi="Arial" w:cs="Arial"/>
          <w:b/>
        </w:rPr>
        <w:t>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85"/>
        <w:gridCol w:w="1185"/>
        <w:gridCol w:w="1134"/>
        <w:gridCol w:w="1134"/>
        <w:gridCol w:w="1125"/>
        <w:gridCol w:w="1221"/>
      </w:tblGrid>
      <w:tr w:rsidR="007D4266" w:rsidRPr="000D668F" w14:paraId="27330CA0" w14:textId="77777777" w:rsidTr="005617F2">
        <w:trPr>
          <w:tblHeader/>
        </w:trPr>
        <w:tc>
          <w:tcPr>
            <w:tcW w:w="1980" w:type="dxa"/>
            <w:tcBorders>
              <w:top w:val="single" w:sz="4" w:space="0" w:color="auto"/>
              <w:left w:val="single" w:sz="4" w:space="0" w:color="auto"/>
              <w:bottom w:val="single" w:sz="4" w:space="0" w:color="auto"/>
              <w:right w:val="single" w:sz="4" w:space="0" w:color="auto"/>
            </w:tcBorders>
          </w:tcPr>
          <w:p w14:paraId="310CFD83"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5A6650CC" w14:textId="77777777" w:rsidR="007D4266" w:rsidRPr="000D668F" w:rsidRDefault="007D4266" w:rsidP="00843D75">
            <w:pPr>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FLAIR</w:t>
            </w:r>
          </w:p>
        </w:tc>
        <w:tc>
          <w:tcPr>
            <w:tcW w:w="2268" w:type="dxa"/>
            <w:gridSpan w:val="2"/>
            <w:tcBorders>
              <w:top w:val="single" w:sz="4" w:space="0" w:color="auto"/>
              <w:left w:val="single" w:sz="4" w:space="0" w:color="auto"/>
              <w:bottom w:val="single" w:sz="4" w:space="0" w:color="auto"/>
              <w:right w:val="single" w:sz="4" w:space="0" w:color="auto"/>
            </w:tcBorders>
            <w:hideMark/>
          </w:tcPr>
          <w:p w14:paraId="22368385" w14:textId="77777777" w:rsidR="007D4266" w:rsidRPr="000D668F" w:rsidRDefault="007D4266" w:rsidP="00843D75">
            <w:pPr>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ATLAS</w:t>
            </w:r>
          </w:p>
        </w:tc>
        <w:tc>
          <w:tcPr>
            <w:tcW w:w="2346" w:type="dxa"/>
            <w:gridSpan w:val="2"/>
            <w:tcBorders>
              <w:top w:val="single" w:sz="4" w:space="0" w:color="auto"/>
              <w:left w:val="single" w:sz="4" w:space="0" w:color="auto"/>
              <w:bottom w:val="single" w:sz="4" w:space="0" w:color="auto"/>
              <w:right w:val="single" w:sz="4" w:space="0" w:color="auto"/>
            </w:tcBorders>
            <w:hideMark/>
          </w:tcPr>
          <w:p w14:paraId="20603DE4" w14:textId="77777777" w:rsidR="007D4266" w:rsidRPr="000D668F" w:rsidRDefault="007D4266" w:rsidP="00843D75">
            <w:pPr>
              <w:tabs>
                <w:tab w:val="left" w:pos="720"/>
              </w:tabs>
              <w:spacing w:before="100" w:beforeAutospacing="1" w:after="60"/>
              <w:jc w:val="center"/>
              <w:rPr>
                <w:rFonts w:ascii="Arial Narrow" w:hAnsi="Arial Narrow"/>
                <w:b/>
                <w:sz w:val="20"/>
                <w:szCs w:val="20"/>
                <w:lang w:val="en-US" w:eastAsia="en-GB"/>
              </w:rPr>
            </w:pPr>
            <w:r w:rsidRPr="000D668F">
              <w:rPr>
                <w:rFonts w:ascii="Arial Narrow" w:hAnsi="Arial Narrow"/>
                <w:b/>
                <w:sz w:val="20"/>
                <w:szCs w:val="20"/>
                <w:lang w:val="en-US" w:eastAsia="en-GB"/>
              </w:rPr>
              <w:t>Pooled Data</w:t>
            </w:r>
          </w:p>
        </w:tc>
      </w:tr>
      <w:tr w:rsidR="007D4266" w:rsidRPr="000D668F" w14:paraId="07B0649C" w14:textId="77777777" w:rsidTr="005617F2">
        <w:tc>
          <w:tcPr>
            <w:tcW w:w="1980" w:type="dxa"/>
            <w:tcBorders>
              <w:top w:val="single" w:sz="4" w:space="0" w:color="auto"/>
              <w:left w:val="single" w:sz="4" w:space="0" w:color="auto"/>
              <w:bottom w:val="single" w:sz="4" w:space="0" w:color="auto"/>
              <w:right w:val="single" w:sz="4" w:space="0" w:color="auto"/>
            </w:tcBorders>
          </w:tcPr>
          <w:p w14:paraId="6C7823D3"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p>
        </w:tc>
        <w:tc>
          <w:tcPr>
            <w:tcW w:w="1134" w:type="dxa"/>
            <w:tcBorders>
              <w:top w:val="single" w:sz="4" w:space="0" w:color="auto"/>
              <w:left w:val="single" w:sz="4" w:space="0" w:color="auto"/>
              <w:bottom w:val="single" w:sz="4" w:space="0" w:color="auto"/>
              <w:right w:val="single" w:sz="4" w:space="0" w:color="auto"/>
            </w:tcBorders>
            <w:hideMark/>
          </w:tcPr>
          <w:p w14:paraId="58033D5A" w14:textId="77777777" w:rsidR="007D4266" w:rsidRPr="000D668F" w:rsidRDefault="000D668F" w:rsidP="00843D75">
            <w:pPr>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 RPV</w:t>
            </w:r>
          </w:p>
          <w:p w14:paraId="0F558E86"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N=283</w:t>
            </w:r>
          </w:p>
        </w:tc>
        <w:tc>
          <w:tcPr>
            <w:tcW w:w="1134" w:type="dxa"/>
            <w:tcBorders>
              <w:top w:val="single" w:sz="4" w:space="0" w:color="auto"/>
              <w:left w:val="single" w:sz="4" w:space="0" w:color="auto"/>
              <w:bottom w:val="single" w:sz="4" w:space="0" w:color="auto"/>
              <w:right w:val="single" w:sz="4" w:space="0" w:color="auto"/>
            </w:tcBorders>
            <w:hideMark/>
          </w:tcPr>
          <w:p w14:paraId="60496293"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7A578E92"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N=283</w:t>
            </w:r>
          </w:p>
        </w:tc>
        <w:tc>
          <w:tcPr>
            <w:tcW w:w="1134" w:type="dxa"/>
            <w:tcBorders>
              <w:top w:val="single" w:sz="4" w:space="0" w:color="auto"/>
              <w:left w:val="single" w:sz="4" w:space="0" w:color="auto"/>
              <w:bottom w:val="single" w:sz="4" w:space="0" w:color="auto"/>
              <w:right w:val="single" w:sz="4" w:space="0" w:color="auto"/>
            </w:tcBorders>
            <w:hideMark/>
          </w:tcPr>
          <w:p w14:paraId="0C0569D5" w14:textId="77777777" w:rsidR="007D4266" w:rsidRPr="000D668F" w:rsidRDefault="000D668F" w:rsidP="00843D75">
            <w:pPr>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 RPV</w:t>
            </w:r>
          </w:p>
          <w:p w14:paraId="46B9CE58"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N=308</w:t>
            </w:r>
          </w:p>
        </w:tc>
        <w:tc>
          <w:tcPr>
            <w:tcW w:w="1134" w:type="dxa"/>
            <w:tcBorders>
              <w:top w:val="single" w:sz="4" w:space="0" w:color="auto"/>
              <w:left w:val="single" w:sz="4" w:space="0" w:color="auto"/>
              <w:bottom w:val="single" w:sz="4" w:space="0" w:color="auto"/>
              <w:right w:val="single" w:sz="4" w:space="0" w:color="auto"/>
            </w:tcBorders>
            <w:hideMark/>
          </w:tcPr>
          <w:p w14:paraId="612DE820"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392EEB84"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N=308</w:t>
            </w:r>
          </w:p>
        </w:tc>
        <w:tc>
          <w:tcPr>
            <w:tcW w:w="1125" w:type="dxa"/>
            <w:tcBorders>
              <w:top w:val="single" w:sz="4" w:space="0" w:color="auto"/>
              <w:left w:val="single" w:sz="4" w:space="0" w:color="auto"/>
              <w:bottom w:val="single" w:sz="4" w:space="0" w:color="auto"/>
              <w:right w:val="single" w:sz="4" w:space="0" w:color="auto"/>
            </w:tcBorders>
            <w:hideMark/>
          </w:tcPr>
          <w:p w14:paraId="580E0343" w14:textId="77777777" w:rsidR="005617F2" w:rsidRDefault="005617F2" w:rsidP="00843D75">
            <w:pPr>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0D668F">
              <w:rPr>
                <w:rFonts w:ascii="Arial Narrow" w:hAnsi="Arial Narrow"/>
                <w:b/>
                <w:sz w:val="20"/>
                <w:szCs w:val="20"/>
                <w:lang w:val="en-US" w:eastAsia="en-GB"/>
              </w:rPr>
              <w:t xml:space="preserve"> +RPV</w:t>
            </w:r>
          </w:p>
          <w:p w14:paraId="2CA01927"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N=591</w:t>
            </w:r>
          </w:p>
        </w:tc>
        <w:tc>
          <w:tcPr>
            <w:tcW w:w="1221" w:type="dxa"/>
            <w:tcBorders>
              <w:top w:val="single" w:sz="4" w:space="0" w:color="auto"/>
              <w:left w:val="single" w:sz="4" w:space="0" w:color="auto"/>
              <w:bottom w:val="single" w:sz="4" w:space="0" w:color="auto"/>
              <w:right w:val="single" w:sz="4" w:space="0" w:color="auto"/>
            </w:tcBorders>
            <w:hideMark/>
          </w:tcPr>
          <w:p w14:paraId="14F1B1A8" w14:textId="77777777" w:rsidR="005617F2"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CAR</w:t>
            </w:r>
          </w:p>
          <w:p w14:paraId="17392E42" w14:textId="77777777" w:rsidR="007D4266" w:rsidRPr="000D668F" w:rsidRDefault="007D4266" w:rsidP="00843D75">
            <w:pPr>
              <w:tabs>
                <w:tab w:val="left" w:pos="720"/>
              </w:tabs>
              <w:spacing w:after="60"/>
              <w:jc w:val="center"/>
              <w:rPr>
                <w:rFonts w:ascii="Arial Narrow" w:hAnsi="Arial Narrow"/>
                <w:b/>
                <w:sz w:val="20"/>
                <w:szCs w:val="20"/>
                <w:lang w:val="en-US" w:eastAsia="en-GB"/>
              </w:rPr>
            </w:pPr>
            <w:r w:rsidRPr="000D668F">
              <w:rPr>
                <w:rFonts w:ascii="Arial Narrow" w:hAnsi="Arial Narrow"/>
                <w:b/>
                <w:sz w:val="20"/>
                <w:szCs w:val="20"/>
                <w:lang w:val="en-US" w:eastAsia="en-GB"/>
              </w:rPr>
              <w:t>N=591</w:t>
            </w:r>
          </w:p>
        </w:tc>
      </w:tr>
      <w:tr w:rsidR="007D4266" w:rsidRPr="000D668F" w14:paraId="66C079A5"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151064DB" w14:textId="77777777" w:rsidR="007D4266" w:rsidRPr="000D668F" w:rsidRDefault="007D4266" w:rsidP="00843D75">
            <w:pPr>
              <w:tabs>
                <w:tab w:val="left" w:pos="720"/>
              </w:tabs>
              <w:spacing w:before="100" w:beforeAutospacing="1" w:after="60"/>
              <w:rPr>
                <w:rFonts w:ascii="Arial Narrow" w:hAnsi="Arial Narrow"/>
                <w:b/>
                <w:bCs/>
                <w:sz w:val="20"/>
                <w:szCs w:val="20"/>
                <w:lang w:val="en-US" w:eastAsia="en-GB"/>
              </w:rPr>
            </w:pPr>
            <w:r w:rsidRPr="000D668F">
              <w:rPr>
                <w:rFonts w:ascii="Arial Narrow" w:hAnsi="Arial Narrow"/>
                <w:b/>
                <w:bCs/>
                <w:sz w:val="20"/>
                <w:szCs w:val="20"/>
                <w:lang w:val="en-US" w:eastAsia="en-GB"/>
              </w:rPr>
              <w:t>HIV-1 RNA≥50 copies/mL†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F9D12B"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6 (2.1)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DA2D84"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112B6C"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 (1.6)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BB9B7C"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3 (1.0)</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848C84C"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(1.9)</w:t>
            </w:r>
          </w:p>
        </w:tc>
        <w:tc>
          <w:tcPr>
            <w:tcW w:w="1221" w:type="dxa"/>
            <w:tcBorders>
              <w:top w:val="single" w:sz="4" w:space="0" w:color="auto"/>
              <w:left w:val="single" w:sz="4" w:space="0" w:color="auto"/>
              <w:bottom w:val="single" w:sz="4" w:space="0" w:color="auto"/>
              <w:right w:val="single" w:sz="4" w:space="0" w:color="auto"/>
            </w:tcBorders>
            <w:vAlign w:val="center"/>
            <w:hideMark/>
          </w:tcPr>
          <w:p w14:paraId="4B390D4F"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10 (1.7)</w:t>
            </w:r>
          </w:p>
        </w:tc>
      </w:tr>
      <w:tr w:rsidR="007D4266" w:rsidRPr="000D668F" w14:paraId="60666EC2"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0107A901" w14:textId="77777777" w:rsidR="007D4266" w:rsidRPr="000D668F" w:rsidRDefault="007D4266" w:rsidP="00843D75">
            <w:pPr>
              <w:tabs>
                <w:tab w:val="left" w:pos="720"/>
              </w:tabs>
              <w:spacing w:before="100" w:beforeAutospacing="1" w:after="60"/>
              <w:rPr>
                <w:rFonts w:ascii="Arial Narrow" w:hAnsi="Arial Narrow"/>
                <w:b/>
                <w:bCs/>
                <w:sz w:val="20"/>
                <w:szCs w:val="20"/>
                <w:lang w:val="en-US" w:eastAsia="en-GB"/>
              </w:rPr>
            </w:pPr>
            <w:r w:rsidRPr="000D668F">
              <w:rPr>
                <w:rFonts w:ascii="Arial Narrow" w:hAnsi="Arial Narrow"/>
                <w:b/>
                <w:bCs/>
                <w:sz w:val="20"/>
                <w:szCs w:val="20"/>
                <w:lang w:val="en-US" w:eastAsia="en-GB"/>
              </w:rPr>
              <w:t xml:space="preserve">Treatment </w:t>
            </w:r>
            <w:r w:rsidRPr="000D668F">
              <w:rPr>
                <w:rFonts w:ascii="Arial Narrow" w:hAnsi="Arial Narrow"/>
                <w:b/>
                <w:sz w:val="20"/>
                <w:szCs w:val="20"/>
                <w:lang w:val="en-US" w:eastAsia="en-GB"/>
              </w:rPr>
              <w:t>Difference % (95% CI)</w:t>
            </w:r>
            <w:r w:rsidRPr="000D668F">
              <w:rPr>
                <w:rFonts w:ascii="Arial Narrow" w:hAnsi="Arial Narrow"/>
                <w:sz w:val="20"/>
                <w:szCs w:val="20"/>
                <w:lang w:val="en-US" w:eastAsia="en-GB"/>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DEB3AB8"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-0.4 (-2.8,2.1)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43876E4"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0.7 (-1.2, 2.5)</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6535EA32"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0.2 (-1.4, 1.7)</w:t>
            </w:r>
          </w:p>
        </w:tc>
      </w:tr>
      <w:tr w:rsidR="007D4266" w:rsidRPr="000D668F" w14:paraId="3037DD21"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54B3E636"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r w:rsidRPr="000D668F">
              <w:rPr>
                <w:rFonts w:ascii="Arial Narrow" w:hAnsi="Arial Narrow"/>
                <w:b/>
                <w:bCs/>
                <w:sz w:val="20"/>
                <w:szCs w:val="20"/>
                <w:lang w:val="en-US" w:eastAsia="en-GB"/>
              </w:rPr>
              <w:t>HIV-1 RNA &lt;50 copies/mL</w:t>
            </w:r>
          </w:p>
        </w:tc>
        <w:tc>
          <w:tcPr>
            <w:tcW w:w="1134" w:type="dxa"/>
            <w:tcBorders>
              <w:top w:val="single" w:sz="4" w:space="0" w:color="auto"/>
              <w:left w:val="single" w:sz="4" w:space="0" w:color="auto"/>
              <w:bottom w:val="single" w:sz="4" w:space="0" w:color="auto"/>
              <w:right w:val="single" w:sz="4" w:space="0" w:color="auto"/>
            </w:tcBorders>
            <w:hideMark/>
          </w:tcPr>
          <w:p w14:paraId="14938860"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265 (93.6)</w:t>
            </w:r>
          </w:p>
        </w:tc>
        <w:tc>
          <w:tcPr>
            <w:tcW w:w="1134" w:type="dxa"/>
            <w:tcBorders>
              <w:top w:val="single" w:sz="4" w:space="0" w:color="auto"/>
              <w:left w:val="single" w:sz="4" w:space="0" w:color="auto"/>
              <w:bottom w:val="single" w:sz="4" w:space="0" w:color="auto"/>
              <w:right w:val="single" w:sz="4" w:space="0" w:color="auto"/>
            </w:tcBorders>
            <w:hideMark/>
          </w:tcPr>
          <w:p w14:paraId="7AE38DC8"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264 (93.3)</w:t>
            </w:r>
          </w:p>
        </w:tc>
        <w:tc>
          <w:tcPr>
            <w:tcW w:w="1134" w:type="dxa"/>
            <w:tcBorders>
              <w:top w:val="single" w:sz="4" w:space="0" w:color="auto"/>
              <w:left w:val="single" w:sz="4" w:space="0" w:color="auto"/>
              <w:bottom w:val="single" w:sz="4" w:space="0" w:color="auto"/>
              <w:right w:val="single" w:sz="4" w:space="0" w:color="auto"/>
            </w:tcBorders>
            <w:hideMark/>
          </w:tcPr>
          <w:p w14:paraId="06C339BB"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285 (92.5)</w:t>
            </w:r>
          </w:p>
        </w:tc>
        <w:tc>
          <w:tcPr>
            <w:tcW w:w="1134" w:type="dxa"/>
            <w:tcBorders>
              <w:top w:val="single" w:sz="4" w:space="0" w:color="auto"/>
              <w:left w:val="single" w:sz="4" w:space="0" w:color="auto"/>
              <w:bottom w:val="single" w:sz="4" w:space="0" w:color="auto"/>
              <w:right w:val="single" w:sz="4" w:space="0" w:color="auto"/>
            </w:tcBorders>
            <w:hideMark/>
          </w:tcPr>
          <w:p w14:paraId="0A8A6905"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294 (95.5)</w:t>
            </w:r>
          </w:p>
        </w:tc>
        <w:tc>
          <w:tcPr>
            <w:tcW w:w="1125" w:type="dxa"/>
            <w:tcBorders>
              <w:top w:val="single" w:sz="4" w:space="0" w:color="auto"/>
              <w:left w:val="single" w:sz="4" w:space="0" w:color="auto"/>
              <w:bottom w:val="single" w:sz="4" w:space="0" w:color="auto"/>
              <w:right w:val="single" w:sz="4" w:space="0" w:color="auto"/>
            </w:tcBorders>
            <w:hideMark/>
          </w:tcPr>
          <w:p w14:paraId="7AEB8D20"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550 (93.1)</w:t>
            </w:r>
          </w:p>
        </w:tc>
        <w:tc>
          <w:tcPr>
            <w:tcW w:w="1221" w:type="dxa"/>
            <w:tcBorders>
              <w:top w:val="single" w:sz="4" w:space="0" w:color="auto"/>
              <w:left w:val="single" w:sz="4" w:space="0" w:color="auto"/>
              <w:bottom w:val="single" w:sz="4" w:space="0" w:color="auto"/>
              <w:right w:val="single" w:sz="4" w:space="0" w:color="auto"/>
            </w:tcBorders>
            <w:hideMark/>
          </w:tcPr>
          <w:p w14:paraId="3991FA30" w14:textId="77777777" w:rsidR="007D4266" w:rsidRPr="000D668F" w:rsidRDefault="007D4266" w:rsidP="00843D75">
            <w:pPr>
              <w:tabs>
                <w:tab w:val="left" w:pos="720"/>
              </w:tabs>
              <w:autoSpaceDE w:val="0"/>
              <w:autoSpaceDN w:val="0"/>
              <w:adjustRightInd w:val="0"/>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558 (94.4)</w:t>
            </w:r>
          </w:p>
        </w:tc>
      </w:tr>
      <w:tr w:rsidR="007D4266" w:rsidRPr="000D668F" w14:paraId="782EE361"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6A2AFEB9" w14:textId="77777777" w:rsidR="007D4266" w:rsidRPr="001B193F" w:rsidRDefault="007D4266" w:rsidP="00843D75">
            <w:pPr>
              <w:tabs>
                <w:tab w:val="left" w:pos="720"/>
              </w:tabs>
              <w:spacing w:before="100" w:beforeAutospacing="1" w:after="60"/>
              <w:rPr>
                <w:rFonts w:ascii="Arial Narrow" w:hAnsi="Arial Narrow"/>
                <w:b/>
                <w:bCs/>
                <w:sz w:val="20"/>
                <w:szCs w:val="20"/>
                <w:lang w:val="en-US" w:eastAsia="en-GB"/>
              </w:rPr>
            </w:pPr>
            <w:r w:rsidRPr="00FF7220">
              <w:rPr>
                <w:rFonts w:ascii="Arial Narrow" w:hAnsi="Arial Narrow"/>
                <w:b/>
                <w:sz w:val="20"/>
                <w:szCs w:val="20"/>
                <w:lang w:val="en-US" w:eastAsia="en-GB"/>
              </w:rPr>
              <w:t>Treatment Difference % (95% CI)*</w:t>
            </w:r>
          </w:p>
        </w:tc>
        <w:tc>
          <w:tcPr>
            <w:tcW w:w="2268" w:type="dxa"/>
            <w:gridSpan w:val="2"/>
            <w:tcBorders>
              <w:top w:val="single" w:sz="4" w:space="0" w:color="auto"/>
              <w:left w:val="single" w:sz="4" w:space="0" w:color="auto"/>
              <w:bottom w:val="single" w:sz="4" w:space="0" w:color="auto"/>
              <w:right w:val="single" w:sz="4" w:space="0" w:color="auto"/>
            </w:tcBorders>
            <w:hideMark/>
          </w:tcPr>
          <w:tbl>
            <w:tblPr>
              <w:tblW w:w="2153" w:type="dxa"/>
              <w:tblLook w:val="04A0" w:firstRow="1" w:lastRow="0" w:firstColumn="1" w:lastColumn="0" w:noHBand="0" w:noVBand="1"/>
            </w:tblPr>
            <w:tblGrid>
              <w:gridCol w:w="2153"/>
            </w:tblGrid>
            <w:tr w:rsidR="001B193F" w:rsidRPr="001B193F" w14:paraId="1B106595" w14:textId="77777777" w:rsidTr="00A9234B">
              <w:trPr>
                <w:trHeight w:val="103"/>
              </w:trPr>
              <w:tc>
                <w:tcPr>
                  <w:tcW w:w="2153" w:type="dxa"/>
                  <w:tcBorders>
                    <w:top w:val="nil"/>
                    <w:left w:val="nil"/>
                    <w:bottom w:val="nil"/>
                  </w:tcBorders>
                  <w:hideMark/>
                </w:tcPr>
                <w:p w14:paraId="0E7AE0D8" w14:textId="77777777" w:rsidR="001B193F" w:rsidRPr="00FF7220" w:rsidRDefault="001B193F" w:rsidP="00843D75">
                  <w:pPr>
                    <w:tabs>
                      <w:tab w:val="left" w:pos="720"/>
                    </w:tabs>
                    <w:autoSpaceDE w:val="0"/>
                    <w:autoSpaceDN w:val="0"/>
                    <w:adjustRightInd w:val="0"/>
                    <w:spacing w:before="120" w:after="60"/>
                    <w:jc w:val="center"/>
                    <w:rPr>
                      <w:rFonts w:ascii="Arial Narrow" w:hAnsi="Arial Narrow"/>
                      <w:color w:val="000000"/>
                      <w:sz w:val="20"/>
                      <w:szCs w:val="20"/>
                      <w:lang w:val="en-US"/>
                    </w:rPr>
                  </w:pPr>
                  <w:r w:rsidRPr="00FF7220">
                    <w:rPr>
                      <w:rFonts w:ascii="Arial Narrow" w:hAnsi="Arial Narrow"/>
                      <w:color w:val="000000"/>
                      <w:sz w:val="20"/>
                      <w:szCs w:val="20"/>
                      <w:lang w:val="en-US"/>
                    </w:rPr>
                    <w:t>0.4 (-3.7, 4.5)</w:t>
                  </w:r>
                </w:p>
              </w:tc>
            </w:tr>
          </w:tbl>
          <w:p w14:paraId="5F15D7EC" w14:textId="77777777" w:rsidR="007D4266" w:rsidRPr="000D668F" w:rsidRDefault="007D4266" w:rsidP="00843D75">
            <w:pPr>
              <w:tabs>
                <w:tab w:val="left" w:pos="720"/>
              </w:tabs>
              <w:spacing w:before="120" w:after="60"/>
              <w:jc w:val="center"/>
              <w:rPr>
                <w:rFonts w:ascii="Arial Narrow" w:hAnsi="Arial Narrow"/>
                <w:sz w:val="20"/>
                <w:szCs w:val="20"/>
                <w:lang w:val="en-US" w:eastAsia="en-GB"/>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64096DEC" w14:textId="77777777" w:rsidR="007D4266" w:rsidRPr="000D668F" w:rsidRDefault="007D4266" w:rsidP="00843D75">
            <w:pPr>
              <w:tabs>
                <w:tab w:val="left" w:pos="720"/>
              </w:tabs>
              <w:autoSpaceDE w:val="0"/>
              <w:autoSpaceDN w:val="0"/>
              <w:adjustRightInd w:val="0"/>
              <w:spacing w:before="120" w:after="60"/>
              <w:jc w:val="center"/>
              <w:rPr>
                <w:rFonts w:ascii="Arial Narrow" w:hAnsi="Arial Narrow"/>
                <w:color w:val="000000"/>
                <w:sz w:val="20"/>
                <w:szCs w:val="20"/>
                <w:lang w:val="en-US"/>
              </w:rPr>
            </w:pPr>
            <w:r w:rsidRPr="000D668F">
              <w:rPr>
                <w:rFonts w:ascii="Arial Narrow" w:hAnsi="Arial Narrow"/>
                <w:color w:val="000000"/>
                <w:sz w:val="20"/>
                <w:szCs w:val="20"/>
                <w:lang w:val="en-US"/>
              </w:rPr>
              <w:t>-3.0 (-6.7, 0.7)</w:t>
            </w:r>
          </w:p>
        </w:tc>
        <w:tc>
          <w:tcPr>
            <w:tcW w:w="2346" w:type="dxa"/>
            <w:gridSpan w:val="2"/>
            <w:tcBorders>
              <w:top w:val="single" w:sz="4" w:space="0" w:color="auto"/>
              <w:left w:val="single" w:sz="4" w:space="0" w:color="auto"/>
              <w:bottom w:val="single" w:sz="4" w:space="0" w:color="auto"/>
              <w:right w:val="single" w:sz="4" w:space="0" w:color="auto"/>
            </w:tcBorders>
            <w:hideMark/>
          </w:tcPr>
          <w:p w14:paraId="58CAD3DE" w14:textId="77777777" w:rsidR="007D4266" w:rsidRPr="000D668F" w:rsidRDefault="007D4266" w:rsidP="00843D75">
            <w:pPr>
              <w:tabs>
                <w:tab w:val="left" w:pos="720"/>
              </w:tabs>
              <w:autoSpaceDE w:val="0"/>
              <w:autoSpaceDN w:val="0"/>
              <w:adjustRightInd w:val="0"/>
              <w:spacing w:before="120" w:after="60"/>
              <w:jc w:val="center"/>
              <w:rPr>
                <w:rFonts w:ascii="Arial Narrow" w:hAnsi="Arial Narrow"/>
                <w:sz w:val="20"/>
                <w:szCs w:val="20"/>
                <w:lang w:val="en-US" w:eastAsia="en-GB"/>
              </w:rPr>
            </w:pPr>
            <w:r w:rsidRPr="000D668F">
              <w:rPr>
                <w:rFonts w:ascii="Arial Narrow" w:hAnsi="Arial Narrow"/>
                <w:sz w:val="20"/>
                <w:szCs w:val="20"/>
                <w:lang w:val="en-US" w:eastAsia="en-GB"/>
              </w:rPr>
              <w:t>-1.4 (-4.1, 1.4)</w:t>
            </w:r>
          </w:p>
        </w:tc>
      </w:tr>
      <w:tr w:rsidR="007D4266" w:rsidRPr="000D668F" w14:paraId="2AFD13C5" w14:textId="77777777" w:rsidTr="005617F2">
        <w:tc>
          <w:tcPr>
            <w:tcW w:w="1980" w:type="dxa"/>
            <w:tcBorders>
              <w:top w:val="single" w:sz="4" w:space="0" w:color="auto"/>
              <w:left w:val="single" w:sz="4" w:space="0" w:color="auto"/>
              <w:bottom w:val="single" w:sz="4" w:space="0" w:color="auto"/>
              <w:right w:val="single" w:sz="4" w:space="0" w:color="auto"/>
            </w:tcBorders>
            <w:vAlign w:val="center"/>
            <w:hideMark/>
          </w:tcPr>
          <w:p w14:paraId="39D60A7B" w14:textId="77777777" w:rsidR="007D4266" w:rsidRPr="000D668F" w:rsidRDefault="007D4266" w:rsidP="00843D75">
            <w:pPr>
              <w:tabs>
                <w:tab w:val="left" w:pos="720"/>
              </w:tabs>
              <w:spacing w:before="100" w:beforeAutospacing="1" w:after="60"/>
              <w:rPr>
                <w:rFonts w:ascii="Arial Narrow" w:hAnsi="Arial Narrow"/>
                <w:b/>
                <w:sz w:val="20"/>
                <w:szCs w:val="20"/>
                <w:lang w:val="en-US" w:eastAsia="en-GB"/>
              </w:rPr>
            </w:pPr>
            <w:r w:rsidRPr="000D668F">
              <w:rPr>
                <w:rFonts w:ascii="Arial Narrow" w:hAnsi="Arial Narrow"/>
                <w:b/>
                <w:sz w:val="20"/>
                <w:szCs w:val="20"/>
                <w:lang w:val="en-US" w:eastAsia="en-GB"/>
              </w:rPr>
              <w:t xml:space="preserve">No </w:t>
            </w:r>
            <w:proofErr w:type="spellStart"/>
            <w:r w:rsidRPr="000D668F">
              <w:rPr>
                <w:rFonts w:ascii="Arial Narrow" w:hAnsi="Arial Narrow"/>
                <w:b/>
                <w:sz w:val="20"/>
                <w:szCs w:val="20"/>
                <w:lang w:val="en-US" w:eastAsia="en-GB"/>
              </w:rPr>
              <w:t>virologic</w:t>
            </w:r>
            <w:proofErr w:type="spellEnd"/>
            <w:r w:rsidRPr="000D668F">
              <w:rPr>
                <w:rFonts w:ascii="Arial Narrow" w:hAnsi="Arial Narrow"/>
                <w:b/>
                <w:sz w:val="20"/>
                <w:szCs w:val="20"/>
                <w:lang w:val="en-US" w:eastAsia="en-GB"/>
              </w:rPr>
              <w:t xml:space="preserve"> data at Week 48 window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5CEF77"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12 (4.2)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B9FD0"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12 (4.2)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0EEADE"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18 (5.8)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552DAD"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(3.6)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AC61664"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30 (5.1)</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C5604A6"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23 (3.9)</w:t>
            </w:r>
          </w:p>
        </w:tc>
      </w:tr>
      <w:tr w:rsidR="007D4266" w:rsidRPr="000D668F" w14:paraId="07787F6A" w14:textId="77777777" w:rsidTr="003E7E6F">
        <w:tc>
          <w:tcPr>
            <w:tcW w:w="8862" w:type="dxa"/>
            <w:gridSpan w:val="7"/>
            <w:tcBorders>
              <w:top w:val="single" w:sz="4" w:space="0" w:color="auto"/>
              <w:left w:val="single" w:sz="4" w:space="0" w:color="auto"/>
              <w:bottom w:val="single" w:sz="4" w:space="0" w:color="auto"/>
              <w:right w:val="single" w:sz="4" w:space="0" w:color="auto"/>
            </w:tcBorders>
            <w:hideMark/>
          </w:tcPr>
          <w:p w14:paraId="49EC40A3"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u w:val="single"/>
                <w:lang w:val="en-US" w:eastAsia="en-GB"/>
              </w:rPr>
              <w:t>Reasons</w:t>
            </w:r>
          </w:p>
        </w:tc>
      </w:tr>
      <w:tr w:rsidR="007D4266" w:rsidRPr="000D668F" w14:paraId="43A5F4DA" w14:textId="77777777" w:rsidTr="005617F2">
        <w:tc>
          <w:tcPr>
            <w:tcW w:w="1980" w:type="dxa"/>
            <w:tcBorders>
              <w:top w:val="single" w:sz="4" w:space="0" w:color="auto"/>
              <w:left w:val="single" w:sz="4" w:space="0" w:color="auto"/>
              <w:bottom w:val="nil"/>
              <w:right w:val="single" w:sz="4" w:space="0" w:color="auto"/>
            </w:tcBorders>
            <w:vAlign w:val="center"/>
            <w:hideMark/>
          </w:tcPr>
          <w:p w14:paraId="34BCC2F3"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Discontinued study/study drug due to adverse event or death</w:t>
            </w:r>
          </w:p>
        </w:tc>
        <w:tc>
          <w:tcPr>
            <w:tcW w:w="1134" w:type="dxa"/>
            <w:tcBorders>
              <w:top w:val="single" w:sz="4" w:space="0" w:color="auto"/>
              <w:left w:val="single" w:sz="4" w:space="0" w:color="auto"/>
              <w:bottom w:val="nil"/>
              <w:right w:val="single" w:sz="4" w:space="0" w:color="auto"/>
            </w:tcBorders>
            <w:vAlign w:val="center"/>
            <w:hideMark/>
          </w:tcPr>
          <w:p w14:paraId="488FBC05"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8 (2.8)</w:t>
            </w:r>
          </w:p>
        </w:tc>
        <w:tc>
          <w:tcPr>
            <w:tcW w:w="1134" w:type="dxa"/>
            <w:tcBorders>
              <w:top w:val="single" w:sz="4" w:space="0" w:color="auto"/>
              <w:left w:val="single" w:sz="4" w:space="0" w:color="auto"/>
              <w:bottom w:val="nil"/>
              <w:right w:val="single" w:sz="4" w:space="0" w:color="auto"/>
            </w:tcBorders>
            <w:vAlign w:val="center"/>
            <w:hideMark/>
          </w:tcPr>
          <w:p w14:paraId="4D2CDA31"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2 (0.7)</w:t>
            </w:r>
          </w:p>
        </w:tc>
        <w:tc>
          <w:tcPr>
            <w:tcW w:w="1134" w:type="dxa"/>
            <w:tcBorders>
              <w:top w:val="single" w:sz="4" w:space="0" w:color="auto"/>
              <w:left w:val="single" w:sz="4" w:space="0" w:color="auto"/>
              <w:bottom w:val="nil"/>
              <w:right w:val="single" w:sz="4" w:space="0" w:color="auto"/>
            </w:tcBorders>
            <w:vAlign w:val="center"/>
            <w:hideMark/>
          </w:tcPr>
          <w:p w14:paraId="4CBB637D"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(3.6)</w:t>
            </w:r>
          </w:p>
        </w:tc>
        <w:tc>
          <w:tcPr>
            <w:tcW w:w="1134" w:type="dxa"/>
            <w:tcBorders>
              <w:top w:val="single" w:sz="4" w:space="0" w:color="auto"/>
              <w:left w:val="single" w:sz="4" w:space="0" w:color="auto"/>
              <w:bottom w:val="nil"/>
              <w:right w:val="single" w:sz="4" w:space="0" w:color="auto"/>
            </w:tcBorders>
            <w:vAlign w:val="center"/>
            <w:hideMark/>
          </w:tcPr>
          <w:p w14:paraId="4BE49C82"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5 (1.6)</w:t>
            </w:r>
          </w:p>
        </w:tc>
        <w:tc>
          <w:tcPr>
            <w:tcW w:w="1125" w:type="dxa"/>
            <w:tcBorders>
              <w:top w:val="single" w:sz="4" w:space="0" w:color="auto"/>
              <w:left w:val="single" w:sz="4" w:space="0" w:color="auto"/>
              <w:bottom w:val="nil"/>
              <w:right w:val="single" w:sz="4" w:space="0" w:color="auto"/>
            </w:tcBorders>
            <w:vAlign w:val="center"/>
            <w:hideMark/>
          </w:tcPr>
          <w:p w14:paraId="1C5508DC"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19 (3.2)</w:t>
            </w:r>
          </w:p>
        </w:tc>
        <w:tc>
          <w:tcPr>
            <w:tcW w:w="1221" w:type="dxa"/>
            <w:tcBorders>
              <w:top w:val="single" w:sz="4" w:space="0" w:color="auto"/>
              <w:left w:val="single" w:sz="4" w:space="0" w:color="auto"/>
              <w:bottom w:val="nil"/>
              <w:right w:val="single" w:sz="4" w:space="0" w:color="auto"/>
            </w:tcBorders>
            <w:vAlign w:val="center"/>
            <w:hideMark/>
          </w:tcPr>
          <w:p w14:paraId="0541AD67"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(1.2)</w:t>
            </w:r>
          </w:p>
        </w:tc>
      </w:tr>
      <w:tr w:rsidR="007D4266" w:rsidRPr="000D668F" w14:paraId="64C456A6" w14:textId="77777777" w:rsidTr="005617F2">
        <w:tc>
          <w:tcPr>
            <w:tcW w:w="1980" w:type="dxa"/>
            <w:tcBorders>
              <w:top w:val="nil"/>
              <w:left w:val="single" w:sz="4" w:space="0" w:color="auto"/>
              <w:bottom w:val="nil"/>
              <w:right w:val="single" w:sz="4" w:space="0" w:color="auto"/>
            </w:tcBorders>
            <w:vAlign w:val="center"/>
            <w:hideMark/>
          </w:tcPr>
          <w:p w14:paraId="50AF1E05"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Discontinued study/study drug for other reasons</w:t>
            </w:r>
          </w:p>
        </w:tc>
        <w:tc>
          <w:tcPr>
            <w:tcW w:w="1134" w:type="dxa"/>
            <w:tcBorders>
              <w:top w:val="nil"/>
              <w:left w:val="single" w:sz="4" w:space="0" w:color="auto"/>
              <w:bottom w:val="nil"/>
              <w:right w:val="single" w:sz="4" w:space="0" w:color="auto"/>
            </w:tcBorders>
            <w:vAlign w:val="center"/>
            <w:hideMark/>
          </w:tcPr>
          <w:p w14:paraId="691F82F3"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4 (1.4)</w:t>
            </w:r>
          </w:p>
        </w:tc>
        <w:tc>
          <w:tcPr>
            <w:tcW w:w="1134" w:type="dxa"/>
            <w:tcBorders>
              <w:top w:val="nil"/>
              <w:left w:val="single" w:sz="4" w:space="0" w:color="auto"/>
              <w:bottom w:val="nil"/>
              <w:right w:val="single" w:sz="4" w:space="0" w:color="auto"/>
            </w:tcBorders>
            <w:vAlign w:val="center"/>
            <w:hideMark/>
          </w:tcPr>
          <w:p w14:paraId="78EF9C02"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10 (3.5)</w:t>
            </w:r>
          </w:p>
        </w:tc>
        <w:tc>
          <w:tcPr>
            <w:tcW w:w="1134" w:type="dxa"/>
            <w:tcBorders>
              <w:top w:val="nil"/>
              <w:left w:val="single" w:sz="4" w:space="0" w:color="auto"/>
              <w:bottom w:val="nil"/>
              <w:right w:val="single" w:sz="4" w:space="0" w:color="auto"/>
            </w:tcBorders>
            <w:vAlign w:val="center"/>
            <w:hideMark/>
          </w:tcPr>
          <w:p w14:paraId="1B4102F9"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7 (2.3)</w:t>
            </w:r>
          </w:p>
        </w:tc>
        <w:tc>
          <w:tcPr>
            <w:tcW w:w="1134" w:type="dxa"/>
            <w:tcBorders>
              <w:top w:val="nil"/>
              <w:left w:val="single" w:sz="4" w:space="0" w:color="auto"/>
              <w:bottom w:val="nil"/>
              <w:right w:val="single" w:sz="4" w:space="0" w:color="auto"/>
            </w:tcBorders>
            <w:vAlign w:val="center"/>
            <w:hideMark/>
          </w:tcPr>
          <w:p w14:paraId="281BC2E1"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6 (1.9)</w:t>
            </w:r>
          </w:p>
        </w:tc>
        <w:tc>
          <w:tcPr>
            <w:tcW w:w="1125" w:type="dxa"/>
            <w:tcBorders>
              <w:top w:val="nil"/>
              <w:left w:val="single" w:sz="4" w:space="0" w:color="auto"/>
              <w:bottom w:val="nil"/>
              <w:right w:val="single" w:sz="4" w:space="0" w:color="auto"/>
            </w:tcBorders>
            <w:vAlign w:val="center"/>
            <w:hideMark/>
          </w:tcPr>
          <w:p w14:paraId="4C1002F6"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11 (1.9)</w:t>
            </w:r>
          </w:p>
        </w:tc>
        <w:tc>
          <w:tcPr>
            <w:tcW w:w="1221" w:type="dxa"/>
            <w:tcBorders>
              <w:top w:val="nil"/>
              <w:left w:val="single" w:sz="4" w:space="0" w:color="auto"/>
              <w:bottom w:val="nil"/>
              <w:right w:val="single" w:sz="4" w:space="0" w:color="auto"/>
            </w:tcBorders>
            <w:vAlign w:val="center"/>
            <w:hideMark/>
          </w:tcPr>
          <w:p w14:paraId="1D4E6D50"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16 (2.7)</w:t>
            </w:r>
          </w:p>
        </w:tc>
      </w:tr>
      <w:tr w:rsidR="007D4266" w:rsidRPr="000D668F" w14:paraId="609D2B3D" w14:textId="77777777" w:rsidTr="005617F2">
        <w:tc>
          <w:tcPr>
            <w:tcW w:w="1980" w:type="dxa"/>
            <w:tcBorders>
              <w:top w:val="nil"/>
              <w:left w:val="single" w:sz="4" w:space="0" w:color="auto"/>
              <w:bottom w:val="single" w:sz="4" w:space="0" w:color="auto"/>
              <w:right w:val="single" w:sz="4" w:space="0" w:color="auto"/>
            </w:tcBorders>
            <w:vAlign w:val="center"/>
            <w:hideMark/>
          </w:tcPr>
          <w:p w14:paraId="5B3D0E2C" w14:textId="77777777" w:rsidR="007D4266" w:rsidRPr="000D668F" w:rsidRDefault="007D4266" w:rsidP="00843D75">
            <w:pPr>
              <w:tabs>
                <w:tab w:val="left" w:pos="720"/>
              </w:tabs>
              <w:spacing w:before="100" w:beforeAutospacing="1" w:after="60"/>
              <w:rPr>
                <w:rFonts w:ascii="Arial Narrow" w:hAnsi="Arial Narrow"/>
                <w:sz w:val="20"/>
                <w:szCs w:val="20"/>
                <w:lang w:val="en-US" w:eastAsia="en-GB"/>
              </w:rPr>
            </w:pPr>
            <w:r w:rsidRPr="000D668F">
              <w:rPr>
                <w:rFonts w:ascii="Arial Narrow" w:hAnsi="Arial Narrow"/>
                <w:sz w:val="20"/>
                <w:szCs w:val="20"/>
                <w:lang w:val="en-US" w:eastAsia="en-GB"/>
              </w:rPr>
              <w:t>Missing data during window but on study</w:t>
            </w:r>
          </w:p>
        </w:tc>
        <w:tc>
          <w:tcPr>
            <w:tcW w:w="1134" w:type="dxa"/>
            <w:tcBorders>
              <w:top w:val="nil"/>
              <w:left w:val="single" w:sz="4" w:space="0" w:color="auto"/>
              <w:bottom w:val="single" w:sz="4" w:space="0" w:color="auto"/>
              <w:right w:val="single" w:sz="4" w:space="0" w:color="auto"/>
            </w:tcBorders>
            <w:vAlign w:val="center"/>
            <w:hideMark/>
          </w:tcPr>
          <w:p w14:paraId="50558F17"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7D5F4EC7"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4C5E17F0"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34" w:type="dxa"/>
            <w:tcBorders>
              <w:top w:val="nil"/>
              <w:left w:val="single" w:sz="4" w:space="0" w:color="auto"/>
              <w:bottom w:val="single" w:sz="4" w:space="0" w:color="auto"/>
              <w:right w:val="single" w:sz="4" w:space="0" w:color="auto"/>
            </w:tcBorders>
            <w:vAlign w:val="center"/>
            <w:hideMark/>
          </w:tcPr>
          <w:p w14:paraId="50C91E8A"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125" w:type="dxa"/>
            <w:tcBorders>
              <w:top w:val="nil"/>
              <w:left w:val="single" w:sz="4" w:space="0" w:color="auto"/>
              <w:bottom w:val="single" w:sz="4" w:space="0" w:color="auto"/>
              <w:right w:val="single" w:sz="4" w:space="0" w:color="auto"/>
            </w:tcBorders>
            <w:vAlign w:val="center"/>
            <w:hideMark/>
          </w:tcPr>
          <w:p w14:paraId="4EA5717E"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c>
          <w:tcPr>
            <w:tcW w:w="1221" w:type="dxa"/>
            <w:tcBorders>
              <w:top w:val="nil"/>
              <w:left w:val="single" w:sz="4" w:space="0" w:color="auto"/>
              <w:bottom w:val="single" w:sz="4" w:space="0" w:color="auto"/>
              <w:right w:val="single" w:sz="4" w:space="0" w:color="auto"/>
            </w:tcBorders>
            <w:vAlign w:val="center"/>
            <w:hideMark/>
          </w:tcPr>
          <w:p w14:paraId="3BFFD50D" w14:textId="77777777" w:rsidR="007D4266" w:rsidRPr="000D668F" w:rsidRDefault="007D4266" w:rsidP="00843D75">
            <w:pPr>
              <w:tabs>
                <w:tab w:val="left" w:pos="720"/>
              </w:tabs>
              <w:spacing w:before="100" w:beforeAutospacing="1" w:after="60"/>
              <w:jc w:val="center"/>
              <w:rPr>
                <w:rFonts w:ascii="Arial Narrow" w:hAnsi="Arial Narrow"/>
                <w:sz w:val="20"/>
                <w:szCs w:val="20"/>
                <w:lang w:val="en-US" w:eastAsia="en-GB"/>
              </w:rPr>
            </w:pPr>
            <w:r w:rsidRPr="000D668F">
              <w:rPr>
                <w:rFonts w:ascii="Arial Narrow" w:hAnsi="Arial Narrow"/>
                <w:sz w:val="20"/>
                <w:szCs w:val="20"/>
                <w:lang w:val="en-US" w:eastAsia="en-GB"/>
              </w:rPr>
              <w:t>0</w:t>
            </w:r>
          </w:p>
        </w:tc>
      </w:tr>
    </w:tbl>
    <w:p w14:paraId="0890A2FF" w14:textId="77777777" w:rsidR="007D4266" w:rsidRPr="005617F2" w:rsidRDefault="007D4266" w:rsidP="00843D75">
      <w:pPr>
        <w:tabs>
          <w:tab w:val="left" w:pos="720"/>
        </w:tabs>
        <w:spacing w:after="0" w:line="240" w:lineRule="auto"/>
        <w:rPr>
          <w:rFonts w:ascii="Arial Narrow" w:hAnsi="Arial Narrow"/>
          <w:sz w:val="18"/>
          <w:szCs w:val="18"/>
          <w:lang w:eastAsia="en-GB"/>
        </w:rPr>
      </w:pPr>
      <w:r w:rsidRPr="005617F2">
        <w:rPr>
          <w:rFonts w:ascii="Arial Narrow" w:hAnsi="Arial Narrow"/>
          <w:sz w:val="18"/>
          <w:szCs w:val="18"/>
          <w:lang w:eastAsia="en-GB"/>
        </w:rPr>
        <w:t>* Adjusted for baseline stratification factors.</w:t>
      </w:r>
    </w:p>
    <w:p w14:paraId="2FC9D054" w14:textId="77777777" w:rsidR="007D4266" w:rsidRPr="005617F2" w:rsidRDefault="007D4266" w:rsidP="00843D75">
      <w:pPr>
        <w:tabs>
          <w:tab w:val="left" w:pos="720"/>
        </w:tabs>
        <w:spacing w:after="0" w:line="240" w:lineRule="auto"/>
        <w:rPr>
          <w:rFonts w:ascii="Arial Narrow" w:hAnsi="Arial Narrow"/>
          <w:sz w:val="18"/>
          <w:szCs w:val="18"/>
          <w:lang w:eastAsia="en-GB"/>
        </w:rPr>
      </w:pPr>
      <w:r w:rsidRPr="005617F2">
        <w:rPr>
          <w:rFonts w:ascii="Arial Narrow" w:hAnsi="Arial Narrow"/>
          <w:sz w:val="18"/>
          <w:szCs w:val="18"/>
          <w:lang w:eastAsia="en-GB"/>
        </w:rPr>
        <w:t>† Includes subjects who discontinued for lack of efficacy, discontinued while not supressed.</w:t>
      </w:r>
    </w:p>
    <w:p w14:paraId="6C49E920" w14:textId="77777777" w:rsidR="007D4266" w:rsidRPr="005617F2" w:rsidRDefault="007D4266" w:rsidP="00843D75">
      <w:pPr>
        <w:tabs>
          <w:tab w:val="left" w:pos="720"/>
        </w:tabs>
        <w:spacing w:line="240" w:lineRule="auto"/>
        <w:rPr>
          <w:rFonts w:ascii="Arial Narrow" w:hAnsi="Arial Narrow"/>
          <w:sz w:val="18"/>
          <w:szCs w:val="18"/>
          <w:lang w:eastAsia="en-GB"/>
        </w:rPr>
      </w:pPr>
      <w:r w:rsidRPr="005617F2">
        <w:rPr>
          <w:rFonts w:ascii="Arial Narrow" w:hAnsi="Arial Narrow"/>
          <w:sz w:val="18"/>
          <w:szCs w:val="18"/>
          <w:lang w:eastAsia="en-GB"/>
        </w:rPr>
        <w:lastRenderedPageBreak/>
        <w:t>N = Number of subjects in each treatment group, CI = confidence interval, CAR = current antiviral regimen</w:t>
      </w:r>
      <w:r w:rsidR="005617F2">
        <w:rPr>
          <w:rFonts w:ascii="Arial Narrow" w:hAnsi="Arial Narrow"/>
          <w:sz w:val="18"/>
          <w:szCs w:val="18"/>
          <w:lang w:eastAsia="en-GB"/>
        </w:rPr>
        <w:t xml:space="preserve">, CAB = </w:t>
      </w:r>
      <w:proofErr w:type="spellStart"/>
      <w:r w:rsidR="005617F2">
        <w:rPr>
          <w:rFonts w:ascii="Arial Narrow" w:hAnsi="Arial Narrow"/>
          <w:sz w:val="18"/>
          <w:szCs w:val="18"/>
          <w:lang w:eastAsia="en-GB"/>
        </w:rPr>
        <w:t>cabotegravir</w:t>
      </w:r>
      <w:proofErr w:type="spellEnd"/>
      <w:r w:rsidR="005617F2">
        <w:rPr>
          <w:rFonts w:ascii="Arial Narrow" w:hAnsi="Arial Narrow"/>
          <w:sz w:val="18"/>
          <w:szCs w:val="18"/>
          <w:lang w:eastAsia="en-GB"/>
        </w:rPr>
        <w:t xml:space="preserve">, RPV = </w:t>
      </w:r>
      <w:proofErr w:type="spellStart"/>
      <w:r w:rsidR="005617F2">
        <w:rPr>
          <w:rFonts w:ascii="Arial Narrow" w:hAnsi="Arial Narrow"/>
          <w:sz w:val="18"/>
          <w:szCs w:val="18"/>
          <w:lang w:eastAsia="en-GB"/>
        </w:rPr>
        <w:t>rilpivirine</w:t>
      </w:r>
      <w:proofErr w:type="spellEnd"/>
      <w:r w:rsidR="005617F2">
        <w:rPr>
          <w:rFonts w:ascii="Arial Narrow" w:hAnsi="Arial Narrow"/>
          <w:sz w:val="18"/>
          <w:szCs w:val="18"/>
          <w:lang w:eastAsia="en-GB"/>
        </w:rPr>
        <w:t>.</w:t>
      </w:r>
    </w:p>
    <w:p w14:paraId="6A815CD2" w14:textId="388B5998" w:rsidR="007D4266" w:rsidRDefault="007D4266" w:rsidP="003830DE">
      <w:pPr>
        <w:pStyle w:val="Heading3"/>
      </w:pPr>
      <w:r w:rsidRPr="005617F2">
        <w:t xml:space="preserve">Table </w:t>
      </w:r>
      <w:r w:rsidR="00B11DE6">
        <w:t>5</w:t>
      </w:r>
      <w:r w:rsidR="005617F2">
        <w:t>:</w:t>
      </w:r>
      <w:r w:rsidRPr="005617F2">
        <w:tab/>
        <w:t>Proportion of Subjects with Plasma HIV-1 RNA ≥50 copies/mL at Week 48 for key baseline factors (Snapshot Outcomes).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2622"/>
        <w:gridCol w:w="2623"/>
      </w:tblGrid>
      <w:tr w:rsidR="007D4266" w:rsidRPr="005617F2" w14:paraId="08FE69C1" w14:textId="77777777" w:rsidTr="003E7E6F">
        <w:trPr>
          <w:trHeight w:val="250"/>
        </w:trPr>
        <w:tc>
          <w:tcPr>
            <w:tcW w:w="39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D2C937"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b/>
                <w:sz w:val="20"/>
                <w:szCs w:val="20"/>
                <w:lang w:val="en-US" w:eastAsia="en-GB"/>
              </w:rPr>
              <w:t>Baseline factors</w:t>
            </w:r>
          </w:p>
        </w:tc>
        <w:tc>
          <w:tcPr>
            <w:tcW w:w="5245" w:type="dxa"/>
            <w:gridSpan w:val="2"/>
            <w:tcBorders>
              <w:top w:val="single" w:sz="4" w:space="0" w:color="auto"/>
              <w:left w:val="single" w:sz="4" w:space="0" w:color="auto"/>
              <w:bottom w:val="single" w:sz="4" w:space="0" w:color="auto"/>
              <w:right w:val="single" w:sz="4" w:space="0" w:color="auto"/>
            </w:tcBorders>
            <w:hideMark/>
          </w:tcPr>
          <w:p w14:paraId="547E3685" w14:textId="77777777" w:rsidR="007D4266" w:rsidRPr="005617F2" w:rsidRDefault="007D4266" w:rsidP="00843D75">
            <w:pPr>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Pooled Data from FLAIR and ATLAS</w:t>
            </w:r>
          </w:p>
        </w:tc>
      </w:tr>
      <w:tr w:rsidR="007D4266" w:rsidRPr="005617F2" w14:paraId="465A6970" w14:textId="77777777" w:rsidTr="003E7E6F">
        <w:trPr>
          <w:trHeight w:val="7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2BD7FF" w14:textId="77777777" w:rsidR="007D4266" w:rsidRPr="005617F2" w:rsidRDefault="007D4266" w:rsidP="00843D75">
            <w:pPr>
              <w:spacing w:after="60"/>
              <w:rPr>
                <w:rFonts w:ascii="Arial Narrow" w:hAnsi="Arial Narrow"/>
                <w:sz w:val="20"/>
                <w:szCs w:val="20"/>
                <w:lang w:val="en-US" w:eastAsia="en-GB"/>
              </w:rPr>
            </w:pPr>
          </w:p>
        </w:tc>
        <w:tc>
          <w:tcPr>
            <w:tcW w:w="2622" w:type="dxa"/>
            <w:tcBorders>
              <w:top w:val="single" w:sz="4" w:space="0" w:color="auto"/>
              <w:left w:val="single" w:sz="4" w:space="0" w:color="auto"/>
              <w:bottom w:val="single" w:sz="4" w:space="0" w:color="auto"/>
              <w:right w:val="single" w:sz="4" w:space="0" w:color="auto"/>
            </w:tcBorders>
            <w:vAlign w:val="center"/>
            <w:hideMark/>
          </w:tcPr>
          <w:p w14:paraId="640A2508" w14:textId="77777777" w:rsidR="007D4266" w:rsidRPr="005617F2" w:rsidRDefault="005617F2" w:rsidP="00843D75">
            <w:pPr>
              <w:tabs>
                <w:tab w:val="left" w:pos="720"/>
              </w:tabs>
              <w:spacing w:after="60"/>
              <w:jc w:val="center"/>
              <w:rPr>
                <w:rFonts w:ascii="Arial Narrow" w:hAnsi="Arial Narrow"/>
                <w:b/>
                <w:sz w:val="20"/>
                <w:szCs w:val="20"/>
                <w:lang w:val="en-US" w:eastAsia="en-GB"/>
              </w:rPr>
            </w:pPr>
            <w:r>
              <w:rPr>
                <w:rFonts w:ascii="Arial Narrow" w:hAnsi="Arial Narrow"/>
                <w:b/>
                <w:sz w:val="20"/>
                <w:szCs w:val="20"/>
                <w:lang w:val="en-US" w:eastAsia="en-GB"/>
              </w:rPr>
              <w:t>CAB</w:t>
            </w:r>
            <w:r w:rsidR="007D4266" w:rsidRPr="005617F2">
              <w:rPr>
                <w:rFonts w:ascii="Arial Narrow" w:hAnsi="Arial Narrow"/>
                <w:b/>
                <w:sz w:val="20"/>
                <w:szCs w:val="20"/>
                <w:lang w:val="en-US" w:eastAsia="en-GB"/>
              </w:rPr>
              <w:t>+RPV</w:t>
            </w:r>
            <w:r w:rsidR="007D4266" w:rsidRPr="005617F2">
              <w:rPr>
                <w:rFonts w:ascii="Arial Narrow" w:hAnsi="Arial Narrow"/>
                <w:b/>
                <w:sz w:val="20"/>
                <w:szCs w:val="20"/>
                <w:lang w:val="en-US" w:eastAsia="en-GB"/>
              </w:rPr>
              <w:br/>
              <w:t>N=591</w:t>
            </w:r>
          </w:p>
          <w:p w14:paraId="743B841C" w14:textId="77777777" w:rsidR="007D4266" w:rsidRPr="005617F2" w:rsidRDefault="007D4266" w:rsidP="00843D75">
            <w:pPr>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n/N (%)</w:t>
            </w:r>
          </w:p>
        </w:tc>
        <w:tc>
          <w:tcPr>
            <w:tcW w:w="2623" w:type="dxa"/>
            <w:tcBorders>
              <w:top w:val="single" w:sz="4" w:space="0" w:color="auto"/>
              <w:left w:val="single" w:sz="4" w:space="0" w:color="auto"/>
              <w:bottom w:val="single" w:sz="4" w:space="0" w:color="auto"/>
              <w:right w:val="single" w:sz="4" w:space="0" w:color="auto"/>
            </w:tcBorders>
            <w:vAlign w:val="center"/>
            <w:hideMark/>
          </w:tcPr>
          <w:p w14:paraId="2A482F11" w14:textId="77777777" w:rsidR="007D4266" w:rsidRPr="005617F2" w:rsidRDefault="007D4266" w:rsidP="00843D75">
            <w:pPr>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CAR</w:t>
            </w:r>
            <w:r w:rsidRPr="005617F2">
              <w:rPr>
                <w:rFonts w:ascii="Arial Narrow" w:hAnsi="Arial Narrow"/>
                <w:b/>
                <w:sz w:val="20"/>
                <w:szCs w:val="20"/>
                <w:lang w:val="en-US" w:eastAsia="en-GB"/>
              </w:rPr>
              <w:br/>
              <w:t>N=591</w:t>
            </w:r>
          </w:p>
          <w:p w14:paraId="2E42739F" w14:textId="77777777" w:rsidR="007D4266" w:rsidRPr="005617F2" w:rsidRDefault="007D4266" w:rsidP="00843D75">
            <w:pPr>
              <w:tabs>
                <w:tab w:val="left" w:pos="720"/>
              </w:tabs>
              <w:spacing w:after="60"/>
              <w:jc w:val="center"/>
              <w:rPr>
                <w:rFonts w:ascii="Arial Narrow" w:hAnsi="Arial Narrow"/>
                <w:b/>
                <w:sz w:val="20"/>
                <w:szCs w:val="20"/>
                <w:lang w:val="en-US" w:eastAsia="en-GB"/>
              </w:rPr>
            </w:pPr>
            <w:r w:rsidRPr="005617F2">
              <w:rPr>
                <w:rFonts w:ascii="Arial Narrow" w:hAnsi="Arial Narrow"/>
                <w:b/>
                <w:sz w:val="20"/>
                <w:szCs w:val="20"/>
                <w:lang w:val="en-US" w:eastAsia="en-GB"/>
              </w:rPr>
              <w:t>n/N (%)</w:t>
            </w:r>
          </w:p>
        </w:tc>
      </w:tr>
      <w:tr w:rsidR="007D4266" w:rsidRPr="005617F2" w14:paraId="23E20E84" w14:textId="77777777" w:rsidTr="003E7E6F">
        <w:trPr>
          <w:trHeight w:val="286"/>
        </w:trPr>
        <w:tc>
          <w:tcPr>
            <w:tcW w:w="1696" w:type="dxa"/>
            <w:vMerge w:val="restart"/>
            <w:tcBorders>
              <w:top w:val="nil"/>
              <w:left w:val="single" w:sz="4" w:space="0" w:color="auto"/>
              <w:bottom w:val="single" w:sz="4" w:space="0" w:color="auto"/>
              <w:right w:val="single" w:sz="4" w:space="0" w:color="auto"/>
            </w:tcBorders>
            <w:hideMark/>
          </w:tcPr>
          <w:p w14:paraId="158BBCE4" w14:textId="660A823D"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Baseline CD4+ (cells/</w:t>
            </w:r>
            <w:r w:rsidRPr="005617F2">
              <w:rPr>
                <w:rFonts w:ascii="Arial Narrow" w:hAnsi="Arial Narrow"/>
                <w:b/>
                <w:bCs/>
                <w:sz w:val="20"/>
                <w:szCs w:val="20"/>
                <w:lang w:val="en-US" w:eastAsia="en-GB"/>
              </w:rPr>
              <w:t>mm</w:t>
            </w:r>
            <w:r w:rsidRPr="005617F2">
              <w:rPr>
                <w:rFonts w:ascii="Arial Narrow" w:hAnsi="Arial Narrow"/>
                <w:b/>
                <w:bCs/>
                <w:sz w:val="20"/>
                <w:szCs w:val="20"/>
                <w:vertAlign w:val="superscript"/>
                <w:lang w:val="en-US" w:eastAsia="en-GB"/>
              </w:rPr>
              <w:t>3</w:t>
            </w:r>
            <w:r w:rsidRPr="005617F2">
              <w:rPr>
                <w:rFonts w:ascii="Arial Narrow" w:hAnsi="Arial Narrow"/>
                <w:b/>
                <w:sz w:val="20"/>
                <w:szCs w:val="20"/>
                <w:lang w:val="en-US" w:eastAsia="en-GB"/>
              </w:rPr>
              <w:t>)</w:t>
            </w:r>
          </w:p>
        </w:tc>
        <w:tc>
          <w:tcPr>
            <w:tcW w:w="2268" w:type="dxa"/>
            <w:tcBorders>
              <w:top w:val="nil"/>
              <w:left w:val="single" w:sz="4" w:space="0" w:color="auto"/>
              <w:bottom w:val="nil"/>
              <w:right w:val="single" w:sz="4" w:space="0" w:color="auto"/>
            </w:tcBorders>
            <w:vAlign w:val="center"/>
            <w:hideMark/>
          </w:tcPr>
          <w:p w14:paraId="2CDA2A15"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&lt;350</w:t>
            </w:r>
            <w:r w:rsidRPr="005617F2">
              <w:rPr>
                <w:rFonts w:ascii="Arial Narrow" w:hAnsi="Arial Narrow"/>
                <w:bCs/>
                <w:sz w:val="20"/>
                <w:szCs w:val="20"/>
                <w:lang w:val="en-US" w:eastAsia="en-GB"/>
              </w:rPr>
              <w:t xml:space="preserve"> </w:t>
            </w:r>
          </w:p>
        </w:tc>
        <w:tc>
          <w:tcPr>
            <w:tcW w:w="2622" w:type="dxa"/>
            <w:tcBorders>
              <w:top w:val="single" w:sz="4" w:space="0" w:color="auto"/>
              <w:left w:val="single" w:sz="4" w:space="0" w:color="auto"/>
              <w:bottom w:val="nil"/>
              <w:right w:val="single" w:sz="4" w:space="0" w:color="auto"/>
            </w:tcBorders>
            <w:vAlign w:val="center"/>
            <w:hideMark/>
          </w:tcPr>
          <w:p w14:paraId="488D2465" w14:textId="77777777" w:rsidR="007D4266" w:rsidRPr="005617F2" w:rsidRDefault="007D4266" w:rsidP="00843D75">
            <w:pPr>
              <w:tabs>
                <w:tab w:val="left" w:pos="720"/>
              </w:tabs>
              <w:spacing w:after="60"/>
              <w:jc w:val="center"/>
              <w:rPr>
                <w:rFonts w:ascii="Arial Narrow" w:hAnsi="Arial Narrow"/>
                <w:sz w:val="20"/>
                <w:szCs w:val="20"/>
                <w:lang w:val="en-US"/>
              </w:rPr>
            </w:pPr>
            <w:r w:rsidRPr="005617F2">
              <w:rPr>
                <w:rFonts w:ascii="Arial Narrow" w:hAnsi="Arial Narrow"/>
                <w:sz w:val="20"/>
                <w:szCs w:val="20"/>
                <w:lang w:val="en-US"/>
              </w:rPr>
              <w:t>0/42</w:t>
            </w:r>
          </w:p>
        </w:tc>
        <w:tc>
          <w:tcPr>
            <w:tcW w:w="2623" w:type="dxa"/>
            <w:tcBorders>
              <w:top w:val="single" w:sz="4" w:space="0" w:color="auto"/>
              <w:left w:val="single" w:sz="4" w:space="0" w:color="auto"/>
              <w:bottom w:val="nil"/>
              <w:right w:val="single" w:sz="4" w:space="0" w:color="auto"/>
            </w:tcBorders>
            <w:vAlign w:val="center"/>
            <w:hideMark/>
          </w:tcPr>
          <w:p w14:paraId="69BA1C71" w14:textId="77777777" w:rsidR="007D4266" w:rsidRPr="005617F2" w:rsidRDefault="007D4266" w:rsidP="00843D75">
            <w:pPr>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2/54 (3.7)</w:t>
            </w:r>
          </w:p>
        </w:tc>
      </w:tr>
      <w:tr w:rsidR="007D4266" w:rsidRPr="005617F2" w14:paraId="14F87E17" w14:textId="77777777" w:rsidTr="003E7E6F">
        <w:trPr>
          <w:trHeight w:val="285"/>
        </w:trPr>
        <w:tc>
          <w:tcPr>
            <w:tcW w:w="0" w:type="auto"/>
            <w:vMerge/>
            <w:tcBorders>
              <w:top w:val="nil"/>
              <w:left w:val="single" w:sz="4" w:space="0" w:color="auto"/>
              <w:bottom w:val="single" w:sz="4" w:space="0" w:color="auto"/>
              <w:right w:val="single" w:sz="4" w:space="0" w:color="auto"/>
            </w:tcBorders>
            <w:vAlign w:val="center"/>
            <w:hideMark/>
          </w:tcPr>
          <w:p w14:paraId="3253B446"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nil"/>
              <w:right w:val="single" w:sz="4" w:space="0" w:color="auto"/>
            </w:tcBorders>
            <w:vAlign w:val="center"/>
            <w:hideMark/>
          </w:tcPr>
          <w:p w14:paraId="50379E7F"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350 to &lt;500</w:t>
            </w:r>
          </w:p>
        </w:tc>
        <w:tc>
          <w:tcPr>
            <w:tcW w:w="2622" w:type="dxa"/>
            <w:tcBorders>
              <w:top w:val="nil"/>
              <w:left w:val="single" w:sz="4" w:space="0" w:color="auto"/>
              <w:bottom w:val="nil"/>
              <w:right w:val="single" w:sz="4" w:space="0" w:color="auto"/>
            </w:tcBorders>
            <w:vAlign w:val="center"/>
            <w:hideMark/>
          </w:tcPr>
          <w:p w14:paraId="00C84967" w14:textId="77777777" w:rsidR="007D4266" w:rsidRPr="005617F2" w:rsidRDefault="007D4266" w:rsidP="00843D75">
            <w:pPr>
              <w:tabs>
                <w:tab w:val="left" w:pos="720"/>
              </w:tabs>
              <w:autoSpaceDE w:val="0"/>
              <w:autoSpaceDN w:val="0"/>
              <w:adjustRightInd w:val="0"/>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5/120 (4.2)</w:t>
            </w:r>
          </w:p>
        </w:tc>
        <w:tc>
          <w:tcPr>
            <w:tcW w:w="2623" w:type="dxa"/>
            <w:tcBorders>
              <w:top w:val="nil"/>
              <w:left w:val="single" w:sz="4" w:space="0" w:color="auto"/>
              <w:bottom w:val="nil"/>
              <w:right w:val="single" w:sz="4" w:space="0" w:color="auto"/>
            </w:tcBorders>
            <w:vAlign w:val="center"/>
            <w:hideMark/>
          </w:tcPr>
          <w:p w14:paraId="1EB4B10A" w14:textId="77777777" w:rsidR="007D4266" w:rsidRPr="005617F2" w:rsidRDefault="007D4266" w:rsidP="00843D75">
            <w:pPr>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0/117</w:t>
            </w:r>
          </w:p>
        </w:tc>
      </w:tr>
      <w:tr w:rsidR="007D4266" w:rsidRPr="005617F2" w14:paraId="4B30A387" w14:textId="77777777" w:rsidTr="003E7E6F">
        <w:trPr>
          <w:trHeight w:val="285"/>
        </w:trPr>
        <w:tc>
          <w:tcPr>
            <w:tcW w:w="0" w:type="auto"/>
            <w:vMerge/>
            <w:tcBorders>
              <w:top w:val="nil"/>
              <w:left w:val="single" w:sz="4" w:space="0" w:color="auto"/>
              <w:bottom w:val="single" w:sz="4" w:space="0" w:color="auto"/>
              <w:right w:val="single" w:sz="4" w:space="0" w:color="auto"/>
            </w:tcBorders>
            <w:vAlign w:val="center"/>
            <w:hideMark/>
          </w:tcPr>
          <w:p w14:paraId="1C09F2D7"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single" w:sz="4" w:space="0" w:color="auto"/>
              <w:right w:val="single" w:sz="4" w:space="0" w:color="auto"/>
            </w:tcBorders>
            <w:vAlign w:val="center"/>
            <w:hideMark/>
          </w:tcPr>
          <w:p w14:paraId="44B5DFF5"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500</w:t>
            </w:r>
          </w:p>
        </w:tc>
        <w:tc>
          <w:tcPr>
            <w:tcW w:w="2622" w:type="dxa"/>
            <w:tcBorders>
              <w:top w:val="nil"/>
              <w:left w:val="single" w:sz="4" w:space="0" w:color="auto"/>
              <w:bottom w:val="single" w:sz="4" w:space="0" w:color="auto"/>
              <w:right w:val="single" w:sz="4" w:space="0" w:color="auto"/>
            </w:tcBorders>
            <w:vAlign w:val="center"/>
            <w:hideMark/>
          </w:tcPr>
          <w:p w14:paraId="105DA4E4" w14:textId="77777777" w:rsidR="007D4266" w:rsidRPr="005617F2" w:rsidRDefault="007D4266" w:rsidP="00843D75">
            <w:pPr>
              <w:tabs>
                <w:tab w:val="left" w:pos="720"/>
              </w:tabs>
              <w:spacing w:after="60"/>
              <w:jc w:val="center"/>
              <w:rPr>
                <w:rFonts w:ascii="Arial Narrow" w:hAnsi="Arial Narrow"/>
                <w:sz w:val="20"/>
                <w:szCs w:val="20"/>
                <w:lang w:val="en-US"/>
              </w:rPr>
            </w:pPr>
            <w:r w:rsidRPr="005617F2">
              <w:rPr>
                <w:rFonts w:ascii="Arial Narrow" w:hAnsi="Arial Narrow"/>
                <w:color w:val="000000"/>
                <w:sz w:val="20"/>
                <w:szCs w:val="20"/>
                <w:lang w:val="en-US" w:eastAsia="en-GB"/>
              </w:rPr>
              <w:t>6/429 (1.4)</w:t>
            </w:r>
          </w:p>
        </w:tc>
        <w:tc>
          <w:tcPr>
            <w:tcW w:w="2623" w:type="dxa"/>
            <w:tcBorders>
              <w:top w:val="nil"/>
              <w:left w:val="single" w:sz="4" w:space="0" w:color="auto"/>
              <w:bottom w:val="single" w:sz="4" w:space="0" w:color="auto"/>
              <w:right w:val="single" w:sz="4" w:space="0" w:color="auto"/>
            </w:tcBorders>
            <w:vAlign w:val="center"/>
            <w:hideMark/>
          </w:tcPr>
          <w:p w14:paraId="738B89C1" w14:textId="77777777" w:rsidR="007D4266" w:rsidRPr="005617F2" w:rsidRDefault="007D4266" w:rsidP="00843D75">
            <w:pPr>
              <w:tabs>
                <w:tab w:val="left" w:pos="720"/>
              </w:tabs>
              <w:spacing w:after="60"/>
              <w:jc w:val="center"/>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8 / 420 (1.9)</w:t>
            </w:r>
          </w:p>
        </w:tc>
      </w:tr>
      <w:tr w:rsidR="007D4266" w:rsidRPr="005617F2" w14:paraId="4ED93972" w14:textId="77777777" w:rsidTr="003E7E6F">
        <w:trPr>
          <w:trHeight w:val="234"/>
        </w:trPr>
        <w:tc>
          <w:tcPr>
            <w:tcW w:w="1696" w:type="dxa"/>
            <w:tcBorders>
              <w:top w:val="single" w:sz="4" w:space="0" w:color="auto"/>
              <w:left w:val="single" w:sz="4" w:space="0" w:color="auto"/>
              <w:bottom w:val="nil"/>
              <w:right w:val="single" w:sz="4" w:space="0" w:color="auto"/>
            </w:tcBorders>
            <w:hideMark/>
          </w:tcPr>
          <w:p w14:paraId="23FE59F8"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Gender</w:t>
            </w:r>
          </w:p>
        </w:tc>
        <w:tc>
          <w:tcPr>
            <w:tcW w:w="2268" w:type="dxa"/>
            <w:tcBorders>
              <w:top w:val="single" w:sz="4" w:space="0" w:color="auto"/>
              <w:left w:val="single" w:sz="4" w:space="0" w:color="auto"/>
              <w:bottom w:val="nil"/>
              <w:right w:val="single" w:sz="4" w:space="0" w:color="auto"/>
            </w:tcBorders>
            <w:vAlign w:val="center"/>
            <w:hideMark/>
          </w:tcPr>
          <w:p w14:paraId="6FCE5675" w14:textId="77777777" w:rsidR="007D4266" w:rsidRPr="005617F2" w:rsidRDefault="007D4266" w:rsidP="00843D75">
            <w:pPr>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eastAsia="en-GB"/>
              </w:rPr>
              <w:t>Male</w:t>
            </w:r>
          </w:p>
        </w:tc>
        <w:tc>
          <w:tcPr>
            <w:tcW w:w="2622" w:type="dxa"/>
            <w:tcBorders>
              <w:top w:val="single" w:sz="4" w:space="0" w:color="auto"/>
              <w:left w:val="single" w:sz="4" w:space="0" w:color="auto"/>
              <w:bottom w:val="nil"/>
              <w:right w:val="single" w:sz="4" w:space="0" w:color="auto"/>
            </w:tcBorders>
            <w:vAlign w:val="center"/>
            <w:hideMark/>
          </w:tcPr>
          <w:p w14:paraId="59D7BEC3"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6/429 (1.4)</w:t>
            </w:r>
          </w:p>
        </w:tc>
        <w:tc>
          <w:tcPr>
            <w:tcW w:w="2623" w:type="dxa"/>
            <w:tcBorders>
              <w:top w:val="single" w:sz="4" w:space="0" w:color="auto"/>
              <w:left w:val="single" w:sz="4" w:space="0" w:color="auto"/>
              <w:bottom w:val="nil"/>
              <w:right w:val="single" w:sz="4" w:space="0" w:color="auto"/>
            </w:tcBorders>
            <w:vAlign w:val="center"/>
            <w:hideMark/>
          </w:tcPr>
          <w:p w14:paraId="44BE2D36"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9/423 (2.1)</w:t>
            </w:r>
          </w:p>
        </w:tc>
      </w:tr>
      <w:tr w:rsidR="007D4266" w:rsidRPr="005617F2" w14:paraId="69994F57" w14:textId="77777777" w:rsidTr="003E7E6F">
        <w:trPr>
          <w:trHeight w:val="457"/>
        </w:trPr>
        <w:tc>
          <w:tcPr>
            <w:tcW w:w="1696" w:type="dxa"/>
            <w:tcBorders>
              <w:top w:val="nil"/>
              <w:left w:val="single" w:sz="4" w:space="0" w:color="auto"/>
              <w:bottom w:val="single" w:sz="4" w:space="0" w:color="auto"/>
              <w:right w:val="single" w:sz="4" w:space="0" w:color="auto"/>
            </w:tcBorders>
          </w:tcPr>
          <w:p w14:paraId="7E7DB987" w14:textId="77777777" w:rsidR="007D4266" w:rsidRPr="005617F2" w:rsidRDefault="007D4266" w:rsidP="00843D75">
            <w:pPr>
              <w:tabs>
                <w:tab w:val="left" w:pos="720"/>
              </w:tabs>
              <w:spacing w:after="60"/>
              <w:rPr>
                <w:rFonts w:ascii="Arial Narrow" w:hAnsi="Arial Narrow"/>
                <w:sz w:val="20"/>
                <w:szCs w:val="20"/>
                <w:lang w:val="en-US" w:eastAsia="en-GB"/>
              </w:rPr>
            </w:pPr>
          </w:p>
        </w:tc>
        <w:tc>
          <w:tcPr>
            <w:tcW w:w="2268" w:type="dxa"/>
            <w:tcBorders>
              <w:top w:val="nil"/>
              <w:left w:val="single" w:sz="4" w:space="0" w:color="auto"/>
              <w:bottom w:val="single" w:sz="4" w:space="0" w:color="auto"/>
              <w:right w:val="single" w:sz="4" w:space="0" w:color="auto"/>
            </w:tcBorders>
            <w:vAlign w:val="center"/>
            <w:hideMark/>
          </w:tcPr>
          <w:p w14:paraId="38437E8F" w14:textId="77777777" w:rsidR="007D4266" w:rsidRPr="005617F2" w:rsidRDefault="007D4266" w:rsidP="00843D75">
            <w:pPr>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eastAsia="en-GB"/>
              </w:rPr>
              <w:t>Female</w:t>
            </w:r>
          </w:p>
        </w:tc>
        <w:tc>
          <w:tcPr>
            <w:tcW w:w="2622" w:type="dxa"/>
            <w:tcBorders>
              <w:top w:val="nil"/>
              <w:left w:val="single" w:sz="4" w:space="0" w:color="auto"/>
              <w:bottom w:val="single" w:sz="4" w:space="0" w:color="auto"/>
              <w:right w:val="single" w:sz="4" w:space="0" w:color="auto"/>
            </w:tcBorders>
            <w:vAlign w:val="center"/>
            <w:hideMark/>
          </w:tcPr>
          <w:p w14:paraId="105AFA03"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5/162 (3.1)</w:t>
            </w:r>
          </w:p>
        </w:tc>
        <w:tc>
          <w:tcPr>
            <w:tcW w:w="2623" w:type="dxa"/>
            <w:tcBorders>
              <w:top w:val="nil"/>
              <w:left w:val="single" w:sz="4" w:space="0" w:color="auto"/>
              <w:bottom w:val="single" w:sz="4" w:space="0" w:color="auto"/>
              <w:right w:val="single" w:sz="4" w:space="0" w:color="auto"/>
            </w:tcBorders>
            <w:vAlign w:val="center"/>
            <w:hideMark/>
          </w:tcPr>
          <w:p w14:paraId="0D35F233"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color w:val="000000"/>
                <w:sz w:val="20"/>
                <w:szCs w:val="20"/>
                <w:lang w:val="en-US" w:eastAsia="en-GB"/>
              </w:rPr>
              <w:t>1/168 (0.6)</w:t>
            </w:r>
          </w:p>
        </w:tc>
      </w:tr>
      <w:tr w:rsidR="007D4266" w:rsidRPr="005617F2" w14:paraId="217F5147" w14:textId="77777777" w:rsidTr="003E7E6F">
        <w:trPr>
          <w:trHeight w:val="313"/>
        </w:trPr>
        <w:tc>
          <w:tcPr>
            <w:tcW w:w="1696" w:type="dxa"/>
            <w:vMerge w:val="restart"/>
            <w:tcBorders>
              <w:top w:val="single" w:sz="4" w:space="0" w:color="auto"/>
              <w:left w:val="single" w:sz="4" w:space="0" w:color="auto"/>
              <w:bottom w:val="nil"/>
              <w:right w:val="single" w:sz="4" w:space="0" w:color="auto"/>
            </w:tcBorders>
            <w:hideMark/>
          </w:tcPr>
          <w:p w14:paraId="39859B04"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Race</w:t>
            </w:r>
          </w:p>
        </w:tc>
        <w:tc>
          <w:tcPr>
            <w:tcW w:w="2268" w:type="dxa"/>
            <w:tcBorders>
              <w:top w:val="single" w:sz="4" w:space="0" w:color="auto"/>
              <w:left w:val="single" w:sz="4" w:space="0" w:color="auto"/>
              <w:bottom w:val="nil"/>
              <w:right w:val="single" w:sz="4" w:space="0" w:color="auto"/>
            </w:tcBorders>
            <w:vAlign w:val="center"/>
            <w:hideMark/>
          </w:tcPr>
          <w:p w14:paraId="5598BD32"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White</w:t>
            </w:r>
          </w:p>
        </w:tc>
        <w:tc>
          <w:tcPr>
            <w:tcW w:w="2622" w:type="dxa"/>
            <w:tcBorders>
              <w:top w:val="single" w:sz="4" w:space="0" w:color="auto"/>
              <w:left w:val="single" w:sz="4" w:space="0" w:color="auto"/>
              <w:bottom w:val="nil"/>
              <w:right w:val="single" w:sz="4" w:space="0" w:color="auto"/>
            </w:tcBorders>
            <w:vAlign w:val="center"/>
            <w:hideMark/>
          </w:tcPr>
          <w:p w14:paraId="5F9F11B6"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9/430 (2.1)</w:t>
            </w:r>
          </w:p>
        </w:tc>
        <w:tc>
          <w:tcPr>
            <w:tcW w:w="2623" w:type="dxa"/>
            <w:tcBorders>
              <w:top w:val="single" w:sz="4" w:space="0" w:color="auto"/>
              <w:left w:val="single" w:sz="4" w:space="0" w:color="auto"/>
              <w:bottom w:val="nil"/>
              <w:right w:val="single" w:sz="4" w:space="0" w:color="auto"/>
            </w:tcBorders>
            <w:vAlign w:val="center"/>
            <w:hideMark/>
          </w:tcPr>
          <w:p w14:paraId="74775831"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7/408 (1.7)</w:t>
            </w:r>
          </w:p>
        </w:tc>
      </w:tr>
      <w:tr w:rsidR="007D4266" w:rsidRPr="005617F2" w14:paraId="4F723357" w14:textId="77777777" w:rsidTr="003E7E6F">
        <w:trPr>
          <w:trHeight w:val="312"/>
        </w:trPr>
        <w:tc>
          <w:tcPr>
            <w:tcW w:w="0" w:type="auto"/>
            <w:vMerge/>
            <w:tcBorders>
              <w:top w:val="single" w:sz="4" w:space="0" w:color="auto"/>
              <w:left w:val="single" w:sz="4" w:space="0" w:color="auto"/>
              <w:bottom w:val="nil"/>
              <w:right w:val="single" w:sz="4" w:space="0" w:color="auto"/>
            </w:tcBorders>
            <w:vAlign w:val="center"/>
            <w:hideMark/>
          </w:tcPr>
          <w:p w14:paraId="2C5DE5D7"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nil"/>
              <w:right w:val="single" w:sz="4" w:space="0" w:color="auto"/>
            </w:tcBorders>
            <w:vAlign w:val="center"/>
            <w:hideMark/>
          </w:tcPr>
          <w:p w14:paraId="294722CD"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Black African/American</w:t>
            </w:r>
          </w:p>
        </w:tc>
        <w:tc>
          <w:tcPr>
            <w:tcW w:w="2622" w:type="dxa"/>
            <w:tcBorders>
              <w:top w:val="nil"/>
              <w:left w:val="single" w:sz="4" w:space="0" w:color="auto"/>
              <w:bottom w:val="nil"/>
              <w:right w:val="single" w:sz="4" w:space="0" w:color="auto"/>
            </w:tcBorders>
            <w:vAlign w:val="center"/>
            <w:hideMark/>
          </w:tcPr>
          <w:p w14:paraId="290EE712"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2/109 (1.8)</w:t>
            </w:r>
          </w:p>
        </w:tc>
        <w:tc>
          <w:tcPr>
            <w:tcW w:w="2623" w:type="dxa"/>
            <w:tcBorders>
              <w:top w:val="nil"/>
              <w:left w:val="single" w:sz="4" w:space="0" w:color="auto"/>
              <w:bottom w:val="nil"/>
              <w:right w:val="single" w:sz="4" w:space="0" w:color="auto"/>
            </w:tcBorders>
            <w:vAlign w:val="center"/>
            <w:hideMark/>
          </w:tcPr>
          <w:p w14:paraId="3BC353CA"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3/133 (2.3)</w:t>
            </w:r>
          </w:p>
        </w:tc>
      </w:tr>
      <w:tr w:rsidR="007D4266" w:rsidRPr="005617F2" w14:paraId="3313613E" w14:textId="77777777" w:rsidTr="003E7E6F">
        <w:trPr>
          <w:trHeight w:val="312"/>
        </w:trPr>
        <w:tc>
          <w:tcPr>
            <w:tcW w:w="1696" w:type="dxa"/>
            <w:tcBorders>
              <w:top w:val="nil"/>
              <w:left w:val="single" w:sz="4" w:space="0" w:color="auto"/>
              <w:bottom w:val="single" w:sz="4" w:space="0" w:color="auto"/>
              <w:right w:val="single" w:sz="4" w:space="0" w:color="auto"/>
            </w:tcBorders>
            <w:hideMark/>
          </w:tcPr>
          <w:p w14:paraId="6B286AF7" w14:textId="77777777" w:rsidR="007D4266" w:rsidRPr="005617F2" w:rsidRDefault="007D4266" w:rsidP="00843D75">
            <w:pPr>
              <w:tabs>
                <w:tab w:val="left" w:pos="720"/>
              </w:tabs>
              <w:spacing w:after="60"/>
              <w:rPr>
                <w:rFonts w:ascii="Arial Narrow" w:hAnsi="Arial Narrow"/>
                <w:b/>
                <w:sz w:val="20"/>
                <w:szCs w:val="20"/>
                <w:lang w:val="en-US" w:eastAsia="en-GB"/>
              </w:rPr>
            </w:pPr>
            <w:r w:rsidRPr="005617F2">
              <w:rPr>
                <w:rFonts w:ascii="Arial Narrow" w:hAnsi="Arial Narrow"/>
                <w:sz w:val="20"/>
                <w:szCs w:val="20"/>
                <w:lang w:val="en-US"/>
              </w:rPr>
              <w:t xml:space="preserve"> </w:t>
            </w:r>
          </w:p>
        </w:tc>
        <w:tc>
          <w:tcPr>
            <w:tcW w:w="2268" w:type="dxa"/>
            <w:tcBorders>
              <w:top w:val="nil"/>
              <w:left w:val="single" w:sz="4" w:space="0" w:color="auto"/>
              <w:bottom w:val="single" w:sz="4" w:space="0" w:color="auto"/>
              <w:right w:val="single" w:sz="4" w:space="0" w:color="auto"/>
            </w:tcBorders>
            <w:vAlign w:val="center"/>
            <w:hideMark/>
          </w:tcPr>
          <w:p w14:paraId="089C882F"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Asian/Other</w:t>
            </w:r>
          </w:p>
        </w:tc>
        <w:tc>
          <w:tcPr>
            <w:tcW w:w="2622" w:type="dxa"/>
            <w:tcBorders>
              <w:top w:val="nil"/>
              <w:left w:val="single" w:sz="4" w:space="0" w:color="auto"/>
              <w:bottom w:val="single" w:sz="4" w:space="0" w:color="auto"/>
              <w:right w:val="single" w:sz="4" w:space="0" w:color="auto"/>
            </w:tcBorders>
            <w:vAlign w:val="center"/>
            <w:hideMark/>
          </w:tcPr>
          <w:p w14:paraId="78212FB0"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0/52</w:t>
            </w:r>
          </w:p>
        </w:tc>
        <w:tc>
          <w:tcPr>
            <w:tcW w:w="2623" w:type="dxa"/>
            <w:tcBorders>
              <w:top w:val="nil"/>
              <w:left w:val="single" w:sz="4" w:space="0" w:color="auto"/>
              <w:bottom w:val="single" w:sz="4" w:space="0" w:color="auto"/>
              <w:right w:val="single" w:sz="4" w:space="0" w:color="auto"/>
            </w:tcBorders>
            <w:vAlign w:val="center"/>
            <w:hideMark/>
          </w:tcPr>
          <w:p w14:paraId="2C2F711E"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0/48</w:t>
            </w:r>
          </w:p>
        </w:tc>
      </w:tr>
      <w:tr w:rsidR="007D4266" w:rsidRPr="005617F2" w14:paraId="10865999" w14:textId="77777777" w:rsidTr="003E7E6F">
        <w:trPr>
          <w:trHeight w:val="313"/>
        </w:trPr>
        <w:tc>
          <w:tcPr>
            <w:tcW w:w="1696" w:type="dxa"/>
            <w:vMerge w:val="restart"/>
            <w:tcBorders>
              <w:top w:val="single" w:sz="4" w:space="0" w:color="auto"/>
              <w:left w:val="single" w:sz="4" w:space="0" w:color="auto"/>
              <w:bottom w:val="single" w:sz="4" w:space="0" w:color="auto"/>
              <w:right w:val="single" w:sz="4" w:space="0" w:color="auto"/>
            </w:tcBorders>
            <w:hideMark/>
          </w:tcPr>
          <w:p w14:paraId="09865D18" w14:textId="77777777" w:rsidR="007D4266" w:rsidRPr="005617F2" w:rsidRDefault="007D4266" w:rsidP="00843D75">
            <w:pPr>
              <w:tabs>
                <w:tab w:val="left" w:pos="720"/>
              </w:tabs>
              <w:spacing w:after="60"/>
              <w:rPr>
                <w:rFonts w:ascii="Arial Narrow" w:hAnsi="Arial Narrow"/>
                <w:color w:val="000000"/>
                <w:sz w:val="20"/>
                <w:szCs w:val="20"/>
                <w:lang w:val="en-US" w:eastAsia="en-GB"/>
              </w:rPr>
            </w:pPr>
            <w:r w:rsidRPr="005617F2">
              <w:rPr>
                <w:rFonts w:ascii="Arial Narrow" w:hAnsi="Arial Narrow"/>
                <w:b/>
                <w:sz w:val="20"/>
                <w:szCs w:val="20"/>
                <w:lang w:val="en-US" w:eastAsia="en-GB"/>
              </w:rPr>
              <w:t>BMI</w:t>
            </w:r>
          </w:p>
        </w:tc>
        <w:tc>
          <w:tcPr>
            <w:tcW w:w="2268" w:type="dxa"/>
            <w:tcBorders>
              <w:top w:val="single" w:sz="4" w:space="0" w:color="auto"/>
              <w:left w:val="single" w:sz="4" w:space="0" w:color="auto"/>
              <w:bottom w:val="nil"/>
              <w:right w:val="single" w:sz="4" w:space="0" w:color="auto"/>
            </w:tcBorders>
            <w:vAlign w:val="center"/>
            <w:hideMark/>
          </w:tcPr>
          <w:p w14:paraId="02AE25D5" w14:textId="77777777" w:rsidR="007D4266" w:rsidRPr="005617F2" w:rsidRDefault="007D4266" w:rsidP="00843D75">
            <w:pPr>
              <w:tabs>
                <w:tab w:val="left" w:pos="720"/>
              </w:tabs>
              <w:spacing w:after="60"/>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&lt;30 kg/m</w:t>
            </w:r>
            <w:r w:rsidRPr="005617F2">
              <w:rPr>
                <w:rFonts w:ascii="Arial Narrow" w:hAnsi="Arial Narrow"/>
                <w:color w:val="000000"/>
                <w:sz w:val="20"/>
                <w:szCs w:val="20"/>
                <w:vertAlign w:val="superscript"/>
                <w:lang w:val="en-US" w:eastAsia="en-GB"/>
              </w:rPr>
              <w:t>2</w:t>
            </w:r>
          </w:p>
        </w:tc>
        <w:tc>
          <w:tcPr>
            <w:tcW w:w="2622" w:type="dxa"/>
            <w:tcBorders>
              <w:top w:val="single" w:sz="4" w:space="0" w:color="auto"/>
              <w:left w:val="single" w:sz="4" w:space="0" w:color="auto"/>
              <w:bottom w:val="nil"/>
              <w:right w:val="single" w:sz="4" w:space="0" w:color="auto"/>
            </w:tcBorders>
            <w:vAlign w:val="center"/>
            <w:hideMark/>
          </w:tcPr>
          <w:p w14:paraId="6DEE1420"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6/491 (1.2)</w:t>
            </w:r>
          </w:p>
        </w:tc>
        <w:tc>
          <w:tcPr>
            <w:tcW w:w="2623" w:type="dxa"/>
            <w:tcBorders>
              <w:top w:val="single" w:sz="4" w:space="0" w:color="auto"/>
              <w:left w:val="single" w:sz="4" w:space="0" w:color="auto"/>
              <w:bottom w:val="nil"/>
              <w:right w:val="single" w:sz="4" w:space="0" w:color="auto"/>
            </w:tcBorders>
            <w:vAlign w:val="center"/>
            <w:hideMark/>
          </w:tcPr>
          <w:p w14:paraId="6186EEDC"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8/488 (1.6)</w:t>
            </w:r>
          </w:p>
        </w:tc>
      </w:tr>
      <w:tr w:rsidR="007D4266" w:rsidRPr="005617F2" w14:paraId="5EFBCC57" w14:textId="77777777" w:rsidTr="003E7E6F">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7F6BC" w14:textId="77777777" w:rsidR="007D4266" w:rsidRPr="005617F2" w:rsidRDefault="007D4266" w:rsidP="00843D75">
            <w:pPr>
              <w:spacing w:after="60"/>
              <w:rPr>
                <w:rFonts w:ascii="Arial Narrow" w:hAnsi="Arial Narrow"/>
                <w:color w:val="000000"/>
                <w:sz w:val="20"/>
                <w:szCs w:val="20"/>
                <w:lang w:val="en-US" w:eastAsia="en-GB"/>
              </w:rPr>
            </w:pPr>
          </w:p>
        </w:tc>
        <w:tc>
          <w:tcPr>
            <w:tcW w:w="2268" w:type="dxa"/>
            <w:tcBorders>
              <w:top w:val="nil"/>
              <w:left w:val="single" w:sz="4" w:space="0" w:color="auto"/>
              <w:bottom w:val="single" w:sz="4" w:space="0" w:color="auto"/>
              <w:right w:val="single" w:sz="4" w:space="0" w:color="auto"/>
            </w:tcBorders>
            <w:vAlign w:val="center"/>
            <w:hideMark/>
          </w:tcPr>
          <w:p w14:paraId="51314DF5" w14:textId="77777777" w:rsidR="007D4266" w:rsidRPr="005617F2" w:rsidRDefault="007D4266" w:rsidP="00843D75">
            <w:pPr>
              <w:tabs>
                <w:tab w:val="left" w:pos="720"/>
              </w:tabs>
              <w:spacing w:after="60"/>
              <w:rPr>
                <w:rFonts w:ascii="Arial Narrow" w:hAnsi="Arial Narrow"/>
                <w:color w:val="000000"/>
                <w:sz w:val="20"/>
                <w:szCs w:val="20"/>
                <w:lang w:val="en-US" w:eastAsia="en-GB"/>
              </w:rPr>
            </w:pPr>
            <w:r w:rsidRPr="005617F2">
              <w:rPr>
                <w:rFonts w:ascii="Arial Narrow" w:hAnsi="Arial Narrow"/>
                <w:color w:val="000000"/>
                <w:sz w:val="20"/>
                <w:szCs w:val="20"/>
                <w:lang w:val="en-US" w:eastAsia="en-GB"/>
              </w:rPr>
              <w:t>≥30 kg/m</w:t>
            </w:r>
            <w:r w:rsidRPr="005617F2">
              <w:rPr>
                <w:rFonts w:ascii="Arial Narrow" w:hAnsi="Arial Narrow"/>
                <w:color w:val="000000"/>
                <w:sz w:val="20"/>
                <w:szCs w:val="20"/>
                <w:vertAlign w:val="superscript"/>
                <w:lang w:val="en-US" w:eastAsia="en-GB"/>
              </w:rPr>
              <w:t>2</w:t>
            </w:r>
          </w:p>
        </w:tc>
        <w:tc>
          <w:tcPr>
            <w:tcW w:w="2622" w:type="dxa"/>
            <w:tcBorders>
              <w:top w:val="nil"/>
              <w:left w:val="single" w:sz="4" w:space="0" w:color="auto"/>
              <w:bottom w:val="single" w:sz="4" w:space="0" w:color="auto"/>
              <w:right w:val="single" w:sz="4" w:space="0" w:color="auto"/>
            </w:tcBorders>
            <w:vAlign w:val="center"/>
            <w:hideMark/>
          </w:tcPr>
          <w:p w14:paraId="6B888AAA"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5/100 (5.0)</w:t>
            </w:r>
          </w:p>
        </w:tc>
        <w:tc>
          <w:tcPr>
            <w:tcW w:w="2623" w:type="dxa"/>
            <w:tcBorders>
              <w:top w:val="nil"/>
              <w:left w:val="single" w:sz="4" w:space="0" w:color="auto"/>
              <w:bottom w:val="single" w:sz="4" w:space="0" w:color="auto"/>
              <w:right w:val="single" w:sz="4" w:space="0" w:color="auto"/>
            </w:tcBorders>
            <w:vAlign w:val="center"/>
            <w:hideMark/>
          </w:tcPr>
          <w:p w14:paraId="703C93B7"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2/103 (1.9)</w:t>
            </w:r>
          </w:p>
        </w:tc>
      </w:tr>
      <w:tr w:rsidR="007D4266" w:rsidRPr="005617F2" w14:paraId="5B638C6C" w14:textId="77777777" w:rsidTr="003E7E6F">
        <w:trPr>
          <w:trHeight w:val="319"/>
        </w:trPr>
        <w:tc>
          <w:tcPr>
            <w:tcW w:w="1696" w:type="dxa"/>
            <w:vMerge w:val="restart"/>
            <w:tcBorders>
              <w:top w:val="single" w:sz="4" w:space="0" w:color="auto"/>
              <w:left w:val="single" w:sz="4" w:space="0" w:color="auto"/>
              <w:bottom w:val="nil"/>
              <w:right w:val="single" w:sz="4" w:space="0" w:color="auto"/>
            </w:tcBorders>
            <w:hideMark/>
          </w:tcPr>
          <w:p w14:paraId="7CDAFEFE"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Age (years)</w:t>
            </w:r>
          </w:p>
        </w:tc>
        <w:tc>
          <w:tcPr>
            <w:tcW w:w="2268" w:type="dxa"/>
            <w:tcBorders>
              <w:top w:val="single" w:sz="4" w:space="0" w:color="auto"/>
              <w:left w:val="single" w:sz="4" w:space="0" w:color="auto"/>
              <w:bottom w:val="nil"/>
              <w:right w:val="single" w:sz="4" w:space="0" w:color="auto"/>
            </w:tcBorders>
            <w:vAlign w:val="center"/>
            <w:hideMark/>
          </w:tcPr>
          <w:p w14:paraId="78754ADC"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&lt;50</w:t>
            </w:r>
          </w:p>
        </w:tc>
        <w:tc>
          <w:tcPr>
            <w:tcW w:w="2622" w:type="dxa"/>
            <w:tcBorders>
              <w:top w:val="single" w:sz="4" w:space="0" w:color="auto"/>
              <w:left w:val="single" w:sz="4" w:space="0" w:color="auto"/>
              <w:bottom w:val="nil"/>
              <w:right w:val="single" w:sz="4" w:space="0" w:color="auto"/>
            </w:tcBorders>
            <w:vAlign w:val="center"/>
            <w:hideMark/>
          </w:tcPr>
          <w:p w14:paraId="46C5CC0A"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9/492 (1.8)</w:t>
            </w:r>
          </w:p>
        </w:tc>
        <w:tc>
          <w:tcPr>
            <w:tcW w:w="2623" w:type="dxa"/>
            <w:tcBorders>
              <w:top w:val="single" w:sz="4" w:space="0" w:color="auto"/>
              <w:left w:val="single" w:sz="4" w:space="0" w:color="auto"/>
              <w:bottom w:val="nil"/>
              <w:right w:val="single" w:sz="4" w:space="0" w:color="auto"/>
            </w:tcBorders>
            <w:vAlign w:val="center"/>
            <w:hideMark/>
          </w:tcPr>
          <w:p w14:paraId="2D3167B0"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8/466 (1.7)</w:t>
            </w:r>
          </w:p>
        </w:tc>
      </w:tr>
      <w:tr w:rsidR="007D4266" w:rsidRPr="005617F2" w14:paraId="420F9496" w14:textId="77777777" w:rsidTr="003E7E6F">
        <w:trPr>
          <w:trHeight w:val="319"/>
        </w:trPr>
        <w:tc>
          <w:tcPr>
            <w:tcW w:w="0" w:type="auto"/>
            <w:vMerge/>
            <w:tcBorders>
              <w:top w:val="single" w:sz="4" w:space="0" w:color="auto"/>
              <w:left w:val="single" w:sz="4" w:space="0" w:color="auto"/>
              <w:bottom w:val="nil"/>
              <w:right w:val="single" w:sz="4" w:space="0" w:color="auto"/>
            </w:tcBorders>
            <w:vAlign w:val="center"/>
            <w:hideMark/>
          </w:tcPr>
          <w:p w14:paraId="150F0200"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single" w:sz="4" w:space="0" w:color="auto"/>
              <w:right w:val="single" w:sz="4" w:space="0" w:color="auto"/>
            </w:tcBorders>
            <w:vAlign w:val="center"/>
            <w:hideMark/>
          </w:tcPr>
          <w:p w14:paraId="7BCC69A7"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sym w:font="Symbol" w:char="F0B3"/>
            </w:r>
            <w:r w:rsidRPr="005617F2">
              <w:rPr>
                <w:rFonts w:ascii="Arial Narrow" w:hAnsi="Arial Narrow"/>
                <w:sz w:val="20"/>
                <w:szCs w:val="20"/>
                <w:lang w:val="en-US" w:eastAsia="en-GB"/>
              </w:rPr>
              <w:t>50</w:t>
            </w:r>
          </w:p>
        </w:tc>
        <w:tc>
          <w:tcPr>
            <w:tcW w:w="2622" w:type="dxa"/>
            <w:tcBorders>
              <w:top w:val="nil"/>
              <w:left w:val="single" w:sz="4" w:space="0" w:color="auto"/>
              <w:bottom w:val="single" w:sz="4" w:space="0" w:color="auto"/>
              <w:right w:val="single" w:sz="4" w:space="0" w:color="auto"/>
            </w:tcBorders>
            <w:vAlign w:val="center"/>
            <w:hideMark/>
          </w:tcPr>
          <w:p w14:paraId="6BFE1996"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2/99 (2.0)</w:t>
            </w:r>
          </w:p>
        </w:tc>
        <w:tc>
          <w:tcPr>
            <w:tcW w:w="2623" w:type="dxa"/>
            <w:tcBorders>
              <w:top w:val="nil"/>
              <w:left w:val="single" w:sz="4" w:space="0" w:color="auto"/>
              <w:bottom w:val="single" w:sz="4" w:space="0" w:color="auto"/>
              <w:right w:val="single" w:sz="4" w:space="0" w:color="auto"/>
            </w:tcBorders>
            <w:vAlign w:val="center"/>
            <w:hideMark/>
          </w:tcPr>
          <w:p w14:paraId="0E287B51"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2/125 (1.6)</w:t>
            </w:r>
          </w:p>
        </w:tc>
      </w:tr>
      <w:tr w:rsidR="007D4266" w:rsidRPr="005617F2" w14:paraId="72A44A7D" w14:textId="77777777" w:rsidTr="003E7E6F">
        <w:trPr>
          <w:trHeight w:val="308"/>
        </w:trPr>
        <w:tc>
          <w:tcPr>
            <w:tcW w:w="1696" w:type="dxa"/>
            <w:vMerge w:val="restart"/>
            <w:tcBorders>
              <w:top w:val="single" w:sz="4" w:space="0" w:color="auto"/>
              <w:left w:val="single" w:sz="4" w:space="0" w:color="auto"/>
              <w:bottom w:val="single" w:sz="4" w:space="0" w:color="auto"/>
              <w:right w:val="single" w:sz="4" w:space="0" w:color="auto"/>
            </w:tcBorders>
            <w:hideMark/>
          </w:tcPr>
          <w:p w14:paraId="6AC4273D"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b/>
                <w:sz w:val="20"/>
                <w:szCs w:val="20"/>
                <w:lang w:val="en-US" w:eastAsia="en-GB"/>
              </w:rPr>
              <w:t xml:space="preserve">Baseline antiviral therapy at </w:t>
            </w:r>
            <w:r w:rsidRPr="00D6566C">
              <w:rPr>
                <w:rFonts w:ascii="Arial Narrow" w:hAnsi="Arial Narrow"/>
                <w:b/>
                <w:sz w:val="20"/>
                <w:szCs w:val="20"/>
                <w:lang w:eastAsia="en-GB"/>
              </w:rPr>
              <w:t>randomisation</w:t>
            </w:r>
          </w:p>
        </w:tc>
        <w:tc>
          <w:tcPr>
            <w:tcW w:w="2268" w:type="dxa"/>
            <w:tcBorders>
              <w:top w:val="single" w:sz="4" w:space="0" w:color="auto"/>
              <w:left w:val="single" w:sz="4" w:space="0" w:color="auto"/>
              <w:bottom w:val="nil"/>
              <w:right w:val="single" w:sz="4" w:space="0" w:color="auto"/>
            </w:tcBorders>
            <w:vAlign w:val="center"/>
            <w:hideMark/>
          </w:tcPr>
          <w:p w14:paraId="02224CD2"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PI</w:t>
            </w:r>
          </w:p>
        </w:tc>
        <w:tc>
          <w:tcPr>
            <w:tcW w:w="2622" w:type="dxa"/>
            <w:tcBorders>
              <w:top w:val="single" w:sz="4" w:space="0" w:color="auto"/>
              <w:left w:val="single" w:sz="4" w:space="0" w:color="auto"/>
              <w:bottom w:val="nil"/>
              <w:right w:val="single" w:sz="4" w:space="0" w:color="auto"/>
            </w:tcBorders>
            <w:vAlign w:val="center"/>
            <w:hideMark/>
          </w:tcPr>
          <w:p w14:paraId="78E9B8ED"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1/51 (2.0)</w:t>
            </w:r>
          </w:p>
        </w:tc>
        <w:tc>
          <w:tcPr>
            <w:tcW w:w="2623" w:type="dxa"/>
            <w:tcBorders>
              <w:top w:val="single" w:sz="4" w:space="0" w:color="auto"/>
              <w:left w:val="single" w:sz="4" w:space="0" w:color="auto"/>
              <w:bottom w:val="nil"/>
              <w:right w:val="single" w:sz="4" w:space="0" w:color="auto"/>
            </w:tcBorders>
            <w:vAlign w:val="center"/>
            <w:hideMark/>
          </w:tcPr>
          <w:p w14:paraId="3968557C"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0/54</w:t>
            </w:r>
          </w:p>
        </w:tc>
      </w:tr>
      <w:tr w:rsidR="007D4266" w:rsidRPr="005617F2" w14:paraId="43446D4D" w14:textId="77777777" w:rsidTr="003E7E6F">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A9273"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nil"/>
              <w:right w:val="single" w:sz="4" w:space="0" w:color="auto"/>
            </w:tcBorders>
            <w:vAlign w:val="center"/>
            <w:hideMark/>
          </w:tcPr>
          <w:p w14:paraId="2D611521"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INI</w:t>
            </w:r>
          </w:p>
        </w:tc>
        <w:tc>
          <w:tcPr>
            <w:tcW w:w="2622" w:type="dxa"/>
            <w:tcBorders>
              <w:top w:val="nil"/>
              <w:left w:val="single" w:sz="4" w:space="0" w:color="auto"/>
              <w:bottom w:val="nil"/>
              <w:right w:val="single" w:sz="4" w:space="0" w:color="auto"/>
            </w:tcBorders>
            <w:vAlign w:val="center"/>
            <w:hideMark/>
          </w:tcPr>
          <w:p w14:paraId="0074542E"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6/385 (1.6)</w:t>
            </w:r>
          </w:p>
        </w:tc>
        <w:tc>
          <w:tcPr>
            <w:tcW w:w="2623" w:type="dxa"/>
            <w:tcBorders>
              <w:top w:val="nil"/>
              <w:left w:val="single" w:sz="4" w:space="0" w:color="auto"/>
              <w:bottom w:val="nil"/>
              <w:right w:val="single" w:sz="4" w:space="0" w:color="auto"/>
            </w:tcBorders>
            <w:vAlign w:val="center"/>
            <w:hideMark/>
          </w:tcPr>
          <w:p w14:paraId="09CE1D3D"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9/382 (2.4)</w:t>
            </w:r>
          </w:p>
        </w:tc>
      </w:tr>
      <w:tr w:rsidR="007D4266" w:rsidRPr="005617F2" w14:paraId="73049656" w14:textId="77777777" w:rsidTr="003E7E6F">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1F489" w14:textId="77777777" w:rsidR="007D4266" w:rsidRPr="005617F2" w:rsidRDefault="007D4266" w:rsidP="00843D75">
            <w:pPr>
              <w:spacing w:after="60"/>
              <w:rPr>
                <w:rFonts w:ascii="Arial Narrow" w:hAnsi="Arial Narrow"/>
                <w:sz w:val="20"/>
                <w:szCs w:val="20"/>
                <w:lang w:val="en-US" w:eastAsia="en-GB"/>
              </w:rPr>
            </w:pPr>
          </w:p>
        </w:tc>
        <w:tc>
          <w:tcPr>
            <w:tcW w:w="2268" w:type="dxa"/>
            <w:tcBorders>
              <w:top w:val="nil"/>
              <w:left w:val="single" w:sz="4" w:space="0" w:color="auto"/>
              <w:bottom w:val="single" w:sz="4" w:space="0" w:color="auto"/>
              <w:right w:val="single" w:sz="4" w:space="0" w:color="auto"/>
            </w:tcBorders>
            <w:vAlign w:val="center"/>
            <w:hideMark/>
          </w:tcPr>
          <w:p w14:paraId="38AEE790" w14:textId="77777777" w:rsidR="007D4266" w:rsidRPr="005617F2" w:rsidRDefault="007D4266" w:rsidP="00843D75">
            <w:pPr>
              <w:tabs>
                <w:tab w:val="left" w:pos="720"/>
              </w:tabs>
              <w:spacing w:after="60"/>
              <w:rPr>
                <w:rFonts w:ascii="Arial Narrow" w:hAnsi="Arial Narrow"/>
                <w:sz w:val="20"/>
                <w:szCs w:val="20"/>
                <w:lang w:val="en-US" w:eastAsia="en-GB"/>
              </w:rPr>
            </w:pPr>
            <w:r w:rsidRPr="005617F2">
              <w:rPr>
                <w:rFonts w:ascii="Arial Narrow" w:hAnsi="Arial Narrow"/>
                <w:sz w:val="20"/>
                <w:szCs w:val="20"/>
                <w:lang w:val="en-US" w:eastAsia="en-GB"/>
              </w:rPr>
              <w:t>NNRTIs</w:t>
            </w:r>
          </w:p>
        </w:tc>
        <w:tc>
          <w:tcPr>
            <w:tcW w:w="2622" w:type="dxa"/>
            <w:tcBorders>
              <w:top w:val="nil"/>
              <w:left w:val="single" w:sz="4" w:space="0" w:color="auto"/>
              <w:bottom w:val="single" w:sz="4" w:space="0" w:color="auto"/>
              <w:right w:val="single" w:sz="4" w:space="0" w:color="auto"/>
            </w:tcBorders>
            <w:vAlign w:val="center"/>
            <w:hideMark/>
          </w:tcPr>
          <w:p w14:paraId="28F65735"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4/155 (2.6)</w:t>
            </w:r>
          </w:p>
        </w:tc>
        <w:tc>
          <w:tcPr>
            <w:tcW w:w="2623" w:type="dxa"/>
            <w:tcBorders>
              <w:top w:val="nil"/>
              <w:left w:val="single" w:sz="4" w:space="0" w:color="auto"/>
              <w:bottom w:val="single" w:sz="4" w:space="0" w:color="auto"/>
              <w:right w:val="single" w:sz="4" w:space="0" w:color="auto"/>
            </w:tcBorders>
            <w:vAlign w:val="center"/>
            <w:hideMark/>
          </w:tcPr>
          <w:p w14:paraId="0D7C4235" w14:textId="77777777" w:rsidR="007D4266" w:rsidRPr="005617F2" w:rsidRDefault="007D4266" w:rsidP="00843D75">
            <w:pPr>
              <w:tabs>
                <w:tab w:val="left" w:pos="720"/>
              </w:tabs>
              <w:spacing w:after="60"/>
              <w:jc w:val="center"/>
              <w:rPr>
                <w:rFonts w:ascii="Arial Narrow" w:hAnsi="Arial Narrow"/>
                <w:sz w:val="20"/>
                <w:szCs w:val="20"/>
                <w:lang w:val="en-US" w:eastAsia="en-GB"/>
              </w:rPr>
            </w:pPr>
            <w:r w:rsidRPr="005617F2">
              <w:rPr>
                <w:rFonts w:ascii="Arial Narrow" w:hAnsi="Arial Narrow"/>
                <w:sz w:val="20"/>
                <w:szCs w:val="20"/>
                <w:lang w:val="en-US" w:eastAsia="en-GB"/>
              </w:rPr>
              <w:t>1/155 (0.6)</w:t>
            </w:r>
          </w:p>
        </w:tc>
      </w:tr>
    </w:tbl>
    <w:p w14:paraId="12084C18" w14:textId="5824CB8E" w:rsidR="007D4266" w:rsidRPr="005617F2" w:rsidRDefault="007D4266" w:rsidP="00843D75">
      <w:pPr>
        <w:tabs>
          <w:tab w:val="left" w:pos="720"/>
        </w:tabs>
        <w:spacing w:line="240" w:lineRule="auto"/>
        <w:rPr>
          <w:rFonts w:ascii="Arial Narrow" w:hAnsi="Arial Narrow"/>
          <w:sz w:val="18"/>
          <w:szCs w:val="18"/>
          <w:lang w:eastAsia="en-GB"/>
        </w:rPr>
      </w:pPr>
      <w:r w:rsidRPr="005617F2">
        <w:rPr>
          <w:rFonts w:ascii="Arial Narrow" w:hAnsi="Arial Narrow"/>
          <w:sz w:val="18"/>
          <w:szCs w:val="18"/>
          <w:lang w:eastAsia="en-GB"/>
        </w:rPr>
        <w:t>BMI= body mass index</w:t>
      </w:r>
      <w:r w:rsidR="008133F9">
        <w:rPr>
          <w:rFonts w:ascii="Arial Narrow" w:hAnsi="Arial Narrow"/>
          <w:sz w:val="18"/>
          <w:szCs w:val="18"/>
          <w:lang w:eastAsia="en-GB"/>
        </w:rPr>
        <w:t xml:space="preserve">  </w:t>
      </w:r>
      <w:r w:rsidRPr="005617F2">
        <w:rPr>
          <w:rFonts w:ascii="Arial Narrow" w:hAnsi="Arial Narrow"/>
          <w:sz w:val="18"/>
          <w:szCs w:val="18"/>
          <w:lang w:eastAsia="en-GB"/>
        </w:rPr>
        <w:t>PI= Protease inhibitor</w:t>
      </w:r>
      <w:r w:rsidR="008133F9">
        <w:rPr>
          <w:rFonts w:ascii="Arial Narrow" w:hAnsi="Arial Narrow"/>
          <w:sz w:val="18"/>
          <w:szCs w:val="18"/>
          <w:lang w:eastAsia="en-GB"/>
        </w:rPr>
        <w:t xml:space="preserve"> </w:t>
      </w:r>
      <w:r w:rsidRPr="005617F2">
        <w:rPr>
          <w:rFonts w:ascii="Arial Narrow" w:hAnsi="Arial Narrow"/>
          <w:sz w:val="18"/>
          <w:szCs w:val="18"/>
          <w:lang w:eastAsia="en-GB"/>
        </w:rPr>
        <w:t>INI= Integrase inhibitor</w:t>
      </w:r>
      <w:r w:rsidR="008133F9">
        <w:rPr>
          <w:rFonts w:ascii="Arial Narrow" w:hAnsi="Arial Narrow"/>
          <w:sz w:val="18"/>
          <w:szCs w:val="18"/>
          <w:lang w:eastAsia="en-GB"/>
        </w:rPr>
        <w:t xml:space="preserve"> </w:t>
      </w:r>
      <w:r w:rsidRPr="005617F2">
        <w:rPr>
          <w:rFonts w:ascii="Arial Narrow" w:hAnsi="Arial Narrow"/>
          <w:sz w:val="18"/>
          <w:szCs w:val="18"/>
          <w:lang w:eastAsia="en-GB"/>
        </w:rPr>
        <w:t>NNRTI= non-nucleoside reverse transcriptase inhibitor</w:t>
      </w:r>
    </w:p>
    <w:p w14:paraId="635BE918" w14:textId="77777777" w:rsidR="007D4266" w:rsidRPr="005617F2" w:rsidRDefault="007D4266" w:rsidP="00843D75">
      <w:pPr>
        <w:tabs>
          <w:tab w:val="left" w:pos="720"/>
        </w:tabs>
        <w:rPr>
          <w:rFonts w:ascii="Arial" w:hAnsi="Arial" w:cs="Arial"/>
          <w:lang w:val="en"/>
        </w:rPr>
      </w:pPr>
      <w:r w:rsidRPr="005617F2">
        <w:rPr>
          <w:rFonts w:ascii="Arial" w:hAnsi="Arial" w:cs="Arial"/>
          <w:lang w:val="en"/>
        </w:rPr>
        <w:t>In both the FLAIR and ATLAS studies, treatment differences across baseline characteristics (CD4+ count, gender, age, race, BMI, baseline third agent treatment class) were comparable.</w:t>
      </w:r>
    </w:p>
    <w:p w14:paraId="580A1648" w14:textId="0682FDB9" w:rsidR="007D4266" w:rsidRPr="00C63EDA" w:rsidRDefault="007D4266" w:rsidP="00843D75">
      <w:pPr>
        <w:tabs>
          <w:tab w:val="left" w:pos="720"/>
        </w:tabs>
        <w:rPr>
          <w:rFonts w:ascii="Arial" w:hAnsi="Arial" w:cs="Arial"/>
          <w:lang w:val="en"/>
        </w:rPr>
      </w:pPr>
      <w:r w:rsidRPr="005617F2">
        <w:rPr>
          <w:rFonts w:ascii="Arial" w:hAnsi="Arial" w:cs="Arial"/>
          <w:lang w:val="en"/>
        </w:rPr>
        <w:t xml:space="preserve">Subjects in both FLAIR and ATLAS were </w:t>
      </w:r>
      <w:proofErr w:type="spellStart"/>
      <w:r w:rsidRPr="005617F2">
        <w:rPr>
          <w:rFonts w:ascii="Arial" w:hAnsi="Arial" w:cs="Arial"/>
          <w:lang w:val="en"/>
        </w:rPr>
        <w:t>virologically</w:t>
      </w:r>
      <w:proofErr w:type="spellEnd"/>
      <w:r w:rsidRPr="005617F2">
        <w:rPr>
          <w:rFonts w:ascii="Arial" w:hAnsi="Arial" w:cs="Arial"/>
          <w:lang w:val="en"/>
        </w:rPr>
        <w:t xml:space="preserve"> suppressed prior to Day 1 or study entry</w:t>
      </w:r>
      <w:r w:rsidRPr="00C63EDA">
        <w:rPr>
          <w:rFonts w:ascii="Arial" w:hAnsi="Arial" w:cs="Arial"/>
          <w:lang w:val="en"/>
        </w:rPr>
        <w:t>, respectively, and a clinically relevant change from baseline in CD4+ cell counts was not observed.</w:t>
      </w:r>
    </w:p>
    <w:p w14:paraId="100F4EC3" w14:textId="77777777" w:rsidR="009F1F67" w:rsidRPr="0090328A" w:rsidRDefault="009F1F67" w:rsidP="009F1F67">
      <w:pPr>
        <w:rPr>
          <w:rFonts w:ascii="Arial" w:eastAsia="MS Mincho" w:hAnsi="Arial" w:cs="Arial"/>
        </w:rPr>
      </w:pPr>
      <w:bookmarkStart w:id="30" w:name="_Hlk41663545"/>
      <w:bookmarkStart w:id="31" w:name="_Hlk41916360"/>
      <w:r w:rsidRPr="0090328A">
        <w:rPr>
          <w:rFonts w:ascii="Arial" w:eastAsia="MS Mincho" w:hAnsi="Arial" w:cs="Arial"/>
        </w:rPr>
        <w:t xml:space="preserve">In the FLAIR study at 96 Weeks, the results remained consistent with the results at 48 Weeks. </w:t>
      </w:r>
      <w:bookmarkEnd w:id="30"/>
      <w:r w:rsidRPr="0090328A">
        <w:rPr>
          <w:rFonts w:ascii="Arial" w:eastAsia="MS Mincho" w:hAnsi="Arial" w:cs="Arial"/>
        </w:rPr>
        <w:t xml:space="preserve"> The proportion of subjects having plasma HIV-1 RNA ≥50 c/mL in </w:t>
      </w:r>
      <w:proofErr w:type="spellStart"/>
      <w:r w:rsidRPr="0090328A">
        <w:rPr>
          <w:rFonts w:ascii="Arial" w:eastAsia="MS Mincho" w:hAnsi="Arial" w:cs="Arial"/>
        </w:rPr>
        <w:t>cabotegravir</w:t>
      </w:r>
      <w:proofErr w:type="spellEnd"/>
      <w:r w:rsidRPr="0090328A">
        <w:rPr>
          <w:rFonts w:ascii="Arial" w:eastAsia="MS Mincho" w:hAnsi="Arial" w:cs="Arial"/>
        </w:rPr>
        <w:t xml:space="preserve"> plus </w:t>
      </w:r>
      <w:proofErr w:type="spellStart"/>
      <w:r w:rsidRPr="0090328A">
        <w:rPr>
          <w:rFonts w:ascii="Arial" w:eastAsia="MS Mincho" w:hAnsi="Arial" w:cs="Arial"/>
        </w:rPr>
        <w:t>rilpivirine</w:t>
      </w:r>
      <w:proofErr w:type="spellEnd"/>
      <w:r w:rsidRPr="0090328A">
        <w:rPr>
          <w:rFonts w:ascii="Arial" w:eastAsia="MS Mincho" w:hAnsi="Arial" w:cs="Arial"/>
        </w:rPr>
        <w:t xml:space="preserve"> (n=283) and CAR (n=283) was 3.2% and 3.2% respectively (adjusted treatment difference between </w:t>
      </w:r>
      <w:proofErr w:type="spellStart"/>
      <w:r w:rsidRPr="0090328A">
        <w:rPr>
          <w:rFonts w:ascii="Arial" w:eastAsia="MS Mincho" w:hAnsi="Arial" w:cs="Arial"/>
        </w:rPr>
        <w:t>cabotegravir</w:t>
      </w:r>
      <w:proofErr w:type="spellEnd"/>
      <w:r w:rsidRPr="0090328A">
        <w:rPr>
          <w:rFonts w:ascii="Arial" w:eastAsia="MS Mincho" w:hAnsi="Arial" w:cs="Arial"/>
        </w:rPr>
        <w:t xml:space="preserve"> plus </w:t>
      </w:r>
      <w:proofErr w:type="spellStart"/>
      <w:r w:rsidRPr="0090328A">
        <w:rPr>
          <w:rFonts w:ascii="Arial" w:eastAsia="MS Mincho" w:hAnsi="Arial" w:cs="Arial"/>
        </w:rPr>
        <w:t>rilpivirine</w:t>
      </w:r>
      <w:proofErr w:type="spellEnd"/>
      <w:r w:rsidRPr="0090328A">
        <w:rPr>
          <w:rFonts w:ascii="Arial" w:eastAsia="MS Mincho" w:hAnsi="Arial" w:cs="Arial"/>
        </w:rPr>
        <w:t xml:space="preserve"> and CAR [0.0; 95% CI: -2.9, 2.9]).  The proportion of subjects having plasma HIV-1 RNA &lt;50 c/mL in </w:t>
      </w:r>
      <w:proofErr w:type="spellStart"/>
      <w:r w:rsidRPr="0090328A">
        <w:rPr>
          <w:rFonts w:ascii="Arial" w:eastAsia="MS Mincho" w:hAnsi="Arial" w:cs="Arial"/>
        </w:rPr>
        <w:t>cabotegravir</w:t>
      </w:r>
      <w:proofErr w:type="spellEnd"/>
      <w:r w:rsidRPr="0090328A">
        <w:rPr>
          <w:rFonts w:ascii="Arial" w:eastAsia="MS Mincho" w:hAnsi="Arial" w:cs="Arial"/>
        </w:rPr>
        <w:t xml:space="preserve"> plus </w:t>
      </w:r>
      <w:proofErr w:type="spellStart"/>
      <w:r w:rsidRPr="0090328A">
        <w:rPr>
          <w:rFonts w:ascii="Arial" w:eastAsia="MS Mincho" w:hAnsi="Arial" w:cs="Arial"/>
        </w:rPr>
        <w:t>rilpivirine</w:t>
      </w:r>
      <w:proofErr w:type="spellEnd"/>
      <w:r w:rsidRPr="0090328A">
        <w:rPr>
          <w:rFonts w:ascii="Arial" w:eastAsia="MS Mincho" w:hAnsi="Arial" w:cs="Arial"/>
        </w:rPr>
        <w:t xml:space="preserve"> and CAR was 87% and 89%, respectively (adjusted treatment difference between </w:t>
      </w:r>
      <w:proofErr w:type="spellStart"/>
      <w:r w:rsidRPr="0090328A">
        <w:rPr>
          <w:rFonts w:ascii="Arial" w:eastAsia="MS Mincho" w:hAnsi="Arial" w:cs="Arial"/>
        </w:rPr>
        <w:t>cabotegravir</w:t>
      </w:r>
      <w:proofErr w:type="spellEnd"/>
      <w:r w:rsidRPr="0090328A">
        <w:rPr>
          <w:rFonts w:ascii="Arial" w:eastAsia="MS Mincho" w:hAnsi="Arial" w:cs="Arial"/>
        </w:rPr>
        <w:t xml:space="preserve"> plus </w:t>
      </w:r>
      <w:proofErr w:type="spellStart"/>
      <w:r w:rsidRPr="0090328A">
        <w:rPr>
          <w:rFonts w:ascii="Arial" w:eastAsia="MS Mincho" w:hAnsi="Arial" w:cs="Arial"/>
        </w:rPr>
        <w:t>rilpivirine</w:t>
      </w:r>
      <w:proofErr w:type="spellEnd"/>
      <w:r w:rsidRPr="0090328A">
        <w:rPr>
          <w:rFonts w:ascii="Arial" w:eastAsia="MS Mincho" w:hAnsi="Arial" w:cs="Arial"/>
        </w:rPr>
        <w:t xml:space="preserve"> and CAR [-2.8; 95% CI: -8.2, 2.5]).</w:t>
      </w:r>
    </w:p>
    <w:p w14:paraId="3C8463CC" w14:textId="77777777" w:rsidR="009F1F67" w:rsidRPr="002E2FB4" w:rsidRDefault="009F1F67" w:rsidP="009F1F67">
      <w:pPr>
        <w:keepNext/>
        <w:rPr>
          <w:rFonts w:ascii="Arial" w:eastAsia="MS Mincho" w:hAnsi="Arial" w:cs="Arial"/>
          <w:b/>
          <w:i/>
        </w:rPr>
      </w:pPr>
      <w:bookmarkStart w:id="32" w:name="_Hlk29507809"/>
      <w:bookmarkEnd w:id="31"/>
      <w:r w:rsidRPr="002E2FB4">
        <w:rPr>
          <w:rFonts w:ascii="Arial" w:hAnsi="Arial" w:cs="Arial"/>
          <w:b/>
          <w:i/>
        </w:rPr>
        <w:t xml:space="preserve">Every 2 </w:t>
      </w:r>
      <w:r>
        <w:rPr>
          <w:rFonts w:ascii="Arial" w:hAnsi="Arial" w:cs="Arial"/>
          <w:b/>
          <w:i/>
        </w:rPr>
        <w:t>M</w:t>
      </w:r>
      <w:r w:rsidRPr="002E2FB4">
        <w:rPr>
          <w:rFonts w:ascii="Arial" w:hAnsi="Arial" w:cs="Arial"/>
          <w:b/>
          <w:i/>
        </w:rPr>
        <w:t xml:space="preserve">onth </w:t>
      </w:r>
      <w:r>
        <w:rPr>
          <w:rFonts w:ascii="Arial" w:hAnsi="Arial" w:cs="Arial"/>
          <w:b/>
          <w:i/>
        </w:rPr>
        <w:t>D</w:t>
      </w:r>
      <w:r w:rsidRPr="002E2FB4">
        <w:rPr>
          <w:rFonts w:ascii="Arial" w:hAnsi="Arial" w:cs="Arial"/>
          <w:b/>
          <w:i/>
        </w:rPr>
        <w:t>osing</w:t>
      </w:r>
    </w:p>
    <w:p w14:paraId="3DF55E87" w14:textId="77777777" w:rsidR="009F1F67" w:rsidRPr="002E2FB4" w:rsidRDefault="009F1F67" w:rsidP="009F1F67">
      <w:pPr>
        <w:keepNext/>
        <w:autoSpaceDE w:val="0"/>
        <w:autoSpaceDN w:val="0"/>
        <w:adjustRightInd w:val="0"/>
        <w:rPr>
          <w:rFonts w:ascii="Arial" w:hAnsi="Arial" w:cs="Arial"/>
        </w:rPr>
      </w:pPr>
      <w:bookmarkStart w:id="33" w:name="_Hlk41663325"/>
      <w:r w:rsidRPr="002E2FB4">
        <w:rPr>
          <w:rFonts w:ascii="Arial" w:hAnsi="Arial" w:cs="Arial"/>
        </w:rPr>
        <w:t xml:space="preserve">The efficacy and safety of </w:t>
      </w:r>
      <w:proofErr w:type="spellStart"/>
      <w:r w:rsidRPr="002E2FB4">
        <w:rPr>
          <w:rFonts w:ascii="Arial" w:hAnsi="Arial" w:cs="Arial"/>
        </w:rPr>
        <w:t>cabotegravir</w:t>
      </w:r>
      <w:proofErr w:type="spellEnd"/>
      <w:r w:rsidRPr="002E2FB4">
        <w:rPr>
          <w:rFonts w:ascii="Arial" w:hAnsi="Arial" w:cs="Arial"/>
        </w:rPr>
        <w:t xml:space="preserve"> injection given every 2 months, has been evaluated in one Phase </w:t>
      </w:r>
      <w:proofErr w:type="spellStart"/>
      <w:r w:rsidRPr="002E2FB4">
        <w:rPr>
          <w:rFonts w:ascii="Arial" w:hAnsi="Arial" w:cs="Arial"/>
        </w:rPr>
        <w:t>IIIb</w:t>
      </w:r>
      <w:proofErr w:type="spellEnd"/>
      <w:r w:rsidRPr="002E2FB4">
        <w:rPr>
          <w:rFonts w:ascii="Arial" w:hAnsi="Arial" w:cs="Arial"/>
        </w:rPr>
        <w:t xml:space="preserve"> randomised, multicentre, parallel-arm, open-label, non-inferiority study, </w:t>
      </w:r>
      <w:r w:rsidRPr="002E2FB4">
        <w:rPr>
          <w:rFonts w:ascii="Arial" w:hAnsi="Arial" w:cs="Arial"/>
        </w:rPr>
        <w:lastRenderedPageBreak/>
        <w:t>ATLAS-2M (207966). The primary analysis was conducted after all subjects completed their Week 48 visit or discontinued the study prematurely.</w:t>
      </w:r>
    </w:p>
    <w:p w14:paraId="09383D95" w14:textId="498B4A75" w:rsidR="009F1F67" w:rsidRPr="002E2FB4" w:rsidRDefault="009F1F67" w:rsidP="008133F9">
      <w:pPr>
        <w:autoSpaceDE w:val="0"/>
        <w:autoSpaceDN w:val="0"/>
        <w:adjustRightInd w:val="0"/>
        <w:spacing w:after="120" w:line="240" w:lineRule="auto"/>
        <w:rPr>
          <w:rFonts w:ascii="Arial" w:hAnsi="Arial" w:cs="Arial"/>
        </w:rPr>
      </w:pPr>
      <w:bookmarkStart w:id="34" w:name="_Hlk41665109"/>
      <w:bookmarkEnd w:id="33"/>
      <w:r w:rsidRPr="002E2FB4">
        <w:rPr>
          <w:rFonts w:ascii="Arial" w:hAnsi="Arial" w:cs="Arial"/>
        </w:rPr>
        <w:t xml:space="preserve">In ATLAS-2M, 1045 HIV-1 infected, ART experienced, virologically suppressed subjects were randomised (1:1) and received a </w:t>
      </w:r>
      <w:proofErr w:type="spellStart"/>
      <w:r w:rsidRPr="002E2FB4">
        <w:rPr>
          <w:rFonts w:ascii="Arial" w:hAnsi="Arial" w:cs="Arial"/>
        </w:rPr>
        <w:t>cabotegravir</w:t>
      </w:r>
      <w:proofErr w:type="spellEnd"/>
      <w:r w:rsidRPr="002E2FB4">
        <w:rPr>
          <w:rFonts w:ascii="Arial" w:hAnsi="Arial" w:cs="Arial"/>
        </w:rPr>
        <w:t xml:space="preserve"> plus </w:t>
      </w:r>
      <w:proofErr w:type="spellStart"/>
      <w:r w:rsidRPr="002E2FB4">
        <w:rPr>
          <w:rFonts w:ascii="Arial" w:hAnsi="Arial" w:cs="Arial"/>
        </w:rPr>
        <w:t>rilpivirine</w:t>
      </w:r>
      <w:proofErr w:type="spellEnd"/>
      <w:r w:rsidRPr="002E2FB4">
        <w:rPr>
          <w:rFonts w:ascii="Arial" w:hAnsi="Arial" w:cs="Arial"/>
        </w:rPr>
        <w:t xml:space="preserve"> injection regimen administered either every 2 months or monthly. Subjects initially on non-</w:t>
      </w:r>
      <w:proofErr w:type="spellStart"/>
      <w:r w:rsidR="00AF5F12" w:rsidRPr="002E2FB4">
        <w:rPr>
          <w:rFonts w:ascii="Arial" w:eastAsia="MS Mincho" w:hAnsi="Arial" w:cs="Arial"/>
        </w:rPr>
        <w:t>cabotegravir</w:t>
      </w:r>
      <w:proofErr w:type="spellEnd"/>
      <w:r w:rsidR="00AF5F12" w:rsidRPr="002E2FB4">
        <w:rPr>
          <w:rFonts w:ascii="Arial" w:eastAsia="MS Mincho" w:hAnsi="Arial" w:cs="Arial"/>
        </w:rPr>
        <w:t xml:space="preserve"> plus </w:t>
      </w:r>
      <w:proofErr w:type="spellStart"/>
      <w:r w:rsidR="00AF5F12" w:rsidRPr="002E2FB4">
        <w:rPr>
          <w:rFonts w:ascii="Arial" w:eastAsia="MS Mincho" w:hAnsi="Arial" w:cs="Arial"/>
        </w:rPr>
        <w:t>rilpivirine</w:t>
      </w:r>
      <w:proofErr w:type="spellEnd"/>
      <w:r w:rsidR="00AF5F12" w:rsidRPr="002E2FB4">
        <w:rPr>
          <w:rFonts w:ascii="Arial" w:eastAsia="MS Mincho" w:hAnsi="Arial" w:cs="Arial"/>
        </w:rPr>
        <w:t xml:space="preserve"> </w:t>
      </w:r>
      <w:r w:rsidRPr="002E2FB4">
        <w:rPr>
          <w:rFonts w:ascii="Arial" w:hAnsi="Arial" w:cs="Arial"/>
        </w:rPr>
        <w:t xml:space="preserve">treatment received oral lead-in treatment comprising one </w:t>
      </w:r>
      <w:proofErr w:type="spellStart"/>
      <w:r w:rsidRPr="002E2FB4">
        <w:rPr>
          <w:rFonts w:ascii="Arial" w:hAnsi="Arial" w:cs="Arial"/>
        </w:rPr>
        <w:t>cabotegravir</w:t>
      </w:r>
      <w:proofErr w:type="spellEnd"/>
      <w:r w:rsidRPr="002E2FB4">
        <w:rPr>
          <w:rFonts w:ascii="Arial" w:hAnsi="Arial" w:cs="Arial"/>
        </w:rPr>
        <w:t xml:space="preserve"> 30 mg tablet plus one </w:t>
      </w:r>
      <w:proofErr w:type="spellStart"/>
      <w:r w:rsidRPr="002E2FB4">
        <w:rPr>
          <w:rFonts w:ascii="Arial" w:hAnsi="Arial" w:cs="Arial"/>
        </w:rPr>
        <w:t>rilpivirine</w:t>
      </w:r>
      <w:proofErr w:type="spellEnd"/>
      <w:r w:rsidRPr="002E2FB4">
        <w:rPr>
          <w:rFonts w:ascii="Arial" w:hAnsi="Arial" w:cs="Arial"/>
        </w:rPr>
        <w:t xml:space="preserve"> 25 mg tablet, daily, for at least 4 weeks. Subjects randomised to monthly </w:t>
      </w:r>
      <w:proofErr w:type="spellStart"/>
      <w:r w:rsidRPr="002E2FB4">
        <w:rPr>
          <w:rFonts w:ascii="Arial" w:hAnsi="Arial" w:cs="Arial"/>
        </w:rPr>
        <w:t>cabotegravir</w:t>
      </w:r>
      <w:proofErr w:type="spellEnd"/>
      <w:r w:rsidRPr="002E2FB4">
        <w:rPr>
          <w:rFonts w:ascii="Arial" w:hAnsi="Arial" w:cs="Arial"/>
        </w:rPr>
        <w:t xml:space="preserve"> injections (month 1: 600 mg injection, month 2 onwards: 400 mg injection) and </w:t>
      </w:r>
      <w:proofErr w:type="spellStart"/>
      <w:r w:rsidRPr="002E2FB4">
        <w:rPr>
          <w:rFonts w:ascii="Arial" w:hAnsi="Arial" w:cs="Arial"/>
        </w:rPr>
        <w:t>rilpivirine</w:t>
      </w:r>
      <w:proofErr w:type="spellEnd"/>
      <w:r w:rsidRPr="002E2FB4">
        <w:rPr>
          <w:rFonts w:ascii="Arial" w:hAnsi="Arial" w:cs="Arial"/>
        </w:rPr>
        <w:t xml:space="preserve"> injections (month 1: 900 mg injection, month 2 onwards: 600 mg injection administered) received treatment for an additional 44 weeks. Subjects randomised to every 2 month </w:t>
      </w:r>
      <w:proofErr w:type="spellStart"/>
      <w:r w:rsidRPr="002E2FB4">
        <w:rPr>
          <w:rFonts w:ascii="Arial" w:hAnsi="Arial" w:cs="Arial"/>
        </w:rPr>
        <w:t>cabotegravir</w:t>
      </w:r>
      <w:proofErr w:type="spellEnd"/>
      <w:r w:rsidRPr="002E2FB4">
        <w:rPr>
          <w:rFonts w:ascii="Arial" w:hAnsi="Arial" w:cs="Arial"/>
        </w:rPr>
        <w:t xml:space="preserve"> injections (600 mg injection at months 1, 2, 4 and every 2 months thereafter) and </w:t>
      </w:r>
      <w:proofErr w:type="spellStart"/>
      <w:r w:rsidRPr="002E2FB4">
        <w:rPr>
          <w:rFonts w:ascii="Arial" w:hAnsi="Arial" w:cs="Arial"/>
        </w:rPr>
        <w:t>rilpivirine</w:t>
      </w:r>
      <w:proofErr w:type="spellEnd"/>
      <w:r w:rsidRPr="002E2FB4">
        <w:rPr>
          <w:rFonts w:ascii="Arial" w:hAnsi="Arial" w:cs="Arial"/>
        </w:rPr>
        <w:t xml:space="preserve"> injections (900 mg injection at months 1, 2, 4 and every 2 months thereafter) for an additional 44 weeks. Prior to randomisation, 63%, 13% and 24% of subjects received </w:t>
      </w:r>
      <w:proofErr w:type="spellStart"/>
      <w:r w:rsidR="00AF5F12" w:rsidRPr="002E2FB4">
        <w:rPr>
          <w:rFonts w:ascii="Arial" w:eastAsia="MS Mincho" w:hAnsi="Arial" w:cs="Arial"/>
        </w:rPr>
        <w:t>cabotegravir</w:t>
      </w:r>
      <w:proofErr w:type="spellEnd"/>
      <w:r w:rsidR="00AF5F12" w:rsidRPr="002E2FB4">
        <w:rPr>
          <w:rFonts w:ascii="Arial" w:eastAsia="MS Mincho" w:hAnsi="Arial" w:cs="Arial"/>
        </w:rPr>
        <w:t xml:space="preserve"> plus </w:t>
      </w:r>
      <w:proofErr w:type="spellStart"/>
      <w:r w:rsidR="00AF5F12" w:rsidRPr="002E2FB4">
        <w:rPr>
          <w:rFonts w:ascii="Arial" w:eastAsia="MS Mincho" w:hAnsi="Arial" w:cs="Arial"/>
        </w:rPr>
        <w:t>rilpivirine</w:t>
      </w:r>
      <w:proofErr w:type="spellEnd"/>
      <w:r w:rsidR="00AF5F12" w:rsidRPr="002E2FB4">
        <w:rPr>
          <w:rFonts w:ascii="Arial" w:eastAsia="MS Mincho" w:hAnsi="Arial" w:cs="Arial"/>
        </w:rPr>
        <w:t xml:space="preserve"> </w:t>
      </w:r>
      <w:r w:rsidRPr="002E2FB4">
        <w:rPr>
          <w:rFonts w:ascii="Arial" w:hAnsi="Arial" w:cs="Arial"/>
        </w:rPr>
        <w:t>for 0 weeks, 1 to 24 weeks and &gt;24 weeks, respectively.</w:t>
      </w:r>
    </w:p>
    <w:bookmarkEnd w:id="34"/>
    <w:p w14:paraId="4D9F3D1E" w14:textId="77777777" w:rsidR="009F1F67" w:rsidRPr="002E2FB4" w:rsidRDefault="009F1F67" w:rsidP="008133F9">
      <w:pPr>
        <w:spacing w:after="120" w:line="240" w:lineRule="auto"/>
        <w:rPr>
          <w:rFonts w:ascii="Arial" w:eastAsia="MS Mincho" w:hAnsi="Arial" w:cs="Arial"/>
        </w:rPr>
      </w:pPr>
      <w:r w:rsidRPr="002E2FB4">
        <w:rPr>
          <w:rFonts w:ascii="Arial" w:hAnsi="Arial" w:cs="Arial"/>
        </w:rPr>
        <w:t>At baseline, the median age of subjects was 42 years, 27% were female, 27% were non-white and 6% had a CD4+ cell count less than 350 cells per mm</w:t>
      </w:r>
      <w:r w:rsidRPr="002E2FB4">
        <w:rPr>
          <w:rFonts w:ascii="Arial" w:hAnsi="Arial" w:cs="Arial"/>
          <w:vertAlign w:val="superscript"/>
        </w:rPr>
        <w:t>3</w:t>
      </w:r>
      <w:r w:rsidRPr="002E2FB4">
        <w:rPr>
          <w:rFonts w:ascii="Arial" w:hAnsi="Arial" w:cs="Arial"/>
        </w:rPr>
        <w:t>; these characteristics were similar between the treatment arms.</w:t>
      </w:r>
    </w:p>
    <w:p w14:paraId="70F88661" w14:textId="77777777" w:rsidR="009F1F67" w:rsidRPr="002E2FB4" w:rsidRDefault="009F1F67" w:rsidP="008133F9">
      <w:pPr>
        <w:spacing w:after="120" w:line="240" w:lineRule="auto"/>
        <w:rPr>
          <w:rFonts w:ascii="Arial" w:hAnsi="Arial" w:cs="Arial"/>
        </w:rPr>
      </w:pPr>
      <w:r w:rsidRPr="002E2FB4">
        <w:rPr>
          <w:rFonts w:ascii="Arial" w:hAnsi="Arial" w:cs="Arial"/>
        </w:rPr>
        <w:t xml:space="preserve">The primary endpoint in ATLAS-2M was the proportion of subjects with a plasma HIV-1 RNA </w:t>
      </w:r>
      <w:r>
        <w:rPr>
          <w:rFonts w:ascii="Arial" w:hAnsi="Arial" w:cs="Arial"/>
        </w:rPr>
        <w:t>≥</w:t>
      </w:r>
      <w:r w:rsidRPr="002E2FB4">
        <w:rPr>
          <w:rFonts w:ascii="Arial" w:hAnsi="Arial" w:cs="Arial"/>
        </w:rPr>
        <w:t xml:space="preserve">50 c/mL at Week 48 (snapshot algorithm for the ITT-E population). </w:t>
      </w:r>
    </w:p>
    <w:bookmarkEnd w:id="32"/>
    <w:p w14:paraId="09483951" w14:textId="29EDD2FF" w:rsidR="009F1F67" w:rsidRPr="002E2FB4" w:rsidRDefault="009F1F67" w:rsidP="008133F9">
      <w:pPr>
        <w:spacing w:after="120" w:line="240" w:lineRule="auto"/>
        <w:rPr>
          <w:rFonts w:ascii="Arial" w:hAnsi="Arial" w:cs="Arial"/>
        </w:rPr>
      </w:pPr>
      <w:r w:rsidRPr="002E2FB4">
        <w:rPr>
          <w:rFonts w:ascii="Arial" w:hAnsi="Arial" w:cs="Arial"/>
        </w:rPr>
        <w:t xml:space="preserve">In ATLAS-2M, </w:t>
      </w:r>
      <w:proofErr w:type="spellStart"/>
      <w:r w:rsidRPr="002E2FB4">
        <w:rPr>
          <w:rFonts w:ascii="Arial" w:hAnsi="Arial" w:cs="Arial"/>
        </w:rPr>
        <w:t>cabotegravir</w:t>
      </w:r>
      <w:proofErr w:type="spellEnd"/>
      <w:r w:rsidRPr="002E2FB4">
        <w:rPr>
          <w:rFonts w:ascii="Arial" w:hAnsi="Arial" w:cs="Arial"/>
        </w:rPr>
        <w:t xml:space="preserve"> + </w:t>
      </w:r>
      <w:proofErr w:type="spellStart"/>
      <w:r w:rsidRPr="002E2FB4">
        <w:rPr>
          <w:rFonts w:ascii="Arial" w:hAnsi="Arial" w:cs="Arial"/>
        </w:rPr>
        <w:t>rilpivirine</w:t>
      </w:r>
      <w:proofErr w:type="spellEnd"/>
      <w:r w:rsidRPr="002E2FB4">
        <w:rPr>
          <w:rFonts w:ascii="Arial" w:hAnsi="Arial" w:cs="Arial"/>
        </w:rPr>
        <w:t xml:space="preserve"> administered every 2 months was non-inferior to </w:t>
      </w:r>
      <w:proofErr w:type="spellStart"/>
      <w:r w:rsidRPr="002E2FB4">
        <w:rPr>
          <w:rFonts w:ascii="Arial" w:hAnsi="Arial" w:cs="Arial"/>
        </w:rPr>
        <w:t>cabotegravir</w:t>
      </w:r>
      <w:proofErr w:type="spellEnd"/>
      <w:r w:rsidRPr="002E2FB4">
        <w:rPr>
          <w:rFonts w:ascii="Arial" w:hAnsi="Arial" w:cs="Arial"/>
        </w:rPr>
        <w:t xml:space="preserve"> and </w:t>
      </w:r>
      <w:proofErr w:type="spellStart"/>
      <w:r w:rsidRPr="002E2FB4">
        <w:rPr>
          <w:rFonts w:ascii="Arial" w:hAnsi="Arial" w:cs="Arial"/>
        </w:rPr>
        <w:t>rilpivirine</w:t>
      </w:r>
      <w:proofErr w:type="spellEnd"/>
      <w:r w:rsidRPr="002E2FB4">
        <w:rPr>
          <w:rFonts w:ascii="Arial" w:hAnsi="Arial" w:cs="Arial"/>
        </w:rPr>
        <w:t xml:space="preserve"> administered every month on the proportion of subjects having plasma HIV-1 RNA ≥50 c/mL (1.7% and 1.0% respectively) at Week 48. The adjusted treatment difference between </w:t>
      </w:r>
      <w:proofErr w:type="spellStart"/>
      <w:r w:rsidRPr="002E2FB4">
        <w:rPr>
          <w:rFonts w:ascii="Arial" w:hAnsi="Arial" w:cs="Arial"/>
        </w:rPr>
        <w:t>cabotegravir</w:t>
      </w:r>
      <w:proofErr w:type="spellEnd"/>
      <w:r w:rsidRPr="002E2FB4">
        <w:rPr>
          <w:rFonts w:ascii="Arial" w:hAnsi="Arial" w:cs="Arial"/>
        </w:rPr>
        <w:t xml:space="preserve"> + </w:t>
      </w:r>
      <w:proofErr w:type="spellStart"/>
      <w:r w:rsidRPr="002E2FB4">
        <w:rPr>
          <w:rFonts w:ascii="Arial" w:hAnsi="Arial" w:cs="Arial"/>
        </w:rPr>
        <w:t>rilpivirine</w:t>
      </w:r>
      <w:proofErr w:type="spellEnd"/>
      <w:r w:rsidRPr="002E2FB4">
        <w:rPr>
          <w:rFonts w:ascii="Arial" w:hAnsi="Arial" w:cs="Arial"/>
        </w:rPr>
        <w:t xml:space="preserve"> administered every 2 months and every month (0.8; 95% CI: -0.6, 2.2) met the non-inferiority criterion (upper bound of the 95% CI below 4%). Furthermore, </w:t>
      </w:r>
      <w:proofErr w:type="spellStart"/>
      <w:r w:rsidRPr="002E2FB4">
        <w:rPr>
          <w:rFonts w:ascii="Arial" w:hAnsi="Arial" w:cs="Arial"/>
        </w:rPr>
        <w:t>cabotegravir</w:t>
      </w:r>
      <w:proofErr w:type="spellEnd"/>
      <w:r w:rsidRPr="002E2FB4">
        <w:rPr>
          <w:rFonts w:ascii="Arial" w:hAnsi="Arial" w:cs="Arial"/>
        </w:rPr>
        <w:t xml:space="preserve"> + </w:t>
      </w:r>
      <w:proofErr w:type="spellStart"/>
      <w:r w:rsidRPr="002E2FB4">
        <w:rPr>
          <w:rFonts w:ascii="Arial" w:hAnsi="Arial" w:cs="Arial"/>
        </w:rPr>
        <w:t>rilpivirine</w:t>
      </w:r>
      <w:proofErr w:type="spellEnd"/>
      <w:r w:rsidRPr="002E2FB4">
        <w:rPr>
          <w:rFonts w:ascii="Arial" w:hAnsi="Arial" w:cs="Arial"/>
        </w:rPr>
        <w:t xml:space="preserve"> dosed every 2 months was non-inferior to </w:t>
      </w:r>
      <w:proofErr w:type="spellStart"/>
      <w:r w:rsidR="00AF5F12" w:rsidRPr="002E2FB4">
        <w:rPr>
          <w:rFonts w:ascii="Arial" w:eastAsia="MS Mincho" w:hAnsi="Arial" w:cs="Arial"/>
        </w:rPr>
        <w:t>cabotegravir</w:t>
      </w:r>
      <w:proofErr w:type="spellEnd"/>
      <w:r w:rsidR="00AF5F12" w:rsidRPr="002E2FB4">
        <w:rPr>
          <w:rFonts w:ascii="Arial" w:eastAsia="MS Mincho" w:hAnsi="Arial" w:cs="Arial"/>
        </w:rPr>
        <w:t xml:space="preserve"> plus </w:t>
      </w:r>
      <w:proofErr w:type="spellStart"/>
      <w:r w:rsidR="00AF5F12" w:rsidRPr="002E2FB4">
        <w:rPr>
          <w:rFonts w:ascii="Arial" w:eastAsia="MS Mincho" w:hAnsi="Arial" w:cs="Arial"/>
        </w:rPr>
        <w:t>rilpivirine</w:t>
      </w:r>
      <w:proofErr w:type="spellEnd"/>
      <w:r w:rsidR="00AF5F12" w:rsidRPr="002E2FB4">
        <w:rPr>
          <w:rFonts w:ascii="Arial" w:eastAsia="MS Mincho" w:hAnsi="Arial" w:cs="Arial"/>
        </w:rPr>
        <w:t xml:space="preserve"> </w:t>
      </w:r>
      <w:r w:rsidRPr="002E2FB4">
        <w:rPr>
          <w:rFonts w:ascii="Arial" w:hAnsi="Arial" w:cs="Arial"/>
        </w:rPr>
        <w:t>dosed every month on the proportion of subjects having plasma HIV-1 RNA &lt;50 c/mL</w:t>
      </w:r>
      <w:r w:rsidRPr="002E2FB4">
        <w:rPr>
          <w:rFonts w:ascii="Arial" w:hAnsi="Arial" w:cs="Arial"/>
          <w:color w:val="FF0000"/>
        </w:rPr>
        <w:t xml:space="preserve"> </w:t>
      </w:r>
      <w:r w:rsidRPr="002E2FB4">
        <w:rPr>
          <w:rFonts w:ascii="Arial" w:hAnsi="Arial" w:cs="Arial"/>
        </w:rPr>
        <w:t xml:space="preserve">(94% and 93%, respectively) at Week 48. The adjusted treatment difference between </w:t>
      </w:r>
      <w:proofErr w:type="spellStart"/>
      <w:r w:rsidRPr="002E2FB4">
        <w:rPr>
          <w:rFonts w:ascii="Arial" w:hAnsi="Arial" w:cs="Arial"/>
        </w:rPr>
        <w:t>cabotegravir</w:t>
      </w:r>
      <w:proofErr w:type="spellEnd"/>
      <w:r w:rsidRPr="002E2FB4">
        <w:rPr>
          <w:rFonts w:ascii="Arial" w:hAnsi="Arial" w:cs="Arial"/>
        </w:rPr>
        <w:t xml:space="preserve"> + </w:t>
      </w:r>
      <w:proofErr w:type="spellStart"/>
      <w:r w:rsidRPr="002E2FB4">
        <w:rPr>
          <w:rFonts w:ascii="Arial" w:hAnsi="Arial" w:cs="Arial"/>
        </w:rPr>
        <w:t>rilpivirine</w:t>
      </w:r>
      <w:proofErr w:type="spellEnd"/>
      <w:r w:rsidRPr="002E2FB4">
        <w:rPr>
          <w:rFonts w:ascii="Arial" w:hAnsi="Arial" w:cs="Arial"/>
        </w:rPr>
        <w:t xml:space="preserve"> dosed every 2 months and monthly (0.8; 95% CI: -2.1, 3.7) met the non-inferiority criteria (lower bound of the 95% CI greater than -10%. [See Table </w:t>
      </w:r>
      <w:r w:rsidR="00B11DE6">
        <w:rPr>
          <w:rFonts w:ascii="Arial" w:hAnsi="Arial" w:cs="Arial"/>
        </w:rPr>
        <w:t>6</w:t>
      </w:r>
      <w:r w:rsidRPr="002E2FB4">
        <w:rPr>
          <w:rFonts w:ascii="Arial" w:hAnsi="Arial" w:cs="Arial"/>
        </w:rPr>
        <w:t>]).</w:t>
      </w:r>
    </w:p>
    <w:p w14:paraId="47A5D8DD" w14:textId="6FD334AD" w:rsidR="009F1F67" w:rsidRPr="002E2FB4" w:rsidRDefault="009F1F67" w:rsidP="008133F9">
      <w:pPr>
        <w:autoSpaceDE w:val="0"/>
        <w:autoSpaceDN w:val="0"/>
        <w:adjustRightInd w:val="0"/>
        <w:rPr>
          <w:rFonts w:ascii="Arial" w:hAnsi="Arial" w:cs="Arial"/>
          <w:b/>
        </w:rPr>
      </w:pPr>
      <w:r w:rsidRPr="002E2FB4">
        <w:rPr>
          <w:rFonts w:ascii="Arial" w:hAnsi="Arial" w:cs="Arial"/>
          <w:b/>
          <w:bCs/>
        </w:rPr>
        <w:t xml:space="preserve">Table </w:t>
      </w:r>
      <w:r w:rsidR="00B11DE6">
        <w:rPr>
          <w:rFonts w:ascii="Arial" w:hAnsi="Arial" w:cs="Arial"/>
          <w:b/>
          <w:bCs/>
        </w:rPr>
        <w:t>6</w:t>
      </w:r>
      <w:r w:rsidRPr="002E2FB4">
        <w:rPr>
          <w:rFonts w:ascii="Arial" w:hAnsi="Arial" w:cs="Arial"/>
          <w:b/>
          <w:bCs/>
        </w:rPr>
        <w:t xml:space="preserve"> </w:t>
      </w:r>
      <w:r w:rsidRPr="002E2FB4">
        <w:rPr>
          <w:rFonts w:ascii="Arial" w:hAnsi="Arial" w:cs="Arial"/>
        </w:rPr>
        <w:tab/>
      </w:r>
      <w:proofErr w:type="spellStart"/>
      <w:r w:rsidRPr="002E2FB4">
        <w:rPr>
          <w:rFonts w:ascii="Arial" w:hAnsi="Arial" w:cs="Arial"/>
          <w:b/>
          <w:bCs/>
        </w:rPr>
        <w:t>Virologic</w:t>
      </w:r>
      <w:proofErr w:type="spellEnd"/>
      <w:r w:rsidRPr="002E2FB4">
        <w:rPr>
          <w:rFonts w:ascii="Arial" w:hAnsi="Arial" w:cs="Arial"/>
          <w:b/>
          <w:bCs/>
        </w:rPr>
        <w:t xml:space="preserve"> Outcomes of Randomized Treatment for ATLAS-2M at 48 Weeks (Snapshot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2578"/>
      </w:tblGrid>
      <w:tr w:rsidR="009F1F67" w:rsidRPr="008133F9" w14:paraId="1FA80625" w14:textId="77777777" w:rsidTr="005F487B">
        <w:tc>
          <w:tcPr>
            <w:tcW w:w="3369" w:type="dxa"/>
          </w:tcPr>
          <w:p w14:paraId="407D6DE0" w14:textId="77777777" w:rsidR="009F1F67" w:rsidRPr="008133F9" w:rsidRDefault="009F1F67" w:rsidP="008133F9">
            <w:pPr>
              <w:pStyle w:val="tabletextNS"/>
              <w:rPr>
                <w:rFonts w:cs="Arial"/>
                <w:sz w:val="18"/>
                <w:szCs w:val="18"/>
              </w:rPr>
            </w:pPr>
          </w:p>
        </w:tc>
        <w:tc>
          <w:tcPr>
            <w:tcW w:w="2551" w:type="dxa"/>
          </w:tcPr>
          <w:p w14:paraId="26ED112E" w14:textId="77777777" w:rsidR="009F1F67" w:rsidRPr="008133F9" w:rsidRDefault="009F1F67" w:rsidP="008133F9">
            <w:pPr>
              <w:pStyle w:val="tabletextNS"/>
              <w:jc w:val="center"/>
              <w:rPr>
                <w:rFonts w:cs="Arial"/>
                <w:b/>
                <w:sz w:val="18"/>
                <w:szCs w:val="18"/>
              </w:rPr>
            </w:pPr>
            <w:r w:rsidRPr="008133F9">
              <w:rPr>
                <w:rFonts w:cs="Arial"/>
                <w:b/>
                <w:bCs/>
                <w:sz w:val="18"/>
                <w:szCs w:val="18"/>
              </w:rPr>
              <w:t>2 month Dosing (Q8W)</w:t>
            </w:r>
          </w:p>
        </w:tc>
        <w:tc>
          <w:tcPr>
            <w:tcW w:w="2578" w:type="dxa"/>
          </w:tcPr>
          <w:p w14:paraId="6FB8CD47" w14:textId="77777777" w:rsidR="009F1F67" w:rsidRPr="008133F9" w:rsidRDefault="009F1F67" w:rsidP="008133F9">
            <w:pPr>
              <w:pStyle w:val="tabletextNS"/>
              <w:jc w:val="center"/>
              <w:rPr>
                <w:rFonts w:cs="Arial"/>
                <w:b/>
                <w:sz w:val="18"/>
                <w:szCs w:val="18"/>
              </w:rPr>
            </w:pPr>
            <w:r w:rsidRPr="008133F9">
              <w:rPr>
                <w:rFonts w:cs="Arial"/>
                <w:b/>
                <w:bCs/>
                <w:sz w:val="18"/>
                <w:szCs w:val="18"/>
              </w:rPr>
              <w:t>Monthly Dosing (Q4W)</w:t>
            </w:r>
          </w:p>
        </w:tc>
      </w:tr>
      <w:tr w:rsidR="009F1F67" w:rsidRPr="008133F9" w14:paraId="44969CBE" w14:textId="77777777" w:rsidTr="005F487B">
        <w:tc>
          <w:tcPr>
            <w:tcW w:w="3369" w:type="dxa"/>
          </w:tcPr>
          <w:p w14:paraId="0C007BE8" w14:textId="77777777" w:rsidR="009F1F67" w:rsidRPr="008133F9" w:rsidRDefault="009F1F67" w:rsidP="008133F9">
            <w:pPr>
              <w:pStyle w:val="tabletextNS"/>
              <w:rPr>
                <w:rFonts w:cs="Arial"/>
                <w:sz w:val="18"/>
                <w:szCs w:val="18"/>
              </w:rPr>
            </w:pPr>
          </w:p>
        </w:tc>
        <w:tc>
          <w:tcPr>
            <w:tcW w:w="2551" w:type="dxa"/>
          </w:tcPr>
          <w:p w14:paraId="099E2B2E" w14:textId="77777777" w:rsidR="009F1F67" w:rsidRPr="008133F9" w:rsidRDefault="009F1F67" w:rsidP="008133F9">
            <w:pPr>
              <w:pStyle w:val="tabletextNS"/>
              <w:jc w:val="center"/>
              <w:rPr>
                <w:rFonts w:cs="Arial"/>
                <w:b/>
                <w:sz w:val="18"/>
                <w:szCs w:val="18"/>
              </w:rPr>
            </w:pPr>
            <w:r w:rsidRPr="008133F9">
              <w:rPr>
                <w:rFonts w:cs="Arial"/>
                <w:b/>
                <w:bCs/>
                <w:sz w:val="18"/>
                <w:szCs w:val="18"/>
              </w:rPr>
              <w:t>N=522 (%)</w:t>
            </w:r>
          </w:p>
        </w:tc>
        <w:tc>
          <w:tcPr>
            <w:tcW w:w="2578" w:type="dxa"/>
          </w:tcPr>
          <w:p w14:paraId="13EB4A85" w14:textId="77777777" w:rsidR="009F1F67" w:rsidRPr="008133F9" w:rsidRDefault="009F1F67" w:rsidP="008133F9">
            <w:pPr>
              <w:pStyle w:val="tabletextNS"/>
              <w:jc w:val="center"/>
              <w:rPr>
                <w:rFonts w:cs="Arial"/>
                <w:b/>
                <w:sz w:val="18"/>
                <w:szCs w:val="18"/>
              </w:rPr>
            </w:pPr>
            <w:r w:rsidRPr="008133F9">
              <w:rPr>
                <w:rFonts w:cs="Arial"/>
                <w:b/>
                <w:bCs/>
                <w:sz w:val="18"/>
                <w:szCs w:val="18"/>
              </w:rPr>
              <w:t>N=523 (%)</w:t>
            </w:r>
          </w:p>
        </w:tc>
      </w:tr>
      <w:tr w:rsidR="009F1F67" w:rsidRPr="008133F9" w14:paraId="3454BA4E" w14:textId="77777777" w:rsidTr="005F487B">
        <w:tc>
          <w:tcPr>
            <w:tcW w:w="3369" w:type="dxa"/>
            <w:tcBorders>
              <w:bottom w:val="single" w:sz="4" w:space="0" w:color="auto"/>
            </w:tcBorders>
            <w:vAlign w:val="center"/>
          </w:tcPr>
          <w:p w14:paraId="6108095A" w14:textId="77777777" w:rsidR="009F1F67" w:rsidRPr="008133F9" w:rsidRDefault="009F1F67" w:rsidP="008133F9">
            <w:pPr>
              <w:pStyle w:val="tabletextNS"/>
              <w:rPr>
                <w:rFonts w:cs="Arial"/>
                <w:b/>
                <w:bCs/>
                <w:sz w:val="18"/>
                <w:szCs w:val="18"/>
              </w:rPr>
            </w:pPr>
            <w:r w:rsidRPr="008133F9">
              <w:rPr>
                <w:rFonts w:cs="Arial"/>
                <w:b/>
                <w:bCs/>
                <w:sz w:val="18"/>
                <w:szCs w:val="18"/>
              </w:rPr>
              <w:t>HIV-1 RNA≥50 copies/mL</w:t>
            </w:r>
            <w:r w:rsidRPr="008133F9">
              <w:rPr>
                <w:rFonts w:cs="Arial"/>
                <w:b/>
                <w:bCs/>
                <w:sz w:val="18"/>
                <w:szCs w:val="18"/>
                <w:vertAlign w:val="superscript"/>
              </w:rPr>
              <w:t>†</w:t>
            </w:r>
          </w:p>
        </w:tc>
        <w:tc>
          <w:tcPr>
            <w:tcW w:w="2551" w:type="dxa"/>
            <w:tcBorders>
              <w:bottom w:val="single" w:sz="4" w:space="0" w:color="auto"/>
            </w:tcBorders>
            <w:vAlign w:val="center"/>
          </w:tcPr>
          <w:p w14:paraId="0C5BA3DB" w14:textId="77777777" w:rsidR="009F1F67" w:rsidRPr="008133F9" w:rsidRDefault="009F1F67" w:rsidP="008133F9">
            <w:pPr>
              <w:pStyle w:val="tabletextNS"/>
              <w:jc w:val="center"/>
              <w:rPr>
                <w:rFonts w:cs="Arial"/>
                <w:sz w:val="18"/>
                <w:szCs w:val="18"/>
              </w:rPr>
            </w:pPr>
            <w:r w:rsidRPr="008133F9">
              <w:rPr>
                <w:rFonts w:cs="Arial"/>
                <w:sz w:val="18"/>
                <w:szCs w:val="18"/>
              </w:rPr>
              <w:t>9 (1.7)</w:t>
            </w:r>
          </w:p>
        </w:tc>
        <w:tc>
          <w:tcPr>
            <w:tcW w:w="2578" w:type="dxa"/>
            <w:tcBorders>
              <w:bottom w:val="single" w:sz="4" w:space="0" w:color="auto"/>
            </w:tcBorders>
            <w:vAlign w:val="center"/>
          </w:tcPr>
          <w:p w14:paraId="32A9BA16" w14:textId="77777777" w:rsidR="009F1F67" w:rsidRPr="008133F9" w:rsidRDefault="009F1F67" w:rsidP="008133F9">
            <w:pPr>
              <w:pStyle w:val="tabletextNS"/>
              <w:jc w:val="center"/>
              <w:rPr>
                <w:rFonts w:cs="Arial"/>
                <w:sz w:val="18"/>
                <w:szCs w:val="18"/>
              </w:rPr>
            </w:pPr>
            <w:r w:rsidRPr="008133F9">
              <w:rPr>
                <w:rFonts w:cs="Arial"/>
                <w:sz w:val="18"/>
                <w:szCs w:val="18"/>
              </w:rPr>
              <w:t>5 (1.0)</w:t>
            </w:r>
          </w:p>
        </w:tc>
      </w:tr>
      <w:tr w:rsidR="009F1F67" w:rsidRPr="008133F9" w14:paraId="2750D9C6" w14:textId="77777777" w:rsidTr="005F487B">
        <w:tc>
          <w:tcPr>
            <w:tcW w:w="3369" w:type="dxa"/>
            <w:vAlign w:val="center"/>
          </w:tcPr>
          <w:p w14:paraId="317C13C9" w14:textId="77777777" w:rsidR="009F1F67" w:rsidRPr="008133F9" w:rsidRDefault="009F1F67" w:rsidP="008133F9">
            <w:pPr>
              <w:pStyle w:val="tabletextNS"/>
              <w:rPr>
                <w:rFonts w:cs="Arial"/>
                <w:b/>
                <w:bCs/>
                <w:sz w:val="18"/>
                <w:szCs w:val="18"/>
              </w:rPr>
            </w:pPr>
            <w:r w:rsidRPr="008133F9">
              <w:rPr>
                <w:rFonts w:cs="Arial"/>
                <w:b/>
                <w:bCs/>
                <w:sz w:val="18"/>
                <w:szCs w:val="18"/>
              </w:rPr>
              <w:t>Treatment Difference % (95% CI)</w:t>
            </w:r>
            <w:r w:rsidRPr="008133F9">
              <w:rPr>
                <w:rFonts w:cs="Arial"/>
                <w:sz w:val="18"/>
                <w:szCs w:val="18"/>
              </w:rPr>
              <w:t xml:space="preserve">* </w:t>
            </w:r>
          </w:p>
        </w:tc>
        <w:tc>
          <w:tcPr>
            <w:tcW w:w="5129" w:type="dxa"/>
            <w:gridSpan w:val="2"/>
            <w:vAlign w:val="center"/>
          </w:tcPr>
          <w:p w14:paraId="000FCA82" w14:textId="77777777" w:rsidR="009F1F67" w:rsidRPr="008133F9" w:rsidRDefault="009F1F67" w:rsidP="008133F9">
            <w:pPr>
              <w:pStyle w:val="tabletextNS"/>
              <w:jc w:val="center"/>
              <w:rPr>
                <w:rFonts w:cs="Arial"/>
                <w:sz w:val="18"/>
                <w:szCs w:val="18"/>
              </w:rPr>
            </w:pPr>
            <w:r w:rsidRPr="008133F9">
              <w:rPr>
                <w:rFonts w:cs="Arial"/>
                <w:sz w:val="18"/>
                <w:szCs w:val="18"/>
              </w:rPr>
              <w:t>0.8 (-0.6, 2.2)</w:t>
            </w:r>
          </w:p>
          <w:p w14:paraId="78D89173" w14:textId="77777777" w:rsidR="009F1F67" w:rsidRPr="008133F9" w:rsidRDefault="009F1F67" w:rsidP="008133F9">
            <w:pPr>
              <w:pStyle w:val="tabletextNS"/>
              <w:jc w:val="center"/>
              <w:rPr>
                <w:rFonts w:cs="Arial"/>
                <w:sz w:val="18"/>
                <w:szCs w:val="18"/>
              </w:rPr>
            </w:pPr>
          </w:p>
        </w:tc>
      </w:tr>
      <w:tr w:rsidR="009F1F67" w:rsidRPr="008133F9" w14:paraId="094E5E06" w14:textId="77777777" w:rsidTr="005F487B">
        <w:tc>
          <w:tcPr>
            <w:tcW w:w="3369" w:type="dxa"/>
            <w:vAlign w:val="center"/>
          </w:tcPr>
          <w:p w14:paraId="63BF3EE5" w14:textId="77777777" w:rsidR="009F1F67" w:rsidRPr="008133F9" w:rsidRDefault="009F1F67" w:rsidP="008133F9">
            <w:pPr>
              <w:pStyle w:val="tabletextNS"/>
              <w:rPr>
                <w:rFonts w:cs="Arial"/>
                <w:sz w:val="18"/>
                <w:szCs w:val="18"/>
              </w:rPr>
            </w:pPr>
            <w:r w:rsidRPr="008133F9">
              <w:rPr>
                <w:rFonts w:cs="Arial"/>
                <w:b/>
                <w:bCs/>
                <w:sz w:val="18"/>
                <w:szCs w:val="18"/>
              </w:rPr>
              <w:t>HIV-1 RNA &lt;50 copies/mL</w:t>
            </w:r>
          </w:p>
        </w:tc>
        <w:tc>
          <w:tcPr>
            <w:tcW w:w="2551" w:type="dxa"/>
          </w:tcPr>
          <w:p w14:paraId="3ADCB959" w14:textId="77777777" w:rsidR="009F1F67" w:rsidRPr="008133F9" w:rsidRDefault="009F1F67" w:rsidP="008133F9">
            <w:pPr>
              <w:pStyle w:val="tabletextNS"/>
              <w:jc w:val="center"/>
              <w:rPr>
                <w:rFonts w:cs="Arial"/>
                <w:sz w:val="18"/>
                <w:szCs w:val="18"/>
              </w:rPr>
            </w:pPr>
            <w:r w:rsidRPr="008133F9">
              <w:rPr>
                <w:rFonts w:cs="Arial"/>
                <w:sz w:val="18"/>
                <w:szCs w:val="18"/>
              </w:rPr>
              <w:t>492 (94.3)</w:t>
            </w:r>
          </w:p>
        </w:tc>
        <w:tc>
          <w:tcPr>
            <w:tcW w:w="2578" w:type="dxa"/>
          </w:tcPr>
          <w:p w14:paraId="40BF6339" w14:textId="77777777" w:rsidR="009F1F67" w:rsidRPr="008133F9" w:rsidRDefault="009F1F67" w:rsidP="008133F9">
            <w:pPr>
              <w:pStyle w:val="tabletextNS"/>
              <w:jc w:val="center"/>
              <w:rPr>
                <w:rFonts w:cs="Arial"/>
                <w:sz w:val="18"/>
                <w:szCs w:val="18"/>
              </w:rPr>
            </w:pPr>
            <w:r w:rsidRPr="008133F9">
              <w:rPr>
                <w:rFonts w:cs="Arial"/>
                <w:sz w:val="18"/>
                <w:szCs w:val="18"/>
              </w:rPr>
              <w:t>489 (93.5)</w:t>
            </w:r>
          </w:p>
        </w:tc>
      </w:tr>
      <w:tr w:rsidR="009F1F67" w:rsidRPr="008133F9" w14:paraId="2D74BC07" w14:textId="77777777" w:rsidTr="005F487B">
        <w:tc>
          <w:tcPr>
            <w:tcW w:w="3369" w:type="dxa"/>
            <w:vAlign w:val="center"/>
          </w:tcPr>
          <w:p w14:paraId="1E79B744" w14:textId="77777777" w:rsidR="009F1F67" w:rsidRPr="008133F9" w:rsidRDefault="009F1F67" w:rsidP="008133F9">
            <w:pPr>
              <w:pStyle w:val="tabletextNS"/>
              <w:rPr>
                <w:rFonts w:cs="Arial"/>
                <w:b/>
                <w:bCs/>
                <w:sz w:val="18"/>
                <w:szCs w:val="18"/>
              </w:rPr>
            </w:pPr>
            <w:r w:rsidRPr="008133F9">
              <w:rPr>
                <w:rFonts w:cs="Arial"/>
                <w:sz w:val="18"/>
                <w:szCs w:val="18"/>
              </w:rPr>
              <w:t>Treatment Difference % (95% CI)*</w:t>
            </w:r>
          </w:p>
        </w:tc>
        <w:tc>
          <w:tcPr>
            <w:tcW w:w="5129" w:type="dxa"/>
            <w:gridSpan w:val="2"/>
          </w:tcPr>
          <w:p w14:paraId="3E787030" w14:textId="77777777" w:rsidR="009F1F67" w:rsidRPr="008133F9" w:rsidRDefault="009F1F67" w:rsidP="008133F9">
            <w:pPr>
              <w:pStyle w:val="Default"/>
              <w:jc w:val="center"/>
              <w:rPr>
                <w:rFonts w:ascii="Arial Narrow" w:hAnsi="Arial Narrow" w:cs="Arial"/>
                <w:sz w:val="18"/>
                <w:szCs w:val="18"/>
              </w:rPr>
            </w:pPr>
            <w:r w:rsidRPr="008133F9">
              <w:rPr>
                <w:rFonts w:ascii="Arial Narrow" w:hAnsi="Arial Narrow" w:cs="Arial"/>
                <w:sz w:val="18"/>
                <w:szCs w:val="18"/>
              </w:rPr>
              <w:t>0.8 (-2.1, 3.7)</w:t>
            </w:r>
          </w:p>
        </w:tc>
      </w:tr>
      <w:tr w:rsidR="009F1F67" w:rsidRPr="008133F9" w14:paraId="2AA60E3A" w14:textId="77777777" w:rsidTr="005F487B">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725E232B" w14:textId="77777777" w:rsidR="009F1F67" w:rsidRPr="008133F9" w:rsidRDefault="009F1F67" w:rsidP="008133F9">
            <w:pPr>
              <w:spacing w:after="0"/>
              <w:rPr>
                <w:rFonts w:ascii="Arial Narrow" w:hAnsi="Arial Narrow" w:cs="Arial"/>
                <w:sz w:val="18"/>
                <w:szCs w:val="18"/>
                <w:lang w:val="en-US"/>
              </w:rPr>
            </w:pPr>
            <w:r w:rsidRPr="008133F9">
              <w:rPr>
                <w:rFonts w:ascii="Arial Narrow" w:hAnsi="Arial Narrow" w:cs="Arial"/>
                <w:sz w:val="18"/>
                <w:szCs w:val="18"/>
              </w:rPr>
              <w:t xml:space="preserve">No </w:t>
            </w:r>
            <w:proofErr w:type="spellStart"/>
            <w:r w:rsidRPr="008133F9">
              <w:rPr>
                <w:rFonts w:ascii="Arial Narrow" w:hAnsi="Arial Narrow" w:cs="Arial"/>
                <w:sz w:val="18"/>
                <w:szCs w:val="18"/>
              </w:rPr>
              <w:t>virologic</w:t>
            </w:r>
            <w:proofErr w:type="spellEnd"/>
            <w:r w:rsidRPr="008133F9">
              <w:rPr>
                <w:rFonts w:ascii="Arial Narrow" w:hAnsi="Arial Narrow" w:cs="Arial"/>
                <w:sz w:val="18"/>
                <w:szCs w:val="18"/>
              </w:rPr>
              <w:t xml:space="preserve"> data at week 48 window</w:t>
            </w:r>
          </w:p>
        </w:tc>
        <w:tc>
          <w:tcPr>
            <w:tcW w:w="2551" w:type="dxa"/>
            <w:tcBorders>
              <w:top w:val="single" w:sz="4" w:space="0" w:color="auto"/>
              <w:left w:val="single" w:sz="4" w:space="0" w:color="auto"/>
              <w:bottom w:val="single" w:sz="4" w:space="0" w:color="auto"/>
              <w:right w:val="single" w:sz="4" w:space="0" w:color="auto"/>
            </w:tcBorders>
          </w:tcPr>
          <w:p w14:paraId="20782587"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21 (4.0)</w:t>
            </w:r>
          </w:p>
        </w:tc>
        <w:tc>
          <w:tcPr>
            <w:tcW w:w="2578" w:type="dxa"/>
            <w:tcBorders>
              <w:top w:val="single" w:sz="4" w:space="0" w:color="auto"/>
              <w:left w:val="single" w:sz="4" w:space="0" w:color="auto"/>
              <w:bottom w:val="single" w:sz="4" w:space="0" w:color="auto"/>
              <w:right w:val="single" w:sz="4" w:space="0" w:color="auto"/>
            </w:tcBorders>
          </w:tcPr>
          <w:p w14:paraId="3C447E17"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29 (5.5)</w:t>
            </w:r>
          </w:p>
        </w:tc>
      </w:tr>
      <w:tr w:rsidR="009F1F67" w:rsidRPr="008133F9" w14:paraId="120C0BD5" w14:textId="77777777" w:rsidTr="005F487B">
        <w:tc>
          <w:tcPr>
            <w:tcW w:w="3369" w:type="dxa"/>
            <w:vAlign w:val="center"/>
          </w:tcPr>
          <w:p w14:paraId="3F7C80B1" w14:textId="77777777" w:rsidR="009F1F67" w:rsidRPr="008133F9" w:rsidRDefault="009F1F67" w:rsidP="008133F9">
            <w:pPr>
              <w:pStyle w:val="tabletextNS"/>
              <w:rPr>
                <w:rFonts w:cs="Arial"/>
                <w:sz w:val="18"/>
                <w:szCs w:val="18"/>
              </w:rPr>
            </w:pPr>
            <w:r w:rsidRPr="008133F9">
              <w:rPr>
                <w:rFonts w:cs="Arial"/>
                <w:sz w:val="18"/>
                <w:szCs w:val="18"/>
              </w:rPr>
              <w:t>Reasons:</w:t>
            </w:r>
          </w:p>
        </w:tc>
        <w:tc>
          <w:tcPr>
            <w:tcW w:w="5129" w:type="dxa"/>
            <w:gridSpan w:val="2"/>
          </w:tcPr>
          <w:p w14:paraId="2661D3EE" w14:textId="77777777" w:rsidR="009F1F67" w:rsidRPr="008133F9" w:rsidRDefault="009F1F67" w:rsidP="008133F9">
            <w:pPr>
              <w:pStyle w:val="Default"/>
              <w:jc w:val="center"/>
              <w:rPr>
                <w:rFonts w:ascii="Arial Narrow" w:hAnsi="Arial Narrow" w:cs="Arial"/>
                <w:sz w:val="18"/>
                <w:szCs w:val="18"/>
              </w:rPr>
            </w:pPr>
          </w:p>
        </w:tc>
      </w:tr>
      <w:tr w:rsidR="009F1F67" w:rsidRPr="008133F9" w14:paraId="29F12C75" w14:textId="77777777" w:rsidTr="005F487B">
        <w:trPr>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732EB0F5" w14:textId="77777777" w:rsidR="009F1F67" w:rsidRPr="008133F9" w:rsidRDefault="009F1F67" w:rsidP="008133F9">
            <w:pPr>
              <w:spacing w:after="0"/>
              <w:ind w:left="180"/>
              <w:rPr>
                <w:rFonts w:ascii="Arial Narrow" w:hAnsi="Arial Narrow" w:cs="Arial"/>
                <w:color w:val="000000"/>
                <w:sz w:val="18"/>
                <w:szCs w:val="18"/>
                <w:vertAlign w:val="superscript"/>
                <w:lang w:val="en-US"/>
              </w:rPr>
            </w:pPr>
            <w:r w:rsidRPr="008133F9">
              <w:rPr>
                <w:rFonts w:ascii="Arial Narrow" w:hAnsi="Arial Narrow" w:cs="Arial"/>
                <w:color w:val="000000"/>
                <w:sz w:val="18"/>
                <w:szCs w:val="18"/>
              </w:rPr>
              <w:t>Discontinued study due to AE or death</w:t>
            </w:r>
          </w:p>
        </w:tc>
        <w:tc>
          <w:tcPr>
            <w:tcW w:w="2551" w:type="dxa"/>
            <w:tcBorders>
              <w:top w:val="single" w:sz="4" w:space="0" w:color="auto"/>
              <w:left w:val="single" w:sz="4" w:space="0" w:color="auto"/>
              <w:bottom w:val="single" w:sz="4" w:space="0" w:color="auto"/>
              <w:right w:val="single" w:sz="4" w:space="0" w:color="auto"/>
            </w:tcBorders>
          </w:tcPr>
          <w:p w14:paraId="6147AB40"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9 (1.7)</w:t>
            </w:r>
          </w:p>
        </w:tc>
        <w:tc>
          <w:tcPr>
            <w:tcW w:w="2578" w:type="dxa"/>
            <w:tcBorders>
              <w:top w:val="single" w:sz="4" w:space="0" w:color="auto"/>
              <w:left w:val="single" w:sz="4" w:space="0" w:color="auto"/>
              <w:bottom w:val="single" w:sz="4" w:space="0" w:color="auto"/>
              <w:right w:val="single" w:sz="4" w:space="0" w:color="auto"/>
            </w:tcBorders>
          </w:tcPr>
          <w:p w14:paraId="1581A705"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13 (2.5)</w:t>
            </w:r>
          </w:p>
        </w:tc>
      </w:tr>
      <w:tr w:rsidR="009F1F67" w:rsidRPr="008133F9" w14:paraId="3CFD37AB" w14:textId="77777777" w:rsidTr="005F487B">
        <w:trPr>
          <w:tblHeader/>
        </w:trPr>
        <w:tc>
          <w:tcPr>
            <w:tcW w:w="3369" w:type="dxa"/>
            <w:tcBorders>
              <w:top w:val="single" w:sz="4" w:space="0" w:color="auto"/>
              <w:left w:val="single" w:sz="4" w:space="0" w:color="auto"/>
              <w:bottom w:val="single" w:sz="4" w:space="0" w:color="auto"/>
              <w:right w:val="single" w:sz="4" w:space="0" w:color="auto"/>
            </w:tcBorders>
            <w:hideMark/>
          </w:tcPr>
          <w:p w14:paraId="24433C7A" w14:textId="6D18A5F9" w:rsidR="009F1F67" w:rsidRPr="008133F9" w:rsidRDefault="009F1F67" w:rsidP="008133F9">
            <w:pPr>
              <w:spacing w:after="0"/>
              <w:ind w:left="180"/>
              <w:rPr>
                <w:rFonts w:ascii="Arial Narrow" w:hAnsi="Arial Narrow" w:cs="Arial"/>
                <w:color w:val="000000"/>
                <w:sz w:val="18"/>
                <w:szCs w:val="18"/>
                <w:vertAlign w:val="superscript"/>
                <w:lang w:val="en-US"/>
              </w:rPr>
            </w:pPr>
            <w:r w:rsidRPr="008133F9">
              <w:rPr>
                <w:rFonts w:ascii="Arial Narrow" w:hAnsi="Arial Narrow" w:cs="Arial"/>
                <w:color w:val="000000"/>
                <w:sz w:val="18"/>
                <w:szCs w:val="18"/>
              </w:rPr>
              <w:t xml:space="preserve">Discontinued study for other reasons </w:t>
            </w:r>
          </w:p>
        </w:tc>
        <w:tc>
          <w:tcPr>
            <w:tcW w:w="2551" w:type="dxa"/>
            <w:tcBorders>
              <w:top w:val="single" w:sz="4" w:space="0" w:color="auto"/>
              <w:left w:val="single" w:sz="4" w:space="0" w:color="auto"/>
              <w:bottom w:val="single" w:sz="4" w:space="0" w:color="auto"/>
              <w:right w:val="single" w:sz="4" w:space="0" w:color="auto"/>
            </w:tcBorders>
          </w:tcPr>
          <w:p w14:paraId="4273E219"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12 (2.3)</w:t>
            </w:r>
          </w:p>
        </w:tc>
        <w:tc>
          <w:tcPr>
            <w:tcW w:w="2578" w:type="dxa"/>
            <w:tcBorders>
              <w:top w:val="single" w:sz="4" w:space="0" w:color="auto"/>
              <w:left w:val="single" w:sz="4" w:space="0" w:color="auto"/>
              <w:bottom w:val="single" w:sz="4" w:space="0" w:color="auto"/>
              <w:right w:val="single" w:sz="4" w:space="0" w:color="auto"/>
            </w:tcBorders>
          </w:tcPr>
          <w:p w14:paraId="72B5A163"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16 (3.1)</w:t>
            </w:r>
          </w:p>
        </w:tc>
      </w:tr>
      <w:tr w:rsidR="009F1F67" w:rsidRPr="008133F9" w14:paraId="59E6C161" w14:textId="77777777" w:rsidTr="005F487B">
        <w:trPr>
          <w:tblHeader/>
        </w:trPr>
        <w:tc>
          <w:tcPr>
            <w:tcW w:w="3369" w:type="dxa"/>
            <w:tcBorders>
              <w:top w:val="single" w:sz="4" w:space="0" w:color="auto"/>
              <w:left w:val="single" w:sz="4" w:space="0" w:color="auto"/>
              <w:bottom w:val="single" w:sz="4" w:space="0" w:color="auto"/>
              <w:right w:val="single" w:sz="4" w:space="0" w:color="auto"/>
            </w:tcBorders>
            <w:hideMark/>
          </w:tcPr>
          <w:p w14:paraId="594D79C1" w14:textId="77777777" w:rsidR="009F1F67" w:rsidRPr="008133F9" w:rsidRDefault="009F1F67" w:rsidP="008133F9">
            <w:pPr>
              <w:spacing w:after="0"/>
              <w:ind w:left="180"/>
              <w:rPr>
                <w:rFonts w:ascii="Arial Narrow" w:hAnsi="Arial Narrow" w:cs="Arial"/>
                <w:color w:val="000000"/>
                <w:sz w:val="18"/>
                <w:szCs w:val="18"/>
                <w:lang w:val="en-US"/>
              </w:rPr>
            </w:pPr>
            <w:r w:rsidRPr="008133F9">
              <w:rPr>
                <w:rFonts w:ascii="Arial Narrow" w:hAnsi="Arial Narrow" w:cs="Arial"/>
                <w:color w:val="000000"/>
                <w:sz w:val="18"/>
                <w:szCs w:val="18"/>
              </w:rPr>
              <w:t>On study but missing data in window</w:t>
            </w:r>
          </w:p>
        </w:tc>
        <w:tc>
          <w:tcPr>
            <w:tcW w:w="2551" w:type="dxa"/>
            <w:tcBorders>
              <w:top w:val="single" w:sz="4" w:space="0" w:color="auto"/>
              <w:left w:val="single" w:sz="4" w:space="0" w:color="auto"/>
              <w:bottom w:val="single" w:sz="4" w:space="0" w:color="auto"/>
              <w:right w:val="single" w:sz="4" w:space="0" w:color="auto"/>
            </w:tcBorders>
          </w:tcPr>
          <w:p w14:paraId="0C44CAC4"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0</w:t>
            </w:r>
          </w:p>
        </w:tc>
        <w:tc>
          <w:tcPr>
            <w:tcW w:w="2578" w:type="dxa"/>
            <w:tcBorders>
              <w:top w:val="single" w:sz="4" w:space="0" w:color="auto"/>
              <w:left w:val="single" w:sz="4" w:space="0" w:color="auto"/>
              <w:bottom w:val="single" w:sz="4" w:space="0" w:color="auto"/>
              <w:right w:val="single" w:sz="4" w:space="0" w:color="auto"/>
            </w:tcBorders>
          </w:tcPr>
          <w:p w14:paraId="46237906" w14:textId="77777777" w:rsidR="009F1F67" w:rsidRPr="008133F9" w:rsidRDefault="009F1F67" w:rsidP="008133F9">
            <w:pPr>
              <w:pStyle w:val="tabletextNS"/>
              <w:jc w:val="center"/>
              <w:rPr>
                <w:rFonts w:cs="Arial"/>
                <w:color w:val="000000"/>
                <w:sz w:val="18"/>
                <w:szCs w:val="18"/>
                <w:lang w:val="en-US"/>
              </w:rPr>
            </w:pPr>
            <w:r w:rsidRPr="008133F9">
              <w:rPr>
                <w:rFonts w:cs="Arial"/>
                <w:color w:val="000000"/>
                <w:sz w:val="18"/>
                <w:szCs w:val="18"/>
              </w:rPr>
              <w:t>0</w:t>
            </w:r>
          </w:p>
        </w:tc>
      </w:tr>
    </w:tbl>
    <w:p w14:paraId="04959D27" w14:textId="77777777" w:rsidR="009F1F67" w:rsidRPr="002E2FB4" w:rsidRDefault="009F1F67" w:rsidP="008133F9">
      <w:pPr>
        <w:pStyle w:val="tabletextNS"/>
        <w:rPr>
          <w:rFonts w:cs="Arial"/>
          <w:sz w:val="18"/>
          <w:szCs w:val="18"/>
        </w:rPr>
      </w:pPr>
      <w:r w:rsidRPr="002E2FB4">
        <w:rPr>
          <w:rFonts w:cs="Arial"/>
          <w:sz w:val="18"/>
          <w:szCs w:val="18"/>
        </w:rPr>
        <w:t>* Adjusted for baseline stratification factors.</w:t>
      </w:r>
    </w:p>
    <w:p w14:paraId="7ABA9EC1" w14:textId="77777777" w:rsidR="009F1F67" w:rsidRPr="002E2FB4" w:rsidRDefault="009F1F67" w:rsidP="008133F9">
      <w:pPr>
        <w:pStyle w:val="tabletextNS"/>
        <w:rPr>
          <w:rFonts w:cs="Arial"/>
          <w:sz w:val="18"/>
          <w:szCs w:val="18"/>
        </w:rPr>
      </w:pPr>
      <w:r w:rsidRPr="002E2FB4">
        <w:rPr>
          <w:rFonts w:cs="Arial"/>
          <w:sz w:val="18"/>
          <w:szCs w:val="18"/>
        </w:rPr>
        <w:t>† Includes subjects who discontinued for lack of efficacy, discontinued while not suppressed.</w:t>
      </w:r>
    </w:p>
    <w:p w14:paraId="64695E27" w14:textId="77777777" w:rsidR="009F1F67" w:rsidRPr="002E2FB4" w:rsidRDefault="009F1F67" w:rsidP="008133F9">
      <w:pPr>
        <w:rPr>
          <w:rFonts w:ascii="Arial Narrow" w:hAnsi="Arial Narrow" w:cs="Arial"/>
          <w:sz w:val="18"/>
          <w:szCs w:val="18"/>
        </w:rPr>
      </w:pPr>
      <w:r w:rsidRPr="002E2FB4">
        <w:rPr>
          <w:rFonts w:ascii="Arial Narrow" w:hAnsi="Arial Narrow" w:cs="Arial"/>
          <w:sz w:val="18"/>
          <w:szCs w:val="18"/>
        </w:rPr>
        <w:t>N = Number of subjects in each treatment group, CI = confidence interval, CAR = current antiviral regimen.</w:t>
      </w:r>
    </w:p>
    <w:p w14:paraId="7D333610" w14:textId="5EA06D28" w:rsidR="009F1F67" w:rsidRPr="002E2FB4" w:rsidRDefault="009F1F67" w:rsidP="008133F9">
      <w:pPr>
        <w:pStyle w:val="Heading3"/>
      </w:pPr>
      <w:r w:rsidRPr="002E2FB4">
        <w:lastRenderedPageBreak/>
        <w:t xml:space="preserve">Table </w:t>
      </w:r>
      <w:r w:rsidR="00B11DE6">
        <w:t>7</w:t>
      </w:r>
      <w:r w:rsidRPr="002E2FB4">
        <w:tab/>
        <w:t xml:space="preserve">Proportion of Subjects with Plasma HIV-1 RNA ≥50 copies/mL at Week 48 for key baseline factors (Snapshot Outcomes).  </w:t>
      </w:r>
    </w:p>
    <w:tbl>
      <w:tblPr>
        <w:tblStyle w:val="GridTable1Light"/>
        <w:tblpPr w:leftFromText="180" w:rightFromText="180" w:vertAnchor="text" w:tblpY="1"/>
        <w:tblW w:w="4780" w:type="pct"/>
        <w:tblLook w:val="04A0" w:firstRow="1" w:lastRow="0" w:firstColumn="1" w:lastColumn="0" w:noHBand="0" w:noVBand="1"/>
      </w:tblPr>
      <w:tblGrid>
        <w:gridCol w:w="2309"/>
        <w:gridCol w:w="1470"/>
        <w:gridCol w:w="2244"/>
        <w:gridCol w:w="2596"/>
      </w:tblGrid>
      <w:tr w:rsidR="009F1F67" w:rsidRPr="00D551A4" w14:paraId="0A8E275C" w14:textId="77777777" w:rsidTr="00D551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 w:type="pct"/>
            <w:hideMark/>
          </w:tcPr>
          <w:p w14:paraId="30AE091C" w14:textId="77777777" w:rsidR="009F1F67" w:rsidRPr="00D551A4" w:rsidRDefault="009F1F67" w:rsidP="005F487B">
            <w:pPr>
              <w:pStyle w:val="tabletextNS"/>
              <w:rPr>
                <w:rFonts w:cs="Arial"/>
                <w:sz w:val="18"/>
                <w:szCs w:val="18"/>
              </w:rPr>
            </w:pPr>
          </w:p>
        </w:tc>
        <w:tc>
          <w:tcPr>
            <w:tcW w:w="853" w:type="pct"/>
            <w:hideMark/>
          </w:tcPr>
          <w:p w14:paraId="1FA05668" w14:textId="77777777" w:rsidR="009F1F67" w:rsidRPr="00D551A4" w:rsidRDefault="009F1F67" w:rsidP="005F487B">
            <w:pPr>
              <w:pStyle w:val="tabletextNS"/>
              <w:cnfStyle w:val="100000000000" w:firstRow="1" w:lastRow="0" w:firstColumn="0" w:lastColumn="0" w:oddVBand="0" w:evenVBand="0" w:oddHBand="0" w:evenHBand="0" w:firstRowFirstColumn="0" w:firstRowLastColumn="0" w:lastRowFirstColumn="0" w:lastRowLastColumn="0"/>
              <w:rPr>
                <w:rFonts w:cs="Arial"/>
                <w:sz w:val="18"/>
                <w:szCs w:val="18"/>
              </w:rPr>
            </w:pPr>
          </w:p>
        </w:tc>
        <w:tc>
          <w:tcPr>
            <w:tcW w:w="2808" w:type="pct"/>
            <w:gridSpan w:val="2"/>
            <w:hideMark/>
          </w:tcPr>
          <w:p w14:paraId="651FA873" w14:textId="77777777" w:rsidR="009F1F67" w:rsidRPr="00D551A4" w:rsidRDefault="009F1F67" w:rsidP="005F487B">
            <w:pPr>
              <w:pStyle w:val="tabletextNS"/>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D551A4">
              <w:rPr>
                <w:rFonts w:cs="Arial"/>
                <w:sz w:val="18"/>
                <w:szCs w:val="18"/>
              </w:rPr>
              <w:t>Number of HIV-1</w:t>
            </w:r>
            <w:r w:rsidRPr="00D551A4">
              <w:rPr>
                <w:rFonts w:cs="Arial"/>
                <w:sz w:val="18"/>
                <w:szCs w:val="18"/>
              </w:rPr>
              <w:br w:type="textWrapping" w:clear="all"/>
              <w:t>RNA ≥50 c/mL/</w:t>
            </w:r>
            <w:r w:rsidRPr="00D551A4">
              <w:rPr>
                <w:rFonts w:cs="Arial"/>
                <w:sz w:val="18"/>
                <w:szCs w:val="18"/>
              </w:rPr>
              <w:br w:type="textWrapping" w:clear="all"/>
              <w:t>Total Assessed (%)</w:t>
            </w:r>
          </w:p>
        </w:tc>
      </w:tr>
      <w:tr w:rsidR="009F1F67" w:rsidRPr="00D551A4" w14:paraId="03FF621F" w14:textId="77777777" w:rsidTr="00D551A4">
        <w:tc>
          <w:tcPr>
            <w:cnfStyle w:val="001000000000" w:firstRow="0" w:lastRow="0" w:firstColumn="1" w:lastColumn="0" w:oddVBand="0" w:evenVBand="0" w:oddHBand="0" w:evenHBand="0" w:firstRowFirstColumn="0" w:firstRowLastColumn="0" w:lastRowFirstColumn="0" w:lastRowLastColumn="0"/>
            <w:tcW w:w="1339" w:type="pct"/>
          </w:tcPr>
          <w:p w14:paraId="0A88B743" w14:textId="77777777" w:rsidR="009F1F67" w:rsidRPr="00D551A4" w:rsidRDefault="009F1F67" w:rsidP="005F487B">
            <w:pPr>
              <w:pStyle w:val="tabletextNS"/>
              <w:rPr>
                <w:rFonts w:cs="Arial"/>
                <w:sz w:val="18"/>
                <w:szCs w:val="18"/>
              </w:rPr>
            </w:pPr>
          </w:p>
        </w:tc>
        <w:tc>
          <w:tcPr>
            <w:tcW w:w="853" w:type="pct"/>
          </w:tcPr>
          <w:p w14:paraId="39EB39B7"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02" w:type="pct"/>
          </w:tcPr>
          <w:p w14:paraId="1011FA0D"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D551A4">
              <w:rPr>
                <w:rFonts w:cs="Arial"/>
                <w:b/>
                <w:bCs/>
                <w:sz w:val="18"/>
                <w:szCs w:val="18"/>
              </w:rPr>
              <w:t>2 Month Dosing (Q8W)</w:t>
            </w:r>
          </w:p>
        </w:tc>
        <w:tc>
          <w:tcPr>
            <w:tcW w:w="1506" w:type="pct"/>
          </w:tcPr>
          <w:p w14:paraId="1CB26CA9"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D551A4">
              <w:rPr>
                <w:rFonts w:cs="Arial"/>
                <w:b/>
                <w:bCs/>
                <w:sz w:val="18"/>
                <w:szCs w:val="18"/>
              </w:rPr>
              <w:t>Monthly dosing (Q4W)</w:t>
            </w:r>
          </w:p>
        </w:tc>
      </w:tr>
      <w:tr w:rsidR="009F1F67" w:rsidRPr="00D551A4" w14:paraId="6BCDD65E"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4DB22D5F" w14:textId="4B451C21" w:rsidR="009F1F67" w:rsidRPr="00D551A4" w:rsidRDefault="009F1F67" w:rsidP="00D551A4">
            <w:pPr>
              <w:pStyle w:val="tabletextNS"/>
              <w:rPr>
                <w:rFonts w:cs="Arial"/>
                <w:b w:val="0"/>
                <w:sz w:val="18"/>
                <w:szCs w:val="18"/>
              </w:rPr>
            </w:pPr>
            <w:r w:rsidRPr="00D551A4">
              <w:rPr>
                <w:rFonts w:cs="Arial"/>
                <w:sz w:val="18"/>
                <w:szCs w:val="18"/>
              </w:rPr>
              <w:t>Baseline CD4+ cell count (cells/mm3)</w:t>
            </w:r>
          </w:p>
        </w:tc>
        <w:tc>
          <w:tcPr>
            <w:tcW w:w="853" w:type="pct"/>
            <w:hideMark/>
          </w:tcPr>
          <w:p w14:paraId="1706305F" w14:textId="2C6BCDAC"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&lt;350</w:t>
            </w:r>
          </w:p>
        </w:tc>
        <w:tc>
          <w:tcPr>
            <w:tcW w:w="1302" w:type="pct"/>
          </w:tcPr>
          <w:p w14:paraId="637A7138"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 35 (2.9)</w:t>
            </w:r>
          </w:p>
        </w:tc>
        <w:tc>
          <w:tcPr>
            <w:tcW w:w="1506" w:type="pct"/>
          </w:tcPr>
          <w:p w14:paraId="6B5660D6"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 27 (3.7)</w:t>
            </w:r>
          </w:p>
        </w:tc>
      </w:tr>
      <w:tr w:rsidR="009F1F67" w:rsidRPr="00D551A4" w14:paraId="73712A50"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52A5D240" w14:textId="77777777" w:rsidR="009F1F67" w:rsidRPr="00D551A4" w:rsidRDefault="009F1F67" w:rsidP="005F487B">
            <w:pPr>
              <w:pStyle w:val="tabletextNS"/>
              <w:rPr>
                <w:rFonts w:cs="Arial"/>
                <w:sz w:val="18"/>
                <w:szCs w:val="18"/>
              </w:rPr>
            </w:pPr>
          </w:p>
        </w:tc>
        <w:tc>
          <w:tcPr>
            <w:tcW w:w="853" w:type="pct"/>
            <w:hideMark/>
          </w:tcPr>
          <w:p w14:paraId="49440478" w14:textId="10D9111C"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350 to &lt;500</w:t>
            </w:r>
          </w:p>
        </w:tc>
        <w:tc>
          <w:tcPr>
            <w:tcW w:w="1302" w:type="pct"/>
          </w:tcPr>
          <w:p w14:paraId="516C5592"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 96 (1.0)</w:t>
            </w:r>
          </w:p>
        </w:tc>
        <w:tc>
          <w:tcPr>
            <w:tcW w:w="1506" w:type="pct"/>
          </w:tcPr>
          <w:p w14:paraId="441BA40C"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 89</w:t>
            </w:r>
          </w:p>
        </w:tc>
      </w:tr>
      <w:tr w:rsidR="009F1F67" w:rsidRPr="00D551A4" w14:paraId="71BCB537"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5771239D" w14:textId="77777777" w:rsidR="009F1F67" w:rsidRPr="00D551A4" w:rsidRDefault="009F1F67" w:rsidP="005F487B">
            <w:pPr>
              <w:pStyle w:val="tabletextNS"/>
              <w:rPr>
                <w:rFonts w:cs="Arial"/>
                <w:sz w:val="18"/>
                <w:szCs w:val="18"/>
              </w:rPr>
            </w:pPr>
          </w:p>
        </w:tc>
        <w:tc>
          <w:tcPr>
            <w:tcW w:w="853" w:type="pct"/>
            <w:hideMark/>
          </w:tcPr>
          <w:p w14:paraId="2DB78B5A" w14:textId="1EFCBC34"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≥500</w:t>
            </w:r>
          </w:p>
        </w:tc>
        <w:tc>
          <w:tcPr>
            <w:tcW w:w="1302" w:type="pct"/>
          </w:tcPr>
          <w:p w14:paraId="7569D0E3"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7/391 (1.8)</w:t>
            </w:r>
          </w:p>
        </w:tc>
        <w:tc>
          <w:tcPr>
            <w:tcW w:w="1506" w:type="pct"/>
          </w:tcPr>
          <w:p w14:paraId="777F8275"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4/407 (1.0)</w:t>
            </w:r>
          </w:p>
        </w:tc>
      </w:tr>
      <w:tr w:rsidR="009F1F67" w:rsidRPr="00D551A4" w14:paraId="246BA8E0"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6F8102C7" w14:textId="77777777" w:rsidR="009F1F67" w:rsidRPr="00D551A4" w:rsidRDefault="009F1F67" w:rsidP="005F487B">
            <w:pPr>
              <w:pStyle w:val="tabletextNS"/>
              <w:rPr>
                <w:rFonts w:cs="Arial"/>
                <w:b w:val="0"/>
                <w:sz w:val="18"/>
                <w:szCs w:val="18"/>
              </w:rPr>
            </w:pPr>
            <w:r w:rsidRPr="00D551A4">
              <w:rPr>
                <w:rFonts w:cs="Arial"/>
                <w:sz w:val="18"/>
                <w:szCs w:val="18"/>
              </w:rPr>
              <w:t>Gender</w:t>
            </w:r>
          </w:p>
        </w:tc>
        <w:tc>
          <w:tcPr>
            <w:tcW w:w="853" w:type="pct"/>
            <w:hideMark/>
          </w:tcPr>
          <w:p w14:paraId="4354799D"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Male</w:t>
            </w:r>
          </w:p>
        </w:tc>
        <w:tc>
          <w:tcPr>
            <w:tcW w:w="1302" w:type="pct"/>
          </w:tcPr>
          <w:p w14:paraId="1ACA567A"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4/385 (1.0)</w:t>
            </w:r>
          </w:p>
        </w:tc>
        <w:tc>
          <w:tcPr>
            <w:tcW w:w="1506" w:type="pct"/>
          </w:tcPr>
          <w:p w14:paraId="5F644303"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5/380 (1.3)</w:t>
            </w:r>
          </w:p>
        </w:tc>
      </w:tr>
      <w:tr w:rsidR="009F1F67" w:rsidRPr="00D551A4" w14:paraId="2586C02B"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513A6A99" w14:textId="77777777" w:rsidR="009F1F67" w:rsidRPr="00D551A4" w:rsidRDefault="009F1F67" w:rsidP="005F487B">
            <w:pPr>
              <w:pStyle w:val="tabletextNS"/>
              <w:rPr>
                <w:rFonts w:cs="Arial"/>
                <w:b w:val="0"/>
                <w:sz w:val="18"/>
                <w:szCs w:val="18"/>
              </w:rPr>
            </w:pPr>
          </w:p>
        </w:tc>
        <w:tc>
          <w:tcPr>
            <w:tcW w:w="853" w:type="pct"/>
            <w:hideMark/>
          </w:tcPr>
          <w:p w14:paraId="49184586"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Female</w:t>
            </w:r>
          </w:p>
        </w:tc>
        <w:tc>
          <w:tcPr>
            <w:tcW w:w="1302" w:type="pct"/>
          </w:tcPr>
          <w:p w14:paraId="43300CA2"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5/137 (3.5)</w:t>
            </w:r>
          </w:p>
        </w:tc>
        <w:tc>
          <w:tcPr>
            <w:tcW w:w="1506" w:type="pct"/>
          </w:tcPr>
          <w:p w14:paraId="25616C5C"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0/143</w:t>
            </w:r>
          </w:p>
        </w:tc>
      </w:tr>
      <w:tr w:rsidR="009F1F67" w:rsidRPr="00D551A4" w14:paraId="3E492804"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7D65A6DA" w14:textId="3DA7937C" w:rsidR="009F1F67" w:rsidRPr="00D551A4" w:rsidRDefault="009F1F67" w:rsidP="00D551A4">
            <w:pPr>
              <w:pStyle w:val="tabletextNS"/>
              <w:rPr>
                <w:rFonts w:cs="Arial"/>
                <w:b w:val="0"/>
                <w:sz w:val="18"/>
                <w:szCs w:val="18"/>
              </w:rPr>
            </w:pPr>
            <w:r w:rsidRPr="00D551A4">
              <w:rPr>
                <w:rFonts w:cs="Arial"/>
                <w:sz w:val="18"/>
                <w:szCs w:val="18"/>
              </w:rPr>
              <w:t>Race</w:t>
            </w:r>
          </w:p>
        </w:tc>
        <w:tc>
          <w:tcPr>
            <w:tcW w:w="853" w:type="pct"/>
            <w:hideMark/>
          </w:tcPr>
          <w:p w14:paraId="1A676757" w14:textId="6ABCA22D"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White</w:t>
            </w:r>
          </w:p>
        </w:tc>
        <w:tc>
          <w:tcPr>
            <w:tcW w:w="1302" w:type="pct"/>
          </w:tcPr>
          <w:p w14:paraId="0BF443BC"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5/370 (1.4)</w:t>
            </w:r>
          </w:p>
        </w:tc>
        <w:tc>
          <w:tcPr>
            <w:tcW w:w="1506" w:type="pct"/>
          </w:tcPr>
          <w:p w14:paraId="34D72F95"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5/393 (1.3)</w:t>
            </w:r>
          </w:p>
        </w:tc>
      </w:tr>
      <w:tr w:rsidR="009F1F67" w:rsidRPr="00D551A4" w14:paraId="0C9DED09"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179106D5" w14:textId="77777777" w:rsidR="009F1F67" w:rsidRPr="00D551A4" w:rsidRDefault="009F1F67" w:rsidP="005F487B">
            <w:pPr>
              <w:pStyle w:val="tabletextNS"/>
              <w:rPr>
                <w:rFonts w:cs="Arial"/>
                <w:b w:val="0"/>
                <w:sz w:val="18"/>
                <w:szCs w:val="18"/>
              </w:rPr>
            </w:pPr>
          </w:p>
        </w:tc>
        <w:tc>
          <w:tcPr>
            <w:tcW w:w="853" w:type="pct"/>
            <w:hideMark/>
          </w:tcPr>
          <w:p w14:paraId="2A80ECED" w14:textId="3C89F8BC"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Non-White</w:t>
            </w:r>
          </w:p>
        </w:tc>
        <w:tc>
          <w:tcPr>
            <w:tcW w:w="1302" w:type="pct"/>
          </w:tcPr>
          <w:p w14:paraId="2F0DFB4B"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4/152 (2.6)</w:t>
            </w:r>
          </w:p>
        </w:tc>
        <w:tc>
          <w:tcPr>
            <w:tcW w:w="1506" w:type="pct"/>
          </w:tcPr>
          <w:p w14:paraId="466E32C1"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0/130</w:t>
            </w:r>
          </w:p>
        </w:tc>
      </w:tr>
      <w:tr w:rsidR="009F1F67" w:rsidRPr="00D551A4" w14:paraId="13D0710E"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219B1A5C" w14:textId="77777777" w:rsidR="009F1F67" w:rsidRPr="00D551A4" w:rsidRDefault="009F1F67" w:rsidP="005F487B">
            <w:pPr>
              <w:pStyle w:val="tabletextNS"/>
              <w:rPr>
                <w:rFonts w:cs="Arial"/>
                <w:b w:val="0"/>
                <w:sz w:val="18"/>
                <w:szCs w:val="18"/>
              </w:rPr>
            </w:pPr>
          </w:p>
        </w:tc>
        <w:tc>
          <w:tcPr>
            <w:tcW w:w="853" w:type="pct"/>
            <w:hideMark/>
          </w:tcPr>
          <w:p w14:paraId="2E355376" w14:textId="313DD198"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Black/African American</w:t>
            </w:r>
          </w:p>
        </w:tc>
        <w:tc>
          <w:tcPr>
            <w:tcW w:w="1302" w:type="pct"/>
          </w:tcPr>
          <w:p w14:paraId="4ECF9182"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4/101 (4.0)</w:t>
            </w:r>
          </w:p>
        </w:tc>
        <w:tc>
          <w:tcPr>
            <w:tcW w:w="1506" w:type="pct"/>
          </w:tcPr>
          <w:p w14:paraId="0C0E188C"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 90</w:t>
            </w:r>
          </w:p>
        </w:tc>
      </w:tr>
      <w:tr w:rsidR="009F1F67" w:rsidRPr="00D551A4" w14:paraId="61983CBB"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3E8DD06C" w14:textId="77777777" w:rsidR="009F1F67" w:rsidRPr="00D551A4" w:rsidRDefault="009F1F67" w:rsidP="005F487B">
            <w:pPr>
              <w:pStyle w:val="tabletextNS"/>
              <w:rPr>
                <w:rFonts w:cs="Arial"/>
                <w:b w:val="0"/>
                <w:sz w:val="18"/>
                <w:szCs w:val="18"/>
              </w:rPr>
            </w:pPr>
          </w:p>
        </w:tc>
        <w:tc>
          <w:tcPr>
            <w:tcW w:w="853" w:type="pct"/>
            <w:hideMark/>
          </w:tcPr>
          <w:p w14:paraId="41B53847" w14:textId="64D8680C"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Non-Black/African American</w:t>
            </w:r>
          </w:p>
        </w:tc>
        <w:tc>
          <w:tcPr>
            <w:tcW w:w="1302" w:type="pct"/>
          </w:tcPr>
          <w:p w14:paraId="603CC2AC"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5/421 (1.2)</w:t>
            </w:r>
          </w:p>
        </w:tc>
        <w:tc>
          <w:tcPr>
            <w:tcW w:w="1506" w:type="pct"/>
          </w:tcPr>
          <w:p w14:paraId="16053A3F"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5/421 (1.2)</w:t>
            </w:r>
          </w:p>
        </w:tc>
      </w:tr>
      <w:tr w:rsidR="009F1F67" w:rsidRPr="00D551A4" w14:paraId="195CCC27"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285EB477" w14:textId="77777777" w:rsidR="009F1F67" w:rsidRPr="00D551A4" w:rsidRDefault="009F1F67" w:rsidP="005F487B">
            <w:pPr>
              <w:pStyle w:val="tabletextNS"/>
              <w:rPr>
                <w:rFonts w:cs="Arial"/>
                <w:b w:val="0"/>
                <w:sz w:val="18"/>
                <w:szCs w:val="18"/>
              </w:rPr>
            </w:pPr>
            <w:r w:rsidRPr="00D551A4">
              <w:rPr>
                <w:rFonts w:cs="Arial"/>
                <w:sz w:val="18"/>
                <w:szCs w:val="18"/>
              </w:rPr>
              <w:t>BMI</w:t>
            </w:r>
          </w:p>
        </w:tc>
        <w:tc>
          <w:tcPr>
            <w:tcW w:w="853" w:type="pct"/>
            <w:hideMark/>
          </w:tcPr>
          <w:p w14:paraId="543E0D99"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vertAlign w:val="superscript"/>
              </w:rPr>
            </w:pPr>
            <w:r w:rsidRPr="00D551A4">
              <w:rPr>
                <w:rFonts w:cs="Arial"/>
                <w:sz w:val="18"/>
                <w:szCs w:val="18"/>
              </w:rPr>
              <w:t>&lt;30 kg/m</w:t>
            </w:r>
            <w:r w:rsidRPr="00D551A4">
              <w:rPr>
                <w:rFonts w:cs="Arial"/>
                <w:sz w:val="18"/>
                <w:szCs w:val="18"/>
                <w:vertAlign w:val="superscript"/>
              </w:rPr>
              <w:t>2</w:t>
            </w:r>
          </w:p>
        </w:tc>
        <w:tc>
          <w:tcPr>
            <w:tcW w:w="1302" w:type="pct"/>
          </w:tcPr>
          <w:p w14:paraId="6B9C94A6"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3/409 (0.7)</w:t>
            </w:r>
          </w:p>
        </w:tc>
        <w:tc>
          <w:tcPr>
            <w:tcW w:w="1506" w:type="pct"/>
          </w:tcPr>
          <w:p w14:paraId="70FF9DFC"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3/425 (0.7)</w:t>
            </w:r>
          </w:p>
        </w:tc>
      </w:tr>
      <w:tr w:rsidR="009F1F67" w:rsidRPr="00D551A4" w14:paraId="2C9142E0"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1810B489" w14:textId="77777777" w:rsidR="009F1F67" w:rsidRPr="00D551A4" w:rsidRDefault="009F1F67" w:rsidP="005F487B">
            <w:pPr>
              <w:pStyle w:val="tabletextNS"/>
              <w:rPr>
                <w:rFonts w:cs="Arial"/>
                <w:b w:val="0"/>
                <w:sz w:val="18"/>
                <w:szCs w:val="18"/>
              </w:rPr>
            </w:pPr>
          </w:p>
        </w:tc>
        <w:tc>
          <w:tcPr>
            <w:tcW w:w="853" w:type="pct"/>
            <w:hideMark/>
          </w:tcPr>
          <w:p w14:paraId="53EAA05E"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≥30 kg/m</w:t>
            </w:r>
            <w:r w:rsidRPr="00D551A4">
              <w:rPr>
                <w:rFonts w:cs="Arial"/>
                <w:sz w:val="18"/>
                <w:szCs w:val="18"/>
                <w:vertAlign w:val="superscript"/>
              </w:rPr>
              <w:t>2</w:t>
            </w:r>
          </w:p>
        </w:tc>
        <w:tc>
          <w:tcPr>
            <w:tcW w:w="1302" w:type="pct"/>
          </w:tcPr>
          <w:p w14:paraId="6B17239E"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6/113 (5.3)</w:t>
            </w:r>
          </w:p>
        </w:tc>
        <w:tc>
          <w:tcPr>
            <w:tcW w:w="1506" w:type="pct"/>
          </w:tcPr>
          <w:p w14:paraId="71BE4CB2"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2/98 (2.0)</w:t>
            </w:r>
          </w:p>
        </w:tc>
      </w:tr>
      <w:tr w:rsidR="009F1F67" w:rsidRPr="00D551A4" w14:paraId="5A865FEC"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545671CC" w14:textId="21D2D483" w:rsidR="009F1F67" w:rsidRPr="00D551A4" w:rsidRDefault="009F1F67" w:rsidP="00D551A4">
            <w:pPr>
              <w:pStyle w:val="tabletextNS"/>
              <w:rPr>
                <w:rFonts w:cs="Arial"/>
                <w:b w:val="0"/>
                <w:sz w:val="18"/>
                <w:szCs w:val="18"/>
              </w:rPr>
            </w:pPr>
            <w:r w:rsidRPr="00D551A4">
              <w:rPr>
                <w:rFonts w:cs="Arial"/>
                <w:sz w:val="18"/>
                <w:szCs w:val="18"/>
              </w:rPr>
              <w:t>Age (years)</w:t>
            </w:r>
          </w:p>
        </w:tc>
        <w:tc>
          <w:tcPr>
            <w:tcW w:w="853" w:type="pct"/>
            <w:hideMark/>
          </w:tcPr>
          <w:p w14:paraId="430B20A0" w14:textId="1693B228"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&lt;35</w:t>
            </w:r>
          </w:p>
        </w:tc>
        <w:tc>
          <w:tcPr>
            <w:tcW w:w="1302" w:type="pct"/>
          </w:tcPr>
          <w:p w14:paraId="1CEF6162"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4/137 (2.9)</w:t>
            </w:r>
          </w:p>
        </w:tc>
        <w:tc>
          <w:tcPr>
            <w:tcW w:w="1506" w:type="pct"/>
          </w:tcPr>
          <w:p w14:paraId="2677BC7A"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1/145 (0.7)</w:t>
            </w:r>
          </w:p>
        </w:tc>
      </w:tr>
      <w:tr w:rsidR="009F1F67" w:rsidRPr="00D551A4" w14:paraId="4DA7CD1B"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701AC523" w14:textId="77777777" w:rsidR="009F1F67" w:rsidRPr="00D551A4" w:rsidRDefault="009F1F67" w:rsidP="005F487B">
            <w:pPr>
              <w:pStyle w:val="tabletextNS"/>
              <w:rPr>
                <w:rFonts w:cs="Arial"/>
                <w:b w:val="0"/>
                <w:sz w:val="18"/>
                <w:szCs w:val="18"/>
              </w:rPr>
            </w:pPr>
          </w:p>
        </w:tc>
        <w:tc>
          <w:tcPr>
            <w:tcW w:w="853" w:type="pct"/>
            <w:hideMark/>
          </w:tcPr>
          <w:p w14:paraId="6604E3F3" w14:textId="30C156F8"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35 to &lt;50</w:t>
            </w:r>
          </w:p>
        </w:tc>
        <w:tc>
          <w:tcPr>
            <w:tcW w:w="1302" w:type="pct"/>
          </w:tcPr>
          <w:p w14:paraId="64A9C4EE"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3/242 (1.2)</w:t>
            </w:r>
          </w:p>
        </w:tc>
        <w:tc>
          <w:tcPr>
            <w:tcW w:w="1506" w:type="pct"/>
          </w:tcPr>
          <w:p w14:paraId="5FF4CEA1"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2/239 (0.8)</w:t>
            </w:r>
          </w:p>
        </w:tc>
      </w:tr>
      <w:tr w:rsidR="009F1F67" w:rsidRPr="00D551A4" w14:paraId="19A259D0"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39745DC0" w14:textId="77777777" w:rsidR="009F1F67" w:rsidRPr="00D551A4" w:rsidRDefault="009F1F67" w:rsidP="005F487B">
            <w:pPr>
              <w:pStyle w:val="tabletextNS"/>
              <w:rPr>
                <w:rFonts w:cs="Arial"/>
                <w:b w:val="0"/>
                <w:sz w:val="18"/>
                <w:szCs w:val="18"/>
              </w:rPr>
            </w:pPr>
          </w:p>
        </w:tc>
        <w:tc>
          <w:tcPr>
            <w:tcW w:w="853" w:type="pct"/>
            <w:hideMark/>
          </w:tcPr>
          <w:p w14:paraId="0CA07486" w14:textId="2AC03781" w:rsidR="009F1F67" w:rsidRPr="00D551A4" w:rsidRDefault="009F1F67" w:rsidP="00D551A4">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&gt;50</w:t>
            </w:r>
          </w:p>
        </w:tc>
        <w:tc>
          <w:tcPr>
            <w:tcW w:w="1302" w:type="pct"/>
          </w:tcPr>
          <w:p w14:paraId="02A3026A"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2/143 (1.4)</w:t>
            </w:r>
          </w:p>
        </w:tc>
        <w:tc>
          <w:tcPr>
            <w:tcW w:w="1506" w:type="pct"/>
          </w:tcPr>
          <w:p w14:paraId="42A045CB"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2/139 (1.4)</w:t>
            </w:r>
          </w:p>
        </w:tc>
      </w:tr>
      <w:tr w:rsidR="009F1F67" w:rsidRPr="00D551A4" w14:paraId="5C3FC921"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val="restart"/>
            <w:hideMark/>
          </w:tcPr>
          <w:p w14:paraId="045C3B9C" w14:textId="77777777" w:rsidR="009F1F67" w:rsidRPr="00D551A4" w:rsidRDefault="009F1F67" w:rsidP="005F487B">
            <w:pPr>
              <w:pStyle w:val="tabletextNS"/>
              <w:rPr>
                <w:rFonts w:cs="Arial"/>
                <w:b w:val="0"/>
                <w:sz w:val="18"/>
                <w:szCs w:val="18"/>
              </w:rPr>
            </w:pPr>
            <w:r w:rsidRPr="00D551A4">
              <w:rPr>
                <w:rFonts w:cs="Arial"/>
                <w:sz w:val="18"/>
                <w:szCs w:val="18"/>
              </w:rPr>
              <w:t>Prior exposure CAB/RPV</w:t>
            </w:r>
          </w:p>
        </w:tc>
        <w:tc>
          <w:tcPr>
            <w:tcW w:w="853" w:type="pct"/>
            <w:hideMark/>
          </w:tcPr>
          <w:p w14:paraId="6167883E"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None</w:t>
            </w:r>
          </w:p>
        </w:tc>
        <w:tc>
          <w:tcPr>
            <w:tcW w:w="1302" w:type="pct"/>
          </w:tcPr>
          <w:p w14:paraId="5BE291AE"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5/327 (1.5)</w:t>
            </w:r>
          </w:p>
        </w:tc>
        <w:tc>
          <w:tcPr>
            <w:tcW w:w="1506" w:type="pct"/>
          </w:tcPr>
          <w:p w14:paraId="1DFBB447"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5/327 (1.5)</w:t>
            </w:r>
          </w:p>
        </w:tc>
      </w:tr>
      <w:tr w:rsidR="009F1F67" w:rsidRPr="00D551A4" w14:paraId="31AF5994"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1613DFD1" w14:textId="77777777" w:rsidR="009F1F67" w:rsidRPr="00D551A4" w:rsidRDefault="009F1F67" w:rsidP="005F487B">
            <w:pPr>
              <w:pStyle w:val="tabletextNS"/>
              <w:rPr>
                <w:rFonts w:cs="Arial"/>
                <w:b w:val="0"/>
                <w:sz w:val="18"/>
                <w:szCs w:val="18"/>
              </w:rPr>
            </w:pPr>
          </w:p>
        </w:tc>
        <w:tc>
          <w:tcPr>
            <w:tcW w:w="853" w:type="pct"/>
            <w:hideMark/>
          </w:tcPr>
          <w:p w14:paraId="137E0CD3"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1-24 weeks</w:t>
            </w:r>
          </w:p>
        </w:tc>
        <w:tc>
          <w:tcPr>
            <w:tcW w:w="1302" w:type="pct"/>
          </w:tcPr>
          <w:p w14:paraId="65BEC175"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3/69 (4.3)</w:t>
            </w:r>
          </w:p>
        </w:tc>
        <w:tc>
          <w:tcPr>
            <w:tcW w:w="1506" w:type="pct"/>
          </w:tcPr>
          <w:p w14:paraId="6210984B"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0/68</w:t>
            </w:r>
          </w:p>
        </w:tc>
      </w:tr>
      <w:tr w:rsidR="009F1F67" w:rsidRPr="00D551A4" w14:paraId="099CEB47" w14:textId="77777777" w:rsidTr="00D551A4">
        <w:trPr>
          <w:trHeight w:val="517"/>
        </w:trPr>
        <w:tc>
          <w:tcPr>
            <w:cnfStyle w:val="001000000000" w:firstRow="0" w:lastRow="0" w:firstColumn="1" w:lastColumn="0" w:oddVBand="0" w:evenVBand="0" w:oddHBand="0" w:evenHBand="0" w:firstRowFirstColumn="0" w:firstRowLastColumn="0" w:lastRowFirstColumn="0" w:lastRowLastColumn="0"/>
            <w:tcW w:w="1339" w:type="pct"/>
            <w:vMerge/>
            <w:hideMark/>
          </w:tcPr>
          <w:p w14:paraId="2F0C3E8F" w14:textId="77777777" w:rsidR="009F1F67" w:rsidRPr="00D551A4" w:rsidRDefault="009F1F67" w:rsidP="005F487B">
            <w:pPr>
              <w:pStyle w:val="tabletextNS"/>
              <w:rPr>
                <w:rFonts w:cs="Arial"/>
                <w:b w:val="0"/>
                <w:sz w:val="18"/>
                <w:szCs w:val="18"/>
              </w:rPr>
            </w:pPr>
          </w:p>
        </w:tc>
        <w:tc>
          <w:tcPr>
            <w:tcW w:w="853" w:type="pct"/>
            <w:hideMark/>
          </w:tcPr>
          <w:p w14:paraId="03C8CBD8"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&gt;24 weeks</w:t>
            </w:r>
          </w:p>
        </w:tc>
        <w:tc>
          <w:tcPr>
            <w:tcW w:w="1302" w:type="pct"/>
          </w:tcPr>
          <w:p w14:paraId="4940D36B" w14:textId="77777777" w:rsidR="009F1F67" w:rsidRPr="00D551A4" w:rsidRDefault="009F1F67" w:rsidP="005F487B">
            <w:pPr>
              <w:pStyle w:val="tabletextNS"/>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1/126 (0.8)</w:t>
            </w:r>
          </w:p>
        </w:tc>
        <w:tc>
          <w:tcPr>
            <w:tcW w:w="1506" w:type="pct"/>
          </w:tcPr>
          <w:p w14:paraId="56FB8151" w14:textId="77777777" w:rsidR="009F1F67" w:rsidRPr="00D551A4" w:rsidRDefault="009F1F67" w:rsidP="005F487B">
            <w:pPr>
              <w:pStyle w:val="tabletextN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D551A4">
              <w:rPr>
                <w:rFonts w:cs="Arial"/>
                <w:sz w:val="18"/>
                <w:szCs w:val="18"/>
              </w:rPr>
              <w:t>0/128</w:t>
            </w:r>
          </w:p>
        </w:tc>
      </w:tr>
    </w:tbl>
    <w:p w14:paraId="63FAB704" w14:textId="77777777" w:rsidR="009F1F67" w:rsidRPr="002E2FB4" w:rsidRDefault="009F1F67" w:rsidP="009F1F67">
      <w:pPr>
        <w:rPr>
          <w:rFonts w:ascii="Arial Narrow" w:hAnsi="Arial Narrow" w:cs="Arial"/>
          <w:sz w:val="18"/>
          <w:szCs w:val="18"/>
        </w:rPr>
      </w:pPr>
      <w:r w:rsidRPr="002E2FB4">
        <w:rPr>
          <w:rFonts w:ascii="Arial Narrow" w:hAnsi="Arial Narrow" w:cs="Arial"/>
          <w:sz w:val="18"/>
          <w:szCs w:val="18"/>
        </w:rPr>
        <w:t>BMI= body mass index</w:t>
      </w:r>
    </w:p>
    <w:p w14:paraId="244C0572" w14:textId="77777777" w:rsidR="009F1F67" w:rsidRPr="002E2FB4" w:rsidRDefault="009F1F67" w:rsidP="009F1F67">
      <w:pPr>
        <w:rPr>
          <w:rFonts w:ascii="Arial" w:hAnsi="Arial" w:cs="Arial"/>
          <w:color w:val="000000"/>
        </w:rPr>
      </w:pPr>
      <w:r w:rsidRPr="002E2FB4">
        <w:rPr>
          <w:rFonts w:ascii="Arial" w:hAnsi="Arial" w:cs="Arial"/>
          <w:color w:val="000000"/>
        </w:rPr>
        <w:t xml:space="preserve">In the ATLAS-2M study, treatment differences on the primary endpoint across baseline characteristics (CD4+ lymphocyte count, gender, race, BMI, age and prior exposure to </w:t>
      </w:r>
      <w:proofErr w:type="spellStart"/>
      <w:r w:rsidRPr="002E2FB4">
        <w:rPr>
          <w:rFonts w:ascii="Arial" w:hAnsi="Arial" w:cs="Arial"/>
          <w:color w:val="000000"/>
        </w:rPr>
        <w:t>cabotegravir</w:t>
      </w:r>
      <w:proofErr w:type="spellEnd"/>
      <w:r w:rsidRPr="002E2FB4">
        <w:rPr>
          <w:rFonts w:ascii="Arial" w:hAnsi="Arial" w:cs="Arial"/>
          <w:color w:val="000000"/>
        </w:rPr>
        <w:t>/</w:t>
      </w:r>
      <w:proofErr w:type="spellStart"/>
      <w:r w:rsidRPr="002E2FB4">
        <w:rPr>
          <w:rFonts w:ascii="Arial" w:hAnsi="Arial" w:cs="Arial"/>
          <w:color w:val="000000"/>
        </w:rPr>
        <w:t>rilpivirine</w:t>
      </w:r>
      <w:proofErr w:type="spellEnd"/>
      <w:r w:rsidRPr="002E2FB4">
        <w:rPr>
          <w:rFonts w:ascii="Arial" w:hAnsi="Arial" w:cs="Arial"/>
          <w:color w:val="000000"/>
        </w:rPr>
        <w:t>) were not clinically meaningful.</w:t>
      </w:r>
    </w:p>
    <w:p w14:paraId="38F9F5B3" w14:textId="36C8315D" w:rsidR="006913FA" w:rsidRDefault="006913FA" w:rsidP="006913FA">
      <w:pPr>
        <w:pStyle w:val="xmsonormal"/>
        <w:rPr>
          <w:rFonts w:ascii="Arial" w:eastAsiaTheme="majorEastAsia" w:hAnsi="Arial" w:cs="Arial"/>
          <w:b/>
          <w:bCs/>
          <w:lang w:val="en" w:eastAsia="en-US"/>
        </w:rPr>
      </w:pPr>
      <w:r w:rsidRPr="00A70652">
        <w:rPr>
          <w:rFonts w:ascii="Arial" w:eastAsiaTheme="majorEastAsia" w:hAnsi="Arial" w:cs="Arial"/>
          <w:b/>
          <w:bCs/>
          <w:lang w:val="en" w:eastAsia="en-US"/>
        </w:rPr>
        <w:t>Post-hoc analysis:</w:t>
      </w:r>
    </w:p>
    <w:p w14:paraId="5489AB01" w14:textId="667DC811" w:rsidR="00AE7CF2" w:rsidRDefault="00AE7CF2" w:rsidP="006913FA">
      <w:pPr>
        <w:pStyle w:val="xmsonormal"/>
        <w:rPr>
          <w:rFonts w:ascii="Arial" w:eastAsiaTheme="minorHAnsi" w:hAnsi="Arial" w:cs="Arial"/>
          <w:color w:val="000000"/>
        </w:rPr>
      </w:pPr>
      <w:r>
        <w:rPr>
          <w:rFonts w:ascii="Arial" w:eastAsiaTheme="minorHAnsi" w:hAnsi="Arial" w:cs="Arial"/>
          <w:color w:val="000000"/>
        </w:rPr>
        <w:t>M</w:t>
      </w:r>
      <w:r w:rsidRPr="00A43EFB">
        <w:rPr>
          <w:rFonts w:ascii="Arial" w:eastAsiaTheme="minorHAnsi" w:hAnsi="Arial" w:cs="Arial"/>
          <w:color w:val="000000"/>
        </w:rPr>
        <w:t xml:space="preserve">ultivariable analyses of pooled phase 3 studies (ATLAS, FLAIR and ATLAS-2M), including data from 1039 HIV-infected adults with no prior exposure to </w:t>
      </w:r>
      <w:proofErr w:type="spellStart"/>
      <w:r w:rsidRPr="00A43EFB">
        <w:rPr>
          <w:rFonts w:ascii="Arial" w:hAnsi="Arial" w:cs="Arial"/>
          <w:color w:val="000000"/>
          <w:lang w:val="en-AU"/>
        </w:rPr>
        <w:t>cabotegravir</w:t>
      </w:r>
      <w:proofErr w:type="spellEnd"/>
      <w:r w:rsidRPr="00A43EFB">
        <w:rPr>
          <w:rFonts w:ascii="Arial" w:hAnsi="Arial" w:cs="Arial"/>
          <w:color w:val="000000"/>
          <w:lang w:val="en-AU"/>
        </w:rPr>
        <w:t xml:space="preserve"> plus </w:t>
      </w:r>
      <w:proofErr w:type="spellStart"/>
      <w:r w:rsidRPr="00A43EFB">
        <w:rPr>
          <w:rFonts w:ascii="Arial" w:hAnsi="Arial" w:cs="Arial"/>
          <w:color w:val="000000"/>
          <w:lang w:val="en-AU"/>
        </w:rPr>
        <w:t>rilpivirine</w:t>
      </w:r>
      <w:proofErr w:type="spellEnd"/>
      <w:r w:rsidRPr="00A43EFB">
        <w:rPr>
          <w:rFonts w:ascii="Arial" w:eastAsiaTheme="minorHAnsi" w:hAnsi="Arial" w:cs="Arial"/>
          <w:color w:val="000000"/>
        </w:rPr>
        <w:t xml:space="preserve">, examined the influence of baseline viral and participant characteristics, dosing regimen, and post-baseline plasma drug concentrations on confirmed </w:t>
      </w:r>
      <w:proofErr w:type="spellStart"/>
      <w:r w:rsidRPr="00A43EFB">
        <w:rPr>
          <w:rFonts w:ascii="Arial" w:eastAsiaTheme="minorHAnsi" w:hAnsi="Arial" w:cs="Arial"/>
          <w:color w:val="000000"/>
        </w:rPr>
        <w:t>virologic</w:t>
      </w:r>
      <w:proofErr w:type="spellEnd"/>
      <w:r w:rsidRPr="00A43EFB">
        <w:rPr>
          <w:rFonts w:ascii="Arial" w:eastAsiaTheme="minorHAnsi" w:hAnsi="Arial" w:cs="Arial"/>
          <w:color w:val="000000"/>
        </w:rPr>
        <w:t xml:space="preserve"> failure (CVF) using </w:t>
      </w:r>
      <w:r w:rsidRPr="00A43EFB">
        <w:rPr>
          <w:rFonts w:ascii="Arial" w:eastAsiaTheme="minorHAnsi" w:hAnsi="Arial" w:cs="Arial"/>
          <w:color w:val="000000"/>
        </w:rPr>
        <w:lastRenderedPageBreak/>
        <w:t xml:space="preserve">regression modelling with a variable selection procedure. Through Week 48 in these studies, 13/1039 (1.25%) participants had CVF while receiving </w:t>
      </w:r>
      <w:proofErr w:type="spellStart"/>
      <w:r w:rsidRPr="00A43EFB">
        <w:rPr>
          <w:rFonts w:ascii="Arial" w:eastAsiaTheme="minorHAnsi" w:hAnsi="Arial" w:cs="Arial"/>
          <w:color w:val="000000"/>
        </w:rPr>
        <w:t>cabotegravir</w:t>
      </w:r>
      <w:proofErr w:type="spellEnd"/>
      <w:r w:rsidRPr="00A43EFB">
        <w:rPr>
          <w:rFonts w:ascii="Arial" w:eastAsiaTheme="minorHAnsi" w:hAnsi="Arial" w:cs="Arial"/>
          <w:color w:val="000000"/>
        </w:rPr>
        <w:t xml:space="preserve"> and </w:t>
      </w:r>
      <w:proofErr w:type="spellStart"/>
      <w:r w:rsidRPr="00A43EFB">
        <w:rPr>
          <w:rFonts w:ascii="Arial" w:eastAsiaTheme="minorHAnsi" w:hAnsi="Arial" w:cs="Arial"/>
          <w:color w:val="000000"/>
        </w:rPr>
        <w:t>rilpivirine</w:t>
      </w:r>
      <w:proofErr w:type="spellEnd"/>
      <w:r w:rsidRPr="00A43EFB">
        <w:rPr>
          <w:rFonts w:ascii="Arial" w:eastAsiaTheme="minorHAnsi" w:hAnsi="Arial" w:cs="Arial"/>
          <w:color w:val="000000"/>
        </w:rPr>
        <w:t>.</w:t>
      </w:r>
    </w:p>
    <w:p w14:paraId="273B0455" w14:textId="1E22033A" w:rsidR="00AE7CF2" w:rsidRPr="00A70652" w:rsidRDefault="00AE7CF2" w:rsidP="006913FA">
      <w:pPr>
        <w:pStyle w:val="xmsonormal"/>
        <w:rPr>
          <w:rFonts w:ascii="Arial" w:eastAsiaTheme="majorEastAsia" w:hAnsi="Arial" w:cs="Arial"/>
          <w:b/>
          <w:bCs/>
          <w:lang w:val="en" w:eastAsia="en-US"/>
        </w:rPr>
      </w:pPr>
      <w:r w:rsidRPr="00A43EFB">
        <w:rPr>
          <w:rFonts w:ascii="Arial" w:eastAsiaTheme="minorHAnsi" w:hAnsi="Arial" w:cs="Arial"/>
          <w:color w:val="000000"/>
        </w:rPr>
        <w:t xml:space="preserve">Four covariates were significantly associated (P&lt;0.05 for each adjusted odds ratio) with increased risk of CVF: </w:t>
      </w:r>
      <w:proofErr w:type="spellStart"/>
      <w:r w:rsidRPr="00A43EFB">
        <w:rPr>
          <w:rFonts w:ascii="Arial" w:eastAsiaTheme="minorHAnsi" w:hAnsi="Arial" w:cs="Arial"/>
          <w:color w:val="000000"/>
        </w:rPr>
        <w:t>rilpivirine</w:t>
      </w:r>
      <w:proofErr w:type="spellEnd"/>
      <w:r w:rsidRPr="00A43EFB">
        <w:rPr>
          <w:rFonts w:ascii="Arial" w:eastAsiaTheme="minorHAnsi" w:hAnsi="Arial" w:cs="Arial"/>
          <w:color w:val="000000"/>
        </w:rPr>
        <w:t xml:space="preserve"> resistance mutations at baseline identified by </w:t>
      </w:r>
      <w:proofErr w:type="spellStart"/>
      <w:r w:rsidRPr="00A43EFB">
        <w:rPr>
          <w:rFonts w:ascii="Arial" w:eastAsiaTheme="minorHAnsi" w:hAnsi="Arial" w:cs="Arial"/>
          <w:color w:val="000000"/>
        </w:rPr>
        <w:t>proviral</w:t>
      </w:r>
      <w:proofErr w:type="spellEnd"/>
      <w:r w:rsidRPr="00A43EFB">
        <w:rPr>
          <w:rFonts w:ascii="Arial" w:eastAsiaTheme="minorHAnsi" w:hAnsi="Arial" w:cs="Arial"/>
          <w:color w:val="000000"/>
        </w:rPr>
        <w:t xml:space="preserve"> DNA genotypic assay, HIV-1 subtype A6/A1 (associated with integrase L74I polymorphism), </w:t>
      </w:r>
      <w:proofErr w:type="spellStart"/>
      <w:r w:rsidRPr="00A43EFB">
        <w:rPr>
          <w:rFonts w:ascii="Arial" w:eastAsiaTheme="minorHAnsi" w:hAnsi="Arial" w:cs="Arial"/>
          <w:color w:val="000000"/>
        </w:rPr>
        <w:t>rilpivirine</w:t>
      </w:r>
      <w:proofErr w:type="spellEnd"/>
      <w:r w:rsidRPr="00A43EFB">
        <w:rPr>
          <w:rFonts w:ascii="Arial" w:eastAsiaTheme="minorHAnsi" w:hAnsi="Arial" w:cs="Arial"/>
          <w:color w:val="000000"/>
        </w:rPr>
        <w:t xml:space="preserve"> trough concentration 4 weeks following initial injection dose, body mass index of at least 30 kg/m2 (associated with </w:t>
      </w:r>
      <w:proofErr w:type="spellStart"/>
      <w:r w:rsidRPr="00A43EFB">
        <w:rPr>
          <w:rFonts w:ascii="Arial" w:eastAsiaTheme="minorHAnsi" w:hAnsi="Arial" w:cs="Arial"/>
          <w:color w:val="000000"/>
        </w:rPr>
        <w:t>cabotegravir</w:t>
      </w:r>
      <w:proofErr w:type="spellEnd"/>
      <w:r w:rsidRPr="00A43EFB">
        <w:rPr>
          <w:rFonts w:ascii="Arial" w:eastAsiaTheme="minorHAnsi" w:hAnsi="Arial" w:cs="Arial"/>
          <w:color w:val="000000"/>
        </w:rPr>
        <w:t xml:space="preserve"> pharmacokinetics). Other variables including Q4W or Q8W dosing, female gender, or other viral subtypes (non A6/A1) had no significant association with CVF. No baseline factor, when present in isolation, was predictive of </w:t>
      </w:r>
      <w:proofErr w:type="spellStart"/>
      <w:r w:rsidRPr="00A43EFB">
        <w:rPr>
          <w:rFonts w:ascii="Arial" w:eastAsiaTheme="minorHAnsi" w:hAnsi="Arial" w:cs="Arial"/>
          <w:color w:val="000000"/>
        </w:rPr>
        <w:t>virologic</w:t>
      </w:r>
      <w:proofErr w:type="spellEnd"/>
      <w:r w:rsidRPr="00A43EFB">
        <w:rPr>
          <w:rFonts w:ascii="Arial" w:eastAsiaTheme="minorHAnsi" w:hAnsi="Arial" w:cs="Arial"/>
          <w:color w:val="000000"/>
        </w:rPr>
        <w:t xml:space="preserve"> failure. However, a combination of at least 2 of the following baseline factors was associated with an increased risk of CVF: </w:t>
      </w:r>
      <w:proofErr w:type="spellStart"/>
      <w:r w:rsidRPr="00A43EFB">
        <w:rPr>
          <w:rFonts w:ascii="Arial" w:eastAsiaTheme="minorHAnsi" w:hAnsi="Arial" w:cs="Arial"/>
          <w:color w:val="000000"/>
        </w:rPr>
        <w:t>rilpivirine</w:t>
      </w:r>
      <w:proofErr w:type="spellEnd"/>
      <w:r w:rsidRPr="00A43EFB">
        <w:rPr>
          <w:rFonts w:ascii="Arial" w:eastAsiaTheme="minorHAnsi" w:hAnsi="Arial" w:cs="Arial"/>
          <w:color w:val="000000"/>
        </w:rPr>
        <w:t xml:space="preserve"> resistance mutations, HIV-1 subtype A6/A1, or BMI≥30 mg/m2 (see Table 8).</w:t>
      </w:r>
    </w:p>
    <w:p w14:paraId="2C345CD3" w14:textId="5702844E" w:rsidR="00AE7CF2" w:rsidRPr="00AE7CF2" w:rsidRDefault="00AE7CF2" w:rsidP="008133F9">
      <w:pPr>
        <w:pStyle w:val="Heading3"/>
      </w:pPr>
      <w:r w:rsidRPr="00AE7CF2">
        <w:t>Table 8</w:t>
      </w:r>
      <w:r w:rsidR="008133F9">
        <w:t xml:space="preserve"> </w:t>
      </w:r>
      <w:r w:rsidRPr="00AE7CF2">
        <w:t>Week 48 outcomes by presence of key baseline factors of RPV RAM, Subtype</w:t>
      </w:r>
      <w:r>
        <w:t xml:space="preserve"> </w:t>
      </w:r>
      <w:r w:rsidRPr="00AE7CF2">
        <w:t>A6/A11</w:t>
      </w:r>
      <w:r w:rsidRPr="00AE7CF2">
        <w:rPr>
          <w:vertAlign w:val="superscript"/>
        </w:rPr>
        <w:t>1</w:t>
      </w:r>
      <w:r w:rsidRPr="00AE7CF2">
        <w:t xml:space="preserve">, BMI ≥30 kg/m2 </w:t>
      </w:r>
    </w:p>
    <w:tbl>
      <w:tblPr>
        <w:tblW w:w="0" w:type="auto"/>
        <w:tblCellMar>
          <w:left w:w="0" w:type="dxa"/>
          <w:right w:w="0" w:type="dxa"/>
        </w:tblCellMar>
        <w:tblLook w:val="04A0" w:firstRow="1" w:lastRow="0" w:firstColumn="1" w:lastColumn="0" w:noHBand="0" w:noVBand="1"/>
      </w:tblPr>
      <w:tblGrid>
        <w:gridCol w:w="3002"/>
        <w:gridCol w:w="3004"/>
        <w:gridCol w:w="3000"/>
      </w:tblGrid>
      <w:tr w:rsidR="00AE7CF2" w:rsidRPr="004D62AE" w14:paraId="51BC3FBD" w14:textId="77777777" w:rsidTr="00C94936">
        <w:tc>
          <w:tcPr>
            <w:tcW w:w="3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8919C" w14:textId="77777777" w:rsidR="00AE7CF2" w:rsidRPr="004D62AE" w:rsidRDefault="00AE7CF2" w:rsidP="00AE7CF2">
            <w:pPr>
              <w:pStyle w:val="tabletextNS"/>
              <w:rPr>
                <w:rFonts w:cs="Arial"/>
                <w:b/>
                <w:bCs/>
                <w:sz w:val="18"/>
                <w:szCs w:val="18"/>
              </w:rPr>
            </w:pPr>
            <w:r w:rsidRPr="004D62AE">
              <w:rPr>
                <w:rFonts w:cs="Arial"/>
                <w:b/>
                <w:bCs/>
                <w:sz w:val="18"/>
                <w:szCs w:val="18"/>
              </w:rPr>
              <w:t>Baseline Factors (number)</w:t>
            </w:r>
          </w:p>
          <w:p w14:paraId="6FD9D7E7" w14:textId="4B17FE6E" w:rsidR="00AE7CF2" w:rsidRPr="004D62AE" w:rsidRDefault="00AE7CF2" w:rsidP="00AE7CF2">
            <w:pPr>
              <w:pStyle w:val="tabletextNS"/>
              <w:rPr>
                <w:rFonts w:cs="Arial"/>
                <w:b/>
                <w:bCs/>
                <w:sz w:val="18"/>
                <w:szCs w:val="18"/>
              </w:rPr>
            </w:pPr>
          </w:p>
        </w:tc>
        <w:tc>
          <w:tcPr>
            <w:tcW w:w="3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C9D2D" w14:textId="77777777" w:rsidR="00AE7CF2" w:rsidRPr="004D62AE" w:rsidRDefault="00AE7CF2" w:rsidP="00AE7CF2">
            <w:pPr>
              <w:pStyle w:val="tabletextNS"/>
              <w:rPr>
                <w:rFonts w:cs="Arial"/>
                <w:b/>
                <w:bCs/>
                <w:sz w:val="18"/>
                <w:szCs w:val="18"/>
              </w:rPr>
            </w:pPr>
            <w:proofErr w:type="spellStart"/>
            <w:r w:rsidRPr="004D62AE">
              <w:rPr>
                <w:rFonts w:cs="Arial"/>
                <w:b/>
                <w:bCs/>
                <w:sz w:val="18"/>
                <w:szCs w:val="18"/>
              </w:rPr>
              <w:t>Virologic</w:t>
            </w:r>
            <w:proofErr w:type="spellEnd"/>
            <w:r w:rsidRPr="004D62AE">
              <w:rPr>
                <w:rFonts w:cs="Arial"/>
                <w:b/>
                <w:bCs/>
                <w:sz w:val="18"/>
                <w:szCs w:val="18"/>
              </w:rPr>
              <w:t xml:space="preserve"> Successes (%)</w:t>
            </w:r>
            <w:r w:rsidRPr="004D62AE">
              <w:rPr>
                <w:rFonts w:cs="Arial"/>
                <w:b/>
                <w:bCs/>
                <w:sz w:val="18"/>
                <w:szCs w:val="18"/>
                <w:vertAlign w:val="superscript"/>
              </w:rPr>
              <w:t>2</w:t>
            </w:r>
          </w:p>
        </w:tc>
        <w:tc>
          <w:tcPr>
            <w:tcW w:w="3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67C53" w14:textId="77777777" w:rsidR="00AE7CF2" w:rsidRPr="004D62AE" w:rsidRDefault="00AE7CF2" w:rsidP="00AE7CF2">
            <w:pPr>
              <w:pStyle w:val="tabletextNS"/>
              <w:rPr>
                <w:rFonts w:cs="Arial"/>
                <w:b/>
                <w:bCs/>
                <w:sz w:val="18"/>
                <w:szCs w:val="18"/>
              </w:rPr>
            </w:pPr>
            <w:r w:rsidRPr="004D62AE">
              <w:rPr>
                <w:rFonts w:cs="Arial"/>
                <w:b/>
                <w:bCs/>
                <w:sz w:val="18"/>
                <w:szCs w:val="18"/>
              </w:rPr>
              <w:t xml:space="preserve">Confirmed </w:t>
            </w:r>
            <w:proofErr w:type="spellStart"/>
            <w:r w:rsidRPr="004D62AE">
              <w:rPr>
                <w:rFonts w:cs="Arial"/>
                <w:b/>
                <w:bCs/>
                <w:sz w:val="18"/>
                <w:szCs w:val="18"/>
              </w:rPr>
              <w:t>Virologic</w:t>
            </w:r>
            <w:proofErr w:type="spellEnd"/>
            <w:r w:rsidRPr="004D62AE">
              <w:rPr>
                <w:rFonts w:cs="Arial"/>
                <w:b/>
                <w:bCs/>
                <w:sz w:val="18"/>
                <w:szCs w:val="18"/>
              </w:rPr>
              <w:t xml:space="preserve"> Failure (%)</w:t>
            </w:r>
            <w:r w:rsidRPr="004D62AE">
              <w:rPr>
                <w:rFonts w:cs="Arial"/>
                <w:b/>
                <w:bCs/>
                <w:sz w:val="18"/>
                <w:szCs w:val="18"/>
                <w:vertAlign w:val="superscript"/>
              </w:rPr>
              <w:t>3</w:t>
            </w:r>
          </w:p>
        </w:tc>
      </w:tr>
      <w:tr w:rsidR="00AE7CF2" w:rsidRPr="004D62AE" w14:paraId="7FD5D878" w14:textId="77777777" w:rsidTr="00C94936">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76EA5" w14:textId="77777777" w:rsidR="00AE7CF2" w:rsidRPr="004D62AE" w:rsidRDefault="00AE7CF2" w:rsidP="00AE7CF2">
            <w:pPr>
              <w:pStyle w:val="tabletextNS"/>
              <w:rPr>
                <w:rFonts w:cs="Arial"/>
                <w:sz w:val="18"/>
                <w:szCs w:val="18"/>
              </w:rPr>
            </w:pPr>
            <w:r w:rsidRPr="004D62AE">
              <w:rPr>
                <w:rFonts w:cs="Arial"/>
                <w:sz w:val="18"/>
                <w:szCs w:val="18"/>
              </w:rPr>
              <w:t>0</w:t>
            </w:r>
          </w:p>
          <w:p w14:paraId="3DE6095B" w14:textId="59AC5C13" w:rsidR="00AE7CF2" w:rsidRPr="004D62AE" w:rsidRDefault="00AE7CF2" w:rsidP="00AE7CF2">
            <w:pPr>
              <w:pStyle w:val="tabletextNS"/>
              <w:rPr>
                <w:rFonts w:cs="Arial"/>
                <w:sz w:val="18"/>
                <w:szCs w:val="18"/>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14:paraId="3D01BDC7" w14:textId="77777777" w:rsidR="00AE7CF2" w:rsidRPr="004D62AE" w:rsidRDefault="00AE7CF2" w:rsidP="00AE7CF2">
            <w:pPr>
              <w:pStyle w:val="tabletextNS"/>
              <w:rPr>
                <w:rFonts w:cs="Arial"/>
                <w:sz w:val="18"/>
                <w:szCs w:val="18"/>
              </w:rPr>
            </w:pPr>
            <w:r w:rsidRPr="004D62AE">
              <w:rPr>
                <w:rFonts w:cs="Arial"/>
                <w:sz w:val="18"/>
                <w:szCs w:val="18"/>
              </w:rPr>
              <w:t>694/732 (94.8)</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14:paraId="06DA4D58" w14:textId="77777777" w:rsidR="00AE7CF2" w:rsidRPr="004D62AE" w:rsidRDefault="00AE7CF2" w:rsidP="00AE7CF2">
            <w:pPr>
              <w:pStyle w:val="tabletextNS"/>
              <w:rPr>
                <w:rFonts w:cs="Arial"/>
                <w:sz w:val="18"/>
                <w:szCs w:val="18"/>
              </w:rPr>
            </w:pPr>
            <w:r w:rsidRPr="004D62AE">
              <w:rPr>
                <w:rFonts w:cs="Arial"/>
                <w:sz w:val="18"/>
                <w:szCs w:val="18"/>
              </w:rPr>
              <w:t>3/732 (0.41)</w:t>
            </w:r>
          </w:p>
        </w:tc>
      </w:tr>
      <w:tr w:rsidR="00AE7CF2" w:rsidRPr="004D62AE" w14:paraId="0FD8F91B" w14:textId="77777777" w:rsidTr="00C94936">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110D1" w14:textId="77777777" w:rsidR="00AE7CF2" w:rsidRPr="004D62AE" w:rsidRDefault="00AE7CF2" w:rsidP="00AE7CF2">
            <w:pPr>
              <w:pStyle w:val="tabletextNS"/>
              <w:rPr>
                <w:rFonts w:cs="Arial"/>
                <w:sz w:val="18"/>
                <w:szCs w:val="18"/>
              </w:rPr>
            </w:pPr>
            <w:r w:rsidRPr="004D62AE">
              <w:rPr>
                <w:rFonts w:cs="Arial"/>
                <w:sz w:val="18"/>
                <w:szCs w:val="18"/>
              </w:rPr>
              <w:t>1</w:t>
            </w:r>
          </w:p>
          <w:p w14:paraId="49DE79F1" w14:textId="1075119B" w:rsidR="00AE7CF2" w:rsidRPr="004D62AE" w:rsidRDefault="00AE7CF2" w:rsidP="00AE7CF2">
            <w:pPr>
              <w:pStyle w:val="tabletextNS"/>
              <w:rPr>
                <w:rFonts w:cs="Arial"/>
                <w:sz w:val="18"/>
                <w:szCs w:val="18"/>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14:paraId="76F8E040" w14:textId="77777777" w:rsidR="00AE7CF2" w:rsidRPr="004D62AE" w:rsidRDefault="00AE7CF2" w:rsidP="00AE7CF2">
            <w:pPr>
              <w:pStyle w:val="tabletextNS"/>
              <w:rPr>
                <w:rFonts w:cs="Arial"/>
                <w:sz w:val="18"/>
                <w:szCs w:val="18"/>
              </w:rPr>
            </w:pPr>
            <w:r w:rsidRPr="004D62AE">
              <w:rPr>
                <w:rFonts w:cs="Arial"/>
                <w:sz w:val="18"/>
                <w:szCs w:val="18"/>
              </w:rPr>
              <w:t>261/272 (96.0)</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14:paraId="44BFDEF3" w14:textId="77777777" w:rsidR="00AE7CF2" w:rsidRPr="004D62AE" w:rsidRDefault="00AE7CF2" w:rsidP="00AE7CF2">
            <w:pPr>
              <w:pStyle w:val="tabletextNS"/>
              <w:rPr>
                <w:rFonts w:cs="Arial"/>
                <w:sz w:val="18"/>
                <w:szCs w:val="18"/>
              </w:rPr>
            </w:pPr>
            <w:r w:rsidRPr="004D62AE">
              <w:rPr>
                <w:rFonts w:cs="Arial"/>
                <w:sz w:val="18"/>
                <w:szCs w:val="18"/>
              </w:rPr>
              <w:t>1/272 (0.37)</w:t>
            </w:r>
            <w:r w:rsidRPr="004D62AE">
              <w:rPr>
                <w:rFonts w:cs="Arial"/>
                <w:sz w:val="18"/>
                <w:szCs w:val="18"/>
                <w:vertAlign w:val="superscript"/>
              </w:rPr>
              <w:t>4</w:t>
            </w:r>
          </w:p>
        </w:tc>
      </w:tr>
      <w:tr w:rsidR="00AE7CF2" w:rsidRPr="004D62AE" w14:paraId="2705C4FE" w14:textId="77777777" w:rsidTr="00C94936">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AF650" w14:textId="77777777" w:rsidR="00AE7CF2" w:rsidRPr="004D62AE" w:rsidRDefault="00AE7CF2" w:rsidP="00AE7CF2">
            <w:pPr>
              <w:pStyle w:val="tabletextNS"/>
              <w:rPr>
                <w:rFonts w:cs="Arial"/>
                <w:sz w:val="18"/>
                <w:szCs w:val="18"/>
              </w:rPr>
            </w:pPr>
            <w:r w:rsidRPr="004D62AE">
              <w:rPr>
                <w:rFonts w:cs="Arial"/>
                <w:sz w:val="18"/>
                <w:szCs w:val="18"/>
              </w:rPr>
              <w:t>≥2</w:t>
            </w:r>
          </w:p>
          <w:p w14:paraId="11D938B5" w14:textId="535F13E4" w:rsidR="00AE7CF2" w:rsidRPr="004D62AE" w:rsidRDefault="00AE7CF2" w:rsidP="00AE7CF2">
            <w:pPr>
              <w:pStyle w:val="tabletextNS"/>
              <w:rPr>
                <w:rFonts w:cs="Arial"/>
                <w:sz w:val="18"/>
                <w:szCs w:val="18"/>
              </w:rPr>
            </w:pP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14:paraId="55613E8F" w14:textId="77777777" w:rsidR="00AE7CF2" w:rsidRPr="004D62AE" w:rsidRDefault="00AE7CF2" w:rsidP="00AE7CF2">
            <w:pPr>
              <w:pStyle w:val="tabletextNS"/>
              <w:rPr>
                <w:rFonts w:cs="Arial"/>
                <w:sz w:val="18"/>
                <w:szCs w:val="18"/>
              </w:rPr>
            </w:pPr>
            <w:r w:rsidRPr="004D62AE">
              <w:rPr>
                <w:rFonts w:cs="Arial"/>
                <w:sz w:val="18"/>
                <w:szCs w:val="18"/>
              </w:rPr>
              <w:t>25/35 (71.4)</w:t>
            </w: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14:paraId="0EA9E6BE" w14:textId="77777777" w:rsidR="00AE7CF2" w:rsidRPr="004D62AE" w:rsidRDefault="00AE7CF2" w:rsidP="00AE7CF2">
            <w:pPr>
              <w:pStyle w:val="tabletextNS"/>
              <w:rPr>
                <w:rFonts w:cs="Arial"/>
                <w:sz w:val="18"/>
                <w:szCs w:val="18"/>
              </w:rPr>
            </w:pPr>
            <w:r w:rsidRPr="004D62AE">
              <w:rPr>
                <w:rFonts w:cs="Arial"/>
                <w:sz w:val="18"/>
                <w:szCs w:val="18"/>
              </w:rPr>
              <w:t>9/35 (25.7)</w:t>
            </w:r>
            <w:r w:rsidRPr="004D62AE">
              <w:rPr>
                <w:rFonts w:cs="Arial"/>
                <w:sz w:val="18"/>
                <w:szCs w:val="18"/>
                <w:vertAlign w:val="superscript"/>
              </w:rPr>
              <w:t>5</w:t>
            </w:r>
          </w:p>
        </w:tc>
      </w:tr>
      <w:tr w:rsidR="00AE7CF2" w:rsidRPr="004D62AE" w14:paraId="1E8E4AE2" w14:textId="77777777" w:rsidTr="00C94936">
        <w:tc>
          <w:tcPr>
            <w:tcW w:w="34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30011" w14:textId="1D163F7D" w:rsidR="00AE7CF2" w:rsidRPr="004D62AE" w:rsidRDefault="00AE7CF2" w:rsidP="00AE7CF2">
            <w:pPr>
              <w:pStyle w:val="tabletextNS"/>
              <w:rPr>
                <w:rFonts w:cs="Arial"/>
                <w:b/>
                <w:bCs/>
                <w:sz w:val="18"/>
                <w:szCs w:val="18"/>
              </w:rPr>
            </w:pPr>
            <w:r w:rsidRPr="004D62AE">
              <w:rPr>
                <w:rFonts w:cs="Arial"/>
                <w:b/>
                <w:bCs/>
                <w:sz w:val="18"/>
                <w:szCs w:val="18"/>
              </w:rPr>
              <w:t>TOTAL</w:t>
            </w:r>
          </w:p>
          <w:p w14:paraId="798E4D63" w14:textId="77777777" w:rsidR="00AE7CF2" w:rsidRPr="004D62AE" w:rsidRDefault="00AE7CF2" w:rsidP="00AE7CF2">
            <w:pPr>
              <w:pStyle w:val="tabletextNS"/>
              <w:rPr>
                <w:rFonts w:cs="Arial"/>
                <w:sz w:val="18"/>
                <w:szCs w:val="18"/>
              </w:rPr>
            </w:pPr>
          </w:p>
          <w:p w14:paraId="28066412" w14:textId="77777777" w:rsidR="00AE7CF2" w:rsidRPr="004D62AE" w:rsidRDefault="00AE7CF2" w:rsidP="00AE7CF2">
            <w:pPr>
              <w:pStyle w:val="tabletextNS"/>
              <w:rPr>
                <w:rFonts w:cs="Arial"/>
                <w:sz w:val="18"/>
                <w:szCs w:val="18"/>
              </w:rPr>
            </w:pPr>
            <w:r w:rsidRPr="004D62AE">
              <w:rPr>
                <w:rFonts w:cs="Arial"/>
                <w:sz w:val="18"/>
                <w:szCs w:val="18"/>
              </w:rPr>
              <w:t>(95% Confidence Interval)</w:t>
            </w:r>
          </w:p>
        </w:tc>
        <w:tc>
          <w:tcPr>
            <w:tcW w:w="3485" w:type="dxa"/>
            <w:tcBorders>
              <w:top w:val="nil"/>
              <w:left w:val="nil"/>
              <w:bottom w:val="single" w:sz="8" w:space="0" w:color="auto"/>
              <w:right w:val="single" w:sz="8" w:space="0" w:color="auto"/>
            </w:tcBorders>
            <w:tcMar>
              <w:top w:w="0" w:type="dxa"/>
              <w:left w:w="108" w:type="dxa"/>
              <w:bottom w:w="0" w:type="dxa"/>
              <w:right w:w="108" w:type="dxa"/>
            </w:tcMar>
            <w:hideMark/>
          </w:tcPr>
          <w:p w14:paraId="1839BC7D" w14:textId="633BCAE5" w:rsidR="00AE7CF2" w:rsidRPr="004D62AE" w:rsidRDefault="00AE7CF2" w:rsidP="00AE7CF2">
            <w:pPr>
              <w:pStyle w:val="tabletextNS"/>
              <w:rPr>
                <w:rFonts w:cs="Arial"/>
                <w:sz w:val="18"/>
                <w:szCs w:val="18"/>
              </w:rPr>
            </w:pPr>
            <w:r w:rsidRPr="004D62AE">
              <w:rPr>
                <w:rFonts w:cs="Arial"/>
                <w:sz w:val="18"/>
                <w:szCs w:val="18"/>
              </w:rPr>
              <w:t>980/1039 (94.3)</w:t>
            </w:r>
          </w:p>
          <w:p w14:paraId="07E39DD1" w14:textId="77777777" w:rsidR="00AE7CF2" w:rsidRPr="004D62AE" w:rsidRDefault="00AE7CF2" w:rsidP="00AE7CF2">
            <w:pPr>
              <w:pStyle w:val="tabletextNS"/>
              <w:rPr>
                <w:rFonts w:cs="Arial"/>
                <w:sz w:val="18"/>
                <w:szCs w:val="18"/>
              </w:rPr>
            </w:pPr>
          </w:p>
          <w:p w14:paraId="495FC4FD" w14:textId="77777777" w:rsidR="00AE7CF2" w:rsidRPr="004D62AE" w:rsidRDefault="00AE7CF2" w:rsidP="00AE7CF2">
            <w:pPr>
              <w:pStyle w:val="tabletextNS"/>
              <w:rPr>
                <w:rFonts w:cs="Arial"/>
                <w:sz w:val="18"/>
                <w:szCs w:val="18"/>
              </w:rPr>
            </w:pPr>
            <w:r w:rsidRPr="004D62AE">
              <w:rPr>
                <w:rFonts w:cs="Arial"/>
                <w:sz w:val="18"/>
                <w:szCs w:val="18"/>
              </w:rPr>
              <w:t>(92.74%, 95.65%)</w:t>
            </w:r>
          </w:p>
          <w:p w14:paraId="7A00D8DB" w14:textId="7C46F632" w:rsidR="00AE7CF2" w:rsidRPr="004D62AE" w:rsidRDefault="00AE7CF2" w:rsidP="00AE7CF2">
            <w:pPr>
              <w:pStyle w:val="tabletextNS"/>
              <w:rPr>
                <w:rFonts w:cs="Arial"/>
                <w:sz w:val="18"/>
                <w:szCs w:val="18"/>
              </w:rPr>
            </w:pPr>
          </w:p>
        </w:tc>
        <w:tc>
          <w:tcPr>
            <w:tcW w:w="3486" w:type="dxa"/>
            <w:tcBorders>
              <w:top w:val="nil"/>
              <w:left w:val="nil"/>
              <w:bottom w:val="single" w:sz="8" w:space="0" w:color="auto"/>
              <w:right w:val="single" w:sz="8" w:space="0" w:color="auto"/>
            </w:tcBorders>
            <w:tcMar>
              <w:top w:w="0" w:type="dxa"/>
              <w:left w:w="108" w:type="dxa"/>
              <w:bottom w:w="0" w:type="dxa"/>
              <w:right w:w="108" w:type="dxa"/>
            </w:tcMar>
            <w:hideMark/>
          </w:tcPr>
          <w:p w14:paraId="0D8C3469" w14:textId="422A209C" w:rsidR="00AE7CF2" w:rsidRPr="004D62AE" w:rsidRDefault="00AE7CF2" w:rsidP="00AE7CF2">
            <w:pPr>
              <w:pStyle w:val="tabletextNS"/>
              <w:rPr>
                <w:rFonts w:cs="Arial"/>
                <w:sz w:val="18"/>
                <w:szCs w:val="18"/>
              </w:rPr>
            </w:pPr>
            <w:r w:rsidRPr="004D62AE">
              <w:rPr>
                <w:rFonts w:cs="Arial"/>
                <w:sz w:val="18"/>
                <w:szCs w:val="18"/>
              </w:rPr>
              <w:t>13/1039 (1.25)</w:t>
            </w:r>
          </w:p>
          <w:p w14:paraId="6531D7A9" w14:textId="77777777" w:rsidR="00AE7CF2" w:rsidRPr="004D62AE" w:rsidRDefault="00AE7CF2" w:rsidP="00AE7CF2">
            <w:pPr>
              <w:pStyle w:val="tabletextNS"/>
              <w:rPr>
                <w:rFonts w:cs="Arial"/>
                <w:sz w:val="18"/>
                <w:szCs w:val="18"/>
              </w:rPr>
            </w:pPr>
          </w:p>
          <w:p w14:paraId="56C35485" w14:textId="77777777" w:rsidR="00AE7CF2" w:rsidRPr="004D62AE" w:rsidRDefault="00AE7CF2" w:rsidP="00AE7CF2">
            <w:pPr>
              <w:pStyle w:val="tabletextNS"/>
              <w:rPr>
                <w:rFonts w:cs="Arial"/>
                <w:sz w:val="18"/>
                <w:szCs w:val="18"/>
              </w:rPr>
            </w:pPr>
            <w:r w:rsidRPr="004D62AE">
              <w:rPr>
                <w:rFonts w:cs="Arial"/>
                <w:sz w:val="18"/>
                <w:szCs w:val="18"/>
              </w:rPr>
              <w:t>(0.67%, 2.13%)</w:t>
            </w:r>
          </w:p>
        </w:tc>
      </w:tr>
    </w:tbl>
    <w:p w14:paraId="53DB8E67" w14:textId="121DCAAA" w:rsidR="00AE7CF2" w:rsidRPr="004D62AE" w:rsidRDefault="00AE7CF2" w:rsidP="00AE7CF2">
      <w:pPr>
        <w:pStyle w:val="tabletextNS"/>
        <w:ind w:left="113" w:hanging="113"/>
        <w:rPr>
          <w:rFonts w:cs="Arial"/>
          <w:sz w:val="18"/>
          <w:szCs w:val="18"/>
        </w:rPr>
      </w:pPr>
      <w:r w:rsidRPr="004D62AE">
        <w:rPr>
          <w:rFonts w:cs="Arial"/>
          <w:sz w:val="18"/>
          <w:szCs w:val="18"/>
        </w:rPr>
        <w:t>1 HIV-1 subtype A1 or A6 classification based on Los Alamos National Library panel from HIV Sequence database (June   2020)</w:t>
      </w:r>
    </w:p>
    <w:p w14:paraId="28F2D824" w14:textId="7C9FE4B7" w:rsidR="00AE7CF2" w:rsidRPr="004D62AE" w:rsidRDefault="00AE7CF2" w:rsidP="00AE7CF2">
      <w:pPr>
        <w:pStyle w:val="tabletextNS"/>
        <w:rPr>
          <w:rFonts w:cs="Arial"/>
          <w:sz w:val="18"/>
          <w:szCs w:val="18"/>
        </w:rPr>
      </w:pPr>
      <w:r w:rsidRPr="004D62AE">
        <w:rPr>
          <w:rFonts w:cs="Arial"/>
          <w:sz w:val="18"/>
          <w:szCs w:val="18"/>
        </w:rPr>
        <w:t>2 Based on the FDA Snapshot algorithm of RNA &lt;50 copies/</w:t>
      </w:r>
      <w:proofErr w:type="spellStart"/>
      <w:r w:rsidRPr="004D62AE">
        <w:rPr>
          <w:rFonts w:cs="Arial"/>
          <w:sz w:val="18"/>
          <w:szCs w:val="18"/>
        </w:rPr>
        <w:t>mL.</w:t>
      </w:r>
      <w:proofErr w:type="spellEnd"/>
      <w:r w:rsidRPr="004D62AE">
        <w:rPr>
          <w:rFonts w:cs="Arial"/>
          <w:sz w:val="18"/>
          <w:szCs w:val="18"/>
        </w:rPr>
        <w:t xml:space="preserve"> </w:t>
      </w:r>
    </w:p>
    <w:p w14:paraId="075AA4F0" w14:textId="77777777" w:rsidR="00AE7CF2" w:rsidRPr="004D62AE" w:rsidRDefault="00AE7CF2" w:rsidP="00AE7CF2">
      <w:pPr>
        <w:pStyle w:val="tabletextNS"/>
        <w:rPr>
          <w:rFonts w:cs="Arial"/>
          <w:sz w:val="18"/>
          <w:szCs w:val="18"/>
        </w:rPr>
      </w:pPr>
      <w:r w:rsidRPr="004D62AE">
        <w:rPr>
          <w:rFonts w:cs="Arial"/>
          <w:sz w:val="18"/>
          <w:szCs w:val="18"/>
        </w:rPr>
        <w:t>3 Defined as two consecutive measurements of HIV RNA &gt;200 copies/</w:t>
      </w:r>
      <w:proofErr w:type="spellStart"/>
      <w:r w:rsidRPr="004D62AE">
        <w:rPr>
          <w:rFonts w:cs="Arial"/>
          <w:sz w:val="18"/>
          <w:szCs w:val="18"/>
        </w:rPr>
        <w:t>mL.</w:t>
      </w:r>
      <w:proofErr w:type="spellEnd"/>
    </w:p>
    <w:p w14:paraId="3B764615" w14:textId="77777777" w:rsidR="00AE7CF2" w:rsidRPr="004D62AE" w:rsidRDefault="00AE7CF2" w:rsidP="00AE7CF2">
      <w:pPr>
        <w:pStyle w:val="tabletextNS"/>
        <w:rPr>
          <w:rFonts w:cs="Arial"/>
          <w:sz w:val="18"/>
          <w:szCs w:val="18"/>
        </w:rPr>
      </w:pPr>
      <w:r w:rsidRPr="004D62AE">
        <w:rPr>
          <w:rFonts w:cs="Arial"/>
          <w:sz w:val="18"/>
          <w:szCs w:val="18"/>
        </w:rPr>
        <w:t>4 Positive Predictive Value (PPV) &lt;1%; Negative Predictive Value (NPV) 98%; sensitivity 8%; specificity 74%</w:t>
      </w:r>
    </w:p>
    <w:p w14:paraId="436B64A0" w14:textId="4940B3CA" w:rsidR="00AE7CF2" w:rsidRPr="004D62AE" w:rsidRDefault="00AE7CF2" w:rsidP="00AE7CF2">
      <w:pPr>
        <w:pStyle w:val="tabletextNS"/>
        <w:rPr>
          <w:rFonts w:cs="Arial"/>
          <w:sz w:val="18"/>
          <w:szCs w:val="18"/>
        </w:rPr>
      </w:pPr>
      <w:r w:rsidRPr="004D62AE">
        <w:rPr>
          <w:rFonts w:cs="Arial"/>
          <w:sz w:val="18"/>
          <w:szCs w:val="18"/>
        </w:rPr>
        <w:t>5  PPV 26%; NPV 99.6%; sensitivity 69%; specificity 97.5%</w:t>
      </w:r>
    </w:p>
    <w:p w14:paraId="6A4C66C4" w14:textId="523E2506" w:rsidR="009F1F67" w:rsidRPr="004D62AE" w:rsidRDefault="00AE7CF2" w:rsidP="00AE7CF2">
      <w:pPr>
        <w:pStyle w:val="tabletextNS"/>
        <w:rPr>
          <w:rFonts w:cs="Arial"/>
          <w:sz w:val="18"/>
          <w:szCs w:val="18"/>
        </w:rPr>
      </w:pPr>
      <w:r w:rsidRPr="004D62AE">
        <w:rPr>
          <w:rFonts w:cs="Arial"/>
          <w:sz w:val="18"/>
          <w:szCs w:val="18"/>
        </w:rPr>
        <w:t>RAM: resistance-associated mutations</w:t>
      </w:r>
    </w:p>
    <w:p w14:paraId="351F2C73" w14:textId="77777777" w:rsidR="00AE7CF2" w:rsidRPr="00AE7CF2" w:rsidRDefault="00AE7CF2" w:rsidP="00AE7CF2">
      <w:pPr>
        <w:pStyle w:val="tabletextNS"/>
        <w:rPr>
          <w:rFonts w:cs="Arial"/>
          <w:sz w:val="20"/>
        </w:rPr>
      </w:pPr>
    </w:p>
    <w:p w14:paraId="1605BCD3" w14:textId="77777777" w:rsidR="009348A3" w:rsidRPr="009348A3" w:rsidRDefault="009348A3" w:rsidP="009348A3">
      <w:pPr>
        <w:pStyle w:val="Heading4"/>
        <w:numPr>
          <w:ilvl w:val="0"/>
          <w:numId w:val="0"/>
        </w:numPr>
        <w:rPr>
          <w:rFonts w:ascii="Arial" w:hAnsi="Arial" w:cs="Arial"/>
          <w:color w:val="auto"/>
          <w:lang w:val="en"/>
        </w:rPr>
      </w:pPr>
      <w:bookmarkStart w:id="35" w:name="_Hlk18416059"/>
      <w:r w:rsidRPr="009348A3">
        <w:rPr>
          <w:rFonts w:ascii="Arial" w:hAnsi="Arial" w:cs="Arial"/>
          <w:color w:val="auto"/>
          <w:lang w:val="en"/>
        </w:rPr>
        <w:t>Patient reported outcomes</w:t>
      </w:r>
      <w:bookmarkEnd w:id="35"/>
    </w:p>
    <w:p w14:paraId="75299702" w14:textId="12AB6DCC" w:rsidR="001B193F" w:rsidRDefault="001B193F" w:rsidP="001B193F">
      <w:pPr>
        <w:keepNext/>
        <w:tabs>
          <w:tab w:val="left" w:pos="720"/>
        </w:tabs>
        <w:rPr>
          <w:rFonts w:ascii="Arial" w:hAnsi="Arial" w:cs="Arial"/>
          <w:lang w:val="en"/>
        </w:rPr>
      </w:pPr>
      <w:r>
        <w:rPr>
          <w:rFonts w:ascii="Arial" w:hAnsi="Arial" w:cs="Arial"/>
          <w:lang w:val="en"/>
        </w:rPr>
        <w:t>Patient reported outcomes were assessed by several distinct measures</w:t>
      </w:r>
      <w:r w:rsidR="00332ACC">
        <w:rPr>
          <w:rFonts w:ascii="Arial" w:hAnsi="Arial" w:cs="Arial"/>
          <w:lang w:val="en"/>
        </w:rPr>
        <w:t>.</w:t>
      </w:r>
      <w:r>
        <w:rPr>
          <w:rFonts w:ascii="Arial" w:hAnsi="Arial" w:cs="Arial"/>
          <w:lang w:val="en"/>
        </w:rPr>
        <w:t xml:space="preserve"> </w:t>
      </w:r>
    </w:p>
    <w:p w14:paraId="0004051E" w14:textId="4BE0B406" w:rsidR="005F2315" w:rsidRPr="0090328A" w:rsidRDefault="005F2315" w:rsidP="005F2315">
      <w:pPr>
        <w:pStyle w:val="NormalWeb"/>
        <w:spacing w:after="0"/>
        <w:rPr>
          <w:rFonts w:ascii="Arial" w:hAnsi="Arial" w:cs="Arial"/>
          <w:iCs/>
          <w:sz w:val="22"/>
          <w:szCs w:val="22"/>
        </w:rPr>
      </w:pPr>
      <w:r w:rsidRPr="0090328A">
        <w:rPr>
          <w:rFonts w:ascii="Arial" w:hAnsi="Arial" w:cs="Arial"/>
          <w:iCs/>
          <w:sz w:val="22"/>
          <w:szCs w:val="22"/>
        </w:rPr>
        <w:t xml:space="preserve">Treatment satisfaction significantly improved in the </w:t>
      </w:r>
      <w:bookmarkStart w:id="36" w:name="_Hlk41924004"/>
      <w:proofErr w:type="spellStart"/>
      <w:r w:rsidRPr="0090328A">
        <w:rPr>
          <w:rFonts w:ascii="Arial" w:hAnsi="Arial" w:cs="Arial"/>
          <w:sz w:val="22"/>
          <w:szCs w:val="22"/>
        </w:rPr>
        <w:t>cabotegravir</w:t>
      </w:r>
      <w:proofErr w:type="spellEnd"/>
      <w:r w:rsidRPr="0090328A">
        <w:rPr>
          <w:rFonts w:ascii="Arial" w:hAnsi="Arial" w:cs="Arial"/>
          <w:sz w:val="22"/>
          <w:szCs w:val="22"/>
        </w:rPr>
        <w:t xml:space="preserve"> and </w:t>
      </w:r>
      <w:proofErr w:type="spellStart"/>
      <w:r w:rsidRPr="0090328A">
        <w:rPr>
          <w:rFonts w:ascii="Arial" w:hAnsi="Arial" w:cs="Arial"/>
          <w:sz w:val="22"/>
          <w:szCs w:val="22"/>
        </w:rPr>
        <w:t>rilpivirine</w:t>
      </w:r>
      <w:proofErr w:type="spellEnd"/>
      <w:r w:rsidRPr="0090328A">
        <w:rPr>
          <w:rFonts w:ascii="Arial" w:hAnsi="Arial" w:cs="Arial"/>
          <w:sz w:val="22"/>
          <w:szCs w:val="22"/>
        </w:rPr>
        <w:t xml:space="preserve"> injections</w:t>
      </w:r>
      <w:bookmarkEnd w:id="36"/>
      <w:r w:rsidRPr="0090328A">
        <w:rPr>
          <w:rFonts w:ascii="Arial" w:hAnsi="Arial" w:cs="Arial"/>
          <w:iCs/>
          <w:sz w:val="22"/>
          <w:szCs w:val="22"/>
        </w:rPr>
        <w:t xml:space="preserve"> group compared with daily oral antiretroviral therapy (CART) group (mean difference [95% CI] in HIV Treatment Satisfaction Questionnaire (HIVTSQs) at weeks 24 and 44 was 3.9 [3.0, 4.7] (p&lt;0.001) and 3.3 [2.5, 4.2] (p&lt;0.001) respectively, in the pooled ATLAS and FLAIR analysis). Key items driving this difference were "satisfaction to continue with treatment" as well as "flexibility" and "convenience".</w:t>
      </w:r>
    </w:p>
    <w:p w14:paraId="32C4D561" w14:textId="2680E243" w:rsidR="005F2315" w:rsidRPr="0090328A" w:rsidRDefault="005F2315" w:rsidP="005F2315">
      <w:pPr>
        <w:pStyle w:val="NormalWeb"/>
        <w:spacing w:after="0"/>
        <w:rPr>
          <w:rFonts w:ascii="Arial" w:hAnsi="Arial" w:cs="Arial"/>
          <w:iCs/>
          <w:sz w:val="22"/>
          <w:szCs w:val="22"/>
        </w:rPr>
      </w:pPr>
      <w:r w:rsidRPr="0090328A">
        <w:rPr>
          <w:rFonts w:ascii="Arial" w:hAnsi="Arial" w:cs="Arial"/>
          <w:iCs/>
          <w:sz w:val="22"/>
          <w:szCs w:val="22"/>
        </w:rPr>
        <w:t xml:space="preserve">Treatment acceptance also significantly improved in the </w:t>
      </w:r>
      <w:proofErr w:type="spellStart"/>
      <w:r w:rsidRPr="0090328A">
        <w:rPr>
          <w:rFonts w:ascii="Arial" w:hAnsi="Arial" w:cs="Arial"/>
          <w:sz w:val="22"/>
          <w:szCs w:val="22"/>
        </w:rPr>
        <w:t>cabotegravir</w:t>
      </w:r>
      <w:proofErr w:type="spellEnd"/>
      <w:r w:rsidRPr="0090328A">
        <w:rPr>
          <w:rFonts w:ascii="Arial" w:hAnsi="Arial" w:cs="Arial"/>
          <w:sz w:val="22"/>
          <w:szCs w:val="22"/>
        </w:rPr>
        <w:t xml:space="preserve"> and </w:t>
      </w:r>
      <w:proofErr w:type="spellStart"/>
      <w:r w:rsidRPr="0090328A">
        <w:rPr>
          <w:rFonts w:ascii="Arial" w:hAnsi="Arial" w:cs="Arial"/>
          <w:sz w:val="22"/>
          <w:szCs w:val="22"/>
        </w:rPr>
        <w:t>rilpivirine</w:t>
      </w:r>
      <w:proofErr w:type="spellEnd"/>
      <w:r w:rsidRPr="0090328A">
        <w:rPr>
          <w:rFonts w:ascii="Arial" w:hAnsi="Arial" w:cs="Arial"/>
          <w:sz w:val="22"/>
          <w:szCs w:val="22"/>
        </w:rPr>
        <w:t xml:space="preserve"> injections</w:t>
      </w:r>
      <w:r w:rsidRPr="0090328A">
        <w:rPr>
          <w:rFonts w:ascii="Arial" w:hAnsi="Arial" w:cs="Arial"/>
          <w:iCs/>
          <w:sz w:val="22"/>
          <w:szCs w:val="22"/>
        </w:rPr>
        <w:t xml:space="preserve"> group compared with CART group (mean difference [95% CI] in ACCEPT General Dimension at weeks 24 and 44 was 4.9 [2.4, 7.5] (p&lt;0.01) and 6.8 [4.3, 9.4](p&lt;0.001) respectively, in the pooled ATLAS and FLAIR analysis). Items were assessing acceptability based on advantages and disadvantages of treatment option.</w:t>
      </w:r>
    </w:p>
    <w:p w14:paraId="1AB3D535" w14:textId="6D0929BD" w:rsidR="005F2315" w:rsidRPr="0090328A" w:rsidRDefault="005F2315" w:rsidP="005F2315">
      <w:pPr>
        <w:pStyle w:val="NormalWeb"/>
        <w:spacing w:after="0"/>
        <w:rPr>
          <w:rFonts w:ascii="Arial" w:hAnsi="Arial" w:cs="Arial"/>
          <w:iCs/>
          <w:sz w:val="22"/>
          <w:szCs w:val="22"/>
        </w:rPr>
      </w:pPr>
      <w:r w:rsidRPr="0090328A">
        <w:rPr>
          <w:rFonts w:ascii="Arial" w:hAnsi="Arial" w:cs="Arial"/>
          <w:iCs/>
          <w:sz w:val="22"/>
          <w:szCs w:val="22"/>
        </w:rPr>
        <w:t xml:space="preserve">Acceptability of injection site reactions (including pain) significantly improved from Week 5 (2.09 points) to weeks 24 (1.66 points; p&lt;0.001) and 48 (1.61 points; p&lt;0.001) in a pooled ATLAS and FLAIR analysis for participants in the </w:t>
      </w:r>
      <w:proofErr w:type="spellStart"/>
      <w:r w:rsidRPr="0090328A">
        <w:rPr>
          <w:rFonts w:ascii="Arial" w:hAnsi="Arial" w:cs="Arial"/>
          <w:sz w:val="22"/>
          <w:szCs w:val="22"/>
        </w:rPr>
        <w:t>cabotegravir</w:t>
      </w:r>
      <w:proofErr w:type="spellEnd"/>
      <w:r w:rsidRPr="0090328A">
        <w:rPr>
          <w:rFonts w:ascii="Arial" w:hAnsi="Arial" w:cs="Arial"/>
          <w:sz w:val="22"/>
          <w:szCs w:val="22"/>
        </w:rPr>
        <w:t xml:space="preserve"> and </w:t>
      </w:r>
      <w:proofErr w:type="spellStart"/>
      <w:r w:rsidRPr="0090328A">
        <w:rPr>
          <w:rFonts w:ascii="Arial" w:hAnsi="Arial" w:cs="Arial"/>
          <w:sz w:val="22"/>
          <w:szCs w:val="22"/>
        </w:rPr>
        <w:t>rilpivirine</w:t>
      </w:r>
      <w:proofErr w:type="spellEnd"/>
      <w:r w:rsidRPr="0090328A">
        <w:rPr>
          <w:rFonts w:ascii="Arial" w:hAnsi="Arial" w:cs="Arial"/>
          <w:sz w:val="22"/>
          <w:szCs w:val="22"/>
        </w:rPr>
        <w:t xml:space="preserve"> injections</w:t>
      </w:r>
      <w:r w:rsidRPr="0090328A">
        <w:rPr>
          <w:rFonts w:ascii="Arial" w:hAnsi="Arial" w:cs="Arial"/>
          <w:iCs/>
          <w:sz w:val="22"/>
          <w:szCs w:val="22"/>
        </w:rPr>
        <w:t xml:space="preserve"> group according to "Acceptability of ISRs" dimension of Perception of Injection Questionnaire (PIN) (adapted from the </w:t>
      </w:r>
      <w:proofErr w:type="spellStart"/>
      <w:r w:rsidRPr="0090328A">
        <w:rPr>
          <w:rFonts w:ascii="Arial" w:hAnsi="Arial" w:cs="Arial"/>
          <w:iCs/>
          <w:sz w:val="22"/>
          <w:szCs w:val="22"/>
        </w:rPr>
        <w:t>Vaccinees</w:t>
      </w:r>
      <w:proofErr w:type="spellEnd"/>
      <w:r w:rsidRPr="0090328A">
        <w:rPr>
          <w:rFonts w:ascii="Arial" w:hAnsi="Arial" w:cs="Arial"/>
          <w:iCs/>
          <w:sz w:val="22"/>
          <w:szCs w:val="22"/>
        </w:rPr>
        <w:t xml:space="preserve">’ Perception of Injection (VAPI) Questionnaire) with 86% and </w:t>
      </w:r>
      <w:r w:rsidRPr="0090328A">
        <w:rPr>
          <w:rFonts w:ascii="Arial" w:hAnsi="Arial" w:cs="Arial"/>
          <w:iCs/>
          <w:sz w:val="22"/>
          <w:szCs w:val="22"/>
        </w:rPr>
        <w:lastRenderedPageBreak/>
        <w:t>84% of participants in ATLAS and FLAIR finding pain following injections as "totally" or "very acceptable" at week 48.</w:t>
      </w:r>
    </w:p>
    <w:p w14:paraId="2A1FF556" w14:textId="0A609B21" w:rsidR="005F2315" w:rsidRPr="0090328A" w:rsidRDefault="005F2315" w:rsidP="005F2315">
      <w:pPr>
        <w:pStyle w:val="NormalWeb"/>
        <w:spacing w:after="0"/>
        <w:rPr>
          <w:rFonts w:ascii="Arial" w:hAnsi="Arial" w:cs="Arial"/>
          <w:iCs/>
          <w:sz w:val="22"/>
          <w:szCs w:val="22"/>
        </w:rPr>
      </w:pPr>
      <w:r w:rsidRPr="0090328A">
        <w:rPr>
          <w:rFonts w:ascii="Arial" w:hAnsi="Arial" w:cs="Arial"/>
          <w:iCs/>
          <w:sz w:val="22"/>
          <w:szCs w:val="22"/>
        </w:rPr>
        <w:t>According to the three dimensions of the HIV/AIDS Targeted Quality of Life (HAT-</w:t>
      </w:r>
      <w:proofErr w:type="spellStart"/>
      <w:r w:rsidRPr="0090328A">
        <w:rPr>
          <w:rFonts w:ascii="Arial" w:hAnsi="Arial" w:cs="Arial"/>
          <w:iCs/>
          <w:sz w:val="22"/>
          <w:szCs w:val="22"/>
        </w:rPr>
        <w:t>QoL</w:t>
      </w:r>
      <w:proofErr w:type="spellEnd"/>
      <w:r w:rsidRPr="0090328A">
        <w:rPr>
          <w:rFonts w:ascii="Arial" w:hAnsi="Arial" w:cs="Arial"/>
          <w:iCs/>
          <w:sz w:val="22"/>
          <w:szCs w:val="22"/>
        </w:rPr>
        <w:t xml:space="preserve">) included in the study, "medication concerns" significantly improved in the </w:t>
      </w:r>
      <w:proofErr w:type="spellStart"/>
      <w:r w:rsidRPr="0090328A">
        <w:rPr>
          <w:rFonts w:ascii="Arial" w:hAnsi="Arial" w:cs="Arial"/>
          <w:sz w:val="22"/>
          <w:szCs w:val="22"/>
        </w:rPr>
        <w:t>cabotegravir</w:t>
      </w:r>
      <w:proofErr w:type="spellEnd"/>
      <w:r w:rsidRPr="0090328A">
        <w:rPr>
          <w:rFonts w:ascii="Arial" w:hAnsi="Arial" w:cs="Arial"/>
          <w:sz w:val="22"/>
          <w:szCs w:val="22"/>
        </w:rPr>
        <w:t xml:space="preserve"> and </w:t>
      </w:r>
      <w:proofErr w:type="spellStart"/>
      <w:r w:rsidRPr="0090328A">
        <w:rPr>
          <w:rFonts w:ascii="Arial" w:hAnsi="Arial" w:cs="Arial"/>
          <w:sz w:val="22"/>
          <w:szCs w:val="22"/>
        </w:rPr>
        <w:t>rilpivirine</w:t>
      </w:r>
      <w:proofErr w:type="spellEnd"/>
      <w:r w:rsidRPr="0090328A">
        <w:rPr>
          <w:rFonts w:ascii="Arial" w:hAnsi="Arial" w:cs="Arial"/>
          <w:sz w:val="22"/>
          <w:szCs w:val="22"/>
        </w:rPr>
        <w:t xml:space="preserve"> injections</w:t>
      </w:r>
      <w:r w:rsidRPr="0090328A">
        <w:rPr>
          <w:rFonts w:ascii="Arial" w:hAnsi="Arial" w:cs="Arial"/>
          <w:iCs/>
          <w:sz w:val="22"/>
          <w:szCs w:val="22"/>
        </w:rPr>
        <w:t xml:space="preserve"> group compared with CART (mean difference [95% CI] at weeks 24 and 48 was 3.4 [1.9, 4.9](p &lt;0.001 ) and 3.5 [1.8, 5.2](p &lt;0.001) respectively, in the pooled ATLAS and FLAIR analysis) mostly driven by the improvement in "treatment burden" scores. "Life satisfaction" and HIV "disclosure worries" showed no significant difference between treatment groups, indicating no impact of either treatment options on those concepts. </w:t>
      </w:r>
    </w:p>
    <w:p w14:paraId="3B562C1A" w14:textId="4B12AF14" w:rsidR="005F2315" w:rsidRDefault="005F2315" w:rsidP="005F2315">
      <w:pPr>
        <w:rPr>
          <w:rFonts w:ascii="Arial" w:hAnsi="Arial" w:cs="Arial"/>
          <w:iCs/>
        </w:rPr>
      </w:pPr>
      <w:r w:rsidRPr="0090328A">
        <w:rPr>
          <w:rFonts w:ascii="Arial" w:hAnsi="Arial" w:cs="Arial"/>
          <w:iCs/>
        </w:rPr>
        <w:t xml:space="preserve">SF-12 mental and physical component scores showed </w:t>
      </w:r>
      <w:r w:rsidR="006913FA">
        <w:rPr>
          <w:rFonts w:ascii="Arial" w:hAnsi="Arial" w:cs="Arial"/>
          <w:iCs/>
        </w:rPr>
        <w:t>n</w:t>
      </w:r>
      <w:r w:rsidRPr="0090328A">
        <w:rPr>
          <w:rFonts w:ascii="Arial" w:hAnsi="Arial" w:cs="Arial"/>
          <w:iCs/>
        </w:rPr>
        <w:t>o significant difference in change from baseline between treatment groups at weeks 24 and 48, which indicates no improvement or worsening in mental or physical health status of participants in both groups.</w:t>
      </w:r>
    </w:p>
    <w:p w14:paraId="6B242C79" w14:textId="77777777" w:rsidR="001A399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PHARMACOKINETIC PROPERTIES </w:t>
      </w:r>
    </w:p>
    <w:p w14:paraId="3A70D22A" w14:textId="77777777" w:rsidR="00D65787" w:rsidRPr="00D65787" w:rsidRDefault="00D65787" w:rsidP="00D65787">
      <w:pPr>
        <w:keepNext/>
        <w:tabs>
          <w:tab w:val="left" w:pos="720"/>
        </w:tabs>
        <w:rPr>
          <w:rFonts w:ascii="Arial" w:hAnsi="Arial" w:cs="Arial"/>
          <w:lang w:val="en"/>
        </w:rPr>
      </w:pPr>
      <w:proofErr w:type="spellStart"/>
      <w:r w:rsidRPr="00D65787">
        <w:rPr>
          <w:rFonts w:ascii="Arial" w:hAnsi="Arial" w:cs="Arial"/>
          <w:lang w:val="en"/>
        </w:rPr>
        <w:t>Cabotegravir</w:t>
      </w:r>
      <w:proofErr w:type="spellEnd"/>
      <w:r w:rsidRPr="00D65787">
        <w:rPr>
          <w:rFonts w:ascii="Arial" w:hAnsi="Arial" w:cs="Arial"/>
          <w:lang w:val="en"/>
        </w:rPr>
        <w:t xml:space="preserve"> pharmacokinetics is similar between healthy and HIV-infected subjects. The PK variability of </w:t>
      </w:r>
      <w:proofErr w:type="spellStart"/>
      <w:r w:rsidRPr="00D65787">
        <w:rPr>
          <w:rFonts w:ascii="Arial" w:hAnsi="Arial" w:cs="Arial"/>
          <w:lang w:val="en"/>
        </w:rPr>
        <w:t>cabotegravir</w:t>
      </w:r>
      <w:proofErr w:type="spellEnd"/>
      <w:r w:rsidRPr="00D65787">
        <w:rPr>
          <w:rFonts w:ascii="Arial" w:hAnsi="Arial" w:cs="Arial"/>
          <w:lang w:val="en"/>
        </w:rPr>
        <w:t xml:space="preserve"> is moderate. In Phase I studies in healthy subjects, between-subject </w:t>
      </w:r>
      <w:proofErr w:type="spellStart"/>
      <w:r w:rsidRPr="00D65787">
        <w:rPr>
          <w:rFonts w:ascii="Arial" w:hAnsi="Arial" w:cs="Arial"/>
          <w:lang w:val="en"/>
        </w:rPr>
        <w:t>CVb</w:t>
      </w:r>
      <w:proofErr w:type="spellEnd"/>
      <w:r w:rsidRPr="00D65787">
        <w:rPr>
          <w:rFonts w:ascii="Arial" w:hAnsi="Arial" w:cs="Arial"/>
          <w:lang w:val="en"/>
        </w:rPr>
        <w:t xml:space="preserve">% for AUC, </w:t>
      </w:r>
      <w:proofErr w:type="spellStart"/>
      <w:r w:rsidRPr="00D65787">
        <w:rPr>
          <w:rFonts w:ascii="Arial" w:hAnsi="Arial" w:cs="Arial"/>
          <w:lang w:val="en"/>
        </w:rPr>
        <w:t>C</w:t>
      </w:r>
      <w:r w:rsidRPr="00D65787">
        <w:rPr>
          <w:rFonts w:ascii="Arial" w:hAnsi="Arial" w:cs="Arial"/>
          <w:vertAlign w:val="subscript"/>
          <w:lang w:val="en"/>
        </w:rPr>
        <w:t>max</w:t>
      </w:r>
      <w:proofErr w:type="spellEnd"/>
      <w:r w:rsidRPr="00D65787">
        <w:rPr>
          <w:rFonts w:ascii="Arial" w:hAnsi="Arial" w:cs="Arial"/>
          <w:lang w:val="en"/>
        </w:rPr>
        <w:t xml:space="preserve">, and </w:t>
      </w:r>
      <w:proofErr w:type="spellStart"/>
      <w:r w:rsidRPr="00D65787">
        <w:rPr>
          <w:rFonts w:ascii="Arial" w:hAnsi="Arial" w:cs="Arial"/>
          <w:lang w:val="en"/>
        </w:rPr>
        <w:t>C</w:t>
      </w:r>
      <w:r w:rsidRPr="00D65787">
        <w:rPr>
          <w:rFonts w:ascii="Arial" w:hAnsi="Arial" w:cs="Arial"/>
          <w:vertAlign w:val="subscript"/>
          <w:lang w:val="en"/>
        </w:rPr>
        <w:t>tau</w:t>
      </w:r>
      <w:proofErr w:type="spellEnd"/>
      <w:r w:rsidRPr="00D65787">
        <w:rPr>
          <w:rFonts w:ascii="Arial" w:hAnsi="Arial" w:cs="Arial"/>
          <w:lang w:val="en"/>
        </w:rPr>
        <w:t xml:space="preserve"> ranged from 26 to 34% across healthy subject studies and 28 to 56% across HIV-1 infected subject studies. Within-subject variability (</w:t>
      </w:r>
      <w:proofErr w:type="spellStart"/>
      <w:r w:rsidRPr="00D65787">
        <w:rPr>
          <w:rFonts w:ascii="Arial" w:hAnsi="Arial" w:cs="Arial"/>
          <w:lang w:val="en"/>
        </w:rPr>
        <w:t>CVw</w:t>
      </w:r>
      <w:proofErr w:type="spellEnd"/>
      <w:r w:rsidRPr="00D65787">
        <w:rPr>
          <w:rFonts w:ascii="Arial" w:hAnsi="Arial" w:cs="Arial"/>
          <w:lang w:val="en"/>
        </w:rPr>
        <w:t>%) is lower than between-subject variability.</w:t>
      </w:r>
    </w:p>
    <w:p w14:paraId="52FDEE8C" w14:textId="77777777" w:rsidR="001A3992" w:rsidRPr="00071855" w:rsidRDefault="001A3992" w:rsidP="00D65787">
      <w:pPr>
        <w:pStyle w:val="Heading3"/>
        <w:ind w:left="0"/>
        <w:rPr>
          <w:rFonts w:ascii="Arial" w:hAnsi="Arial" w:cs="Arial"/>
        </w:rPr>
      </w:pPr>
      <w:r w:rsidRPr="00071855">
        <w:rPr>
          <w:rFonts w:ascii="Arial" w:hAnsi="Arial" w:cs="Arial"/>
        </w:rPr>
        <w:t>Absorption</w:t>
      </w:r>
    </w:p>
    <w:p w14:paraId="31EDF075" w14:textId="77777777" w:rsidR="00D65787" w:rsidRPr="004D62AE" w:rsidRDefault="00D65787" w:rsidP="004D62AE">
      <w:pPr>
        <w:rPr>
          <w:rFonts w:ascii="Arial" w:hAnsi="Arial" w:cs="Arial"/>
          <w:lang w:val="en"/>
        </w:rPr>
      </w:pPr>
      <w:proofErr w:type="spellStart"/>
      <w:r w:rsidRPr="004D62AE">
        <w:rPr>
          <w:rFonts w:ascii="Arial" w:hAnsi="Arial" w:cs="Arial"/>
          <w:lang w:val="en"/>
        </w:rPr>
        <w:t>Cabotegravir</w:t>
      </w:r>
      <w:proofErr w:type="spellEnd"/>
      <w:r w:rsidRPr="004D62AE">
        <w:rPr>
          <w:rFonts w:ascii="Arial" w:hAnsi="Arial" w:cs="Arial"/>
          <w:lang w:val="en"/>
        </w:rPr>
        <w:t xml:space="preserve"> is rapidly absorbed following oral administration, with median </w:t>
      </w:r>
      <w:proofErr w:type="spellStart"/>
      <w:r w:rsidRPr="004D62AE">
        <w:rPr>
          <w:rFonts w:ascii="Arial" w:hAnsi="Arial" w:cs="Arial"/>
          <w:lang w:val="en"/>
        </w:rPr>
        <w:t>T</w:t>
      </w:r>
      <w:r w:rsidRPr="004D62AE">
        <w:rPr>
          <w:rFonts w:ascii="Arial" w:hAnsi="Arial" w:cs="Arial"/>
          <w:vertAlign w:val="subscript"/>
          <w:lang w:val="en"/>
        </w:rPr>
        <w:t>max</w:t>
      </w:r>
      <w:proofErr w:type="spellEnd"/>
      <w:r w:rsidRPr="004D62AE">
        <w:rPr>
          <w:rFonts w:ascii="Arial" w:hAnsi="Arial" w:cs="Arial"/>
          <w:lang w:val="en"/>
        </w:rPr>
        <w:t xml:space="preserve"> at 3 hours post dose for </w:t>
      </w:r>
      <w:r w:rsidR="00373E85" w:rsidRPr="004D62AE">
        <w:rPr>
          <w:rFonts w:ascii="Arial" w:hAnsi="Arial" w:cs="Arial"/>
          <w:lang w:val="en"/>
        </w:rPr>
        <w:t xml:space="preserve">the </w:t>
      </w:r>
      <w:r w:rsidRPr="004D62AE">
        <w:rPr>
          <w:rFonts w:ascii="Arial" w:hAnsi="Arial" w:cs="Arial"/>
          <w:lang w:val="en"/>
        </w:rPr>
        <w:t xml:space="preserve">tablet formulation. </w:t>
      </w:r>
      <w:r w:rsidR="00373E85" w:rsidRPr="004D62AE">
        <w:rPr>
          <w:rFonts w:ascii="Arial" w:hAnsi="Arial" w:cs="Arial"/>
          <w:lang w:val="en"/>
        </w:rPr>
        <w:t xml:space="preserve">The linearity of </w:t>
      </w:r>
      <w:proofErr w:type="spellStart"/>
      <w:r w:rsidR="00373E85" w:rsidRPr="004D62AE">
        <w:rPr>
          <w:rFonts w:ascii="Arial" w:hAnsi="Arial" w:cs="Arial"/>
          <w:lang w:val="en"/>
        </w:rPr>
        <w:t>cabotegravir</w:t>
      </w:r>
      <w:proofErr w:type="spellEnd"/>
      <w:r w:rsidR="00373E85" w:rsidRPr="004D62AE">
        <w:rPr>
          <w:rFonts w:ascii="Arial" w:hAnsi="Arial" w:cs="Arial"/>
          <w:lang w:val="en"/>
        </w:rPr>
        <w:t xml:space="preserve"> pharmacokinetics is dependent on dose and formulation. Following oral administration of tablet formulations, </w:t>
      </w:r>
      <w:proofErr w:type="spellStart"/>
      <w:r w:rsidR="00373E85" w:rsidRPr="004D62AE">
        <w:rPr>
          <w:rFonts w:ascii="Arial" w:hAnsi="Arial" w:cs="Arial"/>
          <w:lang w:val="en"/>
        </w:rPr>
        <w:t>cabotegravir</w:t>
      </w:r>
      <w:proofErr w:type="spellEnd"/>
      <w:r w:rsidR="00373E85" w:rsidRPr="004D62AE">
        <w:rPr>
          <w:rFonts w:ascii="Arial" w:hAnsi="Arial" w:cs="Arial"/>
          <w:lang w:val="en"/>
        </w:rPr>
        <w:t xml:space="preserve"> pharmacokinetics was dose-proportional to slightly less than proportional to dose from 5 mg to 60 </w:t>
      </w:r>
      <w:proofErr w:type="spellStart"/>
      <w:r w:rsidR="00373E85" w:rsidRPr="004D62AE">
        <w:rPr>
          <w:rFonts w:ascii="Arial" w:hAnsi="Arial" w:cs="Arial"/>
          <w:lang w:val="en"/>
        </w:rPr>
        <w:t>mg.</w:t>
      </w:r>
      <w:r w:rsidRPr="004D62AE">
        <w:rPr>
          <w:rFonts w:ascii="Arial" w:hAnsi="Arial" w:cs="Arial"/>
          <w:lang w:val="en"/>
        </w:rPr>
        <w:t>With</w:t>
      </w:r>
      <w:proofErr w:type="spellEnd"/>
      <w:r w:rsidRPr="004D62AE">
        <w:rPr>
          <w:rFonts w:ascii="Arial" w:hAnsi="Arial" w:cs="Arial"/>
          <w:lang w:val="en"/>
        </w:rPr>
        <w:t xml:space="preserve"> once daily dosing, pharmacokinetic steady-state is achieved by 7 days.</w:t>
      </w:r>
    </w:p>
    <w:p w14:paraId="102E7FC4" w14:textId="77777777" w:rsidR="00D65787" w:rsidRPr="00373E85" w:rsidRDefault="00D65787" w:rsidP="004D62AE">
      <w:pPr>
        <w:tabs>
          <w:tab w:val="left" w:pos="720"/>
        </w:tabs>
        <w:rPr>
          <w:rFonts w:ascii="Arial" w:hAnsi="Arial" w:cs="Arial"/>
          <w:lang w:val="en"/>
        </w:rPr>
      </w:pPr>
      <w:proofErr w:type="spellStart"/>
      <w:r w:rsidRPr="00373E85">
        <w:rPr>
          <w:rFonts w:ascii="Arial" w:hAnsi="Arial" w:cs="Arial"/>
          <w:lang w:val="en"/>
        </w:rPr>
        <w:t>Cabotegravir</w:t>
      </w:r>
      <w:proofErr w:type="spellEnd"/>
      <w:r w:rsidRPr="00373E85">
        <w:rPr>
          <w:rFonts w:ascii="Arial" w:hAnsi="Arial" w:cs="Arial"/>
          <w:lang w:val="en"/>
        </w:rPr>
        <w:t xml:space="preserve"> may be administered with or without food. Food increased the extent of absorption of </w:t>
      </w:r>
      <w:proofErr w:type="spellStart"/>
      <w:r w:rsidRPr="00373E85">
        <w:rPr>
          <w:rFonts w:ascii="Arial" w:hAnsi="Arial" w:cs="Arial"/>
          <w:lang w:val="en"/>
        </w:rPr>
        <w:t>cabotegravir</w:t>
      </w:r>
      <w:proofErr w:type="spellEnd"/>
      <w:r w:rsidRPr="00373E85">
        <w:rPr>
          <w:rFonts w:ascii="Arial" w:hAnsi="Arial" w:cs="Arial"/>
          <w:lang w:val="en"/>
        </w:rPr>
        <w:t xml:space="preserve">. Bioavailability of </w:t>
      </w:r>
      <w:proofErr w:type="spellStart"/>
      <w:r w:rsidRPr="00373E85">
        <w:rPr>
          <w:rFonts w:ascii="Arial" w:hAnsi="Arial" w:cs="Arial"/>
          <w:lang w:val="en"/>
        </w:rPr>
        <w:t>cabotegravir</w:t>
      </w:r>
      <w:proofErr w:type="spellEnd"/>
      <w:r w:rsidRPr="00373E85">
        <w:rPr>
          <w:rFonts w:ascii="Arial" w:hAnsi="Arial" w:cs="Arial"/>
          <w:lang w:val="en"/>
        </w:rPr>
        <w:t xml:space="preserve"> is independent of meal content: high fat meals increased </w:t>
      </w:r>
      <w:proofErr w:type="spellStart"/>
      <w:r w:rsidRPr="00373E85">
        <w:rPr>
          <w:rFonts w:ascii="Arial" w:hAnsi="Arial" w:cs="Arial"/>
          <w:lang w:val="en"/>
        </w:rPr>
        <w:t>cabotegravir</w:t>
      </w:r>
      <w:proofErr w:type="spellEnd"/>
      <w:r w:rsidRPr="00373E85">
        <w:rPr>
          <w:rFonts w:ascii="Arial" w:hAnsi="Arial" w:cs="Arial"/>
          <w:lang w:val="en"/>
        </w:rPr>
        <w:t xml:space="preserve"> AUC</w:t>
      </w:r>
      <w:r w:rsidRPr="00373E85">
        <w:rPr>
          <w:rFonts w:ascii="Arial" w:hAnsi="Arial" w:cs="Arial"/>
          <w:vertAlign w:val="subscript"/>
          <w:lang w:val="en"/>
        </w:rPr>
        <w:t>(0-</w:t>
      </w:r>
      <w:r w:rsidRPr="00373E85">
        <w:rPr>
          <w:rFonts w:ascii="Arial" w:hAnsi="Arial" w:cs="Arial"/>
          <w:vertAlign w:val="subscript"/>
          <w:lang w:val="en"/>
        </w:rPr>
        <w:sym w:font="Symbol" w:char="F0A5"/>
      </w:r>
      <w:r w:rsidRPr="00373E85">
        <w:rPr>
          <w:rFonts w:ascii="Arial" w:hAnsi="Arial" w:cs="Arial"/>
          <w:vertAlign w:val="subscript"/>
          <w:lang w:val="en"/>
        </w:rPr>
        <w:t>)</w:t>
      </w:r>
      <w:r w:rsidRPr="00373E85">
        <w:rPr>
          <w:rFonts w:ascii="Arial" w:hAnsi="Arial" w:cs="Arial"/>
          <w:lang w:val="en"/>
        </w:rPr>
        <w:t xml:space="preserve"> by 14% and increased </w:t>
      </w:r>
      <w:proofErr w:type="spellStart"/>
      <w:r w:rsidRPr="00373E85">
        <w:rPr>
          <w:rFonts w:ascii="Arial" w:hAnsi="Arial" w:cs="Arial"/>
          <w:lang w:val="en"/>
        </w:rPr>
        <w:t>C</w:t>
      </w:r>
      <w:r w:rsidRPr="00373E85">
        <w:rPr>
          <w:rFonts w:ascii="Arial" w:hAnsi="Arial" w:cs="Arial"/>
          <w:vertAlign w:val="subscript"/>
          <w:lang w:val="en"/>
        </w:rPr>
        <w:t>max</w:t>
      </w:r>
      <w:proofErr w:type="spellEnd"/>
      <w:r w:rsidRPr="00373E85">
        <w:rPr>
          <w:rFonts w:ascii="Arial" w:hAnsi="Arial" w:cs="Arial"/>
          <w:vertAlign w:val="subscript"/>
          <w:lang w:val="en"/>
        </w:rPr>
        <w:t xml:space="preserve"> </w:t>
      </w:r>
      <w:r w:rsidRPr="00373E85">
        <w:rPr>
          <w:rFonts w:ascii="Arial" w:hAnsi="Arial" w:cs="Arial"/>
          <w:lang w:val="en"/>
        </w:rPr>
        <w:t>by 14% relative to fasted conditions. These increases are not clinically significant.</w:t>
      </w:r>
    </w:p>
    <w:p w14:paraId="62E82BB6" w14:textId="77777777" w:rsidR="00D65787" w:rsidRPr="00373E85" w:rsidRDefault="00D65787" w:rsidP="00373E85">
      <w:pPr>
        <w:keepNext/>
        <w:tabs>
          <w:tab w:val="left" w:pos="720"/>
        </w:tabs>
        <w:rPr>
          <w:rFonts w:ascii="Arial" w:hAnsi="Arial" w:cs="Arial"/>
          <w:lang w:val="en"/>
        </w:rPr>
      </w:pPr>
      <w:r w:rsidRPr="00373E85">
        <w:rPr>
          <w:rFonts w:ascii="Arial" w:hAnsi="Arial" w:cs="Arial"/>
          <w:lang w:val="en"/>
        </w:rPr>
        <w:t xml:space="preserve">The absolute bioavailability of </w:t>
      </w:r>
      <w:proofErr w:type="spellStart"/>
      <w:r w:rsidRPr="00373E85">
        <w:rPr>
          <w:rFonts w:ascii="Arial" w:hAnsi="Arial" w:cs="Arial"/>
          <w:lang w:val="en"/>
        </w:rPr>
        <w:t>cabotegravir</w:t>
      </w:r>
      <w:proofErr w:type="spellEnd"/>
      <w:r w:rsidRPr="00373E85">
        <w:rPr>
          <w:rFonts w:ascii="Arial" w:hAnsi="Arial" w:cs="Arial"/>
          <w:lang w:val="en"/>
        </w:rPr>
        <w:t xml:space="preserve"> has not been established.</w:t>
      </w:r>
    </w:p>
    <w:p w14:paraId="38B13FAD" w14:textId="77777777" w:rsidR="001A3992" w:rsidRPr="00071855" w:rsidRDefault="001A3992" w:rsidP="00D65787">
      <w:pPr>
        <w:pStyle w:val="Heading3"/>
        <w:ind w:left="0"/>
        <w:rPr>
          <w:rFonts w:ascii="Arial" w:hAnsi="Arial" w:cs="Arial"/>
        </w:rPr>
      </w:pPr>
      <w:r w:rsidRPr="00071855">
        <w:rPr>
          <w:rFonts w:ascii="Arial" w:hAnsi="Arial" w:cs="Arial"/>
        </w:rPr>
        <w:t>Distribution</w:t>
      </w:r>
    </w:p>
    <w:p w14:paraId="02E4AC8A" w14:textId="77777777" w:rsidR="00373E85" w:rsidRPr="00EC1C0B" w:rsidRDefault="00373E85" w:rsidP="00EC1C0B">
      <w:pPr>
        <w:keepNext/>
        <w:tabs>
          <w:tab w:val="left" w:pos="720"/>
        </w:tabs>
        <w:rPr>
          <w:rFonts w:ascii="Arial" w:hAnsi="Arial" w:cs="Arial"/>
          <w:lang w:val="en"/>
        </w:rPr>
      </w:pPr>
      <w:bookmarkStart w:id="37" w:name="_Hlk6223736"/>
      <w:proofErr w:type="spellStart"/>
      <w:r w:rsidRPr="00EC1C0B">
        <w:rPr>
          <w:rFonts w:ascii="Arial" w:hAnsi="Arial" w:cs="Arial"/>
          <w:lang w:val="en"/>
        </w:rPr>
        <w:t>Cabotegravir</w:t>
      </w:r>
      <w:proofErr w:type="spellEnd"/>
      <w:r w:rsidRPr="00EC1C0B">
        <w:rPr>
          <w:rFonts w:ascii="Arial" w:hAnsi="Arial" w:cs="Arial"/>
          <w:lang w:val="en"/>
        </w:rPr>
        <w:t xml:space="preserve"> is highly bound (&gt;99%) to human plasma proteins, based on </w:t>
      </w:r>
      <w:r w:rsidRPr="008C60CE">
        <w:rPr>
          <w:rFonts w:ascii="Arial" w:hAnsi="Arial" w:cs="Arial"/>
          <w:i/>
          <w:lang w:val="en"/>
        </w:rPr>
        <w:t>in vitro</w:t>
      </w:r>
      <w:r w:rsidRPr="00EC1C0B">
        <w:rPr>
          <w:rFonts w:ascii="Arial" w:hAnsi="Arial" w:cs="Arial"/>
          <w:lang w:val="en"/>
        </w:rPr>
        <w:t xml:space="preserve"> data. Following administration of oral tablets, the mean apparent oral volume of distribution (</w:t>
      </w:r>
      <w:proofErr w:type="spellStart"/>
      <w:r w:rsidRPr="00EC1C0B">
        <w:rPr>
          <w:rFonts w:ascii="Arial" w:hAnsi="Arial" w:cs="Arial"/>
          <w:lang w:val="en"/>
        </w:rPr>
        <w:t>Vz</w:t>
      </w:r>
      <w:proofErr w:type="spellEnd"/>
      <w:r w:rsidRPr="00EC1C0B">
        <w:rPr>
          <w:rFonts w:ascii="Arial" w:hAnsi="Arial" w:cs="Arial"/>
          <w:lang w:val="en"/>
        </w:rPr>
        <w:t xml:space="preserve">/F) in plasma was 12.3 L. In humans, the estimate of plasma </w:t>
      </w:r>
      <w:proofErr w:type="spellStart"/>
      <w:r w:rsidRPr="00EC1C0B">
        <w:rPr>
          <w:rFonts w:ascii="Arial" w:hAnsi="Arial" w:cs="Arial"/>
          <w:lang w:val="en"/>
        </w:rPr>
        <w:t>cabotegravir</w:t>
      </w:r>
      <w:proofErr w:type="spellEnd"/>
      <w:r w:rsidRPr="00EC1C0B">
        <w:rPr>
          <w:rFonts w:ascii="Arial" w:hAnsi="Arial" w:cs="Arial"/>
          <w:lang w:val="en"/>
        </w:rPr>
        <w:t xml:space="preserve"> </w:t>
      </w:r>
      <w:proofErr w:type="spellStart"/>
      <w:r w:rsidRPr="00EC1C0B">
        <w:rPr>
          <w:rFonts w:ascii="Arial" w:hAnsi="Arial" w:cs="Arial"/>
          <w:lang w:val="en"/>
        </w:rPr>
        <w:t>Vc</w:t>
      </w:r>
      <w:proofErr w:type="spellEnd"/>
      <w:r w:rsidRPr="00EC1C0B">
        <w:rPr>
          <w:rFonts w:ascii="Arial" w:hAnsi="Arial" w:cs="Arial"/>
          <w:lang w:val="en"/>
        </w:rPr>
        <w:t xml:space="preserve">/F was 5.27 L and </w:t>
      </w:r>
      <w:proofErr w:type="spellStart"/>
      <w:r w:rsidRPr="00EC1C0B">
        <w:rPr>
          <w:rFonts w:ascii="Arial" w:hAnsi="Arial" w:cs="Arial"/>
          <w:lang w:val="en"/>
        </w:rPr>
        <w:t>Vp</w:t>
      </w:r>
      <w:proofErr w:type="spellEnd"/>
      <w:r w:rsidRPr="00EC1C0B">
        <w:rPr>
          <w:rFonts w:ascii="Arial" w:hAnsi="Arial" w:cs="Arial"/>
          <w:lang w:val="en"/>
        </w:rPr>
        <w:t xml:space="preserve">/F was 2.43 L. These volume estimates, along with the assumption of high bioavailability, suggest some distribution of </w:t>
      </w:r>
      <w:proofErr w:type="spellStart"/>
      <w:r w:rsidRPr="00EC1C0B">
        <w:rPr>
          <w:rFonts w:ascii="Arial" w:hAnsi="Arial" w:cs="Arial"/>
          <w:lang w:val="en"/>
        </w:rPr>
        <w:t>cabotegravir</w:t>
      </w:r>
      <w:proofErr w:type="spellEnd"/>
      <w:r w:rsidRPr="00EC1C0B">
        <w:rPr>
          <w:rFonts w:ascii="Arial" w:hAnsi="Arial" w:cs="Arial"/>
          <w:lang w:val="en"/>
        </w:rPr>
        <w:t xml:space="preserve"> to the extracellular space.</w:t>
      </w:r>
    </w:p>
    <w:p w14:paraId="19BBD1B3" w14:textId="77777777" w:rsidR="00373E85" w:rsidRPr="00EC1C0B" w:rsidRDefault="00373E85" w:rsidP="004D62AE">
      <w:pPr>
        <w:keepNext/>
        <w:tabs>
          <w:tab w:val="left" w:pos="720"/>
        </w:tabs>
        <w:ind w:right="-188"/>
        <w:rPr>
          <w:rFonts w:ascii="Arial" w:hAnsi="Arial" w:cs="Arial"/>
          <w:lang w:val="en"/>
        </w:rPr>
      </w:pPr>
      <w:proofErr w:type="spellStart"/>
      <w:r w:rsidRPr="00EC1C0B">
        <w:rPr>
          <w:rFonts w:ascii="Arial" w:hAnsi="Arial" w:cs="Arial"/>
          <w:lang w:val="en"/>
        </w:rPr>
        <w:t>Cabotegravir</w:t>
      </w:r>
      <w:proofErr w:type="spellEnd"/>
      <w:r w:rsidRPr="00EC1C0B">
        <w:rPr>
          <w:rFonts w:ascii="Arial" w:hAnsi="Arial" w:cs="Arial"/>
          <w:lang w:val="en"/>
        </w:rPr>
        <w:t xml:space="preserve"> is present in the female and male genital tract. Median cervical and vaginal </w:t>
      </w:r>
      <w:proofErr w:type="spellStart"/>
      <w:r w:rsidRPr="00EC1C0B">
        <w:rPr>
          <w:rFonts w:ascii="Arial" w:hAnsi="Arial" w:cs="Arial"/>
          <w:lang w:val="en"/>
        </w:rPr>
        <w:t>tissue:plasma</w:t>
      </w:r>
      <w:proofErr w:type="spellEnd"/>
      <w:r w:rsidRPr="00EC1C0B">
        <w:rPr>
          <w:rFonts w:ascii="Arial" w:hAnsi="Arial" w:cs="Arial"/>
          <w:lang w:val="en"/>
        </w:rPr>
        <w:t xml:space="preserve"> ratios ranged from 0.16 to 0.28 and median rectal </w:t>
      </w:r>
      <w:proofErr w:type="spellStart"/>
      <w:r w:rsidRPr="00EC1C0B">
        <w:rPr>
          <w:rFonts w:ascii="Arial" w:hAnsi="Arial" w:cs="Arial"/>
          <w:lang w:val="en"/>
        </w:rPr>
        <w:t>tissue:plasma</w:t>
      </w:r>
      <w:proofErr w:type="spellEnd"/>
      <w:r w:rsidRPr="00EC1C0B">
        <w:rPr>
          <w:rFonts w:ascii="Arial" w:hAnsi="Arial" w:cs="Arial"/>
          <w:lang w:val="en"/>
        </w:rPr>
        <w:t xml:space="preserve"> ratios were </w:t>
      </w:r>
      <w:r w:rsidRPr="00EC1C0B">
        <w:rPr>
          <w:rFonts w:ascii="Arial" w:hAnsi="Arial" w:cs="Arial"/>
          <w:lang w:val="en"/>
        </w:rPr>
        <w:sym w:font="Symbol" w:char="F0A3"/>
      </w:r>
      <w:r w:rsidRPr="00EC1C0B">
        <w:rPr>
          <w:rFonts w:ascii="Arial" w:hAnsi="Arial" w:cs="Arial"/>
          <w:lang w:val="en"/>
        </w:rPr>
        <w:t>0.08 following a single 400 mg intramuscular injection (IM) at 4, 8, and 12 weeks after dosing.</w:t>
      </w:r>
    </w:p>
    <w:p w14:paraId="55686FE8" w14:textId="619D24F5" w:rsidR="00373E85" w:rsidRPr="002A1CC4" w:rsidRDefault="00373E85" w:rsidP="00EC1C0B">
      <w:pPr>
        <w:keepNext/>
        <w:tabs>
          <w:tab w:val="left" w:pos="720"/>
        </w:tabs>
        <w:rPr>
          <w:rFonts w:ascii="Arial" w:hAnsi="Arial" w:cs="Arial"/>
          <w:lang w:val="en"/>
        </w:rPr>
      </w:pPr>
      <w:proofErr w:type="spellStart"/>
      <w:r w:rsidRPr="00EC1C0B">
        <w:rPr>
          <w:rFonts w:ascii="Arial" w:hAnsi="Arial" w:cs="Arial"/>
          <w:lang w:val="en"/>
        </w:rPr>
        <w:t>Cabotegravir</w:t>
      </w:r>
      <w:proofErr w:type="spellEnd"/>
      <w:r w:rsidRPr="00EC1C0B">
        <w:rPr>
          <w:rFonts w:ascii="Arial" w:hAnsi="Arial" w:cs="Arial"/>
          <w:lang w:val="en"/>
        </w:rPr>
        <w:t xml:space="preserve"> is present in </w:t>
      </w:r>
      <w:r w:rsidRPr="002A1CC4">
        <w:rPr>
          <w:rFonts w:ascii="Arial" w:hAnsi="Arial" w:cs="Arial"/>
          <w:lang w:val="en"/>
        </w:rPr>
        <w:t xml:space="preserve">cerebrospinal fluid (CSF). In HIV-infected subjects receiving a regimen of </w:t>
      </w:r>
      <w:proofErr w:type="spellStart"/>
      <w:r w:rsidRPr="002A1CC4">
        <w:rPr>
          <w:rFonts w:ascii="Arial" w:hAnsi="Arial" w:cs="Arial"/>
          <w:lang w:val="en"/>
        </w:rPr>
        <w:t>cabotegravir</w:t>
      </w:r>
      <w:proofErr w:type="spellEnd"/>
      <w:r w:rsidRPr="002A1CC4">
        <w:rPr>
          <w:rFonts w:ascii="Arial" w:hAnsi="Arial" w:cs="Arial"/>
          <w:lang w:val="en"/>
        </w:rPr>
        <w:t xml:space="preserve"> injection plus </w:t>
      </w:r>
      <w:proofErr w:type="spellStart"/>
      <w:r w:rsidRPr="002A1CC4">
        <w:rPr>
          <w:rFonts w:ascii="Arial" w:hAnsi="Arial" w:cs="Arial"/>
          <w:lang w:val="en"/>
        </w:rPr>
        <w:t>rilpivirine</w:t>
      </w:r>
      <w:proofErr w:type="spellEnd"/>
      <w:r w:rsidRPr="002A1CC4">
        <w:rPr>
          <w:rFonts w:ascii="Arial" w:hAnsi="Arial" w:cs="Arial"/>
          <w:lang w:val="en"/>
        </w:rPr>
        <w:t xml:space="preserve"> injection, the </w:t>
      </w:r>
      <w:proofErr w:type="spellStart"/>
      <w:r w:rsidRPr="002A1CC4">
        <w:rPr>
          <w:rFonts w:ascii="Arial" w:hAnsi="Arial" w:cs="Arial"/>
          <w:lang w:val="en"/>
        </w:rPr>
        <w:t>cabotegravir</w:t>
      </w:r>
      <w:proofErr w:type="spellEnd"/>
      <w:r w:rsidRPr="002A1CC4">
        <w:rPr>
          <w:rFonts w:ascii="Arial" w:hAnsi="Arial" w:cs="Arial"/>
          <w:lang w:val="en"/>
        </w:rPr>
        <w:t xml:space="preserve"> CSF to plasma </w:t>
      </w:r>
      <w:r w:rsidRPr="002A1CC4">
        <w:rPr>
          <w:rFonts w:ascii="Arial" w:hAnsi="Arial" w:cs="Arial"/>
          <w:lang w:val="en"/>
        </w:rPr>
        <w:lastRenderedPageBreak/>
        <w:t>concentration ratio</w:t>
      </w:r>
      <w:r w:rsidR="002A1CC4" w:rsidRPr="002A1CC4">
        <w:rPr>
          <w:rFonts w:ascii="Arial" w:hAnsi="Arial" w:cs="Arial"/>
          <w:lang w:val="en"/>
        </w:rPr>
        <w:t xml:space="preserve"> </w:t>
      </w:r>
      <w:bookmarkStart w:id="38" w:name="_Hlk41666411"/>
      <w:r w:rsidR="002A1CC4" w:rsidRPr="0090328A">
        <w:rPr>
          <w:rFonts w:ascii="Arial" w:hAnsi="Arial" w:cs="Arial"/>
          <w:szCs w:val="24"/>
        </w:rPr>
        <w:t xml:space="preserve">[median (range)] </w:t>
      </w:r>
      <w:bookmarkEnd w:id="38"/>
      <w:r w:rsidRPr="002A1CC4">
        <w:rPr>
          <w:rFonts w:ascii="Arial" w:hAnsi="Arial" w:cs="Arial"/>
          <w:lang w:val="en"/>
        </w:rPr>
        <w:t xml:space="preserve"> (n=16) was </w:t>
      </w:r>
      <w:r w:rsidR="002A1CC4" w:rsidRPr="002A1CC4">
        <w:rPr>
          <w:rFonts w:ascii="Arial" w:hAnsi="Arial" w:cs="Arial"/>
          <w:lang w:val="en"/>
        </w:rPr>
        <w:t>0.003</w:t>
      </w:r>
      <w:r w:rsidRPr="002A1CC4">
        <w:rPr>
          <w:rFonts w:ascii="Arial" w:hAnsi="Arial" w:cs="Arial"/>
          <w:lang w:val="en"/>
        </w:rPr>
        <w:t xml:space="preserve"> (</w:t>
      </w:r>
      <w:r w:rsidR="002A1CC4" w:rsidRPr="002A1CC4">
        <w:rPr>
          <w:rFonts w:ascii="Arial" w:hAnsi="Arial" w:cs="Arial"/>
          <w:lang w:val="en"/>
        </w:rPr>
        <w:t>0.002 to 0.004</w:t>
      </w:r>
      <w:r w:rsidRPr="002A1CC4">
        <w:rPr>
          <w:rFonts w:ascii="Arial" w:hAnsi="Arial" w:cs="Arial"/>
          <w:lang w:val="en"/>
        </w:rPr>
        <w:t>)</w:t>
      </w:r>
      <w:r w:rsidR="002A1CC4" w:rsidRPr="002A1CC4">
        <w:rPr>
          <w:rFonts w:ascii="Arial" w:hAnsi="Arial" w:cs="Arial"/>
          <w:lang w:val="en"/>
        </w:rPr>
        <w:t>,</w:t>
      </w:r>
      <w:r w:rsidRPr="002A1CC4">
        <w:rPr>
          <w:rFonts w:ascii="Arial" w:hAnsi="Arial" w:cs="Arial"/>
          <w:lang w:val="en"/>
        </w:rPr>
        <w:t xml:space="preserve"> one week following a steady-state </w:t>
      </w:r>
      <w:proofErr w:type="spellStart"/>
      <w:r w:rsidRPr="002A1CC4">
        <w:rPr>
          <w:rFonts w:ascii="Arial" w:hAnsi="Arial" w:cs="Arial"/>
          <w:lang w:val="en"/>
        </w:rPr>
        <w:t>cabotegravir</w:t>
      </w:r>
      <w:proofErr w:type="spellEnd"/>
      <w:r w:rsidRPr="002A1CC4">
        <w:rPr>
          <w:rFonts w:ascii="Arial" w:hAnsi="Arial" w:cs="Arial"/>
          <w:lang w:val="en"/>
        </w:rPr>
        <w:t xml:space="preserve"> (</w:t>
      </w:r>
      <w:r w:rsidR="0090328A">
        <w:rPr>
          <w:rFonts w:ascii="Arial" w:hAnsi="Arial" w:cs="Arial"/>
          <w:lang w:val="en"/>
        </w:rPr>
        <w:t>monthly dose</w:t>
      </w:r>
      <w:r w:rsidRPr="002A1CC4">
        <w:rPr>
          <w:rFonts w:ascii="Arial" w:hAnsi="Arial" w:cs="Arial"/>
          <w:lang w:val="en"/>
        </w:rPr>
        <w:t xml:space="preserve"> or </w:t>
      </w:r>
      <w:r w:rsidR="0090328A">
        <w:rPr>
          <w:rFonts w:ascii="Arial" w:hAnsi="Arial" w:cs="Arial"/>
          <w:color w:val="000000"/>
          <w:szCs w:val="24"/>
        </w:rPr>
        <w:t>every 2 month dose</w:t>
      </w:r>
      <w:r w:rsidRPr="002A1CC4">
        <w:rPr>
          <w:rFonts w:ascii="Arial" w:hAnsi="Arial" w:cs="Arial"/>
          <w:lang w:val="en"/>
        </w:rPr>
        <w:t xml:space="preserve">) injection. Consistent with therapeutic </w:t>
      </w:r>
      <w:proofErr w:type="spellStart"/>
      <w:r w:rsidRPr="002A1CC4">
        <w:rPr>
          <w:rFonts w:ascii="Arial" w:hAnsi="Arial" w:cs="Arial"/>
          <w:lang w:val="en"/>
        </w:rPr>
        <w:t>cabotegravir</w:t>
      </w:r>
      <w:proofErr w:type="spellEnd"/>
      <w:r w:rsidRPr="002A1CC4">
        <w:rPr>
          <w:rFonts w:ascii="Arial" w:hAnsi="Arial" w:cs="Arial"/>
          <w:lang w:val="en"/>
        </w:rPr>
        <w:t xml:space="preserve"> concentrations in the CSF, CSF HIV-1 RNA (n=16) was &lt;50 c/mL in 100% and &lt;2 c/mL in 15/16 (94%) of subjects. At the same time point, plasma HIV-1 RNA (n=18) was &lt;50 c/mL in 100% and &lt;2 c/mL in 12/18 (66.7%) of subjects.</w:t>
      </w:r>
    </w:p>
    <w:bookmarkEnd w:id="37"/>
    <w:p w14:paraId="229A0ABF" w14:textId="77777777" w:rsidR="001A3992" w:rsidRPr="00071855" w:rsidRDefault="001A3992" w:rsidP="00D65787">
      <w:pPr>
        <w:pStyle w:val="Heading3"/>
        <w:ind w:left="0"/>
        <w:rPr>
          <w:rFonts w:ascii="Arial" w:hAnsi="Arial" w:cs="Arial"/>
        </w:rPr>
      </w:pPr>
      <w:r w:rsidRPr="00071855">
        <w:rPr>
          <w:rFonts w:ascii="Arial" w:hAnsi="Arial" w:cs="Arial"/>
        </w:rPr>
        <w:t>Metabolism</w:t>
      </w:r>
    </w:p>
    <w:p w14:paraId="0A9B17B5" w14:textId="2A43DE36" w:rsidR="00373E85" w:rsidRPr="00EC1C0B" w:rsidRDefault="00373E85" w:rsidP="00EC1C0B">
      <w:pPr>
        <w:keepNext/>
        <w:tabs>
          <w:tab w:val="left" w:pos="720"/>
        </w:tabs>
        <w:rPr>
          <w:rFonts w:ascii="Arial" w:hAnsi="Arial" w:cs="Arial"/>
          <w:lang w:val="en"/>
        </w:rPr>
      </w:pPr>
      <w:proofErr w:type="spellStart"/>
      <w:r w:rsidRPr="00EC1C0B">
        <w:rPr>
          <w:rFonts w:ascii="Arial" w:hAnsi="Arial" w:cs="Arial"/>
          <w:lang w:val="en"/>
        </w:rPr>
        <w:t>Cabotegravir</w:t>
      </w:r>
      <w:proofErr w:type="spellEnd"/>
      <w:r w:rsidRPr="00EC1C0B">
        <w:rPr>
          <w:rFonts w:ascii="Arial" w:hAnsi="Arial" w:cs="Arial"/>
          <w:lang w:val="en"/>
        </w:rPr>
        <w:t xml:space="preserve"> is primarily </w:t>
      </w:r>
      <w:proofErr w:type="spellStart"/>
      <w:r w:rsidRPr="00EC1C0B">
        <w:rPr>
          <w:rFonts w:ascii="Arial" w:hAnsi="Arial" w:cs="Arial"/>
          <w:lang w:val="en"/>
        </w:rPr>
        <w:t>metabolised</w:t>
      </w:r>
      <w:proofErr w:type="spellEnd"/>
      <w:r w:rsidRPr="00EC1C0B">
        <w:rPr>
          <w:rFonts w:ascii="Arial" w:hAnsi="Arial" w:cs="Arial"/>
          <w:lang w:val="en"/>
        </w:rPr>
        <w:t xml:space="preserve"> by UGT1A1 with a minor UGT1A9 component. </w:t>
      </w:r>
      <w:proofErr w:type="spellStart"/>
      <w:r w:rsidRPr="00EC1C0B">
        <w:rPr>
          <w:rFonts w:ascii="Arial" w:hAnsi="Arial" w:cs="Arial"/>
          <w:lang w:val="en"/>
        </w:rPr>
        <w:t>Cabotegravir</w:t>
      </w:r>
      <w:proofErr w:type="spellEnd"/>
      <w:r w:rsidRPr="00EC1C0B">
        <w:rPr>
          <w:rFonts w:ascii="Arial" w:hAnsi="Arial" w:cs="Arial"/>
          <w:lang w:val="en"/>
        </w:rPr>
        <w:t xml:space="preserve"> is the predominant circulating compound in plasma, representing &gt;90% of plasma total radiocarbon. Following oral administration in humans, </w:t>
      </w:r>
      <w:proofErr w:type="spellStart"/>
      <w:r w:rsidRPr="00EC1C0B">
        <w:rPr>
          <w:rFonts w:ascii="Arial" w:hAnsi="Arial" w:cs="Arial"/>
          <w:lang w:val="en"/>
        </w:rPr>
        <w:t>cabotegravir</w:t>
      </w:r>
      <w:proofErr w:type="spellEnd"/>
      <w:r w:rsidRPr="00EC1C0B">
        <w:rPr>
          <w:rFonts w:ascii="Arial" w:hAnsi="Arial" w:cs="Arial"/>
          <w:lang w:val="en"/>
        </w:rPr>
        <w:t xml:space="preserve"> is primarily eliminated through metabolism; renal elimination of unchanged </w:t>
      </w:r>
      <w:proofErr w:type="spellStart"/>
      <w:r w:rsidRPr="00EC1C0B">
        <w:rPr>
          <w:rFonts w:ascii="Arial" w:hAnsi="Arial" w:cs="Arial"/>
          <w:lang w:val="en"/>
        </w:rPr>
        <w:t>cabotegravir</w:t>
      </w:r>
      <w:proofErr w:type="spellEnd"/>
      <w:r w:rsidRPr="00EC1C0B">
        <w:rPr>
          <w:rFonts w:ascii="Arial" w:hAnsi="Arial" w:cs="Arial"/>
          <w:lang w:val="en"/>
        </w:rPr>
        <w:t xml:space="preserve"> is low (&lt;1% of the dose). Forty-seven percent of the total oral dose is excreted as unchanged </w:t>
      </w:r>
      <w:proofErr w:type="spellStart"/>
      <w:r w:rsidRPr="00EC1C0B">
        <w:rPr>
          <w:rFonts w:ascii="Arial" w:hAnsi="Arial" w:cs="Arial"/>
          <w:lang w:val="en"/>
        </w:rPr>
        <w:t>cabotegravir</w:t>
      </w:r>
      <w:proofErr w:type="spellEnd"/>
      <w:r w:rsidRPr="00EC1C0B">
        <w:rPr>
          <w:rFonts w:ascii="Arial" w:hAnsi="Arial" w:cs="Arial"/>
          <w:lang w:val="en"/>
        </w:rPr>
        <w:t xml:space="preserve"> in the </w:t>
      </w:r>
      <w:proofErr w:type="spellStart"/>
      <w:r w:rsidRPr="00EC1C0B">
        <w:rPr>
          <w:rFonts w:ascii="Arial" w:hAnsi="Arial" w:cs="Arial"/>
          <w:lang w:val="en"/>
        </w:rPr>
        <w:t>faeces</w:t>
      </w:r>
      <w:proofErr w:type="spellEnd"/>
      <w:r w:rsidRPr="00EC1C0B">
        <w:rPr>
          <w:rFonts w:ascii="Arial" w:hAnsi="Arial" w:cs="Arial"/>
          <w:lang w:val="en"/>
        </w:rPr>
        <w:t xml:space="preserve">. It is unknown if all or part of this is due to unabsorbed drug or biliary excretion of the glucuronide conjugate, which can be further degraded to form the parent compound in the gut lumen. </w:t>
      </w:r>
      <w:proofErr w:type="spellStart"/>
      <w:r w:rsidRPr="00EC1C0B">
        <w:rPr>
          <w:rFonts w:ascii="Arial" w:hAnsi="Arial" w:cs="Arial"/>
          <w:lang w:val="en"/>
        </w:rPr>
        <w:t>Cabotegravir</w:t>
      </w:r>
      <w:proofErr w:type="spellEnd"/>
      <w:r w:rsidRPr="00EC1C0B">
        <w:rPr>
          <w:rFonts w:ascii="Arial" w:hAnsi="Arial" w:cs="Arial"/>
          <w:lang w:val="en"/>
        </w:rPr>
        <w:t xml:space="preserve"> was observed to be present in duodenal bile samples. The glucuronide metabolite was also present in some but not all of the duodenal bile samples. Twenty-seven percent of the total oral dose is excreted in the urine, primarily as a glucuronide metabolite (75% of urine radioactivity, 20% of total dose).</w:t>
      </w:r>
    </w:p>
    <w:p w14:paraId="7AE937D1" w14:textId="77777777" w:rsidR="001A3992" w:rsidRPr="00071855" w:rsidRDefault="001A3992" w:rsidP="00D65787">
      <w:pPr>
        <w:pStyle w:val="Heading3"/>
        <w:ind w:left="0"/>
        <w:rPr>
          <w:rFonts w:ascii="Arial" w:hAnsi="Arial" w:cs="Arial"/>
        </w:rPr>
      </w:pPr>
      <w:r w:rsidRPr="00071855">
        <w:rPr>
          <w:rFonts w:ascii="Arial" w:hAnsi="Arial" w:cs="Arial"/>
        </w:rPr>
        <w:t>Excretion</w:t>
      </w:r>
    </w:p>
    <w:p w14:paraId="46455A5A" w14:textId="75056E69" w:rsidR="00373E85" w:rsidRPr="00EC1C0B" w:rsidRDefault="00373E85" w:rsidP="00EC1C0B">
      <w:pPr>
        <w:keepNext/>
        <w:tabs>
          <w:tab w:val="left" w:pos="720"/>
        </w:tabs>
        <w:rPr>
          <w:rFonts w:ascii="Arial" w:hAnsi="Arial" w:cs="Arial"/>
          <w:lang w:val="en"/>
        </w:rPr>
      </w:pPr>
      <w:proofErr w:type="spellStart"/>
      <w:r w:rsidRPr="00EC1C0B">
        <w:rPr>
          <w:rFonts w:ascii="Arial" w:hAnsi="Arial" w:cs="Arial"/>
          <w:lang w:val="en"/>
        </w:rPr>
        <w:t>Cabotegravir</w:t>
      </w:r>
      <w:proofErr w:type="spellEnd"/>
      <w:r w:rsidRPr="00EC1C0B">
        <w:rPr>
          <w:rFonts w:ascii="Arial" w:hAnsi="Arial" w:cs="Arial"/>
          <w:lang w:val="en"/>
        </w:rPr>
        <w:t xml:space="preserve"> has a mean terminal half-life of 41 h and an apparent clearance (CL/F) of 0.</w:t>
      </w:r>
      <w:r w:rsidR="005F487B">
        <w:rPr>
          <w:rFonts w:ascii="Arial" w:hAnsi="Arial" w:cs="Arial"/>
          <w:lang w:val="en"/>
        </w:rPr>
        <w:t>2</w:t>
      </w:r>
      <w:r w:rsidRPr="00EC1C0B">
        <w:rPr>
          <w:rFonts w:ascii="Arial" w:hAnsi="Arial" w:cs="Arial"/>
          <w:lang w:val="en"/>
        </w:rPr>
        <w:t>1 L per hour</w:t>
      </w:r>
      <w:r w:rsidR="005F487B">
        <w:rPr>
          <w:rFonts w:ascii="Arial" w:hAnsi="Arial" w:cs="Arial"/>
          <w:lang w:val="en"/>
        </w:rPr>
        <w:t xml:space="preserve"> observed following oral administration in healthy subjects</w:t>
      </w:r>
      <w:r w:rsidRPr="00EC1C0B">
        <w:rPr>
          <w:rFonts w:ascii="Arial" w:hAnsi="Arial" w:cs="Arial"/>
          <w:lang w:val="en"/>
        </w:rPr>
        <w:t>.</w:t>
      </w:r>
    </w:p>
    <w:p w14:paraId="06032A22" w14:textId="77777777" w:rsidR="003E7E6F" w:rsidRPr="003E7E6F" w:rsidRDefault="003E7E6F" w:rsidP="003E7E6F">
      <w:pPr>
        <w:pStyle w:val="Heading3"/>
        <w:ind w:left="0"/>
        <w:rPr>
          <w:rFonts w:ascii="Arial" w:hAnsi="Arial" w:cs="Arial"/>
        </w:rPr>
      </w:pPr>
      <w:r w:rsidRPr="003E7E6F">
        <w:rPr>
          <w:rFonts w:ascii="Arial" w:hAnsi="Arial" w:cs="Arial"/>
        </w:rPr>
        <w:t>Polymorphisms</w:t>
      </w:r>
      <w:r w:rsidR="00715262">
        <w:rPr>
          <w:rFonts w:ascii="Arial" w:hAnsi="Arial" w:cs="Arial"/>
        </w:rPr>
        <w:t xml:space="preserve"> in drug metabolising enzymes</w:t>
      </w:r>
    </w:p>
    <w:p w14:paraId="42741E63" w14:textId="57C11A57" w:rsidR="003E7E6F" w:rsidRPr="003E7E6F" w:rsidRDefault="003E7E6F" w:rsidP="003E7E6F">
      <w:pPr>
        <w:keepNext/>
        <w:tabs>
          <w:tab w:val="left" w:pos="720"/>
        </w:tabs>
        <w:rPr>
          <w:rFonts w:ascii="Arial" w:hAnsi="Arial" w:cs="Arial"/>
          <w:lang w:val="en"/>
        </w:rPr>
      </w:pPr>
      <w:r w:rsidRPr="003E7E6F">
        <w:rPr>
          <w:rFonts w:ascii="Arial" w:hAnsi="Arial" w:cs="Arial"/>
          <w:lang w:val="en"/>
        </w:rPr>
        <w:t xml:space="preserve">In a meta-analysis of healthy and HIV-infected subject trials, HIV-infected subjects with UGT1A1 genotypes conferring poor </w:t>
      </w:r>
      <w:proofErr w:type="spellStart"/>
      <w:r w:rsidRPr="003E7E6F">
        <w:rPr>
          <w:rFonts w:ascii="Arial" w:hAnsi="Arial" w:cs="Arial"/>
          <w:lang w:val="en"/>
        </w:rPr>
        <w:t>cabotegravir</w:t>
      </w:r>
      <w:proofErr w:type="spellEnd"/>
      <w:r w:rsidRPr="003E7E6F">
        <w:rPr>
          <w:rFonts w:ascii="Arial" w:hAnsi="Arial" w:cs="Arial"/>
          <w:lang w:val="en"/>
        </w:rPr>
        <w:t xml:space="preserve"> metabolism had a 1.2-fold mean increase in steady-state </w:t>
      </w:r>
      <w:proofErr w:type="spellStart"/>
      <w:r w:rsidRPr="003E7E6F">
        <w:rPr>
          <w:rFonts w:ascii="Arial" w:hAnsi="Arial" w:cs="Arial"/>
          <w:lang w:val="en"/>
        </w:rPr>
        <w:t>cabotegravir</w:t>
      </w:r>
      <w:proofErr w:type="spellEnd"/>
      <w:r w:rsidRPr="003E7E6F">
        <w:rPr>
          <w:rFonts w:ascii="Arial" w:hAnsi="Arial" w:cs="Arial"/>
          <w:lang w:val="en"/>
        </w:rPr>
        <w:t xml:space="preserve"> AUC, </w:t>
      </w:r>
      <w:proofErr w:type="spellStart"/>
      <w:r w:rsidRPr="003E7E6F">
        <w:rPr>
          <w:rFonts w:ascii="Arial" w:hAnsi="Arial" w:cs="Arial"/>
          <w:lang w:val="en"/>
        </w:rPr>
        <w:t>C</w:t>
      </w:r>
      <w:r w:rsidRPr="00FF7220">
        <w:rPr>
          <w:rFonts w:ascii="Arial" w:hAnsi="Arial" w:cs="Arial"/>
          <w:vertAlign w:val="subscript"/>
          <w:lang w:val="en"/>
        </w:rPr>
        <w:t>max</w:t>
      </w:r>
      <w:proofErr w:type="spellEnd"/>
      <w:r w:rsidRPr="003E7E6F">
        <w:rPr>
          <w:rFonts w:ascii="Arial" w:hAnsi="Arial" w:cs="Arial"/>
          <w:lang w:val="en"/>
        </w:rPr>
        <w:t xml:space="preserve">, and </w:t>
      </w:r>
      <w:proofErr w:type="spellStart"/>
      <w:r w:rsidRPr="003E7E6F">
        <w:rPr>
          <w:rFonts w:ascii="Arial" w:hAnsi="Arial" w:cs="Arial"/>
          <w:lang w:val="en"/>
        </w:rPr>
        <w:t>C</w:t>
      </w:r>
      <w:r w:rsidRPr="00FF7220">
        <w:rPr>
          <w:rFonts w:ascii="Arial" w:hAnsi="Arial" w:cs="Arial"/>
          <w:vertAlign w:val="subscript"/>
          <w:lang w:val="en"/>
        </w:rPr>
        <w:t>tau</w:t>
      </w:r>
      <w:proofErr w:type="spellEnd"/>
      <w:r w:rsidRPr="003E7E6F">
        <w:rPr>
          <w:rFonts w:ascii="Arial" w:hAnsi="Arial" w:cs="Arial"/>
          <w:lang w:val="en"/>
        </w:rPr>
        <w:t xml:space="preserve"> following injection administration compared with subjects with genotypes associated with normal metabolism via UGT1A1. No dose adjustment is required in subjects with UGT1A1 polymorphisms</w:t>
      </w:r>
    </w:p>
    <w:p w14:paraId="7BBE931A" w14:textId="77777777" w:rsidR="003E7E6F" w:rsidRPr="003E7E6F" w:rsidRDefault="003E7E6F" w:rsidP="003E7E6F">
      <w:pPr>
        <w:pStyle w:val="Heading3"/>
        <w:ind w:left="0"/>
        <w:rPr>
          <w:rFonts w:ascii="Arial" w:hAnsi="Arial" w:cs="Arial"/>
        </w:rPr>
      </w:pPr>
      <w:bookmarkStart w:id="39" w:name="_Hlk6231521"/>
      <w:r w:rsidRPr="003E7E6F">
        <w:rPr>
          <w:rFonts w:ascii="Arial" w:hAnsi="Arial" w:cs="Arial"/>
        </w:rPr>
        <w:t>Special patient populations</w:t>
      </w:r>
    </w:p>
    <w:p w14:paraId="591E562A" w14:textId="2B1784C8"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Gender</w:t>
      </w:r>
      <w:r w:rsidRPr="003E7E6F">
        <w:rPr>
          <w:rFonts w:ascii="Arial" w:hAnsi="Arial" w:cs="Arial"/>
          <w:u w:val="single"/>
          <w:lang w:val="en"/>
        </w:rPr>
        <w:br/>
      </w:r>
      <w:r w:rsidRPr="003E7E6F">
        <w:rPr>
          <w:rFonts w:ascii="Arial" w:hAnsi="Arial" w:cs="Arial"/>
          <w:lang w:val="en"/>
        </w:rPr>
        <w:t xml:space="preserve">Population pharmacokinetic analyses revealed no clinically relevant effect of gender on the exposure of </w:t>
      </w:r>
      <w:proofErr w:type="spellStart"/>
      <w:r w:rsidRPr="003E7E6F">
        <w:rPr>
          <w:rFonts w:ascii="Arial" w:hAnsi="Arial" w:cs="Arial"/>
          <w:lang w:val="en"/>
        </w:rPr>
        <w:t>cabotegravir</w:t>
      </w:r>
      <w:proofErr w:type="spellEnd"/>
      <w:r w:rsidRPr="003E7E6F">
        <w:rPr>
          <w:rFonts w:ascii="Arial" w:hAnsi="Arial" w:cs="Arial"/>
          <w:lang w:val="en"/>
        </w:rPr>
        <w:t xml:space="preserve">, therefore no dose adjustment is required on the basis of gender. </w:t>
      </w:r>
    </w:p>
    <w:p w14:paraId="7BDC5DB3" w14:textId="77777777" w:rsidR="003E7E6F" w:rsidRPr="003E7E6F" w:rsidRDefault="003E7E6F" w:rsidP="003E7E6F">
      <w:pPr>
        <w:keepNext/>
        <w:tabs>
          <w:tab w:val="left" w:pos="720"/>
        </w:tabs>
        <w:spacing w:after="0"/>
        <w:rPr>
          <w:rFonts w:ascii="Arial" w:hAnsi="Arial" w:cs="Arial"/>
          <w:u w:val="single"/>
          <w:lang w:val="en"/>
        </w:rPr>
      </w:pPr>
      <w:r w:rsidRPr="003E7E6F">
        <w:rPr>
          <w:rFonts w:ascii="Arial" w:hAnsi="Arial" w:cs="Arial"/>
          <w:u w:val="single"/>
          <w:lang w:val="en"/>
        </w:rPr>
        <w:t>Race</w:t>
      </w:r>
    </w:p>
    <w:p w14:paraId="50039111" w14:textId="404DB988" w:rsidR="003E7E6F" w:rsidRPr="003E7E6F" w:rsidRDefault="003E7E6F" w:rsidP="003E7E6F">
      <w:pPr>
        <w:keepNext/>
        <w:tabs>
          <w:tab w:val="left" w:pos="720"/>
        </w:tabs>
        <w:rPr>
          <w:rFonts w:ascii="Arial" w:hAnsi="Arial" w:cs="Arial"/>
          <w:lang w:val="en"/>
        </w:rPr>
      </w:pPr>
      <w:r w:rsidRPr="003E7E6F">
        <w:rPr>
          <w:rFonts w:ascii="Arial" w:hAnsi="Arial" w:cs="Arial"/>
          <w:lang w:val="en"/>
        </w:rPr>
        <w:t xml:space="preserve">Population pharmacokinetic analyses revealed no clinically relevant effect of race on the exposure of </w:t>
      </w:r>
      <w:proofErr w:type="spellStart"/>
      <w:r w:rsidRPr="003E7E6F">
        <w:rPr>
          <w:rFonts w:ascii="Arial" w:hAnsi="Arial" w:cs="Arial"/>
          <w:lang w:val="en"/>
        </w:rPr>
        <w:t>cabotegravir</w:t>
      </w:r>
      <w:proofErr w:type="spellEnd"/>
      <w:r w:rsidRPr="003E7E6F">
        <w:rPr>
          <w:rFonts w:ascii="Arial" w:hAnsi="Arial" w:cs="Arial"/>
          <w:lang w:val="en"/>
        </w:rPr>
        <w:t>, therefore no dosage adjustment is required on the basis of race.</w:t>
      </w:r>
    </w:p>
    <w:p w14:paraId="33E10887" w14:textId="77777777"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 xml:space="preserve">Body Mass Index (BMI) </w:t>
      </w:r>
      <w:r w:rsidRPr="003E7E6F">
        <w:rPr>
          <w:rFonts w:ascii="Arial" w:hAnsi="Arial" w:cs="Arial"/>
          <w:u w:val="single"/>
          <w:lang w:val="en"/>
        </w:rPr>
        <w:br/>
      </w:r>
      <w:r w:rsidRPr="003E7E6F">
        <w:rPr>
          <w:rFonts w:ascii="Arial" w:hAnsi="Arial" w:cs="Arial"/>
          <w:lang w:val="en"/>
        </w:rPr>
        <w:t xml:space="preserve">Population pharmacokinetic analyses revealed no clinically relevant effect of BMI on the exposure of </w:t>
      </w:r>
      <w:proofErr w:type="spellStart"/>
      <w:r w:rsidRPr="003E7E6F">
        <w:rPr>
          <w:rFonts w:ascii="Arial" w:hAnsi="Arial" w:cs="Arial"/>
          <w:lang w:val="en"/>
        </w:rPr>
        <w:t>cabotegravir</w:t>
      </w:r>
      <w:proofErr w:type="spellEnd"/>
      <w:r w:rsidRPr="003E7E6F">
        <w:rPr>
          <w:rFonts w:ascii="Arial" w:hAnsi="Arial" w:cs="Arial"/>
          <w:lang w:val="en"/>
        </w:rPr>
        <w:t>, therefore no dose adjustment is required on the basis of BMI.</w:t>
      </w:r>
    </w:p>
    <w:p w14:paraId="5B10E43B" w14:textId="77777777"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Elderly</w:t>
      </w:r>
      <w:r w:rsidRPr="003E7E6F">
        <w:rPr>
          <w:rFonts w:ascii="Arial" w:hAnsi="Arial" w:cs="Arial"/>
          <w:u w:val="single"/>
          <w:lang w:val="en"/>
        </w:rPr>
        <w:br/>
      </w:r>
      <w:r w:rsidRPr="003E7E6F">
        <w:rPr>
          <w:rFonts w:ascii="Arial" w:hAnsi="Arial" w:cs="Arial"/>
          <w:lang w:val="en"/>
        </w:rPr>
        <w:t xml:space="preserve">Population pharmacokinetic analysis of </w:t>
      </w:r>
      <w:proofErr w:type="spellStart"/>
      <w:r w:rsidRPr="003E7E6F">
        <w:rPr>
          <w:rFonts w:ascii="Arial" w:hAnsi="Arial" w:cs="Arial"/>
          <w:lang w:val="en"/>
        </w:rPr>
        <w:t>cabotegravir</w:t>
      </w:r>
      <w:proofErr w:type="spellEnd"/>
      <w:r w:rsidRPr="003E7E6F">
        <w:rPr>
          <w:rFonts w:ascii="Arial" w:hAnsi="Arial" w:cs="Arial"/>
          <w:lang w:val="en"/>
        </w:rPr>
        <w:t xml:space="preserve"> revealed no clinically relevant effect of </w:t>
      </w:r>
      <w:r w:rsidRPr="003E7E6F">
        <w:rPr>
          <w:rFonts w:ascii="Arial" w:hAnsi="Arial" w:cs="Arial"/>
          <w:lang w:val="en"/>
        </w:rPr>
        <w:lastRenderedPageBreak/>
        <w:t xml:space="preserve">age on </w:t>
      </w:r>
      <w:proofErr w:type="spellStart"/>
      <w:r w:rsidRPr="003E7E6F">
        <w:rPr>
          <w:rFonts w:ascii="Arial" w:hAnsi="Arial" w:cs="Arial"/>
          <w:lang w:val="en"/>
        </w:rPr>
        <w:t>cabotegravir</w:t>
      </w:r>
      <w:proofErr w:type="spellEnd"/>
      <w:r w:rsidRPr="003E7E6F">
        <w:rPr>
          <w:rFonts w:ascii="Arial" w:hAnsi="Arial" w:cs="Arial"/>
          <w:lang w:val="en"/>
        </w:rPr>
        <w:t xml:space="preserve"> exposure. Pharmacokinetic data for </w:t>
      </w:r>
      <w:proofErr w:type="spellStart"/>
      <w:r w:rsidRPr="003E7E6F">
        <w:rPr>
          <w:rFonts w:ascii="Arial" w:hAnsi="Arial" w:cs="Arial"/>
          <w:lang w:val="en"/>
        </w:rPr>
        <w:t>cabotegravir</w:t>
      </w:r>
      <w:proofErr w:type="spellEnd"/>
      <w:r w:rsidRPr="003E7E6F">
        <w:rPr>
          <w:rFonts w:ascii="Arial" w:hAnsi="Arial" w:cs="Arial"/>
          <w:lang w:val="en"/>
        </w:rPr>
        <w:t xml:space="preserve"> in subjects of &gt;65 years old are limited.</w:t>
      </w:r>
    </w:p>
    <w:p w14:paraId="32108653" w14:textId="77777777"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Renal impairment</w:t>
      </w:r>
      <w:r w:rsidRPr="003E7E6F">
        <w:rPr>
          <w:rFonts w:ascii="Arial" w:hAnsi="Arial" w:cs="Arial"/>
          <w:u w:val="single"/>
          <w:lang w:val="en"/>
        </w:rPr>
        <w:br/>
      </w:r>
      <w:r w:rsidRPr="003E7E6F">
        <w:rPr>
          <w:rFonts w:ascii="Arial" w:hAnsi="Arial" w:cs="Arial"/>
          <w:lang w:val="en"/>
        </w:rPr>
        <w:t>No clinically important pharmacokinetic differences between subjects with severe renal impairment (</w:t>
      </w:r>
      <w:proofErr w:type="spellStart"/>
      <w:r w:rsidRPr="003E7E6F">
        <w:rPr>
          <w:rFonts w:ascii="Arial" w:hAnsi="Arial" w:cs="Arial"/>
          <w:lang w:val="en"/>
        </w:rPr>
        <w:t>CrCL</w:t>
      </w:r>
      <w:proofErr w:type="spellEnd"/>
      <w:r w:rsidRPr="003E7E6F">
        <w:rPr>
          <w:rFonts w:ascii="Arial" w:hAnsi="Arial" w:cs="Arial"/>
          <w:lang w:val="en"/>
        </w:rPr>
        <w:t xml:space="preserve"> &lt;30 mL/min and not on dialysis) and matching healthy subjects were observed. No dosage adjustment is necessary for patients with mild to severe renal impairment (not on dialysis). </w:t>
      </w:r>
      <w:proofErr w:type="spellStart"/>
      <w:r w:rsidRPr="003E7E6F">
        <w:rPr>
          <w:rFonts w:ascii="Arial" w:hAnsi="Arial" w:cs="Arial"/>
          <w:lang w:val="en"/>
        </w:rPr>
        <w:t>Cabotegravir</w:t>
      </w:r>
      <w:proofErr w:type="spellEnd"/>
      <w:r w:rsidRPr="003E7E6F">
        <w:rPr>
          <w:rFonts w:ascii="Arial" w:hAnsi="Arial" w:cs="Arial"/>
          <w:lang w:val="en"/>
        </w:rPr>
        <w:t xml:space="preserve"> has not been studied in patients on dialysis.</w:t>
      </w:r>
    </w:p>
    <w:p w14:paraId="3EFDDE4B" w14:textId="77777777" w:rsidR="003E7E6F" w:rsidRPr="003E7E6F" w:rsidRDefault="003E7E6F" w:rsidP="003E7E6F">
      <w:pPr>
        <w:keepNext/>
        <w:tabs>
          <w:tab w:val="left" w:pos="720"/>
        </w:tabs>
        <w:rPr>
          <w:rFonts w:ascii="Arial" w:hAnsi="Arial" w:cs="Arial"/>
          <w:lang w:val="en"/>
        </w:rPr>
      </w:pPr>
      <w:r w:rsidRPr="003E7E6F">
        <w:rPr>
          <w:rFonts w:ascii="Arial" w:hAnsi="Arial" w:cs="Arial"/>
          <w:u w:val="single"/>
          <w:lang w:val="en"/>
        </w:rPr>
        <w:t>Hepatic impairment</w:t>
      </w:r>
      <w:r w:rsidRPr="003E7E6F">
        <w:rPr>
          <w:rFonts w:ascii="Arial" w:hAnsi="Arial" w:cs="Arial"/>
          <w:u w:val="single"/>
          <w:lang w:val="en"/>
        </w:rPr>
        <w:br/>
      </w:r>
      <w:r w:rsidRPr="003E7E6F">
        <w:rPr>
          <w:rFonts w:ascii="Arial" w:hAnsi="Arial" w:cs="Arial"/>
          <w:lang w:val="en"/>
        </w:rPr>
        <w:t xml:space="preserve">No clinically important pharmacokinetic differences between subjects with moderate hepatic impairment and matching healthy subjects were observed. No dosage adjustment is necessary for patients with mild to moderate hepatic impairment (Child-Pugh Score A or B). The effect of severe hepatic impairment (Child-Pugh Score C) on the pharmacokinetics of </w:t>
      </w:r>
      <w:proofErr w:type="spellStart"/>
      <w:r w:rsidRPr="003E7E6F">
        <w:rPr>
          <w:rFonts w:ascii="Arial" w:hAnsi="Arial" w:cs="Arial"/>
          <w:lang w:val="en"/>
        </w:rPr>
        <w:t>cabotegravir</w:t>
      </w:r>
      <w:proofErr w:type="spellEnd"/>
      <w:r w:rsidRPr="003E7E6F">
        <w:rPr>
          <w:rFonts w:ascii="Arial" w:hAnsi="Arial" w:cs="Arial"/>
          <w:lang w:val="en"/>
        </w:rPr>
        <w:t xml:space="preserve"> has not been studied.</w:t>
      </w:r>
    </w:p>
    <w:p w14:paraId="2C45A94E" w14:textId="77777777" w:rsidR="003E7E6F" w:rsidRPr="00410C1C" w:rsidRDefault="003E7E6F" w:rsidP="00373E85">
      <w:pPr>
        <w:keepNext/>
        <w:tabs>
          <w:tab w:val="left" w:pos="720"/>
        </w:tabs>
        <w:rPr>
          <w:rFonts w:ascii="Arial" w:hAnsi="Arial" w:cs="Arial"/>
          <w:lang w:val="en"/>
        </w:rPr>
      </w:pPr>
      <w:r w:rsidRPr="003E7E6F">
        <w:rPr>
          <w:rFonts w:ascii="Arial" w:hAnsi="Arial" w:cs="Arial"/>
          <w:u w:val="single"/>
          <w:lang w:val="en"/>
        </w:rPr>
        <w:t>HBV/HCV Co-infected Patients</w:t>
      </w:r>
      <w:r w:rsidRPr="003E7E6F">
        <w:rPr>
          <w:rFonts w:ascii="Arial" w:hAnsi="Arial" w:cs="Arial"/>
          <w:u w:val="single"/>
          <w:lang w:val="en"/>
        </w:rPr>
        <w:br w:type="textWrapping" w:clear="all"/>
      </w:r>
      <w:r w:rsidRPr="003E7E6F">
        <w:rPr>
          <w:rFonts w:ascii="Arial" w:hAnsi="Arial" w:cs="Arial"/>
          <w:lang w:val="en"/>
        </w:rPr>
        <w:t xml:space="preserve">There are limited data for the use of </w:t>
      </w:r>
      <w:proofErr w:type="spellStart"/>
      <w:r w:rsidRPr="003E7E6F">
        <w:rPr>
          <w:rFonts w:ascii="Arial" w:hAnsi="Arial" w:cs="Arial"/>
          <w:lang w:val="en"/>
        </w:rPr>
        <w:t>cabotegravir</w:t>
      </w:r>
      <w:proofErr w:type="spellEnd"/>
      <w:r w:rsidRPr="003E7E6F">
        <w:rPr>
          <w:rFonts w:ascii="Arial" w:hAnsi="Arial" w:cs="Arial"/>
          <w:lang w:val="en"/>
        </w:rPr>
        <w:t xml:space="preserve"> in subjects with HBV co-infection. There are limited data for the use of </w:t>
      </w:r>
      <w:proofErr w:type="spellStart"/>
      <w:r w:rsidRPr="003E7E6F">
        <w:rPr>
          <w:rFonts w:ascii="Arial" w:hAnsi="Arial" w:cs="Arial"/>
          <w:lang w:val="en"/>
        </w:rPr>
        <w:t>cabotegravir</w:t>
      </w:r>
      <w:proofErr w:type="spellEnd"/>
      <w:r w:rsidRPr="003E7E6F">
        <w:rPr>
          <w:rFonts w:ascii="Arial" w:hAnsi="Arial" w:cs="Arial"/>
          <w:lang w:val="en"/>
        </w:rPr>
        <w:t xml:space="preserve"> in subjects with HCV co-infection.</w:t>
      </w:r>
      <w:bookmarkEnd w:id="39"/>
    </w:p>
    <w:p w14:paraId="077CE8CF" w14:textId="1585421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PRECLINICAL SAFETY DATA</w:t>
      </w:r>
    </w:p>
    <w:p w14:paraId="5DFC0E03" w14:textId="77777777" w:rsidR="001A3992" w:rsidRPr="00071855" w:rsidRDefault="001A3992" w:rsidP="004D62AE">
      <w:pPr>
        <w:pStyle w:val="Heading3"/>
        <w:keepNext w:val="0"/>
        <w:keepLines w:val="0"/>
        <w:ind w:left="0"/>
        <w:rPr>
          <w:rFonts w:ascii="Arial" w:hAnsi="Arial" w:cs="Arial"/>
        </w:rPr>
      </w:pPr>
      <w:r w:rsidRPr="00071855">
        <w:rPr>
          <w:rFonts w:ascii="Arial" w:hAnsi="Arial" w:cs="Arial"/>
        </w:rPr>
        <w:t>Genotoxicity</w:t>
      </w:r>
    </w:p>
    <w:p w14:paraId="29B26780" w14:textId="77777777" w:rsidR="0066460B" w:rsidRDefault="0066460B" w:rsidP="004D62AE">
      <w:pPr>
        <w:tabs>
          <w:tab w:val="left" w:pos="720"/>
        </w:tabs>
        <w:rPr>
          <w:rFonts w:ascii="Arial" w:hAnsi="Arial" w:cs="Arial"/>
          <w:lang w:val="en"/>
        </w:rPr>
      </w:pPr>
      <w:proofErr w:type="spellStart"/>
      <w:r w:rsidRPr="0066460B">
        <w:rPr>
          <w:rFonts w:ascii="Arial" w:hAnsi="Arial" w:cs="Arial"/>
          <w:lang w:val="en"/>
        </w:rPr>
        <w:t>Cabotegravir</w:t>
      </w:r>
      <w:proofErr w:type="spellEnd"/>
      <w:r w:rsidRPr="0066460B">
        <w:rPr>
          <w:rFonts w:ascii="Arial" w:hAnsi="Arial" w:cs="Arial"/>
          <w:lang w:val="en"/>
        </w:rPr>
        <w:t xml:space="preserve"> was not mutagenic or </w:t>
      </w:r>
      <w:proofErr w:type="spellStart"/>
      <w:r w:rsidRPr="0066460B">
        <w:rPr>
          <w:rFonts w:ascii="Arial" w:hAnsi="Arial" w:cs="Arial"/>
          <w:lang w:val="en"/>
        </w:rPr>
        <w:t>clastogenic</w:t>
      </w:r>
      <w:proofErr w:type="spellEnd"/>
      <w:r w:rsidRPr="0066460B">
        <w:rPr>
          <w:rFonts w:ascii="Arial" w:hAnsi="Arial" w:cs="Arial"/>
          <w:lang w:val="en"/>
        </w:rPr>
        <w:t xml:space="preserve"> using </w:t>
      </w:r>
      <w:r w:rsidRPr="008C60CE">
        <w:rPr>
          <w:rFonts w:ascii="Arial" w:hAnsi="Arial" w:cs="Arial"/>
          <w:i/>
          <w:lang w:val="en"/>
        </w:rPr>
        <w:t>in vitro</w:t>
      </w:r>
      <w:r w:rsidRPr="0066460B">
        <w:rPr>
          <w:rFonts w:ascii="Arial" w:hAnsi="Arial" w:cs="Arial"/>
          <w:lang w:val="en"/>
        </w:rPr>
        <w:t xml:space="preserve"> tests in bacteria and cultured mammalian cells, and an </w:t>
      </w:r>
      <w:r w:rsidRPr="008C60CE">
        <w:rPr>
          <w:rFonts w:ascii="Arial" w:hAnsi="Arial" w:cs="Arial"/>
          <w:i/>
          <w:lang w:val="en"/>
        </w:rPr>
        <w:t>in vivo</w:t>
      </w:r>
      <w:r w:rsidRPr="0066460B">
        <w:rPr>
          <w:rFonts w:ascii="Arial" w:hAnsi="Arial" w:cs="Arial"/>
          <w:lang w:val="en"/>
        </w:rPr>
        <w:t xml:space="preserve"> rodent micronucleus assay</w:t>
      </w:r>
      <w:r>
        <w:rPr>
          <w:rFonts w:ascii="Arial" w:hAnsi="Arial" w:cs="Arial"/>
          <w:lang w:val="en"/>
        </w:rPr>
        <w:t>.</w:t>
      </w:r>
      <w:r w:rsidRPr="0066460B">
        <w:rPr>
          <w:rFonts w:ascii="Arial" w:hAnsi="Arial" w:cs="Arial"/>
          <w:lang w:val="en"/>
        </w:rPr>
        <w:t xml:space="preserve"> </w:t>
      </w:r>
    </w:p>
    <w:p w14:paraId="3C396E3F" w14:textId="77777777" w:rsidR="001A3992" w:rsidRDefault="001A3992" w:rsidP="004D62AE">
      <w:pPr>
        <w:pStyle w:val="Heading3"/>
        <w:keepNext w:val="0"/>
        <w:keepLines w:val="0"/>
        <w:ind w:left="0"/>
        <w:rPr>
          <w:rFonts w:ascii="Arial" w:hAnsi="Arial" w:cs="Arial"/>
        </w:rPr>
      </w:pPr>
      <w:r w:rsidRPr="0066460B">
        <w:rPr>
          <w:rFonts w:ascii="Arial" w:hAnsi="Arial" w:cs="Arial"/>
        </w:rPr>
        <w:t>Carcinogenicity</w:t>
      </w:r>
    </w:p>
    <w:p w14:paraId="02472B13" w14:textId="411091FA" w:rsidR="0066460B" w:rsidRPr="0066460B" w:rsidRDefault="0066460B" w:rsidP="004D62AE">
      <w:pPr>
        <w:tabs>
          <w:tab w:val="left" w:pos="720"/>
        </w:tabs>
        <w:rPr>
          <w:rFonts w:ascii="Arial" w:hAnsi="Arial" w:cs="Arial"/>
          <w:lang w:val="en"/>
        </w:rPr>
      </w:pPr>
      <w:proofErr w:type="spellStart"/>
      <w:r w:rsidRPr="0066460B">
        <w:rPr>
          <w:rFonts w:ascii="Arial" w:hAnsi="Arial" w:cs="Arial"/>
          <w:lang w:val="en"/>
        </w:rPr>
        <w:t>Cabotegravir</w:t>
      </w:r>
      <w:proofErr w:type="spellEnd"/>
      <w:r w:rsidRPr="0066460B">
        <w:rPr>
          <w:rFonts w:ascii="Arial" w:hAnsi="Arial" w:cs="Arial"/>
          <w:lang w:val="en"/>
        </w:rPr>
        <w:t xml:space="preserve"> was not carcinogenic in long term </w:t>
      </w:r>
      <w:r w:rsidR="009F2A74">
        <w:rPr>
          <w:rFonts w:ascii="Arial" w:hAnsi="Arial" w:cs="Arial"/>
          <w:lang w:val="en"/>
        </w:rPr>
        <w:t xml:space="preserve">oral </w:t>
      </w:r>
      <w:r w:rsidRPr="0066460B">
        <w:rPr>
          <w:rFonts w:ascii="Arial" w:hAnsi="Arial" w:cs="Arial"/>
          <w:lang w:val="en"/>
        </w:rPr>
        <w:t>studies in the mouse and rat</w:t>
      </w:r>
      <w:r w:rsidR="009F2A74">
        <w:rPr>
          <w:rFonts w:ascii="Arial" w:hAnsi="Arial" w:cs="Arial"/>
          <w:lang w:val="en"/>
        </w:rPr>
        <w:t xml:space="preserve"> </w:t>
      </w:r>
      <w:r w:rsidR="009F2A74" w:rsidRPr="009F2A74">
        <w:rPr>
          <w:rFonts w:ascii="Arial" w:hAnsi="Arial" w:cs="Arial"/>
          <w:lang w:val="en"/>
        </w:rPr>
        <w:t>at doses resulting in up to 7–8 and 26 times, respectively (75 mg/kg/day in male mice and rats and 35 mg/kg/day in female mice), the maximum AUC in patients.</w:t>
      </w:r>
    </w:p>
    <w:p w14:paraId="7F4C369D"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Pharmaceutical particulars</w:t>
      </w:r>
    </w:p>
    <w:p w14:paraId="29D82684"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LIST OF EXCIPIENTS </w:t>
      </w:r>
    </w:p>
    <w:p w14:paraId="13AD3315" w14:textId="77777777" w:rsidR="0066460B" w:rsidRPr="0066460B" w:rsidRDefault="0066460B" w:rsidP="0066460B">
      <w:pPr>
        <w:keepNext/>
        <w:tabs>
          <w:tab w:val="left" w:pos="720"/>
        </w:tabs>
        <w:spacing w:after="0"/>
        <w:rPr>
          <w:rFonts w:ascii="Arial" w:hAnsi="Arial" w:cs="Arial"/>
          <w:lang w:val="en"/>
        </w:rPr>
      </w:pPr>
      <w:bookmarkStart w:id="40" w:name="_Hlk527998038"/>
      <w:r w:rsidRPr="0066460B">
        <w:rPr>
          <w:rFonts w:ascii="Arial" w:hAnsi="Arial" w:cs="Arial"/>
          <w:lang w:val="en"/>
        </w:rPr>
        <w:t xml:space="preserve">Lactose </w:t>
      </w:r>
      <w:r>
        <w:rPr>
          <w:rFonts w:ascii="Arial" w:hAnsi="Arial" w:cs="Arial"/>
          <w:lang w:val="en"/>
        </w:rPr>
        <w:t>m</w:t>
      </w:r>
      <w:r w:rsidRPr="0066460B">
        <w:rPr>
          <w:rFonts w:ascii="Arial" w:hAnsi="Arial" w:cs="Arial"/>
          <w:lang w:val="en"/>
        </w:rPr>
        <w:t>onohydrate</w:t>
      </w:r>
    </w:p>
    <w:p w14:paraId="768D578F" w14:textId="77777777" w:rsidR="0066460B" w:rsidRPr="0066460B" w:rsidRDefault="0066460B" w:rsidP="0066460B">
      <w:pPr>
        <w:keepNext/>
        <w:tabs>
          <w:tab w:val="left" w:pos="720"/>
        </w:tabs>
        <w:spacing w:after="0"/>
        <w:rPr>
          <w:rFonts w:ascii="Arial" w:hAnsi="Arial" w:cs="Arial"/>
          <w:lang w:val="en"/>
        </w:rPr>
      </w:pPr>
      <w:r w:rsidRPr="0066460B">
        <w:rPr>
          <w:rFonts w:ascii="Arial" w:hAnsi="Arial" w:cs="Arial"/>
          <w:lang w:val="en"/>
        </w:rPr>
        <w:t>Microc</w:t>
      </w:r>
      <w:r w:rsidR="00D6566C">
        <w:rPr>
          <w:rFonts w:ascii="Arial" w:hAnsi="Arial" w:cs="Arial"/>
          <w:lang w:val="en"/>
        </w:rPr>
        <w:t>r</w:t>
      </w:r>
      <w:r w:rsidRPr="0066460B">
        <w:rPr>
          <w:rFonts w:ascii="Arial" w:hAnsi="Arial" w:cs="Arial"/>
          <w:lang w:val="en"/>
        </w:rPr>
        <w:t xml:space="preserve">ystalline </w:t>
      </w:r>
      <w:r>
        <w:rPr>
          <w:rFonts w:ascii="Arial" w:hAnsi="Arial" w:cs="Arial"/>
          <w:lang w:val="en"/>
        </w:rPr>
        <w:t>c</w:t>
      </w:r>
      <w:r w:rsidRPr="0066460B">
        <w:rPr>
          <w:rFonts w:ascii="Arial" w:hAnsi="Arial" w:cs="Arial"/>
          <w:lang w:val="en"/>
        </w:rPr>
        <w:t>ellulose</w:t>
      </w:r>
    </w:p>
    <w:p w14:paraId="27650C3A" w14:textId="77777777" w:rsidR="0066460B" w:rsidRDefault="0066460B" w:rsidP="0066460B">
      <w:pPr>
        <w:keepNext/>
        <w:tabs>
          <w:tab w:val="left" w:pos="720"/>
        </w:tabs>
        <w:spacing w:after="0"/>
        <w:rPr>
          <w:rFonts w:ascii="Arial" w:hAnsi="Arial" w:cs="Arial"/>
          <w:lang w:val="en"/>
        </w:rPr>
      </w:pPr>
      <w:proofErr w:type="spellStart"/>
      <w:r w:rsidRPr="0066460B">
        <w:rPr>
          <w:rFonts w:ascii="Arial" w:hAnsi="Arial" w:cs="Arial"/>
          <w:lang w:val="en"/>
        </w:rPr>
        <w:t>Hypromellose</w:t>
      </w:r>
      <w:proofErr w:type="spellEnd"/>
    </w:p>
    <w:p w14:paraId="6A92C989" w14:textId="6E6E54FB" w:rsidR="0066460B" w:rsidRDefault="0066460B" w:rsidP="0066460B">
      <w:pPr>
        <w:keepNext/>
        <w:tabs>
          <w:tab w:val="left" w:pos="720"/>
        </w:tabs>
        <w:spacing w:after="0"/>
        <w:rPr>
          <w:rFonts w:ascii="Arial" w:hAnsi="Arial" w:cs="Arial"/>
          <w:lang w:val="en"/>
        </w:rPr>
      </w:pPr>
      <w:r w:rsidRPr="0066460B">
        <w:rPr>
          <w:rFonts w:ascii="Arial" w:hAnsi="Arial" w:cs="Arial"/>
          <w:lang w:val="en"/>
        </w:rPr>
        <w:t xml:space="preserve">Sodium </w:t>
      </w:r>
      <w:r>
        <w:rPr>
          <w:rFonts w:ascii="Arial" w:hAnsi="Arial" w:cs="Arial"/>
          <w:lang w:val="en"/>
        </w:rPr>
        <w:t>s</w:t>
      </w:r>
      <w:r w:rsidRPr="0066460B">
        <w:rPr>
          <w:rFonts w:ascii="Arial" w:hAnsi="Arial" w:cs="Arial"/>
          <w:lang w:val="en"/>
        </w:rPr>
        <w:t xml:space="preserve">tarch </w:t>
      </w:r>
      <w:proofErr w:type="spellStart"/>
      <w:r>
        <w:rPr>
          <w:rFonts w:ascii="Arial" w:hAnsi="Arial" w:cs="Arial"/>
          <w:lang w:val="en"/>
        </w:rPr>
        <w:t>g</w:t>
      </w:r>
      <w:r w:rsidRPr="0066460B">
        <w:rPr>
          <w:rFonts w:ascii="Arial" w:hAnsi="Arial" w:cs="Arial"/>
          <w:lang w:val="en"/>
        </w:rPr>
        <w:t>lycolate</w:t>
      </w:r>
      <w:proofErr w:type="spellEnd"/>
      <w:r w:rsidR="00B273FD">
        <w:rPr>
          <w:rFonts w:ascii="Arial" w:hAnsi="Arial" w:cs="Arial"/>
          <w:lang w:val="en"/>
        </w:rPr>
        <w:t xml:space="preserve"> Type A</w:t>
      </w:r>
    </w:p>
    <w:p w14:paraId="1C4A7D04" w14:textId="77777777" w:rsidR="0066460B" w:rsidRPr="0066460B" w:rsidRDefault="0066460B" w:rsidP="0066460B">
      <w:pPr>
        <w:keepNext/>
        <w:tabs>
          <w:tab w:val="left" w:pos="720"/>
        </w:tabs>
        <w:spacing w:after="0"/>
        <w:rPr>
          <w:rFonts w:ascii="Arial" w:hAnsi="Arial" w:cs="Arial"/>
          <w:lang w:val="en"/>
        </w:rPr>
      </w:pPr>
      <w:r w:rsidRPr="0066460B">
        <w:rPr>
          <w:rFonts w:ascii="Arial" w:hAnsi="Arial" w:cs="Arial"/>
          <w:lang w:val="en"/>
        </w:rPr>
        <w:t xml:space="preserve">Magnesium </w:t>
      </w:r>
      <w:r>
        <w:rPr>
          <w:rFonts w:ascii="Arial" w:hAnsi="Arial" w:cs="Arial"/>
          <w:lang w:val="en"/>
        </w:rPr>
        <w:t>s</w:t>
      </w:r>
      <w:r w:rsidRPr="0066460B">
        <w:rPr>
          <w:rFonts w:ascii="Arial" w:hAnsi="Arial" w:cs="Arial"/>
          <w:lang w:val="en"/>
        </w:rPr>
        <w:t>tearate</w:t>
      </w:r>
    </w:p>
    <w:p w14:paraId="60A1F6AA" w14:textId="77777777" w:rsidR="0066460B" w:rsidRPr="0066460B" w:rsidRDefault="0066460B" w:rsidP="0066460B">
      <w:pPr>
        <w:keepNext/>
        <w:tabs>
          <w:tab w:val="left" w:pos="720"/>
        </w:tabs>
        <w:spacing w:after="0"/>
        <w:rPr>
          <w:rFonts w:ascii="Arial" w:hAnsi="Arial" w:cs="Arial"/>
          <w:lang w:val="en"/>
        </w:rPr>
      </w:pPr>
      <w:r w:rsidRPr="0066460B">
        <w:rPr>
          <w:rFonts w:ascii="Arial" w:hAnsi="Arial" w:cs="Arial"/>
          <w:lang w:val="en"/>
        </w:rPr>
        <w:t xml:space="preserve">Titanium </w:t>
      </w:r>
      <w:r>
        <w:rPr>
          <w:rFonts w:ascii="Arial" w:hAnsi="Arial" w:cs="Arial"/>
          <w:lang w:val="en"/>
        </w:rPr>
        <w:t>d</w:t>
      </w:r>
      <w:r w:rsidRPr="0066460B">
        <w:rPr>
          <w:rFonts w:ascii="Arial" w:hAnsi="Arial" w:cs="Arial"/>
          <w:lang w:val="en"/>
        </w:rPr>
        <w:t xml:space="preserve">ioxide </w:t>
      </w:r>
    </w:p>
    <w:p w14:paraId="4080C946" w14:textId="49FBC57B" w:rsidR="0066460B" w:rsidRPr="0066460B" w:rsidRDefault="0066460B" w:rsidP="0066460B">
      <w:pPr>
        <w:keepNext/>
        <w:tabs>
          <w:tab w:val="left" w:pos="720"/>
        </w:tabs>
        <w:rPr>
          <w:rFonts w:ascii="Arial" w:hAnsi="Arial" w:cs="Arial"/>
          <w:lang w:val="en"/>
        </w:rPr>
      </w:pPr>
      <w:proofErr w:type="spellStart"/>
      <w:r w:rsidRPr="0066460B">
        <w:rPr>
          <w:rFonts w:ascii="Arial" w:hAnsi="Arial" w:cs="Arial"/>
          <w:lang w:val="en"/>
        </w:rPr>
        <w:t>Macrogol</w:t>
      </w:r>
      <w:bookmarkEnd w:id="40"/>
      <w:proofErr w:type="spellEnd"/>
      <w:r w:rsidR="00407E14">
        <w:rPr>
          <w:rFonts w:ascii="Arial" w:hAnsi="Arial" w:cs="Arial"/>
          <w:lang w:val="en"/>
        </w:rPr>
        <w:t xml:space="preserve"> </w:t>
      </w:r>
    </w:p>
    <w:p w14:paraId="26CAE0FF"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INCOMPATIBILITIES </w:t>
      </w:r>
    </w:p>
    <w:p w14:paraId="502669A8" w14:textId="77777777" w:rsidR="005B2812" w:rsidRPr="002E5A93" w:rsidRDefault="0066460B" w:rsidP="005B2812">
      <w:pPr>
        <w:rPr>
          <w:rFonts w:ascii="Arial" w:hAnsi="Arial" w:cs="Arial"/>
          <w:lang w:val="en"/>
        </w:rPr>
      </w:pPr>
      <w:r w:rsidRPr="002E5A93">
        <w:rPr>
          <w:rFonts w:ascii="Arial" w:hAnsi="Arial" w:cs="Arial"/>
          <w:lang w:val="en"/>
        </w:rPr>
        <w:t>In the absence</w:t>
      </w:r>
      <w:r w:rsidR="002E5A93" w:rsidRPr="002E5A93">
        <w:rPr>
          <w:rFonts w:ascii="Arial" w:hAnsi="Arial" w:cs="Arial"/>
          <w:lang w:val="en"/>
        </w:rPr>
        <w:t xml:space="preserve"> of compatibility studies </w:t>
      </w:r>
      <w:proofErr w:type="spellStart"/>
      <w:r w:rsidR="002E5A93" w:rsidRPr="002E5A93">
        <w:rPr>
          <w:rFonts w:ascii="Arial" w:hAnsi="Arial" w:cs="Arial"/>
          <w:lang w:val="en"/>
        </w:rPr>
        <w:t>cabotegravir</w:t>
      </w:r>
      <w:proofErr w:type="spellEnd"/>
      <w:r w:rsidR="002E5A93" w:rsidRPr="002E5A93">
        <w:rPr>
          <w:rFonts w:ascii="Arial" w:hAnsi="Arial" w:cs="Arial"/>
          <w:lang w:val="en"/>
        </w:rPr>
        <w:t xml:space="preserve"> injection must not be mixed with other medicinal products</w:t>
      </w:r>
    </w:p>
    <w:p w14:paraId="6CB035C2"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SHELF LIFE </w:t>
      </w:r>
    </w:p>
    <w:p w14:paraId="68106976" w14:textId="4E852AA3" w:rsidR="00D92BE3" w:rsidRPr="00D92BE3" w:rsidRDefault="005B2812" w:rsidP="005B2812">
      <w:pPr>
        <w:rPr>
          <w:rFonts w:ascii="Arial" w:hAnsi="Arial" w:cs="Arial"/>
          <w:lang w:val="en"/>
        </w:rPr>
      </w:pPr>
      <w:r w:rsidRPr="00071855">
        <w:rPr>
          <w:rFonts w:ascii="Arial" w:hAnsi="Arial" w:cs="Arial"/>
          <w:lang w:val="en"/>
        </w:rPr>
        <w:lastRenderedPageBreak/>
        <w:t xml:space="preserve">In Australia, information on the shelf life can be found on the public summary of the Australian Register of Therapeutic Goods (ARTG). The expiry date can be found on the packaging. </w:t>
      </w:r>
    </w:p>
    <w:p w14:paraId="58AAB93E"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STORAGE </w:t>
      </w:r>
    </w:p>
    <w:p w14:paraId="28917683" w14:textId="77777777" w:rsidR="003E7E6F" w:rsidRDefault="003E7E6F" w:rsidP="002E5A93">
      <w:pPr>
        <w:rPr>
          <w:rFonts w:ascii="Arial" w:hAnsi="Arial" w:cs="Arial"/>
          <w:lang w:val="en"/>
        </w:rPr>
      </w:pPr>
      <w:r>
        <w:rPr>
          <w:rFonts w:ascii="Arial" w:hAnsi="Arial" w:cs="Arial"/>
          <w:lang w:val="en"/>
        </w:rPr>
        <w:t xml:space="preserve">Store below 30°C. </w:t>
      </w:r>
    </w:p>
    <w:p w14:paraId="6F7C4426" w14:textId="603BFB1D" w:rsidR="002E5A93" w:rsidRDefault="002E5A93" w:rsidP="002E5A93">
      <w:pPr>
        <w:rPr>
          <w:rFonts w:ascii="Arial" w:hAnsi="Arial" w:cs="Arial"/>
          <w:lang w:val="en"/>
        </w:rPr>
      </w:pPr>
      <w:r w:rsidRPr="002E5A93">
        <w:rPr>
          <w:rFonts w:ascii="Arial" w:hAnsi="Arial" w:cs="Arial"/>
          <w:lang w:val="en"/>
        </w:rPr>
        <w:t>Do not freeze.</w:t>
      </w:r>
    </w:p>
    <w:p w14:paraId="0D4F475D"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NATURE AND CONTENTS OF CONTAINER </w:t>
      </w:r>
    </w:p>
    <w:p w14:paraId="5E7FB0E7" w14:textId="77777777" w:rsidR="002E5A93" w:rsidRPr="002E5A93" w:rsidRDefault="002E5A93" w:rsidP="002E5A93">
      <w:pPr>
        <w:rPr>
          <w:rFonts w:ascii="Arial" w:hAnsi="Arial" w:cs="Arial"/>
          <w:lang w:val="en"/>
        </w:rPr>
      </w:pPr>
      <w:r>
        <w:rPr>
          <w:rFonts w:ascii="Arial" w:hAnsi="Arial" w:cs="Arial"/>
          <w:lang w:val="en"/>
        </w:rPr>
        <w:t>VOCABRIA</w:t>
      </w:r>
      <w:r w:rsidRPr="002E5A93">
        <w:rPr>
          <w:rFonts w:ascii="Arial" w:hAnsi="Arial" w:cs="Arial"/>
          <w:lang w:val="en"/>
        </w:rPr>
        <w:t xml:space="preserve"> tablets are supplied in HDPE (high density polyethylene) bottles </w:t>
      </w:r>
      <w:r>
        <w:rPr>
          <w:rFonts w:ascii="Arial" w:hAnsi="Arial" w:cs="Arial"/>
          <w:lang w:val="en"/>
        </w:rPr>
        <w:t xml:space="preserve">with a polypropylene </w:t>
      </w:r>
      <w:r w:rsidRPr="002E5A93">
        <w:rPr>
          <w:rFonts w:ascii="Arial" w:hAnsi="Arial" w:cs="Arial"/>
          <w:lang w:val="en"/>
        </w:rPr>
        <w:t>child-resistant closure</w:t>
      </w:r>
      <w:r w:rsidR="004A7BEA">
        <w:rPr>
          <w:rFonts w:ascii="Arial" w:hAnsi="Arial" w:cs="Arial"/>
          <w:lang w:val="en"/>
        </w:rPr>
        <w:t xml:space="preserve"> and</w:t>
      </w:r>
      <w:r>
        <w:rPr>
          <w:rFonts w:ascii="Arial" w:hAnsi="Arial" w:cs="Arial"/>
          <w:lang w:val="en"/>
        </w:rPr>
        <w:t xml:space="preserve"> a polyethylene faced induction heat seal-liner. Each bottle contains 30 tablets</w:t>
      </w:r>
    </w:p>
    <w:p w14:paraId="4F0C6454" w14:textId="77777777"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DISPOSAL </w:t>
      </w:r>
    </w:p>
    <w:p w14:paraId="0E9D50AE" w14:textId="7C03DE51" w:rsidR="002E5A93" w:rsidRPr="002E5A93" w:rsidRDefault="005B2812" w:rsidP="005B2812">
      <w:pPr>
        <w:rPr>
          <w:rFonts w:ascii="Arial" w:hAnsi="Arial" w:cs="Arial"/>
          <w:lang w:val="en"/>
        </w:rPr>
      </w:pPr>
      <w:r w:rsidRPr="00071855">
        <w:rPr>
          <w:rFonts w:ascii="Arial" w:hAnsi="Arial" w:cs="Arial"/>
          <w:lang w:val="en"/>
        </w:rPr>
        <w:t>In Australia, any unused medicine or waste material should be disposed of by taking to your local pharmacy</w:t>
      </w:r>
      <w:r w:rsidR="002E5A93">
        <w:rPr>
          <w:rFonts w:ascii="Arial" w:hAnsi="Arial" w:cs="Arial"/>
          <w:lang w:val="en"/>
        </w:rPr>
        <w:t>.</w:t>
      </w:r>
    </w:p>
    <w:p w14:paraId="442CD6FD" w14:textId="77777777" w:rsidR="001A3992" w:rsidRDefault="00071855" w:rsidP="00C46F97">
      <w:pPr>
        <w:pStyle w:val="Heading2"/>
        <w:spacing w:before="0" w:after="120"/>
        <w:ind w:left="578" w:hanging="578"/>
        <w:rPr>
          <w:rFonts w:ascii="Arial" w:hAnsi="Arial" w:cs="Arial"/>
          <w:smallCaps w:val="0"/>
        </w:rPr>
      </w:pPr>
      <w:r w:rsidRPr="00071855">
        <w:rPr>
          <w:rFonts w:ascii="Arial" w:hAnsi="Arial" w:cs="Arial"/>
          <w:smallCaps w:val="0"/>
        </w:rPr>
        <w:t>PHYSICOCHEMICAL PROPERTIES</w:t>
      </w:r>
    </w:p>
    <w:p w14:paraId="07406F19" w14:textId="77777777" w:rsidR="00095967" w:rsidRPr="00095967" w:rsidRDefault="00095967" w:rsidP="00C46F97">
      <w:pPr>
        <w:pStyle w:val="Heading3"/>
        <w:keepNext w:val="0"/>
        <w:keepLines w:val="0"/>
        <w:spacing w:before="0" w:after="120"/>
        <w:rPr>
          <w:rFonts w:ascii="Arial" w:hAnsi="Arial" w:cs="Arial"/>
          <w:lang w:val="en-US"/>
        </w:rPr>
      </w:pPr>
      <w:proofErr w:type="spellStart"/>
      <w:r w:rsidRPr="00095967">
        <w:rPr>
          <w:rFonts w:ascii="Arial" w:hAnsi="Arial" w:cs="Arial"/>
          <w:lang w:val="en-US"/>
        </w:rPr>
        <w:t>Cabotegravir</w:t>
      </w:r>
      <w:proofErr w:type="spellEnd"/>
      <w:r w:rsidR="00D92BE3">
        <w:rPr>
          <w:rFonts w:ascii="Arial" w:hAnsi="Arial" w:cs="Arial"/>
          <w:lang w:val="en-US"/>
        </w:rPr>
        <w:t xml:space="preserve"> sodium</w:t>
      </w:r>
    </w:p>
    <w:p w14:paraId="4DF2B4A0" w14:textId="77777777" w:rsidR="00D92BE3" w:rsidRPr="00BC19A4" w:rsidRDefault="00D92BE3" w:rsidP="00C46F9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Chemical name:</w:t>
      </w:r>
      <w:r w:rsidRPr="00142574">
        <w:t xml:space="preserve"> </w:t>
      </w:r>
      <w:r>
        <w:rPr>
          <w:rFonts w:ascii="Arial" w:hAnsi="Arial" w:cs="Arial"/>
          <w:lang w:val="en-CA"/>
        </w:rPr>
        <w:t>s</w:t>
      </w:r>
      <w:r w:rsidRPr="00142574">
        <w:rPr>
          <w:rFonts w:ascii="Arial" w:hAnsi="Arial" w:cs="Arial"/>
          <w:lang w:val="en-CA"/>
        </w:rPr>
        <w:t>odium (3S,11aR)-N-[(2,4-difluorophenyl)methyl]-6-hydroxy-3-methyl-5,7-dioxo-2,3,5,7,11,11a-hexahydro[1,3]oxazolo[3,2-a]pyrido [1,2-d]pyrazine-8-carboxamide</w:t>
      </w:r>
      <w:r w:rsidRPr="00BC19A4">
        <w:rPr>
          <w:rFonts w:ascii="Arial" w:hAnsi="Arial" w:cs="Arial"/>
          <w:lang w:val="en-CA"/>
        </w:rPr>
        <w:t xml:space="preserve">  </w:t>
      </w:r>
    </w:p>
    <w:p w14:paraId="73082DD9" w14:textId="77777777" w:rsidR="00D92BE3" w:rsidRPr="00950732" w:rsidRDefault="00D92BE3" w:rsidP="00D92BE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en-CA"/>
        </w:rPr>
      </w:pPr>
      <w:r w:rsidRPr="00BC19A4">
        <w:rPr>
          <w:rFonts w:ascii="Arial" w:hAnsi="Arial" w:cs="Arial"/>
          <w:lang w:val="en-CA"/>
        </w:rPr>
        <w:t xml:space="preserve">Molecular formula: </w:t>
      </w:r>
      <w:r w:rsidRPr="00950732">
        <w:rPr>
          <w:rFonts w:ascii="Arial" w:hAnsi="Arial" w:cs="Arial"/>
          <w:lang w:val="en-CA"/>
        </w:rPr>
        <w:t>C</w:t>
      </w:r>
      <w:r w:rsidRPr="00950732">
        <w:rPr>
          <w:rFonts w:ascii="Arial" w:hAnsi="Arial" w:cs="Arial"/>
          <w:vertAlign w:val="subscript"/>
          <w:lang w:val="en-CA"/>
        </w:rPr>
        <w:t>19</w:t>
      </w:r>
      <w:r w:rsidRPr="00950732">
        <w:rPr>
          <w:rFonts w:ascii="Arial" w:hAnsi="Arial" w:cs="Arial"/>
          <w:lang w:val="en-CA"/>
        </w:rPr>
        <w:t>H</w:t>
      </w:r>
      <w:r w:rsidRPr="00950732">
        <w:rPr>
          <w:rFonts w:ascii="Arial" w:hAnsi="Arial" w:cs="Arial"/>
          <w:vertAlign w:val="subscript"/>
          <w:lang w:val="en-CA"/>
        </w:rPr>
        <w:t>16</w:t>
      </w:r>
      <w:r w:rsidRPr="00950732">
        <w:rPr>
          <w:rFonts w:ascii="Arial" w:hAnsi="Arial" w:cs="Arial"/>
          <w:lang w:val="en-CA"/>
        </w:rPr>
        <w:t>F</w:t>
      </w:r>
      <w:r w:rsidRPr="00950732">
        <w:rPr>
          <w:rFonts w:ascii="Arial" w:hAnsi="Arial" w:cs="Arial"/>
          <w:vertAlign w:val="subscript"/>
          <w:lang w:val="en-CA"/>
        </w:rPr>
        <w:t>2</w:t>
      </w:r>
      <w:r w:rsidRPr="00950732">
        <w:rPr>
          <w:rFonts w:ascii="Arial" w:hAnsi="Arial" w:cs="Arial"/>
          <w:lang w:val="en-CA"/>
        </w:rPr>
        <w:t>N</w:t>
      </w:r>
      <w:r w:rsidRPr="00950732">
        <w:rPr>
          <w:rFonts w:ascii="Arial" w:hAnsi="Arial" w:cs="Arial"/>
          <w:vertAlign w:val="subscript"/>
          <w:lang w:val="en-CA"/>
        </w:rPr>
        <w:t>3</w:t>
      </w:r>
      <w:r w:rsidRPr="00950732">
        <w:rPr>
          <w:rFonts w:ascii="Arial" w:hAnsi="Arial" w:cs="Arial"/>
          <w:lang w:val="en-CA"/>
        </w:rPr>
        <w:t>NaO</w:t>
      </w:r>
      <w:r w:rsidRPr="00950732">
        <w:rPr>
          <w:rFonts w:ascii="Arial" w:hAnsi="Arial" w:cs="Arial"/>
          <w:vertAlign w:val="subscript"/>
          <w:lang w:val="en-CA"/>
        </w:rPr>
        <w:t>5</w:t>
      </w:r>
    </w:p>
    <w:p w14:paraId="1BD3C1DD" w14:textId="77777777" w:rsidR="00D92BE3" w:rsidRPr="00950732" w:rsidRDefault="00D92BE3" w:rsidP="00D92BE3">
      <w:pPr>
        <w:widowControl w:val="0"/>
        <w:tabs>
          <w:tab w:val="left" w:pos="-1440"/>
          <w:tab w:val="left" w:pos="-720"/>
          <w:tab w:val="left" w:pos="0"/>
          <w:tab w:val="left" w:pos="720"/>
          <w:tab w:val="left" w:pos="1440"/>
          <w:tab w:val="left" w:pos="2160"/>
          <w:tab w:val="left" w:pos="2880"/>
          <w:tab w:val="left" w:pos="3600"/>
          <w:tab w:val="left" w:pos="3870"/>
          <w:tab w:val="left" w:pos="5040"/>
          <w:tab w:val="left" w:pos="5760"/>
          <w:tab w:val="left" w:pos="6480"/>
          <w:tab w:val="left" w:pos="7200"/>
          <w:tab w:val="left" w:pos="7920"/>
          <w:tab w:val="left" w:pos="8640"/>
          <w:tab w:val="left" w:pos="9360"/>
          <w:tab w:val="left" w:pos="10080"/>
        </w:tabs>
        <w:rPr>
          <w:rFonts w:ascii="Arial" w:hAnsi="Arial" w:cs="Arial"/>
          <w:lang w:val="en-CA"/>
        </w:rPr>
      </w:pPr>
      <w:r>
        <w:rPr>
          <w:rFonts w:ascii="Arial" w:hAnsi="Arial" w:cs="Arial"/>
          <w:lang w:val="en-CA"/>
        </w:rPr>
        <w:t>M</w:t>
      </w:r>
      <w:r w:rsidRPr="00BC19A4">
        <w:rPr>
          <w:rFonts w:ascii="Arial" w:hAnsi="Arial" w:cs="Arial"/>
          <w:lang w:val="en-CA"/>
        </w:rPr>
        <w:t xml:space="preserve">olecular </w:t>
      </w:r>
      <w:r>
        <w:rPr>
          <w:rFonts w:ascii="Arial" w:hAnsi="Arial" w:cs="Arial"/>
          <w:lang w:val="en-CA"/>
        </w:rPr>
        <w:t xml:space="preserve">weight: </w:t>
      </w:r>
      <w:r w:rsidRPr="00950732">
        <w:rPr>
          <w:rFonts w:ascii="Arial" w:hAnsi="Arial" w:cs="Arial"/>
          <w:lang w:val="en-CA"/>
        </w:rPr>
        <w:t>427.33 g/</w:t>
      </w:r>
      <w:proofErr w:type="spellStart"/>
      <w:r w:rsidRPr="00950732">
        <w:rPr>
          <w:rFonts w:ascii="Arial" w:hAnsi="Arial" w:cs="Arial"/>
          <w:lang w:val="en-CA"/>
        </w:rPr>
        <w:t>mol</w:t>
      </w:r>
      <w:proofErr w:type="spellEnd"/>
    </w:p>
    <w:p w14:paraId="25C101A5" w14:textId="0D4A057F" w:rsidR="001A3992" w:rsidRPr="00095967" w:rsidRDefault="001A3992" w:rsidP="008133F9">
      <w:pPr>
        <w:rPr>
          <w:rFonts w:ascii="Arial" w:hAnsi="Arial" w:cs="Arial"/>
          <w:lang w:val="en"/>
        </w:rPr>
      </w:pPr>
      <w:bookmarkStart w:id="41" w:name="_GoBack"/>
      <w:bookmarkEnd w:id="41"/>
      <w:r w:rsidRPr="00095967">
        <w:rPr>
          <w:rFonts w:ascii="Arial" w:hAnsi="Arial" w:cs="Arial"/>
          <w:lang w:val="en"/>
        </w:rPr>
        <w:t>Chemical structure</w:t>
      </w:r>
    </w:p>
    <w:p w14:paraId="7868DFEB" w14:textId="77777777" w:rsidR="00071855" w:rsidRPr="00095967" w:rsidRDefault="00095967" w:rsidP="00071855">
      <w:pPr>
        <w:rPr>
          <w:rFonts w:ascii="Arial" w:hAnsi="Arial" w:cs="Arial"/>
          <w:lang w:val="en"/>
        </w:rPr>
      </w:pPr>
      <w:r w:rsidRPr="00F94D45">
        <w:rPr>
          <w:noProof/>
          <w:lang w:eastAsia="en-AU"/>
        </w:rPr>
        <w:drawing>
          <wp:inline distT="0" distB="0" distL="0" distR="0" wp14:anchorId="6215057B" wp14:editId="5B801E2B">
            <wp:extent cx="230505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800100"/>
                    </a:xfrm>
                    <a:prstGeom prst="rect">
                      <a:avLst/>
                    </a:prstGeom>
                    <a:noFill/>
                    <a:ln>
                      <a:noFill/>
                    </a:ln>
                  </pic:spPr>
                </pic:pic>
              </a:graphicData>
            </a:graphic>
          </wp:inline>
        </w:drawing>
      </w:r>
    </w:p>
    <w:p w14:paraId="6A63376D" w14:textId="77777777" w:rsidR="001A3992" w:rsidRDefault="001A3992" w:rsidP="00095967">
      <w:pPr>
        <w:rPr>
          <w:rFonts w:ascii="Arial" w:hAnsi="Arial" w:cs="Arial"/>
          <w:lang w:val="en"/>
        </w:rPr>
      </w:pPr>
      <w:r w:rsidRPr="00095967">
        <w:rPr>
          <w:rFonts w:ascii="Arial" w:hAnsi="Arial" w:cs="Arial"/>
          <w:lang w:val="en"/>
        </w:rPr>
        <w:t>CAS number</w:t>
      </w:r>
      <w:r w:rsidR="00095967">
        <w:rPr>
          <w:rFonts w:ascii="Arial" w:hAnsi="Arial" w:cs="Arial"/>
          <w:lang w:val="en"/>
        </w:rPr>
        <w:t xml:space="preserve">: </w:t>
      </w:r>
      <w:r w:rsidR="003E7E6F">
        <w:rPr>
          <w:rFonts w:ascii="Arial" w:hAnsi="Arial" w:cs="Arial"/>
          <w:lang w:val="en"/>
        </w:rPr>
        <w:t>1051375-13-3</w:t>
      </w:r>
    </w:p>
    <w:p w14:paraId="7FEBB751" w14:textId="77777777" w:rsidR="001A3992" w:rsidRPr="00071855" w:rsidRDefault="001A3992" w:rsidP="001A3992">
      <w:pPr>
        <w:pStyle w:val="Heading1"/>
        <w:spacing w:before="0" w:after="120"/>
        <w:rPr>
          <w:rFonts w:ascii="Arial" w:hAnsi="Arial" w:cs="Arial"/>
          <w:lang w:val="en-US"/>
        </w:rPr>
      </w:pPr>
      <w:r w:rsidRPr="00071855">
        <w:rPr>
          <w:rFonts w:ascii="Arial" w:hAnsi="Arial" w:cs="Arial"/>
          <w:lang w:val="en-US"/>
        </w:rPr>
        <w:t>Medicine schedule (Poisons Standard)</w:t>
      </w:r>
    </w:p>
    <w:p w14:paraId="10E48E99" w14:textId="77777777"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r>
        <w:rPr>
          <w:rFonts w:ascii="Arial" w:hAnsi="Arial" w:cs="Arial"/>
          <w:color w:val="000000"/>
        </w:rPr>
        <w:t xml:space="preserve"> </w:t>
      </w:r>
    </w:p>
    <w:p w14:paraId="2B3F33EA" w14:textId="77777777" w:rsidR="00285173" w:rsidRPr="00071855" w:rsidRDefault="001A3992" w:rsidP="00285173">
      <w:pPr>
        <w:pStyle w:val="Heading1"/>
        <w:spacing w:before="0" w:after="120"/>
        <w:rPr>
          <w:rFonts w:ascii="Arial" w:hAnsi="Arial" w:cs="Arial"/>
          <w:lang w:val="en-US"/>
        </w:rPr>
      </w:pPr>
      <w:r w:rsidRPr="00071855">
        <w:rPr>
          <w:rFonts w:ascii="Arial" w:hAnsi="Arial" w:cs="Arial"/>
          <w:lang w:val="en-US"/>
        </w:rPr>
        <w:t>Sponsor</w:t>
      </w:r>
      <w:r w:rsidR="00285173" w:rsidRPr="00071855">
        <w:rPr>
          <w:rFonts w:ascii="Arial" w:hAnsi="Arial" w:cs="Arial"/>
          <w:lang w:val="en-US"/>
        </w:rPr>
        <w:t xml:space="preserve"> </w:t>
      </w:r>
    </w:p>
    <w:p w14:paraId="32B7518E" w14:textId="77777777" w:rsidR="00622066" w:rsidRPr="008F4ADC" w:rsidRDefault="00622066" w:rsidP="00622066">
      <w:pPr>
        <w:spacing w:after="120" w:line="240" w:lineRule="auto"/>
        <w:jc w:val="both"/>
        <w:rPr>
          <w:rFonts w:ascii="Arial" w:hAnsi="Arial" w:cs="Arial"/>
          <w:color w:val="000000"/>
        </w:rPr>
      </w:pPr>
      <w:proofErr w:type="spellStart"/>
      <w:r w:rsidRPr="008F4ADC">
        <w:rPr>
          <w:rFonts w:ascii="Arial" w:hAnsi="Arial" w:cs="Arial"/>
          <w:color w:val="000000"/>
        </w:rPr>
        <w:t>ViiV</w:t>
      </w:r>
      <w:proofErr w:type="spellEnd"/>
      <w:r w:rsidRPr="008F4ADC">
        <w:rPr>
          <w:rFonts w:ascii="Arial" w:hAnsi="Arial" w:cs="Arial"/>
          <w:color w:val="000000"/>
        </w:rPr>
        <w:t xml:space="preserve"> Healthcare Pty Ltd</w:t>
      </w:r>
    </w:p>
    <w:p w14:paraId="3DC07B3E" w14:textId="77777777" w:rsidR="00622066" w:rsidRPr="008F4ADC" w:rsidRDefault="00622066" w:rsidP="00622066">
      <w:pPr>
        <w:spacing w:after="120" w:line="240" w:lineRule="auto"/>
        <w:jc w:val="both"/>
        <w:rPr>
          <w:rFonts w:ascii="Arial" w:hAnsi="Arial" w:cs="Arial"/>
          <w:color w:val="000000"/>
        </w:rPr>
      </w:pPr>
      <w:r w:rsidRPr="008F4ADC">
        <w:rPr>
          <w:rFonts w:ascii="Arial" w:hAnsi="Arial" w:cs="Arial"/>
          <w:color w:val="000000"/>
        </w:rPr>
        <w:t xml:space="preserve">Level 4, 436 Johnston Street, </w:t>
      </w:r>
    </w:p>
    <w:p w14:paraId="1C44DE61" w14:textId="77777777" w:rsidR="00622066" w:rsidRPr="008F4ADC" w:rsidRDefault="00622066" w:rsidP="00622066">
      <w:pPr>
        <w:spacing w:after="240"/>
        <w:jc w:val="both"/>
        <w:rPr>
          <w:rFonts w:ascii="Arial" w:hAnsi="Arial" w:cs="Arial"/>
          <w:color w:val="000000"/>
        </w:rPr>
      </w:pPr>
      <w:r w:rsidRPr="008F4ADC">
        <w:rPr>
          <w:rFonts w:ascii="Arial" w:hAnsi="Arial" w:cs="Arial"/>
          <w:color w:val="000000"/>
        </w:rPr>
        <w:t>Abbotsford, Victoria, 3067</w:t>
      </w:r>
    </w:p>
    <w:p w14:paraId="1913F573"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lastRenderedPageBreak/>
        <w:t xml:space="preserve">Date of first approval  </w:t>
      </w:r>
    </w:p>
    <w:p w14:paraId="2DBBF7D3" w14:textId="2838A20E" w:rsidR="00071855" w:rsidRPr="00095967" w:rsidRDefault="000B4AE3" w:rsidP="00095967">
      <w:pPr>
        <w:spacing w:after="240"/>
        <w:jc w:val="both"/>
        <w:rPr>
          <w:rFonts w:ascii="Arial" w:hAnsi="Arial" w:cs="Arial"/>
          <w:color w:val="000000"/>
        </w:rPr>
      </w:pPr>
      <w:r>
        <w:rPr>
          <w:rFonts w:ascii="Arial" w:hAnsi="Arial" w:cs="Arial"/>
          <w:color w:val="000000"/>
        </w:rPr>
        <w:t>16 February 2021</w:t>
      </w:r>
    </w:p>
    <w:p w14:paraId="1F1F123A" w14:textId="77777777" w:rsidR="00285173" w:rsidRPr="00071855" w:rsidRDefault="00285173" w:rsidP="00285173">
      <w:pPr>
        <w:pStyle w:val="Heading1"/>
        <w:spacing w:before="0" w:after="120"/>
        <w:rPr>
          <w:rFonts w:ascii="Arial" w:hAnsi="Arial" w:cs="Arial"/>
          <w:lang w:val="en-US"/>
        </w:rPr>
      </w:pPr>
      <w:r w:rsidRPr="00071855">
        <w:rPr>
          <w:rFonts w:ascii="Arial" w:hAnsi="Arial" w:cs="Arial"/>
          <w:lang w:val="en-US"/>
        </w:rPr>
        <w:t xml:space="preserve">Date of revision </w:t>
      </w:r>
    </w:p>
    <w:p w14:paraId="060AF3DF" w14:textId="77777777" w:rsidR="006E595D" w:rsidRPr="00095967" w:rsidRDefault="00095967" w:rsidP="00095967">
      <w:pPr>
        <w:spacing w:after="240"/>
        <w:jc w:val="both"/>
        <w:rPr>
          <w:rFonts w:ascii="Arial" w:hAnsi="Arial" w:cs="Arial"/>
          <w:color w:val="000000"/>
        </w:rPr>
      </w:pPr>
      <w:r>
        <w:rPr>
          <w:rFonts w:ascii="Arial" w:hAnsi="Arial" w:cs="Arial"/>
          <w:color w:val="000000"/>
        </w:rPr>
        <w:t>Not applicable</w:t>
      </w:r>
    </w:p>
    <w:p w14:paraId="72829308" w14:textId="77777777" w:rsidR="006E595D" w:rsidRPr="00095967" w:rsidRDefault="006E595D" w:rsidP="006E595D">
      <w:pPr>
        <w:spacing w:after="240"/>
        <w:jc w:val="both"/>
        <w:rPr>
          <w:rFonts w:ascii="Arial" w:hAnsi="Arial" w:cs="Arial"/>
        </w:rPr>
      </w:pPr>
      <w:r w:rsidRPr="00095967">
        <w:rPr>
          <w:rFonts w:ascii="Arial" w:hAnsi="Arial" w:cs="Arial"/>
        </w:rPr>
        <w:t>Version 1.0</w:t>
      </w:r>
    </w:p>
    <w:p w14:paraId="164F82BC" w14:textId="77777777" w:rsidR="006E595D" w:rsidRPr="00E116C7" w:rsidRDefault="00D6566C" w:rsidP="006E595D">
      <w:pPr>
        <w:spacing w:after="240"/>
        <w:jc w:val="both"/>
        <w:rPr>
          <w:rFonts w:ascii="Arial" w:hAnsi="Arial" w:cs="Arial"/>
        </w:rPr>
      </w:pPr>
      <w:r w:rsidRPr="00E116C7">
        <w:rPr>
          <w:rFonts w:ascii="Arial" w:hAnsi="Arial" w:cs="Arial"/>
        </w:rPr>
        <w:t>Trademarks</w:t>
      </w:r>
      <w:r w:rsidR="006E595D" w:rsidRPr="00E116C7">
        <w:rPr>
          <w:rFonts w:ascii="Arial" w:hAnsi="Arial" w:cs="Arial"/>
        </w:rPr>
        <w:t xml:space="preserve"> are owned by or licensed to the </w:t>
      </w:r>
      <w:proofErr w:type="spellStart"/>
      <w:r w:rsidR="006E595D">
        <w:rPr>
          <w:rFonts w:ascii="Arial" w:hAnsi="Arial" w:cs="Arial"/>
        </w:rPr>
        <w:t>ViiV</w:t>
      </w:r>
      <w:proofErr w:type="spellEnd"/>
      <w:r w:rsidR="00EC1110">
        <w:rPr>
          <w:rFonts w:ascii="Arial" w:hAnsi="Arial" w:cs="Arial"/>
        </w:rPr>
        <w:t xml:space="preserve"> Healthcare</w:t>
      </w:r>
      <w:r w:rsidR="006E595D" w:rsidRPr="00E116C7">
        <w:rPr>
          <w:rFonts w:ascii="Arial" w:hAnsi="Arial" w:cs="Arial"/>
        </w:rPr>
        <w:t xml:space="preserve"> group of companies.</w:t>
      </w:r>
    </w:p>
    <w:p w14:paraId="03571E46" w14:textId="56C82F9B" w:rsidR="006E595D" w:rsidRDefault="006E595D" w:rsidP="00622066">
      <w:pPr>
        <w:spacing w:after="240"/>
        <w:jc w:val="both"/>
        <w:rPr>
          <w:rFonts w:ascii="Arial" w:hAnsi="Arial" w:cs="Arial"/>
        </w:rPr>
      </w:pPr>
      <w:r w:rsidRPr="00095967">
        <w:rPr>
          <w:rFonts w:ascii="Arial" w:hAnsi="Arial" w:cs="Arial"/>
        </w:rPr>
        <w:t xml:space="preserve">© </w:t>
      </w:r>
      <w:r w:rsidR="00095967" w:rsidRPr="00095967">
        <w:rPr>
          <w:rFonts w:ascii="Arial" w:hAnsi="Arial" w:cs="Arial"/>
        </w:rPr>
        <w:t>20</w:t>
      </w:r>
      <w:r w:rsidR="004A7006">
        <w:rPr>
          <w:rFonts w:ascii="Arial" w:hAnsi="Arial" w:cs="Arial"/>
        </w:rPr>
        <w:t>2</w:t>
      </w:r>
      <w:r w:rsidR="00E9744B">
        <w:rPr>
          <w:rFonts w:ascii="Arial" w:hAnsi="Arial" w:cs="Arial"/>
        </w:rPr>
        <w:t>1</w:t>
      </w:r>
      <w:r w:rsidR="00095967" w:rsidRPr="00095967">
        <w:rPr>
          <w:rFonts w:ascii="Arial" w:hAnsi="Arial" w:cs="Arial"/>
        </w:rPr>
        <w:t xml:space="preserve"> </w:t>
      </w:r>
      <w:proofErr w:type="spellStart"/>
      <w:r w:rsidRPr="00095967">
        <w:rPr>
          <w:rFonts w:ascii="Arial" w:hAnsi="Arial" w:cs="Arial"/>
        </w:rPr>
        <w:t>ViiV</w:t>
      </w:r>
      <w:proofErr w:type="spellEnd"/>
      <w:r w:rsidR="00EC1110" w:rsidRPr="00095967">
        <w:rPr>
          <w:rFonts w:ascii="Arial" w:hAnsi="Arial" w:cs="Arial"/>
        </w:rPr>
        <w:t xml:space="preserve"> Healthcare</w:t>
      </w:r>
      <w:r w:rsidRPr="00095967">
        <w:rPr>
          <w:rFonts w:ascii="Arial" w:hAnsi="Arial" w:cs="Arial"/>
        </w:rPr>
        <w:t xml:space="preserve">  group of companies or its licensor.</w:t>
      </w:r>
    </w:p>
    <w:p w14:paraId="74B01955" w14:textId="77777777" w:rsidR="003E7E6F" w:rsidRPr="00095967" w:rsidRDefault="003E7E6F" w:rsidP="00622066">
      <w:pPr>
        <w:spacing w:after="240"/>
        <w:jc w:val="both"/>
        <w:rPr>
          <w:rFonts w:ascii="Arial" w:hAnsi="Arial" w:cs="Arial"/>
        </w:rPr>
      </w:pPr>
    </w:p>
    <w:sectPr w:rsidR="003E7E6F" w:rsidRPr="00095967" w:rsidSect="004D62A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E387" w14:textId="77777777" w:rsidR="00676B36" w:rsidRDefault="00676B36" w:rsidP="001A3992">
      <w:pPr>
        <w:spacing w:after="0" w:line="240" w:lineRule="auto"/>
      </w:pPr>
      <w:r>
        <w:separator/>
      </w:r>
    </w:p>
  </w:endnote>
  <w:endnote w:type="continuationSeparator" w:id="0">
    <w:p w14:paraId="5B460555" w14:textId="77777777" w:rsidR="00676B36" w:rsidRDefault="00676B36"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CEB3" w14:textId="77777777" w:rsidR="00676B36" w:rsidRDefault="00676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rFonts w:ascii="Arial" w:hAnsi="Arial" w:cs="Arial"/>
        <w:noProof/>
        <w:sz w:val="20"/>
        <w:szCs w:val="20"/>
      </w:rPr>
    </w:sdtEndPr>
    <w:sdtContent>
      <w:p w14:paraId="573A65D1" w14:textId="2053BC7A" w:rsidR="00676B36" w:rsidRPr="008F4ADC" w:rsidRDefault="00676B36" w:rsidP="00B02CA3">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8133F9">
          <w:rPr>
            <w:rFonts w:ascii="Arial" w:hAnsi="Arial" w:cs="Arial"/>
            <w:noProof/>
            <w:sz w:val="20"/>
            <w:szCs w:val="20"/>
          </w:rPr>
          <w:t>24</w:t>
        </w:r>
        <w:r w:rsidRPr="008F4ADC">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3FAB" w14:textId="77777777" w:rsidR="00676B36" w:rsidRDefault="00676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A5A9F" w14:textId="77777777" w:rsidR="00676B36" w:rsidRDefault="00676B36" w:rsidP="001A3992">
      <w:pPr>
        <w:spacing w:after="0" w:line="240" w:lineRule="auto"/>
      </w:pPr>
      <w:r>
        <w:separator/>
      </w:r>
    </w:p>
  </w:footnote>
  <w:footnote w:type="continuationSeparator" w:id="0">
    <w:p w14:paraId="3B76E63D" w14:textId="77777777" w:rsidR="00676B36" w:rsidRDefault="00676B36"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497A" w14:textId="77777777" w:rsidR="00676B36" w:rsidRDefault="00676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676B36" w:rsidRPr="000B2145" w14:paraId="155983DB" w14:textId="77777777" w:rsidTr="00D551A4">
      <w:trPr>
        <w:trHeight w:val="1012"/>
      </w:trPr>
      <w:tc>
        <w:tcPr>
          <w:tcW w:w="8897" w:type="dxa"/>
          <w:shd w:val="clear" w:color="auto" w:fill="E4F2E0"/>
        </w:tcPr>
        <w:p w14:paraId="0E6A0BF6" w14:textId="77777777" w:rsidR="00676B36" w:rsidRPr="000B2145" w:rsidRDefault="00676B36" w:rsidP="00D551A4">
          <w:pPr>
            <w:pStyle w:val="Footer"/>
            <w:rPr>
              <w:b/>
              <w:sz w:val="18"/>
              <w:szCs w:val="18"/>
            </w:rPr>
          </w:pPr>
          <w:r w:rsidRPr="00EA0C3C">
            <w:rPr>
              <w:b/>
              <w:sz w:val="18"/>
              <w:szCs w:val="18"/>
            </w:rPr>
            <w:t>Attachment 1:</w:t>
          </w:r>
          <w:r>
            <w:t xml:space="preserve"> </w:t>
          </w:r>
          <w:r w:rsidRPr="00263B58">
            <w:rPr>
              <w:b/>
            </w:rPr>
            <w:t xml:space="preserve">AusPAR - </w:t>
          </w:r>
          <w:proofErr w:type="spellStart"/>
          <w:r w:rsidRPr="00263B58">
            <w:rPr>
              <w:b/>
            </w:rPr>
            <w:t>Vocabria</w:t>
          </w:r>
          <w:proofErr w:type="spellEnd"/>
          <w:r w:rsidRPr="00263B58">
            <w:rPr>
              <w:b/>
            </w:rPr>
            <w:t xml:space="preserve"> and </w:t>
          </w:r>
          <w:proofErr w:type="spellStart"/>
          <w:r w:rsidRPr="00263B58">
            <w:rPr>
              <w:b/>
            </w:rPr>
            <w:t>Cabenuva</w:t>
          </w:r>
          <w:proofErr w:type="spellEnd"/>
          <w:r w:rsidRPr="00263B58">
            <w:rPr>
              <w:b/>
            </w:rPr>
            <w:t xml:space="preserve"> - </w:t>
          </w:r>
          <w:proofErr w:type="spellStart"/>
          <w:r w:rsidRPr="00263B58">
            <w:rPr>
              <w:b/>
            </w:rPr>
            <w:t>cabotegravir</w:t>
          </w:r>
          <w:proofErr w:type="spellEnd"/>
          <w:r w:rsidRPr="00263B58">
            <w:rPr>
              <w:b/>
            </w:rPr>
            <w:t xml:space="preserve"> and </w:t>
          </w:r>
          <w:proofErr w:type="spellStart"/>
          <w:r w:rsidRPr="00263B58">
            <w:rPr>
              <w:b/>
            </w:rPr>
            <w:t>cabotegravir</w:t>
          </w:r>
          <w:proofErr w:type="spellEnd"/>
          <w:r w:rsidRPr="00263B58">
            <w:rPr>
              <w:b/>
            </w:rPr>
            <w:t>/</w:t>
          </w:r>
          <w:proofErr w:type="spellStart"/>
          <w:r w:rsidRPr="00263B58">
            <w:rPr>
              <w:b/>
            </w:rPr>
            <w:t>rilpivirine</w:t>
          </w:r>
          <w:proofErr w:type="spellEnd"/>
          <w:r w:rsidRPr="00263B58">
            <w:rPr>
              <w:b/>
            </w:rPr>
            <w:t xml:space="preserve"> - </w:t>
          </w:r>
          <w:proofErr w:type="spellStart"/>
          <w:r w:rsidRPr="00263B58">
            <w:rPr>
              <w:b/>
            </w:rPr>
            <w:t>ViiV</w:t>
          </w:r>
          <w:proofErr w:type="spellEnd"/>
          <w:r w:rsidRPr="00263B58">
            <w:rPr>
              <w:b/>
            </w:rPr>
            <w:t xml:space="preserve"> Healthcare Pty Ltd - PM-2019-04281-1-2 and PM-2019-04280-1-2</w:t>
          </w:r>
          <w:r>
            <w:rPr>
              <w:b/>
            </w:rPr>
            <w:t xml:space="preserve"> </w:t>
          </w:r>
          <w:r w:rsidRPr="00263B58">
            <w:rPr>
              <w:b/>
            </w:rPr>
            <w:t>FINAL 3 May 2021</w:t>
          </w:r>
          <w:r w:rsidRPr="00AF799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6F18C5C6" w14:textId="77777777" w:rsidR="00676B36" w:rsidRDefault="00676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0E0C" w14:textId="77777777" w:rsidR="00676B36" w:rsidRDefault="00676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8531637"/>
    <w:multiLevelType w:val="hybridMultilevel"/>
    <w:tmpl w:val="D9DC6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076927"/>
    <w:multiLevelType w:val="hybridMultilevel"/>
    <w:tmpl w:val="8A44E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411B6"/>
    <w:multiLevelType w:val="hybridMultilevel"/>
    <w:tmpl w:val="459CD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5935D4"/>
    <w:multiLevelType w:val="hybridMultilevel"/>
    <w:tmpl w:val="E910CF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9DB3964"/>
    <w:multiLevelType w:val="hybridMultilevel"/>
    <w:tmpl w:val="DAA2F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213EE"/>
    <w:multiLevelType w:val="hybridMultilevel"/>
    <w:tmpl w:val="ABAC9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57B3B10"/>
    <w:multiLevelType w:val="hybridMultilevel"/>
    <w:tmpl w:val="1ABE5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2"/>
  </w:num>
  <w:num w:numId="28">
    <w:abstractNumId w:val="14"/>
  </w:num>
  <w:num w:numId="29">
    <w:abstractNumId w:val="9"/>
  </w:num>
  <w:num w:numId="30">
    <w:abstractNumId w:val="16"/>
  </w:num>
  <w:num w:numId="3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015B4"/>
    <w:rsid w:val="00003780"/>
    <w:rsid w:val="00012BD4"/>
    <w:rsid w:val="00041420"/>
    <w:rsid w:val="00042302"/>
    <w:rsid w:val="00071855"/>
    <w:rsid w:val="00071973"/>
    <w:rsid w:val="000845BD"/>
    <w:rsid w:val="000858A1"/>
    <w:rsid w:val="00095967"/>
    <w:rsid w:val="000B4AE3"/>
    <w:rsid w:val="000D5825"/>
    <w:rsid w:val="000D668F"/>
    <w:rsid w:val="000E303B"/>
    <w:rsid w:val="00103CED"/>
    <w:rsid w:val="00110FA9"/>
    <w:rsid w:val="0011749B"/>
    <w:rsid w:val="001359F2"/>
    <w:rsid w:val="0016251C"/>
    <w:rsid w:val="00164997"/>
    <w:rsid w:val="00177551"/>
    <w:rsid w:val="001A3992"/>
    <w:rsid w:val="001B193F"/>
    <w:rsid w:val="001B51B9"/>
    <w:rsid w:val="001B7D0D"/>
    <w:rsid w:val="001C1B56"/>
    <w:rsid w:val="001E3868"/>
    <w:rsid w:val="001E3F43"/>
    <w:rsid w:val="0020184A"/>
    <w:rsid w:val="002157DF"/>
    <w:rsid w:val="002172E0"/>
    <w:rsid w:val="00227656"/>
    <w:rsid w:val="002565EC"/>
    <w:rsid w:val="00275717"/>
    <w:rsid w:val="00285173"/>
    <w:rsid w:val="002A1CC4"/>
    <w:rsid w:val="002A27F8"/>
    <w:rsid w:val="002D1F07"/>
    <w:rsid w:val="002E277D"/>
    <w:rsid w:val="002E5A93"/>
    <w:rsid w:val="00306A18"/>
    <w:rsid w:val="00332ACC"/>
    <w:rsid w:val="00335E5C"/>
    <w:rsid w:val="003738AC"/>
    <w:rsid w:val="00373E85"/>
    <w:rsid w:val="00375DF3"/>
    <w:rsid w:val="003830DE"/>
    <w:rsid w:val="00391F4A"/>
    <w:rsid w:val="003976D2"/>
    <w:rsid w:val="003A2860"/>
    <w:rsid w:val="003C1FEB"/>
    <w:rsid w:val="003E6706"/>
    <w:rsid w:val="003E7E6F"/>
    <w:rsid w:val="003F21B3"/>
    <w:rsid w:val="003F5CA9"/>
    <w:rsid w:val="00407E14"/>
    <w:rsid w:val="00410C1C"/>
    <w:rsid w:val="00431ACD"/>
    <w:rsid w:val="0045018C"/>
    <w:rsid w:val="004519F3"/>
    <w:rsid w:val="0048684D"/>
    <w:rsid w:val="004A4C33"/>
    <w:rsid w:val="004A642F"/>
    <w:rsid w:val="004A7006"/>
    <w:rsid w:val="004A7BEA"/>
    <w:rsid w:val="004B6B19"/>
    <w:rsid w:val="004C7193"/>
    <w:rsid w:val="004D62AE"/>
    <w:rsid w:val="005057D6"/>
    <w:rsid w:val="0052018C"/>
    <w:rsid w:val="005617F2"/>
    <w:rsid w:val="00580576"/>
    <w:rsid w:val="005B1108"/>
    <w:rsid w:val="005B2591"/>
    <w:rsid w:val="005B2812"/>
    <w:rsid w:val="005F2315"/>
    <w:rsid w:val="005F487B"/>
    <w:rsid w:val="006018AE"/>
    <w:rsid w:val="00614781"/>
    <w:rsid w:val="00622066"/>
    <w:rsid w:val="00636B40"/>
    <w:rsid w:val="00645394"/>
    <w:rsid w:val="00652549"/>
    <w:rsid w:val="0066460B"/>
    <w:rsid w:val="00676B36"/>
    <w:rsid w:val="00680966"/>
    <w:rsid w:val="00690968"/>
    <w:rsid w:val="006913FA"/>
    <w:rsid w:val="006B1BDC"/>
    <w:rsid w:val="006C7930"/>
    <w:rsid w:val="006E2A74"/>
    <w:rsid w:val="006E4193"/>
    <w:rsid w:val="006E595D"/>
    <w:rsid w:val="00715262"/>
    <w:rsid w:val="00766549"/>
    <w:rsid w:val="00767165"/>
    <w:rsid w:val="00774CD0"/>
    <w:rsid w:val="00787A93"/>
    <w:rsid w:val="00794627"/>
    <w:rsid w:val="00795657"/>
    <w:rsid w:val="007A2097"/>
    <w:rsid w:val="007A406B"/>
    <w:rsid w:val="007A7D14"/>
    <w:rsid w:val="007B5EA6"/>
    <w:rsid w:val="007C0DF3"/>
    <w:rsid w:val="007C66C8"/>
    <w:rsid w:val="007D4266"/>
    <w:rsid w:val="007E0806"/>
    <w:rsid w:val="008133F9"/>
    <w:rsid w:val="00843D75"/>
    <w:rsid w:val="008644C2"/>
    <w:rsid w:val="00866F3D"/>
    <w:rsid w:val="0089497A"/>
    <w:rsid w:val="008B384F"/>
    <w:rsid w:val="008C60CE"/>
    <w:rsid w:val="008D6D88"/>
    <w:rsid w:val="008F4ADC"/>
    <w:rsid w:val="0090328A"/>
    <w:rsid w:val="00905388"/>
    <w:rsid w:val="00905FE6"/>
    <w:rsid w:val="0091298E"/>
    <w:rsid w:val="00925000"/>
    <w:rsid w:val="009348A3"/>
    <w:rsid w:val="00941E4F"/>
    <w:rsid w:val="009470E5"/>
    <w:rsid w:val="00960CD5"/>
    <w:rsid w:val="00967771"/>
    <w:rsid w:val="00973FE3"/>
    <w:rsid w:val="00983079"/>
    <w:rsid w:val="00992EF4"/>
    <w:rsid w:val="009A3001"/>
    <w:rsid w:val="009B3DC4"/>
    <w:rsid w:val="009F1F67"/>
    <w:rsid w:val="009F2A74"/>
    <w:rsid w:val="00A424FF"/>
    <w:rsid w:val="00A46F37"/>
    <w:rsid w:val="00A51746"/>
    <w:rsid w:val="00A64655"/>
    <w:rsid w:val="00A9234B"/>
    <w:rsid w:val="00A936BB"/>
    <w:rsid w:val="00AB30B1"/>
    <w:rsid w:val="00AB478F"/>
    <w:rsid w:val="00AE741F"/>
    <w:rsid w:val="00AE7CF2"/>
    <w:rsid w:val="00AF238D"/>
    <w:rsid w:val="00AF3BF6"/>
    <w:rsid w:val="00AF5F12"/>
    <w:rsid w:val="00B02CA3"/>
    <w:rsid w:val="00B11DE6"/>
    <w:rsid w:val="00B25819"/>
    <w:rsid w:val="00B273FD"/>
    <w:rsid w:val="00B57503"/>
    <w:rsid w:val="00B62BD3"/>
    <w:rsid w:val="00B749DD"/>
    <w:rsid w:val="00B85DBA"/>
    <w:rsid w:val="00B9290E"/>
    <w:rsid w:val="00BA64CC"/>
    <w:rsid w:val="00BB0049"/>
    <w:rsid w:val="00BB1B96"/>
    <w:rsid w:val="00BC16D4"/>
    <w:rsid w:val="00BE2A26"/>
    <w:rsid w:val="00C01904"/>
    <w:rsid w:val="00C03D04"/>
    <w:rsid w:val="00C327ED"/>
    <w:rsid w:val="00C46F97"/>
    <w:rsid w:val="00C560EF"/>
    <w:rsid w:val="00C63EDA"/>
    <w:rsid w:val="00C761C2"/>
    <w:rsid w:val="00C763E6"/>
    <w:rsid w:val="00C80A48"/>
    <w:rsid w:val="00C81D88"/>
    <w:rsid w:val="00C94936"/>
    <w:rsid w:val="00C94C16"/>
    <w:rsid w:val="00CB2FD0"/>
    <w:rsid w:val="00CB58FD"/>
    <w:rsid w:val="00CE098F"/>
    <w:rsid w:val="00CE674E"/>
    <w:rsid w:val="00CF0938"/>
    <w:rsid w:val="00CF510C"/>
    <w:rsid w:val="00D25AFD"/>
    <w:rsid w:val="00D26973"/>
    <w:rsid w:val="00D551A4"/>
    <w:rsid w:val="00D6566C"/>
    <w:rsid w:val="00D65787"/>
    <w:rsid w:val="00D66292"/>
    <w:rsid w:val="00D7523E"/>
    <w:rsid w:val="00D92BE3"/>
    <w:rsid w:val="00D96290"/>
    <w:rsid w:val="00DB26E3"/>
    <w:rsid w:val="00DB36C7"/>
    <w:rsid w:val="00DC7759"/>
    <w:rsid w:val="00DD2F4B"/>
    <w:rsid w:val="00DE6CC7"/>
    <w:rsid w:val="00DE6DDA"/>
    <w:rsid w:val="00E05134"/>
    <w:rsid w:val="00E42B91"/>
    <w:rsid w:val="00E728C5"/>
    <w:rsid w:val="00E74A56"/>
    <w:rsid w:val="00E8626B"/>
    <w:rsid w:val="00E943AD"/>
    <w:rsid w:val="00E9744B"/>
    <w:rsid w:val="00EA441B"/>
    <w:rsid w:val="00EC1110"/>
    <w:rsid w:val="00EC1C0B"/>
    <w:rsid w:val="00EE591B"/>
    <w:rsid w:val="00F07FD0"/>
    <w:rsid w:val="00F16749"/>
    <w:rsid w:val="00F67881"/>
    <w:rsid w:val="00F76A21"/>
    <w:rsid w:val="00F82053"/>
    <w:rsid w:val="00F86DC6"/>
    <w:rsid w:val="00F92E96"/>
    <w:rsid w:val="00FB5E91"/>
    <w:rsid w:val="00FC1C5C"/>
    <w:rsid w:val="00FE721E"/>
    <w:rsid w:val="00FF72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A469"/>
  <w15:docId w15:val="{4B1AF6D6-D220-4564-A51A-1C28A0A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aliases w:val="Annotationtext"/>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
      </w:numPr>
      <w:contextualSpacing/>
    </w:pPr>
  </w:style>
  <w:style w:type="paragraph" w:styleId="ListBullet3">
    <w:name w:val="List Bullet 3"/>
    <w:basedOn w:val="Normal"/>
    <w:uiPriority w:val="99"/>
    <w:semiHidden/>
    <w:unhideWhenUsed/>
    <w:rsid w:val="00071855"/>
    <w:pPr>
      <w:numPr>
        <w:numId w:val="3"/>
      </w:numPr>
      <w:contextualSpacing/>
    </w:pPr>
  </w:style>
  <w:style w:type="paragraph" w:styleId="ListBullet4">
    <w:name w:val="List Bullet 4"/>
    <w:basedOn w:val="Normal"/>
    <w:uiPriority w:val="99"/>
    <w:semiHidden/>
    <w:unhideWhenUsed/>
    <w:rsid w:val="00071855"/>
    <w:pPr>
      <w:numPr>
        <w:numId w:val="4"/>
      </w:numPr>
      <w:contextualSpacing/>
    </w:pPr>
  </w:style>
  <w:style w:type="paragraph" w:styleId="ListBullet5">
    <w:name w:val="List Bullet 5"/>
    <w:basedOn w:val="Normal"/>
    <w:uiPriority w:val="99"/>
    <w:semiHidden/>
    <w:unhideWhenUsed/>
    <w:rsid w:val="00071855"/>
    <w:pPr>
      <w:numPr>
        <w:numId w:val="5"/>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6"/>
      </w:numPr>
      <w:contextualSpacing/>
    </w:pPr>
  </w:style>
  <w:style w:type="paragraph" w:styleId="ListNumber2">
    <w:name w:val="List Number 2"/>
    <w:basedOn w:val="Normal"/>
    <w:uiPriority w:val="99"/>
    <w:semiHidden/>
    <w:unhideWhenUsed/>
    <w:rsid w:val="00071855"/>
    <w:pPr>
      <w:numPr>
        <w:numId w:val="7"/>
      </w:numPr>
      <w:contextualSpacing/>
    </w:pPr>
  </w:style>
  <w:style w:type="paragraph" w:styleId="ListNumber3">
    <w:name w:val="List Number 3"/>
    <w:basedOn w:val="Normal"/>
    <w:uiPriority w:val="99"/>
    <w:semiHidden/>
    <w:unhideWhenUsed/>
    <w:rsid w:val="00071855"/>
    <w:pPr>
      <w:numPr>
        <w:numId w:val="8"/>
      </w:numPr>
      <w:contextualSpacing/>
    </w:pPr>
  </w:style>
  <w:style w:type="paragraph" w:styleId="ListNumber4">
    <w:name w:val="List Number 4"/>
    <w:basedOn w:val="Normal"/>
    <w:uiPriority w:val="99"/>
    <w:semiHidden/>
    <w:unhideWhenUsed/>
    <w:rsid w:val="00071855"/>
    <w:pPr>
      <w:numPr>
        <w:numId w:val="9"/>
      </w:numPr>
      <w:contextualSpacing/>
    </w:pPr>
  </w:style>
  <w:style w:type="paragraph" w:styleId="ListNumber5">
    <w:name w:val="List Number 5"/>
    <w:basedOn w:val="Normal"/>
    <w:uiPriority w:val="99"/>
    <w:semiHidden/>
    <w:unhideWhenUsed/>
    <w:rsid w:val="00071855"/>
    <w:pPr>
      <w:numPr>
        <w:numId w:val="10"/>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character" w:customStyle="1" w:styleId="CommentTextChar1">
    <w:name w:val="Comment Text Char1"/>
    <w:basedOn w:val="DefaultParagraphFont"/>
    <w:uiPriority w:val="99"/>
    <w:rsid w:val="008D6D88"/>
    <w:rPr>
      <w:rFonts w:ascii="Arial" w:eastAsia="Cambria" w:hAnsi="Arial" w:cs="Arial"/>
      <w:sz w:val="20"/>
      <w:szCs w:val="20"/>
    </w:rPr>
  </w:style>
  <w:style w:type="table" w:styleId="TableGrid">
    <w:name w:val="Table Grid"/>
    <w:basedOn w:val="TableNormal"/>
    <w:uiPriority w:val="59"/>
    <w:rsid w:val="00C7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4">
    <w:name w:val="NoNum:Head4"/>
    <w:basedOn w:val="Normal"/>
    <w:next w:val="Normal"/>
    <w:link w:val="NoNumHead4Char"/>
    <w:rsid w:val="00373E85"/>
    <w:pPr>
      <w:keepNext/>
      <w:spacing w:before="120" w:after="240" w:line="240" w:lineRule="auto"/>
      <w:outlineLvl w:val="0"/>
    </w:pPr>
    <w:rPr>
      <w:rFonts w:ascii="Arial" w:eastAsia="Times New Roman" w:hAnsi="Arial" w:cs="Times New Roman"/>
      <w:b/>
      <w:bCs/>
      <w:lang w:val="x-none" w:eastAsia="x-none"/>
    </w:rPr>
  </w:style>
  <w:style w:type="character" w:customStyle="1" w:styleId="NoNumHead4Char">
    <w:name w:val="NoNum:Head4 Char"/>
    <w:link w:val="NoNumHead4"/>
    <w:rsid w:val="00373E85"/>
    <w:rPr>
      <w:rFonts w:ascii="Arial" w:eastAsia="Times New Roman" w:hAnsi="Arial" w:cs="Times New Roman"/>
      <w:b/>
      <w:bCs/>
      <w:lang w:val="x-none" w:eastAsia="x-none"/>
    </w:rPr>
  </w:style>
  <w:style w:type="table" w:customStyle="1" w:styleId="TableGrid2">
    <w:name w:val="Table Grid2"/>
    <w:basedOn w:val="TableNormal"/>
    <w:next w:val="TableGrid"/>
    <w:uiPriority w:val="59"/>
    <w:rsid w:val="003E7E6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6CC7"/>
    <w:pPr>
      <w:widowControl w:val="0"/>
      <w:autoSpaceDE w:val="0"/>
      <w:autoSpaceDN w:val="0"/>
      <w:spacing w:after="0" w:line="213" w:lineRule="exact"/>
      <w:ind w:right="58"/>
      <w:jc w:val="right"/>
    </w:pPr>
    <w:rPr>
      <w:rFonts w:ascii="Courier New" w:eastAsia="Courier New" w:hAnsi="Courier New" w:cs="Courier New"/>
      <w:lang w:val="en-US"/>
    </w:rPr>
  </w:style>
  <w:style w:type="character" w:customStyle="1" w:styleId="commenttext0">
    <w:name w:val="commenttext"/>
    <w:basedOn w:val="DefaultParagraphFont"/>
    <w:rsid w:val="00C01904"/>
  </w:style>
  <w:style w:type="character" w:customStyle="1" w:styleId="CSIchar">
    <w:name w:val="CSIchar"/>
    <w:qFormat/>
    <w:rsid w:val="00BC16D4"/>
    <w:rPr>
      <w:bdr w:val="none" w:sz="0" w:space="0" w:color="auto"/>
      <w:shd w:val="clear" w:color="auto" w:fill="CCCCCC"/>
    </w:rPr>
  </w:style>
  <w:style w:type="paragraph" w:customStyle="1" w:styleId="tabletextNS">
    <w:name w:val="table:textNS"/>
    <w:basedOn w:val="Normal"/>
    <w:link w:val="tabletextNSChar"/>
    <w:qFormat/>
    <w:rsid w:val="009F1F67"/>
    <w:pPr>
      <w:spacing w:after="0" w:line="240" w:lineRule="auto"/>
    </w:pPr>
    <w:rPr>
      <w:rFonts w:ascii="Arial Narrow" w:eastAsia="Times New Roman" w:hAnsi="Arial Narrow" w:cs="Arial Narrow"/>
      <w:sz w:val="24"/>
      <w:szCs w:val="20"/>
      <w:lang w:val="en-GB" w:eastAsia="en-GB"/>
    </w:rPr>
  </w:style>
  <w:style w:type="character" w:customStyle="1" w:styleId="tabletextNSChar">
    <w:name w:val="table:textNS Char"/>
    <w:link w:val="tabletextNS"/>
    <w:locked/>
    <w:rsid w:val="009F1F67"/>
    <w:rPr>
      <w:rFonts w:ascii="Arial Narrow" w:eastAsia="Times New Roman" w:hAnsi="Arial Narrow" w:cs="Arial Narrow"/>
      <w:sz w:val="24"/>
      <w:szCs w:val="20"/>
      <w:lang w:val="en-GB" w:eastAsia="en-GB"/>
    </w:rPr>
  </w:style>
  <w:style w:type="paragraph" w:customStyle="1" w:styleId="Default">
    <w:name w:val="Default"/>
    <w:rsid w:val="009F1F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xmsonormal">
    <w:name w:val="x_msonormal"/>
    <w:basedOn w:val="Normal"/>
    <w:rsid w:val="006913FA"/>
    <w:pPr>
      <w:spacing w:after="0" w:line="260" w:lineRule="atLeast"/>
    </w:pPr>
    <w:rPr>
      <w:rFonts w:ascii="Times New Roman" w:eastAsia="Calibri" w:hAnsi="Times New Roman" w:cs="Times New Roman"/>
      <w:lang w:val="en-US" w:eastAsia="zh-CN"/>
    </w:rPr>
  </w:style>
  <w:style w:type="paragraph" w:styleId="Revision">
    <w:name w:val="Revision"/>
    <w:hidden/>
    <w:uiPriority w:val="99"/>
    <w:semiHidden/>
    <w:rsid w:val="00AE7CF2"/>
    <w:pPr>
      <w:spacing w:after="0" w:line="240" w:lineRule="auto"/>
    </w:pPr>
  </w:style>
  <w:style w:type="paragraph" w:customStyle="1" w:styleId="StyleDefaultJustified">
    <w:name w:val="Style Default + Justified"/>
    <w:basedOn w:val="Default"/>
    <w:rsid w:val="00CB2FD0"/>
    <w:pPr>
      <w:spacing w:before="240" w:after="240"/>
      <w:jc w:val="both"/>
    </w:pPr>
    <w:rPr>
      <w:szCs w:val="20"/>
      <w:lang w:val="en-GB" w:eastAsia="en-GB"/>
    </w:rPr>
  </w:style>
  <w:style w:type="table" w:styleId="GridTable1Light">
    <w:name w:val="Grid Table 1 Light"/>
    <w:basedOn w:val="TableNormal"/>
    <w:uiPriority w:val="46"/>
    <w:rsid w:val="00D551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43D75"/>
    <w:pPr>
      <w:spacing w:after="0" w:line="240" w:lineRule="auto"/>
    </w:pPr>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pregistr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ga.gov.au/reporting-probl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78B81AE596514F817D1F9194C6236E" ma:contentTypeVersion="7" ma:contentTypeDescription="Create a new document." ma:contentTypeScope="" ma:versionID="61ab323980363d2830450a5dcf4c6836">
  <xsd:schema xmlns:xsd="http://www.w3.org/2001/XMLSchema" xmlns:xs="http://www.w3.org/2001/XMLSchema" xmlns:p="http://schemas.microsoft.com/office/2006/metadata/properties" xmlns:ns3="50f2f5e2-4ff4-4b09-868e-f261324e3bcd" targetNamespace="http://schemas.microsoft.com/office/2006/metadata/properties" ma:root="true" ma:fieldsID="c2752281fd6ff20c956e245fb38bb644" ns3:_="">
    <xsd:import namespace="50f2f5e2-4ff4-4b09-868e-f261324e3b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2f5e2-4ff4-4b09-868e-f261324e3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B410-E1CA-4171-8332-087B35DFFA17}">
  <ds:schemaRefs>
    <ds:schemaRef ds:uri="http://purl.org/dc/elements/1.1/"/>
    <ds:schemaRef ds:uri="http://schemas.microsoft.com/office/2006/metadata/properties"/>
    <ds:schemaRef ds:uri="http://purl.org/dc/terms/"/>
    <ds:schemaRef ds:uri="50f2f5e2-4ff4-4b09-868e-f261324e3bc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7A2987B-C0BA-431D-BFEE-4D1800FE913A}">
  <ds:schemaRefs>
    <ds:schemaRef ds:uri="http://schemas.microsoft.com/sharepoint/v3/contenttype/forms"/>
  </ds:schemaRefs>
</ds:datastoreItem>
</file>

<file path=customXml/itemProps3.xml><?xml version="1.0" encoding="utf-8"?>
<ds:datastoreItem xmlns:ds="http://schemas.openxmlformats.org/officeDocument/2006/customXml" ds:itemID="{0A0FE205-270D-4342-ACBD-307036B2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2f5e2-4ff4-4b09-868e-f261324e3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BE601-4117-47D1-B7B1-3E1A67AB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8308</Words>
  <Characters>48769</Characters>
  <Application>Microsoft Office Word</Application>
  <DocSecurity>0</DocSecurity>
  <Lines>1189</Lines>
  <Paragraphs>687</Paragraphs>
  <ScaleCrop>false</ScaleCrop>
  <HeadingPairs>
    <vt:vector size="2" baseType="variant">
      <vt:variant>
        <vt:lpstr>Title</vt:lpstr>
      </vt:variant>
      <vt:variant>
        <vt:i4>1</vt:i4>
      </vt:variant>
    </vt:vector>
  </HeadingPairs>
  <TitlesOfParts>
    <vt:vector size="1" baseType="lpstr">
      <vt:lpstr>Attachment 1: Product Information for Cabotegravir sodium and cabotegravir/rilpivirine - Vocrabria</vt:lpstr>
    </vt:vector>
  </TitlesOfParts>
  <Company>ViiV Healthcare Pty Ltd</Company>
  <LinksUpToDate>false</LinksUpToDate>
  <CharactersWithSpaces>56390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Cabotegravir sodium and cabotegravir/rilpivirine - Vocrabria</dc:title>
  <dc:subject>prescription medicines</dc:subject>
  <dc:creator>ViiV Healthcare Pty Ltd</dc:creator>
  <cp:keywords/>
  <cp:lastPrinted>2017-11-13T05:13:00Z</cp:lastPrinted>
  <dcterms:created xsi:type="dcterms:W3CDTF">2021-05-17T04:06:00Z</dcterms:created>
  <dcterms:modified xsi:type="dcterms:W3CDTF">2021-05-17T07:12:00Z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0x0101008E78B81AE596514F817D1F9194C6236E</vt:lpwstr>
  </property>
</Properties>
</file>