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8261474"/>
    <w:bookmarkStart w:id="1" w:name="_GoBack"/>
    <w:bookmarkEnd w:id="0"/>
    <w:bookmarkEnd w:id="1"/>
    <w:p w14:paraId="5ABE2E79" w14:textId="77777777" w:rsidR="00375DF3" w:rsidRPr="00071855" w:rsidRDefault="00375DF3" w:rsidP="006018AE">
      <w:pPr>
        <w:tabs>
          <w:tab w:val="left" w:pos="284"/>
        </w:tabs>
        <w:spacing w:after="480" w:line="240" w:lineRule="auto"/>
        <w:rPr>
          <w:rFonts w:ascii="Arial" w:hAnsi="Arial" w:cs="Arial"/>
        </w:rPr>
      </w:pPr>
      <w:r w:rsidRPr="00071855">
        <w:rPr>
          <w:rFonts w:ascii="Arial" w:hAnsi="Arial" w:cs="Arial"/>
          <w:noProof/>
          <w:lang w:eastAsia="en-AU"/>
        </w:rPr>
        <mc:AlternateContent>
          <mc:Choice Requires="wps">
            <w:drawing>
              <wp:inline distT="0" distB="0" distL="0" distR="0" wp14:anchorId="21C3C729" wp14:editId="6EBC3AAC">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10A98" w14:textId="77777777" w:rsidR="00B93BAD" w:rsidRPr="00BE2A26" w:rsidRDefault="00B93BAD"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21C3C729"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14:paraId="6EA10A98" w14:textId="77777777" w:rsidR="00B93BAD" w:rsidRPr="00BE2A26" w:rsidRDefault="00B93BAD"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071855">
        <w:rPr>
          <w:rFonts w:ascii="Arial" w:hAnsi="Arial" w:cs="Arial"/>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071855">
          <w:rPr>
            <w:rStyle w:val="Hyperlink"/>
            <w:rFonts w:ascii="Arial" w:hAnsi="Arial" w:cs="Arial"/>
          </w:rPr>
          <w:t>www.tga.gov.au/reporting-problems</w:t>
        </w:r>
      </w:hyperlink>
      <w:r w:rsidRPr="00071855">
        <w:rPr>
          <w:rFonts w:ascii="Arial" w:hAnsi="Arial" w:cs="Arial"/>
        </w:rPr>
        <w:t>.</w:t>
      </w:r>
      <w:r w:rsidR="001E3868">
        <w:rPr>
          <w:rFonts w:ascii="Arial" w:hAnsi="Arial" w:cs="Arial"/>
        </w:rPr>
        <w:t xml:space="preserve"> </w:t>
      </w:r>
    </w:p>
    <w:p w14:paraId="4D09CA72" w14:textId="77777777" w:rsidR="00622066" w:rsidRDefault="00C327ED" w:rsidP="006E595D">
      <w:pPr>
        <w:pStyle w:val="Heading1"/>
        <w:spacing w:after="240"/>
        <w:jc w:val="center"/>
        <w:rPr>
          <w:rFonts w:ascii="Arial" w:eastAsia="SimSun" w:hAnsi="Arial" w:cs="Arial"/>
        </w:rPr>
      </w:pPr>
      <w:r>
        <w:rPr>
          <w:rFonts w:ascii="Arial" w:eastAsia="SimSun" w:hAnsi="Arial" w:cs="Arial"/>
        </w:rPr>
        <w:t>Australian PRODUCT INFORMATION</w:t>
      </w:r>
    </w:p>
    <w:p w14:paraId="0BA8663D" w14:textId="7EA468B3" w:rsidR="006018AE" w:rsidRPr="00071855" w:rsidRDefault="00D669EB" w:rsidP="00622066">
      <w:pPr>
        <w:pStyle w:val="Heading1"/>
        <w:spacing w:before="240" w:after="240"/>
        <w:jc w:val="center"/>
        <w:rPr>
          <w:rFonts w:ascii="Arial" w:eastAsia="SimSun" w:hAnsi="Arial" w:cs="Arial"/>
        </w:rPr>
      </w:pPr>
      <w:r>
        <w:rPr>
          <w:rFonts w:ascii="Arial" w:eastAsia="SimSun" w:hAnsi="Arial" w:cs="Arial"/>
        </w:rPr>
        <w:t>CABENUVA</w:t>
      </w:r>
      <w:r w:rsidR="00AF238D" w:rsidRPr="00071855">
        <w:rPr>
          <w:rFonts w:ascii="Arial" w:eastAsia="SimSun" w:hAnsi="Arial" w:cs="Arial"/>
        </w:rPr>
        <w:t xml:space="preserve"> </w:t>
      </w:r>
      <w:r>
        <w:rPr>
          <w:rFonts w:ascii="Arial" w:eastAsia="SimSun" w:hAnsi="Arial" w:cs="Arial"/>
          <w:caps w:val="0"/>
        </w:rPr>
        <w:t>cabotegravir prolonged</w:t>
      </w:r>
      <w:r w:rsidR="00802652">
        <w:rPr>
          <w:rFonts w:ascii="Arial" w:eastAsia="SimSun" w:hAnsi="Arial" w:cs="Arial"/>
          <w:caps w:val="0"/>
        </w:rPr>
        <w:t>-</w:t>
      </w:r>
      <w:r>
        <w:rPr>
          <w:rFonts w:ascii="Arial" w:eastAsia="SimSun" w:hAnsi="Arial" w:cs="Arial"/>
          <w:caps w:val="0"/>
        </w:rPr>
        <w:t>release suspension for injection and rilpivirine prolonged</w:t>
      </w:r>
      <w:r w:rsidR="00C001E0">
        <w:rPr>
          <w:rFonts w:ascii="Arial" w:eastAsia="SimSun" w:hAnsi="Arial" w:cs="Arial"/>
          <w:caps w:val="0"/>
        </w:rPr>
        <w:t>-</w:t>
      </w:r>
      <w:r>
        <w:rPr>
          <w:rFonts w:ascii="Arial" w:eastAsia="SimSun" w:hAnsi="Arial" w:cs="Arial"/>
          <w:caps w:val="0"/>
        </w:rPr>
        <w:t>release suspension for injection</w:t>
      </w:r>
    </w:p>
    <w:p w14:paraId="5666D813" w14:textId="77777777" w:rsidR="001A3992" w:rsidRPr="00071855" w:rsidRDefault="001A3992" w:rsidP="00923029">
      <w:pPr>
        <w:pStyle w:val="Heading1"/>
        <w:numPr>
          <w:ilvl w:val="0"/>
          <w:numId w:val="35"/>
        </w:numPr>
        <w:spacing w:before="0" w:after="120"/>
        <w:ind w:left="426"/>
        <w:rPr>
          <w:rFonts w:ascii="Arial" w:hAnsi="Arial" w:cs="Arial"/>
        </w:rPr>
      </w:pPr>
      <w:r w:rsidRPr="00071855">
        <w:rPr>
          <w:rFonts w:ascii="Arial" w:hAnsi="Arial" w:cs="Arial"/>
        </w:rPr>
        <w:t>Name of the medicine</w:t>
      </w:r>
    </w:p>
    <w:p w14:paraId="2FFC52A5" w14:textId="156D0F22" w:rsidR="00905388" w:rsidRPr="00D669EB" w:rsidRDefault="00905388" w:rsidP="00071855">
      <w:pPr>
        <w:rPr>
          <w:rFonts w:ascii="Arial" w:hAnsi="Arial" w:cs="Arial"/>
        </w:rPr>
      </w:pPr>
      <w:r w:rsidRPr="00D669EB">
        <w:rPr>
          <w:rFonts w:ascii="Arial" w:hAnsi="Arial" w:cs="Arial"/>
        </w:rPr>
        <w:t>Cabotegravir</w:t>
      </w:r>
      <w:r w:rsidR="00D669EB">
        <w:rPr>
          <w:rFonts w:ascii="Arial" w:hAnsi="Arial" w:cs="Arial"/>
        </w:rPr>
        <w:t xml:space="preserve"> and rilpivirine</w:t>
      </w:r>
    </w:p>
    <w:p w14:paraId="7DFB5B14" w14:textId="77777777" w:rsidR="001A3992" w:rsidRPr="00071855" w:rsidRDefault="001A3992" w:rsidP="00923029">
      <w:pPr>
        <w:pStyle w:val="Heading1"/>
        <w:numPr>
          <w:ilvl w:val="0"/>
          <w:numId w:val="35"/>
        </w:numPr>
        <w:spacing w:before="0" w:after="120"/>
        <w:ind w:left="426"/>
        <w:rPr>
          <w:rFonts w:ascii="Arial" w:hAnsi="Arial" w:cs="Arial"/>
        </w:rPr>
      </w:pPr>
      <w:r w:rsidRPr="00071855">
        <w:rPr>
          <w:rFonts w:ascii="Arial" w:hAnsi="Arial" w:cs="Arial"/>
        </w:rPr>
        <w:t>Qualitative and quantitative composition</w:t>
      </w:r>
    </w:p>
    <w:p w14:paraId="32BEF2FE" w14:textId="59EEF2FC" w:rsidR="00C80A48" w:rsidRDefault="00D669EB" w:rsidP="00D66292">
      <w:pPr>
        <w:rPr>
          <w:rFonts w:ascii="Arial" w:hAnsi="Arial" w:cs="Arial"/>
        </w:rPr>
      </w:pPr>
      <w:r>
        <w:rPr>
          <w:rFonts w:ascii="Arial" w:hAnsi="Arial" w:cs="Arial"/>
        </w:rPr>
        <w:t xml:space="preserve">CABENUVA </w:t>
      </w:r>
      <w:r w:rsidR="00C80A48" w:rsidRPr="00D669EB">
        <w:rPr>
          <w:rFonts w:ascii="Arial" w:hAnsi="Arial" w:cs="Arial"/>
        </w:rPr>
        <w:t xml:space="preserve">contains </w:t>
      </w:r>
      <w:r w:rsidR="00992EF4" w:rsidRPr="00D669EB">
        <w:rPr>
          <w:rFonts w:ascii="Arial" w:hAnsi="Arial" w:cs="Arial"/>
        </w:rPr>
        <w:t xml:space="preserve">cabotegravir </w:t>
      </w:r>
      <w:r w:rsidR="00D245B3">
        <w:rPr>
          <w:rFonts w:ascii="Arial" w:hAnsi="Arial" w:cs="Arial"/>
        </w:rPr>
        <w:t>200 mg/</w:t>
      </w:r>
      <w:r w:rsidR="00C80A48" w:rsidRPr="00D669EB">
        <w:rPr>
          <w:rFonts w:ascii="Arial" w:hAnsi="Arial" w:cs="Arial"/>
        </w:rPr>
        <w:t>mL</w:t>
      </w:r>
      <w:r w:rsidR="00FE2D09">
        <w:rPr>
          <w:rFonts w:ascii="Arial" w:hAnsi="Arial" w:cs="Arial"/>
        </w:rPr>
        <w:t xml:space="preserve"> (</w:t>
      </w:r>
      <w:r w:rsidR="00FE2D09" w:rsidRPr="00CA13F8">
        <w:rPr>
          <w:rFonts w:ascii="Arial" w:hAnsi="Arial" w:cs="Arial"/>
        </w:rPr>
        <w:t>400 mg/2 mL or 600 mg/3 mL)</w:t>
      </w:r>
      <w:r w:rsidR="00C80A48" w:rsidRPr="00D669EB">
        <w:rPr>
          <w:rFonts w:ascii="Arial" w:hAnsi="Arial" w:cs="Arial"/>
        </w:rPr>
        <w:t xml:space="preserve"> </w:t>
      </w:r>
      <w:r w:rsidR="00D245B3" w:rsidRPr="00D669EB">
        <w:rPr>
          <w:rFonts w:ascii="Arial" w:hAnsi="Arial" w:cs="Arial"/>
        </w:rPr>
        <w:t>prolonged</w:t>
      </w:r>
      <w:r w:rsidR="00C001E0">
        <w:rPr>
          <w:rFonts w:ascii="Arial" w:hAnsi="Arial" w:cs="Arial"/>
        </w:rPr>
        <w:t>-</w:t>
      </w:r>
      <w:r w:rsidR="00D245B3" w:rsidRPr="00D669EB">
        <w:rPr>
          <w:rFonts w:ascii="Arial" w:hAnsi="Arial" w:cs="Arial"/>
        </w:rPr>
        <w:t xml:space="preserve">release suspension for injection </w:t>
      </w:r>
      <w:r w:rsidR="00D245B3">
        <w:rPr>
          <w:rFonts w:ascii="Arial" w:hAnsi="Arial" w:cs="Arial"/>
        </w:rPr>
        <w:t>and rilpivirine 300 mg/mL</w:t>
      </w:r>
      <w:r w:rsidR="00FE2D09">
        <w:rPr>
          <w:rFonts w:ascii="Arial" w:hAnsi="Arial" w:cs="Arial"/>
        </w:rPr>
        <w:t xml:space="preserve"> (</w:t>
      </w:r>
      <w:r w:rsidR="00FE2D09" w:rsidRPr="00CA13F8">
        <w:rPr>
          <w:rFonts w:ascii="Arial" w:hAnsi="Arial" w:cs="Arial"/>
        </w:rPr>
        <w:t xml:space="preserve">600 mg/2 mL </w:t>
      </w:r>
      <w:r w:rsidR="00FE2D09">
        <w:rPr>
          <w:rFonts w:ascii="Arial" w:hAnsi="Arial" w:cs="Arial"/>
        </w:rPr>
        <w:t xml:space="preserve">or </w:t>
      </w:r>
      <w:r w:rsidR="00FE2D09" w:rsidRPr="00CA13F8">
        <w:rPr>
          <w:rFonts w:ascii="Arial" w:hAnsi="Arial" w:cs="Arial"/>
        </w:rPr>
        <w:t xml:space="preserve">900 mg/3 mL) </w:t>
      </w:r>
      <w:r w:rsidR="00D245B3">
        <w:rPr>
          <w:rFonts w:ascii="Arial" w:hAnsi="Arial" w:cs="Arial"/>
        </w:rPr>
        <w:t xml:space="preserve"> </w:t>
      </w:r>
      <w:r w:rsidR="00D245B3" w:rsidRPr="00D669EB">
        <w:rPr>
          <w:rFonts w:ascii="Arial" w:hAnsi="Arial" w:cs="Arial"/>
        </w:rPr>
        <w:t>prolonged</w:t>
      </w:r>
      <w:r w:rsidR="00C001E0">
        <w:rPr>
          <w:rFonts w:ascii="Arial" w:hAnsi="Arial" w:cs="Arial"/>
        </w:rPr>
        <w:t>-</w:t>
      </w:r>
      <w:r w:rsidR="00D245B3" w:rsidRPr="00D669EB">
        <w:rPr>
          <w:rFonts w:ascii="Arial" w:hAnsi="Arial" w:cs="Arial"/>
        </w:rPr>
        <w:t>release suspension for injection</w:t>
      </w:r>
      <w:r w:rsidR="00CA13F8">
        <w:rPr>
          <w:rFonts w:ascii="Arial" w:hAnsi="Arial" w:cs="Arial"/>
        </w:rPr>
        <w:t>.</w:t>
      </w:r>
    </w:p>
    <w:p w14:paraId="6835E179" w14:textId="77777777" w:rsidR="00E42B91" w:rsidRPr="00E42B91" w:rsidRDefault="00E42B91" w:rsidP="005B2812">
      <w:pPr>
        <w:rPr>
          <w:rFonts w:ascii="Arial" w:hAnsi="Arial" w:cs="Arial"/>
          <w:b/>
          <w:lang w:val="en"/>
        </w:rPr>
      </w:pPr>
      <w:r w:rsidRPr="00E42B91">
        <w:rPr>
          <w:rFonts w:ascii="Arial" w:hAnsi="Arial" w:cs="Arial"/>
          <w:b/>
          <w:lang w:val="en"/>
        </w:rPr>
        <w:t>List of excipients with known effect</w:t>
      </w:r>
    </w:p>
    <w:p w14:paraId="6D316FCF" w14:textId="77777777" w:rsidR="00DC4D8B" w:rsidRDefault="00DC4D8B" w:rsidP="005B2812">
      <w:pPr>
        <w:rPr>
          <w:rFonts w:ascii="Arial" w:hAnsi="Arial" w:cs="Arial"/>
          <w:lang w:val="en"/>
        </w:rPr>
      </w:pPr>
      <w:r>
        <w:rPr>
          <w:rFonts w:ascii="Arial" w:hAnsi="Arial" w:cs="Arial"/>
          <w:lang w:val="en"/>
        </w:rPr>
        <w:t>None</w:t>
      </w:r>
    </w:p>
    <w:p w14:paraId="0CD059F5" w14:textId="3F3B9E37" w:rsidR="005B2812" w:rsidRPr="00071855" w:rsidRDefault="005B2812" w:rsidP="005B2812">
      <w:pPr>
        <w:rPr>
          <w:rFonts w:ascii="Arial" w:hAnsi="Arial" w:cs="Arial"/>
        </w:rPr>
      </w:pPr>
      <w:r w:rsidRPr="00071855">
        <w:rPr>
          <w:rFonts w:ascii="Arial" w:hAnsi="Arial" w:cs="Arial"/>
          <w:lang w:val="en"/>
        </w:rPr>
        <w:t>For the full list of excipients, see Section 6.</w:t>
      </w:r>
      <w:r w:rsidR="00071973">
        <w:rPr>
          <w:rFonts w:ascii="Arial" w:hAnsi="Arial" w:cs="Arial"/>
          <w:lang w:val="en"/>
        </w:rPr>
        <w:t xml:space="preserve">1 </w:t>
      </w:r>
      <w:r w:rsidR="00FC1C5C">
        <w:rPr>
          <w:rFonts w:ascii="Arial" w:hAnsi="Arial" w:cs="Arial"/>
          <w:lang w:val="en"/>
        </w:rPr>
        <w:t>LIST OF EXCIPIENTS</w:t>
      </w:r>
      <w:r w:rsidR="00071973">
        <w:rPr>
          <w:rFonts w:ascii="Arial" w:hAnsi="Arial" w:cs="Arial"/>
          <w:lang w:val="en"/>
        </w:rPr>
        <w:t>.</w:t>
      </w:r>
    </w:p>
    <w:p w14:paraId="3017CB78" w14:textId="77777777" w:rsidR="001A3992" w:rsidRPr="00071855" w:rsidRDefault="001A3992" w:rsidP="00923029">
      <w:pPr>
        <w:pStyle w:val="Heading1"/>
        <w:numPr>
          <w:ilvl w:val="0"/>
          <w:numId w:val="35"/>
        </w:numPr>
        <w:spacing w:before="0" w:after="120"/>
        <w:ind w:left="426"/>
        <w:rPr>
          <w:rFonts w:ascii="Arial" w:hAnsi="Arial" w:cs="Arial"/>
        </w:rPr>
      </w:pPr>
      <w:r w:rsidRPr="00071855">
        <w:rPr>
          <w:rFonts w:ascii="Arial" w:hAnsi="Arial" w:cs="Arial"/>
        </w:rPr>
        <w:t>Pharmaceutical form</w:t>
      </w:r>
    </w:p>
    <w:p w14:paraId="509EE1F4" w14:textId="6B7AB96D" w:rsidR="00983079" w:rsidRDefault="00DC4D8B" w:rsidP="00071855">
      <w:pPr>
        <w:rPr>
          <w:rFonts w:ascii="Arial" w:hAnsi="Arial" w:cs="Arial"/>
          <w:lang w:val="en"/>
        </w:rPr>
      </w:pPr>
      <w:r>
        <w:rPr>
          <w:rFonts w:ascii="Arial" w:hAnsi="Arial" w:cs="Arial"/>
          <w:lang w:val="en"/>
        </w:rPr>
        <w:t>Cabotegravir</w:t>
      </w:r>
      <w:r w:rsidR="00983079" w:rsidRPr="00983079">
        <w:rPr>
          <w:rFonts w:ascii="Arial" w:hAnsi="Arial" w:cs="Arial"/>
          <w:lang w:val="en"/>
        </w:rPr>
        <w:t xml:space="preserve"> prolonged</w:t>
      </w:r>
      <w:r w:rsidR="00C001E0">
        <w:rPr>
          <w:rFonts w:ascii="Arial" w:hAnsi="Arial" w:cs="Arial"/>
          <w:lang w:val="en"/>
        </w:rPr>
        <w:t>-</w:t>
      </w:r>
      <w:r w:rsidR="00983079" w:rsidRPr="00983079">
        <w:rPr>
          <w:rFonts w:ascii="Arial" w:hAnsi="Arial" w:cs="Arial"/>
          <w:lang w:val="en"/>
        </w:rPr>
        <w:t>release suspension for injection is a white to light pink suspension.</w:t>
      </w:r>
    </w:p>
    <w:p w14:paraId="5547B5B4" w14:textId="5E28712C" w:rsidR="00DC4D8B" w:rsidRPr="00983079" w:rsidRDefault="00DC4D8B" w:rsidP="00071855">
      <w:pPr>
        <w:rPr>
          <w:rFonts w:ascii="Arial" w:hAnsi="Arial" w:cs="Arial"/>
          <w:lang w:val="en"/>
        </w:rPr>
      </w:pPr>
      <w:r w:rsidRPr="00950732">
        <w:rPr>
          <w:rFonts w:ascii="Arial" w:hAnsi="Arial" w:cs="Arial"/>
          <w:lang w:val="en-CA"/>
        </w:rPr>
        <w:t xml:space="preserve">Rilpivirine </w:t>
      </w:r>
      <w:r>
        <w:rPr>
          <w:rFonts w:ascii="Arial" w:hAnsi="Arial" w:cs="Arial"/>
          <w:lang w:val="en-CA"/>
        </w:rPr>
        <w:t>prolonged</w:t>
      </w:r>
      <w:r w:rsidR="00C001E0">
        <w:rPr>
          <w:rFonts w:ascii="Arial" w:hAnsi="Arial" w:cs="Arial"/>
          <w:lang w:val="en-CA"/>
        </w:rPr>
        <w:t>-</w:t>
      </w:r>
      <w:r>
        <w:rPr>
          <w:rFonts w:ascii="Arial" w:hAnsi="Arial" w:cs="Arial"/>
          <w:lang w:val="en-CA"/>
        </w:rPr>
        <w:t>release</w:t>
      </w:r>
      <w:r w:rsidRPr="00950732">
        <w:rPr>
          <w:rFonts w:ascii="Arial" w:hAnsi="Arial" w:cs="Arial"/>
          <w:lang w:val="en-CA"/>
        </w:rPr>
        <w:t xml:space="preserve"> suspension</w:t>
      </w:r>
      <w:r>
        <w:rPr>
          <w:rFonts w:ascii="Arial" w:hAnsi="Arial" w:cs="Arial"/>
          <w:lang w:val="en-CA"/>
        </w:rPr>
        <w:t xml:space="preserve"> for injection</w:t>
      </w:r>
      <w:r w:rsidRPr="00950732">
        <w:rPr>
          <w:rFonts w:ascii="Arial" w:hAnsi="Arial" w:cs="Arial"/>
          <w:lang w:val="en-CA"/>
        </w:rPr>
        <w:t xml:space="preserve"> is a white to off-white suspension</w:t>
      </w:r>
      <w:r>
        <w:rPr>
          <w:rFonts w:ascii="Arial" w:hAnsi="Arial" w:cs="Arial"/>
          <w:lang w:val="en-CA"/>
        </w:rPr>
        <w:t>.</w:t>
      </w:r>
    </w:p>
    <w:p w14:paraId="7A4F3171" w14:textId="77777777" w:rsidR="001A3992" w:rsidRPr="00071855" w:rsidRDefault="001A3992" w:rsidP="00923029">
      <w:pPr>
        <w:pStyle w:val="Heading1"/>
        <w:numPr>
          <w:ilvl w:val="0"/>
          <w:numId w:val="35"/>
        </w:numPr>
        <w:spacing w:before="0" w:after="120"/>
        <w:ind w:left="426"/>
        <w:rPr>
          <w:rFonts w:ascii="Arial" w:hAnsi="Arial" w:cs="Arial"/>
        </w:rPr>
      </w:pPr>
      <w:r w:rsidRPr="00071855">
        <w:rPr>
          <w:rFonts w:ascii="Arial" w:hAnsi="Arial" w:cs="Arial"/>
        </w:rPr>
        <w:t>Clinical particulars</w:t>
      </w:r>
    </w:p>
    <w:p w14:paraId="4B28BA28" w14:textId="77777777" w:rsidR="001A3992" w:rsidRPr="00071855" w:rsidRDefault="00071855" w:rsidP="00923029">
      <w:pPr>
        <w:pStyle w:val="Heading2"/>
        <w:numPr>
          <w:ilvl w:val="1"/>
          <w:numId w:val="35"/>
        </w:numPr>
        <w:spacing w:before="0" w:after="120"/>
        <w:rPr>
          <w:rFonts w:ascii="Arial" w:hAnsi="Arial" w:cs="Arial"/>
          <w:smallCaps w:val="0"/>
        </w:rPr>
      </w:pPr>
      <w:r w:rsidRPr="00071855">
        <w:rPr>
          <w:rFonts w:ascii="Arial" w:hAnsi="Arial" w:cs="Arial"/>
          <w:smallCaps w:val="0"/>
        </w:rPr>
        <w:t xml:space="preserve">THERAPEUTIC INDICATIONS </w:t>
      </w:r>
    </w:p>
    <w:p w14:paraId="0E411995" w14:textId="217CA3DF" w:rsidR="00983079" w:rsidRPr="00983079" w:rsidRDefault="00DC4D8B" w:rsidP="000D668F">
      <w:pPr>
        <w:rPr>
          <w:rFonts w:ascii="Arial" w:hAnsi="Arial" w:cs="Arial"/>
          <w:lang w:val="en"/>
        </w:rPr>
      </w:pPr>
      <w:bookmarkStart w:id="2" w:name="_Hlk6214303"/>
      <w:r>
        <w:rPr>
          <w:rFonts w:ascii="Arial" w:hAnsi="Arial" w:cs="Arial"/>
          <w:lang w:val="en"/>
        </w:rPr>
        <w:t>CABENUVA</w:t>
      </w:r>
      <w:r w:rsidR="00983079" w:rsidRPr="00983079">
        <w:rPr>
          <w:rFonts w:ascii="Arial" w:hAnsi="Arial" w:cs="Arial"/>
          <w:lang w:val="en"/>
        </w:rPr>
        <w:t xml:space="preserve"> </w:t>
      </w:r>
      <w:r w:rsidR="00C053ED" w:rsidRPr="00C053ED">
        <w:rPr>
          <w:rFonts w:ascii="Arial" w:hAnsi="Arial" w:cs="Arial"/>
          <w:lang w:val="en"/>
        </w:rPr>
        <w:t xml:space="preserve">(cabotegravir </w:t>
      </w:r>
      <w:r w:rsidR="00FE3C58">
        <w:rPr>
          <w:rFonts w:ascii="Arial" w:hAnsi="Arial" w:cs="Arial"/>
          <w:lang w:val="en"/>
        </w:rPr>
        <w:t>prolonged-release suspension for injection</w:t>
      </w:r>
      <w:r w:rsidR="00FE3C58">
        <w:rPr>
          <w:rStyle w:val="CommentReference"/>
          <w:rFonts w:ascii="Cambria" w:hAnsi="Cambria"/>
        </w:rPr>
        <w:t xml:space="preserve"> </w:t>
      </w:r>
      <w:r w:rsidR="00C053ED" w:rsidRPr="00C053ED">
        <w:rPr>
          <w:rFonts w:ascii="Arial" w:hAnsi="Arial" w:cs="Arial"/>
          <w:lang w:val="en"/>
        </w:rPr>
        <w:t xml:space="preserve">and rilpivirine </w:t>
      </w:r>
      <w:r w:rsidR="00FE3C58">
        <w:rPr>
          <w:rFonts w:ascii="Arial" w:hAnsi="Arial" w:cs="Arial"/>
          <w:lang w:val="en"/>
        </w:rPr>
        <w:t>prolonged-release suspension for injection</w:t>
      </w:r>
      <w:r w:rsidR="00C053ED" w:rsidRPr="00C053ED">
        <w:rPr>
          <w:rFonts w:ascii="Arial" w:hAnsi="Arial" w:cs="Arial"/>
          <w:lang w:val="en"/>
        </w:rPr>
        <w:t xml:space="preserve">) </w:t>
      </w:r>
      <w:r w:rsidR="00983079" w:rsidRPr="00983079">
        <w:rPr>
          <w:rFonts w:ascii="Arial" w:hAnsi="Arial" w:cs="Arial"/>
          <w:lang w:val="en"/>
        </w:rPr>
        <w:t>is indicated</w:t>
      </w:r>
      <w:r>
        <w:rPr>
          <w:rFonts w:ascii="Arial" w:hAnsi="Arial" w:cs="Arial"/>
          <w:lang w:val="en"/>
        </w:rPr>
        <w:t xml:space="preserve"> </w:t>
      </w:r>
      <w:r w:rsidR="00983079" w:rsidRPr="00983079">
        <w:rPr>
          <w:rFonts w:ascii="Arial" w:hAnsi="Arial" w:cs="Arial"/>
          <w:lang w:val="en"/>
        </w:rPr>
        <w:t xml:space="preserve">for the treatment of Human Immunodeficiency Virus type 1 (HIV-1) infection in adults who are </w:t>
      </w:r>
      <w:proofErr w:type="spellStart"/>
      <w:r w:rsidR="00983079" w:rsidRPr="00983079">
        <w:rPr>
          <w:rFonts w:ascii="Arial" w:hAnsi="Arial" w:cs="Arial"/>
          <w:lang w:val="en"/>
        </w:rPr>
        <w:t>virologically</w:t>
      </w:r>
      <w:proofErr w:type="spellEnd"/>
      <w:r w:rsidR="00983079" w:rsidRPr="00983079">
        <w:rPr>
          <w:rFonts w:ascii="Arial" w:hAnsi="Arial" w:cs="Arial"/>
          <w:lang w:val="en"/>
        </w:rPr>
        <w:t xml:space="preserve"> suppressed (HIV-1 RNA &lt;50 copies </w:t>
      </w:r>
      <w:r w:rsidR="00923029">
        <w:rPr>
          <w:rFonts w:ascii="Arial" w:hAnsi="Arial" w:cs="Arial"/>
          <w:lang w:val="en"/>
        </w:rPr>
        <w:t xml:space="preserve">per </w:t>
      </w:r>
      <w:r w:rsidR="00983079" w:rsidRPr="00983079">
        <w:rPr>
          <w:rFonts w:ascii="Arial" w:hAnsi="Arial" w:cs="Arial"/>
          <w:lang w:val="en"/>
        </w:rPr>
        <w:t>mL) and have no known or suspected resistance to either cabotegravir or rilpivirine (see section 5.1</w:t>
      </w:r>
      <w:r w:rsidR="00983079">
        <w:rPr>
          <w:rFonts w:ascii="Arial" w:hAnsi="Arial" w:cs="Arial"/>
          <w:lang w:val="en"/>
        </w:rPr>
        <w:t xml:space="preserve"> PHARMACODYNAMIC PROPERTIES, Clinical </w:t>
      </w:r>
      <w:r w:rsidR="00EC1C0B">
        <w:rPr>
          <w:rFonts w:ascii="Arial" w:hAnsi="Arial" w:cs="Arial"/>
          <w:lang w:val="en"/>
        </w:rPr>
        <w:t>t</w:t>
      </w:r>
      <w:r w:rsidR="00983079">
        <w:rPr>
          <w:rFonts w:ascii="Arial" w:hAnsi="Arial" w:cs="Arial"/>
          <w:lang w:val="en"/>
        </w:rPr>
        <w:t>rials</w:t>
      </w:r>
      <w:r w:rsidR="00983079" w:rsidRPr="00983079">
        <w:rPr>
          <w:rFonts w:ascii="Arial" w:hAnsi="Arial" w:cs="Arial"/>
          <w:lang w:val="en"/>
        </w:rPr>
        <w:t>).</w:t>
      </w:r>
      <w:bookmarkEnd w:id="2"/>
    </w:p>
    <w:p w14:paraId="727F32C8" w14:textId="77777777" w:rsidR="001A3992" w:rsidRDefault="00071855" w:rsidP="00923029">
      <w:pPr>
        <w:pStyle w:val="Heading2"/>
        <w:numPr>
          <w:ilvl w:val="1"/>
          <w:numId w:val="35"/>
        </w:numPr>
        <w:spacing w:before="0" w:after="120"/>
        <w:rPr>
          <w:rFonts w:ascii="Arial" w:hAnsi="Arial" w:cs="Arial"/>
          <w:smallCaps w:val="0"/>
        </w:rPr>
      </w:pPr>
      <w:r w:rsidRPr="00071855">
        <w:rPr>
          <w:rFonts w:ascii="Arial" w:hAnsi="Arial" w:cs="Arial"/>
          <w:smallCaps w:val="0"/>
        </w:rPr>
        <w:t xml:space="preserve">DOSE AND METHOD OF ADMINISTRATION </w:t>
      </w:r>
    </w:p>
    <w:p w14:paraId="14CC11B4" w14:textId="7F0BF678" w:rsidR="00AB30B1" w:rsidRPr="00391F4A" w:rsidRDefault="00DC4D8B" w:rsidP="00D66292">
      <w:pPr>
        <w:rPr>
          <w:rFonts w:ascii="Arial" w:hAnsi="Arial" w:cs="Arial"/>
          <w:lang w:val="en"/>
        </w:rPr>
      </w:pPr>
      <w:r>
        <w:rPr>
          <w:rFonts w:ascii="Arial" w:hAnsi="Arial" w:cs="Arial"/>
          <w:lang w:val="en"/>
        </w:rPr>
        <w:t>CABENUVA</w:t>
      </w:r>
      <w:r w:rsidR="00AB30B1" w:rsidRPr="00391F4A">
        <w:rPr>
          <w:rFonts w:ascii="Arial" w:hAnsi="Arial" w:cs="Arial"/>
          <w:lang w:val="en"/>
        </w:rPr>
        <w:t xml:space="preserve"> should be prescribed by a physician experienced in the management of HIV infection.</w:t>
      </w:r>
    </w:p>
    <w:p w14:paraId="1DC08070" w14:textId="06534833" w:rsidR="000253F1" w:rsidRPr="00420A8A" w:rsidRDefault="000253F1" w:rsidP="000253F1">
      <w:pPr>
        <w:rPr>
          <w:rFonts w:ascii="Arial" w:hAnsi="Arial" w:cs="Arial"/>
          <w:bCs/>
        </w:rPr>
      </w:pPr>
      <w:r w:rsidRPr="00420A8A">
        <w:rPr>
          <w:rFonts w:ascii="Arial" w:hAnsi="Arial" w:cs="Arial"/>
          <w:bCs/>
        </w:rPr>
        <w:lastRenderedPageBreak/>
        <w:t xml:space="preserve">Dosing for CABENUVA consists of 3 distinct phases: An oral lead-in with </w:t>
      </w:r>
      <w:r>
        <w:rPr>
          <w:rFonts w:ascii="Arial" w:hAnsi="Arial" w:cs="Arial"/>
          <w:bCs/>
        </w:rPr>
        <w:t>cabotegravir (VOCABRIA) and rilpivirine (EDURANT) tablets</w:t>
      </w:r>
      <w:r w:rsidRPr="00420A8A">
        <w:rPr>
          <w:rFonts w:ascii="Arial" w:hAnsi="Arial" w:cs="Arial"/>
          <w:bCs/>
        </w:rPr>
        <w:t xml:space="preserve"> taken together, initiation injections of CABENUVA , and continuation injections with CABENUVA .</w:t>
      </w:r>
    </w:p>
    <w:p w14:paraId="09055E64" w14:textId="5D771967" w:rsidR="00AB30B1" w:rsidRDefault="00AB30B1" w:rsidP="00D7523E">
      <w:pPr>
        <w:pStyle w:val="Heading3"/>
        <w:ind w:left="0"/>
        <w:rPr>
          <w:rFonts w:ascii="Arial" w:hAnsi="Arial" w:cs="Arial"/>
        </w:rPr>
      </w:pPr>
      <w:r>
        <w:rPr>
          <w:rFonts w:ascii="Arial" w:hAnsi="Arial" w:cs="Arial"/>
        </w:rPr>
        <w:t>Adults</w:t>
      </w:r>
    </w:p>
    <w:p w14:paraId="2E02DF65" w14:textId="5F00F5E0" w:rsidR="00AB30B1" w:rsidRPr="00391F4A" w:rsidRDefault="00AB30B1" w:rsidP="00391F4A">
      <w:pPr>
        <w:pStyle w:val="Heading4"/>
        <w:rPr>
          <w:rFonts w:ascii="Arial" w:hAnsi="Arial" w:cs="Arial"/>
          <w:color w:val="auto"/>
        </w:rPr>
      </w:pPr>
      <w:r w:rsidRPr="00391F4A">
        <w:rPr>
          <w:rFonts w:ascii="Arial" w:hAnsi="Arial" w:cs="Arial"/>
          <w:color w:val="auto"/>
        </w:rPr>
        <w:t>Oral lead-in</w:t>
      </w:r>
      <w:r w:rsidR="000253F1">
        <w:rPr>
          <w:rFonts w:ascii="Arial" w:hAnsi="Arial" w:cs="Arial"/>
          <w:color w:val="auto"/>
        </w:rPr>
        <w:t xml:space="preserve"> dosing</w:t>
      </w:r>
    </w:p>
    <w:p w14:paraId="7EC97508" w14:textId="3F686017" w:rsidR="000253F1" w:rsidRPr="00BD7237" w:rsidRDefault="000253F1" w:rsidP="000253F1">
      <w:pPr>
        <w:rPr>
          <w:rFonts w:ascii="Arial" w:hAnsi="Arial" w:cs="Arial"/>
          <w:lang w:val="en"/>
        </w:rPr>
      </w:pPr>
      <w:bookmarkStart w:id="3" w:name="_Hlk528074272"/>
      <w:r w:rsidRPr="00A335B8">
        <w:rPr>
          <w:rFonts w:ascii="Arial" w:hAnsi="Arial" w:cs="Arial"/>
          <w:lang w:val="en"/>
        </w:rPr>
        <w:t xml:space="preserve">One cabotegravir </w:t>
      </w:r>
      <w:r w:rsidR="00A335B8">
        <w:rPr>
          <w:rFonts w:ascii="Arial" w:hAnsi="Arial" w:cs="Arial"/>
          <w:lang w:val="en"/>
        </w:rPr>
        <w:t>(</w:t>
      </w:r>
      <w:r w:rsidRPr="00A335B8">
        <w:rPr>
          <w:rFonts w:ascii="Arial" w:hAnsi="Arial" w:cs="Arial"/>
          <w:lang w:val="en"/>
        </w:rPr>
        <w:t>VOCABRIA</w:t>
      </w:r>
      <w:r w:rsidR="00A335B8">
        <w:rPr>
          <w:rFonts w:ascii="Arial" w:hAnsi="Arial" w:cs="Arial"/>
          <w:lang w:val="en"/>
        </w:rPr>
        <w:t>)</w:t>
      </w:r>
      <w:r w:rsidRPr="00A335B8">
        <w:rPr>
          <w:rFonts w:ascii="Arial" w:hAnsi="Arial" w:cs="Arial"/>
          <w:lang w:val="en"/>
        </w:rPr>
        <w:t xml:space="preserve"> 30</w:t>
      </w:r>
      <w:r w:rsidR="00A335B8">
        <w:rPr>
          <w:rFonts w:ascii="Arial" w:hAnsi="Arial" w:cs="Arial"/>
          <w:lang w:val="en"/>
        </w:rPr>
        <w:t xml:space="preserve"> </w:t>
      </w:r>
      <w:r w:rsidRPr="00A335B8">
        <w:rPr>
          <w:rFonts w:ascii="Arial" w:hAnsi="Arial" w:cs="Arial"/>
          <w:lang w:val="en"/>
        </w:rPr>
        <w:t xml:space="preserve">mg tablet and one rilpivirine </w:t>
      </w:r>
      <w:r w:rsidR="00A335B8">
        <w:rPr>
          <w:rFonts w:ascii="Arial" w:hAnsi="Arial" w:cs="Arial"/>
          <w:lang w:val="en"/>
        </w:rPr>
        <w:t>(</w:t>
      </w:r>
      <w:r w:rsidRPr="00A335B8">
        <w:rPr>
          <w:rFonts w:ascii="Arial" w:hAnsi="Arial" w:cs="Arial"/>
          <w:lang w:val="en"/>
        </w:rPr>
        <w:t>EDURANT</w:t>
      </w:r>
      <w:r w:rsidR="00A335B8">
        <w:rPr>
          <w:rFonts w:ascii="Arial" w:hAnsi="Arial" w:cs="Arial"/>
          <w:lang w:val="en"/>
        </w:rPr>
        <w:t>)</w:t>
      </w:r>
      <w:r w:rsidRPr="00A335B8">
        <w:rPr>
          <w:rFonts w:ascii="Arial" w:hAnsi="Arial" w:cs="Arial"/>
          <w:lang w:val="en"/>
        </w:rPr>
        <w:t xml:space="preserve"> 25</w:t>
      </w:r>
      <w:r w:rsidR="005312E6">
        <w:rPr>
          <w:rFonts w:ascii="Arial" w:hAnsi="Arial" w:cs="Arial"/>
          <w:lang w:val="en"/>
        </w:rPr>
        <w:t xml:space="preserve"> </w:t>
      </w:r>
      <w:r w:rsidRPr="00A335B8">
        <w:rPr>
          <w:rFonts w:ascii="Arial" w:hAnsi="Arial" w:cs="Arial"/>
          <w:lang w:val="en"/>
        </w:rPr>
        <w:t>mg tablet, co</w:t>
      </w:r>
      <w:r w:rsidR="00A335B8">
        <w:rPr>
          <w:rFonts w:ascii="Arial" w:hAnsi="Arial" w:cs="Arial"/>
          <w:lang w:val="en"/>
        </w:rPr>
        <w:t>-</w:t>
      </w:r>
      <w:r w:rsidRPr="00A335B8">
        <w:rPr>
          <w:rFonts w:ascii="Arial" w:hAnsi="Arial" w:cs="Arial"/>
          <w:lang w:val="en"/>
        </w:rPr>
        <w:t xml:space="preserve">administered once daily, </w:t>
      </w:r>
      <w:bookmarkEnd w:id="3"/>
      <w:r w:rsidRPr="00A335B8">
        <w:rPr>
          <w:rFonts w:ascii="Arial" w:hAnsi="Arial" w:cs="Arial"/>
          <w:lang w:val="en"/>
        </w:rPr>
        <w:t xml:space="preserve">should be used for approximately 1 month (at least 28 days) prior </w:t>
      </w:r>
      <w:r w:rsidRPr="00BD7237">
        <w:rPr>
          <w:rFonts w:ascii="Arial" w:hAnsi="Arial" w:cs="Arial"/>
          <w:lang w:val="en"/>
        </w:rPr>
        <w:t>to the initiation of CABENUVA</w:t>
      </w:r>
      <w:r w:rsidR="00A335B8" w:rsidRPr="00BD7237">
        <w:rPr>
          <w:rFonts w:ascii="Arial" w:hAnsi="Arial" w:cs="Arial"/>
          <w:lang w:val="en"/>
        </w:rPr>
        <w:t>,</w:t>
      </w:r>
      <w:r w:rsidRPr="00BD7237">
        <w:rPr>
          <w:rFonts w:ascii="Arial" w:hAnsi="Arial" w:cs="Arial"/>
          <w:lang w:val="en"/>
        </w:rPr>
        <w:t xml:space="preserve"> to assess the tolerability of cabotegravir and rilpivirine. See Table 1 for recommended oral dosing.</w:t>
      </w:r>
    </w:p>
    <w:p w14:paraId="223B39E9" w14:textId="0121ABE2" w:rsidR="002F4803" w:rsidRPr="00763708" w:rsidRDefault="002F4803" w:rsidP="007264C7">
      <w:pPr>
        <w:keepNext/>
        <w:rPr>
          <w:rFonts w:ascii="Arial" w:hAnsi="Arial" w:cs="Arial"/>
          <w:b/>
          <w:bCs/>
          <w:i/>
        </w:rPr>
      </w:pPr>
      <w:r w:rsidRPr="00763708">
        <w:rPr>
          <w:rFonts w:ascii="Arial" w:hAnsi="Arial" w:cs="Arial"/>
          <w:b/>
        </w:rPr>
        <w:t xml:space="preserve">Monthly Dosing </w:t>
      </w:r>
    </w:p>
    <w:p w14:paraId="3BCE739F" w14:textId="51334722" w:rsidR="00391F4A" w:rsidRPr="00BD7237" w:rsidRDefault="00391F4A" w:rsidP="00391F4A">
      <w:pPr>
        <w:pStyle w:val="Heading4"/>
        <w:rPr>
          <w:rFonts w:ascii="Arial" w:hAnsi="Arial" w:cs="Arial"/>
          <w:color w:val="auto"/>
        </w:rPr>
      </w:pPr>
      <w:r w:rsidRPr="00BD7237">
        <w:rPr>
          <w:rFonts w:ascii="Arial" w:hAnsi="Arial" w:cs="Arial"/>
          <w:color w:val="auto"/>
        </w:rPr>
        <w:t xml:space="preserve">Initiation injection (3 mL </w:t>
      </w:r>
      <w:r w:rsidR="00A335B8" w:rsidRPr="00BD7237">
        <w:rPr>
          <w:rFonts w:ascii="Arial" w:hAnsi="Arial" w:cs="Arial"/>
          <w:color w:val="auto"/>
        </w:rPr>
        <w:t>dosing</w:t>
      </w:r>
      <w:r w:rsidRPr="00BD7237">
        <w:rPr>
          <w:rFonts w:ascii="Arial" w:hAnsi="Arial" w:cs="Arial"/>
          <w:color w:val="auto"/>
        </w:rPr>
        <w:t>)</w:t>
      </w:r>
    </w:p>
    <w:p w14:paraId="7A367293" w14:textId="141B027B" w:rsidR="00391F4A" w:rsidRPr="00BD7237" w:rsidRDefault="009615A4" w:rsidP="00D66292">
      <w:pPr>
        <w:rPr>
          <w:rFonts w:ascii="Arial" w:hAnsi="Arial" w:cs="Arial"/>
          <w:lang w:val="en"/>
        </w:rPr>
      </w:pPr>
      <w:r w:rsidRPr="00BD7237">
        <w:rPr>
          <w:rFonts w:ascii="Arial" w:hAnsi="Arial" w:cs="Arial"/>
          <w:lang w:val="en"/>
        </w:rPr>
        <w:t>Initiate injections on the</w:t>
      </w:r>
      <w:r w:rsidR="00391F4A" w:rsidRPr="00BD7237">
        <w:rPr>
          <w:rFonts w:ascii="Arial" w:hAnsi="Arial" w:cs="Arial"/>
          <w:lang w:val="en"/>
        </w:rPr>
        <w:t xml:space="preserve"> final day of oral lead in therapy</w:t>
      </w:r>
      <w:r w:rsidRPr="00BD7237">
        <w:rPr>
          <w:rFonts w:ascii="Arial" w:hAnsi="Arial" w:cs="Arial"/>
          <w:lang w:val="en"/>
        </w:rPr>
        <w:t xml:space="preserve"> (see Table 1).</w:t>
      </w:r>
      <w:r w:rsidR="00391F4A" w:rsidRPr="00BD7237">
        <w:rPr>
          <w:rFonts w:ascii="Arial" w:hAnsi="Arial" w:cs="Arial"/>
          <w:lang w:val="en"/>
        </w:rPr>
        <w:t xml:space="preserve"> </w:t>
      </w:r>
      <w:r w:rsidRPr="00BD7237">
        <w:rPr>
          <w:rFonts w:ascii="Arial" w:hAnsi="Arial" w:cs="Arial"/>
          <w:lang w:val="en"/>
        </w:rPr>
        <w:t>T</w:t>
      </w:r>
      <w:r w:rsidR="00391F4A" w:rsidRPr="00BD7237">
        <w:rPr>
          <w:rFonts w:ascii="Arial" w:hAnsi="Arial" w:cs="Arial"/>
          <w:lang w:val="en"/>
        </w:rPr>
        <w:t xml:space="preserve">he recommended initial </w:t>
      </w:r>
      <w:r w:rsidR="00A335B8" w:rsidRPr="00BD7237">
        <w:rPr>
          <w:rFonts w:ascii="Arial" w:hAnsi="Arial" w:cs="Arial"/>
          <w:lang w:val="en"/>
        </w:rPr>
        <w:t xml:space="preserve">injection </w:t>
      </w:r>
      <w:r w:rsidR="00391F4A" w:rsidRPr="00BD7237">
        <w:rPr>
          <w:rFonts w:ascii="Arial" w:hAnsi="Arial" w:cs="Arial"/>
          <w:lang w:val="en"/>
        </w:rPr>
        <w:t>dose</w:t>
      </w:r>
      <w:r w:rsidR="00A335B8" w:rsidRPr="00BD7237">
        <w:rPr>
          <w:rFonts w:ascii="Arial" w:hAnsi="Arial" w:cs="Arial"/>
          <w:lang w:val="en"/>
        </w:rPr>
        <w:t>s</w:t>
      </w:r>
      <w:r w:rsidR="00391F4A" w:rsidRPr="00BD7237">
        <w:rPr>
          <w:rFonts w:ascii="Arial" w:hAnsi="Arial" w:cs="Arial"/>
          <w:lang w:val="en"/>
        </w:rPr>
        <w:t xml:space="preserve"> of </w:t>
      </w:r>
      <w:r w:rsidR="00DC4D8B" w:rsidRPr="00BD7237">
        <w:rPr>
          <w:rFonts w:ascii="Arial" w:hAnsi="Arial" w:cs="Arial"/>
          <w:lang w:val="en"/>
        </w:rPr>
        <w:t>CABENUVA</w:t>
      </w:r>
      <w:r w:rsidR="00391F4A" w:rsidRPr="00BD7237">
        <w:rPr>
          <w:rFonts w:ascii="Arial" w:hAnsi="Arial" w:cs="Arial"/>
          <w:lang w:val="en"/>
        </w:rPr>
        <w:t xml:space="preserve"> </w:t>
      </w:r>
      <w:r w:rsidRPr="00BD7237">
        <w:rPr>
          <w:rFonts w:ascii="Arial" w:hAnsi="Arial" w:cs="Arial"/>
          <w:lang w:val="en"/>
        </w:rPr>
        <w:t xml:space="preserve">in adults </w:t>
      </w:r>
      <w:r w:rsidR="00A335B8" w:rsidRPr="00BD7237">
        <w:rPr>
          <w:rFonts w:ascii="Arial" w:hAnsi="Arial" w:cs="Arial"/>
          <w:lang w:val="en"/>
        </w:rPr>
        <w:t>are</w:t>
      </w:r>
      <w:r w:rsidR="00391F4A" w:rsidRPr="00BD7237">
        <w:rPr>
          <w:rFonts w:ascii="Arial" w:hAnsi="Arial" w:cs="Arial"/>
          <w:lang w:val="en"/>
        </w:rPr>
        <w:t xml:space="preserve"> a single 3 mL (600 mg) intramuscular </w:t>
      </w:r>
      <w:r w:rsidR="00A335B8" w:rsidRPr="00BD7237">
        <w:rPr>
          <w:rFonts w:ascii="Arial" w:hAnsi="Arial" w:cs="Arial"/>
          <w:lang w:val="en"/>
        </w:rPr>
        <w:t xml:space="preserve">(IM) injection of cabotegravir and a single 3 mL (900 mg) IM injection of </w:t>
      </w:r>
      <w:r w:rsidR="00391F4A" w:rsidRPr="00BD7237">
        <w:rPr>
          <w:rFonts w:ascii="Arial" w:hAnsi="Arial" w:cs="Arial"/>
          <w:lang w:val="en"/>
        </w:rPr>
        <w:t>rilpivirine</w:t>
      </w:r>
      <w:r w:rsidRPr="00BD7237">
        <w:rPr>
          <w:rFonts w:ascii="Arial" w:hAnsi="Arial" w:cs="Arial"/>
          <w:lang w:val="en"/>
        </w:rPr>
        <w:t xml:space="preserve">. </w:t>
      </w:r>
    </w:p>
    <w:p w14:paraId="15D66D1D" w14:textId="30E8930B" w:rsidR="00391F4A" w:rsidRPr="00BD7237" w:rsidRDefault="00391F4A" w:rsidP="00391F4A">
      <w:pPr>
        <w:pStyle w:val="Heading4"/>
        <w:rPr>
          <w:rFonts w:ascii="Arial" w:hAnsi="Arial" w:cs="Arial"/>
          <w:color w:val="auto"/>
        </w:rPr>
      </w:pPr>
      <w:r w:rsidRPr="00BD7237">
        <w:rPr>
          <w:rFonts w:ascii="Arial" w:hAnsi="Arial" w:cs="Arial"/>
          <w:color w:val="auto"/>
        </w:rPr>
        <w:t xml:space="preserve">Continuation injection (2 mL </w:t>
      </w:r>
      <w:r w:rsidR="00A335B8" w:rsidRPr="00BD7237">
        <w:rPr>
          <w:rFonts w:ascii="Arial" w:hAnsi="Arial" w:cs="Arial"/>
          <w:color w:val="auto"/>
        </w:rPr>
        <w:t>dosing</w:t>
      </w:r>
      <w:r w:rsidRPr="00BD7237">
        <w:rPr>
          <w:rFonts w:ascii="Arial" w:hAnsi="Arial" w:cs="Arial"/>
          <w:color w:val="auto"/>
        </w:rPr>
        <w:t>)</w:t>
      </w:r>
    </w:p>
    <w:p w14:paraId="68D78001" w14:textId="3CE44F13" w:rsidR="009615A4" w:rsidRPr="00BD7237" w:rsidRDefault="009615A4" w:rsidP="00D66292">
      <w:pPr>
        <w:rPr>
          <w:rFonts w:ascii="Arial" w:hAnsi="Arial" w:cs="Arial"/>
          <w:lang w:val="en"/>
        </w:rPr>
      </w:pPr>
      <w:r w:rsidRPr="00BD7237">
        <w:rPr>
          <w:rFonts w:ascii="Arial" w:hAnsi="Arial" w:cs="Arial"/>
          <w:lang w:val="en"/>
        </w:rPr>
        <w:t>One month following</w:t>
      </w:r>
      <w:r w:rsidR="00391F4A" w:rsidRPr="00BD7237">
        <w:rPr>
          <w:rFonts w:ascii="Arial" w:hAnsi="Arial" w:cs="Arial"/>
          <w:lang w:val="en"/>
        </w:rPr>
        <w:t xml:space="preserve"> the initiation injection</w:t>
      </w:r>
      <w:r w:rsidRPr="00BD7237">
        <w:rPr>
          <w:rFonts w:ascii="Arial" w:hAnsi="Arial" w:cs="Arial"/>
          <w:lang w:val="en"/>
        </w:rPr>
        <w:t>s</w:t>
      </w:r>
      <w:r w:rsidR="00391F4A" w:rsidRPr="00BD7237">
        <w:rPr>
          <w:rFonts w:ascii="Arial" w:hAnsi="Arial" w:cs="Arial"/>
          <w:lang w:val="en"/>
        </w:rPr>
        <w:t xml:space="preserve">, the </w:t>
      </w:r>
      <w:r w:rsidRPr="00BD7237">
        <w:rPr>
          <w:rFonts w:ascii="Arial" w:hAnsi="Arial" w:cs="Arial"/>
          <w:lang w:val="en"/>
        </w:rPr>
        <w:t xml:space="preserve">recommended </w:t>
      </w:r>
      <w:r w:rsidR="00391F4A" w:rsidRPr="00BD7237">
        <w:rPr>
          <w:rFonts w:ascii="Arial" w:hAnsi="Arial" w:cs="Arial"/>
          <w:lang w:val="en"/>
        </w:rPr>
        <w:t>continuation injection dose</w:t>
      </w:r>
      <w:r w:rsidRPr="00BD7237">
        <w:rPr>
          <w:rFonts w:ascii="Arial" w:hAnsi="Arial" w:cs="Arial"/>
          <w:lang w:val="en"/>
        </w:rPr>
        <w:t>s</w:t>
      </w:r>
      <w:r w:rsidR="00391F4A" w:rsidRPr="00BD7237">
        <w:rPr>
          <w:rFonts w:ascii="Arial" w:hAnsi="Arial" w:cs="Arial"/>
          <w:lang w:val="en"/>
        </w:rPr>
        <w:t xml:space="preserve"> of </w:t>
      </w:r>
      <w:r w:rsidR="00DC4D8B" w:rsidRPr="00BD7237">
        <w:rPr>
          <w:rFonts w:ascii="Arial" w:hAnsi="Arial" w:cs="Arial"/>
          <w:lang w:val="en"/>
        </w:rPr>
        <w:t>CABENUVA</w:t>
      </w:r>
      <w:r w:rsidR="00391F4A" w:rsidRPr="00BD7237">
        <w:rPr>
          <w:rFonts w:ascii="Arial" w:hAnsi="Arial" w:cs="Arial"/>
          <w:lang w:val="en"/>
        </w:rPr>
        <w:t xml:space="preserve"> in adults </w:t>
      </w:r>
      <w:r w:rsidR="00A335B8" w:rsidRPr="00BD7237">
        <w:rPr>
          <w:rFonts w:ascii="Arial" w:hAnsi="Arial" w:cs="Arial"/>
          <w:lang w:val="en"/>
        </w:rPr>
        <w:t xml:space="preserve">are a single 2 mL (400 mg) IM injection of cabotegravir and a single </w:t>
      </w:r>
      <w:r w:rsidR="0045565C" w:rsidRPr="00BD7237">
        <w:rPr>
          <w:rFonts w:ascii="Arial" w:hAnsi="Arial" w:cs="Arial"/>
          <w:lang w:val="en"/>
        </w:rPr>
        <w:t>2</w:t>
      </w:r>
      <w:r w:rsidR="00A335B8" w:rsidRPr="00BD7237">
        <w:rPr>
          <w:rFonts w:ascii="Arial" w:hAnsi="Arial" w:cs="Arial"/>
          <w:lang w:val="en"/>
        </w:rPr>
        <w:t> mL (</w:t>
      </w:r>
      <w:r w:rsidR="006234BC" w:rsidRPr="00BD7237">
        <w:rPr>
          <w:rFonts w:ascii="Arial" w:hAnsi="Arial" w:cs="Arial"/>
          <w:lang w:val="en"/>
        </w:rPr>
        <w:t>6</w:t>
      </w:r>
      <w:r w:rsidR="00A335B8" w:rsidRPr="00BD7237">
        <w:rPr>
          <w:rFonts w:ascii="Arial" w:hAnsi="Arial" w:cs="Arial"/>
          <w:lang w:val="en"/>
        </w:rPr>
        <w:t>00 mg) IM injection of rilpivirine</w:t>
      </w:r>
      <w:r w:rsidR="007264C7" w:rsidRPr="00BD7237">
        <w:rPr>
          <w:rFonts w:ascii="Arial" w:hAnsi="Arial" w:cs="Arial"/>
          <w:lang w:val="en"/>
        </w:rPr>
        <w:t>, administered</w:t>
      </w:r>
      <w:r w:rsidRPr="00BD7237">
        <w:rPr>
          <w:rFonts w:ascii="Arial" w:hAnsi="Arial" w:cs="Arial"/>
          <w:lang w:val="en"/>
        </w:rPr>
        <w:t xml:space="preserve"> monthly</w:t>
      </w:r>
      <w:r w:rsidR="00B02F99" w:rsidRPr="00BD7237">
        <w:rPr>
          <w:rFonts w:ascii="Arial" w:hAnsi="Arial" w:cs="Arial"/>
          <w:lang w:val="en"/>
        </w:rPr>
        <w:t xml:space="preserve"> (see Table 1)</w:t>
      </w:r>
      <w:r w:rsidRPr="00BD7237">
        <w:rPr>
          <w:rFonts w:ascii="Arial" w:hAnsi="Arial" w:cs="Arial"/>
          <w:lang w:val="en"/>
        </w:rPr>
        <w:t>.</w:t>
      </w:r>
      <w:r w:rsidR="00A335B8" w:rsidRPr="00BD7237">
        <w:rPr>
          <w:rFonts w:ascii="Arial" w:hAnsi="Arial" w:cs="Arial"/>
          <w:lang w:val="en"/>
        </w:rPr>
        <w:t xml:space="preserve"> </w:t>
      </w:r>
    </w:p>
    <w:p w14:paraId="5E24A0D0" w14:textId="1DBA5F26" w:rsidR="00391F4A" w:rsidRPr="00391F4A" w:rsidRDefault="00391F4A" w:rsidP="00D66292">
      <w:pPr>
        <w:rPr>
          <w:rFonts w:ascii="Arial" w:hAnsi="Arial" w:cs="Arial"/>
          <w:lang w:val="en"/>
        </w:rPr>
      </w:pPr>
      <w:r w:rsidRPr="00BD7237">
        <w:rPr>
          <w:rFonts w:ascii="Arial" w:hAnsi="Arial" w:cs="Arial"/>
          <w:lang w:val="en"/>
        </w:rPr>
        <w:t xml:space="preserve">Patients may be given </w:t>
      </w:r>
      <w:r w:rsidR="009615A4" w:rsidRPr="00BD7237">
        <w:rPr>
          <w:rFonts w:ascii="Arial" w:hAnsi="Arial" w:cs="Arial"/>
          <w:lang w:val="en"/>
        </w:rPr>
        <w:t>CABENUVA</w:t>
      </w:r>
      <w:r w:rsidRPr="00BD7237">
        <w:rPr>
          <w:rFonts w:ascii="Arial" w:hAnsi="Arial" w:cs="Arial"/>
          <w:lang w:val="en"/>
        </w:rPr>
        <w:t xml:space="preserve"> up</w:t>
      </w:r>
      <w:r w:rsidRPr="00391F4A">
        <w:rPr>
          <w:rFonts w:ascii="Arial" w:hAnsi="Arial" w:cs="Arial"/>
          <w:lang w:val="en"/>
        </w:rPr>
        <w:t xml:space="preserve"> to 7 days before or after the date of the </w:t>
      </w:r>
      <w:r w:rsidR="009615A4">
        <w:rPr>
          <w:rFonts w:ascii="Arial" w:hAnsi="Arial" w:cs="Arial"/>
          <w:lang w:val="en"/>
        </w:rPr>
        <w:t xml:space="preserve">scheduled </w:t>
      </w:r>
      <w:r w:rsidRPr="00391F4A">
        <w:rPr>
          <w:rFonts w:ascii="Arial" w:hAnsi="Arial" w:cs="Arial"/>
          <w:lang w:val="en"/>
        </w:rPr>
        <w:t xml:space="preserve">monthly 2 mL injection </w:t>
      </w:r>
      <w:r w:rsidR="009615A4">
        <w:rPr>
          <w:rFonts w:ascii="Arial" w:hAnsi="Arial" w:cs="Arial"/>
          <w:lang w:val="en"/>
        </w:rPr>
        <w:t>dosing visit</w:t>
      </w:r>
      <w:r w:rsidR="004910FC">
        <w:rPr>
          <w:rFonts w:ascii="Arial" w:hAnsi="Arial" w:cs="Arial"/>
          <w:lang w:val="en"/>
        </w:rPr>
        <w:t xml:space="preserve"> (see Table </w:t>
      </w:r>
      <w:r w:rsidR="00936270">
        <w:rPr>
          <w:rFonts w:ascii="Arial" w:hAnsi="Arial" w:cs="Arial"/>
          <w:lang w:val="en"/>
        </w:rPr>
        <w:t>3</w:t>
      </w:r>
      <w:r w:rsidR="004910FC">
        <w:rPr>
          <w:rFonts w:ascii="Arial" w:hAnsi="Arial" w:cs="Arial"/>
          <w:lang w:val="en"/>
        </w:rPr>
        <w:t>)</w:t>
      </w:r>
      <w:r w:rsidRPr="00391F4A">
        <w:rPr>
          <w:rFonts w:ascii="Arial" w:hAnsi="Arial" w:cs="Arial"/>
          <w:lang w:val="en"/>
        </w:rPr>
        <w:t>.</w:t>
      </w:r>
    </w:p>
    <w:p w14:paraId="3E3A3D01" w14:textId="0C855571" w:rsidR="00391F4A" w:rsidRPr="00391F4A" w:rsidRDefault="00391F4A" w:rsidP="00391F4A">
      <w:pPr>
        <w:spacing w:line="240" w:lineRule="auto"/>
        <w:rPr>
          <w:rFonts w:ascii="Arial" w:hAnsi="Arial" w:cs="Arial"/>
          <w:b/>
          <w:bCs/>
          <w:iCs/>
        </w:rPr>
      </w:pPr>
      <w:r w:rsidRPr="00391F4A">
        <w:rPr>
          <w:rFonts w:ascii="Arial" w:hAnsi="Arial" w:cs="Arial"/>
          <w:b/>
          <w:bCs/>
          <w:iCs/>
        </w:rPr>
        <w:t xml:space="preserve">Table 1: Recommended </w:t>
      </w:r>
      <w:r w:rsidR="007264C7">
        <w:rPr>
          <w:rFonts w:ascii="Arial" w:hAnsi="Arial" w:cs="Arial"/>
          <w:b/>
          <w:bCs/>
          <w:iCs/>
        </w:rPr>
        <w:t xml:space="preserve">monthly </w:t>
      </w:r>
      <w:r w:rsidR="004910FC">
        <w:rPr>
          <w:rFonts w:ascii="Arial" w:hAnsi="Arial" w:cs="Arial"/>
          <w:b/>
          <w:bCs/>
          <w:iCs/>
        </w:rPr>
        <w:t>d</w:t>
      </w:r>
      <w:r w:rsidRPr="00391F4A">
        <w:rPr>
          <w:rFonts w:ascii="Arial" w:hAnsi="Arial" w:cs="Arial"/>
          <w:b/>
          <w:bCs/>
          <w:iCs/>
        </w:rPr>
        <w:t xml:space="preserve">osing </w:t>
      </w:r>
      <w:r w:rsidR="004910FC">
        <w:rPr>
          <w:rFonts w:ascii="Arial" w:hAnsi="Arial" w:cs="Arial"/>
          <w:b/>
          <w:bCs/>
          <w:iCs/>
        </w:rPr>
        <w:t>s</w:t>
      </w:r>
      <w:r w:rsidRPr="00391F4A">
        <w:rPr>
          <w:rFonts w:ascii="Arial" w:hAnsi="Arial" w:cs="Arial"/>
          <w:b/>
          <w:bCs/>
          <w:iCs/>
        </w:rPr>
        <w:t xml:space="preserve">chedule in </w:t>
      </w:r>
      <w:r w:rsidR="004910FC">
        <w:rPr>
          <w:rFonts w:ascii="Arial" w:hAnsi="Arial" w:cs="Arial"/>
          <w:b/>
          <w:bCs/>
          <w:iCs/>
        </w:rPr>
        <w:t>a</w:t>
      </w:r>
      <w:r w:rsidRPr="00391F4A">
        <w:rPr>
          <w:rFonts w:ascii="Arial" w:hAnsi="Arial" w:cs="Arial"/>
          <w:b/>
          <w:bCs/>
          <w:iCs/>
        </w:rPr>
        <w:t xml:space="preserve">dult </w:t>
      </w:r>
      <w:r w:rsidR="004910FC">
        <w:rPr>
          <w:rFonts w:ascii="Arial" w:hAnsi="Arial" w:cs="Arial"/>
          <w:b/>
          <w:bCs/>
          <w:iCs/>
        </w:rPr>
        <w:t>p</w:t>
      </w:r>
      <w:r w:rsidRPr="00391F4A">
        <w:rPr>
          <w:rFonts w:ascii="Arial" w:hAnsi="Arial" w:cs="Arial"/>
          <w:b/>
          <w:bCs/>
          <w:iCs/>
        </w:rPr>
        <w:t>atients</w:t>
      </w:r>
    </w:p>
    <w:tbl>
      <w:tblPr>
        <w:tblW w:w="7645" w:type="dxa"/>
        <w:tblLayout w:type="fixed"/>
        <w:tblCellMar>
          <w:left w:w="0" w:type="dxa"/>
          <w:right w:w="0" w:type="dxa"/>
        </w:tblCellMar>
        <w:tblLook w:val="04A0" w:firstRow="1" w:lastRow="0" w:firstColumn="1" w:lastColumn="0" w:noHBand="0" w:noVBand="1"/>
      </w:tblPr>
      <w:tblGrid>
        <w:gridCol w:w="1353"/>
        <w:gridCol w:w="1984"/>
        <w:gridCol w:w="2002"/>
        <w:gridCol w:w="2306"/>
      </w:tblGrid>
      <w:tr w:rsidR="004910FC" w:rsidRPr="00D66292" w14:paraId="17BB6CF8" w14:textId="77777777" w:rsidTr="004910FC">
        <w:trPr>
          <w:trHeight w:val="671"/>
        </w:trPr>
        <w:tc>
          <w:tcPr>
            <w:tcW w:w="135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5B43295A" w14:textId="77777777" w:rsidR="004910FC" w:rsidRPr="00D66292" w:rsidRDefault="004910FC" w:rsidP="00B02CA3">
            <w:pPr>
              <w:rPr>
                <w:rFonts w:ascii="Arial Narrow" w:hAnsi="Arial Narrow"/>
                <w:sz w:val="20"/>
                <w:szCs w:val="20"/>
                <w:lang w:val="en-US"/>
              </w:rPr>
            </w:pPr>
            <w:r w:rsidRPr="00D66292">
              <w:rPr>
                <w:rFonts w:ascii="Arial Narrow" w:eastAsia="Calibri" w:hAnsi="Arial Narrow"/>
                <w:b/>
                <w:bCs/>
                <w:color w:val="000000"/>
                <w:kern w:val="24"/>
                <w:sz w:val="20"/>
                <w:szCs w:val="20"/>
                <w:lang w:val="en-US"/>
              </w:rPr>
              <w:t> </w:t>
            </w:r>
          </w:p>
        </w:tc>
        <w:tc>
          <w:tcPr>
            <w:tcW w:w="1984" w:type="dxa"/>
            <w:tcBorders>
              <w:top w:val="single" w:sz="8" w:space="0" w:color="000000"/>
              <w:left w:val="single" w:sz="8" w:space="0" w:color="000000"/>
              <w:bottom w:val="single" w:sz="8" w:space="0" w:color="000000"/>
              <w:right w:val="single" w:sz="8" w:space="0" w:color="000000"/>
            </w:tcBorders>
            <w:shd w:val="clear" w:color="auto" w:fill="D9D9D9"/>
            <w:hideMark/>
          </w:tcPr>
          <w:p w14:paraId="31541E7C" w14:textId="5FD0B95D" w:rsidR="004910FC" w:rsidRPr="00D66292" w:rsidRDefault="004910FC" w:rsidP="00D66292">
            <w:pPr>
              <w:jc w:val="center"/>
              <w:rPr>
                <w:rFonts w:ascii="Arial Narrow" w:eastAsia="Calibri" w:hAnsi="Arial Narrow"/>
                <w:b/>
                <w:bCs/>
                <w:color w:val="000000"/>
                <w:kern w:val="24"/>
                <w:sz w:val="20"/>
                <w:szCs w:val="20"/>
                <w:lang w:val="en-US"/>
              </w:rPr>
            </w:pPr>
            <w:r w:rsidRPr="00D66292">
              <w:rPr>
                <w:rFonts w:ascii="Arial Narrow" w:eastAsia="Calibri" w:hAnsi="Arial Narrow"/>
                <w:b/>
                <w:bCs/>
                <w:color w:val="000000"/>
                <w:kern w:val="24"/>
                <w:sz w:val="20"/>
                <w:szCs w:val="20"/>
                <w:lang w:val="en-US"/>
              </w:rPr>
              <w:t xml:space="preserve">ORAL LEAD </w:t>
            </w:r>
            <w:proofErr w:type="spellStart"/>
            <w:r w:rsidR="0045565C" w:rsidRPr="00D66292">
              <w:rPr>
                <w:rFonts w:ascii="Arial Narrow" w:eastAsia="Calibri" w:hAnsi="Arial Narrow"/>
                <w:b/>
                <w:bCs/>
                <w:color w:val="000000"/>
                <w:kern w:val="24"/>
                <w:sz w:val="20"/>
                <w:szCs w:val="20"/>
                <w:lang w:val="en-US"/>
              </w:rPr>
              <w:t>IN</w:t>
            </w:r>
            <w:r w:rsidRPr="004910FC">
              <w:rPr>
                <w:rFonts w:ascii="Arial Narrow" w:eastAsia="Calibri" w:hAnsi="Arial Narrow"/>
                <w:b/>
                <w:bCs/>
                <w:color w:val="000000"/>
                <w:kern w:val="24"/>
                <w:sz w:val="20"/>
                <w:szCs w:val="20"/>
                <w:vertAlign w:val="superscript"/>
                <w:lang w:val="en-US"/>
              </w:rPr>
              <w:t>a</w:t>
            </w:r>
            <w:proofErr w:type="spellEnd"/>
          </w:p>
        </w:tc>
        <w:tc>
          <w:tcPr>
            <w:tcW w:w="2002"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3982FDEB" w14:textId="77777777" w:rsidR="004910FC" w:rsidRDefault="004910FC" w:rsidP="004910FC">
            <w:pPr>
              <w:spacing w:after="0"/>
              <w:jc w:val="center"/>
              <w:rPr>
                <w:rFonts w:ascii="Arial Narrow" w:eastAsia="Calibri" w:hAnsi="Arial Narrow"/>
                <w:b/>
                <w:bCs/>
                <w:color w:val="000000"/>
                <w:kern w:val="24"/>
                <w:sz w:val="20"/>
                <w:szCs w:val="20"/>
                <w:lang w:val="en-US"/>
              </w:rPr>
            </w:pPr>
            <w:r>
              <w:rPr>
                <w:rFonts w:ascii="Arial Narrow" w:eastAsia="Calibri" w:hAnsi="Arial Narrow"/>
                <w:b/>
                <w:bCs/>
                <w:color w:val="000000"/>
                <w:kern w:val="24"/>
                <w:sz w:val="20"/>
                <w:szCs w:val="20"/>
                <w:lang w:val="en-US"/>
              </w:rPr>
              <w:t>IM</w:t>
            </w:r>
          </w:p>
          <w:p w14:paraId="47F57441" w14:textId="77777777" w:rsidR="0045565C" w:rsidRDefault="004910FC" w:rsidP="0045565C">
            <w:pPr>
              <w:spacing w:after="0"/>
              <w:jc w:val="center"/>
              <w:rPr>
                <w:rFonts w:ascii="Arial Narrow" w:eastAsia="Calibri" w:hAnsi="Arial Narrow"/>
                <w:b/>
                <w:bCs/>
                <w:color w:val="000000"/>
                <w:kern w:val="24"/>
                <w:sz w:val="20"/>
                <w:szCs w:val="20"/>
                <w:lang w:val="en-US"/>
              </w:rPr>
            </w:pPr>
            <w:r w:rsidRPr="00D66292">
              <w:rPr>
                <w:rFonts w:ascii="Arial Narrow" w:eastAsia="Calibri" w:hAnsi="Arial Narrow"/>
                <w:b/>
                <w:bCs/>
                <w:color w:val="000000"/>
                <w:kern w:val="24"/>
                <w:sz w:val="20"/>
                <w:szCs w:val="20"/>
                <w:lang w:val="en-US"/>
              </w:rPr>
              <w:t>INITIATION</w:t>
            </w:r>
          </w:p>
          <w:p w14:paraId="557E8CE3" w14:textId="6563FD33" w:rsidR="004910FC" w:rsidRPr="00D66292" w:rsidRDefault="004910FC" w:rsidP="00D66292">
            <w:pPr>
              <w:jc w:val="center"/>
              <w:rPr>
                <w:rFonts w:ascii="Arial Narrow" w:hAnsi="Arial Narrow"/>
                <w:sz w:val="20"/>
                <w:szCs w:val="20"/>
                <w:lang w:val="en-US"/>
              </w:rPr>
            </w:pPr>
            <w:r w:rsidRPr="00D66292">
              <w:rPr>
                <w:rFonts w:ascii="Arial Narrow" w:eastAsia="Calibri" w:hAnsi="Arial Narrow"/>
                <w:b/>
                <w:bCs/>
                <w:color w:val="000000"/>
                <w:kern w:val="24"/>
                <w:sz w:val="20"/>
                <w:szCs w:val="20"/>
                <w:lang w:val="en-US"/>
              </w:rPr>
              <w:t xml:space="preserve"> INJECTION</w:t>
            </w:r>
          </w:p>
        </w:tc>
        <w:tc>
          <w:tcPr>
            <w:tcW w:w="2306"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2A177A6B" w14:textId="77777777" w:rsidR="004910FC" w:rsidRDefault="004910FC" w:rsidP="004910FC">
            <w:pPr>
              <w:spacing w:after="0"/>
              <w:jc w:val="center"/>
              <w:rPr>
                <w:rFonts w:ascii="Arial Narrow" w:eastAsia="Calibri" w:hAnsi="Arial Narrow"/>
                <w:b/>
                <w:bCs/>
                <w:color w:val="000000"/>
                <w:kern w:val="24"/>
                <w:sz w:val="20"/>
                <w:szCs w:val="20"/>
                <w:lang w:val="en-US"/>
              </w:rPr>
            </w:pPr>
            <w:r>
              <w:rPr>
                <w:rFonts w:ascii="Arial Narrow" w:eastAsia="Calibri" w:hAnsi="Arial Narrow"/>
                <w:b/>
                <w:bCs/>
                <w:color w:val="000000"/>
                <w:kern w:val="24"/>
                <w:sz w:val="20"/>
                <w:szCs w:val="20"/>
                <w:lang w:val="en-US"/>
              </w:rPr>
              <w:t>IM</w:t>
            </w:r>
          </w:p>
          <w:p w14:paraId="7509E5A2" w14:textId="08BBDCEF" w:rsidR="004910FC" w:rsidRPr="00D66292" w:rsidRDefault="004910FC" w:rsidP="00D66292">
            <w:pPr>
              <w:jc w:val="center"/>
              <w:rPr>
                <w:rFonts w:ascii="Arial Narrow" w:hAnsi="Arial Narrow"/>
                <w:sz w:val="20"/>
                <w:szCs w:val="20"/>
                <w:lang w:val="en-US"/>
              </w:rPr>
            </w:pPr>
            <w:r w:rsidRPr="00D66292">
              <w:rPr>
                <w:rFonts w:ascii="Arial Narrow" w:eastAsia="Calibri" w:hAnsi="Arial Narrow"/>
                <w:b/>
                <w:bCs/>
                <w:color w:val="000000"/>
                <w:kern w:val="24"/>
                <w:sz w:val="20"/>
                <w:szCs w:val="20"/>
                <w:lang w:val="en-US"/>
              </w:rPr>
              <w:t>CONTINUATION INJECTION</w:t>
            </w:r>
          </w:p>
        </w:tc>
      </w:tr>
      <w:tr w:rsidR="004910FC" w:rsidRPr="00D66292" w14:paraId="3316BF72" w14:textId="77777777" w:rsidTr="004910FC">
        <w:trPr>
          <w:trHeight w:val="671"/>
        </w:trPr>
        <w:tc>
          <w:tcPr>
            <w:tcW w:w="135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0C5015FA" w14:textId="77777777" w:rsidR="004910FC" w:rsidRPr="00D66292" w:rsidRDefault="004910FC" w:rsidP="00B02CA3">
            <w:pPr>
              <w:rPr>
                <w:rFonts w:ascii="Arial Narrow" w:hAnsi="Arial Narrow"/>
                <w:sz w:val="20"/>
                <w:szCs w:val="20"/>
                <w:lang w:val="en-US"/>
              </w:rPr>
            </w:pPr>
            <w:r w:rsidRPr="00D66292">
              <w:rPr>
                <w:rFonts w:ascii="Arial Narrow" w:eastAsia="Calibri" w:hAnsi="Arial Narrow"/>
                <w:b/>
                <w:bCs/>
                <w:color w:val="000000"/>
                <w:kern w:val="24"/>
                <w:sz w:val="20"/>
                <w:szCs w:val="20"/>
                <w:lang w:val="en-US"/>
              </w:rPr>
              <w:t>Medicinal product</w:t>
            </w:r>
          </w:p>
        </w:tc>
        <w:tc>
          <w:tcPr>
            <w:tcW w:w="198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3314CF46" w14:textId="77777777" w:rsidR="004910FC" w:rsidRDefault="004910FC" w:rsidP="004910FC">
            <w:pPr>
              <w:spacing w:after="0"/>
              <w:jc w:val="center"/>
              <w:rPr>
                <w:rFonts w:ascii="Arial Narrow" w:eastAsia="Calibri" w:hAnsi="Arial Narrow"/>
                <w:b/>
                <w:bCs/>
                <w:color w:val="000000"/>
                <w:kern w:val="24"/>
                <w:sz w:val="20"/>
                <w:szCs w:val="20"/>
                <w:lang w:val="en-US"/>
              </w:rPr>
            </w:pPr>
            <w:r w:rsidRPr="00D66292">
              <w:rPr>
                <w:rFonts w:ascii="Arial Narrow" w:eastAsia="Calibri" w:hAnsi="Arial Narrow"/>
                <w:b/>
                <w:bCs/>
                <w:color w:val="000000"/>
                <w:kern w:val="24"/>
                <w:sz w:val="20"/>
                <w:szCs w:val="20"/>
                <w:lang w:val="en-US"/>
              </w:rPr>
              <w:t xml:space="preserve">During </w:t>
            </w:r>
            <w:r>
              <w:rPr>
                <w:rFonts w:ascii="Arial Narrow" w:eastAsia="Calibri" w:hAnsi="Arial Narrow"/>
                <w:b/>
                <w:bCs/>
                <w:color w:val="000000"/>
                <w:kern w:val="24"/>
                <w:sz w:val="20"/>
                <w:szCs w:val="20"/>
                <w:lang w:val="en-US"/>
              </w:rPr>
              <w:t>M</w:t>
            </w:r>
            <w:r w:rsidRPr="00D66292">
              <w:rPr>
                <w:rFonts w:ascii="Arial Narrow" w:eastAsia="Calibri" w:hAnsi="Arial Narrow"/>
                <w:b/>
                <w:bCs/>
                <w:color w:val="000000"/>
                <w:kern w:val="24"/>
                <w:sz w:val="20"/>
                <w:szCs w:val="20"/>
                <w:lang w:val="en-US"/>
              </w:rPr>
              <w:t>onth 1</w:t>
            </w:r>
            <w:r>
              <w:rPr>
                <w:rFonts w:ascii="Arial Narrow" w:eastAsia="Calibri" w:hAnsi="Arial Narrow"/>
                <w:b/>
                <w:bCs/>
                <w:color w:val="000000"/>
                <w:kern w:val="24"/>
                <w:sz w:val="20"/>
                <w:szCs w:val="20"/>
                <w:lang w:val="en-US"/>
              </w:rPr>
              <w:t xml:space="preserve"> </w:t>
            </w:r>
          </w:p>
          <w:p w14:paraId="64538FC1" w14:textId="016C4EB9" w:rsidR="004910FC" w:rsidRPr="00D66292" w:rsidRDefault="004910FC" w:rsidP="00D66292">
            <w:pPr>
              <w:jc w:val="center"/>
              <w:rPr>
                <w:rFonts w:ascii="Arial Narrow" w:eastAsia="Calibri" w:hAnsi="Arial Narrow"/>
                <w:b/>
                <w:bCs/>
                <w:color w:val="000000"/>
                <w:kern w:val="24"/>
                <w:sz w:val="20"/>
                <w:szCs w:val="20"/>
                <w:lang w:val="en-US"/>
              </w:rPr>
            </w:pPr>
            <w:r>
              <w:rPr>
                <w:rFonts w:ascii="Arial Narrow" w:eastAsia="Calibri" w:hAnsi="Arial Narrow"/>
                <w:b/>
                <w:bCs/>
                <w:color w:val="000000"/>
                <w:kern w:val="24"/>
                <w:sz w:val="20"/>
                <w:szCs w:val="20"/>
                <w:lang w:val="en-US"/>
              </w:rPr>
              <w:t>(at least 28 days)</w:t>
            </w:r>
          </w:p>
        </w:tc>
        <w:tc>
          <w:tcPr>
            <w:tcW w:w="2002"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551D6B0D" w14:textId="77777777" w:rsidR="004910FC" w:rsidRPr="00D66292" w:rsidRDefault="004910FC" w:rsidP="00D66292">
            <w:pPr>
              <w:jc w:val="center"/>
              <w:rPr>
                <w:rFonts w:ascii="Arial Narrow" w:hAnsi="Arial Narrow"/>
                <w:sz w:val="20"/>
                <w:szCs w:val="20"/>
                <w:lang w:val="en-US"/>
              </w:rPr>
            </w:pPr>
            <w:r w:rsidRPr="00D66292">
              <w:rPr>
                <w:rFonts w:ascii="Arial Narrow" w:eastAsia="Calibri" w:hAnsi="Arial Narrow"/>
                <w:b/>
                <w:bCs/>
                <w:color w:val="000000"/>
                <w:kern w:val="24"/>
                <w:sz w:val="20"/>
                <w:szCs w:val="20"/>
                <w:lang w:val="en-US"/>
              </w:rPr>
              <w:t xml:space="preserve">At </w:t>
            </w:r>
            <w:r>
              <w:rPr>
                <w:rFonts w:ascii="Arial Narrow" w:eastAsia="Calibri" w:hAnsi="Arial Narrow"/>
                <w:b/>
                <w:bCs/>
                <w:color w:val="000000"/>
                <w:kern w:val="24"/>
                <w:sz w:val="20"/>
                <w:szCs w:val="20"/>
                <w:lang w:val="en-US"/>
              </w:rPr>
              <w:t>M</w:t>
            </w:r>
            <w:r w:rsidRPr="00D66292">
              <w:rPr>
                <w:rFonts w:ascii="Arial Narrow" w:eastAsia="Calibri" w:hAnsi="Arial Narrow"/>
                <w:b/>
                <w:bCs/>
                <w:color w:val="000000"/>
                <w:kern w:val="24"/>
                <w:sz w:val="20"/>
                <w:szCs w:val="20"/>
                <w:lang w:val="en-US"/>
              </w:rPr>
              <w:t>onth 2</w:t>
            </w:r>
          </w:p>
        </w:tc>
        <w:tc>
          <w:tcPr>
            <w:tcW w:w="2306"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04AE704C" w14:textId="77777777" w:rsidR="004910FC" w:rsidRPr="00D66292" w:rsidRDefault="004910FC" w:rsidP="00D66292">
            <w:pPr>
              <w:jc w:val="center"/>
              <w:rPr>
                <w:rFonts w:ascii="Arial Narrow" w:hAnsi="Arial Narrow"/>
                <w:sz w:val="20"/>
                <w:szCs w:val="20"/>
                <w:lang w:val="en-US"/>
              </w:rPr>
            </w:pPr>
            <w:r w:rsidRPr="00D66292">
              <w:rPr>
                <w:rFonts w:ascii="Arial Narrow" w:eastAsia="Calibri" w:hAnsi="Arial Narrow"/>
                <w:b/>
                <w:bCs/>
                <w:color w:val="000000"/>
                <w:kern w:val="24"/>
                <w:sz w:val="20"/>
                <w:szCs w:val="20"/>
                <w:lang w:val="en-US"/>
              </w:rPr>
              <w:t>Month 3 onwards</w:t>
            </w:r>
          </w:p>
        </w:tc>
      </w:tr>
      <w:tr w:rsidR="004910FC" w:rsidRPr="00D66292" w14:paraId="76474A15" w14:textId="77777777" w:rsidTr="004910FC">
        <w:trPr>
          <w:trHeight w:val="610"/>
        </w:trPr>
        <w:tc>
          <w:tcPr>
            <w:tcW w:w="13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BB35DC" w14:textId="0D1155BE" w:rsidR="004910FC" w:rsidRPr="00D66292" w:rsidRDefault="004910FC" w:rsidP="00B02CA3">
            <w:pPr>
              <w:rPr>
                <w:rFonts w:ascii="Arial Narrow" w:hAnsi="Arial Narrow"/>
                <w:sz w:val="20"/>
                <w:szCs w:val="20"/>
                <w:lang w:val="en-US"/>
              </w:rPr>
            </w:pPr>
            <w:r>
              <w:rPr>
                <w:rFonts w:ascii="Arial Narrow" w:eastAsia="Calibri" w:hAnsi="Arial Narrow"/>
                <w:color w:val="000000"/>
                <w:kern w:val="24"/>
                <w:sz w:val="20"/>
                <w:szCs w:val="20"/>
                <w:lang w:val="en-US"/>
              </w:rPr>
              <w:t>Cabotegravir</w:t>
            </w:r>
          </w:p>
        </w:tc>
        <w:tc>
          <w:tcPr>
            <w:tcW w:w="1984" w:type="dxa"/>
            <w:tcBorders>
              <w:top w:val="single" w:sz="8" w:space="0" w:color="000000"/>
              <w:left w:val="single" w:sz="8" w:space="0" w:color="000000"/>
              <w:bottom w:val="single" w:sz="8" w:space="0" w:color="000000"/>
              <w:right w:val="single" w:sz="8" w:space="0" w:color="000000"/>
            </w:tcBorders>
            <w:hideMark/>
          </w:tcPr>
          <w:p w14:paraId="6FE25A58" w14:textId="77777777" w:rsidR="004910FC" w:rsidRPr="00D66292" w:rsidRDefault="004910FC" w:rsidP="00D66292">
            <w:pPr>
              <w:jc w:val="center"/>
              <w:rPr>
                <w:rFonts w:ascii="Arial Narrow" w:eastAsia="Calibri" w:hAnsi="Arial Narrow"/>
                <w:color w:val="000000"/>
                <w:kern w:val="24"/>
                <w:sz w:val="20"/>
                <w:szCs w:val="20"/>
                <w:lang w:val="en-US"/>
              </w:rPr>
            </w:pPr>
            <w:r w:rsidRPr="00D66292">
              <w:rPr>
                <w:rFonts w:ascii="Arial Narrow" w:eastAsia="Calibri" w:hAnsi="Arial Narrow"/>
                <w:color w:val="000000"/>
                <w:kern w:val="24"/>
                <w:sz w:val="20"/>
                <w:szCs w:val="20"/>
                <w:lang w:val="en-US"/>
              </w:rPr>
              <w:t>30 mg once daily</w:t>
            </w:r>
          </w:p>
        </w:tc>
        <w:tc>
          <w:tcPr>
            <w:tcW w:w="20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DBC3FD" w14:textId="77777777" w:rsidR="004910FC" w:rsidRPr="00D66292" w:rsidRDefault="004910FC" w:rsidP="00D66292">
            <w:pPr>
              <w:jc w:val="center"/>
              <w:rPr>
                <w:rFonts w:ascii="Arial Narrow" w:hAnsi="Arial Narrow"/>
                <w:sz w:val="20"/>
                <w:szCs w:val="20"/>
                <w:lang w:val="en-US"/>
              </w:rPr>
            </w:pPr>
            <w:r w:rsidRPr="00D66292">
              <w:rPr>
                <w:rFonts w:ascii="Arial Narrow" w:eastAsia="Calibri" w:hAnsi="Arial Narrow"/>
                <w:color w:val="000000"/>
                <w:kern w:val="24"/>
                <w:sz w:val="20"/>
                <w:szCs w:val="20"/>
                <w:lang w:val="en-US"/>
              </w:rPr>
              <w:t>3</w:t>
            </w:r>
            <w:r w:rsidRPr="00D66292">
              <w:rPr>
                <w:rFonts w:ascii="Arial Narrow" w:hAnsi="Arial Narrow"/>
                <w:bCs/>
                <w:iCs/>
                <w:sz w:val="20"/>
                <w:szCs w:val="20"/>
                <w:lang w:val="en-US"/>
              </w:rPr>
              <w:t> </w:t>
            </w:r>
            <w:r w:rsidRPr="00D66292">
              <w:rPr>
                <w:rFonts w:ascii="Arial Narrow" w:eastAsia="Calibri" w:hAnsi="Arial Narrow"/>
                <w:color w:val="000000"/>
                <w:kern w:val="24"/>
                <w:sz w:val="20"/>
                <w:szCs w:val="20"/>
                <w:lang w:val="en-US"/>
              </w:rPr>
              <w:t>mL (600 mg)</w:t>
            </w:r>
          </w:p>
        </w:tc>
        <w:tc>
          <w:tcPr>
            <w:tcW w:w="23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45CFF2" w14:textId="77777777" w:rsidR="004910FC" w:rsidRPr="00D66292" w:rsidRDefault="004910FC" w:rsidP="00D66292">
            <w:pPr>
              <w:jc w:val="center"/>
              <w:rPr>
                <w:rFonts w:ascii="Arial Narrow" w:hAnsi="Arial Narrow"/>
                <w:sz w:val="20"/>
                <w:szCs w:val="20"/>
                <w:lang w:val="en-US"/>
              </w:rPr>
            </w:pPr>
            <w:r w:rsidRPr="00D66292">
              <w:rPr>
                <w:rFonts w:ascii="Arial Narrow" w:hAnsi="Arial Narrow"/>
                <w:bCs/>
                <w:iCs/>
                <w:sz w:val="20"/>
                <w:szCs w:val="20"/>
                <w:lang w:val="en-US"/>
              </w:rPr>
              <w:t>2 mL</w:t>
            </w:r>
            <w:r w:rsidRPr="00D66292">
              <w:rPr>
                <w:rFonts w:ascii="Arial Narrow" w:eastAsia="Calibri" w:hAnsi="Arial Narrow"/>
                <w:color w:val="000000"/>
                <w:kern w:val="24"/>
                <w:sz w:val="20"/>
                <w:szCs w:val="20"/>
                <w:lang w:val="en-US"/>
              </w:rPr>
              <w:t xml:space="preserve"> (400 mg) monthly</w:t>
            </w:r>
          </w:p>
        </w:tc>
      </w:tr>
      <w:tr w:rsidR="004910FC" w:rsidRPr="00D66292" w14:paraId="71EC21D2" w14:textId="77777777" w:rsidTr="004910FC">
        <w:trPr>
          <w:trHeight w:val="534"/>
        </w:trPr>
        <w:tc>
          <w:tcPr>
            <w:tcW w:w="13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F1F94C" w14:textId="77777777" w:rsidR="004910FC" w:rsidRPr="00D66292" w:rsidRDefault="004910FC" w:rsidP="00B02CA3">
            <w:pPr>
              <w:rPr>
                <w:rFonts w:ascii="Arial Narrow" w:hAnsi="Arial Narrow"/>
                <w:sz w:val="20"/>
                <w:szCs w:val="20"/>
                <w:lang w:val="en-US"/>
              </w:rPr>
            </w:pPr>
            <w:r w:rsidRPr="00D66292">
              <w:rPr>
                <w:rFonts w:ascii="Arial Narrow" w:eastAsia="Calibri" w:hAnsi="Arial Narrow"/>
                <w:color w:val="000000"/>
                <w:kern w:val="24"/>
                <w:sz w:val="20"/>
                <w:szCs w:val="20"/>
                <w:lang w:val="en-US"/>
              </w:rPr>
              <w:t>Rilpivirine</w:t>
            </w:r>
          </w:p>
        </w:tc>
        <w:tc>
          <w:tcPr>
            <w:tcW w:w="1984" w:type="dxa"/>
            <w:tcBorders>
              <w:top w:val="single" w:sz="8" w:space="0" w:color="000000"/>
              <w:left w:val="single" w:sz="8" w:space="0" w:color="000000"/>
              <w:bottom w:val="single" w:sz="8" w:space="0" w:color="000000"/>
              <w:right w:val="single" w:sz="8" w:space="0" w:color="000000"/>
            </w:tcBorders>
            <w:hideMark/>
          </w:tcPr>
          <w:p w14:paraId="52369531" w14:textId="77777777" w:rsidR="004910FC" w:rsidRPr="00D66292" w:rsidRDefault="004910FC" w:rsidP="00D66292">
            <w:pPr>
              <w:jc w:val="center"/>
              <w:rPr>
                <w:rFonts w:ascii="Arial Narrow" w:eastAsia="Calibri" w:hAnsi="Arial Narrow"/>
                <w:color w:val="000000"/>
                <w:kern w:val="24"/>
                <w:sz w:val="20"/>
                <w:szCs w:val="20"/>
                <w:lang w:val="en-US"/>
              </w:rPr>
            </w:pPr>
            <w:r w:rsidRPr="00D66292">
              <w:rPr>
                <w:rFonts w:ascii="Arial Narrow" w:eastAsia="Calibri" w:hAnsi="Arial Narrow"/>
                <w:color w:val="000000"/>
                <w:kern w:val="24"/>
                <w:sz w:val="20"/>
                <w:szCs w:val="20"/>
                <w:lang w:val="en-US"/>
              </w:rPr>
              <w:t>25 mg once daily</w:t>
            </w:r>
          </w:p>
        </w:tc>
        <w:tc>
          <w:tcPr>
            <w:tcW w:w="20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9C8135" w14:textId="77777777" w:rsidR="004910FC" w:rsidRPr="00D66292" w:rsidRDefault="004910FC" w:rsidP="00D66292">
            <w:pPr>
              <w:jc w:val="center"/>
              <w:rPr>
                <w:rFonts w:ascii="Arial Narrow" w:hAnsi="Arial Narrow"/>
                <w:sz w:val="20"/>
                <w:szCs w:val="20"/>
                <w:lang w:val="en-US"/>
              </w:rPr>
            </w:pPr>
            <w:r w:rsidRPr="00D66292">
              <w:rPr>
                <w:rFonts w:ascii="Arial Narrow" w:hAnsi="Arial Narrow"/>
                <w:bCs/>
                <w:iCs/>
                <w:sz w:val="20"/>
                <w:szCs w:val="20"/>
                <w:lang w:val="en-US"/>
              </w:rPr>
              <w:t>3 mL</w:t>
            </w:r>
            <w:r w:rsidRPr="00D66292">
              <w:rPr>
                <w:rFonts w:ascii="Arial Narrow" w:eastAsia="Calibri" w:hAnsi="Arial Narrow"/>
                <w:color w:val="000000"/>
                <w:kern w:val="24"/>
                <w:sz w:val="20"/>
                <w:szCs w:val="20"/>
                <w:lang w:val="en-US"/>
              </w:rPr>
              <w:t xml:space="preserve"> (900 mg)</w:t>
            </w:r>
          </w:p>
        </w:tc>
        <w:tc>
          <w:tcPr>
            <w:tcW w:w="23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288111" w14:textId="77777777" w:rsidR="004910FC" w:rsidRPr="00D66292" w:rsidRDefault="004910FC" w:rsidP="00D66292">
            <w:pPr>
              <w:jc w:val="center"/>
              <w:rPr>
                <w:rFonts w:ascii="Arial Narrow" w:hAnsi="Arial Narrow"/>
                <w:sz w:val="20"/>
                <w:szCs w:val="20"/>
                <w:lang w:val="en-US"/>
              </w:rPr>
            </w:pPr>
            <w:r w:rsidRPr="00D66292">
              <w:rPr>
                <w:rFonts w:ascii="Arial Narrow" w:hAnsi="Arial Narrow"/>
                <w:bCs/>
                <w:iCs/>
                <w:sz w:val="20"/>
                <w:szCs w:val="20"/>
                <w:lang w:val="en-US"/>
              </w:rPr>
              <w:t>2 mL</w:t>
            </w:r>
            <w:r w:rsidRPr="00D66292">
              <w:rPr>
                <w:rFonts w:ascii="Arial Narrow" w:eastAsia="Calibri" w:hAnsi="Arial Narrow"/>
                <w:color w:val="000000"/>
                <w:kern w:val="24"/>
                <w:sz w:val="20"/>
                <w:szCs w:val="20"/>
                <w:lang w:val="en-US"/>
              </w:rPr>
              <w:t xml:space="preserve"> (600 mg) monthly</w:t>
            </w:r>
          </w:p>
        </w:tc>
      </w:tr>
    </w:tbl>
    <w:p w14:paraId="0ADA5B6B" w14:textId="5589F8AD" w:rsidR="00391F4A" w:rsidRPr="004910FC" w:rsidRDefault="004910FC" w:rsidP="004910FC">
      <w:pPr>
        <w:spacing w:after="0" w:line="240" w:lineRule="auto"/>
        <w:rPr>
          <w:rFonts w:ascii="Arial Narrow" w:hAnsi="Arial Narrow"/>
          <w:bCs/>
          <w:iCs/>
          <w:sz w:val="16"/>
          <w:szCs w:val="16"/>
        </w:rPr>
      </w:pPr>
      <w:r w:rsidRPr="004910FC">
        <w:rPr>
          <w:rFonts w:ascii="Arial Narrow" w:hAnsi="Arial Narrow"/>
          <w:bCs/>
          <w:iCs/>
          <w:sz w:val="16"/>
          <w:szCs w:val="16"/>
        </w:rPr>
        <w:t>IM = Intramuscular Injection</w:t>
      </w:r>
    </w:p>
    <w:p w14:paraId="2915DAF1" w14:textId="50DD5766" w:rsidR="004910FC" w:rsidRDefault="004910FC" w:rsidP="00391F4A">
      <w:pPr>
        <w:spacing w:line="240" w:lineRule="auto"/>
        <w:rPr>
          <w:rFonts w:ascii="Arial Narrow" w:hAnsi="Arial Narrow"/>
          <w:sz w:val="16"/>
          <w:szCs w:val="16"/>
        </w:rPr>
      </w:pPr>
      <w:r w:rsidRPr="004910FC">
        <w:rPr>
          <w:rFonts w:ascii="Arial Narrow" w:hAnsi="Arial Narrow"/>
          <w:bCs/>
          <w:iCs/>
          <w:sz w:val="16"/>
          <w:szCs w:val="16"/>
          <w:vertAlign w:val="superscript"/>
        </w:rPr>
        <w:t>a</w:t>
      </w:r>
      <w:r w:rsidRPr="004910FC">
        <w:rPr>
          <w:rFonts w:ascii="Arial Narrow" w:hAnsi="Arial Narrow"/>
          <w:sz w:val="16"/>
          <w:szCs w:val="16"/>
          <w:vertAlign w:val="superscript"/>
        </w:rPr>
        <w:t xml:space="preserve"> </w:t>
      </w:r>
      <w:r w:rsidRPr="004910FC">
        <w:rPr>
          <w:rFonts w:ascii="Arial Narrow" w:hAnsi="Arial Narrow"/>
          <w:sz w:val="16"/>
          <w:szCs w:val="16"/>
        </w:rPr>
        <w:t>See full prescribing information for VOCABRIA (cabotegravir) and EDURANT (rilpivirine) for recommended oral dosing</w:t>
      </w:r>
    </w:p>
    <w:p w14:paraId="36D3B342" w14:textId="03CBB7A0" w:rsidR="007264C7" w:rsidRPr="00763708" w:rsidRDefault="007264C7" w:rsidP="007264C7">
      <w:pPr>
        <w:keepNext/>
        <w:rPr>
          <w:rFonts w:ascii="Arial" w:hAnsi="Arial" w:cs="Arial"/>
          <w:b/>
          <w:bCs/>
          <w:i/>
          <w:szCs w:val="24"/>
        </w:rPr>
      </w:pPr>
      <w:r w:rsidRPr="00763708">
        <w:rPr>
          <w:rFonts w:ascii="Arial" w:hAnsi="Arial" w:cs="Arial"/>
          <w:b/>
          <w:bCs/>
          <w:szCs w:val="24"/>
        </w:rPr>
        <w:t xml:space="preserve">Every 2 Month Dosing </w:t>
      </w:r>
    </w:p>
    <w:p w14:paraId="5A2D0F98" w14:textId="31D806DD" w:rsidR="007264C7" w:rsidRPr="009436C7" w:rsidRDefault="007264C7" w:rsidP="009436C7">
      <w:pPr>
        <w:keepNext/>
        <w:keepLines/>
        <w:rPr>
          <w:rFonts w:ascii="Arial" w:hAnsi="Arial" w:cs="Arial"/>
          <w:b/>
          <w:bCs/>
          <w:i/>
          <w:szCs w:val="24"/>
        </w:rPr>
      </w:pPr>
      <w:r w:rsidRPr="009436C7">
        <w:rPr>
          <w:rFonts w:ascii="Arial" w:hAnsi="Arial" w:cs="Arial"/>
          <w:b/>
          <w:bCs/>
          <w:i/>
          <w:szCs w:val="24"/>
        </w:rPr>
        <w:t>Initiation injection (3 mL dosing)</w:t>
      </w:r>
    </w:p>
    <w:p w14:paraId="33D61A63" w14:textId="6EA3F254" w:rsidR="007264C7" w:rsidRPr="00763708" w:rsidDel="00F40BAD" w:rsidRDefault="002C2865" w:rsidP="007264C7">
      <w:pPr>
        <w:keepNext/>
        <w:rPr>
          <w:rFonts w:ascii="Arial" w:hAnsi="Arial" w:cs="Arial"/>
        </w:rPr>
      </w:pPr>
      <w:r w:rsidRPr="00BD7237">
        <w:rPr>
          <w:rFonts w:ascii="Arial" w:hAnsi="Arial" w:cs="Arial"/>
          <w:lang w:val="en"/>
        </w:rPr>
        <w:t xml:space="preserve">Initiate injections on the final day of oral lead in therapy (see Table </w:t>
      </w:r>
      <w:r w:rsidR="00936270">
        <w:rPr>
          <w:rFonts w:ascii="Arial" w:hAnsi="Arial" w:cs="Arial"/>
          <w:lang w:val="en"/>
        </w:rPr>
        <w:t>2</w:t>
      </w:r>
      <w:r w:rsidRPr="00BD7237">
        <w:rPr>
          <w:rFonts w:ascii="Arial" w:hAnsi="Arial" w:cs="Arial"/>
          <w:lang w:val="en"/>
        </w:rPr>
        <w:t xml:space="preserve">). The recommended initial injection doses of CABENUVA in adults are a single 3 mL (600 mg) IM injection of cabotegravir and a single 3 mL (900 mg) IM injection of rilpivirine. </w:t>
      </w:r>
      <w:r w:rsidR="007264C7" w:rsidRPr="00763708">
        <w:rPr>
          <w:rFonts w:ascii="Arial" w:hAnsi="Arial" w:cs="Arial"/>
          <w:szCs w:val="24"/>
        </w:rPr>
        <w:t xml:space="preserve">One month later, a second </w:t>
      </w:r>
      <w:r w:rsidRPr="00BD7237">
        <w:rPr>
          <w:rFonts w:ascii="Arial" w:hAnsi="Arial" w:cs="Arial"/>
          <w:lang w:val="en"/>
        </w:rPr>
        <w:lastRenderedPageBreak/>
        <w:t>3 mL (600 mg) IM injection of cabotegravir and 3 mL (900 mg) IM injection of rilpivirine</w:t>
      </w:r>
      <w:r w:rsidRPr="00763708">
        <w:rPr>
          <w:rFonts w:ascii="Arial" w:hAnsi="Arial" w:cs="Arial"/>
          <w:szCs w:val="24"/>
        </w:rPr>
        <w:t xml:space="preserve"> </w:t>
      </w:r>
      <w:r w:rsidR="007264C7" w:rsidRPr="00763708">
        <w:rPr>
          <w:rFonts w:ascii="Arial" w:hAnsi="Arial" w:cs="Arial"/>
          <w:szCs w:val="24"/>
        </w:rPr>
        <w:t xml:space="preserve">should be administered. Patients may be given the second </w:t>
      </w:r>
      <w:r w:rsidRPr="00BD7237">
        <w:rPr>
          <w:rFonts w:ascii="Arial" w:hAnsi="Arial" w:cs="Arial"/>
          <w:lang w:val="en"/>
        </w:rPr>
        <w:t>initiation doses</w:t>
      </w:r>
      <w:r w:rsidR="007264C7" w:rsidRPr="00763708">
        <w:rPr>
          <w:rFonts w:ascii="Arial" w:hAnsi="Arial" w:cs="Arial"/>
          <w:szCs w:val="24"/>
        </w:rPr>
        <w:t xml:space="preserve"> up to 7 days before or after the scheduled dosing date.</w:t>
      </w:r>
      <w:r w:rsidR="007264C7" w:rsidRPr="00763708">
        <w:rPr>
          <w:rStyle w:val="Heading1Char"/>
          <w:rFonts w:ascii="Arial" w:hAnsi="Arial" w:cs="Arial"/>
        </w:rPr>
        <w:t xml:space="preserve"> </w:t>
      </w:r>
    </w:p>
    <w:p w14:paraId="37BF1D75" w14:textId="10F11AC5" w:rsidR="007264C7" w:rsidRPr="00BD7237" w:rsidRDefault="007264C7" w:rsidP="007264C7">
      <w:pPr>
        <w:keepNext/>
        <w:keepLines/>
        <w:rPr>
          <w:rFonts w:ascii="Arial" w:hAnsi="Arial" w:cs="Arial"/>
          <w:b/>
          <w:bCs/>
          <w:sz w:val="20"/>
        </w:rPr>
      </w:pPr>
      <w:r w:rsidRPr="00763708">
        <w:rPr>
          <w:rFonts w:ascii="Arial" w:hAnsi="Arial" w:cs="Arial"/>
          <w:b/>
          <w:bCs/>
          <w:i/>
          <w:szCs w:val="24"/>
        </w:rPr>
        <w:t xml:space="preserve">Continuation Injection </w:t>
      </w:r>
    </w:p>
    <w:p w14:paraId="39D9F502" w14:textId="3DB99EE5" w:rsidR="007264C7" w:rsidRPr="00763708" w:rsidRDefault="007264C7" w:rsidP="007264C7">
      <w:pPr>
        <w:keepNext/>
        <w:rPr>
          <w:rFonts w:ascii="Arial" w:hAnsi="Arial" w:cs="Arial"/>
          <w:bCs/>
          <w:szCs w:val="24"/>
        </w:rPr>
      </w:pPr>
      <w:r w:rsidRPr="00763708">
        <w:rPr>
          <w:rFonts w:ascii="Arial" w:hAnsi="Arial" w:cs="Arial"/>
          <w:szCs w:val="24"/>
        </w:rPr>
        <w:t>After the second initiation</w:t>
      </w:r>
      <w:r w:rsidR="00BD7237" w:rsidRPr="00763708">
        <w:rPr>
          <w:rFonts w:ascii="Arial" w:hAnsi="Arial" w:cs="Arial"/>
          <w:szCs w:val="24"/>
        </w:rPr>
        <w:t xml:space="preserve"> injections</w:t>
      </w:r>
      <w:r w:rsidR="00BD7237" w:rsidRPr="00BD7237">
        <w:rPr>
          <w:rFonts w:ascii="Arial" w:hAnsi="Arial" w:cs="Arial"/>
          <w:lang w:val="en"/>
        </w:rPr>
        <w:t xml:space="preserve"> the recommended continuation injection doses of CABENUVA in adults are a single</w:t>
      </w:r>
      <w:r w:rsidRPr="00763708">
        <w:rPr>
          <w:rFonts w:ascii="Arial" w:hAnsi="Arial" w:cs="Arial"/>
          <w:szCs w:val="24"/>
        </w:rPr>
        <w:t xml:space="preserve"> </w:t>
      </w:r>
      <w:r w:rsidR="00BD7237" w:rsidRPr="00BD7237">
        <w:rPr>
          <w:rFonts w:ascii="Arial" w:hAnsi="Arial" w:cs="Arial"/>
          <w:lang w:val="en"/>
        </w:rPr>
        <w:t xml:space="preserve">3 mL (600 mg) IM injection of cabotegravir and a single 3 mL (900 mg) IM injection of rilpivirine </w:t>
      </w:r>
      <w:r w:rsidRPr="00763708">
        <w:rPr>
          <w:rFonts w:ascii="Arial" w:hAnsi="Arial" w:cs="Arial"/>
          <w:szCs w:val="24"/>
        </w:rPr>
        <w:t>administered every 2 months. Patients may be given injections up to 7 days before or after the date of the every 2 month, 3 mL dosing schedule.</w:t>
      </w:r>
    </w:p>
    <w:p w14:paraId="3B9937DF" w14:textId="34F5B1C8" w:rsidR="007264C7" w:rsidRPr="00763708" w:rsidRDefault="00BD7237" w:rsidP="00391F4A">
      <w:pPr>
        <w:spacing w:line="240" w:lineRule="auto"/>
        <w:rPr>
          <w:rFonts w:ascii="Arial" w:hAnsi="Arial" w:cs="Arial"/>
          <w:b/>
          <w:bCs/>
          <w:iCs/>
        </w:rPr>
      </w:pPr>
      <w:r w:rsidRPr="00391F4A">
        <w:rPr>
          <w:rFonts w:ascii="Arial" w:hAnsi="Arial" w:cs="Arial"/>
          <w:b/>
          <w:bCs/>
          <w:iCs/>
        </w:rPr>
        <w:t xml:space="preserve">Table </w:t>
      </w:r>
      <w:r w:rsidR="00936270">
        <w:rPr>
          <w:rFonts w:ascii="Arial" w:hAnsi="Arial" w:cs="Arial"/>
          <w:b/>
          <w:bCs/>
          <w:iCs/>
        </w:rPr>
        <w:t>2</w:t>
      </w:r>
      <w:r w:rsidRPr="00391F4A">
        <w:rPr>
          <w:rFonts w:ascii="Arial" w:hAnsi="Arial" w:cs="Arial"/>
          <w:b/>
          <w:bCs/>
          <w:iCs/>
        </w:rPr>
        <w:t>: Recommended</w:t>
      </w:r>
      <w:r>
        <w:rPr>
          <w:rFonts w:ascii="Arial" w:hAnsi="Arial" w:cs="Arial"/>
          <w:b/>
          <w:bCs/>
          <w:iCs/>
        </w:rPr>
        <w:t xml:space="preserve"> </w:t>
      </w:r>
      <w:r w:rsidR="00C5247F">
        <w:rPr>
          <w:rFonts w:ascii="Arial" w:hAnsi="Arial" w:cs="Arial"/>
          <w:b/>
          <w:bCs/>
          <w:iCs/>
        </w:rPr>
        <w:t>e</w:t>
      </w:r>
      <w:r>
        <w:rPr>
          <w:rFonts w:ascii="Arial" w:hAnsi="Arial" w:cs="Arial"/>
          <w:b/>
          <w:bCs/>
          <w:iCs/>
        </w:rPr>
        <w:t>very 2</w:t>
      </w:r>
      <w:r w:rsidRPr="00391F4A">
        <w:rPr>
          <w:rFonts w:ascii="Arial" w:hAnsi="Arial" w:cs="Arial"/>
          <w:b/>
          <w:bCs/>
          <w:iCs/>
        </w:rPr>
        <w:t xml:space="preserve"> </w:t>
      </w:r>
      <w:r>
        <w:rPr>
          <w:rFonts w:ascii="Arial" w:hAnsi="Arial" w:cs="Arial"/>
          <w:b/>
          <w:bCs/>
          <w:iCs/>
        </w:rPr>
        <w:t>month d</w:t>
      </w:r>
      <w:r w:rsidRPr="00391F4A">
        <w:rPr>
          <w:rFonts w:ascii="Arial" w:hAnsi="Arial" w:cs="Arial"/>
          <w:b/>
          <w:bCs/>
          <w:iCs/>
        </w:rPr>
        <w:t xml:space="preserve">osing </w:t>
      </w:r>
      <w:r>
        <w:rPr>
          <w:rFonts w:ascii="Arial" w:hAnsi="Arial" w:cs="Arial"/>
          <w:b/>
          <w:bCs/>
          <w:iCs/>
        </w:rPr>
        <w:t>s</w:t>
      </w:r>
      <w:r w:rsidRPr="00391F4A">
        <w:rPr>
          <w:rFonts w:ascii="Arial" w:hAnsi="Arial" w:cs="Arial"/>
          <w:b/>
          <w:bCs/>
          <w:iCs/>
        </w:rPr>
        <w:t xml:space="preserve">chedule in </w:t>
      </w:r>
      <w:r>
        <w:rPr>
          <w:rFonts w:ascii="Arial" w:hAnsi="Arial" w:cs="Arial"/>
          <w:b/>
          <w:bCs/>
          <w:iCs/>
        </w:rPr>
        <w:t>a</w:t>
      </w:r>
      <w:r w:rsidRPr="00391F4A">
        <w:rPr>
          <w:rFonts w:ascii="Arial" w:hAnsi="Arial" w:cs="Arial"/>
          <w:b/>
          <w:bCs/>
          <w:iCs/>
        </w:rPr>
        <w:t xml:space="preserve">dult </w:t>
      </w:r>
      <w:r>
        <w:rPr>
          <w:rFonts w:ascii="Arial" w:hAnsi="Arial" w:cs="Arial"/>
          <w:b/>
          <w:bCs/>
          <w:iCs/>
        </w:rPr>
        <w:t>p</w:t>
      </w:r>
      <w:r w:rsidRPr="00391F4A">
        <w:rPr>
          <w:rFonts w:ascii="Arial" w:hAnsi="Arial" w:cs="Arial"/>
          <w:b/>
          <w:bCs/>
          <w:iCs/>
        </w:rPr>
        <w:t>atients</w:t>
      </w:r>
    </w:p>
    <w:tbl>
      <w:tblPr>
        <w:tblW w:w="7645" w:type="dxa"/>
        <w:tblLayout w:type="fixed"/>
        <w:tblCellMar>
          <w:left w:w="0" w:type="dxa"/>
          <w:right w:w="0" w:type="dxa"/>
        </w:tblCellMar>
        <w:tblLook w:val="04A0" w:firstRow="1" w:lastRow="0" w:firstColumn="1" w:lastColumn="0" w:noHBand="0" w:noVBand="1"/>
      </w:tblPr>
      <w:tblGrid>
        <w:gridCol w:w="1353"/>
        <w:gridCol w:w="1984"/>
        <w:gridCol w:w="2002"/>
        <w:gridCol w:w="2306"/>
      </w:tblGrid>
      <w:tr w:rsidR="00BD7237" w:rsidRPr="00D66292" w14:paraId="642E8F67" w14:textId="77777777" w:rsidTr="00492682">
        <w:trPr>
          <w:trHeight w:val="671"/>
        </w:trPr>
        <w:tc>
          <w:tcPr>
            <w:tcW w:w="135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3311B539" w14:textId="70468523" w:rsidR="00BD7237" w:rsidRPr="00D66292" w:rsidRDefault="00BD7237" w:rsidP="00492682">
            <w:pPr>
              <w:rPr>
                <w:rFonts w:ascii="Arial Narrow" w:hAnsi="Arial Narrow"/>
                <w:sz w:val="20"/>
                <w:szCs w:val="20"/>
                <w:lang w:val="en-US"/>
              </w:rPr>
            </w:pPr>
          </w:p>
        </w:tc>
        <w:tc>
          <w:tcPr>
            <w:tcW w:w="1984" w:type="dxa"/>
            <w:tcBorders>
              <w:top w:val="single" w:sz="8" w:space="0" w:color="000000"/>
              <w:left w:val="single" w:sz="8" w:space="0" w:color="000000"/>
              <w:bottom w:val="single" w:sz="8" w:space="0" w:color="000000"/>
              <w:right w:val="single" w:sz="8" w:space="0" w:color="000000"/>
            </w:tcBorders>
            <w:shd w:val="clear" w:color="auto" w:fill="D9D9D9"/>
            <w:hideMark/>
          </w:tcPr>
          <w:p w14:paraId="49620AB9" w14:textId="77777777" w:rsidR="00BD7237" w:rsidRPr="00D66292" w:rsidRDefault="00BD7237" w:rsidP="00492682">
            <w:pPr>
              <w:jc w:val="center"/>
              <w:rPr>
                <w:rFonts w:ascii="Arial Narrow" w:eastAsia="Calibri" w:hAnsi="Arial Narrow"/>
                <w:b/>
                <w:bCs/>
                <w:color w:val="000000"/>
                <w:kern w:val="24"/>
                <w:sz w:val="20"/>
                <w:szCs w:val="20"/>
                <w:lang w:val="en-US"/>
              </w:rPr>
            </w:pPr>
            <w:r w:rsidRPr="00D66292">
              <w:rPr>
                <w:rFonts w:ascii="Arial Narrow" w:eastAsia="Calibri" w:hAnsi="Arial Narrow"/>
                <w:b/>
                <w:bCs/>
                <w:color w:val="000000"/>
                <w:kern w:val="24"/>
                <w:sz w:val="20"/>
                <w:szCs w:val="20"/>
                <w:lang w:val="en-US"/>
              </w:rPr>
              <w:t xml:space="preserve">ORAL LEAD </w:t>
            </w:r>
            <w:proofErr w:type="spellStart"/>
            <w:r w:rsidRPr="00D66292">
              <w:rPr>
                <w:rFonts w:ascii="Arial Narrow" w:eastAsia="Calibri" w:hAnsi="Arial Narrow"/>
                <w:b/>
                <w:bCs/>
                <w:color w:val="000000"/>
                <w:kern w:val="24"/>
                <w:sz w:val="20"/>
                <w:szCs w:val="20"/>
                <w:lang w:val="en-US"/>
              </w:rPr>
              <w:t>IN</w:t>
            </w:r>
            <w:r w:rsidRPr="004910FC">
              <w:rPr>
                <w:rFonts w:ascii="Arial Narrow" w:eastAsia="Calibri" w:hAnsi="Arial Narrow"/>
                <w:b/>
                <w:bCs/>
                <w:color w:val="000000"/>
                <w:kern w:val="24"/>
                <w:sz w:val="20"/>
                <w:szCs w:val="20"/>
                <w:vertAlign w:val="superscript"/>
                <w:lang w:val="en-US"/>
              </w:rPr>
              <w:t>a</w:t>
            </w:r>
            <w:proofErr w:type="spellEnd"/>
          </w:p>
        </w:tc>
        <w:tc>
          <w:tcPr>
            <w:tcW w:w="2002"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51422BD4" w14:textId="77777777" w:rsidR="00BD7237" w:rsidRDefault="00BD7237" w:rsidP="00492682">
            <w:pPr>
              <w:spacing w:after="0"/>
              <w:jc w:val="center"/>
              <w:rPr>
                <w:rFonts w:ascii="Arial Narrow" w:eastAsia="Calibri" w:hAnsi="Arial Narrow"/>
                <w:b/>
                <w:bCs/>
                <w:color w:val="000000"/>
                <w:kern w:val="24"/>
                <w:sz w:val="20"/>
                <w:szCs w:val="20"/>
                <w:lang w:val="en-US"/>
              </w:rPr>
            </w:pPr>
            <w:r>
              <w:rPr>
                <w:rFonts w:ascii="Arial Narrow" w:eastAsia="Calibri" w:hAnsi="Arial Narrow"/>
                <w:b/>
                <w:bCs/>
                <w:color w:val="000000"/>
                <w:kern w:val="24"/>
                <w:sz w:val="20"/>
                <w:szCs w:val="20"/>
                <w:lang w:val="en-US"/>
              </w:rPr>
              <w:t>IM</w:t>
            </w:r>
          </w:p>
          <w:p w14:paraId="72984EEF" w14:textId="77777777" w:rsidR="00BD7237" w:rsidRDefault="00BD7237" w:rsidP="00492682">
            <w:pPr>
              <w:spacing w:after="0"/>
              <w:jc w:val="center"/>
              <w:rPr>
                <w:rFonts w:ascii="Arial Narrow" w:eastAsia="Calibri" w:hAnsi="Arial Narrow"/>
                <w:b/>
                <w:bCs/>
                <w:color w:val="000000"/>
                <w:kern w:val="24"/>
                <w:sz w:val="20"/>
                <w:szCs w:val="20"/>
                <w:lang w:val="en-US"/>
              </w:rPr>
            </w:pPr>
            <w:r w:rsidRPr="00D66292">
              <w:rPr>
                <w:rFonts w:ascii="Arial Narrow" w:eastAsia="Calibri" w:hAnsi="Arial Narrow"/>
                <w:b/>
                <w:bCs/>
                <w:color w:val="000000"/>
                <w:kern w:val="24"/>
                <w:sz w:val="20"/>
                <w:szCs w:val="20"/>
                <w:lang w:val="en-US"/>
              </w:rPr>
              <w:t>INITIATION</w:t>
            </w:r>
          </w:p>
          <w:p w14:paraId="58192EBE" w14:textId="3FE59F9C" w:rsidR="00BD7237" w:rsidRPr="00D66292" w:rsidRDefault="00BD7237" w:rsidP="00492682">
            <w:pPr>
              <w:jc w:val="center"/>
              <w:rPr>
                <w:rFonts w:ascii="Arial Narrow" w:hAnsi="Arial Narrow"/>
                <w:sz w:val="20"/>
                <w:szCs w:val="20"/>
                <w:lang w:val="en-US"/>
              </w:rPr>
            </w:pPr>
            <w:r w:rsidRPr="00D66292">
              <w:rPr>
                <w:rFonts w:ascii="Arial Narrow" w:eastAsia="Calibri" w:hAnsi="Arial Narrow"/>
                <w:b/>
                <w:bCs/>
                <w:color w:val="000000"/>
                <w:kern w:val="24"/>
                <w:sz w:val="20"/>
                <w:szCs w:val="20"/>
                <w:lang w:val="en-US"/>
              </w:rPr>
              <w:t xml:space="preserve"> INJECTION</w:t>
            </w:r>
            <w:r>
              <w:rPr>
                <w:rFonts w:ascii="Arial Narrow" w:eastAsia="Calibri" w:hAnsi="Arial Narrow"/>
                <w:b/>
                <w:bCs/>
                <w:color w:val="000000"/>
                <w:kern w:val="24"/>
                <w:sz w:val="20"/>
                <w:szCs w:val="20"/>
                <w:lang w:val="en-US"/>
              </w:rPr>
              <w:t xml:space="preserve"> </w:t>
            </w:r>
            <w:r>
              <w:rPr>
                <w:b/>
                <w:bCs/>
                <w:szCs w:val="24"/>
              </w:rPr>
              <w:t>(one month apart)</w:t>
            </w:r>
          </w:p>
        </w:tc>
        <w:tc>
          <w:tcPr>
            <w:tcW w:w="2306"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32F7B6DA" w14:textId="121090BD" w:rsidR="00BD7237" w:rsidRPr="00D66292" w:rsidRDefault="00BD7237" w:rsidP="00492682">
            <w:pPr>
              <w:jc w:val="center"/>
              <w:rPr>
                <w:rFonts w:ascii="Arial Narrow" w:hAnsi="Arial Narrow"/>
                <w:sz w:val="20"/>
                <w:szCs w:val="20"/>
                <w:lang w:val="en-US"/>
              </w:rPr>
            </w:pPr>
            <w:r>
              <w:rPr>
                <w:b/>
                <w:bCs/>
                <w:szCs w:val="24"/>
              </w:rPr>
              <w:t>CONTINUATION INJECTIONS (two months apart)</w:t>
            </w:r>
          </w:p>
        </w:tc>
      </w:tr>
      <w:tr w:rsidR="00BD7237" w:rsidRPr="00D66292" w14:paraId="41489BA8" w14:textId="77777777" w:rsidTr="00492682">
        <w:trPr>
          <w:trHeight w:val="671"/>
        </w:trPr>
        <w:tc>
          <w:tcPr>
            <w:tcW w:w="135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694043D3" w14:textId="77777777" w:rsidR="00BD7237" w:rsidRPr="00D66292" w:rsidRDefault="00BD7237" w:rsidP="00492682">
            <w:pPr>
              <w:rPr>
                <w:rFonts w:ascii="Arial Narrow" w:hAnsi="Arial Narrow"/>
                <w:sz w:val="20"/>
                <w:szCs w:val="20"/>
                <w:lang w:val="en-US"/>
              </w:rPr>
            </w:pPr>
            <w:r w:rsidRPr="00D66292">
              <w:rPr>
                <w:rFonts w:ascii="Arial Narrow" w:eastAsia="Calibri" w:hAnsi="Arial Narrow"/>
                <w:b/>
                <w:bCs/>
                <w:color w:val="000000"/>
                <w:kern w:val="24"/>
                <w:sz w:val="20"/>
                <w:szCs w:val="20"/>
                <w:lang w:val="en-US"/>
              </w:rPr>
              <w:t>Medicinal product</w:t>
            </w:r>
          </w:p>
        </w:tc>
        <w:tc>
          <w:tcPr>
            <w:tcW w:w="198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6176D496" w14:textId="77777777" w:rsidR="00BD7237" w:rsidRDefault="00BD7237" w:rsidP="00492682">
            <w:pPr>
              <w:spacing w:after="0"/>
              <w:jc w:val="center"/>
              <w:rPr>
                <w:rFonts w:ascii="Arial Narrow" w:eastAsia="Calibri" w:hAnsi="Arial Narrow"/>
                <w:b/>
                <w:bCs/>
                <w:color w:val="000000"/>
                <w:kern w:val="24"/>
                <w:sz w:val="20"/>
                <w:szCs w:val="20"/>
                <w:lang w:val="en-US"/>
              </w:rPr>
            </w:pPr>
            <w:r w:rsidRPr="00D66292">
              <w:rPr>
                <w:rFonts w:ascii="Arial Narrow" w:eastAsia="Calibri" w:hAnsi="Arial Narrow"/>
                <w:b/>
                <w:bCs/>
                <w:color w:val="000000"/>
                <w:kern w:val="24"/>
                <w:sz w:val="20"/>
                <w:szCs w:val="20"/>
                <w:lang w:val="en-US"/>
              </w:rPr>
              <w:t xml:space="preserve">During </w:t>
            </w:r>
            <w:r>
              <w:rPr>
                <w:rFonts w:ascii="Arial Narrow" w:eastAsia="Calibri" w:hAnsi="Arial Narrow"/>
                <w:b/>
                <w:bCs/>
                <w:color w:val="000000"/>
                <w:kern w:val="24"/>
                <w:sz w:val="20"/>
                <w:szCs w:val="20"/>
                <w:lang w:val="en-US"/>
              </w:rPr>
              <w:t>M</w:t>
            </w:r>
            <w:r w:rsidRPr="00D66292">
              <w:rPr>
                <w:rFonts w:ascii="Arial Narrow" w:eastAsia="Calibri" w:hAnsi="Arial Narrow"/>
                <w:b/>
                <w:bCs/>
                <w:color w:val="000000"/>
                <w:kern w:val="24"/>
                <w:sz w:val="20"/>
                <w:szCs w:val="20"/>
                <w:lang w:val="en-US"/>
              </w:rPr>
              <w:t>onth 1</w:t>
            </w:r>
            <w:r>
              <w:rPr>
                <w:rFonts w:ascii="Arial Narrow" w:eastAsia="Calibri" w:hAnsi="Arial Narrow"/>
                <w:b/>
                <w:bCs/>
                <w:color w:val="000000"/>
                <w:kern w:val="24"/>
                <w:sz w:val="20"/>
                <w:szCs w:val="20"/>
                <w:lang w:val="en-US"/>
              </w:rPr>
              <w:t xml:space="preserve"> </w:t>
            </w:r>
          </w:p>
          <w:p w14:paraId="26C65DA7" w14:textId="77777777" w:rsidR="00BD7237" w:rsidRPr="00D66292" w:rsidRDefault="00BD7237" w:rsidP="00492682">
            <w:pPr>
              <w:jc w:val="center"/>
              <w:rPr>
                <w:rFonts w:ascii="Arial Narrow" w:eastAsia="Calibri" w:hAnsi="Arial Narrow"/>
                <w:b/>
                <w:bCs/>
                <w:color w:val="000000"/>
                <w:kern w:val="24"/>
                <w:sz w:val="20"/>
                <w:szCs w:val="20"/>
                <w:lang w:val="en-US"/>
              </w:rPr>
            </w:pPr>
            <w:r>
              <w:rPr>
                <w:rFonts w:ascii="Arial Narrow" w:eastAsia="Calibri" w:hAnsi="Arial Narrow"/>
                <w:b/>
                <w:bCs/>
                <w:color w:val="000000"/>
                <w:kern w:val="24"/>
                <w:sz w:val="20"/>
                <w:szCs w:val="20"/>
                <w:lang w:val="en-US"/>
              </w:rPr>
              <w:t>(at least 28 days)</w:t>
            </w:r>
          </w:p>
        </w:tc>
        <w:tc>
          <w:tcPr>
            <w:tcW w:w="2002"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23039D5F" w14:textId="47F63265" w:rsidR="00BD7237" w:rsidRPr="00D66292" w:rsidRDefault="00BD7237" w:rsidP="00492682">
            <w:pPr>
              <w:jc w:val="center"/>
              <w:rPr>
                <w:rFonts w:ascii="Arial Narrow" w:hAnsi="Arial Narrow"/>
                <w:sz w:val="20"/>
                <w:szCs w:val="20"/>
                <w:lang w:val="en-US"/>
              </w:rPr>
            </w:pPr>
            <w:r w:rsidRPr="00D66292">
              <w:rPr>
                <w:rFonts w:ascii="Arial Narrow" w:eastAsia="Calibri" w:hAnsi="Arial Narrow"/>
                <w:b/>
                <w:bCs/>
                <w:color w:val="000000"/>
                <w:kern w:val="24"/>
                <w:sz w:val="20"/>
                <w:szCs w:val="20"/>
                <w:lang w:val="en-US"/>
              </w:rPr>
              <w:t xml:space="preserve">At </w:t>
            </w:r>
            <w:r>
              <w:rPr>
                <w:rFonts w:ascii="Arial Narrow" w:eastAsia="Calibri" w:hAnsi="Arial Narrow"/>
                <w:b/>
                <w:bCs/>
                <w:color w:val="000000"/>
                <w:kern w:val="24"/>
                <w:sz w:val="20"/>
                <w:szCs w:val="20"/>
                <w:lang w:val="en-US"/>
              </w:rPr>
              <w:t>M</w:t>
            </w:r>
            <w:r w:rsidRPr="00D66292">
              <w:rPr>
                <w:rFonts w:ascii="Arial Narrow" w:eastAsia="Calibri" w:hAnsi="Arial Narrow"/>
                <w:b/>
                <w:bCs/>
                <w:color w:val="000000"/>
                <w:kern w:val="24"/>
                <w:sz w:val="20"/>
                <w:szCs w:val="20"/>
                <w:lang w:val="en-US"/>
              </w:rPr>
              <w:t>onth 2</w:t>
            </w:r>
            <w:r>
              <w:rPr>
                <w:rFonts w:ascii="Arial Narrow" w:eastAsia="Calibri" w:hAnsi="Arial Narrow"/>
                <w:b/>
                <w:bCs/>
                <w:color w:val="000000"/>
                <w:kern w:val="24"/>
                <w:sz w:val="20"/>
                <w:szCs w:val="20"/>
                <w:lang w:val="en-US"/>
              </w:rPr>
              <w:t xml:space="preserve"> and Month 3</w:t>
            </w:r>
          </w:p>
        </w:tc>
        <w:tc>
          <w:tcPr>
            <w:tcW w:w="2306"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hideMark/>
          </w:tcPr>
          <w:p w14:paraId="5CB906D9" w14:textId="6C058DAA" w:rsidR="00BD7237" w:rsidRPr="00D66292" w:rsidRDefault="00BD7237" w:rsidP="00492682">
            <w:pPr>
              <w:jc w:val="center"/>
              <w:rPr>
                <w:rFonts w:ascii="Arial Narrow" w:hAnsi="Arial Narrow"/>
                <w:sz w:val="20"/>
                <w:szCs w:val="20"/>
                <w:lang w:val="en-US"/>
              </w:rPr>
            </w:pPr>
            <w:r w:rsidRPr="00D66292">
              <w:rPr>
                <w:rFonts w:ascii="Arial Narrow" w:eastAsia="Calibri" w:hAnsi="Arial Narrow"/>
                <w:b/>
                <w:bCs/>
                <w:color w:val="000000"/>
                <w:kern w:val="24"/>
                <w:sz w:val="20"/>
                <w:szCs w:val="20"/>
                <w:lang w:val="en-US"/>
              </w:rPr>
              <w:t xml:space="preserve">Month </w:t>
            </w:r>
            <w:r>
              <w:rPr>
                <w:rFonts w:ascii="Arial Narrow" w:eastAsia="Calibri" w:hAnsi="Arial Narrow"/>
                <w:b/>
                <w:bCs/>
                <w:color w:val="000000"/>
                <w:kern w:val="24"/>
                <w:sz w:val="20"/>
                <w:szCs w:val="20"/>
                <w:lang w:val="en-US"/>
              </w:rPr>
              <w:t>5</w:t>
            </w:r>
            <w:r w:rsidRPr="00D66292">
              <w:rPr>
                <w:rFonts w:ascii="Arial Narrow" w:eastAsia="Calibri" w:hAnsi="Arial Narrow"/>
                <w:b/>
                <w:bCs/>
                <w:color w:val="000000"/>
                <w:kern w:val="24"/>
                <w:sz w:val="20"/>
                <w:szCs w:val="20"/>
                <w:lang w:val="en-US"/>
              </w:rPr>
              <w:t xml:space="preserve"> onwards</w:t>
            </w:r>
          </w:p>
        </w:tc>
      </w:tr>
      <w:tr w:rsidR="00BD7237" w:rsidRPr="00D66292" w14:paraId="6DA0C586" w14:textId="77777777" w:rsidTr="00492682">
        <w:trPr>
          <w:trHeight w:val="610"/>
        </w:trPr>
        <w:tc>
          <w:tcPr>
            <w:tcW w:w="13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885A4B" w14:textId="77777777" w:rsidR="00BD7237" w:rsidRPr="00D66292" w:rsidRDefault="00BD7237" w:rsidP="00BD7237">
            <w:pPr>
              <w:rPr>
                <w:rFonts w:ascii="Arial Narrow" w:hAnsi="Arial Narrow"/>
                <w:sz w:val="20"/>
                <w:szCs w:val="20"/>
                <w:lang w:val="en-US"/>
              </w:rPr>
            </w:pPr>
            <w:r>
              <w:rPr>
                <w:rFonts w:ascii="Arial Narrow" w:eastAsia="Calibri" w:hAnsi="Arial Narrow"/>
                <w:color w:val="000000"/>
                <w:kern w:val="24"/>
                <w:sz w:val="20"/>
                <w:szCs w:val="20"/>
                <w:lang w:val="en-US"/>
              </w:rPr>
              <w:t>Cabotegravir</w:t>
            </w:r>
          </w:p>
        </w:tc>
        <w:tc>
          <w:tcPr>
            <w:tcW w:w="1984" w:type="dxa"/>
            <w:tcBorders>
              <w:top w:val="single" w:sz="8" w:space="0" w:color="000000"/>
              <w:left w:val="single" w:sz="8" w:space="0" w:color="000000"/>
              <w:bottom w:val="single" w:sz="8" w:space="0" w:color="000000"/>
              <w:right w:val="single" w:sz="8" w:space="0" w:color="000000"/>
            </w:tcBorders>
            <w:hideMark/>
          </w:tcPr>
          <w:p w14:paraId="1EFCB60E" w14:textId="77777777" w:rsidR="00BD7237" w:rsidRPr="00D66292" w:rsidRDefault="00BD7237" w:rsidP="00BD7237">
            <w:pPr>
              <w:jc w:val="center"/>
              <w:rPr>
                <w:rFonts w:ascii="Arial Narrow" w:eastAsia="Calibri" w:hAnsi="Arial Narrow"/>
                <w:color w:val="000000"/>
                <w:kern w:val="24"/>
                <w:sz w:val="20"/>
                <w:szCs w:val="20"/>
                <w:lang w:val="en-US"/>
              </w:rPr>
            </w:pPr>
            <w:r w:rsidRPr="00D66292">
              <w:rPr>
                <w:rFonts w:ascii="Arial Narrow" w:eastAsia="Calibri" w:hAnsi="Arial Narrow"/>
                <w:color w:val="000000"/>
                <w:kern w:val="24"/>
                <w:sz w:val="20"/>
                <w:szCs w:val="20"/>
                <w:lang w:val="en-US"/>
              </w:rPr>
              <w:t>30 mg once daily</w:t>
            </w:r>
          </w:p>
        </w:tc>
        <w:tc>
          <w:tcPr>
            <w:tcW w:w="20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E10383" w14:textId="77777777" w:rsidR="00BD7237" w:rsidRPr="00D66292" w:rsidRDefault="00BD7237" w:rsidP="00BD7237">
            <w:pPr>
              <w:jc w:val="center"/>
              <w:rPr>
                <w:rFonts w:ascii="Arial Narrow" w:hAnsi="Arial Narrow"/>
                <w:sz w:val="20"/>
                <w:szCs w:val="20"/>
                <w:lang w:val="en-US"/>
              </w:rPr>
            </w:pPr>
            <w:r w:rsidRPr="00D66292">
              <w:rPr>
                <w:rFonts w:ascii="Arial Narrow" w:eastAsia="Calibri" w:hAnsi="Arial Narrow"/>
                <w:color w:val="000000"/>
                <w:kern w:val="24"/>
                <w:sz w:val="20"/>
                <w:szCs w:val="20"/>
                <w:lang w:val="en-US"/>
              </w:rPr>
              <w:t>3</w:t>
            </w:r>
            <w:r w:rsidRPr="00D66292">
              <w:rPr>
                <w:rFonts w:ascii="Arial Narrow" w:hAnsi="Arial Narrow"/>
                <w:bCs/>
                <w:iCs/>
                <w:sz w:val="20"/>
                <w:szCs w:val="20"/>
                <w:lang w:val="en-US"/>
              </w:rPr>
              <w:t> </w:t>
            </w:r>
            <w:r w:rsidRPr="00D66292">
              <w:rPr>
                <w:rFonts w:ascii="Arial Narrow" w:eastAsia="Calibri" w:hAnsi="Arial Narrow"/>
                <w:color w:val="000000"/>
                <w:kern w:val="24"/>
                <w:sz w:val="20"/>
                <w:szCs w:val="20"/>
                <w:lang w:val="en-US"/>
              </w:rPr>
              <w:t>mL (600 mg)</w:t>
            </w:r>
          </w:p>
        </w:tc>
        <w:tc>
          <w:tcPr>
            <w:tcW w:w="23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509CEB" w14:textId="5C7E7464" w:rsidR="00BD7237" w:rsidRPr="00D66292" w:rsidRDefault="00BD7237" w:rsidP="00BD7237">
            <w:pPr>
              <w:jc w:val="center"/>
              <w:rPr>
                <w:rFonts w:ascii="Arial Narrow" w:hAnsi="Arial Narrow"/>
                <w:sz w:val="20"/>
                <w:szCs w:val="20"/>
                <w:lang w:val="en-US"/>
              </w:rPr>
            </w:pPr>
            <w:r w:rsidRPr="00D66292">
              <w:rPr>
                <w:rFonts w:ascii="Arial Narrow" w:eastAsia="Calibri" w:hAnsi="Arial Narrow"/>
                <w:color w:val="000000"/>
                <w:kern w:val="24"/>
                <w:sz w:val="20"/>
                <w:szCs w:val="20"/>
                <w:lang w:val="en-US"/>
              </w:rPr>
              <w:t>3</w:t>
            </w:r>
            <w:r w:rsidRPr="00D66292">
              <w:rPr>
                <w:rFonts w:ascii="Arial Narrow" w:hAnsi="Arial Narrow"/>
                <w:bCs/>
                <w:iCs/>
                <w:sz w:val="20"/>
                <w:szCs w:val="20"/>
                <w:lang w:val="en-US"/>
              </w:rPr>
              <w:t> </w:t>
            </w:r>
            <w:r w:rsidRPr="00D66292">
              <w:rPr>
                <w:rFonts w:ascii="Arial Narrow" w:eastAsia="Calibri" w:hAnsi="Arial Narrow"/>
                <w:color w:val="000000"/>
                <w:kern w:val="24"/>
                <w:sz w:val="20"/>
                <w:szCs w:val="20"/>
                <w:lang w:val="en-US"/>
              </w:rPr>
              <w:t>mL (600 mg)</w:t>
            </w:r>
          </w:p>
        </w:tc>
      </w:tr>
      <w:tr w:rsidR="00BD7237" w:rsidRPr="00D66292" w14:paraId="1E761AE4" w14:textId="77777777" w:rsidTr="00492682">
        <w:trPr>
          <w:trHeight w:val="534"/>
        </w:trPr>
        <w:tc>
          <w:tcPr>
            <w:tcW w:w="135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C6A3EF" w14:textId="77777777" w:rsidR="00BD7237" w:rsidRPr="00D66292" w:rsidRDefault="00BD7237" w:rsidP="00BD7237">
            <w:pPr>
              <w:rPr>
                <w:rFonts w:ascii="Arial Narrow" w:hAnsi="Arial Narrow"/>
                <w:sz w:val="20"/>
                <w:szCs w:val="20"/>
                <w:lang w:val="en-US"/>
              </w:rPr>
            </w:pPr>
            <w:r w:rsidRPr="00D66292">
              <w:rPr>
                <w:rFonts w:ascii="Arial Narrow" w:eastAsia="Calibri" w:hAnsi="Arial Narrow"/>
                <w:color w:val="000000"/>
                <w:kern w:val="24"/>
                <w:sz w:val="20"/>
                <w:szCs w:val="20"/>
                <w:lang w:val="en-US"/>
              </w:rPr>
              <w:t>Rilpivirine</w:t>
            </w:r>
          </w:p>
        </w:tc>
        <w:tc>
          <w:tcPr>
            <w:tcW w:w="1984" w:type="dxa"/>
            <w:tcBorders>
              <w:top w:val="single" w:sz="8" w:space="0" w:color="000000"/>
              <w:left w:val="single" w:sz="8" w:space="0" w:color="000000"/>
              <w:bottom w:val="single" w:sz="8" w:space="0" w:color="000000"/>
              <w:right w:val="single" w:sz="8" w:space="0" w:color="000000"/>
            </w:tcBorders>
            <w:hideMark/>
          </w:tcPr>
          <w:p w14:paraId="1E8BE437" w14:textId="77777777" w:rsidR="00BD7237" w:rsidRPr="00D66292" w:rsidRDefault="00BD7237" w:rsidP="00BD7237">
            <w:pPr>
              <w:jc w:val="center"/>
              <w:rPr>
                <w:rFonts w:ascii="Arial Narrow" w:eastAsia="Calibri" w:hAnsi="Arial Narrow"/>
                <w:color w:val="000000"/>
                <w:kern w:val="24"/>
                <w:sz w:val="20"/>
                <w:szCs w:val="20"/>
                <w:lang w:val="en-US"/>
              </w:rPr>
            </w:pPr>
            <w:r w:rsidRPr="00D66292">
              <w:rPr>
                <w:rFonts w:ascii="Arial Narrow" w:eastAsia="Calibri" w:hAnsi="Arial Narrow"/>
                <w:color w:val="000000"/>
                <w:kern w:val="24"/>
                <w:sz w:val="20"/>
                <w:szCs w:val="20"/>
                <w:lang w:val="en-US"/>
              </w:rPr>
              <w:t>25 mg once daily</w:t>
            </w:r>
          </w:p>
        </w:tc>
        <w:tc>
          <w:tcPr>
            <w:tcW w:w="20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BEC408" w14:textId="77777777" w:rsidR="00BD7237" w:rsidRPr="00D66292" w:rsidRDefault="00BD7237" w:rsidP="00BD7237">
            <w:pPr>
              <w:jc w:val="center"/>
              <w:rPr>
                <w:rFonts w:ascii="Arial Narrow" w:hAnsi="Arial Narrow"/>
                <w:sz w:val="20"/>
                <w:szCs w:val="20"/>
                <w:lang w:val="en-US"/>
              </w:rPr>
            </w:pPr>
            <w:r w:rsidRPr="00D66292">
              <w:rPr>
                <w:rFonts w:ascii="Arial Narrow" w:hAnsi="Arial Narrow"/>
                <w:bCs/>
                <w:iCs/>
                <w:sz w:val="20"/>
                <w:szCs w:val="20"/>
                <w:lang w:val="en-US"/>
              </w:rPr>
              <w:t>3 mL</w:t>
            </w:r>
            <w:r w:rsidRPr="00D66292">
              <w:rPr>
                <w:rFonts w:ascii="Arial Narrow" w:eastAsia="Calibri" w:hAnsi="Arial Narrow"/>
                <w:color w:val="000000"/>
                <w:kern w:val="24"/>
                <w:sz w:val="20"/>
                <w:szCs w:val="20"/>
                <w:lang w:val="en-US"/>
              </w:rPr>
              <w:t xml:space="preserve"> (900 mg)</w:t>
            </w:r>
          </w:p>
        </w:tc>
        <w:tc>
          <w:tcPr>
            <w:tcW w:w="23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734DA1" w14:textId="3853AF76" w:rsidR="00BD7237" w:rsidRPr="00D66292" w:rsidRDefault="00BD7237" w:rsidP="00BD7237">
            <w:pPr>
              <w:jc w:val="center"/>
              <w:rPr>
                <w:rFonts w:ascii="Arial Narrow" w:hAnsi="Arial Narrow"/>
                <w:sz w:val="20"/>
                <w:szCs w:val="20"/>
                <w:lang w:val="en-US"/>
              </w:rPr>
            </w:pPr>
            <w:r w:rsidRPr="00D66292">
              <w:rPr>
                <w:rFonts w:ascii="Arial Narrow" w:hAnsi="Arial Narrow"/>
                <w:bCs/>
                <w:iCs/>
                <w:sz w:val="20"/>
                <w:szCs w:val="20"/>
                <w:lang w:val="en-US"/>
              </w:rPr>
              <w:t>3 mL</w:t>
            </w:r>
            <w:r w:rsidRPr="00D66292">
              <w:rPr>
                <w:rFonts w:ascii="Arial Narrow" w:eastAsia="Calibri" w:hAnsi="Arial Narrow"/>
                <w:color w:val="000000"/>
                <w:kern w:val="24"/>
                <w:sz w:val="20"/>
                <w:szCs w:val="20"/>
                <w:lang w:val="en-US"/>
              </w:rPr>
              <w:t xml:space="preserve"> (900 mg)</w:t>
            </w:r>
          </w:p>
        </w:tc>
      </w:tr>
    </w:tbl>
    <w:p w14:paraId="299B55A6" w14:textId="77777777" w:rsidR="00BD7237" w:rsidRPr="004910FC" w:rsidRDefault="00BD7237" w:rsidP="00BD7237">
      <w:pPr>
        <w:spacing w:after="0" w:line="240" w:lineRule="auto"/>
        <w:rPr>
          <w:rFonts w:ascii="Arial Narrow" w:hAnsi="Arial Narrow"/>
          <w:bCs/>
          <w:iCs/>
          <w:sz w:val="16"/>
          <w:szCs w:val="16"/>
        </w:rPr>
      </w:pPr>
      <w:r w:rsidRPr="004910FC">
        <w:rPr>
          <w:rFonts w:ascii="Arial Narrow" w:hAnsi="Arial Narrow"/>
          <w:bCs/>
          <w:iCs/>
          <w:sz w:val="16"/>
          <w:szCs w:val="16"/>
        </w:rPr>
        <w:t>IM = Intramuscular Injection</w:t>
      </w:r>
    </w:p>
    <w:p w14:paraId="473179BA" w14:textId="685C8022" w:rsidR="00BD7237" w:rsidRDefault="00BD7237" w:rsidP="00BD7237">
      <w:pPr>
        <w:spacing w:line="240" w:lineRule="auto"/>
        <w:rPr>
          <w:rFonts w:ascii="Arial Narrow" w:hAnsi="Arial Narrow"/>
          <w:sz w:val="16"/>
          <w:szCs w:val="16"/>
        </w:rPr>
      </w:pPr>
      <w:r w:rsidRPr="004910FC">
        <w:rPr>
          <w:rFonts w:ascii="Arial Narrow" w:hAnsi="Arial Narrow"/>
          <w:sz w:val="16"/>
          <w:szCs w:val="16"/>
          <w:vertAlign w:val="superscript"/>
        </w:rPr>
        <w:t xml:space="preserve"> </w:t>
      </w:r>
      <w:r w:rsidRPr="004910FC">
        <w:rPr>
          <w:rFonts w:ascii="Arial Narrow" w:hAnsi="Arial Narrow"/>
          <w:sz w:val="16"/>
          <w:szCs w:val="16"/>
        </w:rPr>
        <w:t>See full prescribing information for VOCABRIA (cabotegravir) and EDURANT (rilpivirine) for recommended oral dosing</w:t>
      </w:r>
    </w:p>
    <w:p w14:paraId="4A3DE665" w14:textId="3D102073" w:rsidR="00720274" w:rsidRPr="00720274" w:rsidRDefault="00720274" w:rsidP="00391F4A">
      <w:pPr>
        <w:spacing w:line="240" w:lineRule="auto"/>
        <w:rPr>
          <w:rFonts w:ascii="Arial" w:hAnsi="Arial" w:cs="Arial"/>
          <w:lang w:val="en"/>
        </w:rPr>
      </w:pPr>
      <w:r w:rsidRPr="00C23B17">
        <w:rPr>
          <w:rFonts w:ascii="Arial" w:hAnsi="Arial" w:cs="Arial"/>
          <w:lang w:val="en"/>
        </w:rPr>
        <w:t xml:space="preserve">In the clinical trial (ATLAS 2M), a higher rate of confirmed </w:t>
      </w:r>
      <w:proofErr w:type="spellStart"/>
      <w:r w:rsidRPr="00C23B17">
        <w:rPr>
          <w:rFonts w:ascii="Arial" w:hAnsi="Arial" w:cs="Arial"/>
          <w:lang w:val="en"/>
        </w:rPr>
        <w:t>virological</w:t>
      </w:r>
      <w:proofErr w:type="spellEnd"/>
      <w:r w:rsidRPr="00C23B17">
        <w:rPr>
          <w:rFonts w:ascii="Arial" w:hAnsi="Arial" w:cs="Arial"/>
          <w:lang w:val="en"/>
        </w:rPr>
        <w:t xml:space="preserve"> failure (CVF</w:t>
      </w:r>
      <w:r w:rsidR="00582D02" w:rsidRPr="00C23B17">
        <w:rPr>
          <w:rFonts w:ascii="Arial" w:hAnsi="Arial" w:cs="Arial"/>
          <w:lang w:val="en"/>
        </w:rPr>
        <w:t>, two consecutive plasma HIV-1 RNA ≥200 copies per mL</w:t>
      </w:r>
      <w:r w:rsidRPr="00C23B17">
        <w:rPr>
          <w:rFonts w:ascii="Arial" w:hAnsi="Arial" w:cs="Arial"/>
          <w:lang w:val="en"/>
        </w:rPr>
        <w:t xml:space="preserve">) was seen with the 2 monthly injection schedule </w:t>
      </w:r>
      <w:r w:rsidR="00582D02" w:rsidRPr="00C23B17">
        <w:rPr>
          <w:rFonts w:ascii="Arial" w:hAnsi="Arial" w:cs="Arial"/>
          <w:lang w:val="en"/>
        </w:rPr>
        <w:t>(8/522</w:t>
      </w:r>
      <w:r w:rsidR="00551302">
        <w:rPr>
          <w:rFonts w:ascii="Arial" w:hAnsi="Arial" w:cs="Arial"/>
          <w:lang w:val="en"/>
        </w:rPr>
        <w:t>,</w:t>
      </w:r>
      <w:r w:rsidR="00582D02" w:rsidRPr="00C23B17">
        <w:rPr>
          <w:rFonts w:ascii="Arial" w:hAnsi="Arial" w:cs="Arial"/>
          <w:lang w:val="en"/>
        </w:rPr>
        <w:t xml:space="preserve"> 1.5%)</w:t>
      </w:r>
      <w:r w:rsidR="00582D02" w:rsidRPr="00C23B17">
        <w:rPr>
          <w:rFonts w:ascii="Arial" w:hAnsi="Arial" w:cs="Arial"/>
          <w:b/>
          <w:bCs/>
          <w:lang w:val="en"/>
        </w:rPr>
        <w:t xml:space="preserve"> </w:t>
      </w:r>
      <w:r w:rsidRPr="00C23B17">
        <w:rPr>
          <w:rFonts w:ascii="Arial" w:hAnsi="Arial" w:cs="Arial"/>
          <w:lang w:val="en"/>
        </w:rPr>
        <w:t>as compared to the 1 monthly schedule</w:t>
      </w:r>
      <w:r w:rsidR="00582D02" w:rsidRPr="00C23B17">
        <w:rPr>
          <w:rFonts w:ascii="Arial" w:hAnsi="Arial" w:cs="Arial"/>
          <w:lang w:val="en"/>
        </w:rPr>
        <w:t xml:space="preserve"> (2/523, 0.4%) (see Section 5.1 PHARMACODYNAMIC PROPERTIES</w:t>
      </w:r>
      <w:r w:rsidR="00582D02" w:rsidRPr="00C23B17">
        <w:rPr>
          <w:rFonts w:ascii="Arial" w:hAnsi="Arial" w:cs="Arial"/>
          <w:b/>
          <w:bCs/>
          <w:lang w:val="en"/>
        </w:rPr>
        <w:t xml:space="preserve">, </w:t>
      </w:r>
      <w:r w:rsidR="00582D02" w:rsidRPr="00C23B17">
        <w:rPr>
          <w:rFonts w:ascii="Arial" w:hAnsi="Arial" w:cs="Arial"/>
          <w:lang w:val="en"/>
        </w:rPr>
        <w:t>Resistance In Vivo</w:t>
      </w:r>
      <w:r w:rsidR="00582D02" w:rsidRPr="00C23B17">
        <w:rPr>
          <w:rFonts w:ascii="Arial" w:hAnsi="Arial" w:cs="Arial"/>
          <w:b/>
          <w:bCs/>
          <w:lang w:val="en"/>
        </w:rPr>
        <w:t>)</w:t>
      </w:r>
      <w:r>
        <w:rPr>
          <w:rFonts w:ascii="Arial" w:hAnsi="Arial" w:cs="Arial"/>
          <w:lang w:val="en"/>
        </w:rPr>
        <w:t>.</w:t>
      </w:r>
    </w:p>
    <w:p w14:paraId="067E8687" w14:textId="47A0B9A3" w:rsidR="007264C7" w:rsidRPr="00CA13F8" w:rsidRDefault="007264C7" w:rsidP="007264C7">
      <w:pPr>
        <w:keepNext/>
        <w:spacing w:before="120" w:after="0" w:line="320" w:lineRule="atLeast"/>
        <w:rPr>
          <w:rFonts w:ascii="Arial" w:eastAsia="Calibri" w:hAnsi="Arial" w:cs="Arial"/>
          <w:b/>
          <w:i/>
          <w:szCs w:val="24"/>
        </w:rPr>
      </w:pPr>
      <w:r w:rsidRPr="00CA13F8">
        <w:rPr>
          <w:rFonts w:ascii="Arial" w:hAnsi="Arial" w:cs="Arial"/>
          <w:b/>
          <w:bCs/>
          <w:i/>
          <w:szCs w:val="24"/>
        </w:rPr>
        <w:t xml:space="preserve">Dosing recommendations when </w:t>
      </w:r>
      <w:r w:rsidR="00582D02">
        <w:rPr>
          <w:rFonts w:ascii="Arial" w:hAnsi="Arial" w:cs="Arial"/>
          <w:b/>
          <w:bCs/>
          <w:i/>
          <w:szCs w:val="24"/>
        </w:rPr>
        <w:t>s</w:t>
      </w:r>
      <w:r w:rsidRPr="00CA13F8">
        <w:rPr>
          <w:rFonts w:ascii="Arial" w:hAnsi="Arial" w:cs="Arial"/>
          <w:b/>
          <w:bCs/>
          <w:i/>
          <w:szCs w:val="24"/>
        </w:rPr>
        <w:t xml:space="preserve">witching from </w:t>
      </w:r>
      <w:r w:rsidR="00582D02">
        <w:rPr>
          <w:rFonts w:ascii="Arial" w:hAnsi="Arial" w:cs="Arial"/>
          <w:b/>
          <w:bCs/>
          <w:i/>
          <w:szCs w:val="24"/>
        </w:rPr>
        <w:t>m</w:t>
      </w:r>
      <w:r w:rsidRPr="00CA13F8">
        <w:rPr>
          <w:rFonts w:ascii="Arial" w:hAnsi="Arial" w:cs="Arial"/>
          <w:b/>
          <w:bCs/>
          <w:i/>
          <w:szCs w:val="24"/>
        </w:rPr>
        <w:t xml:space="preserve">onthly to </w:t>
      </w:r>
      <w:r w:rsidR="00582D02">
        <w:rPr>
          <w:rFonts w:ascii="Arial" w:hAnsi="Arial" w:cs="Arial"/>
          <w:b/>
          <w:bCs/>
          <w:i/>
          <w:szCs w:val="24"/>
        </w:rPr>
        <w:t>e</w:t>
      </w:r>
      <w:r w:rsidRPr="00CA13F8">
        <w:rPr>
          <w:rFonts w:ascii="Arial" w:hAnsi="Arial" w:cs="Arial"/>
          <w:b/>
          <w:bCs/>
          <w:i/>
          <w:szCs w:val="24"/>
        </w:rPr>
        <w:t xml:space="preserve">very 2 </w:t>
      </w:r>
      <w:r w:rsidR="00582D02">
        <w:rPr>
          <w:rFonts w:ascii="Arial" w:hAnsi="Arial" w:cs="Arial"/>
          <w:b/>
          <w:bCs/>
          <w:i/>
          <w:szCs w:val="24"/>
        </w:rPr>
        <w:t>m</w:t>
      </w:r>
      <w:r w:rsidRPr="00CA13F8">
        <w:rPr>
          <w:rFonts w:ascii="Arial" w:hAnsi="Arial" w:cs="Arial"/>
          <w:b/>
          <w:bCs/>
          <w:i/>
          <w:szCs w:val="24"/>
        </w:rPr>
        <w:t xml:space="preserve">onth </w:t>
      </w:r>
      <w:r w:rsidR="00582D02">
        <w:rPr>
          <w:rFonts w:ascii="Arial" w:hAnsi="Arial" w:cs="Arial"/>
          <w:b/>
          <w:bCs/>
          <w:i/>
          <w:szCs w:val="24"/>
        </w:rPr>
        <w:t>i</w:t>
      </w:r>
      <w:r w:rsidRPr="00CA13F8">
        <w:rPr>
          <w:rFonts w:ascii="Arial" w:hAnsi="Arial" w:cs="Arial"/>
          <w:b/>
          <w:bCs/>
          <w:i/>
          <w:szCs w:val="24"/>
        </w:rPr>
        <w:t xml:space="preserve">njections </w:t>
      </w:r>
    </w:p>
    <w:p w14:paraId="3EFB9301" w14:textId="18E6B5CC" w:rsidR="007264C7" w:rsidRDefault="007264C7" w:rsidP="007264C7">
      <w:pPr>
        <w:keepNext/>
        <w:spacing w:before="120" w:after="0" w:line="320" w:lineRule="atLeast"/>
        <w:rPr>
          <w:rFonts w:ascii="Arial" w:hAnsi="Arial" w:cs="Arial"/>
          <w:szCs w:val="24"/>
        </w:rPr>
      </w:pPr>
      <w:r w:rsidRPr="00763708">
        <w:rPr>
          <w:rFonts w:ascii="Arial" w:hAnsi="Arial" w:cs="Arial"/>
          <w:szCs w:val="24"/>
        </w:rPr>
        <w:t xml:space="preserve">Patients switching from a monthly continuation injection schedule to an every 2 month continuation injection dosing schedule should receive </w:t>
      </w:r>
      <w:r w:rsidR="00B94E03" w:rsidRPr="002E2FB4">
        <w:rPr>
          <w:rFonts w:ascii="Arial" w:hAnsi="Arial" w:cs="Arial"/>
          <w:lang w:val="en"/>
        </w:rPr>
        <w:t>a single</w:t>
      </w:r>
      <w:r w:rsidR="00B94E03" w:rsidRPr="002E2FB4">
        <w:rPr>
          <w:rFonts w:ascii="Arial" w:hAnsi="Arial" w:cs="Arial"/>
          <w:szCs w:val="24"/>
        </w:rPr>
        <w:t xml:space="preserve"> </w:t>
      </w:r>
      <w:r w:rsidR="00B94E03" w:rsidRPr="002E2FB4">
        <w:rPr>
          <w:rFonts w:ascii="Arial" w:hAnsi="Arial" w:cs="Arial"/>
          <w:lang w:val="en"/>
        </w:rPr>
        <w:t>3 mL (600 mg) IM injection of cabotegravir and a single 3 mL (900 mg) IM injection of rilpivirine</w:t>
      </w:r>
      <w:r w:rsidRPr="00763708">
        <w:rPr>
          <w:rFonts w:ascii="Arial" w:hAnsi="Arial" w:cs="Arial"/>
          <w:szCs w:val="24"/>
        </w:rPr>
        <w:t xml:space="preserve"> one month after the last </w:t>
      </w:r>
      <w:r w:rsidR="00B94E03" w:rsidRPr="002E2FB4">
        <w:rPr>
          <w:rFonts w:ascii="Arial" w:hAnsi="Arial" w:cs="Arial"/>
          <w:lang w:val="en"/>
        </w:rPr>
        <w:t>2 mL (400 mg) cabotegravir and 2 mL (600 mg) rilpivirine</w:t>
      </w:r>
      <w:r w:rsidR="00B94E03" w:rsidRPr="00BD7237">
        <w:rPr>
          <w:rFonts w:ascii="Arial" w:hAnsi="Arial" w:cs="Arial"/>
          <w:szCs w:val="24"/>
        </w:rPr>
        <w:t xml:space="preserve"> </w:t>
      </w:r>
      <w:r w:rsidRPr="00763708">
        <w:rPr>
          <w:rFonts w:ascii="Arial" w:hAnsi="Arial" w:cs="Arial"/>
          <w:szCs w:val="24"/>
        </w:rPr>
        <w:t>continuation injection dose</w:t>
      </w:r>
      <w:r w:rsidR="00110F52">
        <w:rPr>
          <w:rFonts w:ascii="Arial" w:hAnsi="Arial" w:cs="Arial"/>
          <w:szCs w:val="24"/>
        </w:rPr>
        <w:t>s</w:t>
      </w:r>
      <w:r w:rsidRPr="00763708">
        <w:rPr>
          <w:rFonts w:ascii="Arial" w:hAnsi="Arial" w:cs="Arial"/>
          <w:szCs w:val="24"/>
        </w:rPr>
        <w:t xml:space="preserve"> and then </w:t>
      </w:r>
      <w:r w:rsidR="00110F52" w:rsidRPr="002E2FB4">
        <w:rPr>
          <w:rFonts w:ascii="Arial" w:hAnsi="Arial" w:cs="Arial"/>
          <w:lang w:val="en"/>
        </w:rPr>
        <w:t>3 mL (600 mg) of cabotegravir and 3 mL (900 mg) of rilpivirine</w:t>
      </w:r>
      <w:r w:rsidR="00110F52" w:rsidRPr="002E2FB4">
        <w:rPr>
          <w:rFonts w:ascii="Arial" w:hAnsi="Arial" w:cs="Arial"/>
          <w:szCs w:val="24"/>
        </w:rPr>
        <w:t xml:space="preserve"> </w:t>
      </w:r>
      <w:r w:rsidRPr="00763708">
        <w:rPr>
          <w:rFonts w:ascii="Arial" w:hAnsi="Arial" w:cs="Arial"/>
          <w:szCs w:val="24"/>
        </w:rPr>
        <w:t xml:space="preserve">every 2 months thereafter.  </w:t>
      </w:r>
    </w:p>
    <w:p w14:paraId="1EE984A4" w14:textId="77777777" w:rsidR="00582D02" w:rsidRPr="00582D02" w:rsidRDefault="00582D02" w:rsidP="00582D02">
      <w:pPr>
        <w:keepNext/>
        <w:spacing w:before="120" w:after="0" w:line="320" w:lineRule="atLeast"/>
        <w:rPr>
          <w:rFonts w:ascii="Arial" w:hAnsi="Arial" w:cs="Arial"/>
          <w:b/>
          <w:bCs/>
          <w:i/>
          <w:szCs w:val="24"/>
        </w:rPr>
      </w:pPr>
      <w:bookmarkStart w:id="4" w:name="_Hlk63243612"/>
      <w:r w:rsidRPr="00582D02">
        <w:rPr>
          <w:rFonts w:ascii="Arial" w:hAnsi="Arial" w:cs="Arial"/>
          <w:b/>
          <w:bCs/>
          <w:i/>
          <w:szCs w:val="24"/>
        </w:rPr>
        <w:t>Dosing recommendations when switching from every 2 month to monthly injections</w:t>
      </w:r>
    </w:p>
    <w:p w14:paraId="7F924012" w14:textId="77777777" w:rsidR="00582D02" w:rsidRPr="00582D02" w:rsidRDefault="00582D02" w:rsidP="00582D02">
      <w:pPr>
        <w:keepNext/>
        <w:spacing w:before="120" w:after="0" w:line="320" w:lineRule="atLeast"/>
        <w:rPr>
          <w:rFonts w:ascii="Arial" w:hAnsi="Arial" w:cs="Arial"/>
          <w:bCs/>
          <w:szCs w:val="24"/>
        </w:rPr>
      </w:pPr>
      <w:r w:rsidRPr="00582D02">
        <w:rPr>
          <w:rFonts w:ascii="Arial" w:hAnsi="Arial" w:cs="Arial"/>
          <w:bCs/>
          <w:szCs w:val="24"/>
        </w:rPr>
        <w:t>Patients switching from an every 2 month continuation injection schedule to a monthly continuation dosing schedule should receive a single 400 mg intramuscular injection of cabotegravir 2 months after the last 600 mg continuation injection dose and then 400 mg monthly thereafter.</w:t>
      </w:r>
    </w:p>
    <w:bookmarkEnd w:id="4"/>
    <w:p w14:paraId="0AF1FEC5" w14:textId="77777777" w:rsidR="007264C7" w:rsidRPr="004910FC" w:rsidRDefault="007264C7" w:rsidP="00391F4A">
      <w:pPr>
        <w:spacing w:line="240" w:lineRule="auto"/>
        <w:rPr>
          <w:rFonts w:ascii="Arial Narrow" w:hAnsi="Arial Narrow"/>
          <w:bCs/>
          <w:iCs/>
          <w:sz w:val="16"/>
          <w:szCs w:val="16"/>
        </w:rPr>
      </w:pPr>
    </w:p>
    <w:p w14:paraId="75F1E186" w14:textId="77777777" w:rsidR="00391F4A" w:rsidRPr="00D66292" w:rsidRDefault="00391F4A" w:rsidP="003E7E6F">
      <w:pPr>
        <w:pStyle w:val="Heading4"/>
        <w:rPr>
          <w:rFonts w:ascii="Arial" w:hAnsi="Arial" w:cs="Arial"/>
          <w:color w:val="auto"/>
        </w:rPr>
      </w:pPr>
      <w:bookmarkStart w:id="5" w:name="_Hlk526169874"/>
      <w:bookmarkStart w:id="6" w:name="_Hlk5897080"/>
      <w:r w:rsidRPr="00D66292">
        <w:rPr>
          <w:rFonts w:ascii="Arial" w:hAnsi="Arial" w:cs="Arial"/>
          <w:color w:val="auto"/>
        </w:rPr>
        <w:lastRenderedPageBreak/>
        <w:t>Missed doses</w:t>
      </w:r>
    </w:p>
    <w:p w14:paraId="29B1FA5D" w14:textId="3740A084" w:rsidR="00391F4A" w:rsidRPr="00D66292" w:rsidRDefault="00391F4A" w:rsidP="000D668F">
      <w:pPr>
        <w:rPr>
          <w:rFonts w:ascii="Arial" w:hAnsi="Arial" w:cs="Arial"/>
          <w:lang w:val="en"/>
        </w:rPr>
      </w:pPr>
      <w:bookmarkStart w:id="7" w:name="_Hlk523315892"/>
      <w:bookmarkEnd w:id="5"/>
      <w:r w:rsidRPr="00D66292">
        <w:rPr>
          <w:rFonts w:ascii="Arial" w:hAnsi="Arial" w:cs="Arial"/>
          <w:lang w:val="en"/>
        </w:rPr>
        <w:t>Adherence to the injection dosing schedule is strongly recommended</w:t>
      </w:r>
      <w:r w:rsidR="006234BC">
        <w:rPr>
          <w:rFonts w:ascii="Arial" w:hAnsi="Arial" w:cs="Arial"/>
          <w:lang w:val="en"/>
        </w:rPr>
        <w:t xml:space="preserve">, </w:t>
      </w:r>
      <w:r w:rsidR="006234BC" w:rsidRPr="006234BC">
        <w:rPr>
          <w:rFonts w:ascii="Arial" w:hAnsi="Arial" w:cs="Arial"/>
          <w:lang w:val="en"/>
        </w:rPr>
        <w:t>to help maintain viral suppression, reduce the risk of viral rebound and potential development of resistance with missed doses</w:t>
      </w:r>
      <w:r w:rsidRPr="00D66292">
        <w:rPr>
          <w:rFonts w:ascii="Arial" w:hAnsi="Arial" w:cs="Arial"/>
          <w:lang w:val="en"/>
        </w:rPr>
        <w:t>. Patients who miss a scheduled injection visit should be clinically reassessed to ensure resumption of therapy remains appropriate</w:t>
      </w:r>
      <w:r w:rsidR="00110F52">
        <w:rPr>
          <w:rFonts w:ascii="Arial" w:hAnsi="Arial" w:cs="Arial"/>
          <w:lang w:val="en"/>
        </w:rPr>
        <w:t xml:space="preserve"> (see Tables 3 and 4)</w:t>
      </w:r>
      <w:r w:rsidR="00C6780E">
        <w:rPr>
          <w:rFonts w:ascii="Arial" w:hAnsi="Arial" w:cs="Arial"/>
          <w:lang w:val="en"/>
        </w:rPr>
        <w:t>.</w:t>
      </w:r>
    </w:p>
    <w:p w14:paraId="4E9EB12D" w14:textId="01CB01BB" w:rsidR="00110F52" w:rsidRPr="00FE3C58" w:rsidRDefault="00110F52" w:rsidP="000D668F">
      <w:pPr>
        <w:rPr>
          <w:rFonts w:ascii="Arial" w:hAnsi="Arial" w:cs="Arial"/>
          <w:u w:val="single"/>
          <w:lang w:val="en"/>
        </w:rPr>
      </w:pPr>
      <w:r w:rsidRPr="00FE3C58">
        <w:rPr>
          <w:rFonts w:ascii="Arial" w:hAnsi="Arial" w:cs="Arial"/>
          <w:u w:val="single"/>
          <w:lang w:val="en"/>
        </w:rPr>
        <w:t>Missed monthly injections</w:t>
      </w:r>
    </w:p>
    <w:p w14:paraId="2BDE8F1D" w14:textId="45AF7B95" w:rsidR="00391F4A" w:rsidRPr="00D66292" w:rsidRDefault="00492682" w:rsidP="000D668F">
      <w:pPr>
        <w:rPr>
          <w:rFonts w:ascii="Arial" w:hAnsi="Arial" w:cs="Arial"/>
          <w:lang w:val="en"/>
        </w:rPr>
      </w:pPr>
      <w:r w:rsidRPr="00763708">
        <w:rPr>
          <w:rFonts w:ascii="Arial" w:hAnsi="Arial" w:cs="Arial"/>
          <w:lang w:val="en"/>
        </w:rPr>
        <w:t>If a deviation of more than 7 days from a scheduled injection visit cannot be avoided</w:t>
      </w:r>
      <w:r w:rsidRPr="00D66292" w:rsidDel="00492682">
        <w:rPr>
          <w:rFonts w:ascii="Arial" w:hAnsi="Arial" w:cs="Arial"/>
          <w:lang w:val="en"/>
        </w:rPr>
        <w:t xml:space="preserve"> </w:t>
      </w:r>
      <w:r w:rsidR="00391F4A" w:rsidRPr="00D66292">
        <w:rPr>
          <w:rFonts w:ascii="Arial" w:hAnsi="Arial" w:cs="Arial"/>
          <w:lang w:val="en"/>
        </w:rPr>
        <w:t xml:space="preserve">, oral therapy (one </w:t>
      </w:r>
      <w:r w:rsidR="004910FC">
        <w:rPr>
          <w:rFonts w:ascii="Arial" w:hAnsi="Arial" w:cs="Arial"/>
          <w:lang w:val="en"/>
        </w:rPr>
        <w:t>cabotegravir 30 mg</w:t>
      </w:r>
      <w:r w:rsidR="00391F4A" w:rsidRPr="00D66292">
        <w:rPr>
          <w:rFonts w:ascii="Arial" w:hAnsi="Arial" w:cs="Arial"/>
          <w:lang w:val="en"/>
        </w:rPr>
        <w:t xml:space="preserve"> tablet </w:t>
      </w:r>
      <w:r w:rsidR="004910FC">
        <w:rPr>
          <w:rFonts w:ascii="Arial" w:hAnsi="Arial" w:cs="Arial"/>
          <w:lang w:val="en"/>
        </w:rPr>
        <w:t>(VOCABRIA)</w:t>
      </w:r>
      <w:r w:rsidR="00391F4A" w:rsidRPr="00D66292">
        <w:rPr>
          <w:rFonts w:ascii="Arial" w:hAnsi="Arial" w:cs="Arial"/>
          <w:lang w:val="en"/>
        </w:rPr>
        <w:t xml:space="preserve"> and one rilpivirine </w:t>
      </w:r>
      <w:r w:rsidR="004910FC">
        <w:rPr>
          <w:rFonts w:ascii="Arial" w:hAnsi="Arial" w:cs="Arial"/>
          <w:lang w:val="en"/>
        </w:rPr>
        <w:t xml:space="preserve">25 mg </w:t>
      </w:r>
      <w:r w:rsidR="00391F4A" w:rsidRPr="00D66292">
        <w:rPr>
          <w:rFonts w:ascii="Arial" w:hAnsi="Arial" w:cs="Arial"/>
          <w:lang w:val="en"/>
        </w:rPr>
        <w:t xml:space="preserve">tablet </w:t>
      </w:r>
      <w:r w:rsidR="004910FC">
        <w:rPr>
          <w:rFonts w:ascii="Arial" w:hAnsi="Arial" w:cs="Arial"/>
          <w:lang w:val="en"/>
        </w:rPr>
        <w:t xml:space="preserve">(EDURANT) </w:t>
      </w:r>
      <w:r w:rsidR="00391F4A" w:rsidRPr="00D66292">
        <w:rPr>
          <w:rFonts w:ascii="Arial" w:hAnsi="Arial" w:cs="Arial"/>
          <w:lang w:val="en"/>
        </w:rPr>
        <w:t xml:space="preserve">once daily) may be used to replace up to 2 consecutive monthly injection visits. </w:t>
      </w:r>
      <w:r w:rsidR="002F4803" w:rsidRPr="002F4803">
        <w:rPr>
          <w:rFonts w:ascii="Arial" w:hAnsi="Arial" w:cs="Arial"/>
          <w:lang w:val="en"/>
        </w:rPr>
        <w:t>For oral therapy durations greater than two months, an alternative oral regimen is recommended.</w:t>
      </w:r>
      <w:r w:rsidR="002F4803">
        <w:rPr>
          <w:rFonts w:ascii="Arial" w:hAnsi="Arial" w:cs="Arial"/>
          <w:lang w:val="en"/>
        </w:rPr>
        <w:t xml:space="preserve"> </w:t>
      </w:r>
      <w:r w:rsidR="00391F4A" w:rsidRPr="00D66292">
        <w:rPr>
          <w:rFonts w:ascii="Arial" w:hAnsi="Arial" w:cs="Arial"/>
          <w:lang w:val="en"/>
        </w:rPr>
        <w:t xml:space="preserve">The first dose of oral therapy should be taken approximately one month after the last injection dose of </w:t>
      </w:r>
      <w:r w:rsidR="00DC4D8B">
        <w:rPr>
          <w:rFonts w:ascii="Arial" w:hAnsi="Arial" w:cs="Arial"/>
          <w:lang w:val="en"/>
        </w:rPr>
        <w:t>CABENUVA</w:t>
      </w:r>
      <w:r w:rsidR="00391F4A" w:rsidRPr="00D66292">
        <w:rPr>
          <w:rFonts w:ascii="Arial" w:hAnsi="Arial" w:cs="Arial"/>
          <w:lang w:val="en"/>
        </w:rPr>
        <w:t xml:space="preserve">. Injection dosing should be resumed on the day oral dosing completes, as recommended in </w:t>
      </w:r>
      <w:bookmarkEnd w:id="7"/>
      <w:r w:rsidR="00391F4A" w:rsidRPr="00D66292">
        <w:rPr>
          <w:rFonts w:ascii="Arial" w:hAnsi="Arial" w:cs="Arial"/>
          <w:lang w:val="en"/>
        </w:rPr>
        <w:t xml:space="preserve">Table </w:t>
      </w:r>
      <w:r w:rsidR="00110F52">
        <w:rPr>
          <w:rFonts w:ascii="Arial" w:hAnsi="Arial" w:cs="Arial"/>
          <w:lang w:val="en"/>
        </w:rPr>
        <w:t>3</w:t>
      </w:r>
      <w:r w:rsidR="00391F4A" w:rsidRPr="00D66292">
        <w:rPr>
          <w:rFonts w:ascii="Arial" w:hAnsi="Arial" w:cs="Arial"/>
          <w:lang w:val="en"/>
        </w:rPr>
        <w:t>.</w:t>
      </w:r>
    </w:p>
    <w:p w14:paraId="14251066" w14:textId="7824DB3E" w:rsidR="00391F4A" w:rsidRPr="00335E5C" w:rsidRDefault="00391F4A" w:rsidP="00BF5823">
      <w:pPr>
        <w:keepNext/>
        <w:spacing w:line="240" w:lineRule="auto"/>
        <w:rPr>
          <w:rFonts w:ascii="Arial" w:hAnsi="Arial" w:cs="Arial"/>
          <w:b/>
          <w:bCs/>
          <w:iCs/>
        </w:rPr>
      </w:pPr>
      <w:r w:rsidRPr="00335E5C">
        <w:rPr>
          <w:rFonts w:ascii="Arial" w:hAnsi="Arial" w:cs="Arial"/>
          <w:b/>
          <w:bCs/>
          <w:iCs/>
        </w:rPr>
        <w:t xml:space="preserve">Table </w:t>
      </w:r>
      <w:r w:rsidR="00110F52">
        <w:rPr>
          <w:rFonts w:ascii="Arial" w:hAnsi="Arial" w:cs="Arial"/>
          <w:b/>
          <w:bCs/>
          <w:iCs/>
        </w:rPr>
        <w:t>3</w:t>
      </w:r>
      <w:r w:rsidRPr="00335E5C">
        <w:rPr>
          <w:rFonts w:ascii="Arial" w:hAnsi="Arial" w:cs="Arial"/>
          <w:b/>
          <w:bCs/>
          <w:iCs/>
        </w:rPr>
        <w:t xml:space="preserve">: </w:t>
      </w:r>
      <w:r w:rsidR="00DC4D8B">
        <w:rPr>
          <w:rFonts w:ascii="Arial" w:hAnsi="Arial" w:cs="Arial"/>
          <w:b/>
          <w:bCs/>
          <w:iCs/>
        </w:rPr>
        <w:t>CABENUVA</w:t>
      </w:r>
      <w:r w:rsidRPr="00335E5C">
        <w:rPr>
          <w:rFonts w:ascii="Arial" w:hAnsi="Arial" w:cs="Arial"/>
          <w:b/>
          <w:bCs/>
          <w:iCs/>
        </w:rPr>
        <w:t xml:space="preserve"> </w:t>
      </w:r>
      <w:r w:rsidR="004910FC">
        <w:rPr>
          <w:rFonts w:ascii="Arial" w:hAnsi="Arial" w:cs="Arial"/>
          <w:b/>
          <w:bCs/>
          <w:iCs/>
        </w:rPr>
        <w:t>d</w:t>
      </w:r>
      <w:r w:rsidRPr="00335E5C">
        <w:rPr>
          <w:rFonts w:ascii="Arial" w:hAnsi="Arial" w:cs="Arial"/>
          <w:b/>
          <w:bCs/>
          <w:iCs/>
        </w:rPr>
        <w:t xml:space="preserve">osing </w:t>
      </w:r>
      <w:r w:rsidR="004910FC">
        <w:rPr>
          <w:rFonts w:ascii="Arial" w:hAnsi="Arial" w:cs="Arial"/>
          <w:b/>
          <w:bCs/>
          <w:iCs/>
        </w:rPr>
        <w:t>r</w:t>
      </w:r>
      <w:r w:rsidRPr="00335E5C">
        <w:rPr>
          <w:rFonts w:ascii="Arial" w:hAnsi="Arial" w:cs="Arial"/>
          <w:b/>
          <w:bCs/>
          <w:iCs/>
        </w:rPr>
        <w:t xml:space="preserve">ecommendations </w:t>
      </w:r>
      <w:r w:rsidR="004910FC">
        <w:rPr>
          <w:rFonts w:ascii="Arial" w:hAnsi="Arial" w:cs="Arial"/>
          <w:b/>
          <w:bCs/>
          <w:iCs/>
        </w:rPr>
        <w:t>a</w:t>
      </w:r>
      <w:r w:rsidRPr="00335E5C">
        <w:rPr>
          <w:rFonts w:ascii="Arial" w:hAnsi="Arial" w:cs="Arial"/>
          <w:b/>
          <w:bCs/>
          <w:iCs/>
        </w:rPr>
        <w:t xml:space="preserve">fter </w:t>
      </w:r>
      <w:r w:rsidR="004910FC">
        <w:rPr>
          <w:rFonts w:ascii="Arial" w:hAnsi="Arial" w:cs="Arial"/>
          <w:b/>
          <w:bCs/>
          <w:iCs/>
        </w:rPr>
        <w:t>m</w:t>
      </w:r>
      <w:r w:rsidRPr="00335E5C">
        <w:rPr>
          <w:rFonts w:ascii="Arial" w:hAnsi="Arial" w:cs="Arial"/>
          <w:b/>
          <w:bCs/>
          <w:iCs/>
        </w:rPr>
        <w:t xml:space="preserve">issed </w:t>
      </w:r>
      <w:r w:rsidR="004910FC">
        <w:rPr>
          <w:rFonts w:ascii="Arial" w:hAnsi="Arial" w:cs="Arial"/>
          <w:b/>
          <w:bCs/>
          <w:iCs/>
        </w:rPr>
        <w:t>i</w:t>
      </w:r>
      <w:r w:rsidRPr="00335E5C">
        <w:rPr>
          <w:rFonts w:ascii="Arial" w:hAnsi="Arial" w:cs="Arial"/>
          <w:b/>
          <w:bCs/>
          <w:iCs/>
        </w:rPr>
        <w:t xml:space="preserve">njections or </w:t>
      </w:r>
      <w:r w:rsidR="004910FC">
        <w:rPr>
          <w:rFonts w:ascii="Arial" w:hAnsi="Arial" w:cs="Arial"/>
          <w:b/>
          <w:bCs/>
          <w:iCs/>
        </w:rPr>
        <w:t>o</w:t>
      </w:r>
      <w:r w:rsidRPr="00335E5C">
        <w:rPr>
          <w:rFonts w:ascii="Arial" w:hAnsi="Arial" w:cs="Arial"/>
          <w:b/>
          <w:bCs/>
          <w:iCs/>
        </w:rPr>
        <w:t xml:space="preserve">ral </w:t>
      </w:r>
      <w:r w:rsidR="004910FC">
        <w:rPr>
          <w:rFonts w:ascii="Arial" w:hAnsi="Arial" w:cs="Arial"/>
          <w:b/>
          <w:bCs/>
          <w:iCs/>
        </w:rPr>
        <w:t>t</w:t>
      </w:r>
      <w:r w:rsidRPr="00335E5C">
        <w:rPr>
          <w:rFonts w:ascii="Arial" w:hAnsi="Arial" w:cs="Arial"/>
          <w:b/>
          <w:bCs/>
          <w:iCs/>
        </w:rPr>
        <w:t>herapy</w:t>
      </w:r>
      <w:r w:rsidR="00110F52">
        <w:rPr>
          <w:rFonts w:ascii="Arial" w:hAnsi="Arial" w:cs="Arial"/>
          <w:b/>
          <w:bCs/>
          <w:iCs/>
        </w:rPr>
        <w:t xml:space="preserve"> </w:t>
      </w:r>
      <w:r w:rsidR="00110F52" w:rsidRPr="00FE3C58">
        <w:rPr>
          <w:rFonts w:ascii="Arial" w:hAnsi="Arial" w:cs="Arial"/>
          <w:b/>
          <w:bCs/>
          <w:iCs/>
        </w:rPr>
        <w:t>for patients on monthly injection dosing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6202"/>
      </w:tblGrid>
      <w:tr w:rsidR="00391F4A" w:rsidRPr="00335E5C" w14:paraId="72C23DC6" w14:textId="77777777" w:rsidTr="00B02CA3">
        <w:tc>
          <w:tcPr>
            <w:tcW w:w="2462" w:type="dxa"/>
            <w:tcBorders>
              <w:top w:val="single" w:sz="4" w:space="0" w:color="auto"/>
              <w:left w:val="single" w:sz="4" w:space="0" w:color="auto"/>
              <w:bottom w:val="single" w:sz="4" w:space="0" w:color="auto"/>
              <w:right w:val="single" w:sz="4" w:space="0" w:color="auto"/>
            </w:tcBorders>
            <w:hideMark/>
          </w:tcPr>
          <w:p w14:paraId="6CF2C9C1" w14:textId="77777777" w:rsidR="00391F4A" w:rsidRPr="00335E5C" w:rsidRDefault="00391F4A" w:rsidP="00BF5823">
            <w:pPr>
              <w:keepNext/>
              <w:rPr>
                <w:rFonts w:ascii="Arial Narrow" w:eastAsia="Calibri" w:hAnsi="Arial Narrow"/>
                <w:b/>
                <w:bCs/>
                <w:color w:val="000000"/>
                <w:kern w:val="24"/>
                <w:sz w:val="20"/>
                <w:szCs w:val="20"/>
                <w:lang w:val="en-US"/>
              </w:rPr>
            </w:pPr>
            <w:r w:rsidRPr="00335E5C">
              <w:rPr>
                <w:rFonts w:ascii="Arial Narrow" w:eastAsia="Calibri" w:hAnsi="Arial Narrow"/>
                <w:b/>
                <w:bCs/>
                <w:color w:val="000000"/>
                <w:kern w:val="24"/>
                <w:sz w:val="20"/>
                <w:szCs w:val="20"/>
                <w:lang w:val="en-US"/>
              </w:rPr>
              <w:t>Time since last injection</w:t>
            </w:r>
          </w:p>
        </w:tc>
        <w:tc>
          <w:tcPr>
            <w:tcW w:w="6202" w:type="dxa"/>
            <w:tcBorders>
              <w:top w:val="single" w:sz="4" w:space="0" w:color="auto"/>
              <w:left w:val="single" w:sz="4" w:space="0" w:color="auto"/>
              <w:bottom w:val="single" w:sz="4" w:space="0" w:color="auto"/>
              <w:right w:val="single" w:sz="4" w:space="0" w:color="auto"/>
            </w:tcBorders>
            <w:hideMark/>
          </w:tcPr>
          <w:p w14:paraId="3932F3DD" w14:textId="77777777" w:rsidR="00391F4A" w:rsidRPr="00335E5C" w:rsidRDefault="00391F4A" w:rsidP="00BF5823">
            <w:pPr>
              <w:keepNext/>
              <w:rPr>
                <w:rFonts w:ascii="Arial Narrow" w:eastAsia="Calibri" w:hAnsi="Arial Narrow"/>
                <w:b/>
                <w:bCs/>
                <w:color w:val="000000"/>
                <w:kern w:val="24"/>
                <w:sz w:val="20"/>
                <w:szCs w:val="20"/>
                <w:lang w:val="en-US"/>
              </w:rPr>
            </w:pPr>
            <w:r w:rsidRPr="00335E5C">
              <w:rPr>
                <w:rFonts w:ascii="Arial Narrow" w:eastAsia="Calibri" w:hAnsi="Arial Narrow"/>
                <w:b/>
                <w:bCs/>
                <w:color w:val="000000"/>
                <w:kern w:val="24"/>
                <w:sz w:val="20"/>
                <w:szCs w:val="20"/>
                <w:lang w:val="en-US"/>
              </w:rPr>
              <w:t>Recommendation</w:t>
            </w:r>
          </w:p>
        </w:tc>
      </w:tr>
      <w:tr w:rsidR="00391F4A" w:rsidRPr="00335E5C" w14:paraId="214BD394" w14:textId="77777777" w:rsidTr="00B02CA3">
        <w:tc>
          <w:tcPr>
            <w:tcW w:w="2462" w:type="dxa"/>
            <w:tcBorders>
              <w:top w:val="single" w:sz="4" w:space="0" w:color="auto"/>
              <w:left w:val="single" w:sz="4" w:space="0" w:color="auto"/>
              <w:bottom w:val="single" w:sz="4" w:space="0" w:color="auto"/>
              <w:right w:val="single" w:sz="4" w:space="0" w:color="auto"/>
            </w:tcBorders>
            <w:hideMark/>
          </w:tcPr>
          <w:p w14:paraId="20C8C2A0" w14:textId="38FBCABE" w:rsidR="00391F4A" w:rsidRPr="00335E5C" w:rsidRDefault="00F41672" w:rsidP="00BF5823">
            <w:pPr>
              <w:keepNext/>
              <w:rPr>
                <w:rFonts w:ascii="Arial Narrow" w:eastAsia="Calibri" w:hAnsi="Arial Narrow"/>
                <w:b/>
                <w:bCs/>
                <w:color w:val="000000"/>
                <w:kern w:val="24"/>
                <w:sz w:val="20"/>
                <w:szCs w:val="20"/>
                <w:lang w:val="en-US"/>
              </w:rPr>
            </w:pPr>
            <w:r>
              <w:rPr>
                <w:rFonts w:ascii="Arial Narrow" w:eastAsia="Calibri" w:hAnsi="Arial Narrow"/>
                <w:b/>
                <w:bCs/>
                <w:color w:val="000000"/>
                <w:kern w:val="24"/>
                <w:sz w:val="20"/>
                <w:szCs w:val="20"/>
                <w:lang w:val="en-US"/>
              </w:rPr>
              <w:t>≤</w:t>
            </w:r>
            <w:r w:rsidR="00391F4A" w:rsidRPr="00335E5C">
              <w:rPr>
                <w:rFonts w:ascii="Arial Narrow" w:eastAsia="Calibri" w:hAnsi="Arial Narrow"/>
                <w:b/>
                <w:bCs/>
                <w:color w:val="000000"/>
                <w:kern w:val="24"/>
                <w:sz w:val="20"/>
                <w:szCs w:val="20"/>
                <w:lang w:val="en-US"/>
              </w:rPr>
              <w:t>2 months:</w:t>
            </w:r>
          </w:p>
        </w:tc>
        <w:tc>
          <w:tcPr>
            <w:tcW w:w="6202" w:type="dxa"/>
            <w:tcBorders>
              <w:top w:val="single" w:sz="4" w:space="0" w:color="auto"/>
              <w:left w:val="single" w:sz="4" w:space="0" w:color="auto"/>
              <w:bottom w:val="single" w:sz="4" w:space="0" w:color="auto"/>
              <w:right w:val="single" w:sz="4" w:space="0" w:color="auto"/>
            </w:tcBorders>
            <w:hideMark/>
          </w:tcPr>
          <w:p w14:paraId="50DF4AF7" w14:textId="6FD2B324" w:rsidR="00391F4A" w:rsidRPr="00335E5C" w:rsidRDefault="00391F4A" w:rsidP="00BF5823">
            <w:pPr>
              <w:keepNext/>
              <w:rPr>
                <w:rFonts w:ascii="Arial Narrow" w:eastAsia="Calibri" w:hAnsi="Arial Narrow"/>
                <w:bCs/>
                <w:color w:val="000000"/>
                <w:kern w:val="24"/>
                <w:sz w:val="20"/>
                <w:szCs w:val="20"/>
                <w:lang w:val="en-US"/>
              </w:rPr>
            </w:pPr>
            <w:r w:rsidRPr="00335E5C">
              <w:rPr>
                <w:rFonts w:ascii="Arial Narrow" w:eastAsia="Calibri" w:hAnsi="Arial Narrow"/>
                <w:bCs/>
                <w:color w:val="000000"/>
                <w:kern w:val="24"/>
                <w:sz w:val="20"/>
                <w:szCs w:val="20"/>
                <w:lang w:val="en-US"/>
              </w:rPr>
              <w:t xml:space="preserve">Continue with the monthly 2 mL  injection dosing schedule as soon as possible </w:t>
            </w:r>
          </w:p>
        </w:tc>
      </w:tr>
      <w:tr w:rsidR="00391F4A" w:rsidRPr="00335E5C" w14:paraId="583FAF97" w14:textId="77777777" w:rsidTr="00B02CA3">
        <w:tc>
          <w:tcPr>
            <w:tcW w:w="2462" w:type="dxa"/>
            <w:tcBorders>
              <w:top w:val="single" w:sz="4" w:space="0" w:color="auto"/>
              <w:left w:val="single" w:sz="4" w:space="0" w:color="auto"/>
              <w:bottom w:val="single" w:sz="4" w:space="0" w:color="auto"/>
              <w:right w:val="single" w:sz="4" w:space="0" w:color="auto"/>
            </w:tcBorders>
            <w:hideMark/>
          </w:tcPr>
          <w:p w14:paraId="7500932E" w14:textId="2E9DA02F" w:rsidR="00391F4A" w:rsidRPr="00335E5C" w:rsidRDefault="00F41672" w:rsidP="00335E5C">
            <w:pPr>
              <w:rPr>
                <w:rFonts w:ascii="Arial Narrow" w:eastAsia="Calibri" w:hAnsi="Arial Narrow"/>
                <w:b/>
                <w:bCs/>
                <w:color w:val="000000"/>
                <w:kern w:val="24"/>
                <w:sz w:val="20"/>
                <w:szCs w:val="20"/>
                <w:lang w:val="en-US"/>
              </w:rPr>
            </w:pPr>
            <w:r>
              <w:rPr>
                <w:rFonts w:ascii="Arial Narrow" w:eastAsia="Calibri" w:hAnsi="Arial Narrow"/>
                <w:b/>
                <w:bCs/>
                <w:color w:val="000000"/>
                <w:kern w:val="24"/>
                <w:sz w:val="20"/>
                <w:szCs w:val="20"/>
                <w:lang w:val="en-US"/>
              </w:rPr>
              <w:t>&gt;</w:t>
            </w:r>
            <w:r w:rsidR="00391F4A" w:rsidRPr="00335E5C">
              <w:rPr>
                <w:rFonts w:ascii="Arial Narrow" w:eastAsia="Calibri" w:hAnsi="Arial Narrow"/>
                <w:b/>
                <w:bCs/>
                <w:color w:val="000000"/>
                <w:kern w:val="24"/>
                <w:sz w:val="20"/>
                <w:szCs w:val="20"/>
                <w:lang w:val="en-US"/>
              </w:rPr>
              <w:t>2 months:</w:t>
            </w:r>
          </w:p>
        </w:tc>
        <w:tc>
          <w:tcPr>
            <w:tcW w:w="6202" w:type="dxa"/>
            <w:tcBorders>
              <w:top w:val="single" w:sz="4" w:space="0" w:color="auto"/>
              <w:left w:val="single" w:sz="4" w:space="0" w:color="auto"/>
              <w:bottom w:val="single" w:sz="4" w:space="0" w:color="auto"/>
              <w:right w:val="single" w:sz="4" w:space="0" w:color="auto"/>
            </w:tcBorders>
            <w:hideMark/>
          </w:tcPr>
          <w:p w14:paraId="321B3151" w14:textId="10041E64" w:rsidR="00391F4A" w:rsidRPr="00335E5C" w:rsidRDefault="00391F4A" w:rsidP="00335E5C">
            <w:pPr>
              <w:rPr>
                <w:rFonts w:ascii="Arial Narrow" w:eastAsia="Calibri" w:hAnsi="Arial Narrow"/>
                <w:bCs/>
                <w:color w:val="000000"/>
                <w:kern w:val="24"/>
                <w:sz w:val="20"/>
                <w:szCs w:val="20"/>
                <w:lang w:val="en-US"/>
              </w:rPr>
            </w:pPr>
            <w:r w:rsidRPr="00335E5C">
              <w:rPr>
                <w:rFonts w:ascii="Arial Narrow" w:eastAsia="Calibri" w:hAnsi="Arial Narrow"/>
                <w:bCs/>
                <w:color w:val="000000"/>
                <w:kern w:val="24"/>
                <w:sz w:val="20"/>
                <w:szCs w:val="20"/>
                <w:lang w:val="en-US"/>
              </w:rPr>
              <w:t xml:space="preserve">Re-initiate the patient on the 3 mL dose, and then continue to follow the monthly 2 mL  injection dosing schedule. </w:t>
            </w:r>
          </w:p>
        </w:tc>
      </w:tr>
    </w:tbl>
    <w:bookmarkEnd w:id="6"/>
    <w:p w14:paraId="15B29591" w14:textId="77777777" w:rsidR="00110F52" w:rsidRPr="00FE3C58" w:rsidRDefault="00110F52" w:rsidP="00110F52">
      <w:pPr>
        <w:pStyle w:val="NoNumHead3"/>
        <w:keepNext w:val="0"/>
        <w:keepLines/>
        <w:rPr>
          <w:rFonts w:cs="Arial"/>
          <w:b w:val="0"/>
          <w:sz w:val="22"/>
          <w:szCs w:val="22"/>
          <w:u w:val="single"/>
        </w:rPr>
      </w:pPr>
      <w:r w:rsidRPr="00FE3C58">
        <w:rPr>
          <w:rFonts w:cs="Arial"/>
          <w:b w:val="0"/>
          <w:sz w:val="22"/>
          <w:szCs w:val="22"/>
          <w:u w:val="single"/>
          <w:lang w:val="en-GB"/>
        </w:rPr>
        <w:t>Missed 2 month injection</w:t>
      </w:r>
    </w:p>
    <w:p w14:paraId="695FA7BB" w14:textId="416AF951" w:rsidR="00110F52" w:rsidRPr="00FE3C58" w:rsidRDefault="00F423C5" w:rsidP="00110F52">
      <w:pPr>
        <w:rPr>
          <w:rFonts w:ascii="Arial" w:hAnsi="Arial" w:cs="Arial"/>
        </w:rPr>
      </w:pPr>
      <w:r w:rsidRPr="00763708">
        <w:rPr>
          <w:rFonts w:ascii="Arial" w:hAnsi="Arial" w:cs="Arial"/>
          <w:lang w:val="en"/>
        </w:rPr>
        <w:t>If a deviation of more than 7 days from a scheduled injection visit cannot be avoided</w:t>
      </w:r>
      <w:r w:rsidRPr="00FE3C58" w:rsidDel="00F423C5">
        <w:rPr>
          <w:rFonts w:ascii="Arial" w:hAnsi="Arial" w:cs="Arial"/>
        </w:rPr>
        <w:t xml:space="preserve"> </w:t>
      </w:r>
      <w:r w:rsidR="00110F52" w:rsidRPr="00FE3C58">
        <w:rPr>
          <w:rFonts w:ascii="Arial" w:hAnsi="Arial" w:cs="Arial"/>
        </w:rPr>
        <w:t xml:space="preserve">, </w:t>
      </w:r>
      <w:r w:rsidR="00110F52" w:rsidRPr="00431430">
        <w:rPr>
          <w:rFonts w:ascii="Arial" w:hAnsi="Arial" w:cs="Arial"/>
          <w:lang w:val="en"/>
        </w:rPr>
        <w:t xml:space="preserve">oral therapy (one cabotegravir 30 mg tablet (VOCABRIA) and one rilpivirine 25 mg tablet (EDURANT) once daily) </w:t>
      </w:r>
      <w:r w:rsidR="00110F52" w:rsidRPr="00FE3C58">
        <w:rPr>
          <w:rFonts w:ascii="Arial" w:hAnsi="Arial" w:cs="Arial"/>
        </w:rPr>
        <w:t xml:space="preserve">may be used to replace one 2-monthly injection visit. </w:t>
      </w:r>
      <w:r w:rsidR="00110F52" w:rsidRPr="00431430">
        <w:rPr>
          <w:rFonts w:ascii="Arial" w:hAnsi="Arial" w:cs="Arial"/>
          <w:lang w:val="en"/>
        </w:rPr>
        <w:t xml:space="preserve">For oral therapy durations greater than two months, an alternative oral regimen is recommended. </w:t>
      </w:r>
      <w:r w:rsidR="00110F52" w:rsidRPr="00FE3C58">
        <w:rPr>
          <w:rFonts w:ascii="Arial" w:hAnsi="Arial" w:cs="Arial"/>
        </w:rPr>
        <w:t>The first dose of oral therapy should be taken</w:t>
      </w:r>
      <w:r w:rsidR="00110F52" w:rsidRPr="00FE3C58">
        <w:rPr>
          <w:rFonts w:ascii="Arial" w:hAnsi="Arial" w:cs="Arial"/>
          <w:color w:val="BFBFBF"/>
        </w:rPr>
        <w:t xml:space="preserve"> </w:t>
      </w:r>
      <w:r w:rsidR="00110F52" w:rsidRPr="00FE3C58">
        <w:rPr>
          <w:rFonts w:ascii="Arial" w:hAnsi="Arial" w:cs="Arial"/>
        </w:rPr>
        <w:t>approximately two months after the last injection dose of CABENUVA. Injection dosing should be resumed on the day oral dosing completes, as recommended in Table 4.</w:t>
      </w:r>
    </w:p>
    <w:p w14:paraId="33B1550A" w14:textId="2F20746A" w:rsidR="00110F52" w:rsidRPr="00431430" w:rsidRDefault="00110F52" w:rsidP="00B93BAD">
      <w:pPr>
        <w:keepNext/>
        <w:pageBreakBefore/>
        <w:spacing w:line="240" w:lineRule="auto"/>
        <w:rPr>
          <w:rFonts w:ascii="Arial" w:hAnsi="Arial" w:cs="Arial"/>
          <w:b/>
          <w:bCs/>
          <w:iCs/>
        </w:rPr>
      </w:pPr>
      <w:r w:rsidRPr="00431430">
        <w:rPr>
          <w:rFonts w:ascii="Arial" w:hAnsi="Arial" w:cs="Arial"/>
          <w:b/>
          <w:bCs/>
          <w:iCs/>
        </w:rPr>
        <w:lastRenderedPageBreak/>
        <w:t xml:space="preserve">Table 4: CABENUVA dosing recommendations after missed injections or oral therapy </w:t>
      </w:r>
      <w:r w:rsidRPr="00FE3C58">
        <w:rPr>
          <w:rFonts w:ascii="Arial" w:hAnsi="Arial" w:cs="Arial"/>
          <w:b/>
          <w:bCs/>
        </w:rPr>
        <w:t xml:space="preserve">for patients </w:t>
      </w:r>
      <w:r w:rsidR="00F41672" w:rsidRPr="00FE3C58">
        <w:rPr>
          <w:rFonts w:ascii="Arial" w:hAnsi="Arial" w:cs="Arial"/>
          <w:b/>
          <w:bCs/>
        </w:rPr>
        <w:t>on every 2</w:t>
      </w:r>
      <w:r w:rsidRPr="00FE3C58">
        <w:rPr>
          <w:rFonts w:ascii="Arial" w:hAnsi="Arial" w:cs="Arial"/>
          <w:b/>
          <w:bCs/>
        </w:rPr>
        <w:t xml:space="preserve"> month injection dosing</w:t>
      </w:r>
    </w:p>
    <w:tbl>
      <w:tblPr>
        <w:tblpPr w:leftFromText="180" w:rightFromText="180" w:vertAnchor="text" w:horzAnchor="margin"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068"/>
        <w:gridCol w:w="4984"/>
      </w:tblGrid>
      <w:tr w:rsidR="00F41672" w:rsidRPr="004A6970" w14:paraId="70302CE5" w14:textId="77777777" w:rsidTr="00B93BAD">
        <w:trPr>
          <w:tblHeader/>
        </w:trPr>
        <w:tc>
          <w:tcPr>
            <w:tcW w:w="1810" w:type="dxa"/>
            <w:tcBorders>
              <w:top w:val="single" w:sz="4" w:space="0" w:color="auto"/>
              <w:left w:val="single" w:sz="4" w:space="0" w:color="auto"/>
              <w:bottom w:val="single" w:sz="4" w:space="0" w:color="auto"/>
              <w:right w:val="single" w:sz="4" w:space="0" w:color="auto"/>
            </w:tcBorders>
          </w:tcPr>
          <w:p w14:paraId="4F68D461" w14:textId="77777777" w:rsidR="00F41672" w:rsidRPr="00763708" w:rsidRDefault="00F41672" w:rsidP="00492682">
            <w:pPr>
              <w:spacing w:after="0"/>
              <w:rPr>
                <w:rFonts w:ascii="Arial Narrow" w:hAnsi="Arial Narrow"/>
                <w:b/>
                <w:sz w:val="20"/>
                <w:szCs w:val="20"/>
              </w:rPr>
            </w:pPr>
            <w:bookmarkStart w:id="8" w:name="_Hlk29159485"/>
            <w:r w:rsidRPr="00763708">
              <w:rPr>
                <w:rFonts w:ascii="Arial Narrow" w:hAnsi="Arial Narrow"/>
                <w:b/>
                <w:bCs/>
                <w:sz w:val="20"/>
                <w:szCs w:val="20"/>
              </w:rPr>
              <w:t xml:space="preserve">Missed Injection Visit </w:t>
            </w:r>
          </w:p>
        </w:tc>
        <w:tc>
          <w:tcPr>
            <w:tcW w:w="2068" w:type="dxa"/>
            <w:tcBorders>
              <w:top w:val="single" w:sz="4" w:space="0" w:color="auto"/>
              <w:left w:val="single" w:sz="4" w:space="0" w:color="auto"/>
              <w:bottom w:val="single" w:sz="4" w:space="0" w:color="auto"/>
              <w:right w:val="single" w:sz="4" w:space="0" w:color="auto"/>
            </w:tcBorders>
            <w:shd w:val="clear" w:color="auto" w:fill="auto"/>
            <w:hideMark/>
          </w:tcPr>
          <w:p w14:paraId="03A8795D" w14:textId="77777777" w:rsidR="00F41672" w:rsidRPr="00763708" w:rsidRDefault="00F41672" w:rsidP="00492682">
            <w:pPr>
              <w:spacing w:after="0"/>
              <w:rPr>
                <w:rFonts w:ascii="Arial Narrow" w:hAnsi="Arial Narrow"/>
                <w:b/>
                <w:sz w:val="20"/>
                <w:szCs w:val="20"/>
              </w:rPr>
            </w:pPr>
            <w:r w:rsidRPr="00763708">
              <w:rPr>
                <w:rFonts w:ascii="Arial Narrow" w:hAnsi="Arial Narrow"/>
                <w:b/>
                <w:bCs/>
                <w:sz w:val="20"/>
                <w:szCs w:val="20"/>
              </w:rPr>
              <w:t>Time since last injection</w:t>
            </w:r>
          </w:p>
        </w:tc>
        <w:tc>
          <w:tcPr>
            <w:tcW w:w="4984" w:type="dxa"/>
            <w:tcBorders>
              <w:top w:val="single" w:sz="4" w:space="0" w:color="auto"/>
              <w:left w:val="single" w:sz="4" w:space="0" w:color="auto"/>
              <w:bottom w:val="single" w:sz="4" w:space="0" w:color="auto"/>
              <w:right w:val="single" w:sz="4" w:space="0" w:color="auto"/>
            </w:tcBorders>
            <w:shd w:val="clear" w:color="auto" w:fill="auto"/>
            <w:hideMark/>
          </w:tcPr>
          <w:p w14:paraId="71449C61" w14:textId="77777777" w:rsidR="00F41672" w:rsidRPr="00763708" w:rsidRDefault="00F41672" w:rsidP="00492682">
            <w:pPr>
              <w:spacing w:after="0"/>
              <w:rPr>
                <w:rFonts w:ascii="Arial Narrow" w:hAnsi="Arial Narrow"/>
                <w:b/>
                <w:sz w:val="20"/>
                <w:szCs w:val="20"/>
              </w:rPr>
            </w:pPr>
            <w:r w:rsidRPr="00763708">
              <w:rPr>
                <w:rFonts w:ascii="Arial Narrow" w:hAnsi="Arial Narrow"/>
                <w:b/>
                <w:bCs/>
                <w:sz w:val="20"/>
                <w:szCs w:val="20"/>
              </w:rPr>
              <w:t>Recommendation (all injections are 3 mL)</w:t>
            </w:r>
          </w:p>
        </w:tc>
      </w:tr>
      <w:tr w:rsidR="00F41672" w:rsidRPr="004A6970" w14:paraId="19C3500F" w14:textId="77777777" w:rsidTr="00492682">
        <w:tc>
          <w:tcPr>
            <w:tcW w:w="1810" w:type="dxa"/>
            <w:vMerge w:val="restart"/>
            <w:tcBorders>
              <w:top w:val="single" w:sz="4" w:space="0" w:color="auto"/>
              <w:left w:val="single" w:sz="4" w:space="0" w:color="auto"/>
              <w:right w:val="single" w:sz="4" w:space="0" w:color="auto"/>
            </w:tcBorders>
          </w:tcPr>
          <w:p w14:paraId="0337508B" w14:textId="77777777" w:rsidR="00F41672" w:rsidRPr="00763708" w:rsidRDefault="00F41672" w:rsidP="00492682">
            <w:pPr>
              <w:spacing w:after="0"/>
              <w:rPr>
                <w:rFonts w:ascii="Arial Narrow" w:hAnsi="Arial Narrow"/>
                <w:b/>
                <w:sz w:val="20"/>
                <w:szCs w:val="20"/>
              </w:rPr>
            </w:pPr>
            <w:r w:rsidRPr="00763708">
              <w:rPr>
                <w:rFonts w:ascii="Arial Narrow" w:hAnsi="Arial Narrow"/>
                <w:b/>
                <w:bCs/>
                <w:sz w:val="20"/>
                <w:szCs w:val="20"/>
              </w:rPr>
              <w:t>Injection 2 (Month 3)</w:t>
            </w:r>
          </w:p>
        </w:tc>
        <w:tc>
          <w:tcPr>
            <w:tcW w:w="2068" w:type="dxa"/>
            <w:tcBorders>
              <w:top w:val="single" w:sz="4" w:space="0" w:color="auto"/>
              <w:left w:val="single" w:sz="4" w:space="0" w:color="auto"/>
              <w:bottom w:val="single" w:sz="4" w:space="0" w:color="auto"/>
              <w:right w:val="single" w:sz="4" w:space="0" w:color="auto"/>
            </w:tcBorders>
            <w:shd w:val="clear" w:color="auto" w:fill="auto"/>
            <w:hideMark/>
          </w:tcPr>
          <w:p w14:paraId="7C19A801" w14:textId="77777777" w:rsidR="00F41672" w:rsidRPr="00763708" w:rsidRDefault="00F41672" w:rsidP="00492682">
            <w:pPr>
              <w:spacing w:after="0"/>
              <w:rPr>
                <w:rFonts w:ascii="Arial Narrow" w:hAnsi="Arial Narrow"/>
                <w:sz w:val="20"/>
                <w:szCs w:val="20"/>
              </w:rPr>
            </w:pPr>
            <w:r w:rsidRPr="00763708">
              <w:rPr>
                <w:rFonts w:ascii="Arial Narrow" w:hAnsi="Arial Narrow"/>
                <w:b/>
                <w:bCs/>
                <w:sz w:val="20"/>
                <w:szCs w:val="20"/>
              </w:rPr>
              <w:t>≤2 months</w:t>
            </w:r>
          </w:p>
        </w:tc>
        <w:tc>
          <w:tcPr>
            <w:tcW w:w="4984" w:type="dxa"/>
            <w:tcBorders>
              <w:top w:val="single" w:sz="4" w:space="0" w:color="auto"/>
              <w:left w:val="single" w:sz="4" w:space="0" w:color="auto"/>
              <w:bottom w:val="single" w:sz="4" w:space="0" w:color="auto"/>
              <w:right w:val="single" w:sz="4" w:space="0" w:color="auto"/>
            </w:tcBorders>
            <w:shd w:val="clear" w:color="auto" w:fill="auto"/>
            <w:hideMark/>
          </w:tcPr>
          <w:p w14:paraId="7F4F2174" w14:textId="07E6AFB8" w:rsidR="00F41672" w:rsidRPr="00763708" w:rsidRDefault="00F41672" w:rsidP="00492682">
            <w:pPr>
              <w:spacing w:after="0"/>
              <w:rPr>
                <w:rFonts w:ascii="Arial Narrow" w:hAnsi="Arial Narrow"/>
                <w:sz w:val="20"/>
                <w:szCs w:val="20"/>
              </w:rPr>
            </w:pPr>
            <w:r w:rsidRPr="00763708">
              <w:rPr>
                <w:rFonts w:ascii="Arial Narrow" w:hAnsi="Arial Narrow"/>
                <w:sz w:val="20"/>
                <w:szCs w:val="20"/>
              </w:rPr>
              <w:t xml:space="preserve">Resume with </w:t>
            </w:r>
            <w:r w:rsidRPr="00763708">
              <w:rPr>
                <w:rFonts w:ascii="Arial Narrow" w:hAnsi="Arial Narrow" w:cs="Arial"/>
                <w:sz w:val="20"/>
                <w:szCs w:val="20"/>
                <w:lang w:val="en"/>
              </w:rPr>
              <w:t>3 mL (600 mg) of cabotegravir and 3 mL (900 mg) of rilpivirine</w:t>
            </w:r>
            <w:r w:rsidRPr="00763708">
              <w:rPr>
                <w:rFonts w:ascii="Arial Narrow" w:hAnsi="Arial Narrow" w:cs="Arial"/>
                <w:sz w:val="20"/>
                <w:szCs w:val="20"/>
              </w:rPr>
              <w:t xml:space="preserve"> </w:t>
            </w:r>
            <w:r w:rsidRPr="00763708">
              <w:rPr>
                <w:rFonts w:ascii="Arial Narrow" w:hAnsi="Arial Narrow"/>
                <w:sz w:val="20"/>
                <w:szCs w:val="20"/>
              </w:rPr>
              <w:t>injection</w:t>
            </w:r>
            <w:r w:rsidRPr="004A6970">
              <w:rPr>
                <w:rFonts w:ascii="Arial Narrow" w:hAnsi="Arial Narrow"/>
                <w:sz w:val="20"/>
                <w:szCs w:val="20"/>
              </w:rPr>
              <w:t xml:space="preserve"> doses</w:t>
            </w:r>
            <w:r w:rsidRPr="00763708">
              <w:rPr>
                <w:rFonts w:ascii="Arial Narrow" w:hAnsi="Arial Narrow"/>
                <w:sz w:val="20"/>
                <w:szCs w:val="20"/>
              </w:rPr>
              <w:t xml:space="preserve"> as soon as possible and continue with 2 month injection dosing schedule.</w:t>
            </w:r>
          </w:p>
        </w:tc>
      </w:tr>
      <w:tr w:rsidR="00F41672" w:rsidRPr="004A6970" w14:paraId="5657FE36" w14:textId="77777777" w:rsidTr="00492682">
        <w:tc>
          <w:tcPr>
            <w:tcW w:w="1810" w:type="dxa"/>
            <w:vMerge/>
            <w:tcBorders>
              <w:left w:val="single" w:sz="4" w:space="0" w:color="auto"/>
              <w:bottom w:val="single" w:sz="4" w:space="0" w:color="auto"/>
              <w:right w:val="single" w:sz="4" w:space="0" w:color="auto"/>
            </w:tcBorders>
          </w:tcPr>
          <w:p w14:paraId="74E31F18" w14:textId="77777777" w:rsidR="00F41672" w:rsidRPr="00763708" w:rsidRDefault="00F41672" w:rsidP="00492682">
            <w:pPr>
              <w:spacing w:after="0"/>
              <w:rPr>
                <w:rFonts w:ascii="Arial Narrow" w:hAnsi="Arial Narrow"/>
                <w:b/>
                <w:sz w:val="20"/>
                <w:szCs w:val="20"/>
              </w:rPr>
            </w:pPr>
          </w:p>
        </w:tc>
        <w:tc>
          <w:tcPr>
            <w:tcW w:w="2068" w:type="dxa"/>
            <w:tcBorders>
              <w:top w:val="single" w:sz="4" w:space="0" w:color="auto"/>
              <w:left w:val="single" w:sz="4" w:space="0" w:color="auto"/>
              <w:bottom w:val="single" w:sz="4" w:space="0" w:color="auto"/>
              <w:right w:val="single" w:sz="4" w:space="0" w:color="auto"/>
            </w:tcBorders>
            <w:shd w:val="clear" w:color="auto" w:fill="auto"/>
            <w:hideMark/>
          </w:tcPr>
          <w:p w14:paraId="482CDF25" w14:textId="77777777" w:rsidR="00F41672" w:rsidRPr="00763708" w:rsidRDefault="00F41672" w:rsidP="00492682">
            <w:pPr>
              <w:spacing w:after="0"/>
              <w:rPr>
                <w:rFonts w:ascii="Arial Narrow" w:hAnsi="Arial Narrow"/>
                <w:sz w:val="20"/>
                <w:szCs w:val="20"/>
              </w:rPr>
            </w:pPr>
            <w:r w:rsidRPr="00763708">
              <w:rPr>
                <w:rFonts w:ascii="Arial Narrow" w:hAnsi="Arial Narrow"/>
                <w:b/>
                <w:bCs/>
                <w:sz w:val="20"/>
                <w:szCs w:val="20"/>
              </w:rPr>
              <w:t>&gt;2 months</w:t>
            </w:r>
          </w:p>
        </w:tc>
        <w:tc>
          <w:tcPr>
            <w:tcW w:w="4984" w:type="dxa"/>
            <w:tcBorders>
              <w:top w:val="single" w:sz="4" w:space="0" w:color="auto"/>
              <w:left w:val="single" w:sz="4" w:space="0" w:color="auto"/>
              <w:bottom w:val="single" w:sz="4" w:space="0" w:color="auto"/>
              <w:right w:val="single" w:sz="4" w:space="0" w:color="auto"/>
            </w:tcBorders>
            <w:shd w:val="clear" w:color="auto" w:fill="auto"/>
            <w:hideMark/>
          </w:tcPr>
          <w:p w14:paraId="7C7958FE" w14:textId="1590FBBC" w:rsidR="00F41672" w:rsidRPr="00763708" w:rsidRDefault="00F41672" w:rsidP="00492682">
            <w:pPr>
              <w:spacing w:after="0"/>
              <w:rPr>
                <w:rFonts w:ascii="Arial Narrow" w:hAnsi="Arial Narrow"/>
                <w:sz w:val="20"/>
                <w:szCs w:val="20"/>
              </w:rPr>
            </w:pPr>
            <w:r w:rsidRPr="00763708">
              <w:rPr>
                <w:rFonts w:ascii="Arial Narrow" w:hAnsi="Arial Narrow"/>
                <w:sz w:val="20"/>
                <w:szCs w:val="20"/>
              </w:rPr>
              <w:t xml:space="preserve">Re-initiate the patient on </w:t>
            </w:r>
            <w:r w:rsidRPr="00763708">
              <w:rPr>
                <w:rFonts w:ascii="Arial Narrow" w:hAnsi="Arial Narrow" w:cs="Arial"/>
                <w:sz w:val="20"/>
                <w:szCs w:val="20"/>
                <w:lang w:val="en"/>
              </w:rPr>
              <w:t>3 mL (600 mg) of cabotegravir and 3 mL (900 mg) of rilpivirine</w:t>
            </w:r>
            <w:r w:rsidRPr="00763708">
              <w:rPr>
                <w:rFonts w:ascii="Arial Narrow" w:hAnsi="Arial Narrow" w:cs="Arial"/>
                <w:sz w:val="20"/>
                <w:szCs w:val="20"/>
              </w:rPr>
              <w:t xml:space="preserve"> </w:t>
            </w:r>
            <w:r w:rsidRPr="004A6970">
              <w:rPr>
                <w:rFonts w:ascii="Arial Narrow" w:hAnsi="Arial Narrow"/>
                <w:sz w:val="20"/>
                <w:szCs w:val="20"/>
              </w:rPr>
              <w:t xml:space="preserve">injection </w:t>
            </w:r>
            <w:r w:rsidRPr="00763708">
              <w:rPr>
                <w:rFonts w:ascii="Arial Narrow" w:hAnsi="Arial Narrow"/>
                <w:sz w:val="20"/>
                <w:szCs w:val="20"/>
              </w:rPr>
              <w:t>dose</w:t>
            </w:r>
            <w:r w:rsidRPr="004A6970">
              <w:rPr>
                <w:rFonts w:ascii="Arial Narrow" w:hAnsi="Arial Narrow"/>
                <w:sz w:val="20"/>
                <w:szCs w:val="20"/>
              </w:rPr>
              <w:t>s</w:t>
            </w:r>
            <w:r w:rsidRPr="00763708">
              <w:rPr>
                <w:rFonts w:ascii="Arial Narrow" w:hAnsi="Arial Narrow"/>
                <w:sz w:val="20"/>
                <w:szCs w:val="20"/>
              </w:rPr>
              <w:t>, followed by</w:t>
            </w:r>
            <w:r w:rsidRPr="004A6970">
              <w:rPr>
                <w:rFonts w:ascii="Arial Narrow" w:hAnsi="Arial Narrow"/>
                <w:sz w:val="20"/>
                <w:szCs w:val="20"/>
              </w:rPr>
              <w:t xml:space="preserve"> a</w:t>
            </w:r>
            <w:r w:rsidRPr="00763708">
              <w:rPr>
                <w:rFonts w:ascii="Arial Narrow" w:hAnsi="Arial Narrow"/>
                <w:sz w:val="20"/>
                <w:szCs w:val="20"/>
              </w:rPr>
              <w:t xml:space="preserve"> second </w:t>
            </w:r>
            <w:r w:rsidRPr="00763708">
              <w:rPr>
                <w:rFonts w:ascii="Arial Narrow" w:hAnsi="Arial Narrow" w:cs="Arial"/>
                <w:sz w:val="20"/>
                <w:szCs w:val="20"/>
                <w:lang w:val="en"/>
              </w:rPr>
              <w:t>3 mL (600 mg) cabotegravir and 3 mL (900 mg) rilpivirine</w:t>
            </w:r>
            <w:r w:rsidRPr="00763708">
              <w:rPr>
                <w:rFonts w:ascii="Arial Narrow" w:hAnsi="Arial Narrow" w:cs="Arial"/>
                <w:sz w:val="20"/>
                <w:szCs w:val="20"/>
              </w:rPr>
              <w:t xml:space="preserve"> </w:t>
            </w:r>
            <w:r w:rsidRPr="00763708">
              <w:rPr>
                <w:rFonts w:ascii="Arial Narrow" w:hAnsi="Arial Narrow"/>
                <w:sz w:val="20"/>
                <w:szCs w:val="20"/>
              </w:rPr>
              <w:t>initiation injection</w:t>
            </w:r>
            <w:r w:rsidRPr="004A6970">
              <w:rPr>
                <w:rFonts w:ascii="Arial Narrow" w:hAnsi="Arial Narrow"/>
                <w:sz w:val="20"/>
                <w:szCs w:val="20"/>
              </w:rPr>
              <w:t>s</w:t>
            </w:r>
            <w:r w:rsidRPr="00763708">
              <w:rPr>
                <w:rFonts w:ascii="Arial Narrow" w:hAnsi="Arial Narrow"/>
                <w:sz w:val="20"/>
                <w:szCs w:val="20"/>
              </w:rPr>
              <w:t xml:space="preserve"> one month later.  Then follow the every 2 month injection dosing schedule. </w:t>
            </w:r>
          </w:p>
        </w:tc>
      </w:tr>
      <w:tr w:rsidR="00F41672" w:rsidRPr="004A6970" w14:paraId="4061AF27" w14:textId="77777777" w:rsidTr="00492682">
        <w:tc>
          <w:tcPr>
            <w:tcW w:w="1810" w:type="dxa"/>
            <w:vMerge w:val="restart"/>
            <w:tcBorders>
              <w:top w:val="single" w:sz="4" w:space="0" w:color="auto"/>
              <w:left w:val="single" w:sz="4" w:space="0" w:color="auto"/>
              <w:right w:val="single" w:sz="4" w:space="0" w:color="auto"/>
            </w:tcBorders>
          </w:tcPr>
          <w:p w14:paraId="08C033DD" w14:textId="77777777" w:rsidR="00F41672" w:rsidRPr="00763708" w:rsidRDefault="00F41672" w:rsidP="00492682">
            <w:pPr>
              <w:spacing w:after="0"/>
              <w:rPr>
                <w:rFonts w:ascii="Arial Narrow" w:hAnsi="Arial Narrow"/>
                <w:b/>
                <w:sz w:val="20"/>
                <w:szCs w:val="20"/>
              </w:rPr>
            </w:pPr>
            <w:r w:rsidRPr="00763708">
              <w:rPr>
                <w:rFonts w:ascii="Arial Narrow" w:hAnsi="Arial Narrow"/>
                <w:b/>
                <w:bCs/>
                <w:sz w:val="20"/>
                <w:szCs w:val="20"/>
              </w:rPr>
              <w:t>Injection 3 or later (Month 5 onwards)</w:t>
            </w:r>
          </w:p>
        </w:tc>
        <w:tc>
          <w:tcPr>
            <w:tcW w:w="2068" w:type="dxa"/>
            <w:tcBorders>
              <w:top w:val="single" w:sz="4" w:space="0" w:color="auto"/>
              <w:left w:val="single" w:sz="4" w:space="0" w:color="auto"/>
              <w:bottom w:val="single" w:sz="4" w:space="0" w:color="auto"/>
              <w:right w:val="single" w:sz="4" w:space="0" w:color="auto"/>
            </w:tcBorders>
            <w:shd w:val="clear" w:color="auto" w:fill="auto"/>
          </w:tcPr>
          <w:p w14:paraId="50925B62" w14:textId="77777777" w:rsidR="00F41672" w:rsidRPr="00763708" w:rsidRDefault="00F41672" w:rsidP="00492682">
            <w:pPr>
              <w:spacing w:after="0"/>
              <w:rPr>
                <w:rFonts w:ascii="Arial Narrow" w:hAnsi="Arial Narrow"/>
                <w:b/>
                <w:sz w:val="20"/>
                <w:szCs w:val="20"/>
              </w:rPr>
            </w:pPr>
            <w:r w:rsidRPr="00763708">
              <w:rPr>
                <w:rFonts w:ascii="Arial Narrow" w:hAnsi="Arial Narrow"/>
                <w:b/>
                <w:bCs/>
                <w:sz w:val="20"/>
                <w:szCs w:val="20"/>
              </w:rPr>
              <w:t>≤3 months</w:t>
            </w:r>
          </w:p>
        </w:tc>
        <w:tc>
          <w:tcPr>
            <w:tcW w:w="4984" w:type="dxa"/>
            <w:tcBorders>
              <w:top w:val="single" w:sz="4" w:space="0" w:color="auto"/>
              <w:left w:val="single" w:sz="4" w:space="0" w:color="auto"/>
              <w:bottom w:val="single" w:sz="4" w:space="0" w:color="auto"/>
              <w:right w:val="single" w:sz="4" w:space="0" w:color="auto"/>
            </w:tcBorders>
            <w:shd w:val="clear" w:color="auto" w:fill="auto"/>
          </w:tcPr>
          <w:p w14:paraId="19C89DFD" w14:textId="4610994E" w:rsidR="00F41672" w:rsidRPr="00763708" w:rsidRDefault="004A6970" w:rsidP="00492682">
            <w:pPr>
              <w:spacing w:after="0"/>
              <w:rPr>
                <w:rFonts w:ascii="Arial Narrow" w:hAnsi="Arial Narrow"/>
                <w:sz w:val="20"/>
                <w:szCs w:val="20"/>
              </w:rPr>
            </w:pPr>
            <w:r w:rsidRPr="004A6970">
              <w:rPr>
                <w:rFonts w:ascii="Arial Narrow" w:hAnsi="Arial Narrow"/>
                <w:sz w:val="20"/>
                <w:szCs w:val="20"/>
              </w:rPr>
              <w:t xml:space="preserve">Resume with </w:t>
            </w:r>
            <w:r w:rsidRPr="00763708">
              <w:rPr>
                <w:rFonts w:ascii="Arial Narrow" w:hAnsi="Arial Narrow" w:cs="Arial"/>
                <w:sz w:val="20"/>
                <w:szCs w:val="20"/>
                <w:lang w:val="en"/>
              </w:rPr>
              <w:t>3 mL (600 mg) of cabotegravir and 3 mL (900 mg) of rilpivirine</w:t>
            </w:r>
            <w:r w:rsidRPr="00763708">
              <w:rPr>
                <w:rFonts w:ascii="Arial Narrow" w:hAnsi="Arial Narrow" w:cs="Arial"/>
                <w:sz w:val="20"/>
                <w:szCs w:val="20"/>
              </w:rPr>
              <w:t xml:space="preserve"> </w:t>
            </w:r>
            <w:r w:rsidRPr="004A6970">
              <w:rPr>
                <w:rFonts w:ascii="Arial Narrow" w:hAnsi="Arial Narrow"/>
                <w:sz w:val="20"/>
                <w:szCs w:val="20"/>
              </w:rPr>
              <w:t>injection doses as soon as possible and continue with 2 month injection dosing schedule.</w:t>
            </w:r>
          </w:p>
        </w:tc>
      </w:tr>
      <w:tr w:rsidR="00F41672" w:rsidRPr="004A6970" w14:paraId="47672883" w14:textId="77777777" w:rsidTr="00492682">
        <w:tc>
          <w:tcPr>
            <w:tcW w:w="1810" w:type="dxa"/>
            <w:vMerge/>
            <w:tcBorders>
              <w:left w:val="single" w:sz="4" w:space="0" w:color="auto"/>
              <w:bottom w:val="single" w:sz="4" w:space="0" w:color="auto"/>
              <w:right w:val="single" w:sz="4" w:space="0" w:color="auto"/>
            </w:tcBorders>
          </w:tcPr>
          <w:p w14:paraId="7E894681" w14:textId="77777777" w:rsidR="00F41672" w:rsidRPr="00B20EC9" w:rsidRDefault="00F41672" w:rsidP="00492682">
            <w:pPr>
              <w:spacing w:after="0"/>
              <w:rPr>
                <w:rFonts w:ascii="Arial Narrow" w:hAnsi="Arial Narrow"/>
                <w:b/>
                <w:sz w:val="20"/>
                <w:szCs w:val="20"/>
              </w:rPr>
            </w:pPr>
          </w:p>
        </w:tc>
        <w:tc>
          <w:tcPr>
            <w:tcW w:w="2068" w:type="dxa"/>
            <w:tcBorders>
              <w:top w:val="single" w:sz="4" w:space="0" w:color="auto"/>
              <w:left w:val="single" w:sz="4" w:space="0" w:color="auto"/>
              <w:bottom w:val="single" w:sz="4" w:space="0" w:color="auto"/>
              <w:right w:val="single" w:sz="4" w:space="0" w:color="auto"/>
            </w:tcBorders>
            <w:shd w:val="clear" w:color="auto" w:fill="auto"/>
          </w:tcPr>
          <w:p w14:paraId="7362ACCF" w14:textId="77777777" w:rsidR="00F41672" w:rsidRPr="00B20EC9" w:rsidRDefault="00F41672" w:rsidP="00492682">
            <w:pPr>
              <w:spacing w:after="0"/>
              <w:rPr>
                <w:rFonts w:ascii="Arial Narrow" w:hAnsi="Arial Narrow"/>
                <w:b/>
                <w:sz w:val="20"/>
                <w:szCs w:val="20"/>
              </w:rPr>
            </w:pPr>
            <w:r w:rsidRPr="00B20EC9">
              <w:rPr>
                <w:rFonts w:ascii="Arial Narrow" w:hAnsi="Arial Narrow"/>
                <w:b/>
                <w:bCs/>
                <w:sz w:val="20"/>
                <w:szCs w:val="20"/>
              </w:rPr>
              <w:t>&gt;3 months</w:t>
            </w:r>
          </w:p>
        </w:tc>
        <w:tc>
          <w:tcPr>
            <w:tcW w:w="4984" w:type="dxa"/>
            <w:tcBorders>
              <w:top w:val="single" w:sz="4" w:space="0" w:color="auto"/>
              <w:left w:val="single" w:sz="4" w:space="0" w:color="auto"/>
              <w:bottom w:val="single" w:sz="4" w:space="0" w:color="auto"/>
              <w:right w:val="single" w:sz="4" w:space="0" w:color="auto"/>
            </w:tcBorders>
            <w:shd w:val="clear" w:color="auto" w:fill="auto"/>
          </w:tcPr>
          <w:p w14:paraId="2B8C7B69" w14:textId="61AB4994" w:rsidR="00F41672" w:rsidRPr="00763708" w:rsidRDefault="00F41672" w:rsidP="00492682">
            <w:pPr>
              <w:spacing w:after="0"/>
              <w:rPr>
                <w:rFonts w:ascii="Arial Narrow" w:hAnsi="Arial Narrow"/>
                <w:sz w:val="20"/>
                <w:szCs w:val="20"/>
              </w:rPr>
            </w:pPr>
            <w:r w:rsidRPr="004A6970">
              <w:rPr>
                <w:rFonts w:ascii="Arial Narrow" w:hAnsi="Arial Narrow"/>
                <w:sz w:val="20"/>
                <w:szCs w:val="20"/>
              </w:rPr>
              <w:t xml:space="preserve">Re-initiate the patient on </w:t>
            </w:r>
            <w:r w:rsidRPr="00763708">
              <w:rPr>
                <w:rFonts w:ascii="Arial Narrow" w:hAnsi="Arial Narrow" w:cs="Arial"/>
                <w:sz w:val="20"/>
                <w:szCs w:val="20"/>
                <w:lang w:val="en"/>
              </w:rPr>
              <w:t>3 mL (600 mg) of cabotegravir and 3 mL (900 mg) of rilpivirine</w:t>
            </w:r>
            <w:r w:rsidRPr="00763708">
              <w:rPr>
                <w:rFonts w:ascii="Arial Narrow" w:hAnsi="Arial Narrow" w:cs="Arial"/>
                <w:sz w:val="20"/>
                <w:szCs w:val="20"/>
              </w:rPr>
              <w:t xml:space="preserve"> </w:t>
            </w:r>
            <w:r w:rsidRPr="004A6970">
              <w:rPr>
                <w:rFonts w:ascii="Arial Narrow" w:hAnsi="Arial Narrow"/>
                <w:sz w:val="20"/>
                <w:szCs w:val="20"/>
              </w:rPr>
              <w:t xml:space="preserve">injection doses, followed by a second </w:t>
            </w:r>
            <w:r w:rsidRPr="00763708">
              <w:rPr>
                <w:rFonts w:ascii="Arial Narrow" w:hAnsi="Arial Narrow" w:cs="Arial"/>
                <w:sz w:val="20"/>
                <w:szCs w:val="20"/>
                <w:lang w:val="en"/>
              </w:rPr>
              <w:t>3 mL (600 mg) cabotegravir and 3 mL (900 mg) rilpivirine</w:t>
            </w:r>
            <w:r w:rsidRPr="00763708">
              <w:rPr>
                <w:rFonts w:ascii="Arial Narrow" w:hAnsi="Arial Narrow" w:cs="Arial"/>
                <w:sz w:val="20"/>
                <w:szCs w:val="20"/>
              </w:rPr>
              <w:t xml:space="preserve"> </w:t>
            </w:r>
            <w:r w:rsidRPr="004A6970">
              <w:rPr>
                <w:rFonts w:ascii="Arial Narrow" w:hAnsi="Arial Narrow"/>
                <w:sz w:val="20"/>
                <w:szCs w:val="20"/>
              </w:rPr>
              <w:t>initiation injections one month later.  Then follow the every 2 month injection dosing schedule.</w:t>
            </w:r>
          </w:p>
        </w:tc>
      </w:tr>
    </w:tbl>
    <w:bookmarkEnd w:id="8"/>
    <w:p w14:paraId="1B0F4F31" w14:textId="77777777" w:rsidR="00335E5C" w:rsidRPr="00335E5C" w:rsidRDefault="00335E5C" w:rsidP="00335E5C">
      <w:pPr>
        <w:pStyle w:val="Heading3"/>
        <w:ind w:left="0"/>
        <w:rPr>
          <w:rFonts w:ascii="Arial" w:hAnsi="Arial" w:cs="Arial"/>
        </w:rPr>
      </w:pPr>
      <w:r w:rsidRPr="00335E5C">
        <w:rPr>
          <w:rFonts w:ascii="Arial" w:hAnsi="Arial" w:cs="Arial"/>
        </w:rPr>
        <w:t>Elderly</w:t>
      </w:r>
    </w:p>
    <w:p w14:paraId="355DC6BF" w14:textId="429175C4" w:rsidR="00335E5C" w:rsidRPr="00335E5C" w:rsidRDefault="00335E5C" w:rsidP="00335E5C">
      <w:pPr>
        <w:rPr>
          <w:rFonts w:ascii="Arial" w:hAnsi="Arial" w:cs="Arial"/>
          <w:lang w:val="en"/>
        </w:rPr>
      </w:pPr>
      <w:r w:rsidRPr="00335E5C">
        <w:rPr>
          <w:rFonts w:ascii="Arial" w:hAnsi="Arial" w:cs="Arial"/>
          <w:lang w:val="en"/>
        </w:rPr>
        <w:t>No dose adjustment is required in elderly patients. There are limited data available on the use of cabotegravir in patients aged 65 years and over (see section 5.2</w:t>
      </w:r>
      <w:r>
        <w:rPr>
          <w:rFonts w:ascii="Arial" w:hAnsi="Arial" w:cs="Arial"/>
          <w:lang w:val="en"/>
        </w:rPr>
        <w:t xml:space="preserve"> PHARMACOKINETIC PROPERTIES</w:t>
      </w:r>
      <w:r w:rsidR="00766549">
        <w:rPr>
          <w:rFonts w:ascii="Arial" w:hAnsi="Arial" w:cs="Arial"/>
          <w:lang w:val="en"/>
        </w:rPr>
        <w:t xml:space="preserve">, Special </w:t>
      </w:r>
      <w:r w:rsidR="00C6780E">
        <w:rPr>
          <w:rFonts w:ascii="Arial" w:hAnsi="Arial" w:cs="Arial"/>
          <w:lang w:val="en"/>
        </w:rPr>
        <w:t xml:space="preserve">patient </w:t>
      </w:r>
      <w:r w:rsidR="00766549">
        <w:rPr>
          <w:rFonts w:ascii="Arial" w:hAnsi="Arial" w:cs="Arial"/>
          <w:lang w:val="en"/>
        </w:rPr>
        <w:t>populations</w:t>
      </w:r>
      <w:r w:rsidRPr="00335E5C">
        <w:rPr>
          <w:rFonts w:ascii="Arial" w:hAnsi="Arial" w:cs="Arial"/>
          <w:lang w:val="en"/>
        </w:rPr>
        <w:t>).</w:t>
      </w:r>
    </w:p>
    <w:p w14:paraId="699E4CD9" w14:textId="77777777" w:rsidR="00335E5C" w:rsidRPr="0069596F" w:rsidRDefault="00335E5C" w:rsidP="00335E5C">
      <w:pPr>
        <w:pStyle w:val="Heading3"/>
        <w:ind w:left="0"/>
        <w:rPr>
          <w:rFonts w:ascii="Arial" w:hAnsi="Arial" w:cs="Arial"/>
        </w:rPr>
      </w:pPr>
      <w:r w:rsidRPr="00335E5C">
        <w:rPr>
          <w:rFonts w:ascii="Arial" w:hAnsi="Arial" w:cs="Arial"/>
        </w:rPr>
        <w:t>R</w:t>
      </w:r>
      <w:r w:rsidRPr="0069596F">
        <w:rPr>
          <w:rFonts w:ascii="Arial" w:hAnsi="Arial" w:cs="Arial"/>
        </w:rPr>
        <w:t xml:space="preserve">enal impairment </w:t>
      </w:r>
    </w:p>
    <w:p w14:paraId="78F71B43" w14:textId="792DAFDF" w:rsidR="00335E5C" w:rsidRPr="00335E5C" w:rsidRDefault="0069596F" w:rsidP="00335E5C">
      <w:pPr>
        <w:rPr>
          <w:rFonts w:ascii="Arial" w:hAnsi="Arial" w:cs="Arial"/>
          <w:lang w:val="en"/>
        </w:rPr>
      </w:pPr>
      <w:r w:rsidRPr="0069596F">
        <w:rPr>
          <w:rFonts w:ascii="Arial" w:hAnsi="Arial" w:cs="Arial"/>
        </w:rPr>
        <w:t>No dosage adjustment of CABENUVA is required for patients with mild to moderate renal impairment (</w:t>
      </w:r>
      <w:proofErr w:type="spellStart"/>
      <w:r w:rsidRPr="0069596F">
        <w:rPr>
          <w:rFonts w:ascii="Arial" w:hAnsi="Arial" w:cs="Arial"/>
        </w:rPr>
        <w:t>CrCl</w:t>
      </w:r>
      <w:proofErr w:type="spellEnd"/>
      <w:r w:rsidRPr="0069596F">
        <w:rPr>
          <w:rFonts w:ascii="Arial" w:hAnsi="Arial" w:cs="Arial"/>
        </w:rPr>
        <w:t xml:space="preserve"> </w:t>
      </w:r>
      <w:r w:rsidRPr="0069596F">
        <w:rPr>
          <w:rFonts w:ascii="ArialMT" w:hAnsi="ArialMT"/>
        </w:rPr>
        <w:t xml:space="preserve">≥ </w:t>
      </w:r>
      <w:r w:rsidRPr="0069596F">
        <w:rPr>
          <w:rFonts w:ascii="Arial" w:hAnsi="Arial" w:cs="Arial"/>
        </w:rPr>
        <w:t>30 to &lt; 90 mL/min). CABENUVA has not been studied in patients with severe renal impairment or end stage renal disease (</w:t>
      </w:r>
      <w:proofErr w:type="spellStart"/>
      <w:r w:rsidRPr="0069596F">
        <w:rPr>
          <w:rFonts w:ascii="Arial" w:hAnsi="Arial" w:cs="Arial"/>
        </w:rPr>
        <w:t>CrCl</w:t>
      </w:r>
      <w:proofErr w:type="spellEnd"/>
      <w:r w:rsidRPr="0069596F">
        <w:rPr>
          <w:rFonts w:ascii="Arial" w:hAnsi="Arial" w:cs="Arial"/>
        </w:rPr>
        <w:t xml:space="preserve"> &lt;30 mL/min) or in patients on dialysis; increased monitoring for adverse events is recommended </w:t>
      </w:r>
      <w:r w:rsidR="00335E5C" w:rsidRPr="00335E5C">
        <w:rPr>
          <w:rFonts w:ascii="Arial" w:hAnsi="Arial" w:cs="Arial"/>
          <w:lang w:val="en"/>
        </w:rPr>
        <w:t xml:space="preserve"> </w:t>
      </w:r>
      <w:r w:rsidR="00335E5C">
        <w:rPr>
          <w:rFonts w:ascii="Arial" w:hAnsi="Arial" w:cs="Arial"/>
          <w:lang w:val="en"/>
        </w:rPr>
        <w:t>(</w:t>
      </w:r>
      <w:r w:rsidR="00335E5C" w:rsidRPr="00335E5C">
        <w:rPr>
          <w:rFonts w:ascii="Arial" w:hAnsi="Arial" w:cs="Arial"/>
          <w:lang w:val="en"/>
        </w:rPr>
        <w:t>see section 5.2</w:t>
      </w:r>
      <w:r w:rsidR="00335E5C">
        <w:rPr>
          <w:rFonts w:ascii="Arial" w:hAnsi="Arial" w:cs="Arial"/>
          <w:lang w:val="en"/>
        </w:rPr>
        <w:t xml:space="preserve"> PHARMACOKINETIC PROPERTIES, Special </w:t>
      </w:r>
      <w:r w:rsidR="00C6780E">
        <w:rPr>
          <w:rFonts w:ascii="Arial" w:hAnsi="Arial" w:cs="Arial"/>
          <w:lang w:val="en"/>
        </w:rPr>
        <w:t xml:space="preserve">patient </w:t>
      </w:r>
      <w:r w:rsidR="00335E5C">
        <w:rPr>
          <w:rFonts w:ascii="Arial" w:hAnsi="Arial" w:cs="Arial"/>
          <w:lang w:val="en"/>
        </w:rPr>
        <w:t>populations)</w:t>
      </w:r>
      <w:r w:rsidR="00335E5C" w:rsidRPr="00335E5C">
        <w:rPr>
          <w:rFonts w:ascii="Arial" w:hAnsi="Arial" w:cs="Arial"/>
          <w:lang w:val="en"/>
        </w:rPr>
        <w:t>.</w:t>
      </w:r>
    </w:p>
    <w:p w14:paraId="3ADDD1E6" w14:textId="77777777" w:rsidR="00335E5C" w:rsidRPr="00335E5C" w:rsidRDefault="00335E5C" w:rsidP="00335E5C">
      <w:pPr>
        <w:pStyle w:val="Heading3"/>
        <w:ind w:left="0"/>
        <w:rPr>
          <w:rFonts w:ascii="Arial" w:hAnsi="Arial" w:cs="Arial"/>
        </w:rPr>
      </w:pPr>
      <w:r w:rsidRPr="00335E5C">
        <w:rPr>
          <w:rFonts w:ascii="Arial" w:hAnsi="Arial" w:cs="Arial"/>
        </w:rPr>
        <w:t>Hepatic impairment</w:t>
      </w:r>
    </w:p>
    <w:p w14:paraId="6ACA486F" w14:textId="5BFF6676" w:rsidR="00335E5C" w:rsidRPr="00335E5C" w:rsidRDefault="00335E5C" w:rsidP="00335E5C">
      <w:pPr>
        <w:rPr>
          <w:rFonts w:ascii="Arial" w:hAnsi="Arial" w:cs="Arial"/>
          <w:lang w:val="en"/>
        </w:rPr>
      </w:pPr>
      <w:r w:rsidRPr="00335E5C">
        <w:rPr>
          <w:rFonts w:ascii="Arial" w:hAnsi="Arial" w:cs="Arial"/>
          <w:lang w:val="en"/>
        </w:rPr>
        <w:t xml:space="preserve">No dosage adjustment is required in patients with mild or moderate hepatic impairment (Child-Pugh score A or B). </w:t>
      </w:r>
      <w:r w:rsidR="00B02F99">
        <w:rPr>
          <w:rFonts w:ascii="Arial" w:hAnsi="Arial" w:cs="Arial"/>
          <w:lang w:val="en"/>
        </w:rPr>
        <w:t>CABENUVA</w:t>
      </w:r>
      <w:r w:rsidRPr="00335E5C">
        <w:rPr>
          <w:rFonts w:ascii="Arial" w:hAnsi="Arial" w:cs="Arial"/>
          <w:lang w:val="en"/>
        </w:rPr>
        <w:t xml:space="preserve"> has not been studied in patients with severe hepatic impairment (Child-Pugh score C</w:t>
      </w:r>
      <w:r>
        <w:rPr>
          <w:rFonts w:ascii="Arial" w:hAnsi="Arial" w:cs="Arial"/>
          <w:lang w:val="en"/>
        </w:rPr>
        <w:t>)</w:t>
      </w:r>
      <w:r w:rsidRPr="00335E5C">
        <w:rPr>
          <w:rFonts w:ascii="Arial" w:hAnsi="Arial" w:cs="Arial"/>
          <w:lang w:val="en"/>
        </w:rPr>
        <w:t xml:space="preserve"> </w:t>
      </w:r>
      <w:r>
        <w:rPr>
          <w:rFonts w:ascii="Arial" w:hAnsi="Arial" w:cs="Arial"/>
          <w:lang w:val="en"/>
        </w:rPr>
        <w:t>(</w:t>
      </w:r>
      <w:r w:rsidRPr="00335E5C">
        <w:rPr>
          <w:rFonts w:ascii="Arial" w:hAnsi="Arial" w:cs="Arial"/>
          <w:lang w:val="en"/>
        </w:rPr>
        <w:t>see section 5.2</w:t>
      </w:r>
      <w:r w:rsidR="00766549" w:rsidRPr="00766549">
        <w:rPr>
          <w:rFonts w:ascii="Arial" w:hAnsi="Arial" w:cs="Arial"/>
          <w:lang w:val="en"/>
        </w:rPr>
        <w:t xml:space="preserve"> </w:t>
      </w:r>
      <w:r w:rsidR="00766549">
        <w:rPr>
          <w:rFonts w:ascii="Arial" w:hAnsi="Arial" w:cs="Arial"/>
          <w:lang w:val="en"/>
        </w:rPr>
        <w:t xml:space="preserve">PHARMACOKINETIC PROPERTIES, Special </w:t>
      </w:r>
      <w:r w:rsidR="00C6780E">
        <w:rPr>
          <w:rFonts w:ascii="Arial" w:hAnsi="Arial" w:cs="Arial"/>
          <w:lang w:val="en"/>
        </w:rPr>
        <w:t xml:space="preserve">patient </w:t>
      </w:r>
      <w:r w:rsidR="00766549">
        <w:rPr>
          <w:rFonts w:ascii="Arial" w:hAnsi="Arial" w:cs="Arial"/>
          <w:lang w:val="en"/>
        </w:rPr>
        <w:t>populations</w:t>
      </w:r>
      <w:r w:rsidRPr="00335E5C">
        <w:rPr>
          <w:rFonts w:ascii="Arial" w:hAnsi="Arial" w:cs="Arial"/>
          <w:lang w:val="en"/>
        </w:rPr>
        <w:t>).</w:t>
      </w:r>
    </w:p>
    <w:p w14:paraId="6D49A908" w14:textId="79FFEEDF" w:rsidR="00335E5C" w:rsidRPr="00335E5C" w:rsidRDefault="00335E5C" w:rsidP="00335E5C">
      <w:pPr>
        <w:pStyle w:val="Heading3"/>
        <w:ind w:left="0"/>
        <w:rPr>
          <w:rFonts w:ascii="Arial" w:hAnsi="Arial" w:cs="Arial"/>
        </w:rPr>
      </w:pPr>
      <w:r w:rsidRPr="00335E5C">
        <w:rPr>
          <w:rFonts w:ascii="Arial" w:hAnsi="Arial" w:cs="Arial"/>
        </w:rPr>
        <w:t xml:space="preserve">Paediatric </w:t>
      </w:r>
      <w:r w:rsidR="00C6780E">
        <w:rPr>
          <w:rFonts w:ascii="Arial" w:hAnsi="Arial" w:cs="Arial"/>
        </w:rPr>
        <w:t xml:space="preserve">and adolescent </w:t>
      </w:r>
      <w:r w:rsidRPr="00335E5C">
        <w:rPr>
          <w:rFonts w:ascii="Arial" w:hAnsi="Arial" w:cs="Arial"/>
        </w:rPr>
        <w:t>population</w:t>
      </w:r>
    </w:p>
    <w:p w14:paraId="3DE68886" w14:textId="622D44F3" w:rsidR="00335E5C" w:rsidRPr="00335E5C" w:rsidRDefault="00335E5C" w:rsidP="00335E5C">
      <w:pPr>
        <w:rPr>
          <w:rFonts w:ascii="Arial" w:hAnsi="Arial" w:cs="Arial"/>
          <w:lang w:val="en"/>
        </w:rPr>
      </w:pPr>
      <w:r w:rsidRPr="00335E5C">
        <w:rPr>
          <w:rFonts w:ascii="Arial" w:hAnsi="Arial" w:cs="Arial"/>
          <w:lang w:val="en"/>
        </w:rPr>
        <w:t xml:space="preserve">The safety and efficacy of </w:t>
      </w:r>
      <w:r w:rsidR="00DC4D8B">
        <w:rPr>
          <w:rFonts w:ascii="Arial" w:hAnsi="Arial" w:cs="Arial"/>
          <w:lang w:val="en"/>
        </w:rPr>
        <w:t>CABENUVA</w:t>
      </w:r>
      <w:r w:rsidRPr="00335E5C">
        <w:rPr>
          <w:rFonts w:ascii="Arial" w:hAnsi="Arial" w:cs="Arial"/>
          <w:lang w:val="en"/>
        </w:rPr>
        <w:t xml:space="preserve"> in children and adolescents aged under 18 years has not been established.</w:t>
      </w:r>
    </w:p>
    <w:p w14:paraId="501056D1" w14:textId="77777777" w:rsidR="00335E5C" w:rsidRPr="00DD2F4B" w:rsidRDefault="00766549" w:rsidP="00DD2F4B">
      <w:pPr>
        <w:pStyle w:val="Heading3"/>
        <w:ind w:left="0"/>
        <w:rPr>
          <w:rFonts w:ascii="Arial" w:hAnsi="Arial" w:cs="Arial"/>
        </w:rPr>
      </w:pPr>
      <w:r w:rsidRPr="00DD2F4B">
        <w:rPr>
          <w:rFonts w:ascii="Arial" w:hAnsi="Arial" w:cs="Arial"/>
        </w:rPr>
        <w:t>Method of Administration</w:t>
      </w:r>
    </w:p>
    <w:p w14:paraId="044170EA" w14:textId="61247B36" w:rsidR="00EA3C45" w:rsidRDefault="00EA3C45" w:rsidP="00DD2F4B">
      <w:pPr>
        <w:rPr>
          <w:rFonts w:ascii="Arial" w:hAnsi="Arial" w:cs="Arial"/>
          <w:lang w:val="en"/>
        </w:rPr>
      </w:pPr>
      <w:r>
        <w:rPr>
          <w:rFonts w:ascii="Arial" w:hAnsi="Arial" w:cs="Arial"/>
          <w:lang w:val="en"/>
        </w:rPr>
        <w:t>CABENUVA</w:t>
      </w:r>
      <w:r w:rsidRPr="00DD2F4B">
        <w:rPr>
          <w:rFonts w:ascii="Arial" w:hAnsi="Arial" w:cs="Arial"/>
          <w:lang w:val="en"/>
        </w:rPr>
        <w:t xml:space="preserve"> should be administered by a healthcare professional. </w:t>
      </w:r>
      <w:r w:rsidR="00CA57E3" w:rsidRPr="00AD7B12">
        <w:rPr>
          <w:rFonts w:ascii="Arial" w:hAnsi="Arial" w:cs="Arial"/>
          <w:lang w:val="en-CA"/>
        </w:rPr>
        <w:t xml:space="preserve">Prior to administration, vials should be brought to room temperature (not to exceed </w:t>
      </w:r>
      <w:r w:rsidR="00CA57E3">
        <w:rPr>
          <w:rFonts w:ascii="Arial" w:hAnsi="Arial" w:cs="Arial"/>
          <w:lang w:val="en-CA"/>
        </w:rPr>
        <w:t>25</w:t>
      </w:r>
      <w:r w:rsidR="00CA57E3" w:rsidRPr="00AD7B12">
        <w:rPr>
          <w:rFonts w:ascii="Arial" w:hAnsi="Arial" w:cs="Arial"/>
          <w:lang w:val="en-CA"/>
        </w:rPr>
        <w:t>°C).</w:t>
      </w:r>
    </w:p>
    <w:p w14:paraId="6B9B16F1" w14:textId="3FA74761" w:rsidR="00EA3C45" w:rsidRDefault="00EA3C45" w:rsidP="00EA3C45">
      <w:pPr>
        <w:rPr>
          <w:rFonts w:ascii="Arial" w:hAnsi="Arial" w:cs="Arial"/>
          <w:lang w:val="en"/>
        </w:rPr>
      </w:pPr>
      <w:r w:rsidRPr="00DD2F4B">
        <w:rPr>
          <w:rFonts w:ascii="Arial" w:hAnsi="Arial" w:cs="Arial"/>
          <w:lang w:val="en"/>
        </w:rPr>
        <w:t>For gluteal intramuscular (IM) injection use only. Do not inject intravenously.</w:t>
      </w:r>
    </w:p>
    <w:p w14:paraId="0F6A3007" w14:textId="5A912141" w:rsidR="002F4803" w:rsidRPr="002F4803" w:rsidRDefault="002F4803" w:rsidP="00EA3C45">
      <w:pPr>
        <w:rPr>
          <w:rFonts w:ascii="Arial" w:hAnsi="Arial" w:cs="Arial"/>
          <w:lang w:val="en-CA"/>
        </w:rPr>
      </w:pPr>
      <w:r w:rsidRPr="002F4803">
        <w:rPr>
          <w:rFonts w:ascii="Arial" w:hAnsi="Arial" w:cs="Arial"/>
          <w:lang w:val="en-CA"/>
        </w:rPr>
        <w:lastRenderedPageBreak/>
        <w:t>Cabotegravir and rilpivirine injections should be administered at separate gluteal injection sites during the same visit.</w:t>
      </w:r>
      <w:r w:rsidR="0032787A">
        <w:rPr>
          <w:rFonts w:ascii="Arial" w:hAnsi="Arial" w:cs="Arial"/>
          <w:lang w:val="en-CA"/>
        </w:rPr>
        <w:t xml:space="preserve"> </w:t>
      </w:r>
    </w:p>
    <w:p w14:paraId="6DE24672" w14:textId="77777777" w:rsidR="0032787A" w:rsidRDefault="00EA3C45" w:rsidP="00DD2F4B">
      <w:pPr>
        <w:rPr>
          <w:rFonts w:ascii="Arial" w:hAnsi="Arial" w:cs="Arial"/>
          <w:lang w:val="en"/>
        </w:rPr>
      </w:pPr>
      <w:r w:rsidRPr="00EA3C45">
        <w:rPr>
          <w:rFonts w:ascii="Arial" w:hAnsi="Arial" w:cs="Arial"/>
          <w:lang w:val="en"/>
        </w:rPr>
        <w:t xml:space="preserve">A complete dose requires </w:t>
      </w:r>
      <w:r w:rsidR="00BB0170">
        <w:rPr>
          <w:rFonts w:ascii="Arial" w:hAnsi="Arial" w:cs="Arial"/>
          <w:lang w:val="en"/>
        </w:rPr>
        <w:t>two (2)</w:t>
      </w:r>
      <w:r w:rsidRPr="00EA3C45">
        <w:rPr>
          <w:rFonts w:ascii="Arial" w:hAnsi="Arial" w:cs="Arial"/>
          <w:lang w:val="en"/>
        </w:rPr>
        <w:t xml:space="preserve"> injections: one injection of cabotegravir and one injection of rilpivirine. Refer to the Instructions for Use for complete administration instructions with illustrations.</w:t>
      </w:r>
      <w:r w:rsidR="0032787A">
        <w:rPr>
          <w:rFonts w:ascii="Arial" w:hAnsi="Arial" w:cs="Arial"/>
          <w:lang w:val="en"/>
        </w:rPr>
        <w:t xml:space="preserve"> </w:t>
      </w:r>
    </w:p>
    <w:p w14:paraId="4AE75C1B" w14:textId="76712696" w:rsidR="00EA3C45" w:rsidRDefault="0032787A" w:rsidP="00DD2F4B">
      <w:pPr>
        <w:rPr>
          <w:rFonts w:ascii="Arial" w:hAnsi="Arial" w:cs="Arial"/>
          <w:lang w:val="en"/>
        </w:rPr>
      </w:pPr>
      <w:r>
        <w:rPr>
          <w:rFonts w:ascii="Arial" w:hAnsi="Arial" w:cs="Arial"/>
          <w:lang w:val="en"/>
        </w:rPr>
        <w:t>Cabenuva is for single use in one patient only.</w:t>
      </w:r>
    </w:p>
    <w:p w14:paraId="31B90502" w14:textId="646ECA26" w:rsidR="00766549" w:rsidRPr="00DD2F4B" w:rsidRDefault="00766549" w:rsidP="00AB30B1">
      <w:pPr>
        <w:rPr>
          <w:rFonts w:ascii="Arial" w:hAnsi="Arial" w:cs="Arial"/>
          <w:lang w:val="en"/>
        </w:rPr>
      </w:pPr>
      <w:r w:rsidRPr="00DD2F4B">
        <w:rPr>
          <w:rFonts w:ascii="Arial" w:hAnsi="Arial" w:cs="Arial"/>
          <w:lang w:val="en"/>
        </w:rPr>
        <w:t xml:space="preserve">When administering </w:t>
      </w:r>
      <w:r w:rsidR="00DC4D8B">
        <w:rPr>
          <w:rFonts w:ascii="Arial" w:hAnsi="Arial" w:cs="Arial"/>
          <w:lang w:val="en"/>
        </w:rPr>
        <w:t>CABENUVA</w:t>
      </w:r>
      <w:r w:rsidRPr="00DD2F4B">
        <w:rPr>
          <w:rFonts w:ascii="Arial" w:hAnsi="Arial" w:cs="Arial"/>
          <w:lang w:val="en"/>
        </w:rPr>
        <w:t>, healthcare professionals should take into consideration the Body Mass Index (BMI) of the patient to ensure that the needle length is sufficient to reach the gluteus muscle.</w:t>
      </w:r>
      <w:r w:rsidR="00454BDD">
        <w:rPr>
          <w:rFonts w:ascii="Arial" w:hAnsi="Arial" w:cs="Arial"/>
          <w:lang w:val="en"/>
        </w:rPr>
        <w:t xml:space="preserve"> </w:t>
      </w:r>
      <w:r w:rsidR="00454BDD" w:rsidRPr="00454BDD">
        <w:rPr>
          <w:rFonts w:ascii="Arial" w:hAnsi="Arial" w:cs="Arial"/>
          <w:lang w:val="en"/>
        </w:rPr>
        <w:t>The 1.5 inch length needle provided in the pack may not be sufficient for patients with high BMI. Longer needle lengths (not included in the dosing kit) may be required for patients with higher BMI (example: greater than 30 kg/m2).</w:t>
      </w:r>
    </w:p>
    <w:p w14:paraId="2201FD43" w14:textId="77777777" w:rsidR="001A3992" w:rsidRPr="00071855" w:rsidRDefault="00071855" w:rsidP="00923029">
      <w:pPr>
        <w:pStyle w:val="Heading2"/>
        <w:numPr>
          <w:ilvl w:val="1"/>
          <w:numId w:val="35"/>
        </w:numPr>
        <w:spacing w:before="0" w:after="120"/>
        <w:rPr>
          <w:rFonts w:ascii="Arial" w:hAnsi="Arial" w:cs="Arial"/>
          <w:smallCaps w:val="0"/>
        </w:rPr>
      </w:pPr>
      <w:r w:rsidRPr="00071855">
        <w:rPr>
          <w:rFonts w:ascii="Arial" w:hAnsi="Arial" w:cs="Arial"/>
          <w:smallCaps w:val="0"/>
        </w:rPr>
        <w:t>CONTRAINDICATIONS</w:t>
      </w:r>
    </w:p>
    <w:p w14:paraId="443C6A69" w14:textId="317154E2" w:rsidR="00DD2F4B" w:rsidRDefault="00DC4D8B" w:rsidP="004E264A">
      <w:pPr>
        <w:rPr>
          <w:rFonts w:ascii="Arial" w:hAnsi="Arial" w:cs="Arial"/>
          <w:lang w:val="en"/>
        </w:rPr>
      </w:pPr>
      <w:bookmarkStart w:id="9" w:name="_Hlk6229737"/>
      <w:r>
        <w:rPr>
          <w:rFonts w:ascii="Arial" w:hAnsi="Arial" w:cs="Arial"/>
          <w:lang w:val="en"/>
        </w:rPr>
        <w:t>CABENUVA</w:t>
      </w:r>
      <w:r w:rsidR="00DD2F4B" w:rsidRPr="00614781">
        <w:rPr>
          <w:rFonts w:ascii="Arial" w:hAnsi="Arial" w:cs="Arial"/>
          <w:lang w:val="en"/>
        </w:rPr>
        <w:t xml:space="preserve"> is contraindicated in patient</w:t>
      </w:r>
      <w:r w:rsidR="00614781">
        <w:rPr>
          <w:rFonts w:ascii="Arial" w:hAnsi="Arial" w:cs="Arial"/>
          <w:lang w:val="en"/>
        </w:rPr>
        <w:t>s</w:t>
      </w:r>
      <w:r w:rsidR="004E264A">
        <w:rPr>
          <w:rFonts w:ascii="Arial" w:hAnsi="Arial" w:cs="Arial"/>
          <w:lang w:val="en"/>
        </w:rPr>
        <w:t xml:space="preserve"> </w:t>
      </w:r>
      <w:r w:rsidR="00614781">
        <w:rPr>
          <w:rFonts w:ascii="Arial" w:hAnsi="Arial" w:cs="Arial"/>
          <w:lang w:val="en"/>
        </w:rPr>
        <w:t>w</w:t>
      </w:r>
      <w:r w:rsidR="00DD2F4B" w:rsidRPr="00614781">
        <w:rPr>
          <w:rFonts w:ascii="Arial" w:hAnsi="Arial" w:cs="Arial"/>
          <w:lang w:val="en"/>
        </w:rPr>
        <w:t xml:space="preserve">ith known hypersensitivity to cabotegravir or </w:t>
      </w:r>
      <w:r w:rsidR="00EA3C45">
        <w:rPr>
          <w:rFonts w:ascii="Arial" w:hAnsi="Arial" w:cs="Arial"/>
          <w:lang w:val="en"/>
        </w:rPr>
        <w:t xml:space="preserve">rilpivirine or </w:t>
      </w:r>
      <w:r w:rsidR="00DD2F4B" w:rsidRPr="00614781">
        <w:rPr>
          <w:rFonts w:ascii="Arial" w:hAnsi="Arial" w:cs="Arial"/>
          <w:lang w:val="en"/>
        </w:rPr>
        <w:t>to any of the excipients listed in section 6.1.</w:t>
      </w:r>
    </w:p>
    <w:p w14:paraId="63D223D0" w14:textId="2B4809FF" w:rsidR="004E264A" w:rsidRPr="00614781" w:rsidRDefault="004E264A" w:rsidP="004E264A">
      <w:pPr>
        <w:rPr>
          <w:rFonts w:ascii="Arial" w:hAnsi="Arial" w:cs="Arial"/>
          <w:lang w:val="en"/>
        </w:rPr>
      </w:pPr>
      <w:r>
        <w:rPr>
          <w:rFonts w:ascii="Arial" w:hAnsi="Arial" w:cs="Arial"/>
          <w:lang w:val="en"/>
        </w:rPr>
        <w:t xml:space="preserve">CABENUVA is contraindicated in combination with the following </w:t>
      </w:r>
      <w:r w:rsidRPr="00614781">
        <w:rPr>
          <w:rFonts w:ascii="Arial" w:hAnsi="Arial" w:cs="Arial"/>
          <w:lang w:val="en"/>
        </w:rPr>
        <w:t>(see section 4.5 INTERACTIONS WITH OTHER MEDICINES AND OTHER FORMS OF INTERACTIONS)</w:t>
      </w:r>
      <w:r>
        <w:rPr>
          <w:rFonts w:ascii="Arial" w:hAnsi="Arial" w:cs="Arial"/>
          <w:lang w:val="en"/>
        </w:rPr>
        <w:t>:</w:t>
      </w:r>
    </w:p>
    <w:p w14:paraId="66DB9A74" w14:textId="1A33D6CD" w:rsidR="00EA3C45" w:rsidRDefault="00EA3C45" w:rsidP="00B9290E">
      <w:pPr>
        <w:pStyle w:val="ListParagraph"/>
        <w:numPr>
          <w:ilvl w:val="0"/>
          <w:numId w:val="12"/>
        </w:numPr>
        <w:rPr>
          <w:rFonts w:ascii="Arial" w:hAnsi="Arial" w:cs="Arial"/>
          <w:lang w:val="en"/>
        </w:rPr>
      </w:pPr>
      <w:bookmarkStart w:id="10" w:name="_Hlk6240326"/>
      <w:r>
        <w:rPr>
          <w:rFonts w:ascii="Arial" w:hAnsi="Arial" w:cs="Arial"/>
          <w:lang w:val="en"/>
        </w:rPr>
        <w:t>anticonvulsants:</w:t>
      </w:r>
      <w:r w:rsidRPr="00614781">
        <w:rPr>
          <w:rFonts w:ascii="Arial" w:hAnsi="Arial" w:cs="Arial"/>
          <w:lang w:val="en"/>
        </w:rPr>
        <w:t xml:space="preserve"> phenytoin, phenobarbital carbamazepine and oxcarbazepine </w:t>
      </w:r>
    </w:p>
    <w:p w14:paraId="5CCB28D7" w14:textId="70757F52" w:rsidR="00DD2F4B" w:rsidRDefault="00EA3C45" w:rsidP="00B9290E">
      <w:pPr>
        <w:pStyle w:val="ListParagraph"/>
        <w:numPr>
          <w:ilvl w:val="0"/>
          <w:numId w:val="12"/>
        </w:numPr>
        <w:rPr>
          <w:rFonts w:ascii="Arial" w:hAnsi="Arial" w:cs="Arial"/>
          <w:lang w:val="en"/>
        </w:rPr>
      </w:pPr>
      <w:proofErr w:type="spellStart"/>
      <w:r>
        <w:rPr>
          <w:rFonts w:ascii="Arial" w:hAnsi="Arial" w:cs="Arial"/>
          <w:lang w:val="en"/>
        </w:rPr>
        <w:t>antimycobacterials</w:t>
      </w:r>
      <w:proofErr w:type="spellEnd"/>
      <w:r>
        <w:rPr>
          <w:rFonts w:ascii="Arial" w:hAnsi="Arial" w:cs="Arial"/>
          <w:lang w:val="en"/>
        </w:rPr>
        <w:t xml:space="preserve">: </w:t>
      </w:r>
      <w:proofErr w:type="spellStart"/>
      <w:r>
        <w:rPr>
          <w:rFonts w:ascii="Arial" w:hAnsi="Arial" w:cs="Arial"/>
          <w:lang w:val="en"/>
        </w:rPr>
        <w:t>rifabutin</w:t>
      </w:r>
      <w:proofErr w:type="spellEnd"/>
      <w:r>
        <w:rPr>
          <w:rFonts w:ascii="Arial" w:hAnsi="Arial" w:cs="Arial"/>
          <w:lang w:val="en"/>
        </w:rPr>
        <w:t xml:space="preserve">, </w:t>
      </w:r>
      <w:r w:rsidR="00DD2F4B" w:rsidRPr="00614781">
        <w:rPr>
          <w:rFonts w:ascii="Arial" w:hAnsi="Arial" w:cs="Arial"/>
          <w:lang w:val="en"/>
        </w:rPr>
        <w:t xml:space="preserve">rifampicin, </w:t>
      </w:r>
      <w:proofErr w:type="spellStart"/>
      <w:r w:rsidR="00DD2F4B" w:rsidRPr="00614781">
        <w:rPr>
          <w:rFonts w:ascii="Arial" w:hAnsi="Arial" w:cs="Arial"/>
          <w:lang w:val="en"/>
        </w:rPr>
        <w:t>rifapentine</w:t>
      </w:r>
      <w:proofErr w:type="spellEnd"/>
      <w:r w:rsidR="00614781" w:rsidRPr="00614781">
        <w:rPr>
          <w:rFonts w:ascii="Arial" w:hAnsi="Arial" w:cs="Arial"/>
          <w:lang w:val="en"/>
        </w:rPr>
        <w:t xml:space="preserve"> </w:t>
      </w:r>
    </w:p>
    <w:p w14:paraId="5BB67FBA" w14:textId="4132AFDB" w:rsidR="00EA3C45" w:rsidRDefault="00EA3C45" w:rsidP="00EA3C45">
      <w:pPr>
        <w:pStyle w:val="ListParagraph"/>
        <w:numPr>
          <w:ilvl w:val="0"/>
          <w:numId w:val="12"/>
        </w:numPr>
        <w:rPr>
          <w:rFonts w:ascii="Arial" w:hAnsi="Arial" w:cs="Arial"/>
          <w:lang w:val="en"/>
        </w:rPr>
      </w:pPr>
      <w:r>
        <w:rPr>
          <w:rFonts w:ascii="Arial" w:hAnsi="Arial" w:cs="Arial"/>
          <w:lang w:val="en"/>
        </w:rPr>
        <w:t xml:space="preserve">glucocorticoids: </w:t>
      </w:r>
      <w:r w:rsidR="004E264A">
        <w:rPr>
          <w:rFonts w:ascii="Arial" w:hAnsi="Arial" w:cs="Arial"/>
          <w:lang w:val="en"/>
        </w:rPr>
        <w:t>s</w:t>
      </w:r>
      <w:r>
        <w:rPr>
          <w:rFonts w:ascii="Arial" w:hAnsi="Arial" w:cs="Arial"/>
          <w:lang w:val="en"/>
        </w:rPr>
        <w:t>ystemic dexamethasone (</w:t>
      </w:r>
      <w:r w:rsidR="004E264A">
        <w:rPr>
          <w:rFonts w:ascii="Arial" w:hAnsi="Arial" w:cs="Arial"/>
          <w:lang w:val="en"/>
        </w:rPr>
        <w:t>except as a single dose treatment</w:t>
      </w:r>
      <w:r>
        <w:rPr>
          <w:rFonts w:ascii="Arial" w:hAnsi="Arial" w:cs="Arial"/>
          <w:lang w:val="en"/>
        </w:rPr>
        <w:t>)</w:t>
      </w:r>
    </w:p>
    <w:p w14:paraId="1869E795" w14:textId="25CE3639" w:rsidR="00EA3C45" w:rsidRDefault="00EA3C45" w:rsidP="00EA3C45">
      <w:pPr>
        <w:pStyle w:val="ListParagraph"/>
        <w:numPr>
          <w:ilvl w:val="0"/>
          <w:numId w:val="12"/>
        </w:numPr>
        <w:rPr>
          <w:rFonts w:ascii="Arial" w:hAnsi="Arial" w:cs="Arial"/>
          <w:lang w:val="en"/>
        </w:rPr>
      </w:pPr>
      <w:r>
        <w:rPr>
          <w:rFonts w:ascii="Arial" w:hAnsi="Arial" w:cs="Arial"/>
          <w:lang w:val="en"/>
        </w:rPr>
        <w:t xml:space="preserve">St John’s </w:t>
      </w:r>
      <w:proofErr w:type="spellStart"/>
      <w:r>
        <w:rPr>
          <w:rFonts w:ascii="Arial" w:hAnsi="Arial" w:cs="Arial"/>
          <w:lang w:val="en"/>
        </w:rPr>
        <w:t>wort</w:t>
      </w:r>
      <w:proofErr w:type="spellEnd"/>
      <w:r>
        <w:rPr>
          <w:rFonts w:ascii="Arial" w:hAnsi="Arial" w:cs="Arial"/>
          <w:lang w:val="en"/>
        </w:rPr>
        <w:t xml:space="preserve"> (</w:t>
      </w:r>
      <w:proofErr w:type="spellStart"/>
      <w:r w:rsidRPr="009E5BB4">
        <w:rPr>
          <w:rFonts w:ascii="Arial" w:hAnsi="Arial" w:cs="Arial"/>
          <w:i/>
        </w:rPr>
        <w:t>Hypericum</w:t>
      </w:r>
      <w:proofErr w:type="spellEnd"/>
      <w:r w:rsidRPr="009E5BB4">
        <w:rPr>
          <w:rFonts w:ascii="Arial" w:hAnsi="Arial" w:cs="Arial"/>
          <w:i/>
        </w:rPr>
        <w:t xml:space="preserve"> </w:t>
      </w:r>
      <w:proofErr w:type="spellStart"/>
      <w:r w:rsidRPr="009E5BB4">
        <w:rPr>
          <w:rFonts w:ascii="Arial" w:hAnsi="Arial" w:cs="Arial"/>
          <w:i/>
        </w:rPr>
        <w:t>perforatum</w:t>
      </w:r>
      <w:proofErr w:type="spellEnd"/>
      <w:r w:rsidRPr="009E5BB4">
        <w:rPr>
          <w:rFonts w:ascii="Arial" w:hAnsi="Arial" w:cs="Arial"/>
        </w:rPr>
        <w:t>)</w:t>
      </w:r>
      <w:r w:rsidRPr="00614781">
        <w:rPr>
          <w:rFonts w:ascii="Arial" w:hAnsi="Arial" w:cs="Arial"/>
          <w:lang w:val="en"/>
        </w:rPr>
        <w:t>.</w:t>
      </w:r>
    </w:p>
    <w:bookmarkEnd w:id="9"/>
    <w:bookmarkEnd w:id="10"/>
    <w:p w14:paraId="5EE67F22" w14:textId="77777777" w:rsidR="00071855" w:rsidRPr="006E595D" w:rsidRDefault="00071855" w:rsidP="00923029">
      <w:pPr>
        <w:pStyle w:val="Heading2"/>
        <w:numPr>
          <w:ilvl w:val="1"/>
          <w:numId w:val="35"/>
        </w:numPr>
        <w:spacing w:before="0" w:after="120"/>
        <w:rPr>
          <w:rFonts w:ascii="Arial" w:hAnsi="Arial" w:cs="Arial"/>
          <w:smallCaps w:val="0"/>
        </w:rPr>
      </w:pPr>
      <w:r w:rsidRPr="00071855">
        <w:rPr>
          <w:rFonts w:ascii="Arial" w:hAnsi="Arial" w:cs="Arial"/>
          <w:smallCaps w:val="0"/>
        </w:rPr>
        <w:t>SPECIAL WARNINGS AND PRECAUTIONS FOR USE</w:t>
      </w:r>
    </w:p>
    <w:p w14:paraId="2833227F" w14:textId="77777777" w:rsidR="002F4803" w:rsidRPr="003E6706" w:rsidRDefault="002F4803" w:rsidP="002F4803">
      <w:pPr>
        <w:pStyle w:val="Heading3"/>
        <w:ind w:left="0"/>
        <w:rPr>
          <w:rFonts w:ascii="Arial" w:hAnsi="Arial" w:cs="Arial"/>
        </w:rPr>
      </w:pPr>
      <w:r w:rsidRPr="003E6706">
        <w:rPr>
          <w:rFonts w:ascii="Arial" w:hAnsi="Arial" w:cs="Arial"/>
        </w:rPr>
        <w:t>Risk of resistance following treatment discontinuation</w:t>
      </w:r>
    </w:p>
    <w:p w14:paraId="4CBF2C9D" w14:textId="68C0F1D9" w:rsidR="002F4803" w:rsidRPr="00D13251" w:rsidRDefault="002F4803" w:rsidP="00763708">
      <w:pPr>
        <w:widowControl w:val="0"/>
        <w:rPr>
          <w:rFonts w:ascii="Arial" w:hAnsi="Arial" w:cs="Arial"/>
          <w:lang w:val="en"/>
        </w:rPr>
      </w:pPr>
      <w:r w:rsidRPr="003E6706">
        <w:rPr>
          <w:rFonts w:ascii="Arial" w:hAnsi="Arial" w:cs="Arial"/>
          <w:lang w:val="en"/>
        </w:rPr>
        <w:t xml:space="preserve">To </w:t>
      </w:r>
      <w:proofErr w:type="spellStart"/>
      <w:r w:rsidRPr="003E6706">
        <w:rPr>
          <w:rFonts w:ascii="Arial" w:hAnsi="Arial" w:cs="Arial"/>
          <w:lang w:val="en"/>
        </w:rPr>
        <w:t>minimise</w:t>
      </w:r>
      <w:proofErr w:type="spellEnd"/>
      <w:r w:rsidRPr="003E6706">
        <w:rPr>
          <w:rFonts w:ascii="Arial" w:hAnsi="Arial" w:cs="Arial"/>
          <w:lang w:val="en"/>
        </w:rPr>
        <w:t xml:space="preserve"> the risk of developing viral resistance it is essential to adopt an alternative, fully suppressive antiretroviral regimen no later than one month after the final injection</w:t>
      </w:r>
      <w:r>
        <w:rPr>
          <w:rFonts w:ascii="Arial" w:hAnsi="Arial" w:cs="Arial"/>
          <w:lang w:val="en"/>
        </w:rPr>
        <w:t xml:space="preserve"> doses</w:t>
      </w:r>
      <w:r w:rsidRPr="003E6706">
        <w:rPr>
          <w:rFonts w:ascii="Arial" w:hAnsi="Arial" w:cs="Arial"/>
          <w:lang w:val="en"/>
        </w:rPr>
        <w:t xml:space="preserve"> of </w:t>
      </w:r>
      <w:r>
        <w:rPr>
          <w:rFonts w:ascii="Arial" w:hAnsi="Arial" w:cs="Arial"/>
          <w:lang w:val="en"/>
        </w:rPr>
        <w:t>CABENUVA</w:t>
      </w:r>
      <w:r w:rsidR="004A6970" w:rsidRPr="00D13251">
        <w:rPr>
          <w:rFonts w:ascii="Arial" w:hAnsi="Arial" w:cs="Arial"/>
          <w:lang w:val="en"/>
        </w:rPr>
        <w:t xml:space="preserve"> when dosed monthly and no later than two months after the final injection doses of CABENUVA when dosed every 2 months.</w:t>
      </w:r>
    </w:p>
    <w:p w14:paraId="464A372A" w14:textId="4D0B0B24" w:rsidR="002F4803" w:rsidRDefault="002F4803" w:rsidP="00763708">
      <w:pPr>
        <w:tabs>
          <w:tab w:val="left" w:pos="720"/>
        </w:tabs>
        <w:spacing w:line="240" w:lineRule="auto"/>
      </w:pPr>
      <w:r w:rsidRPr="003E6706">
        <w:rPr>
          <w:rFonts w:ascii="Arial" w:hAnsi="Arial" w:cs="Arial"/>
          <w:lang w:val="en"/>
        </w:rPr>
        <w:t>If virologic failure is suspected, an alternative regimen should be adopted as soon as possible.</w:t>
      </w:r>
    </w:p>
    <w:p w14:paraId="4BA8114B" w14:textId="2857AB0F" w:rsidR="001A3992" w:rsidRPr="00614781" w:rsidRDefault="00614781" w:rsidP="005617F2">
      <w:pPr>
        <w:pStyle w:val="Heading3"/>
        <w:ind w:left="0"/>
        <w:rPr>
          <w:rFonts w:ascii="Arial" w:hAnsi="Arial" w:cs="Arial"/>
        </w:rPr>
      </w:pPr>
      <w:r w:rsidRPr="00614781">
        <w:rPr>
          <w:rFonts w:ascii="Arial" w:hAnsi="Arial" w:cs="Arial"/>
        </w:rPr>
        <w:t>Hypersensitivity reactions</w:t>
      </w:r>
    </w:p>
    <w:p w14:paraId="09AC5134" w14:textId="38F45F9E" w:rsidR="00614781" w:rsidRDefault="00614781" w:rsidP="000D668F">
      <w:pPr>
        <w:rPr>
          <w:rFonts w:ascii="Arial" w:hAnsi="Arial" w:cs="Arial"/>
          <w:lang w:val="en"/>
        </w:rPr>
      </w:pPr>
      <w:r w:rsidRPr="00614781">
        <w:rPr>
          <w:rFonts w:ascii="Arial" w:hAnsi="Arial" w:cs="Arial"/>
          <w:lang w:val="en"/>
        </w:rPr>
        <w:t xml:space="preserve">Hypersensitivity reactions have been reported in association with other integrase inhibitors. These reactions were </w:t>
      </w:r>
      <w:proofErr w:type="spellStart"/>
      <w:r w:rsidRPr="00614781">
        <w:rPr>
          <w:rFonts w:ascii="Arial" w:hAnsi="Arial" w:cs="Arial"/>
          <w:lang w:val="en"/>
        </w:rPr>
        <w:t>characterised</w:t>
      </w:r>
      <w:proofErr w:type="spellEnd"/>
      <w:r w:rsidRPr="00614781">
        <w:rPr>
          <w:rFonts w:ascii="Arial" w:hAnsi="Arial" w:cs="Arial"/>
          <w:lang w:val="en"/>
        </w:rPr>
        <w:t xml:space="preserve"> by rash, constitutional findings and sometimes organ dysfunction, including liver injury. While no such reactions have been observed to date in association with </w:t>
      </w:r>
      <w:r w:rsidR="004E264A">
        <w:rPr>
          <w:rFonts w:ascii="Arial" w:hAnsi="Arial" w:cs="Arial"/>
          <w:lang w:val="en"/>
        </w:rPr>
        <w:t>cabotegravir</w:t>
      </w:r>
      <w:r w:rsidRPr="00614781">
        <w:rPr>
          <w:rFonts w:ascii="Arial" w:hAnsi="Arial" w:cs="Arial"/>
          <w:lang w:val="en"/>
        </w:rPr>
        <w:t xml:space="preserve">, physicians should remain vigilant and should discontinue </w:t>
      </w:r>
      <w:r w:rsidR="00DC4D8B">
        <w:rPr>
          <w:rFonts w:ascii="Arial" w:hAnsi="Arial" w:cs="Arial"/>
          <w:lang w:val="en"/>
        </w:rPr>
        <w:t>CABENUVA</w:t>
      </w:r>
      <w:r w:rsidRPr="00614781">
        <w:rPr>
          <w:rFonts w:ascii="Arial" w:hAnsi="Arial" w:cs="Arial"/>
          <w:lang w:val="en"/>
        </w:rPr>
        <w:t xml:space="preserve"> and other suspected medicinal products immediately, should signs or symptoms of hypersensitivity develop (including, but not limited to, severe rash, or rash accompanied by fever, general malaise, fatigue, muscle or joint aches, blisters, oral lesions, conjunctivitis, facial </w:t>
      </w:r>
      <w:proofErr w:type="spellStart"/>
      <w:r w:rsidRPr="00614781">
        <w:rPr>
          <w:rFonts w:ascii="Arial" w:hAnsi="Arial" w:cs="Arial"/>
          <w:lang w:val="en"/>
        </w:rPr>
        <w:t>oedema</w:t>
      </w:r>
      <w:proofErr w:type="spellEnd"/>
      <w:r w:rsidRPr="00614781">
        <w:rPr>
          <w:rFonts w:ascii="Arial" w:hAnsi="Arial" w:cs="Arial"/>
          <w:lang w:val="en"/>
        </w:rPr>
        <w:t xml:space="preserve">, hepatitis, eosinophilia or angioedema). Clinical status, including liver aminotransferases should be monitored and appropriate therapy initiated. </w:t>
      </w:r>
      <w:r w:rsidRPr="00614781">
        <w:rPr>
          <w:rFonts w:ascii="Arial" w:hAnsi="Arial" w:cs="Arial"/>
          <w:lang w:val="en"/>
        </w:rPr>
        <w:lastRenderedPageBreak/>
        <w:t xml:space="preserve">Administration of oral lead-in is recommended to help identify patients who may be at risk of a hypersensitivity </w:t>
      </w:r>
      <w:r w:rsidRPr="00BB0170">
        <w:rPr>
          <w:rFonts w:ascii="Arial" w:hAnsi="Arial" w:cs="Arial"/>
          <w:lang w:val="en"/>
        </w:rPr>
        <w:t xml:space="preserve">reaction (see section 4.2 DOSAGE AND METHOD OF ADMINISTRATION, </w:t>
      </w:r>
      <w:r w:rsidR="00C6780E">
        <w:rPr>
          <w:rFonts w:ascii="Arial" w:hAnsi="Arial" w:cs="Arial"/>
          <w:lang w:val="en"/>
        </w:rPr>
        <w:t xml:space="preserve">4.3 CONTRAINDICATIONS </w:t>
      </w:r>
      <w:r w:rsidRPr="00BB0170">
        <w:rPr>
          <w:rFonts w:ascii="Arial" w:hAnsi="Arial" w:cs="Arial"/>
          <w:lang w:val="en"/>
        </w:rPr>
        <w:t xml:space="preserve">and </w:t>
      </w:r>
      <w:r w:rsidR="00314C77">
        <w:rPr>
          <w:rFonts w:ascii="Arial" w:hAnsi="Arial" w:cs="Arial"/>
          <w:lang w:val="en"/>
        </w:rPr>
        <w:t>prolonged</w:t>
      </w:r>
      <w:r w:rsidR="00C001E0">
        <w:rPr>
          <w:rFonts w:ascii="Arial" w:hAnsi="Arial" w:cs="Arial"/>
          <w:lang w:val="en"/>
        </w:rPr>
        <w:t>-</w:t>
      </w:r>
      <w:r w:rsidR="00314C77">
        <w:rPr>
          <w:rFonts w:ascii="Arial" w:hAnsi="Arial" w:cs="Arial"/>
          <w:lang w:val="en"/>
        </w:rPr>
        <w:t>release</w:t>
      </w:r>
      <w:r w:rsidRPr="00BB0170">
        <w:rPr>
          <w:rFonts w:ascii="Arial" w:hAnsi="Arial" w:cs="Arial"/>
          <w:lang w:val="en"/>
        </w:rPr>
        <w:t xml:space="preserve"> properties of </w:t>
      </w:r>
      <w:r w:rsidR="00DC4D8B" w:rsidRPr="00BB0170">
        <w:rPr>
          <w:rFonts w:ascii="Arial" w:hAnsi="Arial" w:cs="Arial"/>
          <w:lang w:val="en"/>
        </w:rPr>
        <w:t>CABENUVA</w:t>
      </w:r>
      <w:r w:rsidR="00BB0170" w:rsidRPr="00BB0170">
        <w:rPr>
          <w:rFonts w:ascii="Arial" w:hAnsi="Arial" w:cs="Arial"/>
          <w:lang w:val="en"/>
        </w:rPr>
        <w:t xml:space="preserve"> </w:t>
      </w:r>
      <w:r w:rsidRPr="00BB0170">
        <w:rPr>
          <w:rFonts w:ascii="Arial" w:hAnsi="Arial" w:cs="Arial"/>
          <w:lang w:val="en"/>
        </w:rPr>
        <w:t>below).</w:t>
      </w:r>
    </w:p>
    <w:p w14:paraId="6D8CEFF4" w14:textId="77777777" w:rsidR="00B83353" w:rsidRPr="00B83353" w:rsidRDefault="00B83353" w:rsidP="00B83353">
      <w:pPr>
        <w:keepNext/>
        <w:rPr>
          <w:rFonts w:ascii="Arial" w:hAnsi="Arial" w:cs="Arial"/>
          <w:b/>
          <w:bCs/>
          <w:lang w:val="en"/>
        </w:rPr>
      </w:pPr>
      <w:r w:rsidRPr="00B83353">
        <w:rPr>
          <w:rFonts w:ascii="Arial" w:hAnsi="Arial" w:cs="Arial"/>
          <w:b/>
          <w:bCs/>
          <w:lang w:val="en"/>
        </w:rPr>
        <w:t>Post-injection reactions</w:t>
      </w:r>
    </w:p>
    <w:p w14:paraId="52DE6484" w14:textId="77777777" w:rsidR="00B83353" w:rsidRPr="00B83353" w:rsidRDefault="00B83353" w:rsidP="00B93BAD">
      <w:pPr>
        <w:rPr>
          <w:rFonts w:ascii="Arial" w:hAnsi="Arial" w:cs="Arial"/>
          <w:lang w:val="en"/>
        </w:rPr>
      </w:pPr>
      <w:r w:rsidRPr="00B83353">
        <w:rPr>
          <w:rFonts w:ascii="Arial" w:hAnsi="Arial" w:cs="Arial"/>
          <w:lang w:val="en"/>
        </w:rPr>
        <w:t>In clinical trials, serious post-injection reactions were reported within minutes after the injection of rilpivirine, including dyspnea, agitation, abdominal cramping, flushing, sweating, oral numbness, and changes in blood pressure. These events were very rare and began to resolve within a few minutes after the injection. These events may have been associated with inadvertent (partial) intravenous administration.</w:t>
      </w:r>
    </w:p>
    <w:p w14:paraId="12050166" w14:textId="76EFFECB" w:rsidR="00B83353" w:rsidRDefault="00B83353" w:rsidP="00B83353">
      <w:pPr>
        <w:rPr>
          <w:rFonts w:ascii="Arial" w:hAnsi="Arial" w:cs="Arial"/>
          <w:lang w:val="en"/>
        </w:rPr>
      </w:pPr>
      <w:r w:rsidRPr="00B83353">
        <w:rPr>
          <w:rFonts w:ascii="Arial" w:hAnsi="Arial" w:cs="Arial"/>
          <w:lang w:val="en"/>
        </w:rPr>
        <w:t xml:space="preserve">Carefully follow the Instructions for Use when preparing and administering </w:t>
      </w:r>
      <w:r>
        <w:rPr>
          <w:rFonts w:ascii="Arial" w:hAnsi="Arial" w:cs="Arial"/>
          <w:lang w:val="en"/>
        </w:rPr>
        <w:t>CABENUVA</w:t>
      </w:r>
      <w:r w:rsidRPr="00B83353">
        <w:rPr>
          <w:rFonts w:ascii="Arial" w:hAnsi="Arial" w:cs="Arial"/>
          <w:lang w:val="en"/>
        </w:rPr>
        <w:t xml:space="preserve"> to avoid accidental intravenous administration. If a patient experiences a post-injection reaction, monitor and treat as clinically indicated.</w:t>
      </w:r>
    </w:p>
    <w:p w14:paraId="32B3DB08" w14:textId="77777777" w:rsidR="00614781" w:rsidRPr="003E6706" w:rsidRDefault="00614781" w:rsidP="005617F2">
      <w:pPr>
        <w:pStyle w:val="Heading3"/>
        <w:ind w:left="0"/>
        <w:rPr>
          <w:rFonts w:ascii="Arial" w:hAnsi="Arial" w:cs="Arial"/>
        </w:rPr>
      </w:pPr>
      <w:r w:rsidRPr="003E6706">
        <w:rPr>
          <w:rFonts w:ascii="Arial" w:hAnsi="Arial" w:cs="Arial"/>
        </w:rPr>
        <w:t>Hepatotoxicity</w:t>
      </w:r>
    </w:p>
    <w:p w14:paraId="38E6A304" w14:textId="77777777" w:rsidR="003E6706" w:rsidRPr="003E6706" w:rsidRDefault="003E6706" w:rsidP="00E728C5">
      <w:pPr>
        <w:rPr>
          <w:rFonts w:ascii="Arial" w:hAnsi="Arial" w:cs="Arial"/>
          <w:lang w:val="en"/>
        </w:rPr>
      </w:pPr>
      <w:r w:rsidRPr="003E6706">
        <w:rPr>
          <w:rFonts w:ascii="Arial" w:hAnsi="Arial" w:cs="Arial"/>
          <w:lang w:val="en"/>
        </w:rPr>
        <w:t>Hepatotoxicity has been reported in a limited number of patients receiving cabotegravir with or without known pre-existing hepatic disease (see section 4.8</w:t>
      </w:r>
      <w:r>
        <w:rPr>
          <w:rFonts w:ascii="Arial" w:hAnsi="Arial" w:cs="Arial"/>
          <w:lang w:val="en"/>
        </w:rPr>
        <w:t xml:space="preserve"> ADVERSE EFFECTS (UNDESIRABLE EFFECTS)</w:t>
      </w:r>
      <w:r w:rsidRPr="003E6706">
        <w:rPr>
          <w:rFonts w:ascii="Arial" w:hAnsi="Arial" w:cs="Arial"/>
          <w:lang w:val="en"/>
        </w:rPr>
        <w:t>).</w:t>
      </w:r>
    </w:p>
    <w:p w14:paraId="03089385" w14:textId="53EEFB16" w:rsidR="003E6706" w:rsidRDefault="003E6706" w:rsidP="00E728C5">
      <w:pPr>
        <w:rPr>
          <w:rFonts w:ascii="Arial" w:hAnsi="Arial" w:cs="Arial"/>
          <w:lang w:val="en"/>
        </w:rPr>
      </w:pPr>
      <w:r w:rsidRPr="003E6706">
        <w:rPr>
          <w:rFonts w:ascii="Arial" w:hAnsi="Arial" w:cs="Arial"/>
          <w:lang w:val="en"/>
        </w:rPr>
        <w:t xml:space="preserve">Monitoring of liver chemistries is recommended and treatment with </w:t>
      </w:r>
      <w:r w:rsidR="00DC4D8B">
        <w:rPr>
          <w:rFonts w:ascii="Arial" w:hAnsi="Arial" w:cs="Arial"/>
          <w:lang w:val="en"/>
        </w:rPr>
        <w:t>CABENUVA</w:t>
      </w:r>
      <w:r w:rsidRPr="003E6706">
        <w:rPr>
          <w:rFonts w:ascii="Arial" w:hAnsi="Arial" w:cs="Arial"/>
          <w:lang w:val="en"/>
        </w:rPr>
        <w:t xml:space="preserve"> should be discontinued if hepatotoxicity is suspected (see </w:t>
      </w:r>
      <w:r w:rsidR="00314C77">
        <w:rPr>
          <w:rFonts w:ascii="Arial" w:hAnsi="Arial" w:cs="Arial"/>
          <w:lang w:val="en"/>
        </w:rPr>
        <w:t>Prolonged</w:t>
      </w:r>
      <w:r w:rsidR="00C001E0">
        <w:rPr>
          <w:rFonts w:ascii="Arial" w:hAnsi="Arial" w:cs="Arial"/>
          <w:lang w:val="en"/>
        </w:rPr>
        <w:t>-</w:t>
      </w:r>
      <w:r w:rsidR="00314C77">
        <w:rPr>
          <w:rFonts w:ascii="Arial" w:hAnsi="Arial" w:cs="Arial"/>
          <w:lang w:val="en"/>
        </w:rPr>
        <w:t>release</w:t>
      </w:r>
      <w:r w:rsidR="00314C77" w:rsidRPr="00BB0170">
        <w:rPr>
          <w:rFonts w:ascii="Arial" w:hAnsi="Arial" w:cs="Arial"/>
          <w:lang w:val="en"/>
        </w:rPr>
        <w:t xml:space="preserve"> </w:t>
      </w:r>
      <w:r w:rsidRPr="003E6706">
        <w:rPr>
          <w:rFonts w:ascii="Arial" w:hAnsi="Arial" w:cs="Arial"/>
          <w:lang w:val="en"/>
        </w:rPr>
        <w:t xml:space="preserve">properties of </w:t>
      </w:r>
      <w:r w:rsidR="00DC4D8B">
        <w:rPr>
          <w:rFonts w:ascii="Arial" w:hAnsi="Arial" w:cs="Arial"/>
          <w:lang w:val="en"/>
        </w:rPr>
        <w:t>CABENUVA</w:t>
      </w:r>
      <w:r w:rsidRPr="003E6706">
        <w:rPr>
          <w:rFonts w:ascii="Arial" w:hAnsi="Arial" w:cs="Arial"/>
          <w:lang w:val="en"/>
        </w:rPr>
        <w:t>).</w:t>
      </w:r>
    </w:p>
    <w:p w14:paraId="7B0FF83B" w14:textId="5D11F60E" w:rsidR="003E6706" w:rsidRPr="003E6706" w:rsidRDefault="00314C77" w:rsidP="005617F2">
      <w:pPr>
        <w:pStyle w:val="Heading3"/>
        <w:ind w:left="0"/>
        <w:rPr>
          <w:rFonts w:ascii="Arial" w:hAnsi="Arial" w:cs="Arial"/>
        </w:rPr>
      </w:pPr>
      <w:r>
        <w:rPr>
          <w:rFonts w:ascii="Arial" w:hAnsi="Arial" w:cs="Arial"/>
          <w:lang w:val="en"/>
        </w:rPr>
        <w:t>Prolonged</w:t>
      </w:r>
      <w:r w:rsidR="00C001E0">
        <w:rPr>
          <w:rFonts w:ascii="Arial" w:hAnsi="Arial" w:cs="Arial"/>
          <w:lang w:val="en"/>
        </w:rPr>
        <w:t>-</w:t>
      </w:r>
      <w:r>
        <w:rPr>
          <w:rFonts w:ascii="Arial" w:hAnsi="Arial" w:cs="Arial"/>
          <w:lang w:val="en"/>
        </w:rPr>
        <w:t>release</w:t>
      </w:r>
      <w:r w:rsidR="003E6706" w:rsidRPr="003E6706">
        <w:rPr>
          <w:rFonts w:ascii="Arial" w:hAnsi="Arial" w:cs="Arial"/>
        </w:rPr>
        <w:t xml:space="preserve"> properties of </w:t>
      </w:r>
      <w:r w:rsidR="00DC4D8B">
        <w:rPr>
          <w:rFonts w:ascii="Arial" w:hAnsi="Arial" w:cs="Arial"/>
        </w:rPr>
        <w:t>CABENUVA</w:t>
      </w:r>
    </w:p>
    <w:p w14:paraId="0ADF98DE" w14:textId="01EE3C24" w:rsidR="003E6706" w:rsidRPr="003E6706" w:rsidRDefault="003E6706" w:rsidP="00B93BAD">
      <w:pPr>
        <w:pStyle w:val="Heading3"/>
        <w:keepNext w:val="0"/>
        <w:keepLines w:val="0"/>
        <w:ind w:left="0"/>
        <w:rPr>
          <w:rFonts w:ascii="Arial" w:hAnsi="Arial" w:cs="Arial"/>
        </w:rPr>
      </w:pPr>
      <w:r w:rsidRPr="003E6706">
        <w:rPr>
          <w:rFonts w:ascii="Arial" w:hAnsi="Arial" w:cs="Arial"/>
          <w:lang w:val="en"/>
        </w:rPr>
        <w:t xml:space="preserve">Residual </w:t>
      </w:r>
      <w:r w:rsidR="004A53B8">
        <w:rPr>
          <w:rFonts w:ascii="Arial" w:hAnsi="Arial" w:cs="Arial"/>
          <w:lang w:val="en"/>
        </w:rPr>
        <w:t xml:space="preserve">subtherapeutic </w:t>
      </w:r>
      <w:r w:rsidRPr="003E6706">
        <w:rPr>
          <w:rFonts w:ascii="Arial" w:hAnsi="Arial" w:cs="Arial"/>
          <w:lang w:val="en"/>
        </w:rPr>
        <w:t xml:space="preserve">concentrations of cabotegravir </w:t>
      </w:r>
      <w:r w:rsidR="00CA4C7E">
        <w:rPr>
          <w:rFonts w:ascii="Arial" w:hAnsi="Arial" w:cs="Arial"/>
          <w:lang w:val="en"/>
        </w:rPr>
        <w:t xml:space="preserve">and rilpivirine </w:t>
      </w:r>
      <w:r w:rsidRPr="003E6706">
        <w:rPr>
          <w:rFonts w:ascii="Arial" w:hAnsi="Arial" w:cs="Arial"/>
          <w:lang w:val="en"/>
        </w:rPr>
        <w:t xml:space="preserve">may </w:t>
      </w:r>
      <w:r w:rsidR="004A53B8">
        <w:rPr>
          <w:rFonts w:ascii="Arial" w:hAnsi="Arial" w:cs="Arial"/>
          <w:lang w:val="en"/>
        </w:rPr>
        <w:t>persist</w:t>
      </w:r>
      <w:r w:rsidR="004A53B8" w:rsidRPr="003E6706">
        <w:rPr>
          <w:rFonts w:ascii="Arial" w:hAnsi="Arial" w:cs="Arial"/>
          <w:lang w:val="en"/>
        </w:rPr>
        <w:t xml:space="preserve"> </w:t>
      </w:r>
      <w:r w:rsidRPr="003E6706">
        <w:rPr>
          <w:rFonts w:ascii="Arial" w:hAnsi="Arial" w:cs="Arial"/>
          <w:lang w:val="en"/>
        </w:rPr>
        <w:t>in the systemic circulation of patients for prolonged periods (up to 12 months or longer)</w:t>
      </w:r>
      <w:r w:rsidR="004A53B8">
        <w:rPr>
          <w:rFonts w:ascii="Arial" w:hAnsi="Arial" w:cs="Arial"/>
          <w:lang w:val="en"/>
        </w:rPr>
        <w:t xml:space="preserve"> following discontinuation of CABENUVA treatment.</w:t>
      </w:r>
      <w:r w:rsidR="004A53B8" w:rsidRPr="003E6706" w:rsidDel="004A53B8">
        <w:rPr>
          <w:rFonts w:ascii="Arial" w:hAnsi="Arial" w:cs="Arial"/>
          <w:lang w:val="en"/>
        </w:rPr>
        <w:t xml:space="preserve"> </w:t>
      </w:r>
      <w:r w:rsidR="00C23B17">
        <w:rPr>
          <w:rFonts w:ascii="Arial" w:hAnsi="Arial" w:cs="Arial"/>
          <w:lang w:val="en"/>
        </w:rPr>
        <w:t xml:space="preserve">These pose no pharmacokinetic (PK) related limitations to alternative </w:t>
      </w:r>
      <w:r w:rsidR="00C23B17" w:rsidRPr="000D668F">
        <w:rPr>
          <w:rFonts w:ascii="Arial" w:hAnsi="Arial" w:cs="Arial"/>
          <w:lang w:val="en"/>
        </w:rPr>
        <w:t>antiretroviral treatment</w:t>
      </w:r>
      <w:r w:rsidR="00C23B17">
        <w:rPr>
          <w:rFonts w:ascii="Arial" w:hAnsi="Arial" w:cs="Arial"/>
          <w:lang w:val="en"/>
        </w:rPr>
        <w:t xml:space="preserve"> (ART) selection. </w:t>
      </w:r>
      <w:r w:rsidR="004A53B8">
        <w:rPr>
          <w:rFonts w:ascii="Arial" w:hAnsi="Arial" w:cs="Arial"/>
          <w:lang w:val="en"/>
        </w:rPr>
        <w:t>T</w:t>
      </w:r>
      <w:r w:rsidRPr="003E6706">
        <w:rPr>
          <w:rFonts w:ascii="Arial" w:hAnsi="Arial" w:cs="Arial"/>
          <w:lang w:val="en"/>
        </w:rPr>
        <w:t>he prolonged</w:t>
      </w:r>
      <w:r w:rsidR="00C001E0">
        <w:rPr>
          <w:rFonts w:ascii="Arial" w:hAnsi="Arial" w:cs="Arial"/>
          <w:lang w:val="en"/>
        </w:rPr>
        <w:t>-</w:t>
      </w:r>
      <w:r w:rsidRPr="003E6706">
        <w:rPr>
          <w:rFonts w:ascii="Arial" w:hAnsi="Arial" w:cs="Arial"/>
          <w:lang w:val="en"/>
        </w:rPr>
        <w:t xml:space="preserve">release characteristics of </w:t>
      </w:r>
      <w:r w:rsidR="00DC4D8B">
        <w:rPr>
          <w:rFonts w:ascii="Arial" w:hAnsi="Arial" w:cs="Arial"/>
          <w:lang w:val="en"/>
        </w:rPr>
        <w:t>CABENUVA</w:t>
      </w:r>
      <w:r w:rsidRPr="003E6706">
        <w:rPr>
          <w:rFonts w:ascii="Arial" w:hAnsi="Arial" w:cs="Arial"/>
          <w:lang w:val="en"/>
        </w:rPr>
        <w:t xml:space="preserve"> </w:t>
      </w:r>
      <w:r w:rsidR="004A53B8">
        <w:rPr>
          <w:rFonts w:ascii="Arial" w:hAnsi="Arial" w:cs="Arial"/>
          <w:lang w:val="en"/>
        </w:rPr>
        <w:t xml:space="preserve">should be taken </w:t>
      </w:r>
      <w:r w:rsidRPr="003E6706">
        <w:rPr>
          <w:rFonts w:ascii="Arial" w:hAnsi="Arial" w:cs="Arial"/>
          <w:lang w:val="en"/>
        </w:rPr>
        <w:t>into consideration when the medicinal product is discontinued (see sections 4.5</w:t>
      </w:r>
      <w:r>
        <w:rPr>
          <w:rFonts w:ascii="Arial" w:hAnsi="Arial" w:cs="Arial"/>
          <w:lang w:val="en"/>
        </w:rPr>
        <w:t xml:space="preserve"> INTERACTIONS WITH OTHER MEDICINES AND OTHER FORMS OF INTERACTIONS</w:t>
      </w:r>
      <w:r w:rsidRPr="003E6706">
        <w:rPr>
          <w:rFonts w:ascii="Arial" w:hAnsi="Arial" w:cs="Arial"/>
          <w:lang w:val="en"/>
        </w:rPr>
        <w:t xml:space="preserve">, </w:t>
      </w:r>
      <w:r w:rsidR="00C6780E">
        <w:rPr>
          <w:rFonts w:ascii="Arial" w:hAnsi="Arial" w:cs="Arial"/>
          <w:lang w:val="en"/>
        </w:rPr>
        <w:t xml:space="preserve">4.6 FERTILITY, PREGNANCY AND LACTATION, </w:t>
      </w:r>
      <w:r w:rsidRPr="003E6706">
        <w:rPr>
          <w:rFonts w:ascii="Arial" w:hAnsi="Arial" w:cs="Arial"/>
          <w:lang w:val="en"/>
        </w:rPr>
        <w:t>4.7</w:t>
      </w:r>
      <w:r>
        <w:rPr>
          <w:rFonts w:ascii="Arial" w:hAnsi="Arial" w:cs="Arial"/>
          <w:lang w:val="en"/>
        </w:rPr>
        <w:t xml:space="preserve"> EFFECTS ON ABILITY TO DRIVE AND USE MACHINES</w:t>
      </w:r>
      <w:r w:rsidRPr="003E6706">
        <w:rPr>
          <w:rFonts w:ascii="Arial" w:hAnsi="Arial" w:cs="Arial"/>
          <w:lang w:val="en"/>
        </w:rPr>
        <w:t xml:space="preserve"> and 4.9</w:t>
      </w:r>
      <w:r>
        <w:rPr>
          <w:rFonts w:ascii="Arial" w:hAnsi="Arial" w:cs="Arial"/>
          <w:lang w:val="en"/>
        </w:rPr>
        <w:t xml:space="preserve"> OVERDOSE</w:t>
      </w:r>
      <w:r w:rsidRPr="003E6706">
        <w:rPr>
          <w:rFonts w:ascii="Arial" w:hAnsi="Arial" w:cs="Arial"/>
          <w:lang w:val="en"/>
        </w:rPr>
        <w:t>).</w:t>
      </w:r>
      <w:r w:rsidRPr="003E6706">
        <w:rPr>
          <w:rFonts w:ascii="Arial" w:hAnsi="Arial" w:cs="Arial"/>
        </w:rPr>
        <w:t>Interactions with medicinal products</w:t>
      </w:r>
    </w:p>
    <w:p w14:paraId="3EF83838" w14:textId="3E7E436A" w:rsidR="003E6706" w:rsidRPr="003E6706" w:rsidRDefault="003E6706" w:rsidP="00E728C5">
      <w:pPr>
        <w:rPr>
          <w:rFonts w:ascii="Arial" w:hAnsi="Arial" w:cs="Arial"/>
          <w:lang w:val="en"/>
        </w:rPr>
      </w:pPr>
      <w:r w:rsidRPr="003E6706">
        <w:rPr>
          <w:rFonts w:ascii="Arial" w:hAnsi="Arial" w:cs="Arial"/>
          <w:lang w:val="en"/>
        </w:rPr>
        <w:t xml:space="preserve">Caution should be given to prescribing </w:t>
      </w:r>
      <w:r w:rsidR="00DC4D8B">
        <w:rPr>
          <w:rFonts w:ascii="Arial" w:hAnsi="Arial" w:cs="Arial"/>
          <w:lang w:val="en"/>
        </w:rPr>
        <w:t>CABENUVA</w:t>
      </w:r>
      <w:r w:rsidRPr="003E6706">
        <w:rPr>
          <w:rFonts w:ascii="Arial" w:hAnsi="Arial" w:cs="Arial"/>
          <w:lang w:val="en"/>
        </w:rPr>
        <w:t xml:space="preserve"> with </w:t>
      </w:r>
      <w:r w:rsidR="00FF0782">
        <w:rPr>
          <w:rFonts w:ascii="Arial" w:hAnsi="Arial" w:cs="Arial"/>
          <w:lang w:val="en"/>
        </w:rPr>
        <w:t xml:space="preserve">other </w:t>
      </w:r>
      <w:r w:rsidRPr="003E6706">
        <w:rPr>
          <w:rFonts w:ascii="Arial" w:hAnsi="Arial" w:cs="Arial"/>
          <w:lang w:val="en"/>
        </w:rPr>
        <w:t xml:space="preserve">medicinal products that may </w:t>
      </w:r>
      <w:r w:rsidR="00C53615">
        <w:rPr>
          <w:rFonts w:ascii="Arial" w:hAnsi="Arial" w:cs="Arial"/>
          <w:lang w:val="en"/>
        </w:rPr>
        <w:t>result in</w:t>
      </w:r>
      <w:r w:rsidR="00FF0782">
        <w:rPr>
          <w:rFonts w:ascii="Arial" w:hAnsi="Arial" w:cs="Arial"/>
          <w:lang w:val="en"/>
        </w:rPr>
        <w:t xml:space="preserve"> known or potentially significant drug interactions</w:t>
      </w:r>
      <w:r w:rsidRPr="003E6706">
        <w:rPr>
          <w:rFonts w:ascii="Arial" w:hAnsi="Arial" w:cs="Arial"/>
          <w:lang w:val="en"/>
        </w:rPr>
        <w:t xml:space="preserve"> (see Section 4.5</w:t>
      </w:r>
      <w:r>
        <w:rPr>
          <w:rFonts w:ascii="Arial" w:hAnsi="Arial" w:cs="Arial"/>
          <w:lang w:val="en"/>
        </w:rPr>
        <w:t xml:space="preserve"> INTERACTIONS WITH OTHER MEDICINES AND OTHER FORMS OF INTERACTIONS</w:t>
      </w:r>
      <w:r w:rsidRPr="003E6706">
        <w:rPr>
          <w:rFonts w:ascii="Arial" w:hAnsi="Arial" w:cs="Arial"/>
          <w:lang w:val="en"/>
        </w:rPr>
        <w:t>).</w:t>
      </w:r>
    </w:p>
    <w:p w14:paraId="53917F54" w14:textId="77777777" w:rsidR="003E6706" w:rsidRPr="003E6706" w:rsidRDefault="003E6706" w:rsidP="005617F2">
      <w:pPr>
        <w:pStyle w:val="Heading3"/>
        <w:ind w:left="0"/>
        <w:rPr>
          <w:rFonts w:ascii="Arial" w:hAnsi="Arial" w:cs="Arial"/>
        </w:rPr>
      </w:pPr>
      <w:r w:rsidRPr="003E6706">
        <w:rPr>
          <w:rFonts w:ascii="Arial" w:hAnsi="Arial" w:cs="Arial"/>
        </w:rPr>
        <w:t>Opportunistic infections</w:t>
      </w:r>
    </w:p>
    <w:p w14:paraId="0FCEA232" w14:textId="3160FC1B" w:rsidR="003E6706" w:rsidRDefault="003E6706" w:rsidP="00E728C5">
      <w:pPr>
        <w:rPr>
          <w:rFonts w:ascii="Arial" w:hAnsi="Arial" w:cs="Arial"/>
          <w:lang w:val="en"/>
        </w:rPr>
      </w:pPr>
      <w:r w:rsidRPr="003E6706">
        <w:rPr>
          <w:rFonts w:ascii="Arial" w:hAnsi="Arial" w:cs="Arial"/>
          <w:lang w:val="en"/>
        </w:rPr>
        <w:t xml:space="preserve">Patients </w:t>
      </w:r>
      <w:r w:rsidR="00275717">
        <w:rPr>
          <w:rFonts w:ascii="Arial" w:hAnsi="Arial" w:cs="Arial"/>
          <w:lang w:val="en"/>
        </w:rPr>
        <w:t>receiving</w:t>
      </w:r>
      <w:r w:rsidR="00275717" w:rsidRPr="003E6706">
        <w:rPr>
          <w:rFonts w:ascii="Arial" w:hAnsi="Arial" w:cs="Arial"/>
          <w:lang w:val="en"/>
        </w:rPr>
        <w:t xml:space="preserve"> </w:t>
      </w:r>
      <w:r w:rsidR="00DC4D8B">
        <w:rPr>
          <w:rFonts w:ascii="Arial" w:hAnsi="Arial" w:cs="Arial"/>
          <w:lang w:val="en"/>
        </w:rPr>
        <w:t>CABENUVA</w:t>
      </w:r>
      <w:r w:rsidR="00275717" w:rsidRPr="003E6706">
        <w:rPr>
          <w:rFonts w:ascii="Arial" w:hAnsi="Arial" w:cs="Arial"/>
          <w:lang w:val="en"/>
        </w:rPr>
        <w:t xml:space="preserve"> </w:t>
      </w:r>
      <w:r w:rsidRPr="003E6706">
        <w:rPr>
          <w:rFonts w:ascii="Arial" w:hAnsi="Arial" w:cs="Arial"/>
          <w:lang w:val="en"/>
        </w:rPr>
        <w:t>or any other antiretroviral therapy may still develop opportunistic infections and other complications of HIV infection. Therefore, patients should remain under close clinical observation by physicians experienced in the treatment of these associated HIV diseases.</w:t>
      </w:r>
    </w:p>
    <w:p w14:paraId="05310221" w14:textId="77777777" w:rsidR="00275717" w:rsidRPr="00275717" w:rsidRDefault="00275717" w:rsidP="005617F2">
      <w:pPr>
        <w:pStyle w:val="Heading3"/>
        <w:ind w:left="0"/>
        <w:rPr>
          <w:rFonts w:ascii="Arial" w:hAnsi="Arial" w:cs="Arial"/>
        </w:rPr>
      </w:pPr>
      <w:r w:rsidRPr="00275717">
        <w:rPr>
          <w:rFonts w:ascii="Arial" w:hAnsi="Arial" w:cs="Arial"/>
        </w:rPr>
        <w:lastRenderedPageBreak/>
        <w:t>Transmission of Infection</w:t>
      </w:r>
    </w:p>
    <w:p w14:paraId="442B54AD" w14:textId="77777777" w:rsidR="00275717" w:rsidRPr="003E6706" w:rsidRDefault="00275717" w:rsidP="00E728C5">
      <w:pPr>
        <w:rPr>
          <w:rFonts w:ascii="Arial" w:hAnsi="Arial" w:cs="Arial"/>
          <w:lang w:val="en"/>
        </w:rPr>
      </w:pPr>
      <w:r w:rsidRPr="00275717">
        <w:rPr>
          <w:rFonts w:ascii="Arial" w:hAnsi="Arial" w:cs="Arial"/>
          <w:lang w:val="en"/>
        </w:rPr>
        <w:t>While effective viral suppression with antiretroviral therapy has been proven to substantially reduce the risk of sexual transmission, a residual risk cannot be excluded. Precautions to prevent transmission should be taken in accordance with national guidelines.</w:t>
      </w:r>
    </w:p>
    <w:p w14:paraId="75C2F3B9" w14:textId="77777777" w:rsidR="001A3992" w:rsidRPr="00275717" w:rsidRDefault="001A3992" w:rsidP="005617F2">
      <w:pPr>
        <w:pStyle w:val="Heading3"/>
        <w:ind w:left="0"/>
        <w:rPr>
          <w:rFonts w:ascii="Arial" w:hAnsi="Arial" w:cs="Arial"/>
        </w:rPr>
      </w:pPr>
      <w:r w:rsidRPr="00275717">
        <w:rPr>
          <w:rFonts w:ascii="Arial" w:hAnsi="Arial" w:cs="Arial"/>
        </w:rPr>
        <w:t xml:space="preserve">Use in hepatic impairment </w:t>
      </w:r>
    </w:p>
    <w:p w14:paraId="530CFAB7" w14:textId="77777777" w:rsidR="00275717" w:rsidRPr="00E728C5" w:rsidRDefault="00275717" w:rsidP="00275717">
      <w:pPr>
        <w:rPr>
          <w:rFonts w:ascii="Arial" w:hAnsi="Arial" w:cs="Arial"/>
          <w:lang w:val="en"/>
        </w:rPr>
      </w:pPr>
      <w:r w:rsidRPr="00E728C5">
        <w:rPr>
          <w:rFonts w:ascii="Arial" w:hAnsi="Arial" w:cs="Arial"/>
          <w:lang w:val="en"/>
        </w:rPr>
        <w:t>See Section 4.2 DOSE AND METHOD OF ADMINISTRATION and Section 5.2 PHARMACOKINETIC PROPERTIES, Special patient populations.</w:t>
      </w:r>
    </w:p>
    <w:p w14:paraId="33FB17B9" w14:textId="77777777" w:rsidR="001A3992" w:rsidRPr="00275717" w:rsidRDefault="001A3992" w:rsidP="005617F2">
      <w:pPr>
        <w:pStyle w:val="Heading3"/>
        <w:ind w:left="0"/>
        <w:rPr>
          <w:rFonts w:ascii="Arial" w:hAnsi="Arial" w:cs="Arial"/>
        </w:rPr>
      </w:pPr>
      <w:r w:rsidRPr="00275717">
        <w:rPr>
          <w:rFonts w:ascii="Arial" w:hAnsi="Arial" w:cs="Arial"/>
        </w:rPr>
        <w:t xml:space="preserve">Use in renal impairment </w:t>
      </w:r>
    </w:p>
    <w:p w14:paraId="42C9D47F" w14:textId="77777777" w:rsidR="00275717" w:rsidRPr="00E728C5" w:rsidRDefault="00275717" w:rsidP="00275717">
      <w:pPr>
        <w:rPr>
          <w:rFonts w:ascii="Arial" w:hAnsi="Arial" w:cs="Arial"/>
          <w:lang w:val="en"/>
        </w:rPr>
      </w:pPr>
      <w:r w:rsidRPr="00E728C5">
        <w:rPr>
          <w:rFonts w:ascii="Arial" w:hAnsi="Arial" w:cs="Arial"/>
          <w:lang w:val="en"/>
        </w:rPr>
        <w:t>See Section 4.2 DOSE AND METHOD OF ADMINISTRATION and Section 5.2 PHARMACOKINETIC PROPERTIES, Special patient populations.</w:t>
      </w:r>
    </w:p>
    <w:p w14:paraId="53E9E021" w14:textId="77777777" w:rsidR="001A3992" w:rsidRPr="00275717" w:rsidRDefault="001A3992" w:rsidP="005617F2">
      <w:pPr>
        <w:pStyle w:val="Heading3"/>
        <w:ind w:left="0"/>
        <w:rPr>
          <w:rFonts w:ascii="Arial" w:hAnsi="Arial" w:cs="Arial"/>
        </w:rPr>
      </w:pPr>
      <w:r w:rsidRPr="00275717">
        <w:rPr>
          <w:rFonts w:ascii="Arial" w:hAnsi="Arial" w:cs="Arial"/>
        </w:rPr>
        <w:t>Use in the elderly</w:t>
      </w:r>
    </w:p>
    <w:p w14:paraId="4E484394" w14:textId="77777777" w:rsidR="00275717" w:rsidRPr="00E728C5" w:rsidRDefault="00275717" w:rsidP="00275717">
      <w:pPr>
        <w:rPr>
          <w:rFonts w:ascii="Arial" w:hAnsi="Arial" w:cs="Arial"/>
          <w:lang w:val="en"/>
        </w:rPr>
      </w:pPr>
      <w:r w:rsidRPr="00E728C5">
        <w:rPr>
          <w:rFonts w:ascii="Arial" w:hAnsi="Arial" w:cs="Arial"/>
          <w:lang w:val="en"/>
        </w:rPr>
        <w:t>See Section 4.2 DOSE AND METHOD OF ADMINISTRATION and Section 5.2 PHARMACOKINETIC PROPERTIES, Special patient populations.</w:t>
      </w:r>
    </w:p>
    <w:p w14:paraId="45556CB1" w14:textId="77777777" w:rsidR="001A3992" w:rsidRPr="00275717" w:rsidRDefault="001A3992" w:rsidP="005617F2">
      <w:pPr>
        <w:pStyle w:val="Heading3"/>
        <w:ind w:left="0"/>
        <w:rPr>
          <w:rFonts w:ascii="Arial" w:hAnsi="Arial" w:cs="Arial"/>
        </w:rPr>
      </w:pPr>
      <w:r w:rsidRPr="00275717">
        <w:rPr>
          <w:rFonts w:ascii="Arial" w:hAnsi="Arial" w:cs="Arial"/>
        </w:rPr>
        <w:t>Paediatric use</w:t>
      </w:r>
    </w:p>
    <w:p w14:paraId="793799AA" w14:textId="6DD8BB95" w:rsidR="00275717" w:rsidRPr="00335E5C" w:rsidRDefault="00275717" w:rsidP="00275717">
      <w:pPr>
        <w:rPr>
          <w:rFonts w:ascii="Arial" w:hAnsi="Arial" w:cs="Arial"/>
          <w:lang w:val="en"/>
        </w:rPr>
      </w:pPr>
      <w:r w:rsidRPr="00335E5C">
        <w:rPr>
          <w:rFonts w:ascii="Arial" w:hAnsi="Arial" w:cs="Arial"/>
          <w:lang w:val="en"/>
        </w:rPr>
        <w:t xml:space="preserve">The safety and efficacy of </w:t>
      </w:r>
      <w:r w:rsidR="00DC4D8B">
        <w:rPr>
          <w:rFonts w:ascii="Arial" w:hAnsi="Arial" w:cs="Arial"/>
          <w:lang w:val="en"/>
        </w:rPr>
        <w:t>CABENUVA</w:t>
      </w:r>
      <w:r w:rsidRPr="00335E5C">
        <w:rPr>
          <w:rFonts w:ascii="Arial" w:hAnsi="Arial" w:cs="Arial"/>
          <w:lang w:val="en"/>
        </w:rPr>
        <w:t xml:space="preserve"> in children and adolescents aged under 18 years has not been established. No data is available.</w:t>
      </w:r>
    </w:p>
    <w:p w14:paraId="650F0704" w14:textId="77777777" w:rsidR="001A3992" w:rsidRPr="00275717" w:rsidRDefault="001A3992" w:rsidP="005617F2">
      <w:pPr>
        <w:pStyle w:val="Heading3"/>
        <w:ind w:left="0"/>
        <w:rPr>
          <w:rFonts w:ascii="Arial" w:hAnsi="Arial" w:cs="Arial"/>
        </w:rPr>
      </w:pPr>
      <w:r w:rsidRPr="00275717">
        <w:rPr>
          <w:rFonts w:ascii="Arial" w:hAnsi="Arial" w:cs="Arial"/>
        </w:rPr>
        <w:t>Effects on laboratory tests</w:t>
      </w:r>
    </w:p>
    <w:p w14:paraId="0C8D12D3" w14:textId="7E13891C" w:rsidR="00E728C5" w:rsidRPr="00E728C5" w:rsidRDefault="00E728C5" w:rsidP="000D668F">
      <w:pPr>
        <w:rPr>
          <w:rFonts w:ascii="Arial" w:hAnsi="Arial" w:cs="Arial"/>
          <w:lang w:val="en"/>
        </w:rPr>
      </w:pPr>
      <w:r w:rsidRPr="00E728C5">
        <w:rPr>
          <w:rFonts w:ascii="Arial" w:hAnsi="Arial" w:cs="Arial"/>
          <w:lang w:val="en"/>
        </w:rPr>
        <w:t xml:space="preserve">Small, non-progressive increases in total bilirubin (without clinical jaundice) were observed with treatment with </w:t>
      </w:r>
      <w:r w:rsidR="00DC4D8B">
        <w:rPr>
          <w:rFonts w:ascii="Arial" w:hAnsi="Arial" w:cs="Arial"/>
          <w:lang w:val="en"/>
        </w:rPr>
        <w:t>CABENUVA</w:t>
      </w:r>
      <w:r w:rsidRPr="00E728C5">
        <w:rPr>
          <w:rFonts w:ascii="Arial" w:hAnsi="Arial" w:cs="Arial"/>
          <w:lang w:val="en"/>
        </w:rPr>
        <w:t>. These changes are not considered clinically relevant as they likely reflect competition between cabotegravir and unconjugated bilirubin for a common clearance pathway (UGT1A1).</w:t>
      </w:r>
    </w:p>
    <w:p w14:paraId="1B17F17C" w14:textId="6900F02D" w:rsidR="00E728C5" w:rsidRPr="00E728C5" w:rsidRDefault="00E728C5" w:rsidP="00763708">
      <w:pPr>
        <w:spacing w:before="120"/>
        <w:outlineLvl w:val="0"/>
        <w:rPr>
          <w:rFonts w:ascii="Arial" w:hAnsi="Arial" w:cs="Arial"/>
          <w:lang w:val="en"/>
        </w:rPr>
      </w:pPr>
      <w:r w:rsidRPr="00E728C5">
        <w:rPr>
          <w:rFonts w:ascii="Arial" w:hAnsi="Arial" w:cs="Arial"/>
          <w:lang w:val="en"/>
        </w:rPr>
        <w:t>Elevated transaminases (ALT</w:t>
      </w:r>
      <w:r w:rsidR="0039498D">
        <w:rPr>
          <w:rFonts w:ascii="Arial" w:hAnsi="Arial" w:cs="Arial"/>
          <w:lang w:val="en"/>
        </w:rPr>
        <w:t>/AST</w:t>
      </w:r>
      <w:r w:rsidRPr="00E728C5">
        <w:rPr>
          <w:rFonts w:ascii="Arial" w:hAnsi="Arial" w:cs="Arial"/>
          <w:lang w:val="en"/>
        </w:rPr>
        <w:t xml:space="preserve">) were observed in subjects receiving </w:t>
      </w:r>
      <w:r w:rsidR="00DC4D8B">
        <w:rPr>
          <w:rFonts w:ascii="Arial" w:hAnsi="Arial" w:cs="Arial"/>
          <w:lang w:val="en"/>
        </w:rPr>
        <w:t>CABENUVA</w:t>
      </w:r>
      <w:r w:rsidR="00B9290E" w:rsidRPr="00E728C5">
        <w:rPr>
          <w:rFonts w:ascii="Arial" w:hAnsi="Arial" w:cs="Arial"/>
          <w:lang w:val="en"/>
        </w:rPr>
        <w:t xml:space="preserve"> </w:t>
      </w:r>
      <w:r w:rsidRPr="00E728C5">
        <w:rPr>
          <w:rFonts w:ascii="Arial" w:hAnsi="Arial" w:cs="Arial"/>
          <w:lang w:val="en"/>
        </w:rPr>
        <w:t xml:space="preserve">during the </w:t>
      </w:r>
      <w:r w:rsidR="0039498D">
        <w:rPr>
          <w:rFonts w:ascii="Arial" w:hAnsi="Arial" w:cs="Arial"/>
          <w:lang w:val="en"/>
        </w:rPr>
        <w:t>clinical</w:t>
      </w:r>
      <w:r w:rsidRPr="00E728C5">
        <w:rPr>
          <w:rFonts w:ascii="Arial" w:hAnsi="Arial" w:cs="Arial"/>
          <w:lang w:val="en"/>
        </w:rPr>
        <w:t xml:space="preserve"> </w:t>
      </w:r>
      <w:r w:rsidR="00EC1C0B">
        <w:rPr>
          <w:rFonts w:ascii="Arial" w:hAnsi="Arial" w:cs="Arial"/>
          <w:lang w:val="en"/>
        </w:rPr>
        <w:t>studies</w:t>
      </w:r>
      <w:r w:rsidR="0039498D">
        <w:rPr>
          <w:rFonts w:ascii="Arial" w:hAnsi="Arial" w:cs="Arial"/>
          <w:lang w:val="en"/>
        </w:rPr>
        <w:t>. T</w:t>
      </w:r>
      <w:r w:rsidRPr="00E728C5">
        <w:rPr>
          <w:rFonts w:ascii="Arial" w:hAnsi="Arial" w:cs="Arial"/>
          <w:lang w:val="en"/>
        </w:rPr>
        <w:t xml:space="preserve">hese elevations </w:t>
      </w:r>
      <w:r w:rsidR="0039498D" w:rsidRPr="00763708">
        <w:rPr>
          <w:rFonts w:ascii="Arial" w:hAnsi="Arial" w:cs="Arial"/>
          <w:lang w:val="en"/>
        </w:rPr>
        <w:t xml:space="preserve">were primarily attributed to </w:t>
      </w:r>
      <w:r w:rsidRPr="00E728C5">
        <w:rPr>
          <w:rFonts w:ascii="Arial" w:hAnsi="Arial" w:cs="Arial"/>
          <w:lang w:val="en"/>
        </w:rPr>
        <w:t xml:space="preserve"> acute viral hepatitis.</w:t>
      </w:r>
      <w:r w:rsidR="0039498D">
        <w:rPr>
          <w:rFonts w:ascii="Arial" w:hAnsi="Arial" w:cs="Arial"/>
          <w:lang w:val="en"/>
        </w:rPr>
        <w:t xml:space="preserve"> </w:t>
      </w:r>
      <w:r w:rsidR="0039498D" w:rsidRPr="00763708">
        <w:rPr>
          <w:rFonts w:ascii="Arial" w:hAnsi="Arial" w:cs="Arial"/>
          <w:lang w:val="en"/>
        </w:rPr>
        <w:t>A few subjects had transaminase elevations attributed to suspected drug-related hepatotoxicity.</w:t>
      </w:r>
    </w:p>
    <w:p w14:paraId="0097EACE" w14:textId="77777777" w:rsidR="00071855" w:rsidRPr="00E728C5" w:rsidRDefault="00E728C5" w:rsidP="000D668F">
      <w:pPr>
        <w:rPr>
          <w:rFonts w:ascii="Arial" w:hAnsi="Arial" w:cs="Arial"/>
          <w:lang w:val="en"/>
        </w:rPr>
      </w:pPr>
      <w:r w:rsidRPr="00E728C5">
        <w:rPr>
          <w:rFonts w:ascii="Arial" w:hAnsi="Arial" w:cs="Arial"/>
          <w:lang w:val="en"/>
        </w:rPr>
        <w:t>Asymptomatic creatine phosphokinase</w:t>
      </w:r>
      <w:r w:rsidR="00B9290E">
        <w:rPr>
          <w:rFonts w:ascii="Arial" w:hAnsi="Arial" w:cs="Arial"/>
          <w:lang w:val="en"/>
        </w:rPr>
        <w:t xml:space="preserve"> (CPK)</w:t>
      </w:r>
      <w:r w:rsidRPr="00E728C5">
        <w:rPr>
          <w:rFonts w:ascii="Arial" w:hAnsi="Arial" w:cs="Arial"/>
          <w:lang w:val="en"/>
        </w:rPr>
        <w:t xml:space="preserve"> elevations</w:t>
      </w:r>
      <w:r w:rsidR="00B9290E">
        <w:rPr>
          <w:rFonts w:ascii="Arial" w:hAnsi="Arial" w:cs="Arial"/>
          <w:lang w:val="en"/>
        </w:rPr>
        <w:t xml:space="preserve"> </w:t>
      </w:r>
      <w:r w:rsidRPr="00E728C5">
        <w:rPr>
          <w:rFonts w:ascii="Arial" w:hAnsi="Arial" w:cs="Arial"/>
          <w:lang w:val="en"/>
        </w:rPr>
        <w:t>mainly in association with exercise, have also been reported with cabotegravir plus rilpivirine treatment.</w:t>
      </w:r>
    </w:p>
    <w:p w14:paraId="5F17A29F" w14:textId="222E9615" w:rsidR="001A3992" w:rsidRDefault="00071855" w:rsidP="008B27B3">
      <w:pPr>
        <w:pStyle w:val="Heading2"/>
        <w:keepNext/>
        <w:numPr>
          <w:ilvl w:val="1"/>
          <w:numId w:val="35"/>
        </w:numPr>
        <w:spacing w:before="0" w:after="120"/>
        <w:rPr>
          <w:rFonts w:ascii="Arial" w:hAnsi="Arial" w:cs="Arial"/>
          <w:smallCaps w:val="0"/>
        </w:rPr>
      </w:pPr>
      <w:r w:rsidRPr="00071855">
        <w:rPr>
          <w:rFonts w:ascii="Arial" w:hAnsi="Arial" w:cs="Arial"/>
          <w:smallCaps w:val="0"/>
        </w:rPr>
        <w:t>INTERACTIONS WITH OTHER MEDICINES AND OTHER FORMS OF INTERACTIONS</w:t>
      </w:r>
    </w:p>
    <w:p w14:paraId="6E52791D" w14:textId="115FB636" w:rsidR="00094A0A" w:rsidRPr="00094A0A" w:rsidRDefault="00094A0A" w:rsidP="00B93BAD">
      <w:pPr>
        <w:rPr>
          <w:rFonts w:ascii="Arial" w:hAnsi="Arial" w:cs="Arial"/>
          <w:lang w:val="en"/>
        </w:rPr>
      </w:pPr>
      <w:r w:rsidRPr="00094A0A">
        <w:rPr>
          <w:rFonts w:ascii="Arial" w:hAnsi="Arial" w:cs="Arial"/>
          <w:lang w:val="en"/>
        </w:rPr>
        <w:t xml:space="preserve">Because CABENUVA is a complete regimen, coadministration with other antiretroviral medications for the treatment of HIV-1 infection is not recommended </w:t>
      </w:r>
      <w:r>
        <w:rPr>
          <w:rFonts w:ascii="Arial" w:hAnsi="Arial" w:cs="Arial"/>
          <w:lang w:val="en"/>
        </w:rPr>
        <w:t>(</w:t>
      </w:r>
      <w:r w:rsidRPr="00094A0A">
        <w:rPr>
          <w:rFonts w:ascii="Arial" w:hAnsi="Arial" w:cs="Arial"/>
          <w:lang w:val="en"/>
        </w:rPr>
        <w:t xml:space="preserve">see </w:t>
      </w:r>
      <w:r>
        <w:rPr>
          <w:rFonts w:ascii="Arial" w:hAnsi="Arial" w:cs="Arial"/>
          <w:lang w:val="en"/>
        </w:rPr>
        <w:t xml:space="preserve">Section 4.1 </w:t>
      </w:r>
      <w:r w:rsidRPr="00094A0A">
        <w:rPr>
          <w:rFonts w:ascii="Arial" w:hAnsi="Arial" w:cs="Arial"/>
          <w:lang w:val="en"/>
        </w:rPr>
        <w:t>INDICATIONS</w:t>
      </w:r>
      <w:r>
        <w:rPr>
          <w:rFonts w:ascii="Arial" w:hAnsi="Arial" w:cs="Arial"/>
          <w:lang w:val="en"/>
        </w:rPr>
        <w:t>)</w:t>
      </w:r>
      <w:r w:rsidRPr="00094A0A">
        <w:rPr>
          <w:rFonts w:ascii="Arial" w:hAnsi="Arial" w:cs="Arial"/>
          <w:lang w:val="en"/>
        </w:rPr>
        <w:t xml:space="preserve">. </w:t>
      </w:r>
      <w:bookmarkStart w:id="11" w:name="_Hlk5261434"/>
      <w:r w:rsidRPr="00094A0A">
        <w:rPr>
          <w:rFonts w:ascii="Arial" w:hAnsi="Arial" w:cs="Arial"/>
          <w:lang w:val="en"/>
        </w:rPr>
        <w:t xml:space="preserve">There are no limitations on the use of other antiretroviral medications after discontinuing </w:t>
      </w:r>
      <w:bookmarkEnd w:id="11"/>
      <w:r w:rsidRPr="00094A0A">
        <w:rPr>
          <w:rFonts w:ascii="Arial" w:hAnsi="Arial" w:cs="Arial"/>
          <w:lang w:val="en"/>
        </w:rPr>
        <w:t>CABENU</w:t>
      </w:r>
      <w:r>
        <w:rPr>
          <w:rFonts w:ascii="Arial" w:hAnsi="Arial" w:cs="Arial"/>
          <w:lang w:val="en"/>
        </w:rPr>
        <w:t>VA</w:t>
      </w:r>
      <w:r w:rsidRPr="00094A0A">
        <w:rPr>
          <w:rFonts w:ascii="Arial" w:hAnsi="Arial" w:cs="Arial"/>
          <w:lang w:val="en"/>
        </w:rPr>
        <w:t xml:space="preserve">. </w:t>
      </w:r>
    </w:p>
    <w:p w14:paraId="66101C44" w14:textId="34F5290E" w:rsidR="00B9290E" w:rsidRPr="00A51746" w:rsidRDefault="00B9290E" w:rsidP="005617F2">
      <w:pPr>
        <w:pStyle w:val="Heading3"/>
        <w:ind w:left="0"/>
        <w:rPr>
          <w:rFonts w:ascii="Arial" w:hAnsi="Arial" w:cs="Arial"/>
        </w:rPr>
      </w:pPr>
      <w:r w:rsidRPr="00A51746">
        <w:rPr>
          <w:rFonts w:ascii="Arial" w:hAnsi="Arial" w:cs="Arial"/>
        </w:rPr>
        <w:t>Effect of other medicinal products on the pharmacokinetics of cabotegravir</w:t>
      </w:r>
      <w:r w:rsidR="00FF0782">
        <w:rPr>
          <w:rFonts w:ascii="Arial" w:hAnsi="Arial" w:cs="Arial"/>
        </w:rPr>
        <w:t xml:space="preserve"> and rilpivirine</w:t>
      </w:r>
    </w:p>
    <w:p w14:paraId="6AD7AF2C" w14:textId="77777777" w:rsidR="00933629" w:rsidRPr="00933629" w:rsidRDefault="00933629" w:rsidP="00933629">
      <w:pPr>
        <w:spacing w:after="0"/>
        <w:rPr>
          <w:rFonts w:ascii="Arial" w:hAnsi="Arial" w:cs="Arial"/>
          <w:u w:val="single"/>
          <w:lang w:val="en"/>
        </w:rPr>
      </w:pPr>
      <w:r w:rsidRPr="00933629">
        <w:rPr>
          <w:rFonts w:ascii="Arial" w:hAnsi="Arial" w:cs="Arial"/>
          <w:u w:val="single"/>
          <w:lang w:val="en"/>
        </w:rPr>
        <w:t xml:space="preserve">Cabotegravir </w:t>
      </w:r>
    </w:p>
    <w:p w14:paraId="1319441B" w14:textId="7489F061" w:rsidR="00A51746" w:rsidRDefault="00B9290E" w:rsidP="00A51746">
      <w:pPr>
        <w:rPr>
          <w:rFonts w:ascii="Arial" w:hAnsi="Arial" w:cs="Arial"/>
          <w:lang w:val="en"/>
        </w:rPr>
      </w:pPr>
      <w:proofErr w:type="spellStart"/>
      <w:r w:rsidRPr="00A51746">
        <w:rPr>
          <w:rFonts w:ascii="Arial" w:hAnsi="Arial" w:cs="Arial"/>
          <w:lang w:val="en"/>
        </w:rPr>
        <w:t>Cabotegravir</w:t>
      </w:r>
      <w:proofErr w:type="spellEnd"/>
      <w:r w:rsidRPr="00A51746">
        <w:rPr>
          <w:rFonts w:ascii="Arial" w:hAnsi="Arial" w:cs="Arial"/>
          <w:lang w:val="en"/>
        </w:rPr>
        <w:t xml:space="preserve"> is primarily </w:t>
      </w:r>
      <w:proofErr w:type="spellStart"/>
      <w:r w:rsidRPr="00A51746">
        <w:rPr>
          <w:rFonts w:ascii="Arial" w:hAnsi="Arial" w:cs="Arial"/>
          <w:lang w:val="en"/>
        </w:rPr>
        <w:t>metabolised</w:t>
      </w:r>
      <w:proofErr w:type="spellEnd"/>
      <w:r w:rsidRPr="00A51746">
        <w:rPr>
          <w:rFonts w:ascii="Arial" w:hAnsi="Arial" w:cs="Arial"/>
          <w:lang w:val="en"/>
        </w:rPr>
        <w:t xml:space="preserve"> by uridine diphosphate </w:t>
      </w:r>
      <w:proofErr w:type="spellStart"/>
      <w:r w:rsidRPr="00A51746">
        <w:rPr>
          <w:rFonts w:ascii="Arial" w:hAnsi="Arial" w:cs="Arial"/>
          <w:lang w:val="en"/>
        </w:rPr>
        <w:t>glucuronosyl</w:t>
      </w:r>
      <w:proofErr w:type="spellEnd"/>
      <w:r w:rsidRPr="00A51746">
        <w:rPr>
          <w:rFonts w:ascii="Arial" w:hAnsi="Arial" w:cs="Arial"/>
          <w:lang w:val="en"/>
        </w:rPr>
        <w:t xml:space="preserve"> transferase (UGT) 1A1 with some contribution from UGT1A9. Medicinal products which are strong inducers of </w:t>
      </w:r>
      <w:r w:rsidRPr="00A51746">
        <w:rPr>
          <w:rFonts w:ascii="Arial" w:hAnsi="Arial" w:cs="Arial"/>
          <w:lang w:val="en"/>
        </w:rPr>
        <w:lastRenderedPageBreak/>
        <w:t>UGT1A1 or UGT1A9 are expected to decrease cabotegravir plasma concentrations leading to lack of efficacy (see section 4.3</w:t>
      </w:r>
      <w:r w:rsidR="00A51746">
        <w:rPr>
          <w:rFonts w:ascii="Arial" w:hAnsi="Arial" w:cs="Arial"/>
          <w:lang w:val="en"/>
        </w:rPr>
        <w:t xml:space="preserve"> CONTRAINDICATIONS</w:t>
      </w:r>
      <w:r w:rsidRPr="00A51746">
        <w:rPr>
          <w:rFonts w:ascii="Arial" w:hAnsi="Arial" w:cs="Arial"/>
          <w:lang w:val="en"/>
        </w:rPr>
        <w:t xml:space="preserve">). </w:t>
      </w:r>
    </w:p>
    <w:p w14:paraId="4B568CC2" w14:textId="3CF98123" w:rsidR="00B9290E" w:rsidRPr="00A51746" w:rsidRDefault="00B9290E" w:rsidP="00A51746">
      <w:pPr>
        <w:rPr>
          <w:rFonts w:ascii="Arial" w:hAnsi="Arial" w:cs="Arial"/>
          <w:lang w:val="en"/>
        </w:rPr>
      </w:pPr>
      <w:r w:rsidRPr="00A51746">
        <w:rPr>
          <w:rFonts w:ascii="Arial" w:hAnsi="Arial" w:cs="Arial"/>
          <w:lang w:val="en"/>
        </w:rPr>
        <w:t xml:space="preserve">Simulations using physiologically based pharmacokinetic (PBPK) </w:t>
      </w:r>
      <w:r w:rsidR="00C001E0">
        <w:rPr>
          <w:rFonts w:ascii="Arial" w:hAnsi="Arial" w:cs="Arial"/>
          <w:lang w:val="en"/>
        </w:rPr>
        <w:t xml:space="preserve">modelling </w:t>
      </w:r>
      <w:r w:rsidRPr="00A51746">
        <w:rPr>
          <w:rFonts w:ascii="Arial" w:hAnsi="Arial" w:cs="Arial"/>
          <w:lang w:val="en"/>
        </w:rPr>
        <w:t>show that no clinically significant interaction is expected following co-administration of cabotegravir with medicines that inhibit UGT enzymes.</w:t>
      </w:r>
    </w:p>
    <w:p w14:paraId="5262DD38" w14:textId="453D43BA" w:rsidR="00B9290E" w:rsidRPr="00A51746" w:rsidRDefault="00B9290E" w:rsidP="00A51746">
      <w:pPr>
        <w:rPr>
          <w:rFonts w:ascii="Arial" w:hAnsi="Arial" w:cs="Arial"/>
          <w:lang w:val="en"/>
        </w:rPr>
      </w:pPr>
      <w:bookmarkStart w:id="12" w:name="_Hlk532115201"/>
      <w:r w:rsidRPr="00A51746">
        <w:rPr>
          <w:rFonts w:ascii="Arial" w:hAnsi="Arial" w:cs="Arial"/>
          <w:i/>
          <w:lang w:val="en"/>
        </w:rPr>
        <w:t>In vitro</w:t>
      </w:r>
      <w:r w:rsidRPr="00A51746">
        <w:rPr>
          <w:rFonts w:ascii="Arial" w:hAnsi="Arial" w:cs="Arial"/>
          <w:lang w:val="en"/>
        </w:rPr>
        <w:t xml:space="preserve">, cabotegravir was not a substrate of </w:t>
      </w:r>
      <w:bookmarkStart w:id="13" w:name="_Hlk12287297"/>
      <w:r w:rsidRPr="00A51746">
        <w:rPr>
          <w:rFonts w:ascii="Arial" w:hAnsi="Arial" w:cs="Arial"/>
          <w:lang w:val="en"/>
        </w:rPr>
        <w:t>organic anion transporting polypeptide (</w:t>
      </w:r>
      <w:bookmarkEnd w:id="13"/>
      <w:r w:rsidRPr="00A51746">
        <w:rPr>
          <w:rFonts w:ascii="Arial" w:hAnsi="Arial" w:cs="Arial"/>
          <w:lang w:val="en"/>
        </w:rPr>
        <w:t>OATP) 1B1, OATP1B3</w:t>
      </w:r>
      <w:r w:rsidR="00B77D24">
        <w:rPr>
          <w:rFonts w:ascii="Arial" w:hAnsi="Arial" w:cs="Arial"/>
          <w:lang w:val="en"/>
        </w:rPr>
        <w:t>,</w:t>
      </w:r>
      <w:r w:rsidR="00B77D24" w:rsidRPr="00B25819">
        <w:rPr>
          <w:rFonts w:ascii="Arial" w:hAnsi="Arial" w:cs="Arial"/>
          <w:lang w:val="en"/>
        </w:rPr>
        <w:t xml:space="preserve"> </w:t>
      </w:r>
      <w:r w:rsidR="00B77D24">
        <w:rPr>
          <w:rFonts w:ascii="Arial" w:hAnsi="Arial" w:cs="Arial"/>
          <w:lang w:val="en"/>
        </w:rPr>
        <w:t>OATP2B1</w:t>
      </w:r>
      <w:r w:rsidRPr="00A51746">
        <w:rPr>
          <w:rFonts w:ascii="Arial" w:hAnsi="Arial" w:cs="Arial"/>
          <w:lang w:val="en"/>
        </w:rPr>
        <w:t xml:space="preserve"> or organic cation transporter (OCT1).</w:t>
      </w:r>
      <w:bookmarkEnd w:id="12"/>
    </w:p>
    <w:p w14:paraId="35CD9904" w14:textId="6CFB54AD" w:rsidR="00B9290E" w:rsidRDefault="00B9290E" w:rsidP="00A51746">
      <w:pPr>
        <w:rPr>
          <w:rFonts w:ascii="Arial" w:hAnsi="Arial" w:cs="Arial"/>
          <w:lang w:val="en"/>
        </w:rPr>
      </w:pPr>
      <w:r w:rsidRPr="00A51746">
        <w:rPr>
          <w:rFonts w:ascii="Arial" w:hAnsi="Arial" w:cs="Arial"/>
          <w:lang w:val="en"/>
        </w:rPr>
        <w:t>Cabotegravir is a substrate of P-glycoprotein (P-</w:t>
      </w:r>
      <w:proofErr w:type="spellStart"/>
      <w:r w:rsidRPr="00A51746">
        <w:rPr>
          <w:rFonts w:ascii="Arial" w:hAnsi="Arial" w:cs="Arial"/>
          <w:lang w:val="en"/>
        </w:rPr>
        <w:t>gp</w:t>
      </w:r>
      <w:proofErr w:type="spellEnd"/>
      <w:r w:rsidRPr="00A51746">
        <w:rPr>
          <w:rFonts w:ascii="Arial" w:hAnsi="Arial" w:cs="Arial"/>
          <w:lang w:val="en"/>
        </w:rPr>
        <w:t>) and breast cancer resistance protein (BCRP), however, because of its high permeability, no alteration in absorption is expected when co-administered with either P-</w:t>
      </w:r>
      <w:proofErr w:type="spellStart"/>
      <w:r w:rsidRPr="00A51746">
        <w:rPr>
          <w:rFonts w:ascii="Arial" w:hAnsi="Arial" w:cs="Arial"/>
          <w:lang w:val="en"/>
        </w:rPr>
        <w:t>gp</w:t>
      </w:r>
      <w:proofErr w:type="spellEnd"/>
      <w:r w:rsidRPr="00A51746">
        <w:rPr>
          <w:rFonts w:ascii="Arial" w:hAnsi="Arial" w:cs="Arial"/>
          <w:lang w:val="en"/>
        </w:rPr>
        <w:t xml:space="preserve"> or BCRP inhibitors.</w:t>
      </w:r>
    </w:p>
    <w:p w14:paraId="00EC5A5A" w14:textId="695B6A7D" w:rsidR="00933629" w:rsidRPr="00933629" w:rsidRDefault="00933629" w:rsidP="00933629">
      <w:pPr>
        <w:spacing w:after="0"/>
        <w:rPr>
          <w:rFonts w:ascii="Arial" w:hAnsi="Arial" w:cs="Arial"/>
          <w:u w:val="single"/>
          <w:lang w:val="en"/>
        </w:rPr>
      </w:pPr>
      <w:r w:rsidRPr="00933629">
        <w:rPr>
          <w:rFonts w:ascii="Arial" w:hAnsi="Arial" w:cs="Arial"/>
          <w:u w:val="single"/>
          <w:lang w:val="en"/>
        </w:rPr>
        <w:t>Rilpivirine</w:t>
      </w:r>
    </w:p>
    <w:p w14:paraId="73112076" w14:textId="31A40CC4" w:rsidR="00933629" w:rsidRPr="00A51746" w:rsidRDefault="00933629" w:rsidP="00A51746">
      <w:pPr>
        <w:rPr>
          <w:rFonts w:ascii="Arial" w:hAnsi="Arial" w:cs="Arial"/>
          <w:lang w:val="en"/>
        </w:rPr>
      </w:pPr>
      <w:proofErr w:type="spellStart"/>
      <w:r w:rsidRPr="00933629">
        <w:rPr>
          <w:rFonts w:ascii="Arial" w:hAnsi="Arial" w:cs="Arial"/>
          <w:lang w:val="en"/>
        </w:rPr>
        <w:t>Rilpivirine</w:t>
      </w:r>
      <w:proofErr w:type="spellEnd"/>
      <w:r w:rsidRPr="00933629">
        <w:rPr>
          <w:rFonts w:ascii="Arial" w:hAnsi="Arial" w:cs="Arial"/>
          <w:lang w:val="en"/>
        </w:rPr>
        <w:t xml:space="preserve"> is primarily </w:t>
      </w:r>
      <w:proofErr w:type="spellStart"/>
      <w:r w:rsidRPr="00933629">
        <w:rPr>
          <w:rFonts w:ascii="Arial" w:hAnsi="Arial" w:cs="Arial"/>
          <w:lang w:val="en"/>
        </w:rPr>
        <w:t>metabolised</w:t>
      </w:r>
      <w:proofErr w:type="spellEnd"/>
      <w:r w:rsidRPr="00933629">
        <w:rPr>
          <w:rFonts w:ascii="Arial" w:hAnsi="Arial" w:cs="Arial"/>
          <w:lang w:val="en"/>
        </w:rPr>
        <w:t xml:space="preserve"> by cytochrome P450 (CYP)3A, and medicinal products that induce or inhibit CYP3A may thus affect the clearance of rilpivirine (see </w:t>
      </w:r>
      <w:r>
        <w:rPr>
          <w:rFonts w:ascii="Arial" w:hAnsi="Arial" w:cs="Arial"/>
          <w:lang w:val="en"/>
        </w:rPr>
        <w:t xml:space="preserve">Section 5.2 </w:t>
      </w:r>
      <w:r w:rsidRPr="00933629">
        <w:rPr>
          <w:rFonts w:ascii="Arial" w:hAnsi="Arial" w:cs="Arial"/>
          <w:lang w:val="en"/>
        </w:rPr>
        <w:t>PHARMACOKINETIC PROPERTIES). Co</w:t>
      </w:r>
      <w:r w:rsidRPr="00933629">
        <w:rPr>
          <w:rFonts w:ascii="Arial" w:hAnsi="Arial" w:cs="Arial"/>
          <w:lang w:val="en"/>
        </w:rPr>
        <w:noBreakHyphen/>
        <w:t xml:space="preserve">administration of </w:t>
      </w:r>
      <w:r>
        <w:rPr>
          <w:rFonts w:ascii="Arial" w:hAnsi="Arial" w:cs="Arial"/>
          <w:lang w:val="en"/>
        </w:rPr>
        <w:t>rilpivirine</w:t>
      </w:r>
      <w:r w:rsidRPr="00933629">
        <w:rPr>
          <w:rFonts w:ascii="Arial" w:hAnsi="Arial" w:cs="Arial"/>
          <w:lang w:val="en"/>
        </w:rPr>
        <w:t xml:space="preserve"> and medicinal products that induce CYP3A may result in decreased plasma concentrations of rilpivirine which could potentially reduce the therapeutic effect of </w:t>
      </w:r>
      <w:r>
        <w:rPr>
          <w:rFonts w:ascii="Arial" w:hAnsi="Arial" w:cs="Arial"/>
          <w:lang w:val="en"/>
        </w:rPr>
        <w:t>rilpivirine</w:t>
      </w:r>
      <w:r w:rsidRPr="00933629">
        <w:rPr>
          <w:rFonts w:ascii="Arial" w:hAnsi="Arial" w:cs="Arial"/>
          <w:lang w:val="en"/>
        </w:rPr>
        <w:t>. Co</w:t>
      </w:r>
      <w:r w:rsidRPr="00933629">
        <w:rPr>
          <w:rFonts w:ascii="Arial" w:hAnsi="Arial" w:cs="Arial"/>
          <w:lang w:val="en"/>
        </w:rPr>
        <w:noBreakHyphen/>
        <w:t xml:space="preserve">administration of </w:t>
      </w:r>
      <w:r>
        <w:rPr>
          <w:rFonts w:ascii="Arial" w:hAnsi="Arial" w:cs="Arial"/>
          <w:lang w:val="en"/>
        </w:rPr>
        <w:t>rilpivirine</w:t>
      </w:r>
      <w:r w:rsidRPr="00933629">
        <w:rPr>
          <w:rFonts w:ascii="Arial" w:hAnsi="Arial" w:cs="Arial"/>
          <w:lang w:val="en"/>
        </w:rPr>
        <w:t xml:space="preserve"> and medicinal products that inhibit CYP3A may result in increased plasma concentrations of rilpivirine.</w:t>
      </w:r>
    </w:p>
    <w:p w14:paraId="2B7408F8" w14:textId="12D9BA81" w:rsidR="00B9290E" w:rsidRPr="00A51746" w:rsidRDefault="00B9290E" w:rsidP="005617F2">
      <w:pPr>
        <w:pStyle w:val="Heading3"/>
        <w:ind w:left="0"/>
        <w:rPr>
          <w:rFonts w:ascii="Arial" w:hAnsi="Arial" w:cs="Arial"/>
        </w:rPr>
      </w:pPr>
      <w:r w:rsidRPr="00A51746">
        <w:rPr>
          <w:rFonts w:ascii="Arial" w:hAnsi="Arial" w:cs="Arial"/>
        </w:rPr>
        <w:t xml:space="preserve">Effect of cabotegravir </w:t>
      </w:r>
      <w:r w:rsidR="00933629">
        <w:rPr>
          <w:rFonts w:ascii="Arial" w:hAnsi="Arial" w:cs="Arial"/>
        </w:rPr>
        <w:t xml:space="preserve">and rilpivirine </w:t>
      </w:r>
      <w:r w:rsidRPr="00A51746">
        <w:rPr>
          <w:rFonts w:ascii="Arial" w:hAnsi="Arial" w:cs="Arial"/>
        </w:rPr>
        <w:t>on the pharmacokinetics of other medicinal products</w:t>
      </w:r>
    </w:p>
    <w:p w14:paraId="094E607A" w14:textId="77777777" w:rsidR="00933629" w:rsidRPr="00933629" w:rsidRDefault="00933629" w:rsidP="00933629">
      <w:pPr>
        <w:spacing w:after="0"/>
        <w:rPr>
          <w:rFonts w:ascii="Arial" w:hAnsi="Arial" w:cs="Arial"/>
          <w:u w:val="single"/>
          <w:lang w:val="en"/>
        </w:rPr>
      </w:pPr>
      <w:bookmarkStart w:id="14" w:name="_Hlk6583819"/>
      <w:r w:rsidRPr="00933629">
        <w:rPr>
          <w:rFonts w:ascii="Arial" w:hAnsi="Arial" w:cs="Arial"/>
          <w:u w:val="single"/>
          <w:lang w:val="en"/>
        </w:rPr>
        <w:t xml:space="preserve">Cabotegravir </w:t>
      </w:r>
    </w:p>
    <w:p w14:paraId="1D88D5C2" w14:textId="77777777" w:rsidR="00B9290E" w:rsidRPr="00A51746" w:rsidRDefault="00B9290E" w:rsidP="00A51746">
      <w:pPr>
        <w:rPr>
          <w:rFonts w:ascii="Arial" w:hAnsi="Arial" w:cs="Arial"/>
          <w:lang w:val="en"/>
        </w:rPr>
      </w:pPr>
      <w:r w:rsidRPr="00A51746">
        <w:rPr>
          <w:rFonts w:ascii="Arial" w:hAnsi="Arial" w:cs="Arial"/>
          <w:i/>
          <w:lang w:val="en"/>
        </w:rPr>
        <w:t>In vivo</w:t>
      </w:r>
      <w:r w:rsidRPr="00A51746">
        <w:rPr>
          <w:rFonts w:ascii="Arial" w:hAnsi="Arial" w:cs="Arial"/>
          <w:lang w:val="en"/>
        </w:rPr>
        <w:t xml:space="preserve">, cabotegravir did not have an effect on midazolam, a cytochrome P450 (CYP) 3A4 probe. </w:t>
      </w:r>
      <w:bookmarkEnd w:id="14"/>
      <w:r w:rsidRPr="00A51746">
        <w:rPr>
          <w:rFonts w:ascii="Arial" w:hAnsi="Arial" w:cs="Arial"/>
          <w:lang w:val="en"/>
        </w:rPr>
        <w:t>Cabotegravir is not a clinically relevant inhibitor of the following enzymes and transporters: CYP1A2, CYP2A6, CYP2B6, CYP2C8, CYP2C9, CYP2C19, CYP2D6, CYP3A4, UGT1A1, UGT1A3, UGT1A4, UGT1A6, UGT1A9, UGT2B4, UGT2B7, UGT2B15, and UGT2B17, P-</w:t>
      </w:r>
      <w:proofErr w:type="spellStart"/>
      <w:r w:rsidRPr="00A51746">
        <w:rPr>
          <w:rFonts w:ascii="Arial" w:hAnsi="Arial" w:cs="Arial"/>
          <w:lang w:val="en"/>
        </w:rPr>
        <w:t>gp</w:t>
      </w:r>
      <w:proofErr w:type="spellEnd"/>
      <w:r w:rsidRPr="00A51746">
        <w:rPr>
          <w:rFonts w:ascii="Arial" w:hAnsi="Arial" w:cs="Arial"/>
          <w:lang w:val="en"/>
        </w:rPr>
        <w:t>, BCRP, Bile salt export pump (BSEP), OCT1, OCT2, OATP1B1, OATP1B3, multidrug and toxin extrusion transporter (MATE) 1, MATE 2-K, multidrug resistance protein (MRP) 2 or MRP4.</w:t>
      </w:r>
    </w:p>
    <w:p w14:paraId="257D27C7" w14:textId="77777777" w:rsidR="00B9290E" w:rsidRPr="00A51746" w:rsidRDefault="00B9290E" w:rsidP="00A51746">
      <w:pPr>
        <w:rPr>
          <w:rFonts w:ascii="Arial" w:hAnsi="Arial" w:cs="Arial"/>
          <w:lang w:val="en"/>
        </w:rPr>
      </w:pPr>
      <w:r w:rsidRPr="00A51746">
        <w:rPr>
          <w:rFonts w:ascii="Arial" w:hAnsi="Arial" w:cs="Arial"/>
          <w:lang w:val="en"/>
        </w:rPr>
        <w:t>Cabotegravir inhibited the organic anion transporters (OAT) 1 (IC</w:t>
      </w:r>
      <w:r w:rsidRPr="001C1B56">
        <w:rPr>
          <w:rFonts w:ascii="Arial" w:hAnsi="Arial" w:cs="Arial"/>
          <w:vertAlign w:val="subscript"/>
          <w:lang w:val="en"/>
        </w:rPr>
        <w:t>50</w:t>
      </w:r>
      <w:r w:rsidRPr="00A51746">
        <w:rPr>
          <w:rFonts w:ascii="Arial" w:hAnsi="Arial" w:cs="Arial"/>
          <w:lang w:val="en"/>
        </w:rPr>
        <w:t>=0.81 µM) and OAT3 (IC</w:t>
      </w:r>
      <w:r w:rsidRPr="001C1B56">
        <w:rPr>
          <w:rFonts w:ascii="Arial" w:hAnsi="Arial" w:cs="Arial"/>
          <w:vertAlign w:val="subscript"/>
          <w:lang w:val="en"/>
        </w:rPr>
        <w:t>50</w:t>
      </w:r>
      <w:r w:rsidRPr="00A51746">
        <w:rPr>
          <w:rFonts w:ascii="Arial" w:hAnsi="Arial" w:cs="Arial"/>
          <w:lang w:val="en"/>
        </w:rPr>
        <w:t xml:space="preserve">=0.41 µM) </w:t>
      </w:r>
      <w:r w:rsidRPr="001C1B56">
        <w:rPr>
          <w:rFonts w:ascii="Arial" w:hAnsi="Arial" w:cs="Arial"/>
          <w:i/>
          <w:lang w:val="en"/>
        </w:rPr>
        <w:t>in vitro</w:t>
      </w:r>
      <w:r w:rsidRPr="00A51746">
        <w:rPr>
          <w:rFonts w:ascii="Arial" w:hAnsi="Arial" w:cs="Arial"/>
          <w:lang w:val="en"/>
        </w:rPr>
        <w:t>, however, based on PBPK modelling no interaction with OAT substrates is expected at clinically relevant concentrations.</w:t>
      </w:r>
    </w:p>
    <w:p w14:paraId="4D6BCEE4" w14:textId="77777777" w:rsidR="00B9290E" w:rsidRPr="00A51746" w:rsidRDefault="00B9290E" w:rsidP="00A51746">
      <w:pPr>
        <w:rPr>
          <w:rFonts w:ascii="Arial" w:hAnsi="Arial" w:cs="Arial"/>
          <w:lang w:val="en"/>
        </w:rPr>
      </w:pPr>
      <w:r w:rsidRPr="001C1B56">
        <w:rPr>
          <w:rFonts w:ascii="Arial" w:hAnsi="Arial" w:cs="Arial"/>
          <w:i/>
          <w:lang w:val="en"/>
        </w:rPr>
        <w:t>In vitro</w:t>
      </w:r>
      <w:r w:rsidRPr="00A51746">
        <w:rPr>
          <w:rFonts w:ascii="Arial" w:hAnsi="Arial" w:cs="Arial"/>
          <w:lang w:val="en"/>
        </w:rPr>
        <w:t>, cabotegravir did not induce CYP1A2, CYP2B6, or CYP3A4.</w:t>
      </w:r>
    </w:p>
    <w:p w14:paraId="3BECD340" w14:textId="77777777" w:rsidR="00B9290E" w:rsidRPr="00A51746" w:rsidRDefault="00B9290E" w:rsidP="00A51746">
      <w:pPr>
        <w:rPr>
          <w:rFonts w:ascii="Arial" w:hAnsi="Arial" w:cs="Arial"/>
          <w:lang w:val="en"/>
        </w:rPr>
      </w:pPr>
      <w:r w:rsidRPr="00A51746">
        <w:rPr>
          <w:rFonts w:ascii="Arial" w:hAnsi="Arial" w:cs="Arial"/>
          <w:lang w:val="en"/>
        </w:rPr>
        <w:t>Based on these data and the results of drug interaction studies, cabotegravir is not expected to affect the pharmacokinetics of medicinal products that are substrates of these enzymes or transporters.</w:t>
      </w:r>
    </w:p>
    <w:p w14:paraId="0771109A" w14:textId="1D699DAB" w:rsidR="00B9290E" w:rsidRDefault="00B9290E" w:rsidP="00A51746">
      <w:pPr>
        <w:rPr>
          <w:rFonts w:ascii="Arial" w:hAnsi="Arial" w:cs="Arial"/>
          <w:lang w:val="en"/>
        </w:rPr>
      </w:pPr>
      <w:r w:rsidRPr="00A51746">
        <w:rPr>
          <w:rFonts w:ascii="Arial" w:hAnsi="Arial" w:cs="Arial"/>
          <w:lang w:val="en"/>
        </w:rPr>
        <w:t xml:space="preserve">Based on the </w:t>
      </w:r>
      <w:r w:rsidRPr="001C1B56">
        <w:rPr>
          <w:rFonts w:ascii="Arial" w:hAnsi="Arial" w:cs="Arial"/>
          <w:i/>
          <w:lang w:val="en"/>
        </w:rPr>
        <w:t>in vitro</w:t>
      </w:r>
      <w:r w:rsidRPr="00A51746">
        <w:rPr>
          <w:rFonts w:ascii="Arial" w:hAnsi="Arial" w:cs="Arial"/>
          <w:lang w:val="en"/>
        </w:rPr>
        <w:t xml:space="preserve"> and clinical drug interaction profile, cabotegravir is not expected to alter concentrations of other anti-retroviral medications including protease inhibitors, nucleoside reverse transcriptase inhibitors, non-nucleoside reverse transcriptase inhibitors, integrase inhibitors, entry inhibitors or ibalizumab.</w:t>
      </w:r>
    </w:p>
    <w:p w14:paraId="5C203B5F" w14:textId="3658F159" w:rsidR="00933629" w:rsidRDefault="00677CAF" w:rsidP="00677CAF">
      <w:pPr>
        <w:keepNext/>
        <w:keepLines/>
        <w:spacing w:after="0"/>
        <w:rPr>
          <w:rFonts w:ascii="Arial" w:hAnsi="Arial" w:cs="Arial"/>
          <w:u w:val="single"/>
          <w:lang w:val="en"/>
        </w:rPr>
      </w:pPr>
      <w:r w:rsidRPr="00677CAF">
        <w:rPr>
          <w:rFonts w:ascii="Arial" w:hAnsi="Arial" w:cs="Arial"/>
          <w:u w:val="single"/>
          <w:lang w:val="en"/>
        </w:rPr>
        <w:lastRenderedPageBreak/>
        <w:t>Rilpivirine</w:t>
      </w:r>
    </w:p>
    <w:p w14:paraId="0D2FA5F2" w14:textId="6E147375" w:rsidR="00677CAF" w:rsidRPr="00677CAF" w:rsidRDefault="00677CAF" w:rsidP="00B93BAD">
      <w:pPr>
        <w:rPr>
          <w:rFonts w:ascii="Arial" w:hAnsi="Arial" w:cs="Arial"/>
          <w:lang w:val="en"/>
        </w:rPr>
      </w:pPr>
      <w:r w:rsidRPr="00677CAF">
        <w:rPr>
          <w:rFonts w:ascii="Arial" w:hAnsi="Arial" w:cs="Arial"/>
          <w:lang w:val="en"/>
        </w:rPr>
        <w:t xml:space="preserve">Rilpivirine is not likely to have a clinically relevant effect on the exposure of medicinal products </w:t>
      </w:r>
      <w:proofErr w:type="spellStart"/>
      <w:r w:rsidRPr="00677CAF">
        <w:rPr>
          <w:rFonts w:ascii="Arial" w:hAnsi="Arial" w:cs="Arial"/>
          <w:lang w:val="en"/>
        </w:rPr>
        <w:t>metabolised</w:t>
      </w:r>
      <w:proofErr w:type="spellEnd"/>
      <w:r w:rsidRPr="00677CAF">
        <w:rPr>
          <w:rFonts w:ascii="Arial" w:hAnsi="Arial" w:cs="Arial"/>
          <w:lang w:val="en"/>
        </w:rPr>
        <w:t xml:space="preserve"> by CYP enzymes</w:t>
      </w:r>
      <w:r>
        <w:rPr>
          <w:rFonts w:ascii="Arial" w:hAnsi="Arial" w:cs="Arial"/>
          <w:lang w:val="en"/>
        </w:rPr>
        <w:t>.</w:t>
      </w:r>
    </w:p>
    <w:p w14:paraId="179688F6" w14:textId="61138108" w:rsidR="00B9290E" w:rsidRPr="00A51746" w:rsidRDefault="00B9290E" w:rsidP="00A51746">
      <w:pPr>
        <w:rPr>
          <w:rFonts w:ascii="Arial" w:hAnsi="Arial" w:cs="Arial"/>
          <w:lang w:val="en"/>
        </w:rPr>
      </w:pPr>
      <w:r w:rsidRPr="00A51746">
        <w:rPr>
          <w:rFonts w:ascii="Arial" w:hAnsi="Arial" w:cs="Arial"/>
          <w:lang w:val="en"/>
        </w:rPr>
        <w:t xml:space="preserve">No drug interaction studies have been performed with cabotegravir </w:t>
      </w:r>
      <w:r w:rsidR="00677CAF">
        <w:rPr>
          <w:rFonts w:ascii="Arial" w:hAnsi="Arial" w:cs="Arial"/>
          <w:lang w:val="en"/>
        </w:rPr>
        <w:t>or rilpivirine when administered as an IM injection</w:t>
      </w:r>
      <w:r w:rsidRPr="00A51746">
        <w:rPr>
          <w:rFonts w:ascii="Arial" w:hAnsi="Arial" w:cs="Arial"/>
          <w:lang w:val="en"/>
        </w:rPr>
        <w:t xml:space="preserve">. </w:t>
      </w:r>
      <w:bookmarkStart w:id="15" w:name="_Hlk6246196"/>
      <w:r w:rsidRPr="00A51746">
        <w:rPr>
          <w:rFonts w:ascii="Arial" w:hAnsi="Arial" w:cs="Arial"/>
          <w:lang w:val="en"/>
        </w:rPr>
        <w:t xml:space="preserve">The drug interaction data provided in Table </w:t>
      </w:r>
      <w:r w:rsidR="00936270">
        <w:rPr>
          <w:rFonts w:ascii="Arial" w:hAnsi="Arial" w:cs="Arial"/>
          <w:lang w:val="en"/>
        </w:rPr>
        <w:t>5</w:t>
      </w:r>
      <w:r w:rsidRPr="00A51746">
        <w:rPr>
          <w:rFonts w:ascii="Arial" w:hAnsi="Arial" w:cs="Arial"/>
          <w:lang w:val="en"/>
        </w:rPr>
        <w:t xml:space="preserve"> is obtained from studies with oral cabotegravir</w:t>
      </w:r>
      <w:bookmarkEnd w:id="15"/>
      <w:r w:rsidR="00677CAF">
        <w:rPr>
          <w:rFonts w:ascii="Arial" w:hAnsi="Arial" w:cs="Arial"/>
          <w:lang w:val="en"/>
        </w:rPr>
        <w:t xml:space="preserve"> and drug interaction data provided in Table </w:t>
      </w:r>
      <w:r w:rsidR="00936270">
        <w:rPr>
          <w:rFonts w:ascii="Arial" w:hAnsi="Arial" w:cs="Arial"/>
          <w:lang w:val="en"/>
        </w:rPr>
        <w:t>6</w:t>
      </w:r>
      <w:r w:rsidR="004B6A22">
        <w:rPr>
          <w:rFonts w:ascii="Arial" w:hAnsi="Arial" w:cs="Arial"/>
          <w:lang w:val="en"/>
        </w:rPr>
        <w:t xml:space="preserve"> is obtained from studies with </w:t>
      </w:r>
      <w:r w:rsidR="00677CAF">
        <w:rPr>
          <w:rFonts w:ascii="Arial" w:hAnsi="Arial" w:cs="Arial"/>
          <w:lang w:val="en"/>
        </w:rPr>
        <w:t>oral rilpivirine</w:t>
      </w:r>
      <w:r w:rsidR="002A27F8">
        <w:rPr>
          <w:rFonts w:ascii="Arial" w:hAnsi="Arial" w:cs="Arial"/>
          <w:lang w:val="en"/>
        </w:rPr>
        <w:t>.</w:t>
      </w:r>
    </w:p>
    <w:p w14:paraId="051114DF" w14:textId="4449EDF1" w:rsidR="00071855" w:rsidRPr="002A27F8" w:rsidRDefault="001C1B56" w:rsidP="009436C7">
      <w:pPr>
        <w:keepNext/>
        <w:rPr>
          <w:rFonts w:ascii="Arial" w:hAnsi="Arial" w:cs="Arial"/>
          <w:b/>
        </w:rPr>
      </w:pPr>
      <w:r w:rsidRPr="002A27F8">
        <w:rPr>
          <w:rFonts w:ascii="Arial" w:hAnsi="Arial" w:cs="Arial"/>
          <w:b/>
        </w:rPr>
        <w:t xml:space="preserve">Table </w:t>
      </w:r>
      <w:r w:rsidR="00936270">
        <w:rPr>
          <w:rFonts w:ascii="Arial" w:hAnsi="Arial" w:cs="Arial"/>
          <w:b/>
        </w:rPr>
        <w:t>5</w:t>
      </w:r>
      <w:r w:rsidRPr="002A27F8">
        <w:rPr>
          <w:rFonts w:ascii="Arial" w:hAnsi="Arial" w:cs="Arial"/>
          <w:b/>
        </w:rPr>
        <w:t>: Drug Interactions</w:t>
      </w:r>
      <w:r w:rsidR="004B6A22">
        <w:rPr>
          <w:rFonts w:ascii="Arial" w:hAnsi="Arial" w:cs="Arial"/>
          <w:b/>
        </w:rPr>
        <w:t xml:space="preserve"> for cabotegravir</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2765"/>
        <w:gridCol w:w="4749"/>
      </w:tblGrid>
      <w:tr w:rsidR="001C1B56" w:rsidRPr="001C1B56" w14:paraId="334D1DE0" w14:textId="77777777" w:rsidTr="00BF5823">
        <w:trPr>
          <w:tblHeader/>
        </w:trPr>
        <w:tc>
          <w:tcPr>
            <w:tcW w:w="2236" w:type="dxa"/>
            <w:tcBorders>
              <w:top w:val="single" w:sz="4" w:space="0" w:color="auto"/>
              <w:left w:val="single" w:sz="4" w:space="0" w:color="auto"/>
              <w:bottom w:val="single" w:sz="4" w:space="0" w:color="auto"/>
              <w:right w:val="single" w:sz="4" w:space="0" w:color="auto"/>
            </w:tcBorders>
            <w:hideMark/>
          </w:tcPr>
          <w:p w14:paraId="7B5A57C5" w14:textId="77777777" w:rsidR="001C1B56" w:rsidRPr="001C1B56" w:rsidRDefault="001C1B56" w:rsidP="009436C7">
            <w:pPr>
              <w:keepNext/>
              <w:spacing w:after="0"/>
              <w:rPr>
                <w:rFonts w:ascii="Arial Narrow" w:hAnsi="Arial Narrow"/>
                <w:b/>
                <w:sz w:val="20"/>
                <w:szCs w:val="20"/>
                <w:lang w:val="en-US"/>
              </w:rPr>
            </w:pPr>
            <w:r w:rsidRPr="001C1B56">
              <w:rPr>
                <w:rFonts w:ascii="Arial Narrow" w:hAnsi="Arial Narrow"/>
                <w:b/>
                <w:sz w:val="20"/>
                <w:szCs w:val="20"/>
                <w:lang w:val="en-US"/>
              </w:rPr>
              <w:t>Medicinal products by therapeutic areas</w:t>
            </w:r>
          </w:p>
        </w:tc>
        <w:tc>
          <w:tcPr>
            <w:tcW w:w="2765" w:type="dxa"/>
            <w:tcBorders>
              <w:top w:val="single" w:sz="4" w:space="0" w:color="auto"/>
              <w:left w:val="single" w:sz="4" w:space="0" w:color="auto"/>
              <w:bottom w:val="single" w:sz="4" w:space="0" w:color="auto"/>
              <w:right w:val="single" w:sz="4" w:space="0" w:color="auto"/>
            </w:tcBorders>
            <w:hideMark/>
          </w:tcPr>
          <w:p w14:paraId="53E61993" w14:textId="77777777" w:rsidR="001C1B56" w:rsidRPr="001C1B56" w:rsidRDefault="001C1B56" w:rsidP="009436C7">
            <w:pPr>
              <w:keepNext/>
              <w:spacing w:after="0"/>
              <w:rPr>
                <w:rFonts w:ascii="Arial Narrow" w:hAnsi="Arial Narrow"/>
                <w:b/>
                <w:sz w:val="20"/>
                <w:szCs w:val="20"/>
                <w:lang w:val="en-US"/>
              </w:rPr>
            </w:pPr>
            <w:r w:rsidRPr="001C1B56">
              <w:rPr>
                <w:rFonts w:ascii="Arial Narrow" w:hAnsi="Arial Narrow"/>
                <w:b/>
                <w:sz w:val="20"/>
                <w:szCs w:val="20"/>
                <w:lang w:val="en-US"/>
              </w:rPr>
              <w:t>Interaction</w:t>
            </w:r>
          </w:p>
          <w:p w14:paraId="3D7003BB" w14:textId="77777777" w:rsidR="001C1B56" w:rsidRPr="00354E64" w:rsidRDefault="001C1B56" w:rsidP="009436C7">
            <w:pPr>
              <w:keepNext/>
              <w:spacing w:after="0"/>
              <w:rPr>
                <w:rFonts w:ascii="Arial Narrow" w:hAnsi="Arial Narrow"/>
                <w:b/>
                <w:sz w:val="20"/>
                <w:szCs w:val="20"/>
                <w:lang w:val="en-US"/>
              </w:rPr>
            </w:pPr>
            <w:r w:rsidRPr="00354E64">
              <w:rPr>
                <w:rFonts w:ascii="Arial Narrow" w:hAnsi="Arial Narrow"/>
                <w:b/>
                <w:sz w:val="20"/>
                <w:szCs w:val="20"/>
                <w:lang w:val="en-US"/>
              </w:rPr>
              <w:t>Geometric mean change (%)</w:t>
            </w:r>
          </w:p>
        </w:tc>
        <w:tc>
          <w:tcPr>
            <w:tcW w:w="4749" w:type="dxa"/>
            <w:tcBorders>
              <w:top w:val="single" w:sz="4" w:space="0" w:color="auto"/>
              <w:left w:val="single" w:sz="4" w:space="0" w:color="auto"/>
              <w:bottom w:val="single" w:sz="4" w:space="0" w:color="auto"/>
              <w:right w:val="single" w:sz="4" w:space="0" w:color="auto"/>
            </w:tcBorders>
            <w:hideMark/>
          </w:tcPr>
          <w:p w14:paraId="0D4BE2EC" w14:textId="77777777" w:rsidR="001C1B56" w:rsidRPr="001C1B56" w:rsidRDefault="001C1B56" w:rsidP="009436C7">
            <w:pPr>
              <w:keepNext/>
              <w:spacing w:after="0"/>
              <w:rPr>
                <w:rFonts w:ascii="Arial Narrow" w:hAnsi="Arial Narrow"/>
                <w:b/>
                <w:sz w:val="20"/>
                <w:szCs w:val="20"/>
                <w:lang w:val="en-US"/>
              </w:rPr>
            </w:pPr>
            <w:r w:rsidRPr="001C1B56">
              <w:rPr>
                <w:rFonts w:ascii="Arial Narrow" w:hAnsi="Arial Narrow"/>
                <w:b/>
                <w:sz w:val="20"/>
                <w:szCs w:val="20"/>
                <w:lang w:val="en-US"/>
              </w:rPr>
              <w:t>Recommendations concerning co</w:t>
            </w:r>
            <w:r w:rsidRPr="001C1B56">
              <w:rPr>
                <w:rFonts w:ascii="Arial Narrow" w:hAnsi="Arial Narrow"/>
                <w:b/>
                <w:sz w:val="20"/>
                <w:szCs w:val="20"/>
                <w:lang w:val="en-US"/>
              </w:rPr>
              <w:noBreakHyphen/>
              <w:t>administration</w:t>
            </w:r>
          </w:p>
        </w:tc>
      </w:tr>
      <w:tr w:rsidR="001C1B56" w:rsidRPr="00417DBF" w14:paraId="34A6B7BC" w14:textId="5990808B" w:rsidTr="002A27F8">
        <w:tc>
          <w:tcPr>
            <w:tcW w:w="9750" w:type="dxa"/>
            <w:gridSpan w:val="3"/>
            <w:tcBorders>
              <w:top w:val="single" w:sz="4" w:space="0" w:color="auto"/>
              <w:left w:val="single" w:sz="4" w:space="0" w:color="auto"/>
              <w:bottom w:val="single" w:sz="4" w:space="0" w:color="auto"/>
              <w:right w:val="single" w:sz="4" w:space="0" w:color="auto"/>
            </w:tcBorders>
            <w:hideMark/>
          </w:tcPr>
          <w:p w14:paraId="307FDF4F" w14:textId="30CD9316" w:rsidR="001C1B56" w:rsidRPr="00417DBF" w:rsidRDefault="001C1B56" w:rsidP="00B93BAD">
            <w:pPr>
              <w:spacing w:after="0"/>
              <w:rPr>
                <w:rFonts w:ascii="Arial Narrow" w:hAnsi="Arial Narrow"/>
                <w:i/>
                <w:sz w:val="20"/>
                <w:szCs w:val="20"/>
                <w:lang w:val="en-US"/>
              </w:rPr>
            </w:pPr>
            <w:r w:rsidRPr="00417DBF">
              <w:rPr>
                <w:rFonts w:ascii="Arial Narrow" w:hAnsi="Arial Narrow"/>
                <w:i/>
                <w:sz w:val="20"/>
                <w:szCs w:val="20"/>
                <w:lang w:val="en-US"/>
              </w:rPr>
              <w:t>HIV-1 Antiviral medicinal products</w:t>
            </w:r>
          </w:p>
        </w:tc>
      </w:tr>
      <w:tr w:rsidR="001C1B56" w:rsidRPr="001C1B56" w14:paraId="7010A5DF" w14:textId="0BE9BF4B" w:rsidTr="002A27F8">
        <w:tc>
          <w:tcPr>
            <w:tcW w:w="2236" w:type="dxa"/>
            <w:tcBorders>
              <w:top w:val="single" w:sz="4" w:space="0" w:color="auto"/>
              <w:left w:val="single" w:sz="4" w:space="0" w:color="auto"/>
              <w:bottom w:val="single" w:sz="4" w:space="0" w:color="auto"/>
              <w:right w:val="single" w:sz="4" w:space="0" w:color="auto"/>
            </w:tcBorders>
            <w:hideMark/>
          </w:tcPr>
          <w:p w14:paraId="7AE37F8F" w14:textId="17A02E43" w:rsidR="001C1B56" w:rsidRPr="00417DBF" w:rsidRDefault="001C1B56" w:rsidP="002A27F8">
            <w:pPr>
              <w:spacing w:after="0"/>
              <w:rPr>
                <w:rFonts w:ascii="Arial Narrow" w:hAnsi="Arial Narrow"/>
                <w:sz w:val="20"/>
                <w:szCs w:val="20"/>
                <w:lang w:val="en-US"/>
              </w:rPr>
            </w:pPr>
            <w:r w:rsidRPr="00417DBF">
              <w:rPr>
                <w:rFonts w:ascii="Arial Narrow" w:hAnsi="Arial Narrow"/>
                <w:sz w:val="20"/>
                <w:szCs w:val="20"/>
                <w:lang w:val="en-US"/>
              </w:rPr>
              <w:t>Non-nucleoside Reverse Transcriptase Inhibitor:</w:t>
            </w:r>
            <w:r w:rsidRPr="00417DBF">
              <w:rPr>
                <w:rFonts w:ascii="Arial Narrow" w:hAnsi="Arial Narrow"/>
                <w:sz w:val="20"/>
                <w:szCs w:val="20"/>
                <w:lang w:val="en-US"/>
              </w:rPr>
              <w:br/>
              <w:t>Etravirine</w:t>
            </w:r>
          </w:p>
        </w:tc>
        <w:tc>
          <w:tcPr>
            <w:tcW w:w="2765" w:type="dxa"/>
            <w:tcBorders>
              <w:top w:val="single" w:sz="4" w:space="0" w:color="auto"/>
              <w:left w:val="single" w:sz="4" w:space="0" w:color="auto"/>
              <w:bottom w:val="single" w:sz="4" w:space="0" w:color="auto"/>
              <w:right w:val="single" w:sz="4" w:space="0" w:color="auto"/>
            </w:tcBorders>
          </w:tcPr>
          <w:p w14:paraId="04A1901B" w14:textId="26170314" w:rsidR="001C1B56" w:rsidRPr="00417DBF" w:rsidRDefault="001C1B56" w:rsidP="002A27F8">
            <w:pPr>
              <w:tabs>
                <w:tab w:val="left" w:pos="567"/>
              </w:tabs>
              <w:spacing w:after="0" w:line="260" w:lineRule="exact"/>
              <w:rPr>
                <w:rFonts w:ascii="Arial Narrow" w:eastAsia="Times New Roman" w:hAnsi="Arial Narrow" w:cs="Times New Roman"/>
                <w:sz w:val="20"/>
                <w:szCs w:val="20"/>
                <w:lang w:val="en-US"/>
              </w:rPr>
            </w:pPr>
            <w:r w:rsidRPr="00417DBF">
              <w:rPr>
                <w:rFonts w:ascii="Arial Narrow" w:eastAsia="Times New Roman" w:hAnsi="Arial Narrow" w:cs="Times New Roman"/>
                <w:sz w:val="20"/>
                <w:szCs w:val="20"/>
                <w:lang w:val="en-US"/>
              </w:rPr>
              <w:t xml:space="preserve">Cabotegravir </w:t>
            </w:r>
            <w:r w:rsidRPr="00417DBF">
              <w:rPr>
                <w:rFonts w:ascii="Arial Narrow" w:eastAsia="Times New Roman" w:hAnsi="Arial Narrow" w:cs="Times New Roman"/>
                <w:sz w:val="20"/>
                <w:szCs w:val="20"/>
                <w:lang w:val="en-US"/>
              </w:rPr>
              <w:sym w:font="Symbol" w:char="F0AB"/>
            </w:r>
          </w:p>
          <w:p w14:paraId="452218BA" w14:textId="2DFD1862" w:rsidR="001C1B56" w:rsidRPr="00417DBF" w:rsidRDefault="001C1B56" w:rsidP="002A27F8">
            <w:pPr>
              <w:tabs>
                <w:tab w:val="left" w:pos="567"/>
              </w:tabs>
              <w:spacing w:after="0" w:line="260" w:lineRule="exact"/>
              <w:rPr>
                <w:rFonts w:ascii="Arial Narrow" w:eastAsia="Times New Roman" w:hAnsi="Arial Narrow" w:cs="Times New Roman"/>
                <w:sz w:val="20"/>
                <w:szCs w:val="20"/>
                <w:lang w:val="en-US"/>
              </w:rPr>
            </w:pPr>
            <w:r w:rsidRPr="00417DBF">
              <w:rPr>
                <w:rFonts w:ascii="Arial Narrow" w:eastAsia="Times New Roman" w:hAnsi="Arial Narrow" w:cs="Times New Roman"/>
                <w:sz w:val="20"/>
                <w:szCs w:val="20"/>
                <w:lang w:val="en-US"/>
              </w:rPr>
              <w:t xml:space="preserve">AUC </w:t>
            </w:r>
            <w:r w:rsidRPr="00417DBF">
              <w:rPr>
                <w:rFonts w:ascii="Arial Narrow" w:eastAsia="Times New Roman" w:hAnsi="Arial Narrow" w:cs="Times New Roman"/>
                <w:sz w:val="20"/>
                <w:szCs w:val="20"/>
                <w:lang w:val="en-US"/>
              </w:rPr>
              <w:sym w:font="Symbol" w:char="F0AD"/>
            </w:r>
            <w:r w:rsidRPr="00417DBF">
              <w:rPr>
                <w:rFonts w:ascii="Arial Narrow" w:eastAsia="Times New Roman" w:hAnsi="Arial Narrow" w:cs="Times New Roman"/>
                <w:sz w:val="20"/>
                <w:szCs w:val="20"/>
                <w:lang w:val="en-US"/>
              </w:rPr>
              <w:t xml:space="preserve"> 1%</w:t>
            </w:r>
          </w:p>
          <w:p w14:paraId="481B64E5" w14:textId="342AA363" w:rsidR="001C1B56" w:rsidRPr="00417DBF" w:rsidRDefault="001C1B56" w:rsidP="002A27F8">
            <w:pPr>
              <w:tabs>
                <w:tab w:val="left" w:pos="567"/>
              </w:tabs>
              <w:spacing w:after="0" w:line="260" w:lineRule="exact"/>
              <w:rPr>
                <w:rFonts w:ascii="Arial Narrow" w:eastAsia="Times New Roman" w:hAnsi="Arial Narrow" w:cs="Times New Roman"/>
                <w:sz w:val="20"/>
                <w:szCs w:val="20"/>
                <w:lang w:val="en-US"/>
              </w:rPr>
            </w:pPr>
            <w:proofErr w:type="spellStart"/>
            <w:r w:rsidRPr="00417DBF">
              <w:rPr>
                <w:rFonts w:ascii="Arial Narrow" w:eastAsia="Times New Roman" w:hAnsi="Arial Narrow" w:cs="Times New Roman"/>
                <w:sz w:val="20"/>
                <w:szCs w:val="20"/>
                <w:lang w:val="en-US"/>
              </w:rPr>
              <w:t>C</w:t>
            </w:r>
            <w:r w:rsidRPr="00417DBF">
              <w:rPr>
                <w:rFonts w:ascii="Arial Narrow" w:eastAsia="Times New Roman" w:hAnsi="Arial Narrow" w:cs="Times New Roman"/>
                <w:sz w:val="20"/>
                <w:szCs w:val="20"/>
                <w:vertAlign w:val="subscript"/>
                <w:lang w:val="en-US"/>
              </w:rPr>
              <w:t>max</w:t>
            </w:r>
            <w:proofErr w:type="spellEnd"/>
            <w:r w:rsidRPr="00417DBF">
              <w:rPr>
                <w:rFonts w:ascii="Arial Narrow" w:eastAsia="Times New Roman" w:hAnsi="Arial Narrow" w:cs="Times New Roman"/>
                <w:sz w:val="20"/>
                <w:szCs w:val="20"/>
                <w:lang w:val="en-US"/>
              </w:rPr>
              <w:t xml:space="preserve"> </w:t>
            </w:r>
            <w:r w:rsidRPr="00417DBF">
              <w:rPr>
                <w:rFonts w:ascii="Arial Narrow" w:eastAsia="Times New Roman" w:hAnsi="Arial Narrow" w:cs="Times New Roman"/>
                <w:sz w:val="20"/>
                <w:szCs w:val="20"/>
                <w:lang w:val="en-US"/>
              </w:rPr>
              <w:sym w:font="Symbol" w:char="F0AD"/>
            </w:r>
            <w:r w:rsidRPr="00417DBF">
              <w:rPr>
                <w:rFonts w:ascii="Arial Narrow" w:eastAsia="Times New Roman" w:hAnsi="Arial Narrow" w:cs="Times New Roman"/>
                <w:sz w:val="20"/>
                <w:szCs w:val="20"/>
                <w:lang w:val="en-US"/>
              </w:rPr>
              <w:t xml:space="preserve"> 4%</w:t>
            </w:r>
          </w:p>
          <w:p w14:paraId="70830992" w14:textId="0A5C5CA4" w:rsidR="001C1B56" w:rsidRPr="00417DBF" w:rsidRDefault="001C1B56" w:rsidP="00B93BAD">
            <w:pPr>
              <w:tabs>
                <w:tab w:val="left" w:pos="567"/>
              </w:tabs>
              <w:spacing w:after="0" w:line="260" w:lineRule="exact"/>
              <w:rPr>
                <w:rFonts w:ascii="Arial Narrow" w:eastAsia="Times New Roman" w:hAnsi="Arial Narrow" w:cs="Times New Roman"/>
                <w:sz w:val="20"/>
                <w:szCs w:val="20"/>
                <w:lang w:val="en-US"/>
              </w:rPr>
            </w:pPr>
            <w:proofErr w:type="spellStart"/>
            <w:r w:rsidRPr="00417DBF">
              <w:rPr>
                <w:rFonts w:ascii="Arial Narrow" w:eastAsia="Times New Roman" w:hAnsi="Arial Narrow" w:cs="Times New Roman"/>
                <w:sz w:val="20"/>
                <w:szCs w:val="20"/>
                <w:lang w:val="en-US"/>
              </w:rPr>
              <w:t>C</w:t>
            </w:r>
            <w:r w:rsidR="002A27F8" w:rsidRPr="00417DBF">
              <w:rPr>
                <w:rFonts w:ascii="Arial Narrow" w:eastAsia="Times New Roman" w:hAnsi="Arial Narrow" w:cs="Times New Roman"/>
                <w:sz w:val="20"/>
                <w:szCs w:val="20"/>
                <w:lang w:val="en-US"/>
              </w:rPr>
              <w:t>τ</w:t>
            </w:r>
            <w:proofErr w:type="spellEnd"/>
            <w:r w:rsidRPr="00417DBF">
              <w:rPr>
                <w:rFonts w:ascii="Arial Narrow" w:eastAsia="Times New Roman" w:hAnsi="Arial Narrow" w:cs="Times New Roman"/>
                <w:sz w:val="20"/>
                <w:szCs w:val="20"/>
                <w:lang w:val="en-US"/>
              </w:rPr>
              <w:t xml:space="preserve"> </w:t>
            </w:r>
            <w:r w:rsidRPr="00417DBF">
              <w:rPr>
                <w:rFonts w:ascii="Arial Narrow" w:eastAsia="Times New Roman" w:hAnsi="Arial Narrow" w:cs="Times New Roman"/>
                <w:sz w:val="20"/>
                <w:szCs w:val="20"/>
                <w:lang w:val="en-US"/>
              </w:rPr>
              <w:sym w:font="Symbol" w:char="F0AB"/>
            </w:r>
            <w:r w:rsidRPr="00417DBF">
              <w:rPr>
                <w:rFonts w:ascii="Arial Narrow" w:eastAsia="Times New Roman" w:hAnsi="Arial Narrow" w:cs="Times New Roman"/>
                <w:sz w:val="20"/>
                <w:szCs w:val="20"/>
                <w:lang w:val="en-US"/>
              </w:rPr>
              <w:t xml:space="preserve"> 0%</w:t>
            </w:r>
          </w:p>
        </w:tc>
        <w:tc>
          <w:tcPr>
            <w:tcW w:w="4749" w:type="dxa"/>
            <w:tcBorders>
              <w:top w:val="single" w:sz="4" w:space="0" w:color="auto"/>
              <w:left w:val="single" w:sz="4" w:space="0" w:color="auto"/>
              <w:bottom w:val="single" w:sz="4" w:space="0" w:color="auto"/>
              <w:right w:val="single" w:sz="4" w:space="0" w:color="auto"/>
            </w:tcBorders>
            <w:hideMark/>
          </w:tcPr>
          <w:p w14:paraId="6E1328C9" w14:textId="5D9DDB0F" w:rsidR="001C1B56" w:rsidRPr="001C1B56" w:rsidRDefault="001C1B56" w:rsidP="002A27F8">
            <w:pPr>
              <w:spacing w:after="0"/>
              <w:rPr>
                <w:rFonts w:ascii="Arial Narrow" w:hAnsi="Arial Narrow"/>
                <w:sz w:val="20"/>
                <w:szCs w:val="20"/>
                <w:lang w:val="en-US"/>
              </w:rPr>
            </w:pPr>
            <w:r w:rsidRPr="00417DBF">
              <w:rPr>
                <w:rFonts w:ascii="Arial Narrow" w:hAnsi="Arial Narrow"/>
                <w:sz w:val="20"/>
                <w:szCs w:val="20"/>
                <w:lang w:val="en-US"/>
              </w:rPr>
              <w:t xml:space="preserve">Etravirine did not significantly change cabotegravir plasma concentration. No dose adjustment of </w:t>
            </w:r>
            <w:r w:rsidR="00DC4D8B" w:rsidRPr="00417DBF">
              <w:rPr>
                <w:rFonts w:ascii="Arial Narrow" w:hAnsi="Arial Narrow"/>
                <w:sz w:val="20"/>
                <w:szCs w:val="20"/>
                <w:lang w:val="en-US"/>
              </w:rPr>
              <w:t>CABENUVA</w:t>
            </w:r>
            <w:r w:rsidR="002A27F8" w:rsidRPr="00417DBF">
              <w:rPr>
                <w:rFonts w:ascii="Arial Narrow" w:hAnsi="Arial Narrow"/>
                <w:sz w:val="20"/>
                <w:szCs w:val="20"/>
                <w:lang w:val="en-US"/>
              </w:rPr>
              <w:t xml:space="preserve"> </w:t>
            </w:r>
            <w:r w:rsidRPr="00417DBF">
              <w:rPr>
                <w:rFonts w:ascii="Arial Narrow" w:hAnsi="Arial Narrow"/>
                <w:sz w:val="20"/>
                <w:szCs w:val="20"/>
                <w:lang w:val="en-US"/>
              </w:rPr>
              <w:t>is necessary when co-administered with etravirine.</w:t>
            </w:r>
          </w:p>
        </w:tc>
      </w:tr>
      <w:tr w:rsidR="001C1B56" w:rsidRPr="001C1B56" w14:paraId="4FCC5CFE" w14:textId="77777777" w:rsidTr="002A27F8">
        <w:tc>
          <w:tcPr>
            <w:tcW w:w="9750" w:type="dxa"/>
            <w:gridSpan w:val="3"/>
            <w:tcBorders>
              <w:top w:val="single" w:sz="4" w:space="0" w:color="auto"/>
              <w:left w:val="single" w:sz="4" w:space="0" w:color="auto"/>
              <w:bottom w:val="single" w:sz="4" w:space="0" w:color="auto"/>
              <w:right w:val="single" w:sz="4" w:space="0" w:color="auto"/>
            </w:tcBorders>
            <w:hideMark/>
          </w:tcPr>
          <w:p w14:paraId="0B22C42B" w14:textId="77777777" w:rsidR="001C1B56" w:rsidRPr="001C1B56" w:rsidRDefault="001C1B56" w:rsidP="002A27F8">
            <w:pPr>
              <w:spacing w:after="0"/>
              <w:rPr>
                <w:rFonts w:ascii="Arial Narrow" w:hAnsi="Arial Narrow"/>
                <w:i/>
                <w:sz w:val="20"/>
                <w:szCs w:val="20"/>
                <w:lang w:val="en-US"/>
              </w:rPr>
            </w:pPr>
            <w:r w:rsidRPr="001C1B56">
              <w:rPr>
                <w:rFonts w:ascii="Arial Narrow" w:hAnsi="Arial Narrow"/>
                <w:i/>
                <w:sz w:val="20"/>
                <w:szCs w:val="20"/>
                <w:lang w:val="en-US"/>
              </w:rPr>
              <w:t>Anticonvulsants</w:t>
            </w:r>
          </w:p>
        </w:tc>
      </w:tr>
      <w:tr w:rsidR="001C1B56" w:rsidRPr="001C1B56" w14:paraId="5E50BA2A" w14:textId="77777777" w:rsidTr="002A27F8">
        <w:tc>
          <w:tcPr>
            <w:tcW w:w="2236" w:type="dxa"/>
            <w:tcBorders>
              <w:top w:val="single" w:sz="4" w:space="0" w:color="auto"/>
              <w:left w:val="single" w:sz="4" w:space="0" w:color="auto"/>
              <w:bottom w:val="single" w:sz="4" w:space="0" w:color="auto"/>
              <w:right w:val="single" w:sz="4" w:space="0" w:color="auto"/>
            </w:tcBorders>
            <w:hideMark/>
          </w:tcPr>
          <w:p w14:paraId="6E185F07" w14:textId="77777777" w:rsidR="001C1B56" w:rsidRPr="001C1B56" w:rsidRDefault="001C1B56" w:rsidP="002A27F8">
            <w:pPr>
              <w:spacing w:after="0"/>
              <w:rPr>
                <w:rFonts w:ascii="Arial Narrow" w:hAnsi="Arial Narrow"/>
                <w:sz w:val="20"/>
                <w:szCs w:val="20"/>
                <w:lang w:val="en-US"/>
              </w:rPr>
            </w:pPr>
            <w:r w:rsidRPr="001C1B56">
              <w:rPr>
                <w:rFonts w:ascii="Arial Narrow" w:hAnsi="Arial Narrow"/>
                <w:sz w:val="20"/>
                <w:szCs w:val="20"/>
                <w:lang w:val="en-US"/>
              </w:rPr>
              <w:t>Carbamazepine</w:t>
            </w:r>
            <w:r w:rsidRPr="001C1B56">
              <w:rPr>
                <w:rFonts w:ascii="Arial Narrow" w:hAnsi="Arial Narrow"/>
                <w:sz w:val="20"/>
                <w:szCs w:val="20"/>
                <w:lang w:val="en-US"/>
              </w:rPr>
              <w:br/>
              <w:t>Oxcarbazepine</w:t>
            </w:r>
            <w:r w:rsidRPr="001C1B56">
              <w:rPr>
                <w:rFonts w:ascii="Arial Narrow" w:hAnsi="Arial Narrow"/>
                <w:sz w:val="20"/>
                <w:szCs w:val="20"/>
                <w:lang w:val="en-US"/>
              </w:rPr>
              <w:br/>
              <w:t>Phenytoin</w:t>
            </w:r>
            <w:r w:rsidRPr="001C1B56">
              <w:rPr>
                <w:rFonts w:ascii="Arial Narrow" w:hAnsi="Arial Narrow"/>
                <w:sz w:val="20"/>
                <w:szCs w:val="20"/>
                <w:lang w:val="en-US"/>
              </w:rPr>
              <w:br/>
              <w:t>Phenobarbital</w:t>
            </w:r>
          </w:p>
        </w:tc>
        <w:tc>
          <w:tcPr>
            <w:tcW w:w="2765" w:type="dxa"/>
            <w:tcBorders>
              <w:top w:val="single" w:sz="4" w:space="0" w:color="auto"/>
              <w:left w:val="single" w:sz="4" w:space="0" w:color="auto"/>
              <w:bottom w:val="single" w:sz="4" w:space="0" w:color="auto"/>
              <w:right w:val="single" w:sz="4" w:space="0" w:color="auto"/>
            </w:tcBorders>
            <w:hideMark/>
          </w:tcPr>
          <w:p w14:paraId="380278D1"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r w:rsidRPr="002A27F8">
              <w:rPr>
                <w:rFonts w:ascii="Arial Narrow" w:eastAsia="Times New Roman" w:hAnsi="Arial Narrow" w:cs="Times New Roman"/>
                <w:sz w:val="20"/>
                <w:szCs w:val="20"/>
                <w:lang w:val="en-US"/>
              </w:rPr>
              <w:t xml:space="preserve">Cabotegravir </w:t>
            </w:r>
            <w:r w:rsidRPr="002A27F8">
              <w:rPr>
                <w:rFonts w:ascii="Arial Narrow" w:eastAsia="Times New Roman" w:hAnsi="Arial Narrow" w:cs="Times New Roman"/>
                <w:sz w:val="20"/>
                <w:szCs w:val="20"/>
                <w:lang w:val="en-US"/>
              </w:rPr>
              <w:sym w:font="Symbol" w:char="F0AF"/>
            </w:r>
          </w:p>
        </w:tc>
        <w:tc>
          <w:tcPr>
            <w:tcW w:w="4749" w:type="dxa"/>
            <w:tcBorders>
              <w:top w:val="single" w:sz="4" w:space="0" w:color="auto"/>
              <w:left w:val="single" w:sz="4" w:space="0" w:color="auto"/>
              <w:bottom w:val="single" w:sz="4" w:space="0" w:color="auto"/>
              <w:right w:val="single" w:sz="4" w:space="0" w:color="auto"/>
            </w:tcBorders>
            <w:hideMark/>
          </w:tcPr>
          <w:p w14:paraId="51E1CBB5" w14:textId="7A6D1AC3" w:rsidR="001C1B56" w:rsidRPr="001C1B56" w:rsidRDefault="001C1B56" w:rsidP="002A27F8">
            <w:pPr>
              <w:spacing w:after="0"/>
              <w:rPr>
                <w:rFonts w:ascii="Arial Narrow" w:hAnsi="Arial Narrow"/>
                <w:sz w:val="20"/>
                <w:szCs w:val="20"/>
                <w:lang w:val="en-US"/>
              </w:rPr>
            </w:pPr>
            <w:r w:rsidRPr="001C1B56">
              <w:rPr>
                <w:rFonts w:ascii="Arial Narrow" w:hAnsi="Arial Narrow"/>
                <w:sz w:val="20"/>
                <w:szCs w:val="20"/>
                <w:lang w:val="en-US"/>
              </w:rPr>
              <w:t>Metabolic inducers may significantly decrease cabotegravir plasma concentration. Concomitant use is contraindicated</w:t>
            </w:r>
            <w:r w:rsidR="00460C39">
              <w:rPr>
                <w:rFonts w:ascii="Arial Narrow" w:hAnsi="Arial Narrow"/>
                <w:sz w:val="20"/>
                <w:szCs w:val="20"/>
                <w:lang w:val="en-US"/>
              </w:rPr>
              <w:t xml:space="preserve"> </w:t>
            </w:r>
            <w:r w:rsidR="00460C39" w:rsidRPr="004B6A22">
              <w:rPr>
                <w:rFonts w:ascii="Arial Narrow" w:hAnsi="Arial Narrow"/>
                <w:sz w:val="20"/>
                <w:szCs w:val="20"/>
              </w:rPr>
              <w:t xml:space="preserve">(see </w:t>
            </w:r>
            <w:r w:rsidR="00460C39">
              <w:rPr>
                <w:rFonts w:ascii="Arial Narrow" w:hAnsi="Arial Narrow"/>
                <w:sz w:val="20"/>
                <w:szCs w:val="20"/>
              </w:rPr>
              <w:t xml:space="preserve">Section 4.3 </w:t>
            </w:r>
            <w:r w:rsidR="00460C39" w:rsidRPr="00417DBF">
              <w:rPr>
                <w:rFonts w:ascii="Arial Narrow" w:hAnsi="Arial Narrow"/>
                <w:iCs/>
                <w:sz w:val="20"/>
                <w:szCs w:val="20"/>
              </w:rPr>
              <w:t>CONTRAINDICATIONS</w:t>
            </w:r>
            <w:r w:rsidR="00460C39" w:rsidRPr="004B6A22">
              <w:rPr>
                <w:rFonts w:ascii="Arial Narrow" w:hAnsi="Arial Narrow"/>
                <w:sz w:val="20"/>
                <w:szCs w:val="20"/>
              </w:rPr>
              <w:t>)</w:t>
            </w:r>
            <w:r w:rsidRPr="001C1B56">
              <w:rPr>
                <w:rFonts w:ascii="Arial Narrow" w:hAnsi="Arial Narrow"/>
                <w:sz w:val="20"/>
                <w:szCs w:val="20"/>
                <w:lang w:val="en-US"/>
              </w:rPr>
              <w:t>.</w:t>
            </w:r>
          </w:p>
        </w:tc>
      </w:tr>
      <w:tr w:rsidR="001C1B56" w:rsidRPr="001C1B56" w14:paraId="38AC63EC" w14:textId="77777777" w:rsidTr="002A27F8">
        <w:tc>
          <w:tcPr>
            <w:tcW w:w="9750" w:type="dxa"/>
            <w:gridSpan w:val="3"/>
            <w:tcBorders>
              <w:top w:val="single" w:sz="4" w:space="0" w:color="auto"/>
              <w:left w:val="single" w:sz="4" w:space="0" w:color="auto"/>
              <w:bottom w:val="single" w:sz="4" w:space="0" w:color="auto"/>
              <w:right w:val="single" w:sz="4" w:space="0" w:color="auto"/>
            </w:tcBorders>
            <w:hideMark/>
          </w:tcPr>
          <w:p w14:paraId="5A02CE2C" w14:textId="77777777" w:rsidR="001C1B56" w:rsidRPr="001C1B56" w:rsidRDefault="001C1B56" w:rsidP="002A27F8">
            <w:pPr>
              <w:spacing w:after="0"/>
              <w:rPr>
                <w:rFonts w:ascii="Arial Narrow" w:hAnsi="Arial Narrow"/>
                <w:i/>
                <w:sz w:val="20"/>
                <w:szCs w:val="20"/>
                <w:lang w:val="en-US"/>
              </w:rPr>
            </w:pPr>
            <w:proofErr w:type="spellStart"/>
            <w:r w:rsidRPr="001C1B56">
              <w:rPr>
                <w:rFonts w:ascii="Arial Narrow" w:hAnsi="Arial Narrow"/>
                <w:i/>
                <w:sz w:val="20"/>
                <w:szCs w:val="20"/>
                <w:lang w:val="en-US"/>
              </w:rPr>
              <w:t>Antimycobacterials</w:t>
            </w:r>
            <w:proofErr w:type="spellEnd"/>
          </w:p>
        </w:tc>
      </w:tr>
      <w:tr w:rsidR="001C1B56" w:rsidRPr="001C1B56" w14:paraId="2F3F50A9" w14:textId="77777777" w:rsidTr="002A27F8">
        <w:tc>
          <w:tcPr>
            <w:tcW w:w="2236" w:type="dxa"/>
            <w:tcBorders>
              <w:top w:val="single" w:sz="4" w:space="0" w:color="auto"/>
              <w:left w:val="single" w:sz="4" w:space="0" w:color="auto"/>
              <w:bottom w:val="single" w:sz="4" w:space="0" w:color="auto"/>
              <w:right w:val="single" w:sz="4" w:space="0" w:color="auto"/>
            </w:tcBorders>
          </w:tcPr>
          <w:p w14:paraId="7559F6C1" w14:textId="54600EDE" w:rsidR="001C1B56" w:rsidRPr="001C1B56" w:rsidRDefault="001C1B56" w:rsidP="00B93BAD">
            <w:pPr>
              <w:spacing w:after="0"/>
              <w:rPr>
                <w:rFonts w:ascii="Arial Narrow" w:hAnsi="Arial Narrow"/>
                <w:sz w:val="20"/>
                <w:szCs w:val="20"/>
                <w:lang w:val="en-US"/>
              </w:rPr>
            </w:pPr>
            <w:r w:rsidRPr="001C1B56">
              <w:rPr>
                <w:rFonts w:ascii="Arial Narrow" w:hAnsi="Arial Narrow"/>
                <w:sz w:val="20"/>
                <w:szCs w:val="20"/>
                <w:lang w:val="en-US"/>
              </w:rPr>
              <w:t>Rifampicin</w:t>
            </w:r>
          </w:p>
        </w:tc>
        <w:tc>
          <w:tcPr>
            <w:tcW w:w="2765" w:type="dxa"/>
            <w:tcBorders>
              <w:top w:val="single" w:sz="4" w:space="0" w:color="auto"/>
              <w:left w:val="single" w:sz="4" w:space="0" w:color="auto"/>
              <w:bottom w:val="single" w:sz="4" w:space="0" w:color="auto"/>
              <w:right w:val="single" w:sz="4" w:space="0" w:color="auto"/>
            </w:tcBorders>
            <w:hideMark/>
          </w:tcPr>
          <w:p w14:paraId="175C5256"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proofErr w:type="spellStart"/>
            <w:r w:rsidRPr="002A27F8">
              <w:rPr>
                <w:rFonts w:ascii="Arial Narrow" w:eastAsia="Times New Roman" w:hAnsi="Arial Narrow" w:cs="Times New Roman"/>
                <w:sz w:val="20"/>
                <w:szCs w:val="20"/>
                <w:lang w:val="en-US"/>
              </w:rPr>
              <w:t>Cabotegravir</w:t>
            </w:r>
            <w:proofErr w:type="spellEnd"/>
            <w:r w:rsidRPr="002A27F8">
              <w:rPr>
                <w:rFonts w:ascii="Arial Narrow" w:eastAsia="Times New Roman" w:hAnsi="Arial Narrow" w:cs="Times New Roman"/>
                <w:sz w:val="20"/>
                <w:szCs w:val="20"/>
                <w:lang w:val="en-US"/>
              </w:rPr>
              <w:t xml:space="preserve"> </w:t>
            </w:r>
            <w:r w:rsidRPr="002A27F8">
              <w:rPr>
                <w:rFonts w:ascii="Arial Narrow" w:eastAsia="Times New Roman" w:hAnsi="Arial Narrow" w:cs="Times New Roman"/>
                <w:sz w:val="20"/>
                <w:szCs w:val="20"/>
                <w:lang w:val="en-US"/>
              </w:rPr>
              <w:sym w:font="Symbol" w:char="F0AF"/>
            </w:r>
            <w:r w:rsidRPr="002A27F8">
              <w:rPr>
                <w:rFonts w:ascii="Arial Narrow" w:eastAsia="Times New Roman" w:hAnsi="Arial Narrow" w:cs="Times New Roman"/>
                <w:sz w:val="20"/>
                <w:szCs w:val="20"/>
                <w:lang w:val="en-US"/>
              </w:rPr>
              <w:br/>
              <w:t xml:space="preserve">AUC </w:t>
            </w:r>
            <w:r w:rsidRPr="002A27F8">
              <w:rPr>
                <w:rFonts w:ascii="Arial Narrow" w:eastAsia="Times New Roman" w:hAnsi="Arial Narrow" w:cs="Times New Roman"/>
                <w:sz w:val="20"/>
                <w:szCs w:val="20"/>
                <w:lang w:val="en-US"/>
              </w:rPr>
              <w:sym w:font="Symbol" w:char="F0AF"/>
            </w:r>
            <w:r w:rsidRPr="002A27F8">
              <w:rPr>
                <w:rFonts w:ascii="Arial Narrow" w:eastAsia="Times New Roman" w:hAnsi="Arial Narrow" w:cs="Times New Roman"/>
                <w:sz w:val="20"/>
                <w:szCs w:val="20"/>
                <w:lang w:val="en-US"/>
              </w:rPr>
              <w:t xml:space="preserve"> 59%</w:t>
            </w:r>
            <w:r w:rsidRPr="002A27F8">
              <w:rPr>
                <w:rFonts w:ascii="Arial Narrow" w:eastAsia="Times New Roman" w:hAnsi="Arial Narrow" w:cs="Times New Roman"/>
                <w:sz w:val="20"/>
                <w:szCs w:val="20"/>
                <w:lang w:val="en-US"/>
              </w:rPr>
              <w:br/>
            </w:r>
            <w:proofErr w:type="spellStart"/>
            <w:r w:rsidRPr="002A27F8">
              <w:rPr>
                <w:rFonts w:ascii="Arial Narrow" w:eastAsia="Times New Roman" w:hAnsi="Arial Narrow" w:cs="Times New Roman"/>
                <w:sz w:val="20"/>
                <w:szCs w:val="20"/>
                <w:lang w:val="en-US"/>
              </w:rPr>
              <w:t>C</w:t>
            </w:r>
            <w:r w:rsidRPr="00774CD0">
              <w:rPr>
                <w:rFonts w:ascii="Arial Narrow" w:eastAsia="Times New Roman" w:hAnsi="Arial Narrow" w:cs="Times New Roman"/>
                <w:sz w:val="20"/>
                <w:szCs w:val="20"/>
                <w:vertAlign w:val="subscript"/>
                <w:lang w:val="en-US"/>
              </w:rPr>
              <w:t>max</w:t>
            </w:r>
            <w:proofErr w:type="spellEnd"/>
            <w:r w:rsidRPr="002A27F8">
              <w:rPr>
                <w:rFonts w:ascii="Arial Narrow" w:eastAsia="Times New Roman" w:hAnsi="Arial Narrow" w:cs="Times New Roman"/>
                <w:sz w:val="20"/>
                <w:szCs w:val="20"/>
                <w:lang w:val="en-US"/>
              </w:rPr>
              <w:t xml:space="preserve"> </w:t>
            </w:r>
            <w:r w:rsidRPr="002A27F8">
              <w:rPr>
                <w:rFonts w:ascii="Arial Narrow" w:eastAsia="Times New Roman" w:hAnsi="Arial Narrow" w:cs="Times New Roman"/>
                <w:sz w:val="20"/>
                <w:szCs w:val="20"/>
                <w:lang w:val="en-US"/>
              </w:rPr>
              <w:sym w:font="Symbol" w:char="F0AF"/>
            </w:r>
            <w:r w:rsidRPr="002A27F8">
              <w:rPr>
                <w:rFonts w:ascii="Arial Narrow" w:eastAsia="Times New Roman" w:hAnsi="Arial Narrow" w:cs="Times New Roman"/>
                <w:sz w:val="20"/>
                <w:szCs w:val="20"/>
                <w:lang w:val="en-US"/>
              </w:rPr>
              <w:t xml:space="preserve"> 6%</w:t>
            </w:r>
          </w:p>
        </w:tc>
        <w:tc>
          <w:tcPr>
            <w:tcW w:w="4749" w:type="dxa"/>
            <w:tcBorders>
              <w:top w:val="single" w:sz="4" w:space="0" w:color="auto"/>
              <w:left w:val="single" w:sz="4" w:space="0" w:color="auto"/>
              <w:bottom w:val="single" w:sz="4" w:space="0" w:color="auto"/>
              <w:right w:val="single" w:sz="4" w:space="0" w:color="auto"/>
            </w:tcBorders>
          </w:tcPr>
          <w:p w14:paraId="4BCF6969" w14:textId="4BF23218" w:rsidR="001C1B56" w:rsidRPr="001C1B56" w:rsidRDefault="001C1B56" w:rsidP="002A27F8">
            <w:pPr>
              <w:spacing w:after="0"/>
              <w:rPr>
                <w:rFonts w:ascii="Arial Narrow" w:hAnsi="Arial Narrow"/>
                <w:sz w:val="20"/>
                <w:szCs w:val="20"/>
                <w:lang w:val="en-US"/>
              </w:rPr>
            </w:pPr>
            <w:r w:rsidRPr="001C1B56">
              <w:rPr>
                <w:rFonts w:ascii="Arial Narrow" w:hAnsi="Arial Narrow"/>
                <w:sz w:val="20"/>
                <w:szCs w:val="20"/>
                <w:lang w:val="en-US"/>
              </w:rPr>
              <w:t xml:space="preserve">Rifampicin significantly decreased cabotegravir plasma concentration which is likely to result in loss of therapeutic effect. Dosing recommendations for co-administration of </w:t>
            </w:r>
            <w:r w:rsidR="00DC4D8B">
              <w:rPr>
                <w:rFonts w:ascii="Arial Narrow" w:hAnsi="Arial Narrow"/>
                <w:sz w:val="20"/>
                <w:szCs w:val="20"/>
                <w:lang w:val="en-US"/>
              </w:rPr>
              <w:t>CABENUVA</w:t>
            </w:r>
            <w:r w:rsidR="00774CD0" w:rsidRPr="001C1B56">
              <w:rPr>
                <w:rFonts w:ascii="Arial Narrow" w:hAnsi="Arial Narrow"/>
                <w:sz w:val="20"/>
                <w:szCs w:val="20"/>
                <w:lang w:val="en-US"/>
              </w:rPr>
              <w:t xml:space="preserve"> </w:t>
            </w:r>
            <w:r w:rsidRPr="001C1B56">
              <w:rPr>
                <w:rFonts w:ascii="Arial Narrow" w:hAnsi="Arial Narrow"/>
                <w:sz w:val="20"/>
                <w:szCs w:val="20"/>
                <w:lang w:val="en-US"/>
              </w:rPr>
              <w:t xml:space="preserve">with rifampicin have not been established and co-administration of </w:t>
            </w:r>
            <w:r w:rsidR="00DC4D8B">
              <w:rPr>
                <w:rFonts w:ascii="Arial Narrow" w:hAnsi="Arial Narrow"/>
                <w:sz w:val="20"/>
                <w:szCs w:val="20"/>
                <w:lang w:val="en-US"/>
              </w:rPr>
              <w:t>CABENUVA</w:t>
            </w:r>
            <w:r w:rsidR="00774CD0" w:rsidRPr="001C1B56">
              <w:rPr>
                <w:rFonts w:ascii="Arial Narrow" w:hAnsi="Arial Narrow"/>
                <w:sz w:val="20"/>
                <w:szCs w:val="20"/>
                <w:lang w:val="en-US"/>
              </w:rPr>
              <w:t xml:space="preserve"> </w:t>
            </w:r>
            <w:r w:rsidRPr="001C1B56">
              <w:rPr>
                <w:rFonts w:ascii="Arial Narrow" w:hAnsi="Arial Narrow"/>
                <w:sz w:val="20"/>
                <w:szCs w:val="20"/>
                <w:lang w:val="en-US"/>
              </w:rPr>
              <w:t>with rifampicin is contraindicated</w:t>
            </w:r>
            <w:r w:rsidR="00460C39">
              <w:rPr>
                <w:rFonts w:ascii="Arial Narrow" w:hAnsi="Arial Narrow"/>
                <w:sz w:val="20"/>
                <w:szCs w:val="20"/>
                <w:lang w:val="en-US"/>
              </w:rPr>
              <w:t xml:space="preserve"> </w:t>
            </w:r>
            <w:r w:rsidR="00460C39" w:rsidRPr="004B6A22">
              <w:rPr>
                <w:rFonts w:ascii="Arial Narrow" w:hAnsi="Arial Narrow"/>
                <w:sz w:val="20"/>
                <w:szCs w:val="20"/>
              </w:rPr>
              <w:t xml:space="preserve">(see </w:t>
            </w:r>
            <w:r w:rsidR="00460C39">
              <w:rPr>
                <w:rFonts w:ascii="Arial Narrow" w:hAnsi="Arial Narrow"/>
                <w:sz w:val="20"/>
                <w:szCs w:val="20"/>
              </w:rPr>
              <w:t xml:space="preserve">Section 4.3 </w:t>
            </w:r>
            <w:r w:rsidR="00460C39" w:rsidRPr="00417DBF">
              <w:rPr>
                <w:rFonts w:ascii="Arial Narrow" w:hAnsi="Arial Narrow"/>
                <w:iCs/>
                <w:sz w:val="20"/>
                <w:szCs w:val="20"/>
              </w:rPr>
              <w:t>CONTRAINDICATIONS</w:t>
            </w:r>
            <w:r w:rsidR="00460C39" w:rsidRPr="004B6A22">
              <w:rPr>
                <w:rFonts w:ascii="Arial Narrow" w:hAnsi="Arial Narrow"/>
                <w:sz w:val="20"/>
                <w:szCs w:val="20"/>
              </w:rPr>
              <w:t>)</w:t>
            </w:r>
            <w:r w:rsidRPr="001C1B56">
              <w:rPr>
                <w:rFonts w:ascii="Arial Narrow" w:hAnsi="Arial Narrow"/>
                <w:sz w:val="20"/>
                <w:szCs w:val="20"/>
                <w:lang w:val="en-US"/>
              </w:rPr>
              <w:t>.</w:t>
            </w:r>
          </w:p>
          <w:p w14:paraId="6F0BB583" w14:textId="77777777" w:rsidR="001C1B56" w:rsidRPr="001C1B56" w:rsidRDefault="001C1B56" w:rsidP="002A27F8">
            <w:pPr>
              <w:spacing w:after="0"/>
              <w:rPr>
                <w:rFonts w:ascii="Arial Narrow" w:hAnsi="Arial Narrow"/>
                <w:sz w:val="20"/>
                <w:szCs w:val="20"/>
                <w:lang w:val="en-US"/>
              </w:rPr>
            </w:pPr>
          </w:p>
        </w:tc>
      </w:tr>
      <w:tr w:rsidR="001C1B56" w:rsidRPr="001C1B56" w14:paraId="39F45C56" w14:textId="77777777" w:rsidTr="002A27F8">
        <w:tc>
          <w:tcPr>
            <w:tcW w:w="2236" w:type="dxa"/>
            <w:tcBorders>
              <w:top w:val="single" w:sz="4" w:space="0" w:color="auto"/>
              <w:left w:val="single" w:sz="4" w:space="0" w:color="auto"/>
              <w:bottom w:val="single" w:sz="4" w:space="0" w:color="auto"/>
              <w:right w:val="single" w:sz="4" w:space="0" w:color="auto"/>
            </w:tcBorders>
            <w:hideMark/>
          </w:tcPr>
          <w:p w14:paraId="2B0636CB" w14:textId="77777777" w:rsidR="001C1B56" w:rsidRPr="001C1B56" w:rsidRDefault="001C1B56" w:rsidP="002A27F8">
            <w:pPr>
              <w:spacing w:after="0"/>
              <w:rPr>
                <w:rFonts w:ascii="Arial Narrow" w:hAnsi="Arial Narrow"/>
                <w:sz w:val="20"/>
                <w:szCs w:val="20"/>
                <w:lang w:val="en-US"/>
              </w:rPr>
            </w:pPr>
            <w:r w:rsidRPr="001C1B56">
              <w:rPr>
                <w:rFonts w:ascii="Arial Narrow" w:hAnsi="Arial Narrow"/>
                <w:sz w:val="20"/>
                <w:szCs w:val="20"/>
                <w:lang w:val="en-US"/>
              </w:rPr>
              <w:t>Rifapentine</w:t>
            </w:r>
          </w:p>
        </w:tc>
        <w:tc>
          <w:tcPr>
            <w:tcW w:w="2765" w:type="dxa"/>
            <w:tcBorders>
              <w:top w:val="single" w:sz="4" w:space="0" w:color="auto"/>
              <w:left w:val="single" w:sz="4" w:space="0" w:color="auto"/>
              <w:bottom w:val="single" w:sz="4" w:space="0" w:color="auto"/>
              <w:right w:val="single" w:sz="4" w:space="0" w:color="auto"/>
            </w:tcBorders>
            <w:hideMark/>
          </w:tcPr>
          <w:p w14:paraId="2870C398"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r w:rsidRPr="002A27F8">
              <w:rPr>
                <w:rFonts w:ascii="Arial Narrow" w:eastAsia="Times New Roman" w:hAnsi="Arial Narrow" w:cs="Times New Roman"/>
                <w:sz w:val="20"/>
                <w:szCs w:val="20"/>
                <w:lang w:val="en-US"/>
              </w:rPr>
              <w:t xml:space="preserve">Cabotegravir </w:t>
            </w:r>
            <w:r w:rsidRPr="002A27F8">
              <w:rPr>
                <w:rFonts w:ascii="Arial Narrow" w:eastAsia="Times New Roman" w:hAnsi="Arial Narrow" w:cs="Times New Roman"/>
                <w:sz w:val="20"/>
                <w:szCs w:val="20"/>
                <w:lang w:val="en-US"/>
              </w:rPr>
              <w:sym w:font="Symbol" w:char="F0AF"/>
            </w:r>
          </w:p>
        </w:tc>
        <w:tc>
          <w:tcPr>
            <w:tcW w:w="4749" w:type="dxa"/>
            <w:tcBorders>
              <w:top w:val="single" w:sz="4" w:space="0" w:color="auto"/>
              <w:left w:val="single" w:sz="4" w:space="0" w:color="auto"/>
              <w:bottom w:val="single" w:sz="4" w:space="0" w:color="auto"/>
              <w:right w:val="single" w:sz="4" w:space="0" w:color="auto"/>
            </w:tcBorders>
            <w:hideMark/>
          </w:tcPr>
          <w:p w14:paraId="090C5A64" w14:textId="77777777" w:rsidR="001C1B56" w:rsidRPr="001C1B56" w:rsidRDefault="001C1B56" w:rsidP="002A27F8">
            <w:pPr>
              <w:spacing w:after="0"/>
              <w:rPr>
                <w:rFonts w:ascii="Arial Narrow" w:hAnsi="Arial Narrow"/>
                <w:sz w:val="20"/>
                <w:szCs w:val="20"/>
                <w:lang w:val="en-US"/>
              </w:rPr>
            </w:pPr>
            <w:r w:rsidRPr="001C1B56">
              <w:rPr>
                <w:rFonts w:ascii="Arial Narrow" w:hAnsi="Arial Narrow"/>
                <w:sz w:val="20"/>
                <w:szCs w:val="20"/>
                <w:lang w:val="en-US"/>
              </w:rPr>
              <w:t>Rifapentine may significantly decrease cabotegravir plasma concentrations. Concomitant use is contraindicated.</w:t>
            </w:r>
          </w:p>
        </w:tc>
      </w:tr>
      <w:tr w:rsidR="001C1B56" w:rsidRPr="001C1B56" w14:paraId="7216A00A" w14:textId="77777777" w:rsidTr="002A27F8">
        <w:tc>
          <w:tcPr>
            <w:tcW w:w="2236" w:type="dxa"/>
            <w:tcBorders>
              <w:top w:val="single" w:sz="4" w:space="0" w:color="auto"/>
              <w:left w:val="single" w:sz="4" w:space="0" w:color="auto"/>
              <w:bottom w:val="single" w:sz="4" w:space="0" w:color="auto"/>
              <w:right w:val="single" w:sz="4" w:space="0" w:color="auto"/>
            </w:tcBorders>
          </w:tcPr>
          <w:p w14:paraId="4F883B99" w14:textId="7E44BF84" w:rsidR="001C1B56" w:rsidRPr="001C1B56" w:rsidRDefault="001C1B56" w:rsidP="00B93BAD">
            <w:pPr>
              <w:spacing w:after="0"/>
              <w:rPr>
                <w:rFonts w:ascii="Arial Narrow" w:hAnsi="Arial Narrow"/>
                <w:sz w:val="20"/>
                <w:szCs w:val="20"/>
                <w:lang w:val="en-US"/>
              </w:rPr>
            </w:pPr>
            <w:proofErr w:type="spellStart"/>
            <w:r w:rsidRPr="001C1B56">
              <w:rPr>
                <w:rFonts w:ascii="Arial Narrow" w:hAnsi="Arial Narrow"/>
                <w:sz w:val="20"/>
                <w:szCs w:val="20"/>
                <w:lang w:val="en-US"/>
              </w:rPr>
              <w:t>Rifabutin</w:t>
            </w:r>
            <w:proofErr w:type="spellEnd"/>
          </w:p>
        </w:tc>
        <w:tc>
          <w:tcPr>
            <w:tcW w:w="2765" w:type="dxa"/>
            <w:tcBorders>
              <w:top w:val="single" w:sz="4" w:space="0" w:color="auto"/>
              <w:left w:val="single" w:sz="4" w:space="0" w:color="auto"/>
              <w:bottom w:val="single" w:sz="4" w:space="0" w:color="auto"/>
              <w:right w:val="single" w:sz="4" w:space="0" w:color="auto"/>
            </w:tcBorders>
            <w:hideMark/>
          </w:tcPr>
          <w:p w14:paraId="386335D3"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proofErr w:type="spellStart"/>
            <w:r w:rsidRPr="002A27F8">
              <w:rPr>
                <w:rFonts w:ascii="Arial Narrow" w:eastAsia="Times New Roman" w:hAnsi="Arial Narrow" w:cs="Times New Roman"/>
                <w:sz w:val="20"/>
                <w:szCs w:val="20"/>
                <w:lang w:val="en-US"/>
              </w:rPr>
              <w:t>Cabotegravir</w:t>
            </w:r>
            <w:proofErr w:type="spellEnd"/>
            <w:r w:rsidRPr="002A27F8">
              <w:rPr>
                <w:rFonts w:ascii="Arial Narrow" w:eastAsia="Times New Roman" w:hAnsi="Arial Narrow" w:cs="Times New Roman"/>
                <w:sz w:val="20"/>
                <w:szCs w:val="20"/>
                <w:lang w:val="en-US"/>
              </w:rPr>
              <w:t xml:space="preserve"> </w:t>
            </w:r>
            <w:r w:rsidRPr="002A27F8">
              <w:rPr>
                <w:rFonts w:ascii="Arial Narrow" w:eastAsia="Times New Roman" w:hAnsi="Arial Narrow" w:cs="Times New Roman"/>
                <w:sz w:val="20"/>
                <w:szCs w:val="20"/>
                <w:lang w:val="en-US"/>
              </w:rPr>
              <w:sym w:font="Symbol" w:char="F0AF"/>
            </w:r>
            <w:r w:rsidRPr="002A27F8">
              <w:rPr>
                <w:rFonts w:ascii="Arial Narrow" w:eastAsia="Times New Roman" w:hAnsi="Arial Narrow" w:cs="Times New Roman"/>
                <w:sz w:val="20"/>
                <w:szCs w:val="20"/>
                <w:lang w:val="en-US"/>
              </w:rPr>
              <w:br/>
              <w:t xml:space="preserve">AUC </w:t>
            </w:r>
            <w:r w:rsidRPr="002A27F8">
              <w:rPr>
                <w:rFonts w:ascii="Arial Narrow" w:eastAsia="Times New Roman" w:hAnsi="Arial Narrow" w:cs="Times New Roman"/>
                <w:sz w:val="20"/>
                <w:szCs w:val="20"/>
                <w:lang w:val="en-US"/>
              </w:rPr>
              <w:sym w:font="Symbol" w:char="F0AF"/>
            </w:r>
            <w:r w:rsidRPr="002A27F8">
              <w:rPr>
                <w:rFonts w:ascii="Arial Narrow" w:eastAsia="Times New Roman" w:hAnsi="Arial Narrow" w:cs="Times New Roman"/>
                <w:sz w:val="20"/>
                <w:szCs w:val="20"/>
                <w:lang w:val="en-US"/>
              </w:rPr>
              <w:t xml:space="preserve"> 21%</w:t>
            </w:r>
            <w:r w:rsidRPr="002A27F8">
              <w:rPr>
                <w:rFonts w:ascii="Arial Narrow" w:eastAsia="Times New Roman" w:hAnsi="Arial Narrow" w:cs="Times New Roman"/>
                <w:sz w:val="20"/>
                <w:szCs w:val="20"/>
                <w:lang w:val="en-US"/>
              </w:rPr>
              <w:br/>
            </w:r>
            <w:proofErr w:type="spellStart"/>
            <w:r w:rsidRPr="002A27F8">
              <w:rPr>
                <w:rFonts w:ascii="Arial Narrow" w:eastAsia="Times New Roman" w:hAnsi="Arial Narrow" w:cs="Times New Roman"/>
                <w:sz w:val="20"/>
                <w:szCs w:val="20"/>
                <w:lang w:val="en-US"/>
              </w:rPr>
              <w:t>C</w:t>
            </w:r>
            <w:r w:rsidRPr="00EC1C0B">
              <w:rPr>
                <w:rFonts w:ascii="Arial Narrow" w:eastAsia="Times New Roman" w:hAnsi="Arial Narrow" w:cs="Times New Roman"/>
                <w:sz w:val="20"/>
                <w:szCs w:val="20"/>
                <w:vertAlign w:val="subscript"/>
                <w:lang w:val="en-US"/>
              </w:rPr>
              <w:t>max</w:t>
            </w:r>
            <w:proofErr w:type="spellEnd"/>
            <w:r w:rsidRPr="002A27F8">
              <w:rPr>
                <w:rFonts w:ascii="Arial Narrow" w:eastAsia="Times New Roman" w:hAnsi="Arial Narrow" w:cs="Times New Roman"/>
                <w:sz w:val="20"/>
                <w:szCs w:val="20"/>
                <w:lang w:val="en-US"/>
              </w:rPr>
              <w:t xml:space="preserve"> </w:t>
            </w:r>
            <w:r w:rsidRPr="002A27F8">
              <w:rPr>
                <w:rFonts w:ascii="Arial Narrow" w:eastAsia="Times New Roman" w:hAnsi="Arial Narrow" w:cs="Times New Roman"/>
                <w:sz w:val="20"/>
                <w:szCs w:val="20"/>
                <w:lang w:val="en-US"/>
              </w:rPr>
              <w:sym w:font="Symbol" w:char="F0AF"/>
            </w:r>
            <w:r w:rsidRPr="002A27F8">
              <w:rPr>
                <w:rFonts w:ascii="Arial Narrow" w:eastAsia="Times New Roman" w:hAnsi="Arial Narrow" w:cs="Times New Roman"/>
                <w:sz w:val="20"/>
                <w:szCs w:val="20"/>
                <w:lang w:val="en-US"/>
              </w:rPr>
              <w:t xml:space="preserve"> 17%</w:t>
            </w:r>
          </w:p>
          <w:p w14:paraId="51149FF1"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proofErr w:type="spellStart"/>
            <w:r w:rsidRPr="002A27F8">
              <w:rPr>
                <w:rFonts w:ascii="Arial Narrow" w:eastAsia="Times New Roman" w:hAnsi="Arial Narrow" w:cs="Times New Roman"/>
                <w:sz w:val="20"/>
                <w:szCs w:val="20"/>
                <w:lang w:val="en-US"/>
              </w:rPr>
              <w:t>C</w:t>
            </w:r>
            <w:r w:rsidR="002A27F8" w:rsidRPr="002A27F8">
              <w:rPr>
                <w:rFonts w:ascii="Arial Narrow" w:eastAsia="Times New Roman" w:hAnsi="Arial Narrow" w:cs="Times New Roman" w:hint="eastAsia"/>
                <w:sz w:val="20"/>
                <w:szCs w:val="20"/>
                <w:lang w:val="en-US"/>
              </w:rPr>
              <w:t>τ</w:t>
            </w:r>
            <w:proofErr w:type="spellEnd"/>
            <w:r w:rsidRPr="002A27F8">
              <w:rPr>
                <w:rFonts w:ascii="Arial Narrow" w:eastAsia="Times New Roman" w:hAnsi="Arial Narrow" w:cs="Times New Roman"/>
                <w:sz w:val="20"/>
                <w:szCs w:val="20"/>
                <w:lang w:val="en-US"/>
              </w:rPr>
              <w:t xml:space="preserve"> </w:t>
            </w:r>
            <w:r w:rsidR="00774CD0" w:rsidRPr="002A27F8">
              <w:rPr>
                <w:rFonts w:ascii="Arial Narrow" w:eastAsia="Times New Roman" w:hAnsi="Arial Narrow" w:cs="Times New Roman"/>
                <w:sz w:val="20"/>
                <w:szCs w:val="20"/>
                <w:lang w:val="en-US"/>
              </w:rPr>
              <w:sym w:font="Symbol" w:char="F0AF"/>
            </w:r>
            <w:r w:rsidR="00774CD0">
              <w:rPr>
                <w:rFonts w:ascii="Arial Narrow" w:eastAsia="Times New Roman" w:hAnsi="Arial Narrow" w:cs="Times New Roman"/>
                <w:sz w:val="20"/>
                <w:szCs w:val="20"/>
                <w:lang w:val="en-US"/>
              </w:rPr>
              <w:t xml:space="preserve"> </w:t>
            </w:r>
            <w:r w:rsidRPr="002A27F8">
              <w:rPr>
                <w:rFonts w:ascii="Arial Narrow" w:eastAsia="Times New Roman" w:hAnsi="Arial Narrow" w:cs="Times New Roman"/>
                <w:sz w:val="20"/>
                <w:szCs w:val="20"/>
                <w:lang w:val="en-US"/>
              </w:rPr>
              <w:t>8%</w:t>
            </w:r>
          </w:p>
        </w:tc>
        <w:tc>
          <w:tcPr>
            <w:tcW w:w="4749" w:type="dxa"/>
            <w:tcBorders>
              <w:top w:val="single" w:sz="4" w:space="0" w:color="auto"/>
              <w:left w:val="single" w:sz="4" w:space="0" w:color="auto"/>
              <w:bottom w:val="single" w:sz="4" w:space="0" w:color="auto"/>
              <w:right w:val="single" w:sz="4" w:space="0" w:color="auto"/>
            </w:tcBorders>
            <w:hideMark/>
          </w:tcPr>
          <w:p w14:paraId="5A726842" w14:textId="0119B9D0" w:rsidR="001C1B56" w:rsidRPr="001C1B56" w:rsidRDefault="001C1B56" w:rsidP="002A27F8">
            <w:pPr>
              <w:widowControl w:val="0"/>
              <w:spacing w:after="0" w:line="240" w:lineRule="auto"/>
              <w:rPr>
                <w:rFonts w:ascii="Arial Narrow" w:hAnsi="Arial Narrow"/>
                <w:sz w:val="20"/>
                <w:szCs w:val="20"/>
                <w:lang w:val="en-US"/>
              </w:rPr>
            </w:pPr>
            <w:r w:rsidRPr="001C1B56">
              <w:rPr>
                <w:rFonts w:ascii="Arial Narrow" w:hAnsi="Arial Narrow"/>
                <w:sz w:val="20"/>
                <w:szCs w:val="20"/>
                <w:lang w:val="en-US"/>
              </w:rPr>
              <w:t xml:space="preserve">Rifabutin may decrease cabotegravir </w:t>
            </w:r>
            <w:r w:rsidR="003875C0">
              <w:rPr>
                <w:rFonts w:ascii="Arial Narrow" w:hAnsi="Arial Narrow"/>
                <w:sz w:val="20"/>
                <w:szCs w:val="20"/>
                <w:lang w:val="en-US"/>
              </w:rPr>
              <w:t xml:space="preserve">injection </w:t>
            </w:r>
            <w:r w:rsidRPr="001C1B56">
              <w:rPr>
                <w:rFonts w:ascii="Arial Narrow" w:hAnsi="Arial Narrow"/>
                <w:sz w:val="20"/>
                <w:szCs w:val="20"/>
                <w:lang w:val="en-US"/>
              </w:rPr>
              <w:t>plasma concentration. Concomitant use should be avoided.</w:t>
            </w:r>
          </w:p>
        </w:tc>
      </w:tr>
      <w:tr w:rsidR="001C1B56" w:rsidRPr="001C1B56" w14:paraId="3A82B0B4" w14:textId="77777777" w:rsidTr="002A27F8">
        <w:tc>
          <w:tcPr>
            <w:tcW w:w="9750" w:type="dxa"/>
            <w:gridSpan w:val="3"/>
            <w:tcBorders>
              <w:top w:val="single" w:sz="4" w:space="0" w:color="auto"/>
              <w:left w:val="single" w:sz="4" w:space="0" w:color="auto"/>
              <w:bottom w:val="single" w:sz="4" w:space="0" w:color="auto"/>
              <w:right w:val="single" w:sz="4" w:space="0" w:color="auto"/>
            </w:tcBorders>
            <w:hideMark/>
          </w:tcPr>
          <w:p w14:paraId="69068755" w14:textId="77777777" w:rsidR="001C1B56" w:rsidRPr="001C1B56" w:rsidRDefault="001C1B56" w:rsidP="002A27F8">
            <w:pPr>
              <w:widowControl w:val="0"/>
              <w:spacing w:after="0" w:line="240" w:lineRule="auto"/>
              <w:rPr>
                <w:rFonts w:ascii="Arial Narrow" w:hAnsi="Arial Narrow"/>
                <w:bCs/>
                <w:sz w:val="20"/>
                <w:szCs w:val="20"/>
                <w:lang w:val="en-US"/>
              </w:rPr>
            </w:pPr>
            <w:r w:rsidRPr="001C1B56">
              <w:rPr>
                <w:rFonts w:ascii="Arial Narrow" w:hAnsi="Arial Narrow"/>
                <w:i/>
                <w:sz w:val="20"/>
                <w:szCs w:val="20"/>
                <w:lang w:val="en-US"/>
              </w:rPr>
              <w:t>Oral contraceptives</w:t>
            </w:r>
          </w:p>
        </w:tc>
      </w:tr>
      <w:tr w:rsidR="001C1B56" w:rsidRPr="001C1B56" w14:paraId="0F24EB16" w14:textId="77777777" w:rsidTr="002A27F8">
        <w:tc>
          <w:tcPr>
            <w:tcW w:w="2236" w:type="dxa"/>
            <w:tcBorders>
              <w:top w:val="single" w:sz="4" w:space="0" w:color="auto"/>
              <w:left w:val="single" w:sz="4" w:space="0" w:color="auto"/>
              <w:bottom w:val="single" w:sz="4" w:space="0" w:color="auto"/>
              <w:right w:val="single" w:sz="4" w:space="0" w:color="auto"/>
            </w:tcBorders>
            <w:hideMark/>
          </w:tcPr>
          <w:p w14:paraId="42C1C7A7" w14:textId="77777777" w:rsidR="001C1B56" w:rsidRPr="001C1B56" w:rsidRDefault="001C1B56" w:rsidP="002A27F8">
            <w:pPr>
              <w:spacing w:after="0"/>
              <w:rPr>
                <w:rFonts w:ascii="Arial Narrow" w:hAnsi="Arial Narrow"/>
                <w:sz w:val="20"/>
                <w:szCs w:val="20"/>
                <w:lang w:val="en-US"/>
              </w:rPr>
            </w:pPr>
            <w:r w:rsidRPr="001C1B56">
              <w:rPr>
                <w:rFonts w:ascii="Arial Narrow" w:hAnsi="Arial Narrow"/>
                <w:sz w:val="20"/>
                <w:szCs w:val="20"/>
                <w:lang w:val="en-US"/>
              </w:rPr>
              <w:t>Ethinyl estradiol (EE) and Levonorgestrel (LNG)</w:t>
            </w:r>
          </w:p>
        </w:tc>
        <w:tc>
          <w:tcPr>
            <w:tcW w:w="2765" w:type="dxa"/>
            <w:tcBorders>
              <w:top w:val="single" w:sz="4" w:space="0" w:color="auto"/>
              <w:left w:val="single" w:sz="4" w:space="0" w:color="auto"/>
              <w:bottom w:val="single" w:sz="4" w:space="0" w:color="auto"/>
              <w:right w:val="single" w:sz="4" w:space="0" w:color="auto"/>
            </w:tcBorders>
          </w:tcPr>
          <w:p w14:paraId="1F15187A"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r w:rsidRPr="002A27F8">
              <w:rPr>
                <w:rFonts w:ascii="Arial Narrow" w:eastAsia="Times New Roman" w:hAnsi="Arial Narrow" w:cs="Times New Roman"/>
                <w:sz w:val="20"/>
                <w:szCs w:val="20"/>
                <w:lang w:val="en-US"/>
              </w:rPr>
              <w:t xml:space="preserve">EE </w:t>
            </w:r>
            <w:r w:rsidRPr="002A27F8">
              <w:rPr>
                <w:rFonts w:ascii="Arial Narrow" w:eastAsia="Times New Roman" w:hAnsi="Arial Narrow" w:cs="Times New Roman"/>
                <w:sz w:val="20"/>
                <w:szCs w:val="20"/>
                <w:lang w:val="en-US"/>
              </w:rPr>
              <w:sym w:font="Symbol" w:char="F0AB"/>
            </w:r>
          </w:p>
          <w:p w14:paraId="0758CCC0"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r w:rsidRPr="002A27F8">
              <w:rPr>
                <w:rFonts w:ascii="Arial Narrow" w:eastAsia="Times New Roman" w:hAnsi="Arial Narrow" w:cs="Times New Roman"/>
                <w:sz w:val="20"/>
                <w:szCs w:val="20"/>
                <w:lang w:val="en-US"/>
              </w:rPr>
              <w:t xml:space="preserve">AUC </w:t>
            </w:r>
            <w:r w:rsidRPr="002A27F8">
              <w:rPr>
                <w:rFonts w:ascii="Arial Narrow" w:eastAsia="Times New Roman" w:hAnsi="Arial Narrow" w:cs="Times New Roman"/>
                <w:sz w:val="20"/>
                <w:szCs w:val="20"/>
                <w:lang w:val="en-US"/>
              </w:rPr>
              <w:sym w:font="Symbol" w:char="F0AD"/>
            </w:r>
            <w:r w:rsidRPr="002A27F8">
              <w:rPr>
                <w:rFonts w:ascii="Arial Narrow" w:eastAsia="Times New Roman" w:hAnsi="Arial Narrow" w:cs="Times New Roman"/>
                <w:sz w:val="20"/>
                <w:szCs w:val="20"/>
                <w:lang w:val="en-US"/>
              </w:rPr>
              <w:t xml:space="preserve"> 2%</w:t>
            </w:r>
            <w:r w:rsidRPr="002A27F8">
              <w:rPr>
                <w:rFonts w:ascii="Arial Narrow" w:eastAsia="Times New Roman" w:hAnsi="Arial Narrow" w:cs="Times New Roman"/>
                <w:sz w:val="20"/>
                <w:szCs w:val="20"/>
                <w:lang w:val="en-US"/>
              </w:rPr>
              <w:br/>
            </w:r>
            <w:proofErr w:type="spellStart"/>
            <w:r w:rsidRPr="002A27F8">
              <w:rPr>
                <w:rFonts w:ascii="Arial Narrow" w:eastAsia="Times New Roman" w:hAnsi="Arial Narrow" w:cs="Times New Roman"/>
                <w:sz w:val="20"/>
                <w:szCs w:val="20"/>
                <w:lang w:val="en-US"/>
              </w:rPr>
              <w:t>C</w:t>
            </w:r>
            <w:r w:rsidRPr="00EC1C0B">
              <w:rPr>
                <w:rFonts w:ascii="Arial Narrow" w:eastAsia="Times New Roman" w:hAnsi="Arial Narrow" w:cs="Times New Roman"/>
                <w:sz w:val="20"/>
                <w:szCs w:val="20"/>
                <w:vertAlign w:val="subscript"/>
                <w:lang w:val="en-US"/>
              </w:rPr>
              <w:t>max</w:t>
            </w:r>
            <w:proofErr w:type="spellEnd"/>
            <w:r w:rsidRPr="002A27F8">
              <w:rPr>
                <w:rFonts w:ascii="Arial Narrow" w:eastAsia="Times New Roman" w:hAnsi="Arial Narrow" w:cs="Times New Roman"/>
                <w:sz w:val="20"/>
                <w:szCs w:val="20"/>
                <w:lang w:val="en-US"/>
              </w:rPr>
              <w:t xml:space="preserve"> </w:t>
            </w:r>
            <w:r w:rsidRPr="002A27F8">
              <w:rPr>
                <w:rFonts w:ascii="Arial Narrow" w:eastAsia="Times New Roman" w:hAnsi="Arial Narrow" w:cs="Times New Roman"/>
                <w:sz w:val="20"/>
                <w:szCs w:val="20"/>
                <w:lang w:val="en-US"/>
              </w:rPr>
              <w:sym w:font="Symbol" w:char="F0AF"/>
            </w:r>
            <w:r w:rsidRPr="002A27F8">
              <w:rPr>
                <w:rFonts w:ascii="Arial Narrow" w:eastAsia="Times New Roman" w:hAnsi="Arial Narrow" w:cs="Times New Roman"/>
                <w:sz w:val="20"/>
                <w:szCs w:val="20"/>
                <w:lang w:val="en-US"/>
              </w:rPr>
              <w:t xml:space="preserve"> 8%</w:t>
            </w:r>
          </w:p>
          <w:p w14:paraId="74B39FB6"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proofErr w:type="spellStart"/>
            <w:r w:rsidRPr="002A27F8">
              <w:rPr>
                <w:rFonts w:ascii="Arial Narrow" w:eastAsia="Times New Roman" w:hAnsi="Arial Narrow" w:cs="Times New Roman"/>
                <w:sz w:val="20"/>
                <w:szCs w:val="20"/>
                <w:lang w:val="en-US"/>
              </w:rPr>
              <w:t>C</w:t>
            </w:r>
            <w:r w:rsidR="002A27F8" w:rsidRPr="002A27F8">
              <w:rPr>
                <w:rFonts w:ascii="Arial Narrow" w:eastAsia="Times New Roman" w:hAnsi="Arial Narrow" w:cs="Times New Roman" w:hint="eastAsia"/>
                <w:sz w:val="20"/>
                <w:szCs w:val="20"/>
                <w:lang w:val="en-US"/>
              </w:rPr>
              <w:t>τ</w:t>
            </w:r>
            <w:proofErr w:type="spellEnd"/>
            <w:r w:rsidRPr="002A27F8">
              <w:rPr>
                <w:rFonts w:ascii="Arial Narrow" w:eastAsia="Times New Roman" w:hAnsi="Arial Narrow" w:cs="Times New Roman"/>
                <w:sz w:val="20"/>
                <w:szCs w:val="20"/>
                <w:lang w:val="en-US"/>
              </w:rPr>
              <w:t xml:space="preserve"> </w:t>
            </w:r>
            <w:r w:rsidRPr="002A27F8">
              <w:rPr>
                <w:rFonts w:ascii="Arial Narrow" w:eastAsia="Times New Roman" w:hAnsi="Arial Narrow" w:cs="Times New Roman"/>
                <w:sz w:val="20"/>
                <w:szCs w:val="20"/>
                <w:lang w:val="en-US"/>
              </w:rPr>
              <w:sym w:font="Symbol" w:char="F0AB"/>
            </w:r>
            <w:r w:rsidRPr="002A27F8">
              <w:rPr>
                <w:rFonts w:ascii="Arial Narrow" w:eastAsia="Times New Roman" w:hAnsi="Arial Narrow" w:cs="Times New Roman"/>
                <w:sz w:val="20"/>
                <w:szCs w:val="20"/>
                <w:lang w:val="en-US"/>
              </w:rPr>
              <w:t xml:space="preserve"> 0%</w:t>
            </w:r>
          </w:p>
          <w:p w14:paraId="6ED411DC" w14:textId="21AB6890"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r w:rsidRPr="002A27F8">
              <w:rPr>
                <w:rFonts w:ascii="Arial Narrow" w:eastAsia="Times New Roman" w:hAnsi="Arial Narrow" w:cs="Times New Roman"/>
                <w:sz w:val="20"/>
                <w:szCs w:val="20"/>
                <w:lang w:val="en-US"/>
              </w:rPr>
              <w:t xml:space="preserve">LNG </w:t>
            </w:r>
            <w:r w:rsidRPr="002A27F8">
              <w:rPr>
                <w:rFonts w:ascii="Arial Narrow" w:eastAsia="Times New Roman" w:hAnsi="Arial Narrow" w:cs="Times New Roman"/>
                <w:sz w:val="20"/>
                <w:szCs w:val="20"/>
                <w:lang w:val="en-US"/>
              </w:rPr>
              <w:sym w:font="Symbol" w:char="F0AB"/>
            </w:r>
          </w:p>
        </w:tc>
        <w:tc>
          <w:tcPr>
            <w:tcW w:w="4749" w:type="dxa"/>
            <w:tcBorders>
              <w:top w:val="single" w:sz="4" w:space="0" w:color="auto"/>
              <w:left w:val="single" w:sz="4" w:space="0" w:color="auto"/>
              <w:bottom w:val="single" w:sz="4" w:space="0" w:color="auto"/>
              <w:right w:val="single" w:sz="4" w:space="0" w:color="auto"/>
            </w:tcBorders>
            <w:hideMark/>
          </w:tcPr>
          <w:p w14:paraId="58BE147D" w14:textId="77936B6E" w:rsidR="001C1B56" w:rsidRPr="001C1B56" w:rsidRDefault="001C1B56" w:rsidP="002A27F8">
            <w:pPr>
              <w:widowControl w:val="0"/>
              <w:spacing w:after="0" w:line="240" w:lineRule="auto"/>
              <w:rPr>
                <w:rFonts w:ascii="Arial Narrow" w:hAnsi="Arial Narrow"/>
                <w:bCs/>
                <w:sz w:val="20"/>
                <w:szCs w:val="20"/>
                <w:lang w:val="en-US"/>
              </w:rPr>
            </w:pPr>
            <w:r w:rsidRPr="001C1B56">
              <w:rPr>
                <w:rFonts w:ascii="Arial Narrow" w:hAnsi="Arial Narrow"/>
                <w:sz w:val="20"/>
                <w:szCs w:val="20"/>
                <w:lang w:val="en-US"/>
              </w:rPr>
              <w:t xml:space="preserve">Cabotegravir did not significantly change ethinyl estradiol and levonorgestrel plasma concentrations to a clinically relevant extent. No dose adjustment of oral contraceptives is necessary when co-administered with </w:t>
            </w:r>
            <w:r w:rsidR="00DC4D8B">
              <w:rPr>
                <w:rFonts w:ascii="Arial Narrow" w:hAnsi="Arial Narrow"/>
                <w:sz w:val="20"/>
                <w:szCs w:val="20"/>
                <w:lang w:val="en-US"/>
              </w:rPr>
              <w:t>CABENUVA</w:t>
            </w:r>
            <w:r w:rsidRPr="001C1B56">
              <w:rPr>
                <w:rFonts w:ascii="Arial Narrow" w:hAnsi="Arial Narrow"/>
                <w:sz w:val="20"/>
                <w:szCs w:val="20"/>
                <w:lang w:val="en-US"/>
              </w:rPr>
              <w:t>.</w:t>
            </w:r>
          </w:p>
        </w:tc>
      </w:tr>
    </w:tbl>
    <w:p w14:paraId="165B5F25" w14:textId="31CFD0E9" w:rsidR="001C1B56" w:rsidRDefault="002A27F8" w:rsidP="002A27F8">
      <w:pPr>
        <w:rPr>
          <w:rFonts w:ascii="Arial Narrow" w:hAnsi="Arial Narrow" w:cs="Arial"/>
          <w:sz w:val="18"/>
          <w:szCs w:val="18"/>
          <w:lang w:val="en"/>
        </w:rPr>
      </w:pPr>
      <w:r w:rsidRPr="002A27F8">
        <w:rPr>
          <w:rFonts w:ascii="Arial Narrow" w:hAnsi="Arial Narrow" w:cs="Arial"/>
          <w:sz w:val="18"/>
          <w:szCs w:val="18"/>
          <w:lang w:val="en"/>
        </w:rPr>
        <w:t>Abbreviations: ↑ = increase; ↓ = decrease; ↔ = no change ;</w:t>
      </w:r>
      <w:r>
        <w:rPr>
          <w:rFonts w:ascii="Arial Narrow" w:hAnsi="Arial Narrow" w:cs="Arial"/>
          <w:sz w:val="18"/>
          <w:szCs w:val="18"/>
          <w:lang w:val="en"/>
        </w:rPr>
        <w:t xml:space="preserve"> </w:t>
      </w:r>
      <w:r w:rsidRPr="002A27F8">
        <w:rPr>
          <w:rFonts w:ascii="Arial Narrow" w:hAnsi="Arial Narrow" w:cs="Arial"/>
          <w:sz w:val="18"/>
          <w:szCs w:val="18"/>
          <w:lang w:val="en"/>
        </w:rPr>
        <w:t xml:space="preserve">AUC = area under the concentration versus time curve ; </w:t>
      </w:r>
      <w:proofErr w:type="spellStart"/>
      <w:r w:rsidRPr="002A27F8">
        <w:rPr>
          <w:rFonts w:ascii="Arial Narrow" w:hAnsi="Arial Narrow" w:cs="Arial"/>
          <w:sz w:val="18"/>
          <w:szCs w:val="18"/>
          <w:lang w:val="en"/>
        </w:rPr>
        <w:t>C</w:t>
      </w:r>
      <w:r w:rsidRPr="002A27F8">
        <w:rPr>
          <w:rFonts w:ascii="Arial Narrow" w:hAnsi="Arial Narrow" w:cs="Arial"/>
          <w:sz w:val="18"/>
          <w:szCs w:val="18"/>
          <w:vertAlign w:val="subscript"/>
          <w:lang w:val="en"/>
        </w:rPr>
        <w:t>max</w:t>
      </w:r>
      <w:proofErr w:type="spellEnd"/>
      <w:r w:rsidRPr="002A27F8">
        <w:rPr>
          <w:rFonts w:ascii="Arial Narrow" w:hAnsi="Arial Narrow" w:cs="Arial"/>
          <w:sz w:val="18"/>
          <w:szCs w:val="18"/>
          <w:lang w:val="en"/>
        </w:rPr>
        <w:t xml:space="preserve"> = maximum observed concentration; </w:t>
      </w:r>
      <w:bookmarkStart w:id="16" w:name="_Hlk9411816"/>
      <w:proofErr w:type="spellStart"/>
      <w:r w:rsidRPr="002A27F8">
        <w:rPr>
          <w:rFonts w:ascii="Arial Narrow" w:hAnsi="Arial Narrow" w:cs="Arial"/>
          <w:sz w:val="18"/>
          <w:szCs w:val="18"/>
          <w:lang w:val="en"/>
        </w:rPr>
        <w:t>C</w:t>
      </w:r>
      <w:r w:rsidRPr="002A27F8">
        <w:rPr>
          <w:rFonts w:ascii="Arial Narrow" w:hAnsi="Arial Narrow" w:cs="Arial"/>
          <w:sz w:val="18"/>
          <w:szCs w:val="18"/>
          <w:vertAlign w:val="subscript"/>
          <w:lang w:val="en"/>
        </w:rPr>
        <w:t>τ</w:t>
      </w:r>
      <w:proofErr w:type="spellEnd"/>
      <w:r w:rsidRPr="002A27F8">
        <w:rPr>
          <w:rFonts w:ascii="Arial Narrow" w:hAnsi="Arial Narrow" w:cs="Arial"/>
          <w:sz w:val="18"/>
          <w:szCs w:val="18"/>
          <w:lang w:val="en"/>
        </w:rPr>
        <w:t xml:space="preserve">  = concentration at end of dosing interval</w:t>
      </w:r>
      <w:bookmarkEnd w:id="16"/>
      <w:r w:rsidRPr="002A27F8">
        <w:rPr>
          <w:rFonts w:ascii="Arial Narrow" w:hAnsi="Arial Narrow" w:cs="Arial"/>
          <w:sz w:val="18"/>
          <w:szCs w:val="18"/>
          <w:lang w:val="en"/>
        </w:rPr>
        <w:t>.</w:t>
      </w:r>
    </w:p>
    <w:p w14:paraId="3261B98A" w14:textId="633A0ED1" w:rsidR="004B6A22" w:rsidRDefault="004B6A22" w:rsidP="00B93BAD">
      <w:pPr>
        <w:pageBreakBefore/>
        <w:rPr>
          <w:rFonts w:ascii="Arial" w:hAnsi="Arial" w:cs="Arial"/>
          <w:b/>
        </w:rPr>
      </w:pPr>
      <w:r w:rsidRPr="002A27F8">
        <w:rPr>
          <w:rFonts w:ascii="Arial" w:hAnsi="Arial" w:cs="Arial"/>
          <w:b/>
        </w:rPr>
        <w:lastRenderedPageBreak/>
        <w:t xml:space="preserve">Table </w:t>
      </w:r>
      <w:r w:rsidR="00936270">
        <w:rPr>
          <w:rFonts w:ascii="Arial" w:hAnsi="Arial" w:cs="Arial"/>
          <w:b/>
        </w:rPr>
        <w:t>6</w:t>
      </w:r>
      <w:r w:rsidRPr="002A27F8">
        <w:rPr>
          <w:rFonts w:ascii="Arial" w:hAnsi="Arial" w:cs="Arial"/>
          <w:b/>
        </w:rPr>
        <w:t>: Drug Interactions</w:t>
      </w:r>
      <w:r>
        <w:rPr>
          <w:rFonts w:ascii="Arial" w:hAnsi="Arial" w:cs="Arial"/>
          <w:b/>
        </w:rPr>
        <w:t xml:space="preserve"> for rilpivirine</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5"/>
        <w:gridCol w:w="31"/>
        <w:gridCol w:w="3317"/>
        <w:gridCol w:w="3114"/>
      </w:tblGrid>
      <w:tr w:rsidR="004B6A22" w:rsidRPr="004B6A22" w14:paraId="628F935F" w14:textId="77777777" w:rsidTr="00BB01FF">
        <w:trPr>
          <w:cantSplit/>
          <w:tblHeader/>
          <w:jc w:val="center"/>
        </w:trPr>
        <w:tc>
          <w:tcPr>
            <w:tcW w:w="1421" w:type="pct"/>
          </w:tcPr>
          <w:p w14:paraId="700461E8" w14:textId="77777777" w:rsidR="004B6A22" w:rsidRPr="004B6A22" w:rsidRDefault="004B6A22" w:rsidP="004B6A22">
            <w:pPr>
              <w:keepNext/>
              <w:spacing w:after="0"/>
              <w:rPr>
                <w:rFonts w:ascii="Arial Narrow" w:hAnsi="Arial Narrow"/>
                <w:sz w:val="20"/>
                <w:szCs w:val="20"/>
              </w:rPr>
            </w:pPr>
            <w:bookmarkStart w:id="17" w:name="_Hlk519239872"/>
            <w:r w:rsidRPr="004B6A22">
              <w:rPr>
                <w:rFonts w:ascii="Arial Narrow" w:hAnsi="Arial Narrow"/>
                <w:b/>
                <w:bCs/>
                <w:sz w:val="20"/>
                <w:szCs w:val="20"/>
              </w:rPr>
              <w:t>Medicinal products by therapeutic areas</w:t>
            </w:r>
          </w:p>
        </w:tc>
        <w:tc>
          <w:tcPr>
            <w:tcW w:w="1854" w:type="pct"/>
            <w:gridSpan w:val="2"/>
          </w:tcPr>
          <w:p w14:paraId="732CEE86" w14:textId="77777777" w:rsidR="004B6A22" w:rsidRPr="004B6A22" w:rsidRDefault="004B6A22" w:rsidP="004B6A22">
            <w:pPr>
              <w:keepNext/>
              <w:spacing w:after="0"/>
              <w:rPr>
                <w:rFonts w:ascii="Arial Narrow" w:hAnsi="Arial Narrow"/>
                <w:b/>
                <w:bCs/>
                <w:sz w:val="20"/>
                <w:szCs w:val="20"/>
              </w:rPr>
            </w:pPr>
            <w:r w:rsidRPr="004B6A22">
              <w:rPr>
                <w:rFonts w:ascii="Arial Narrow" w:hAnsi="Arial Narrow"/>
                <w:b/>
                <w:bCs/>
                <w:sz w:val="20"/>
                <w:szCs w:val="20"/>
              </w:rPr>
              <w:t>Interaction</w:t>
            </w:r>
          </w:p>
          <w:p w14:paraId="1DC78497" w14:textId="51141E70" w:rsidR="004B6A22" w:rsidRPr="004B6A22" w:rsidRDefault="004B6A22" w:rsidP="004B6A22">
            <w:pPr>
              <w:keepNext/>
              <w:spacing w:after="0"/>
              <w:rPr>
                <w:rFonts w:ascii="Arial Narrow" w:hAnsi="Arial Narrow"/>
                <w:sz w:val="20"/>
                <w:szCs w:val="20"/>
              </w:rPr>
            </w:pPr>
            <w:r w:rsidRPr="004B6A22">
              <w:rPr>
                <w:rFonts w:ascii="Arial Narrow" w:hAnsi="Arial Narrow"/>
                <w:b/>
                <w:bCs/>
                <w:sz w:val="20"/>
                <w:szCs w:val="20"/>
              </w:rPr>
              <w:t>Geometric mean change (%)</w:t>
            </w:r>
          </w:p>
        </w:tc>
        <w:tc>
          <w:tcPr>
            <w:tcW w:w="1725" w:type="pct"/>
          </w:tcPr>
          <w:p w14:paraId="0A365CB7" w14:textId="77777777" w:rsidR="004B6A22" w:rsidRPr="004B6A22" w:rsidRDefault="004B6A22" w:rsidP="004B6A22">
            <w:pPr>
              <w:keepNext/>
              <w:spacing w:after="0"/>
              <w:rPr>
                <w:rFonts w:ascii="Arial Narrow" w:hAnsi="Arial Narrow"/>
                <w:sz w:val="20"/>
                <w:szCs w:val="20"/>
              </w:rPr>
            </w:pPr>
            <w:r w:rsidRPr="004B6A22">
              <w:rPr>
                <w:rFonts w:ascii="Arial Narrow" w:hAnsi="Arial Narrow"/>
                <w:b/>
                <w:bCs/>
                <w:sz w:val="20"/>
                <w:szCs w:val="20"/>
              </w:rPr>
              <w:t>Recommendations concerning co</w:t>
            </w:r>
            <w:r w:rsidRPr="004B6A22">
              <w:rPr>
                <w:rFonts w:ascii="Arial Narrow" w:hAnsi="Arial Narrow"/>
                <w:b/>
                <w:bCs/>
                <w:sz w:val="20"/>
                <w:szCs w:val="20"/>
              </w:rPr>
              <w:noBreakHyphen/>
              <w:t>administration</w:t>
            </w:r>
          </w:p>
        </w:tc>
      </w:tr>
      <w:tr w:rsidR="004B6A22" w:rsidRPr="00417DBF" w14:paraId="0CE3446B" w14:textId="39EC5DC1" w:rsidTr="004B6A22">
        <w:trPr>
          <w:cantSplit/>
          <w:jc w:val="center"/>
        </w:trPr>
        <w:tc>
          <w:tcPr>
            <w:tcW w:w="5000" w:type="pct"/>
            <w:gridSpan w:val="4"/>
          </w:tcPr>
          <w:p w14:paraId="39159AE0" w14:textId="7697D5A7" w:rsidR="004B6A22" w:rsidRPr="00417DBF" w:rsidRDefault="004B6A22" w:rsidP="00B93BAD">
            <w:pPr>
              <w:autoSpaceDE w:val="0"/>
              <w:autoSpaceDN w:val="0"/>
              <w:adjustRightInd w:val="0"/>
              <w:spacing w:after="0"/>
              <w:rPr>
                <w:rFonts w:ascii="Arial Narrow" w:hAnsi="Arial Narrow"/>
                <w:b/>
                <w:sz w:val="20"/>
                <w:szCs w:val="20"/>
              </w:rPr>
            </w:pPr>
            <w:r w:rsidRPr="00417DBF">
              <w:rPr>
                <w:rFonts w:ascii="Arial Narrow" w:hAnsi="Arial Narrow"/>
                <w:i/>
                <w:sz w:val="20"/>
                <w:szCs w:val="20"/>
                <w:lang w:val="en-US"/>
              </w:rPr>
              <w:t>HIV-1 Antiviral medicinal products</w:t>
            </w:r>
          </w:p>
        </w:tc>
      </w:tr>
      <w:tr w:rsidR="004B6A22" w:rsidRPr="004B6A22" w14:paraId="73D8F82A" w14:textId="2B38082C" w:rsidTr="004B6A22">
        <w:trPr>
          <w:cantSplit/>
          <w:jc w:val="center"/>
        </w:trPr>
        <w:tc>
          <w:tcPr>
            <w:tcW w:w="1438" w:type="pct"/>
            <w:gridSpan w:val="2"/>
            <w:tcBorders>
              <w:top w:val="single" w:sz="4" w:space="0" w:color="auto"/>
              <w:left w:val="single" w:sz="4" w:space="0" w:color="auto"/>
              <w:bottom w:val="single" w:sz="4" w:space="0" w:color="auto"/>
              <w:right w:val="single" w:sz="4" w:space="0" w:color="auto"/>
            </w:tcBorders>
          </w:tcPr>
          <w:p w14:paraId="7B968DAC" w14:textId="3BD59925" w:rsidR="004B6A22" w:rsidRPr="00417DBF" w:rsidRDefault="004B6A22" w:rsidP="004B6A22">
            <w:pPr>
              <w:spacing w:after="0"/>
              <w:rPr>
                <w:rFonts w:ascii="Arial Narrow" w:hAnsi="Arial Narrow"/>
                <w:sz w:val="20"/>
                <w:szCs w:val="20"/>
              </w:rPr>
            </w:pPr>
            <w:r w:rsidRPr="00417DBF">
              <w:rPr>
                <w:rFonts w:ascii="Arial Narrow" w:hAnsi="Arial Narrow"/>
                <w:sz w:val="20"/>
                <w:szCs w:val="20"/>
              </w:rPr>
              <w:t>Ribavirin</w:t>
            </w:r>
          </w:p>
        </w:tc>
        <w:tc>
          <w:tcPr>
            <w:tcW w:w="1837" w:type="pct"/>
            <w:tcBorders>
              <w:top w:val="single" w:sz="4" w:space="0" w:color="auto"/>
              <w:left w:val="single" w:sz="4" w:space="0" w:color="auto"/>
              <w:bottom w:val="single" w:sz="4" w:space="0" w:color="auto"/>
              <w:right w:val="single" w:sz="4" w:space="0" w:color="auto"/>
            </w:tcBorders>
          </w:tcPr>
          <w:p w14:paraId="1B481C30" w14:textId="7C802F94" w:rsidR="004B6A22" w:rsidRPr="00417DBF" w:rsidRDefault="004B6A22" w:rsidP="004B6A22">
            <w:pPr>
              <w:spacing w:after="0"/>
              <w:rPr>
                <w:rFonts w:ascii="Arial Narrow" w:hAnsi="Arial Narrow"/>
                <w:sz w:val="20"/>
                <w:szCs w:val="20"/>
              </w:rPr>
            </w:pPr>
            <w:r w:rsidRPr="00417DBF">
              <w:rPr>
                <w:rFonts w:ascii="Arial Narrow" w:hAnsi="Arial Narrow"/>
                <w:sz w:val="20"/>
                <w:szCs w:val="20"/>
              </w:rPr>
              <w:t>Not studied. No clinically relevant drug-drug interaction is expected.</w:t>
            </w:r>
          </w:p>
        </w:tc>
        <w:tc>
          <w:tcPr>
            <w:tcW w:w="1725" w:type="pct"/>
            <w:tcBorders>
              <w:top w:val="single" w:sz="4" w:space="0" w:color="auto"/>
              <w:left w:val="single" w:sz="4" w:space="0" w:color="auto"/>
              <w:bottom w:val="single" w:sz="4" w:space="0" w:color="auto"/>
              <w:right w:val="single" w:sz="4" w:space="0" w:color="auto"/>
            </w:tcBorders>
          </w:tcPr>
          <w:p w14:paraId="386E2046" w14:textId="24249A16" w:rsidR="004B6A22" w:rsidRPr="004B6A22" w:rsidRDefault="004B6A22" w:rsidP="004B6A22">
            <w:pPr>
              <w:spacing w:after="0"/>
              <w:rPr>
                <w:rFonts w:ascii="Arial Narrow" w:eastAsia="SimSun" w:hAnsi="Arial Narrow"/>
                <w:sz w:val="20"/>
                <w:szCs w:val="20"/>
              </w:rPr>
            </w:pPr>
            <w:r w:rsidRPr="00417DBF">
              <w:rPr>
                <w:rFonts w:ascii="Arial Narrow" w:eastAsia="SimSun" w:hAnsi="Arial Narrow"/>
                <w:sz w:val="20"/>
                <w:szCs w:val="20"/>
              </w:rPr>
              <w:t>No dose adjustment is required.</w:t>
            </w:r>
          </w:p>
        </w:tc>
      </w:tr>
      <w:tr w:rsidR="004B6A22" w:rsidRPr="004B6A22" w14:paraId="7A8499E2" w14:textId="77777777" w:rsidTr="004B6A22">
        <w:trPr>
          <w:cantSplit/>
          <w:jc w:val="center"/>
        </w:trPr>
        <w:tc>
          <w:tcPr>
            <w:tcW w:w="5000" w:type="pct"/>
            <w:gridSpan w:val="4"/>
          </w:tcPr>
          <w:p w14:paraId="65B5622F" w14:textId="3A6A78DC" w:rsidR="004B6A22" w:rsidRPr="004B6A22" w:rsidRDefault="004B6A22" w:rsidP="00B93BAD">
            <w:pPr>
              <w:spacing w:after="0"/>
              <w:rPr>
                <w:rFonts w:ascii="Arial Narrow" w:hAnsi="Arial Narrow"/>
                <w:b/>
                <w:bCs/>
                <w:sz w:val="20"/>
                <w:szCs w:val="20"/>
              </w:rPr>
            </w:pPr>
            <w:r w:rsidRPr="001C1B56">
              <w:rPr>
                <w:rFonts w:ascii="Arial Narrow" w:hAnsi="Arial Narrow"/>
                <w:i/>
                <w:sz w:val="20"/>
                <w:szCs w:val="20"/>
                <w:lang w:val="en-US"/>
              </w:rPr>
              <w:t>Anticonvulsants</w:t>
            </w:r>
          </w:p>
        </w:tc>
      </w:tr>
      <w:tr w:rsidR="004B6A22" w:rsidRPr="004B6A22" w14:paraId="7390F94B" w14:textId="77777777" w:rsidTr="004B6A22">
        <w:trPr>
          <w:cantSplit/>
          <w:jc w:val="center"/>
        </w:trPr>
        <w:tc>
          <w:tcPr>
            <w:tcW w:w="1421" w:type="pct"/>
          </w:tcPr>
          <w:p w14:paraId="4C107A1F"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Carbamazepine</w:t>
            </w:r>
          </w:p>
          <w:p w14:paraId="2F29DD64"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Oxcarbazepine</w:t>
            </w:r>
          </w:p>
          <w:p w14:paraId="741F0EE8"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Phenobarbital</w:t>
            </w:r>
          </w:p>
          <w:p w14:paraId="668BC25B"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Phenytoin</w:t>
            </w:r>
          </w:p>
        </w:tc>
        <w:tc>
          <w:tcPr>
            <w:tcW w:w="1854" w:type="pct"/>
            <w:gridSpan w:val="2"/>
          </w:tcPr>
          <w:p w14:paraId="53E6534F" w14:textId="1811734C" w:rsidR="004B6A22" w:rsidRPr="004B6A22" w:rsidRDefault="004B6A22" w:rsidP="004B6A22">
            <w:pPr>
              <w:spacing w:after="0"/>
              <w:rPr>
                <w:rFonts w:ascii="Arial Narrow" w:hAnsi="Arial Narrow"/>
                <w:sz w:val="20"/>
                <w:szCs w:val="20"/>
              </w:rPr>
            </w:pPr>
            <w:r w:rsidRPr="004B6A22">
              <w:rPr>
                <w:rFonts w:ascii="Arial Narrow" w:hAnsi="Arial Narrow"/>
                <w:sz w:val="20"/>
                <w:szCs w:val="20"/>
              </w:rPr>
              <w:t>Not studied. Significant decreases in rilpivirine plasma concentrations are expected.</w:t>
            </w:r>
          </w:p>
          <w:p w14:paraId="4616E89F"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(induction of CYP3A enzymes)</w:t>
            </w:r>
          </w:p>
        </w:tc>
        <w:tc>
          <w:tcPr>
            <w:tcW w:w="1725" w:type="pct"/>
          </w:tcPr>
          <w:p w14:paraId="77E6FD51" w14:textId="5CD4EEC9" w:rsidR="004B6A22" w:rsidRPr="004B6A22" w:rsidRDefault="004B6A22" w:rsidP="004B6A22">
            <w:pPr>
              <w:spacing w:after="0"/>
              <w:rPr>
                <w:rFonts w:ascii="Arial Narrow" w:hAnsi="Arial Narrow"/>
                <w:sz w:val="20"/>
                <w:szCs w:val="20"/>
              </w:rPr>
            </w:pPr>
            <w:r w:rsidRPr="004B6A22">
              <w:rPr>
                <w:rFonts w:ascii="Arial Narrow" w:hAnsi="Arial Narrow"/>
                <w:sz w:val="20"/>
                <w:szCs w:val="20"/>
              </w:rPr>
              <w:t>Rilpivirine must not be used in combination with these anticonvulsants as co</w:t>
            </w:r>
            <w:r w:rsidRPr="004B6A22">
              <w:rPr>
                <w:rFonts w:ascii="Arial Narrow" w:hAnsi="Arial Narrow"/>
                <w:sz w:val="20"/>
                <w:szCs w:val="20"/>
              </w:rPr>
              <w:noBreakHyphen/>
              <w:t xml:space="preserve">administration may result in loss of therapeutic effect of rilpivirine (see </w:t>
            </w:r>
            <w:r w:rsidR="00417DBF">
              <w:rPr>
                <w:rFonts w:ascii="Arial Narrow" w:hAnsi="Arial Narrow"/>
                <w:sz w:val="20"/>
                <w:szCs w:val="20"/>
              </w:rPr>
              <w:t xml:space="preserve">Section 4.3 </w:t>
            </w:r>
            <w:r w:rsidR="00417DBF" w:rsidRPr="00417DBF">
              <w:rPr>
                <w:rFonts w:ascii="Arial Narrow" w:hAnsi="Arial Narrow"/>
                <w:iCs/>
                <w:sz w:val="20"/>
                <w:szCs w:val="20"/>
              </w:rPr>
              <w:t>CONTRAINDICATIONS</w:t>
            </w:r>
            <w:r w:rsidRPr="004B6A22">
              <w:rPr>
                <w:rFonts w:ascii="Arial Narrow" w:hAnsi="Arial Narrow"/>
                <w:sz w:val="20"/>
                <w:szCs w:val="20"/>
              </w:rPr>
              <w:t>).</w:t>
            </w:r>
          </w:p>
        </w:tc>
      </w:tr>
      <w:tr w:rsidR="004B6A22" w:rsidRPr="004B6A22" w14:paraId="17357C71" w14:textId="77777777" w:rsidTr="004B6A22">
        <w:trPr>
          <w:cantSplit/>
          <w:jc w:val="center"/>
        </w:trPr>
        <w:tc>
          <w:tcPr>
            <w:tcW w:w="5000" w:type="pct"/>
            <w:gridSpan w:val="4"/>
          </w:tcPr>
          <w:p w14:paraId="1BB8AF9B" w14:textId="6081C9D1" w:rsidR="004B6A22" w:rsidRPr="004B6A22" w:rsidRDefault="004B6A22" w:rsidP="00B93BAD">
            <w:pPr>
              <w:spacing w:after="0"/>
              <w:rPr>
                <w:rFonts w:ascii="Arial Narrow" w:hAnsi="Arial Narrow"/>
                <w:sz w:val="20"/>
                <w:szCs w:val="20"/>
              </w:rPr>
            </w:pPr>
            <w:r>
              <w:rPr>
                <w:rFonts w:ascii="Arial Narrow" w:hAnsi="Arial Narrow"/>
                <w:i/>
                <w:sz w:val="20"/>
                <w:szCs w:val="20"/>
                <w:lang w:val="en-US"/>
              </w:rPr>
              <w:t>A</w:t>
            </w:r>
            <w:r w:rsidRPr="004B6A22">
              <w:rPr>
                <w:rFonts w:ascii="Arial Narrow" w:hAnsi="Arial Narrow"/>
                <w:i/>
                <w:sz w:val="20"/>
                <w:szCs w:val="20"/>
                <w:lang w:val="en-US"/>
              </w:rPr>
              <w:t>zole antifungal agents</w:t>
            </w:r>
          </w:p>
        </w:tc>
      </w:tr>
      <w:tr w:rsidR="004B6A22" w:rsidRPr="004B6A22" w14:paraId="540AB608" w14:textId="77777777" w:rsidTr="004B6A22">
        <w:trPr>
          <w:cantSplit/>
          <w:jc w:val="center"/>
        </w:trPr>
        <w:tc>
          <w:tcPr>
            <w:tcW w:w="1421" w:type="pct"/>
          </w:tcPr>
          <w:p w14:paraId="79F3B830"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Ketoconazole</w:t>
            </w:r>
          </w:p>
          <w:p w14:paraId="15EE1209"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400 mg once daily</w:t>
            </w:r>
          </w:p>
        </w:tc>
        <w:tc>
          <w:tcPr>
            <w:tcW w:w="1854" w:type="pct"/>
            <w:gridSpan w:val="2"/>
          </w:tcPr>
          <w:p w14:paraId="69369BD7"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ketoconazole AUC ↓ 24%</w:t>
            </w:r>
          </w:p>
          <w:p w14:paraId="6F056643"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 xml:space="preserve">ketoconazole </w:t>
            </w:r>
            <w:proofErr w:type="spellStart"/>
            <w:r w:rsidRPr="004B6A22">
              <w:rPr>
                <w:rFonts w:ascii="Arial Narrow" w:hAnsi="Arial Narrow"/>
                <w:sz w:val="20"/>
                <w:szCs w:val="20"/>
              </w:rPr>
              <w:t>C</w:t>
            </w:r>
            <w:r w:rsidRPr="004B6A22">
              <w:rPr>
                <w:rFonts w:ascii="Arial Narrow" w:hAnsi="Arial Narrow"/>
                <w:sz w:val="20"/>
                <w:szCs w:val="20"/>
                <w:vertAlign w:val="subscript"/>
              </w:rPr>
              <w:t>min</w:t>
            </w:r>
            <w:proofErr w:type="spellEnd"/>
            <w:r w:rsidRPr="004B6A22">
              <w:rPr>
                <w:rFonts w:ascii="Arial Narrow" w:hAnsi="Arial Narrow"/>
                <w:sz w:val="20"/>
                <w:szCs w:val="20"/>
              </w:rPr>
              <w:t xml:space="preserve"> ↓ 66%</w:t>
            </w:r>
          </w:p>
          <w:p w14:paraId="3D310C67"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 xml:space="preserve">ketoconazole </w:t>
            </w:r>
            <w:proofErr w:type="spellStart"/>
            <w:r w:rsidRPr="004B6A22">
              <w:rPr>
                <w:rFonts w:ascii="Arial Narrow" w:hAnsi="Arial Narrow"/>
                <w:sz w:val="20"/>
                <w:szCs w:val="20"/>
              </w:rPr>
              <w:t>C</w:t>
            </w:r>
            <w:r w:rsidRPr="004B6A22">
              <w:rPr>
                <w:rFonts w:ascii="Arial Narrow" w:hAnsi="Arial Narrow"/>
                <w:sz w:val="20"/>
                <w:szCs w:val="20"/>
                <w:vertAlign w:val="subscript"/>
              </w:rPr>
              <w:t>max</w:t>
            </w:r>
            <w:proofErr w:type="spellEnd"/>
            <w:r w:rsidRPr="004B6A22">
              <w:rPr>
                <w:rFonts w:ascii="Arial Narrow" w:hAnsi="Arial Narrow"/>
                <w:sz w:val="20"/>
                <w:szCs w:val="20"/>
              </w:rPr>
              <w:t xml:space="preserve"> ↔</w:t>
            </w:r>
          </w:p>
          <w:p w14:paraId="5EA84E98"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(induction of CYP3A due to high rilpivirine dose in the study)</w:t>
            </w:r>
          </w:p>
          <w:p w14:paraId="79DBF75B" w14:textId="77777777" w:rsidR="004B6A22" w:rsidRPr="004B6A22" w:rsidRDefault="004B6A22" w:rsidP="004B6A22">
            <w:pPr>
              <w:spacing w:after="0"/>
              <w:rPr>
                <w:rFonts w:ascii="Arial Narrow" w:hAnsi="Arial Narrow"/>
                <w:sz w:val="20"/>
                <w:szCs w:val="20"/>
              </w:rPr>
            </w:pPr>
          </w:p>
          <w:p w14:paraId="06AD4B9C"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rilpivirine AUC ↑ 49%</w:t>
            </w:r>
          </w:p>
          <w:p w14:paraId="413A425D" w14:textId="77777777" w:rsidR="004B6A22" w:rsidRPr="004B6A22" w:rsidRDefault="004B6A22" w:rsidP="004B6A22">
            <w:pPr>
              <w:spacing w:after="0"/>
              <w:rPr>
                <w:rFonts w:ascii="Arial Narrow" w:hAnsi="Arial Narrow"/>
                <w:sz w:val="20"/>
                <w:szCs w:val="20"/>
              </w:rPr>
            </w:pPr>
            <w:proofErr w:type="spellStart"/>
            <w:r w:rsidRPr="004B6A22">
              <w:rPr>
                <w:rFonts w:ascii="Arial Narrow" w:hAnsi="Arial Narrow"/>
                <w:sz w:val="20"/>
                <w:szCs w:val="20"/>
              </w:rPr>
              <w:t>rilpivirine</w:t>
            </w:r>
            <w:proofErr w:type="spellEnd"/>
            <w:r w:rsidRPr="004B6A22">
              <w:rPr>
                <w:rFonts w:ascii="Arial Narrow" w:hAnsi="Arial Narrow"/>
                <w:sz w:val="20"/>
                <w:szCs w:val="20"/>
              </w:rPr>
              <w:t xml:space="preserve"> </w:t>
            </w:r>
            <w:proofErr w:type="spellStart"/>
            <w:r w:rsidRPr="004B6A22">
              <w:rPr>
                <w:rFonts w:ascii="Arial Narrow" w:hAnsi="Arial Narrow"/>
                <w:sz w:val="20"/>
                <w:szCs w:val="20"/>
              </w:rPr>
              <w:t>C</w:t>
            </w:r>
            <w:r w:rsidRPr="004B6A22">
              <w:rPr>
                <w:rFonts w:ascii="Arial Narrow" w:hAnsi="Arial Narrow"/>
                <w:sz w:val="20"/>
                <w:szCs w:val="20"/>
                <w:vertAlign w:val="subscript"/>
              </w:rPr>
              <w:t>min</w:t>
            </w:r>
            <w:proofErr w:type="spellEnd"/>
            <w:r w:rsidRPr="004B6A22">
              <w:rPr>
                <w:rFonts w:ascii="Arial Narrow" w:hAnsi="Arial Narrow"/>
                <w:sz w:val="20"/>
                <w:szCs w:val="20"/>
              </w:rPr>
              <w:t xml:space="preserve"> ↑ 76%</w:t>
            </w:r>
          </w:p>
          <w:p w14:paraId="65C03C33" w14:textId="6E2838A1" w:rsidR="004B6A22" w:rsidRPr="004B6A22" w:rsidRDefault="004B6A22" w:rsidP="004B6A22">
            <w:pPr>
              <w:spacing w:after="0"/>
              <w:rPr>
                <w:rFonts w:ascii="Arial Narrow" w:hAnsi="Arial Narrow"/>
                <w:sz w:val="20"/>
                <w:szCs w:val="20"/>
              </w:rPr>
            </w:pPr>
            <w:proofErr w:type="spellStart"/>
            <w:r w:rsidRPr="004B6A22">
              <w:rPr>
                <w:rFonts w:ascii="Arial Narrow" w:hAnsi="Arial Narrow"/>
                <w:sz w:val="20"/>
                <w:szCs w:val="20"/>
              </w:rPr>
              <w:t>rilpivirine</w:t>
            </w:r>
            <w:proofErr w:type="spellEnd"/>
            <w:r w:rsidRPr="004B6A22">
              <w:rPr>
                <w:rFonts w:ascii="Arial Narrow" w:hAnsi="Arial Narrow"/>
                <w:sz w:val="20"/>
                <w:szCs w:val="20"/>
              </w:rPr>
              <w:t xml:space="preserve"> </w:t>
            </w:r>
            <w:proofErr w:type="spellStart"/>
            <w:r w:rsidRPr="004B6A22">
              <w:rPr>
                <w:rFonts w:ascii="Arial Narrow" w:hAnsi="Arial Narrow"/>
                <w:sz w:val="20"/>
                <w:szCs w:val="20"/>
              </w:rPr>
              <w:t>C</w:t>
            </w:r>
            <w:r w:rsidRPr="004B6A22">
              <w:rPr>
                <w:rFonts w:ascii="Arial Narrow" w:hAnsi="Arial Narrow"/>
                <w:sz w:val="20"/>
                <w:szCs w:val="20"/>
                <w:vertAlign w:val="subscript"/>
              </w:rPr>
              <w:t>max</w:t>
            </w:r>
            <w:proofErr w:type="spellEnd"/>
            <w:r w:rsidRPr="004B6A22">
              <w:rPr>
                <w:rFonts w:ascii="Arial Narrow" w:hAnsi="Arial Narrow"/>
                <w:sz w:val="20"/>
                <w:szCs w:val="20"/>
              </w:rPr>
              <w:t xml:space="preserve"> ↑ 30%</w:t>
            </w:r>
          </w:p>
          <w:p w14:paraId="1AD25E00"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(inhibition of CYP3A enzymes)</w:t>
            </w:r>
          </w:p>
        </w:tc>
        <w:tc>
          <w:tcPr>
            <w:tcW w:w="1725" w:type="pct"/>
          </w:tcPr>
          <w:p w14:paraId="136CE7F1"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No dose adjustment is required.</w:t>
            </w:r>
          </w:p>
        </w:tc>
      </w:tr>
      <w:tr w:rsidR="004B6A22" w:rsidRPr="004B6A22" w14:paraId="0C953247" w14:textId="77777777" w:rsidTr="004B6A22">
        <w:trPr>
          <w:cantSplit/>
          <w:jc w:val="center"/>
        </w:trPr>
        <w:tc>
          <w:tcPr>
            <w:tcW w:w="1421" w:type="pct"/>
          </w:tcPr>
          <w:p w14:paraId="39F63490"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Fluconazole</w:t>
            </w:r>
          </w:p>
          <w:p w14:paraId="354B421E"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Itraconazole</w:t>
            </w:r>
          </w:p>
          <w:p w14:paraId="23344F85" w14:textId="77777777" w:rsidR="004B6A22" w:rsidRPr="004B6A22" w:rsidRDefault="004B6A22" w:rsidP="004B6A22">
            <w:pPr>
              <w:spacing w:after="0"/>
              <w:ind w:left="284"/>
              <w:rPr>
                <w:rFonts w:ascii="Arial Narrow" w:hAnsi="Arial Narrow"/>
                <w:sz w:val="20"/>
                <w:szCs w:val="20"/>
              </w:rPr>
            </w:pPr>
            <w:proofErr w:type="spellStart"/>
            <w:r w:rsidRPr="004B6A22">
              <w:rPr>
                <w:rFonts w:ascii="Arial Narrow" w:hAnsi="Arial Narrow"/>
                <w:sz w:val="20"/>
                <w:szCs w:val="20"/>
              </w:rPr>
              <w:t>Posaconazole</w:t>
            </w:r>
            <w:proofErr w:type="spellEnd"/>
          </w:p>
          <w:p w14:paraId="28DB53E5"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Voriconazole</w:t>
            </w:r>
          </w:p>
        </w:tc>
        <w:tc>
          <w:tcPr>
            <w:tcW w:w="1854" w:type="pct"/>
            <w:gridSpan w:val="2"/>
          </w:tcPr>
          <w:p w14:paraId="012E42F9" w14:textId="1A92627D" w:rsidR="004B6A22" w:rsidRPr="004B6A22" w:rsidRDefault="004B6A22" w:rsidP="004B6A22">
            <w:pPr>
              <w:spacing w:after="0"/>
              <w:rPr>
                <w:rFonts w:ascii="Arial Narrow" w:hAnsi="Arial Narrow"/>
                <w:sz w:val="20"/>
                <w:szCs w:val="20"/>
              </w:rPr>
            </w:pPr>
            <w:r w:rsidRPr="004B6A22">
              <w:rPr>
                <w:rFonts w:ascii="Arial Narrow" w:hAnsi="Arial Narrow"/>
                <w:sz w:val="20"/>
                <w:szCs w:val="20"/>
              </w:rPr>
              <w:t xml:space="preserve">Not studied. Concomitant use of </w:t>
            </w:r>
            <w:r w:rsidR="00D958EC" w:rsidRPr="005E62F7">
              <w:rPr>
                <w:rFonts w:ascii="Arial Narrow" w:hAnsi="Arial Narrow"/>
                <w:sz w:val="20"/>
                <w:szCs w:val="20"/>
              </w:rPr>
              <w:t>rilpivirine</w:t>
            </w:r>
            <w:r w:rsidR="00D958EC" w:rsidRPr="004B6A22">
              <w:rPr>
                <w:rFonts w:ascii="Arial Narrow" w:hAnsi="Arial Narrow"/>
                <w:sz w:val="20"/>
                <w:szCs w:val="20"/>
              </w:rPr>
              <w:t xml:space="preserve"> </w:t>
            </w:r>
            <w:r w:rsidRPr="004B6A22">
              <w:rPr>
                <w:rFonts w:ascii="Arial Narrow" w:hAnsi="Arial Narrow"/>
                <w:sz w:val="20"/>
                <w:szCs w:val="20"/>
              </w:rPr>
              <w:t>with azole antifungal agents may cause an increase in the plasma concentrations of rilpivirine.</w:t>
            </w:r>
          </w:p>
          <w:p w14:paraId="66CC0892" w14:textId="77777777" w:rsidR="004B6A22" w:rsidRPr="004B6A22" w:rsidRDefault="004B6A22" w:rsidP="004B6A22">
            <w:pPr>
              <w:spacing w:after="0"/>
              <w:rPr>
                <w:rFonts w:ascii="Arial Narrow" w:hAnsi="Arial Narrow"/>
                <w:sz w:val="20"/>
                <w:szCs w:val="20"/>
              </w:rPr>
            </w:pPr>
          </w:p>
          <w:p w14:paraId="3C71B922"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(inhibition of CYP3A enzymes)</w:t>
            </w:r>
          </w:p>
        </w:tc>
        <w:tc>
          <w:tcPr>
            <w:tcW w:w="1725" w:type="pct"/>
          </w:tcPr>
          <w:p w14:paraId="71D82876"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No dose adjustment is required.</w:t>
            </w:r>
          </w:p>
        </w:tc>
      </w:tr>
      <w:tr w:rsidR="004B6A22" w:rsidRPr="004B6A22" w14:paraId="3F7B7AE0" w14:textId="77777777" w:rsidTr="00BF5823">
        <w:trPr>
          <w:cantSplit/>
          <w:jc w:val="center"/>
        </w:trPr>
        <w:tc>
          <w:tcPr>
            <w:tcW w:w="5000" w:type="pct"/>
            <w:gridSpan w:val="4"/>
            <w:tcBorders>
              <w:bottom w:val="single" w:sz="4" w:space="0" w:color="auto"/>
            </w:tcBorders>
          </w:tcPr>
          <w:p w14:paraId="52B68790" w14:textId="18A931B9" w:rsidR="004B6A22" w:rsidRPr="004B6A22" w:rsidRDefault="004B6A22" w:rsidP="00B93BAD">
            <w:pPr>
              <w:spacing w:after="0"/>
              <w:rPr>
                <w:rFonts w:ascii="Arial Narrow" w:hAnsi="Arial Narrow"/>
                <w:i/>
                <w:sz w:val="20"/>
                <w:szCs w:val="20"/>
              </w:rPr>
            </w:pPr>
            <w:proofErr w:type="spellStart"/>
            <w:r>
              <w:rPr>
                <w:rFonts w:ascii="Arial Narrow" w:hAnsi="Arial Narrow"/>
                <w:bCs/>
                <w:i/>
                <w:sz w:val="20"/>
                <w:szCs w:val="20"/>
              </w:rPr>
              <w:t>A</w:t>
            </w:r>
            <w:r w:rsidRPr="004B6A22">
              <w:rPr>
                <w:rFonts w:ascii="Arial Narrow" w:hAnsi="Arial Narrow"/>
                <w:bCs/>
                <w:i/>
                <w:sz w:val="20"/>
                <w:szCs w:val="20"/>
              </w:rPr>
              <w:t>ntimycobacterials</w:t>
            </w:r>
            <w:proofErr w:type="spellEnd"/>
          </w:p>
        </w:tc>
      </w:tr>
      <w:tr w:rsidR="004B6A22" w:rsidRPr="004B6A22" w14:paraId="3DC4D949" w14:textId="77777777" w:rsidTr="00460C39">
        <w:trPr>
          <w:cantSplit/>
          <w:jc w:val="center"/>
        </w:trPr>
        <w:tc>
          <w:tcPr>
            <w:tcW w:w="1421" w:type="pct"/>
            <w:tcBorders>
              <w:bottom w:val="single" w:sz="4" w:space="0" w:color="auto"/>
            </w:tcBorders>
          </w:tcPr>
          <w:p w14:paraId="7F25BBDD"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Rifabutin*</w:t>
            </w:r>
            <w:r w:rsidRPr="004B6A22">
              <w:rPr>
                <w:rFonts w:ascii="Arial Narrow" w:hAnsi="Arial Narrow"/>
                <w:sz w:val="20"/>
                <w:szCs w:val="20"/>
                <w:vertAlign w:val="superscript"/>
              </w:rPr>
              <w:t>#</w:t>
            </w:r>
          </w:p>
          <w:p w14:paraId="65A4FAFA"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300 mg once daily</w:t>
            </w:r>
          </w:p>
        </w:tc>
        <w:tc>
          <w:tcPr>
            <w:tcW w:w="1854" w:type="pct"/>
            <w:gridSpan w:val="2"/>
            <w:tcBorders>
              <w:bottom w:val="single" w:sz="4" w:space="0" w:color="auto"/>
            </w:tcBorders>
          </w:tcPr>
          <w:p w14:paraId="053D4608"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rifabutin AUC ↔</w:t>
            </w:r>
          </w:p>
          <w:p w14:paraId="1AB44207" w14:textId="77777777" w:rsidR="004B6A22" w:rsidRPr="004B6A22" w:rsidRDefault="004B6A22" w:rsidP="004B6A22">
            <w:pPr>
              <w:spacing w:after="0"/>
              <w:rPr>
                <w:rFonts w:ascii="Arial Narrow" w:hAnsi="Arial Narrow"/>
                <w:sz w:val="20"/>
                <w:szCs w:val="20"/>
              </w:rPr>
            </w:pPr>
            <w:proofErr w:type="spellStart"/>
            <w:r w:rsidRPr="004B6A22">
              <w:rPr>
                <w:rFonts w:ascii="Arial Narrow" w:hAnsi="Arial Narrow"/>
                <w:sz w:val="20"/>
                <w:szCs w:val="20"/>
              </w:rPr>
              <w:t>rifabutin</w:t>
            </w:r>
            <w:proofErr w:type="spellEnd"/>
            <w:r w:rsidRPr="004B6A22">
              <w:rPr>
                <w:rFonts w:ascii="Arial Narrow" w:hAnsi="Arial Narrow"/>
                <w:sz w:val="20"/>
                <w:szCs w:val="20"/>
              </w:rPr>
              <w:t xml:space="preserve"> </w:t>
            </w:r>
            <w:proofErr w:type="spellStart"/>
            <w:r w:rsidRPr="004B6A22">
              <w:rPr>
                <w:rFonts w:ascii="Arial Narrow" w:hAnsi="Arial Narrow"/>
                <w:sz w:val="20"/>
                <w:szCs w:val="20"/>
              </w:rPr>
              <w:t>C</w:t>
            </w:r>
            <w:r w:rsidRPr="004B6A22">
              <w:rPr>
                <w:rFonts w:ascii="Arial Narrow" w:hAnsi="Arial Narrow"/>
                <w:sz w:val="20"/>
                <w:szCs w:val="20"/>
                <w:vertAlign w:val="subscript"/>
              </w:rPr>
              <w:t>min</w:t>
            </w:r>
            <w:proofErr w:type="spellEnd"/>
            <w:r w:rsidRPr="004B6A22">
              <w:rPr>
                <w:rFonts w:ascii="Arial Narrow" w:hAnsi="Arial Narrow"/>
                <w:sz w:val="20"/>
                <w:szCs w:val="20"/>
              </w:rPr>
              <w:t xml:space="preserve"> ↔</w:t>
            </w:r>
          </w:p>
          <w:p w14:paraId="1055C4F6" w14:textId="77777777" w:rsidR="004B6A22" w:rsidRPr="004B6A22" w:rsidRDefault="004B6A22" w:rsidP="004B6A22">
            <w:pPr>
              <w:spacing w:after="0"/>
              <w:rPr>
                <w:rFonts w:ascii="Arial Narrow" w:hAnsi="Arial Narrow"/>
                <w:sz w:val="20"/>
                <w:szCs w:val="20"/>
              </w:rPr>
            </w:pPr>
            <w:proofErr w:type="spellStart"/>
            <w:r w:rsidRPr="004B6A22">
              <w:rPr>
                <w:rFonts w:ascii="Arial Narrow" w:hAnsi="Arial Narrow"/>
                <w:sz w:val="20"/>
                <w:szCs w:val="20"/>
              </w:rPr>
              <w:t>rifabutin</w:t>
            </w:r>
            <w:proofErr w:type="spellEnd"/>
            <w:r w:rsidRPr="004B6A22">
              <w:rPr>
                <w:rFonts w:ascii="Arial Narrow" w:hAnsi="Arial Narrow"/>
                <w:sz w:val="20"/>
                <w:szCs w:val="20"/>
              </w:rPr>
              <w:t xml:space="preserve"> </w:t>
            </w:r>
            <w:proofErr w:type="spellStart"/>
            <w:r w:rsidRPr="004B6A22">
              <w:rPr>
                <w:rFonts w:ascii="Arial Narrow" w:hAnsi="Arial Narrow"/>
                <w:sz w:val="20"/>
                <w:szCs w:val="20"/>
              </w:rPr>
              <w:t>C</w:t>
            </w:r>
            <w:r w:rsidRPr="004B6A22">
              <w:rPr>
                <w:rFonts w:ascii="Arial Narrow" w:hAnsi="Arial Narrow"/>
                <w:sz w:val="20"/>
                <w:szCs w:val="20"/>
                <w:vertAlign w:val="subscript"/>
              </w:rPr>
              <w:t>max</w:t>
            </w:r>
            <w:proofErr w:type="spellEnd"/>
            <w:r w:rsidRPr="004B6A22">
              <w:rPr>
                <w:rFonts w:ascii="Arial Narrow" w:hAnsi="Arial Narrow"/>
                <w:sz w:val="20"/>
                <w:szCs w:val="20"/>
              </w:rPr>
              <w:t xml:space="preserve"> ↔</w:t>
            </w:r>
          </w:p>
          <w:p w14:paraId="4571D09B"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25</w:t>
            </w:r>
            <w:r w:rsidRPr="004B6A22">
              <w:rPr>
                <w:rFonts w:ascii="Arial Narrow" w:hAnsi="Arial Narrow"/>
                <w:sz w:val="20"/>
                <w:szCs w:val="20"/>
              </w:rPr>
              <w:noBreakHyphen/>
            </w:r>
            <w:r w:rsidRPr="004B6A22">
              <w:rPr>
                <w:rFonts w:ascii="Arial Narrow" w:hAnsi="Arial Narrow"/>
                <w:i/>
                <w:sz w:val="20"/>
                <w:szCs w:val="20"/>
              </w:rPr>
              <w:t>O</w:t>
            </w:r>
            <w:r w:rsidRPr="004B6A22">
              <w:rPr>
                <w:rFonts w:ascii="Arial Narrow" w:hAnsi="Arial Narrow"/>
                <w:i/>
                <w:sz w:val="20"/>
                <w:szCs w:val="20"/>
              </w:rPr>
              <w:noBreakHyphen/>
            </w:r>
            <w:r w:rsidRPr="004B6A22">
              <w:rPr>
                <w:rFonts w:ascii="Arial Narrow" w:hAnsi="Arial Narrow"/>
                <w:sz w:val="20"/>
                <w:szCs w:val="20"/>
              </w:rPr>
              <w:t>desacetyl</w:t>
            </w:r>
            <w:r w:rsidRPr="004B6A22">
              <w:rPr>
                <w:rFonts w:ascii="Arial Narrow" w:hAnsi="Arial Narrow"/>
                <w:sz w:val="20"/>
                <w:szCs w:val="20"/>
              </w:rPr>
              <w:noBreakHyphen/>
              <w:t>rifabutin AUC ↔</w:t>
            </w:r>
          </w:p>
          <w:p w14:paraId="3A5CAFD6"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25</w:t>
            </w:r>
            <w:r w:rsidRPr="004B6A22">
              <w:rPr>
                <w:rFonts w:ascii="Arial Narrow" w:hAnsi="Arial Narrow"/>
                <w:sz w:val="20"/>
                <w:szCs w:val="20"/>
              </w:rPr>
              <w:noBreakHyphen/>
            </w:r>
            <w:r w:rsidRPr="004B6A22">
              <w:rPr>
                <w:rFonts w:ascii="Arial Narrow" w:hAnsi="Arial Narrow"/>
                <w:i/>
                <w:sz w:val="20"/>
                <w:szCs w:val="20"/>
              </w:rPr>
              <w:t>O</w:t>
            </w:r>
            <w:r w:rsidRPr="004B6A22">
              <w:rPr>
                <w:rFonts w:ascii="Arial Narrow" w:hAnsi="Arial Narrow"/>
                <w:sz w:val="20"/>
                <w:szCs w:val="20"/>
              </w:rPr>
              <w:noBreakHyphen/>
              <w:t>desacetyl</w:t>
            </w:r>
            <w:r w:rsidRPr="004B6A22">
              <w:rPr>
                <w:rFonts w:ascii="Arial Narrow" w:hAnsi="Arial Narrow"/>
                <w:sz w:val="20"/>
                <w:szCs w:val="20"/>
              </w:rPr>
              <w:noBreakHyphen/>
              <w:t xml:space="preserve">rifabutin </w:t>
            </w:r>
            <w:proofErr w:type="spellStart"/>
            <w:r w:rsidRPr="004B6A22">
              <w:rPr>
                <w:rFonts w:ascii="Arial Narrow" w:hAnsi="Arial Narrow"/>
                <w:sz w:val="20"/>
                <w:szCs w:val="20"/>
              </w:rPr>
              <w:t>C</w:t>
            </w:r>
            <w:r w:rsidRPr="004B6A22">
              <w:rPr>
                <w:rFonts w:ascii="Arial Narrow" w:hAnsi="Arial Narrow"/>
                <w:sz w:val="20"/>
                <w:szCs w:val="20"/>
                <w:vertAlign w:val="subscript"/>
              </w:rPr>
              <w:t>min</w:t>
            </w:r>
            <w:proofErr w:type="spellEnd"/>
            <w:r w:rsidRPr="004B6A22">
              <w:rPr>
                <w:rFonts w:ascii="Arial Narrow" w:hAnsi="Arial Narrow"/>
                <w:sz w:val="20"/>
                <w:szCs w:val="20"/>
              </w:rPr>
              <w:t xml:space="preserve"> ↔</w:t>
            </w:r>
          </w:p>
          <w:p w14:paraId="10D2834E"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25</w:t>
            </w:r>
            <w:r w:rsidRPr="004B6A22">
              <w:rPr>
                <w:rFonts w:ascii="Arial Narrow" w:hAnsi="Arial Narrow"/>
                <w:sz w:val="20"/>
                <w:szCs w:val="20"/>
              </w:rPr>
              <w:noBreakHyphen/>
            </w:r>
            <w:r w:rsidRPr="004B6A22">
              <w:rPr>
                <w:rFonts w:ascii="Arial Narrow" w:hAnsi="Arial Narrow"/>
                <w:i/>
                <w:sz w:val="20"/>
                <w:szCs w:val="20"/>
              </w:rPr>
              <w:t>O</w:t>
            </w:r>
            <w:r w:rsidRPr="004B6A22">
              <w:rPr>
                <w:rFonts w:ascii="Arial Narrow" w:hAnsi="Arial Narrow"/>
                <w:i/>
                <w:sz w:val="20"/>
                <w:szCs w:val="20"/>
              </w:rPr>
              <w:noBreakHyphen/>
            </w:r>
            <w:r w:rsidRPr="004B6A22">
              <w:rPr>
                <w:rFonts w:ascii="Arial Narrow" w:hAnsi="Arial Narrow"/>
                <w:sz w:val="20"/>
                <w:szCs w:val="20"/>
              </w:rPr>
              <w:t>desacetyl</w:t>
            </w:r>
            <w:r w:rsidRPr="004B6A22">
              <w:rPr>
                <w:rFonts w:ascii="Arial Narrow" w:hAnsi="Arial Narrow"/>
                <w:sz w:val="20"/>
                <w:szCs w:val="20"/>
              </w:rPr>
              <w:noBreakHyphen/>
              <w:t xml:space="preserve">rifabutin </w:t>
            </w:r>
            <w:proofErr w:type="spellStart"/>
            <w:r w:rsidRPr="004B6A22">
              <w:rPr>
                <w:rFonts w:ascii="Arial Narrow" w:hAnsi="Arial Narrow"/>
                <w:sz w:val="20"/>
                <w:szCs w:val="20"/>
              </w:rPr>
              <w:t>C</w:t>
            </w:r>
            <w:r w:rsidRPr="004B6A22">
              <w:rPr>
                <w:rFonts w:ascii="Arial Narrow" w:hAnsi="Arial Narrow"/>
                <w:sz w:val="20"/>
                <w:szCs w:val="20"/>
                <w:vertAlign w:val="subscript"/>
              </w:rPr>
              <w:t>max</w:t>
            </w:r>
            <w:proofErr w:type="spellEnd"/>
            <w:r w:rsidRPr="004B6A22">
              <w:rPr>
                <w:rFonts w:ascii="Arial Narrow" w:hAnsi="Arial Narrow"/>
                <w:sz w:val="20"/>
                <w:szCs w:val="20"/>
              </w:rPr>
              <w:t xml:space="preserve"> ↔</w:t>
            </w:r>
          </w:p>
          <w:p w14:paraId="770403A6" w14:textId="77777777" w:rsidR="004B6A22" w:rsidRPr="004B6A22" w:rsidRDefault="004B6A22" w:rsidP="004B6A22">
            <w:pPr>
              <w:spacing w:after="0"/>
              <w:rPr>
                <w:rFonts w:ascii="Arial Narrow" w:hAnsi="Arial Narrow"/>
                <w:sz w:val="20"/>
                <w:szCs w:val="20"/>
              </w:rPr>
            </w:pPr>
          </w:p>
        </w:tc>
        <w:tc>
          <w:tcPr>
            <w:tcW w:w="1725" w:type="pct"/>
            <w:vMerge w:val="restart"/>
            <w:tcBorders>
              <w:bottom w:val="single" w:sz="4" w:space="0" w:color="auto"/>
            </w:tcBorders>
            <w:shd w:val="clear" w:color="auto" w:fill="auto"/>
          </w:tcPr>
          <w:p w14:paraId="700CFFF9" w14:textId="610900B1" w:rsidR="004B6A22" w:rsidRPr="004B6A22" w:rsidRDefault="004B6A22" w:rsidP="004B6A22">
            <w:pPr>
              <w:spacing w:after="0"/>
              <w:rPr>
                <w:rFonts w:ascii="Arial Narrow" w:hAnsi="Arial Narrow"/>
                <w:sz w:val="20"/>
                <w:szCs w:val="20"/>
              </w:rPr>
            </w:pPr>
            <w:r w:rsidRPr="004B6A22">
              <w:rPr>
                <w:rFonts w:ascii="Arial Narrow" w:hAnsi="Arial Narrow"/>
                <w:sz w:val="20"/>
                <w:szCs w:val="20"/>
              </w:rPr>
              <w:t>Rilpivirine must not be used in combination with rifabutin as specific dosing recommendations have not been established. Co</w:t>
            </w:r>
            <w:r w:rsidRPr="004B6A22">
              <w:rPr>
                <w:rFonts w:ascii="Arial Narrow" w:hAnsi="Arial Narrow"/>
                <w:sz w:val="20"/>
                <w:szCs w:val="20"/>
              </w:rPr>
              <w:noBreakHyphen/>
              <w:t xml:space="preserve">administration is likely to result in loss of therapeutic effect of rilpivirine (see </w:t>
            </w:r>
            <w:r w:rsidR="00417DBF">
              <w:rPr>
                <w:rFonts w:ascii="Arial Narrow" w:hAnsi="Arial Narrow"/>
                <w:sz w:val="20"/>
                <w:szCs w:val="20"/>
              </w:rPr>
              <w:t xml:space="preserve">Section 4.3 </w:t>
            </w:r>
            <w:r w:rsidR="00417DBF" w:rsidRPr="004B6A22">
              <w:rPr>
                <w:rFonts w:ascii="Arial Narrow" w:hAnsi="Arial Narrow"/>
                <w:sz w:val="20"/>
                <w:szCs w:val="20"/>
              </w:rPr>
              <w:t>CONTRAINDICATIONS</w:t>
            </w:r>
            <w:r w:rsidRPr="004B6A22">
              <w:rPr>
                <w:rFonts w:ascii="Arial Narrow" w:hAnsi="Arial Narrow"/>
                <w:sz w:val="20"/>
                <w:szCs w:val="20"/>
              </w:rPr>
              <w:t>).</w:t>
            </w:r>
          </w:p>
        </w:tc>
      </w:tr>
      <w:tr w:rsidR="004B6A22" w:rsidRPr="004B6A22" w14:paraId="6C934DCB" w14:textId="77777777" w:rsidTr="00460C39">
        <w:trPr>
          <w:cantSplit/>
          <w:jc w:val="center"/>
        </w:trPr>
        <w:tc>
          <w:tcPr>
            <w:tcW w:w="1421" w:type="pct"/>
            <w:tcBorders>
              <w:top w:val="single" w:sz="4" w:space="0" w:color="auto"/>
              <w:bottom w:val="single" w:sz="4" w:space="0" w:color="auto"/>
            </w:tcBorders>
          </w:tcPr>
          <w:p w14:paraId="43D099AA"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300 mg once daily</w:t>
            </w:r>
          </w:p>
          <w:p w14:paraId="34A3E7EC"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(+ 25 mg once daily rilpivirine)</w:t>
            </w:r>
          </w:p>
        </w:tc>
        <w:tc>
          <w:tcPr>
            <w:tcW w:w="1854" w:type="pct"/>
            <w:gridSpan w:val="2"/>
            <w:tcBorders>
              <w:top w:val="single" w:sz="4" w:space="0" w:color="auto"/>
              <w:bottom w:val="single" w:sz="4" w:space="0" w:color="auto"/>
            </w:tcBorders>
          </w:tcPr>
          <w:p w14:paraId="0F05286C"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rilpivirine AUC ↓ 42%</w:t>
            </w:r>
          </w:p>
          <w:p w14:paraId="53EC68FC" w14:textId="77777777" w:rsidR="004B6A22" w:rsidRPr="004B6A22" w:rsidRDefault="004B6A22" w:rsidP="004B6A22">
            <w:pPr>
              <w:spacing w:after="0"/>
              <w:rPr>
                <w:rFonts w:ascii="Arial Narrow" w:hAnsi="Arial Narrow"/>
                <w:sz w:val="20"/>
                <w:szCs w:val="20"/>
              </w:rPr>
            </w:pPr>
            <w:proofErr w:type="spellStart"/>
            <w:r w:rsidRPr="004B6A22">
              <w:rPr>
                <w:rFonts w:ascii="Arial Narrow" w:hAnsi="Arial Narrow"/>
                <w:sz w:val="20"/>
                <w:szCs w:val="20"/>
              </w:rPr>
              <w:t>rilpivirine</w:t>
            </w:r>
            <w:proofErr w:type="spellEnd"/>
            <w:r w:rsidRPr="004B6A22">
              <w:rPr>
                <w:rFonts w:ascii="Arial Narrow" w:hAnsi="Arial Narrow"/>
                <w:sz w:val="20"/>
                <w:szCs w:val="20"/>
              </w:rPr>
              <w:t xml:space="preserve"> </w:t>
            </w:r>
            <w:proofErr w:type="spellStart"/>
            <w:r w:rsidRPr="004B6A22">
              <w:rPr>
                <w:rFonts w:ascii="Arial Narrow" w:hAnsi="Arial Narrow"/>
                <w:sz w:val="20"/>
                <w:szCs w:val="20"/>
              </w:rPr>
              <w:t>C</w:t>
            </w:r>
            <w:r w:rsidRPr="004B6A22">
              <w:rPr>
                <w:rFonts w:ascii="Arial Narrow" w:hAnsi="Arial Narrow"/>
                <w:sz w:val="20"/>
                <w:szCs w:val="20"/>
                <w:vertAlign w:val="subscript"/>
              </w:rPr>
              <w:t>min</w:t>
            </w:r>
            <w:proofErr w:type="spellEnd"/>
            <w:r w:rsidRPr="004B6A22">
              <w:rPr>
                <w:rFonts w:ascii="Arial Narrow" w:hAnsi="Arial Narrow"/>
                <w:sz w:val="20"/>
                <w:szCs w:val="20"/>
              </w:rPr>
              <w:t xml:space="preserve"> ↓ 48%</w:t>
            </w:r>
          </w:p>
          <w:p w14:paraId="2F847CC4" w14:textId="77777777" w:rsidR="004B6A22" w:rsidRPr="004B6A22" w:rsidRDefault="004B6A22" w:rsidP="004B6A22">
            <w:pPr>
              <w:spacing w:after="0"/>
              <w:rPr>
                <w:rFonts w:ascii="Arial Narrow" w:hAnsi="Arial Narrow"/>
                <w:sz w:val="20"/>
                <w:szCs w:val="20"/>
              </w:rPr>
            </w:pPr>
            <w:proofErr w:type="spellStart"/>
            <w:r w:rsidRPr="004B6A22">
              <w:rPr>
                <w:rFonts w:ascii="Arial Narrow" w:hAnsi="Arial Narrow"/>
                <w:sz w:val="20"/>
                <w:szCs w:val="20"/>
              </w:rPr>
              <w:t>rilpivirine</w:t>
            </w:r>
            <w:proofErr w:type="spellEnd"/>
            <w:r w:rsidRPr="004B6A22">
              <w:rPr>
                <w:rFonts w:ascii="Arial Narrow" w:hAnsi="Arial Narrow"/>
                <w:sz w:val="20"/>
                <w:szCs w:val="20"/>
              </w:rPr>
              <w:t xml:space="preserve"> </w:t>
            </w:r>
            <w:proofErr w:type="spellStart"/>
            <w:r w:rsidRPr="004B6A22">
              <w:rPr>
                <w:rFonts w:ascii="Arial Narrow" w:hAnsi="Arial Narrow"/>
                <w:sz w:val="20"/>
                <w:szCs w:val="20"/>
              </w:rPr>
              <w:t>C</w:t>
            </w:r>
            <w:r w:rsidRPr="004B6A22">
              <w:rPr>
                <w:rFonts w:ascii="Arial Narrow" w:hAnsi="Arial Narrow"/>
                <w:sz w:val="20"/>
                <w:szCs w:val="20"/>
                <w:vertAlign w:val="subscript"/>
              </w:rPr>
              <w:t>max</w:t>
            </w:r>
            <w:proofErr w:type="spellEnd"/>
            <w:r w:rsidRPr="004B6A22">
              <w:rPr>
                <w:rFonts w:ascii="Arial Narrow" w:hAnsi="Arial Narrow"/>
                <w:sz w:val="20"/>
                <w:szCs w:val="20"/>
                <w:vertAlign w:val="subscript"/>
              </w:rPr>
              <w:t xml:space="preserve"> </w:t>
            </w:r>
            <w:r w:rsidRPr="004B6A22">
              <w:rPr>
                <w:rFonts w:ascii="Arial Narrow" w:hAnsi="Arial Narrow"/>
                <w:sz w:val="20"/>
                <w:szCs w:val="20"/>
              </w:rPr>
              <w:t>↓ 31%</w:t>
            </w:r>
          </w:p>
          <w:p w14:paraId="08B3304A" w14:textId="77777777" w:rsidR="004B6A22" w:rsidRPr="004B6A22" w:rsidRDefault="004B6A22" w:rsidP="004B6A22">
            <w:pPr>
              <w:spacing w:after="0"/>
              <w:rPr>
                <w:rFonts w:ascii="Arial Narrow" w:hAnsi="Arial Narrow"/>
                <w:sz w:val="20"/>
                <w:szCs w:val="20"/>
              </w:rPr>
            </w:pPr>
          </w:p>
        </w:tc>
        <w:tc>
          <w:tcPr>
            <w:tcW w:w="1725" w:type="pct"/>
            <w:vMerge/>
            <w:tcBorders>
              <w:top w:val="single" w:sz="4" w:space="0" w:color="auto"/>
              <w:bottom w:val="single" w:sz="4" w:space="0" w:color="auto"/>
            </w:tcBorders>
            <w:shd w:val="clear" w:color="auto" w:fill="auto"/>
          </w:tcPr>
          <w:p w14:paraId="5D504C7D" w14:textId="77777777" w:rsidR="004B6A22" w:rsidRPr="004B6A22" w:rsidDel="00D97398" w:rsidRDefault="004B6A22" w:rsidP="004B6A22">
            <w:pPr>
              <w:autoSpaceDE w:val="0"/>
              <w:autoSpaceDN w:val="0"/>
              <w:adjustRightInd w:val="0"/>
              <w:spacing w:after="0"/>
              <w:rPr>
                <w:rFonts w:ascii="Arial Narrow" w:hAnsi="Arial Narrow"/>
                <w:sz w:val="20"/>
                <w:szCs w:val="20"/>
              </w:rPr>
            </w:pPr>
          </w:p>
        </w:tc>
      </w:tr>
      <w:tr w:rsidR="004B6A22" w:rsidRPr="004B6A22" w14:paraId="5A1357E4" w14:textId="77777777" w:rsidTr="00460C39">
        <w:trPr>
          <w:cantSplit/>
          <w:jc w:val="center"/>
        </w:trPr>
        <w:tc>
          <w:tcPr>
            <w:tcW w:w="1421" w:type="pct"/>
            <w:tcBorders>
              <w:top w:val="single" w:sz="4" w:space="0" w:color="auto"/>
            </w:tcBorders>
          </w:tcPr>
          <w:p w14:paraId="6A1C64A5"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300 mg once daily</w:t>
            </w:r>
          </w:p>
          <w:p w14:paraId="5E4E108A"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(+ 50 mg once daily rilpivirine)</w:t>
            </w:r>
          </w:p>
        </w:tc>
        <w:tc>
          <w:tcPr>
            <w:tcW w:w="1854" w:type="pct"/>
            <w:gridSpan w:val="2"/>
            <w:tcBorders>
              <w:top w:val="single" w:sz="4" w:space="0" w:color="auto"/>
            </w:tcBorders>
          </w:tcPr>
          <w:p w14:paraId="73DD6EF9"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rilpivirine AUC ↑ 16%</w:t>
            </w:r>
            <w:r w:rsidRPr="004B6A22">
              <w:rPr>
                <w:rFonts w:ascii="Arial Narrow" w:hAnsi="Arial Narrow"/>
                <w:sz w:val="20"/>
                <w:szCs w:val="20"/>
                <w:vertAlign w:val="superscript"/>
              </w:rPr>
              <w:t>£</w:t>
            </w:r>
          </w:p>
          <w:p w14:paraId="10F7356E" w14:textId="77777777" w:rsidR="004B6A22" w:rsidRPr="004B6A22" w:rsidRDefault="004B6A22" w:rsidP="004B6A22">
            <w:pPr>
              <w:spacing w:after="0"/>
              <w:rPr>
                <w:rFonts w:ascii="Arial Narrow" w:hAnsi="Arial Narrow"/>
                <w:sz w:val="20"/>
                <w:szCs w:val="20"/>
              </w:rPr>
            </w:pPr>
            <w:proofErr w:type="spellStart"/>
            <w:r w:rsidRPr="004B6A22">
              <w:rPr>
                <w:rFonts w:ascii="Arial Narrow" w:hAnsi="Arial Narrow"/>
                <w:sz w:val="20"/>
                <w:szCs w:val="20"/>
              </w:rPr>
              <w:t>rilpivirine</w:t>
            </w:r>
            <w:proofErr w:type="spellEnd"/>
            <w:r w:rsidRPr="004B6A22">
              <w:rPr>
                <w:rFonts w:ascii="Arial Narrow" w:hAnsi="Arial Narrow"/>
                <w:sz w:val="20"/>
                <w:szCs w:val="20"/>
              </w:rPr>
              <w:t xml:space="preserve"> </w:t>
            </w:r>
            <w:proofErr w:type="spellStart"/>
            <w:r w:rsidRPr="004B6A22">
              <w:rPr>
                <w:rFonts w:ascii="Arial Narrow" w:hAnsi="Arial Narrow"/>
                <w:sz w:val="20"/>
                <w:szCs w:val="20"/>
              </w:rPr>
              <w:t>C</w:t>
            </w:r>
            <w:r w:rsidRPr="004B6A22">
              <w:rPr>
                <w:rFonts w:ascii="Arial Narrow" w:hAnsi="Arial Narrow"/>
                <w:sz w:val="20"/>
                <w:szCs w:val="20"/>
                <w:vertAlign w:val="subscript"/>
              </w:rPr>
              <w:t>min</w:t>
            </w:r>
            <w:proofErr w:type="spellEnd"/>
            <w:r w:rsidRPr="004B6A22">
              <w:rPr>
                <w:rFonts w:ascii="Arial Narrow" w:hAnsi="Arial Narrow"/>
                <w:sz w:val="20"/>
                <w:szCs w:val="20"/>
              </w:rPr>
              <w:t xml:space="preserve"> ↔</w:t>
            </w:r>
            <w:r w:rsidRPr="004B6A22">
              <w:rPr>
                <w:rFonts w:ascii="Arial Narrow" w:hAnsi="Arial Narrow"/>
                <w:sz w:val="20"/>
                <w:szCs w:val="20"/>
                <w:vertAlign w:val="superscript"/>
              </w:rPr>
              <w:t>£</w:t>
            </w:r>
          </w:p>
          <w:p w14:paraId="76C970E2" w14:textId="77777777" w:rsidR="004B6A22" w:rsidRPr="004B6A22" w:rsidRDefault="004B6A22" w:rsidP="004B6A22">
            <w:pPr>
              <w:spacing w:after="0"/>
              <w:rPr>
                <w:rFonts w:ascii="Arial Narrow" w:hAnsi="Arial Narrow"/>
                <w:sz w:val="20"/>
                <w:szCs w:val="20"/>
              </w:rPr>
            </w:pPr>
            <w:proofErr w:type="spellStart"/>
            <w:r w:rsidRPr="004B6A22">
              <w:rPr>
                <w:rFonts w:ascii="Arial Narrow" w:hAnsi="Arial Narrow"/>
                <w:sz w:val="20"/>
                <w:szCs w:val="20"/>
              </w:rPr>
              <w:t>rilpivirine</w:t>
            </w:r>
            <w:proofErr w:type="spellEnd"/>
            <w:r w:rsidRPr="004B6A22">
              <w:rPr>
                <w:rFonts w:ascii="Arial Narrow" w:hAnsi="Arial Narrow"/>
                <w:sz w:val="20"/>
                <w:szCs w:val="20"/>
              </w:rPr>
              <w:t xml:space="preserve"> </w:t>
            </w:r>
            <w:proofErr w:type="spellStart"/>
            <w:r w:rsidRPr="004B6A22">
              <w:rPr>
                <w:rFonts w:ascii="Arial Narrow" w:hAnsi="Arial Narrow"/>
                <w:sz w:val="20"/>
                <w:szCs w:val="20"/>
              </w:rPr>
              <w:t>C</w:t>
            </w:r>
            <w:r w:rsidRPr="004B6A22">
              <w:rPr>
                <w:rFonts w:ascii="Arial Narrow" w:hAnsi="Arial Narrow"/>
                <w:sz w:val="20"/>
                <w:szCs w:val="20"/>
                <w:vertAlign w:val="subscript"/>
              </w:rPr>
              <w:t>max</w:t>
            </w:r>
            <w:proofErr w:type="spellEnd"/>
            <w:r w:rsidRPr="004B6A22">
              <w:rPr>
                <w:rFonts w:ascii="Arial Narrow" w:hAnsi="Arial Narrow"/>
                <w:sz w:val="20"/>
                <w:szCs w:val="20"/>
                <w:vertAlign w:val="subscript"/>
              </w:rPr>
              <w:t xml:space="preserve"> </w:t>
            </w:r>
            <w:r w:rsidRPr="004B6A22">
              <w:rPr>
                <w:rFonts w:ascii="Arial Narrow" w:hAnsi="Arial Narrow"/>
                <w:sz w:val="20"/>
                <w:szCs w:val="20"/>
              </w:rPr>
              <w:t>↑ 43%</w:t>
            </w:r>
            <w:r w:rsidRPr="004B6A22">
              <w:rPr>
                <w:rFonts w:ascii="Arial Narrow" w:hAnsi="Arial Narrow"/>
                <w:sz w:val="20"/>
                <w:szCs w:val="20"/>
                <w:vertAlign w:val="superscript"/>
              </w:rPr>
              <w:t>£</w:t>
            </w:r>
          </w:p>
          <w:p w14:paraId="28FC8996" w14:textId="77777777" w:rsidR="004B6A22" w:rsidRPr="004B6A22" w:rsidRDefault="004B6A22" w:rsidP="004B6A22">
            <w:pPr>
              <w:spacing w:after="0"/>
              <w:rPr>
                <w:rFonts w:ascii="Arial Narrow" w:hAnsi="Arial Narrow"/>
                <w:sz w:val="20"/>
                <w:szCs w:val="20"/>
              </w:rPr>
            </w:pPr>
          </w:p>
          <w:p w14:paraId="7B370027"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vertAlign w:val="superscript"/>
              </w:rPr>
              <w:t>£</w:t>
            </w:r>
            <w:r w:rsidRPr="004B6A22">
              <w:rPr>
                <w:rFonts w:ascii="Arial Narrow" w:hAnsi="Arial Narrow"/>
                <w:sz w:val="20"/>
                <w:szCs w:val="20"/>
              </w:rPr>
              <w:t xml:space="preserve"> compared to 25 mg once daily rilpivirine alone</w:t>
            </w:r>
          </w:p>
          <w:p w14:paraId="14CB3681"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(induction of CYP3A enzymes)</w:t>
            </w:r>
          </w:p>
        </w:tc>
        <w:tc>
          <w:tcPr>
            <w:tcW w:w="1725" w:type="pct"/>
            <w:vMerge/>
            <w:tcBorders>
              <w:top w:val="nil"/>
            </w:tcBorders>
            <w:shd w:val="clear" w:color="auto" w:fill="auto"/>
          </w:tcPr>
          <w:p w14:paraId="52F69DDF" w14:textId="77777777" w:rsidR="004B6A22" w:rsidRPr="004B6A22" w:rsidDel="00D97398" w:rsidRDefault="004B6A22" w:rsidP="004B6A22">
            <w:pPr>
              <w:autoSpaceDE w:val="0"/>
              <w:autoSpaceDN w:val="0"/>
              <w:adjustRightInd w:val="0"/>
              <w:spacing w:after="0"/>
              <w:rPr>
                <w:rFonts w:ascii="Arial Narrow" w:hAnsi="Arial Narrow"/>
                <w:sz w:val="20"/>
                <w:szCs w:val="20"/>
              </w:rPr>
            </w:pPr>
          </w:p>
        </w:tc>
      </w:tr>
      <w:tr w:rsidR="004B6A22" w:rsidRPr="004B6A22" w14:paraId="06740F91" w14:textId="77777777" w:rsidTr="004B6A22">
        <w:trPr>
          <w:cantSplit/>
          <w:jc w:val="center"/>
        </w:trPr>
        <w:tc>
          <w:tcPr>
            <w:tcW w:w="1421" w:type="pct"/>
          </w:tcPr>
          <w:p w14:paraId="331FA48A"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lastRenderedPageBreak/>
              <w:t>Rifampicin</w:t>
            </w:r>
          </w:p>
          <w:p w14:paraId="5FF80C63"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600 mg once daily</w:t>
            </w:r>
          </w:p>
        </w:tc>
        <w:tc>
          <w:tcPr>
            <w:tcW w:w="1854" w:type="pct"/>
            <w:gridSpan w:val="2"/>
          </w:tcPr>
          <w:p w14:paraId="4A000C07"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rifampicin AUC ↔</w:t>
            </w:r>
          </w:p>
          <w:p w14:paraId="7EDA4F1E"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 xml:space="preserve">rifampicin </w:t>
            </w:r>
            <w:proofErr w:type="spellStart"/>
            <w:r w:rsidRPr="004B6A22">
              <w:rPr>
                <w:rFonts w:ascii="Arial Narrow" w:hAnsi="Arial Narrow"/>
                <w:sz w:val="20"/>
                <w:szCs w:val="20"/>
              </w:rPr>
              <w:t>C</w:t>
            </w:r>
            <w:r w:rsidRPr="004B6A22">
              <w:rPr>
                <w:rFonts w:ascii="Arial Narrow" w:hAnsi="Arial Narrow"/>
                <w:sz w:val="20"/>
                <w:szCs w:val="20"/>
                <w:vertAlign w:val="subscript"/>
              </w:rPr>
              <w:t>min</w:t>
            </w:r>
            <w:proofErr w:type="spellEnd"/>
            <w:r w:rsidRPr="004B6A22">
              <w:rPr>
                <w:rFonts w:ascii="Arial Narrow" w:hAnsi="Arial Narrow"/>
                <w:sz w:val="20"/>
                <w:szCs w:val="20"/>
              </w:rPr>
              <w:t xml:space="preserve"> NA</w:t>
            </w:r>
          </w:p>
          <w:p w14:paraId="181A254A"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 xml:space="preserve">rifampicin </w:t>
            </w:r>
            <w:proofErr w:type="spellStart"/>
            <w:r w:rsidRPr="004B6A22">
              <w:rPr>
                <w:rFonts w:ascii="Arial Narrow" w:hAnsi="Arial Narrow"/>
                <w:sz w:val="20"/>
                <w:szCs w:val="20"/>
              </w:rPr>
              <w:t>C</w:t>
            </w:r>
            <w:r w:rsidRPr="004B6A22">
              <w:rPr>
                <w:rFonts w:ascii="Arial Narrow" w:hAnsi="Arial Narrow"/>
                <w:sz w:val="20"/>
                <w:szCs w:val="20"/>
                <w:vertAlign w:val="subscript"/>
              </w:rPr>
              <w:t>max</w:t>
            </w:r>
            <w:proofErr w:type="spellEnd"/>
            <w:r w:rsidRPr="004B6A22">
              <w:rPr>
                <w:rFonts w:ascii="Arial Narrow" w:hAnsi="Arial Narrow"/>
                <w:sz w:val="20"/>
                <w:szCs w:val="20"/>
              </w:rPr>
              <w:t xml:space="preserve"> ↔</w:t>
            </w:r>
          </w:p>
          <w:p w14:paraId="3E15573B"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25</w:t>
            </w:r>
            <w:r w:rsidRPr="004B6A22">
              <w:rPr>
                <w:rFonts w:ascii="Arial Narrow" w:hAnsi="Arial Narrow"/>
                <w:sz w:val="20"/>
                <w:szCs w:val="20"/>
              </w:rPr>
              <w:noBreakHyphen/>
              <w:t>desacetyl</w:t>
            </w:r>
            <w:r w:rsidRPr="004B6A22">
              <w:rPr>
                <w:rFonts w:ascii="Arial Narrow" w:hAnsi="Arial Narrow"/>
                <w:sz w:val="20"/>
                <w:szCs w:val="20"/>
              </w:rPr>
              <w:noBreakHyphen/>
              <w:t>rifampicin AUC ↓ 9%</w:t>
            </w:r>
          </w:p>
          <w:p w14:paraId="53C059FC"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25</w:t>
            </w:r>
            <w:r w:rsidRPr="004B6A22">
              <w:rPr>
                <w:rFonts w:ascii="Arial Narrow" w:hAnsi="Arial Narrow"/>
                <w:sz w:val="20"/>
                <w:szCs w:val="20"/>
              </w:rPr>
              <w:noBreakHyphen/>
              <w:t>desacetyl</w:t>
            </w:r>
            <w:r w:rsidRPr="004B6A22">
              <w:rPr>
                <w:rFonts w:ascii="Arial Narrow" w:hAnsi="Arial Narrow"/>
                <w:sz w:val="20"/>
                <w:szCs w:val="20"/>
              </w:rPr>
              <w:noBreakHyphen/>
              <w:t xml:space="preserve">rifampicin </w:t>
            </w:r>
            <w:proofErr w:type="spellStart"/>
            <w:r w:rsidRPr="004B6A22">
              <w:rPr>
                <w:rFonts w:ascii="Arial Narrow" w:hAnsi="Arial Narrow"/>
                <w:sz w:val="20"/>
                <w:szCs w:val="20"/>
              </w:rPr>
              <w:t>C</w:t>
            </w:r>
            <w:r w:rsidRPr="004B6A22">
              <w:rPr>
                <w:rFonts w:ascii="Arial Narrow" w:hAnsi="Arial Narrow"/>
                <w:sz w:val="20"/>
                <w:szCs w:val="20"/>
                <w:vertAlign w:val="subscript"/>
              </w:rPr>
              <w:t>min</w:t>
            </w:r>
            <w:proofErr w:type="spellEnd"/>
            <w:r w:rsidRPr="004B6A22">
              <w:rPr>
                <w:rFonts w:ascii="Arial Narrow" w:hAnsi="Arial Narrow"/>
                <w:sz w:val="20"/>
                <w:szCs w:val="20"/>
              </w:rPr>
              <w:t xml:space="preserve"> NA</w:t>
            </w:r>
          </w:p>
          <w:p w14:paraId="1548F370"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25</w:t>
            </w:r>
            <w:r w:rsidRPr="004B6A22">
              <w:rPr>
                <w:rFonts w:ascii="Arial Narrow" w:hAnsi="Arial Narrow"/>
                <w:sz w:val="20"/>
                <w:szCs w:val="20"/>
              </w:rPr>
              <w:noBreakHyphen/>
              <w:t>desacetyl</w:t>
            </w:r>
            <w:r w:rsidRPr="004B6A22">
              <w:rPr>
                <w:rFonts w:ascii="Arial Narrow" w:hAnsi="Arial Narrow"/>
                <w:sz w:val="20"/>
                <w:szCs w:val="20"/>
              </w:rPr>
              <w:noBreakHyphen/>
              <w:t xml:space="preserve">rifampicin </w:t>
            </w:r>
            <w:proofErr w:type="spellStart"/>
            <w:r w:rsidRPr="004B6A22">
              <w:rPr>
                <w:rFonts w:ascii="Arial Narrow" w:hAnsi="Arial Narrow"/>
                <w:sz w:val="20"/>
                <w:szCs w:val="20"/>
              </w:rPr>
              <w:t>C</w:t>
            </w:r>
            <w:r w:rsidRPr="004B6A22">
              <w:rPr>
                <w:rFonts w:ascii="Arial Narrow" w:hAnsi="Arial Narrow"/>
                <w:sz w:val="20"/>
                <w:szCs w:val="20"/>
                <w:vertAlign w:val="subscript"/>
              </w:rPr>
              <w:t>max</w:t>
            </w:r>
            <w:proofErr w:type="spellEnd"/>
            <w:r w:rsidRPr="004B6A22">
              <w:rPr>
                <w:rFonts w:ascii="Arial Narrow" w:hAnsi="Arial Narrow"/>
                <w:sz w:val="20"/>
                <w:szCs w:val="20"/>
              </w:rPr>
              <w:t xml:space="preserve"> ↔</w:t>
            </w:r>
          </w:p>
          <w:p w14:paraId="2AAFCFD4"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rilpivirine AUC ↓ 80%</w:t>
            </w:r>
          </w:p>
          <w:p w14:paraId="35C4BE13" w14:textId="77777777" w:rsidR="004B6A22" w:rsidRPr="004B6A22" w:rsidRDefault="004B6A22" w:rsidP="004B6A22">
            <w:pPr>
              <w:spacing w:after="0"/>
              <w:rPr>
                <w:rFonts w:ascii="Arial Narrow" w:hAnsi="Arial Narrow"/>
                <w:sz w:val="20"/>
                <w:szCs w:val="20"/>
              </w:rPr>
            </w:pPr>
            <w:proofErr w:type="spellStart"/>
            <w:r w:rsidRPr="004B6A22">
              <w:rPr>
                <w:rFonts w:ascii="Arial Narrow" w:hAnsi="Arial Narrow"/>
                <w:sz w:val="20"/>
                <w:szCs w:val="20"/>
              </w:rPr>
              <w:t>rilpivirine</w:t>
            </w:r>
            <w:proofErr w:type="spellEnd"/>
            <w:r w:rsidRPr="004B6A22">
              <w:rPr>
                <w:rFonts w:ascii="Arial Narrow" w:hAnsi="Arial Narrow"/>
                <w:sz w:val="20"/>
                <w:szCs w:val="20"/>
              </w:rPr>
              <w:t xml:space="preserve"> </w:t>
            </w:r>
            <w:proofErr w:type="spellStart"/>
            <w:r w:rsidRPr="004B6A22">
              <w:rPr>
                <w:rFonts w:ascii="Arial Narrow" w:hAnsi="Arial Narrow"/>
                <w:sz w:val="20"/>
                <w:szCs w:val="20"/>
              </w:rPr>
              <w:t>C</w:t>
            </w:r>
            <w:r w:rsidRPr="004B6A22">
              <w:rPr>
                <w:rFonts w:ascii="Arial Narrow" w:hAnsi="Arial Narrow"/>
                <w:sz w:val="20"/>
                <w:szCs w:val="20"/>
                <w:vertAlign w:val="subscript"/>
              </w:rPr>
              <w:t>min</w:t>
            </w:r>
            <w:proofErr w:type="spellEnd"/>
            <w:r w:rsidRPr="004B6A22">
              <w:rPr>
                <w:rFonts w:ascii="Arial Narrow" w:hAnsi="Arial Narrow"/>
                <w:sz w:val="20"/>
                <w:szCs w:val="20"/>
              </w:rPr>
              <w:t xml:space="preserve"> ↓ 89%</w:t>
            </w:r>
          </w:p>
          <w:p w14:paraId="57BCB25F" w14:textId="77777777" w:rsidR="004B6A22" w:rsidRPr="004B6A22" w:rsidRDefault="004B6A22" w:rsidP="004B6A22">
            <w:pPr>
              <w:spacing w:after="0"/>
              <w:rPr>
                <w:rFonts w:ascii="Arial Narrow" w:hAnsi="Arial Narrow"/>
                <w:sz w:val="20"/>
                <w:szCs w:val="20"/>
              </w:rPr>
            </w:pPr>
            <w:proofErr w:type="spellStart"/>
            <w:r w:rsidRPr="004B6A22">
              <w:rPr>
                <w:rFonts w:ascii="Arial Narrow" w:hAnsi="Arial Narrow"/>
                <w:sz w:val="20"/>
                <w:szCs w:val="20"/>
              </w:rPr>
              <w:t>rilpivirine</w:t>
            </w:r>
            <w:proofErr w:type="spellEnd"/>
            <w:r w:rsidRPr="004B6A22">
              <w:rPr>
                <w:rFonts w:ascii="Arial Narrow" w:hAnsi="Arial Narrow"/>
                <w:sz w:val="20"/>
                <w:szCs w:val="20"/>
              </w:rPr>
              <w:t xml:space="preserve"> </w:t>
            </w:r>
            <w:proofErr w:type="spellStart"/>
            <w:r w:rsidRPr="004B6A22">
              <w:rPr>
                <w:rFonts w:ascii="Arial Narrow" w:hAnsi="Arial Narrow"/>
                <w:sz w:val="20"/>
                <w:szCs w:val="20"/>
              </w:rPr>
              <w:t>C</w:t>
            </w:r>
            <w:r w:rsidRPr="004B6A22">
              <w:rPr>
                <w:rFonts w:ascii="Arial Narrow" w:hAnsi="Arial Narrow"/>
                <w:sz w:val="20"/>
                <w:szCs w:val="20"/>
                <w:vertAlign w:val="subscript"/>
              </w:rPr>
              <w:t>max</w:t>
            </w:r>
            <w:proofErr w:type="spellEnd"/>
            <w:r w:rsidRPr="004B6A22">
              <w:rPr>
                <w:rFonts w:ascii="Arial Narrow" w:hAnsi="Arial Narrow"/>
                <w:sz w:val="20"/>
                <w:szCs w:val="20"/>
              </w:rPr>
              <w:t xml:space="preserve"> ↓ 69%</w:t>
            </w:r>
          </w:p>
          <w:p w14:paraId="7D13CDAF" w14:textId="77777777" w:rsidR="004B6A22" w:rsidRPr="004B6A22" w:rsidRDefault="004B6A22" w:rsidP="004B6A22">
            <w:pPr>
              <w:spacing w:after="0"/>
              <w:rPr>
                <w:rFonts w:ascii="Arial Narrow" w:hAnsi="Arial Narrow"/>
                <w:sz w:val="20"/>
                <w:szCs w:val="20"/>
              </w:rPr>
            </w:pPr>
          </w:p>
          <w:p w14:paraId="7BC6B758"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(induction of CYP3A enzymes)</w:t>
            </w:r>
          </w:p>
        </w:tc>
        <w:tc>
          <w:tcPr>
            <w:tcW w:w="1725" w:type="pct"/>
            <w:tcBorders>
              <w:bottom w:val="single" w:sz="4" w:space="0" w:color="auto"/>
            </w:tcBorders>
          </w:tcPr>
          <w:p w14:paraId="1174A614" w14:textId="022222F8" w:rsidR="004B6A22" w:rsidRPr="004B6A22" w:rsidRDefault="004B6A22" w:rsidP="004B6A22">
            <w:pPr>
              <w:spacing w:after="0"/>
              <w:rPr>
                <w:rFonts w:ascii="Arial Narrow" w:hAnsi="Arial Narrow"/>
                <w:sz w:val="20"/>
                <w:szCs w:val="20"/>
              </w:rPr>
            </w:pPr>
            <w:r w:rsidRPr="004B6A22">
              <w:rPr>
                <w:rFonts w:ascii="Arial Narrow" w:hAnsi="Arial Narrow"/>
                <w:sz w:val="20"/>
                <w:szCs w:val="20"/>
              </w:rPr>
              <w:t>Rilpivirine must not be used in combination with rifampicin as co</w:t>
            </w:r>
            <w:r w:rsidRPr="004B6A22">
              <w:rPr>
                <w:rFonts w:ascii="Arial Narrow" w:hAnsi="Arial Narrow"/>
                <w:sz w:val="20"/>
                <w:szCs w:val="20"/>
              </w:rPr>
              <w:noBreakHyphen/>
              <w:t xml:space="preserve">administration is likely to result in loss of therapeutic effect of rilpivirine (see </w:t>
            </w:r>
            <w:r w:rsidR="00417DBF">
              <w:rPr>
                <w:rFonts w:ascii="Arial Narrow" w:hAnsi="Arial Narrow"/>
                <w:sz w:val="20"/>
                <w:szCs w:val="20"/>
              </w:rPr>
              <w:t xml:space="preserve">Section 4.3 </w:t>
            </w:r>
            <w:r w:rsidR="00417DBF" w:rsidRPr="004B6A22">
              <w:rPr>
                <w:rFonts w:ascii="Arial Narrow" w:hAnsi="Arial Narrow"/>
                <w:sz w:val="20"/>
                <w:szCs w:val="20"/>
              </w:rPr>
              <w:t>CONTRAINDICATIONS</w:t>
            </w:r>
            <w:r w:rsidRPr="004B6A22">
              <w:rPr>
                <w:rFonts w:ascii="Arial Narrow" w:hAnsi="Arial Narrow"/>
                <w:sz w:val="20"/>
                <w:szCs w:val="20"/>
              </w:rPr>
              <w:t>).</w:t>
            </w:r>
          </w:p>
          <w:p w14:paraId="43141187" w14:textId="77777777" w:rsidR="004B6A22" w:rsidRPr="004B6A22" w:rsidRDefault="004B6A22" w:rsidP="004B6A22">
            <w:pPr>
              <w:spacing w:after="0"/>
              <w:rPr>
                <w:rFonts w:ascii="Arial Narrow" w:hAnsi="Arial Narrow"/>
                <w:sz w:val="20"/>
                <w:szCs w:val="20"/>
              </w:rPr>
            </w:pPr>
          </w:p>
          <w:p w14:paraId="73F12DB9" w14:textId="77777777" w:rsidR="004B6A22" w:rsidRPr="004B6A22" w:rsidRDefault="004B6A22" w:rsidP="004B6A22">
            <w:pPr>
              <w:spacing w:after="0"/>
              <w:rPr>
                <w:rFonts w:ascii="Arial Narrow" w:hAnsi="Arial Narrow"/>
                <w:sz w:val="20"/>
                <w:szCs w:val="20"/>
              </w:rPr>
            </w:pPr>
          </w:p>
        </w:tc>
      </w:tr>
      <w:tr w:rsidR="004B6A22" w:rsidRPr="004B6A22" w14:paraId="5BFCE19C" w14:textId="77777777" w:rsidTr="00372919">
        <w:trPr>
          <w:cantSplit/>
          <w:jc w:val="center"/>
        </w:trPr>
        <w:tc>
          <w:tcPr>
            <w:tcW w:w="1421" w:type="pct"/>
          </w:tcPr>
          <w:p w14:paraId="2D85DCCF"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Rifapentine</w:t>
            </w:r>
          </w:p>
        </w:tc>
        <w:tc>
          <w:tcPr>
            <w:tcW w:w="1854" w:type="pct"/>
            <w:gridSpan w:val="2"/>
          </w:tcPr>
          <w:p w14:paraId="0374AE58"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Not studied. Significant decreases in rilpivirine plasma concentrations are expected.</w:t>
            </w:r>
          </w:p>
          <w:p w14:paraId="2E5121D6" w14:textId="77777777" w:rsidR="004B6A22" w:rsidRPr="004B6A22" w:rsidRDefault="004B6A22" w:rsidP="004B6A22">
            <w:pPr>
              <w:spacing w:after="0"/>
              <w:rPr>
                <w:rFonts w:ascii="Arial Narrow" w:hAnsi="Arial Narrow"/>
                <w:sz w:val="20"/>
                <w:szCs w:val="20"/>
              </w:rPr>
            </w:pPr>
          </w:p>
          <w:p w14:paraId="798BED99"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(induction of CYP3A enzymes)</w:t>
            </w:r>
          </w:p>
        </w:tc>
        <w:tc>
          <w:tcPr>
            <w:tcW w:w="1725" w:type="pct"/>
            <w:shd w:val="clear" w:color="auto" w:fill="auto"/>
          </w:tcPr>
          <w:p w14:paraId="08270524" w14:textId="4BC857AF" w:rsidR="004B6A22" w:rsidRPr="00372919" w:rsidRDefault="004B6A22" w:rsidP="004B6A22">
            <w:pPr>
              <w:spacing w:after="0"/>
              <w:rPr>
                <w:rFonts w:ascii="Arial Narrow" w:hAnsi="Arial Narrow"/>
                <w:sz w:val="20"/>
                <w:szCs w:val="20"/>
              </w:rPr>
            </w:pPr>
            <w:r w:rsidRPr="00372919">
              <w:rPr>
                <w:rFonts w:ascii="Arial Narrow" w:hAnsi="Arial Narrow"/>
                <w:sz w:val="20"/>
                <w:szCs w:val="20"/>
              </w:rPr>
              <w:t>Rilpivirine must not be used in combination with rifapentine as co</w:t>
            </w:r>
            <w:r w:rsidRPr="00372919">
              <w:rPr>
                <w:rFonts w:ascii="Arial Narrow" w:hAnsi="Arial Narrow"/>
                <w:sz w:val="20"/>
                <w:szCs w:val="20"/>
              </w:rPr>
              <w:noBreakHyphen/>
              <w:t xml:space="preserve">administration is likely to result in loss of therapeutic effect of rilpivirine (see </w:t>
            </w:r>
            <w:r w:rsidR="00417DBF">
              <w:rPr>
                <w:rFonts w:ascii="Arial Narrow" w:hAnsi="Arial Narrow"/>
                <w:sz w:val="20"/>
                <w:szCs w:val="20"/>
              </w:rPr>
              <w:t xml:space="preserve">Section 4.3 </w:t>
            </w:r>
            <w:r w:rsidR="00417DBF" w:rsidRPr="00372919">
              <w:rPr>
                <w:rFonts w:ascii="Arial Narrow" w:hAnsi="Arial Narrow"/>
                <w:sz w:val="20"/>
                <w:szCs w:val="20"/>
              </w:rPr>
              <w:t>CONTRAINDICATIONS</w:t>
            </w:r>
            <w:r w:rsidRPr="00372919">
              <w:rPr>
                <w:rFonts w:ascii="Arial Narrow" w:hAnsi="Arial Narrow"/>
                <w:sz w:val="20"/>
                <w:szCs w:val="20"/>
              </w:rPr>
              <w:t>).</w:t>
            </w:r>
          </w:p>
        </w:tc>
      </w:tr>
      <w:tr w:rsidR="004B6A22" w:rsidRPr="004B6A22" w14:paraId="259FEAF5" w14:textId="77777777" w:rsidTr="004B6A22">
        <w:trPr>
          <w:cantSplit/>
          <w:jc w:val="center"/>
        </w:trPr>
        <w:tc>
          <w:tcPr>
            <w:tcW w:w="5000" w:type="pct"/>
            <w:gridSpan w:val="4"/>
          </w:tcPr>
          <w:p w14:paraId="0F680BF8" w14:textId="40ADC1E4" w:rsidR="004B6A22" w:rsidRPr="00372919" w:rsidRDefault="00372919" w:rsidP="004B6A22">
            <w:pPr>
              <w:keepNext/>
              <w:spacing w:after="0"/>
              <w:rPr>
                <w:rFonts w:ascii="Arial Narrow" w:eastAsia="Times New Roman Bold" w:hAnsi="Arial Narrow"/>
                <w:i/>
                <w:caps/>
                <w:sz w:val="20"/>
                <w:szCs w:val="20"/>
              </w:rPr>
            </w:pPr>
            <w:r>
              <w:rPr>
                <w:rFonts w:ascii="Arial Narrow" w:hAnsi="Arial Narrow"/>
                <w:i/>
                <w:sz w:val="20"/>
                <w:szCs w:val="20"/>
              </w:rPr>
              <w:t>M</w:t>
            </w:r>
            <w:r w:rsidRPr="00372919">
              <w:rPr>
                <w:rFonts w:ascii="Arial Narrow" w:hAnsi="Arial Narrow"/>
                <w:i/>
                <w:sz w:val="20"/>
                <w:szCs w:val="20"/>
              </w:rPr>
              <w:t>acrolide antibiotics</w:t>
            </w:r>
          </w:p>
        </w:tc>
      </w:tr>
      <w:tr w:rsidR="004B6A22" w:rsidRPr="004B6A22" w14:paraId="6DC3761D" w14:textId="77777777" w:rsidTr="00372919">
        <w:trPr>
          <w:cantSplit/>
          <w:jc w:val="center"/>
        </w:trPr>
        <w:tc>
          <w:tcPr>
            <w:tcW w:w="1421" w:type="pct"/>
          </w:tcPr>
          <w:p w14:paraId="030585E2"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Clarithromycin</w:t>
            </w:r>
          </w:p>
          <w:p w14:paraId="05EDF085"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Erythromycin</w:t>
            </w:r>
          </w:p>
        </w:tc>
        <w:tc>
          <w:tcPr>
            <w:tcW w:w="1854" w:type="pct"/>
            <w:gridSpan w:val="2"/>
          </w:tcPr>
          <w:p w14:paraId="1430C163"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Not studied. Increased exposure of rilpivirine is expected.</w:t>
            </w:r>
          </w:p>
          <w:p w14:paraId="2D77BDBC" w14:textId="77777777" w:rsidR="004B6A22" w:rsidRPr="004B6A22" w:rsidRDefault="004B6A22" w:rsidP="004B6A22">
            <w:pPr>
              <w:spacing w:after="0"/>
              <w:rPr>
                <w:rFonts w:ascii="Arial Narrow" w:hAnsi="Arial Narrow"/>
                <w:sz w:val="20"/>
                <w:szCs w:val="20"/>
              </w:rPr>
            </w:pPr>
          </w:p>
          <w:p w14:paraId="65B6AA87"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(inhibition of CYP3A enzymes)</w:t>
            </w:r>
          </w:p>
        </w:tc>
        <w:tc>
          <w:tcPr>
            <w:tcW w:w="1725" w:type="pct"/>
            <w:shd w:val="clear" w:color="auto" w:fill="auto"/>
          </w:tcPr>
          <w:p w14:paraId="2BB8DB57"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Where possible, alternatives such as azithromycin should be considered.</w:t>
            </w:r>
          </w:p>
        </w:tc>
      </w:tr>
      <w:tr w:rsidR="004B6A22" w:rsidRPr="004B6A22" w14:paraId="084FD71A" w14:textId="77777777" w:rsidTr="004B6A22">
        <w:trPr>
          <w:cantSplit/>
          <w:jc w:val="center"/>
        </w:trPr>
        <w:tc>
          <w:tcPr>
            <w:tcW w:w="5000" w:type="pct"/>
            <w:gridSpan w:val="4"/>
          </w:tcPr>
          <w:p w14:paraId="7E972ABF" w14:textId="6A13DD31" w:rsidR="004B6A22" w:rsidRPr="00372919" w:rsidRDefault="00372919" w:rsidP="004B6A22">
            <w:pPr>
              <w:keepNext/>
              <w:spacing w:after="0"/>
              <w:rPr>
                <w:rFonts w:ascii="Arial Narrow" w:hAnsi="Arial Narrow"/>
                <w:i/>
                <w:sz w:val="20"/>
                <w:szCs w:val="20"/>
              </w:rPr>
            </w:pPr>
            <w:r w:rsidRPr="00372919">
              <w:rPr>
                <w:rFonts w:ascii="Arial Narrow" w:hAnsi="Arial Narrow"/>
                <w:i/>
                <w:sz w:val="20"/>
                <w:szCs w:val="20"/>
              </w:rPr>
              <w:t>Glucocorticoids or corticosteroids</w:t>
            </w:r>
          </w:p>
        </w:tc>
      </w:tr>
      <w:tr w:rsidR="004B6A22" w:rsidRPr="004B6A22" w14:paraId="6A038DAD" w14:textId="77777777" w:rsidTr="00372919">
        <w:trPr>
          <w:cantSplit/>
          <w:jc w:val="center"/>
        </w:trPr>
        <w:tc>
          <w:tcPr>
            <w:tcW w:w="1421" w:type="pct"/>
          </w:tcPr>
          <w:p w14:paraId="79FBC1B4"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Dexamethasone (systemic, except for single dose use)</w:t>
            </w:r>
          </w:p>
        </w:tc>
        <w:tc>
          <w:tcPr>
            <w:tcW w:w="1854" w:type="pct"/>
            <w:gridSpan w:val="2"/>
          </w:tcPr>
          <w:p w14:paraId="4A431E9C"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Not studied. Dose dependent decreases in rilpivirine plasma concentrations are expected.</w:t>
            </w:r>
          </w:p>
          <w:p w14:paraId="170B8443"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(induction of CYP3A enzymes)</w:t>
            </w:r>
          </w:p>
        </w:tc>
        <w:tc>
          <w:tcPr>
            <w:tcW w:w="1725" w:type="pct"/>
            <w:shd w:val="clear" w:color="auto" w:fill="auto"/>
          </w:tcPr>
          <w:p w14:paraId="2FDDC60C" w14:textId="5FF2AE97" w:rsidR="004B6A22" w:rsidRPr="004B6A22" w:rsidRDefault="00372919" w:rsidP="004B6A22">
            <w:pPr>
              <w:spacing w:after="0"/>
              <w:rPr>
                <w:rFonts w:ascii="Arial Narrow" w:hAnsi="Arial Narrow"/>
                <w:sz w:val="20"/>
                <w:szCs w:val="20"/>
              </w:rPr>
            </w:pPr>
            <w:r w:rsidRPr="00372919">
              <w:rPr>
                <w:rFonts w:ascii="Arial Narrow" w:hAnsi="Arial Narrow"/>
                <w:sz w:val="20"/>
                <w:szCs w:val="20"/>
              </w:rPr>
              <w:t>Rilpivirine</w:t>
            </w:r>
            <w:r w:rsidR="004B6A22" w:rsidRPr="004B6A22">
              <w:rPr>
                <w:rFonts w:ascii="Arial Narrow" w:hAnsi="Arial Narrow"/>
                <w:sz w:val="20"/>
                <w:szCs w:val="20"/>
              </w:rPr>
              <w:t xml:space="preserve"> should not be used in combination with systemic dexamethasone (except as a single dose) as co</w:t>
            </w:r>
            <w:r w:rsidR="004B6A22" w:rsidRPr="004B6A22">
              <w:rPr>
                <w:rFonts w:ascii="Arial Narrow" w:hAnsi="Arial Narrow"/>
                <w:sz w:val="20"/>
                <w:szCs w:val="20"/>
              </w:rPr>
              <w:noBreakHyphen/>
              <w:t xml:space="preserve">administration may result in loss of therapeutic effect of rilpivirine (see </w:t>
            </w:r>
            <w:r w:rsidR="00417DBF">
              <w:rPr>
                <w:rFonts w:ascii="Arial Narrow" w:hAnsi="Arial Narrow"/>
                <w:sz w:val="20"/>
                <w:szCs w:val="20"/>
              </w:rPr>
              <w:t xml:space="preserve">Section 4.3 </w:t>
            </w:r>
            <w:r w:rsidR="00417DBF" w:rsidRPr="00417DBF">
              <w:rPr>
                <w:rFonts w:ascii="Arial Narrow" w:hAnsi="Arial Narrow"/>
                <w:iCs/>
                <w:sz w:val="20"/>
                <w:szCs w:val="20"/>
              </w:rPr>
              <w:t>CONTRAINDICATIONS</w:t>
            </w:r>
            <w:r w:rsidR="004B6A22" w:rsidRPr="004B6A22">
              <w:rPr>
                <w:rFonts w:ascii="Arial Narrow" w:hAnsi="Arial Narrow"/>
                <w:sz w:val="20"/>
                <w:szCs w:val="20"/>
              </w:rPr>
              <w:t>). Alternatives should be considered, particularly for long</w:t>
            </w:r>
            <w:r w:rsidR="004B6A22" w:rsidRPr="004B6A22">
              <w:rPr>
                <w:rFonts w:ascii="Arial Narrow" w:hAnsi="Arial Narrow"/>
                <w:sz w:val="20"/>
                <w:szCs w:val="20"/>
              </w:rPr>
              <w:noBreakHyphen/>
              <w:t>term use.</w:t>
            </w:r>
          </w:p>
        </w:tc>
      </w:tr>
      <w:tr w:rsidR="004B6A22" w:rsidRPr="004B6A22" w14:paraId="4E2C936E" w14:textId="77777777" w:rsidTr="004B6A22">
        <w:trPr>
          <w:cantSplit/>
          <w:jc w:val="center"/>
        </w:trPr>
        <w:tc>
          <w:tcPr>
            <w:tcW w:w="5000" w:type="pct"/>
            <w:gridSpan w:val="4"/>
          </w:tcPr>
          <w:p w14:paraId="255F2574" w14:textId="7C0589D6" w:rsidR="004B6A22" w:rsidRPr="00372919" w:rsidRDefault="00372919" w:rsidP="004B6A22">
            <w:pPr>
              <w:keepNext/>
              <w:spacing w:after="0"/>
              <w:rPr>
                <w:rFonts w:ascii="Arial Narrow" w:hAnsi="Arial Narrow"/>
                <w:i/>
                <w:sz w:val="20"/>
                <w:szCs w:val="20"/>
              </w:rPr>
            </w:pPr>
            <w:r w:rsidRPr="00372919">
              <w:rPr>
                <w:rFonts w:ascii="Arial Narrow" w:hAnsi="Arial Narrow"/>
                <w:bCs/>
                <w:i/>
                <w:sz w:val="20"/>
                <w:szCs w:val="20"/>
              </w:rPr>
              <w:t>Narcotic analgesics</w:t>
            </w:r>
          </w:p>
        </w:tc>
      </w:tr>
      <w:tr w:rsidR="004B6A22" w:rsidRPr="004B6A22" w14:paraId="675A3370" w14:textId="77777777" w:rsidTr="00372919">
        <w:trPr>
          <w:cantSplit/>
          <w:jc w:val="center"/>
        </w:trPr>
        <w:tc>
          <w:tcPr>
            <w:tcW w:w="1421" w:type="pct"/>
          </w:tcPr>
          <w:p w14:paraId="1F20B6F5"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Methadone</w:t>
            </w:r>
          </w:p>
          <w:p w14:paraId="4517A03B" w14:textId="7CD9116D"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60</w:t>
            </w:r>
            <w:r w:rsidRPr="004B6A22">
              <w:rPr>
                <w:rFonts w:ascii="Arial Narrow" w:hAnsi="Arial Narrow"/>
                <w:sz w:val="20"/>
                <w:szCs w:val="20"/>
              </w:rPr>
              <w:noBreakHyphen/>
              <w:t>100 mg once daily, individuali</w:t>
            </w:r>
            <w:r w:rsidR="00D958EC">
              <w:rPr>
                <w:rFonts w:ascii="Arial Narrow" w:hAnsi="Arial Narrow"/>
                <w:sz w:val="20"/>
                <w:szCs w:val="20"/>
              </w:rPr>
              <w:t>s</w:t>
            </w:r>
            <w:r w:rsidRPr="004B6A22">
              <w:rPr>
                <w:rFonts w:ascii="Arial Narrow" w:hAnsi="Arial Narrow"/>
                <w:sz w:val="20"/>
                <w:szCs w:val="20"/>
              </w:rPr>
              <w:t>ed dose</w:t>
            </w:r>
          </w:p>
        </w:tc>
        <w:tc>
          <w:tcPr>
            <w:tcW w:w="1854" w:type="pct"/>
            <w:gridSpan w:val="2"/>
          </w:tcPr>
          <w:p w14:paraId="366ADF5C" w14:textId="77777777" w:rsidR="004B6A22" w:rsidRPr="004B6A22" w:rsidRDefault="004B6A22" w:rsidP="004B6A22">
            <w:pPr>
              <w:autoSpaceDE w:val="0"/>
              <w:autoSpaceDN w:val="0"/>
              <w:adjustRightInd w:val="0"/>
              <w:spacing w:after="0"/>
              <w:rPr>
                <w:rFonts w:ascii="Arial Narrow" w:hAnsi="Arial Narrow"/>
                <w:sz w:val="20"/>
                <w:szCs w:val="20"/>
                <w:lang w:val="pt-BR"/>
              </w:rPr>
            </w:pPr>
            <w:r w:rsidRPr="004B6A22">
              <w:rPr>
                <w:rFonts w:ascii="Arial Narrow" w:hAnsi="Arial Narrow"/>
                <w:sz w:val="20"/>
                <w:szCs w:val="20"/>
                <w:lang w:val="pt-BR"/>
              </w:rPr>
              <w:t>R(</w:t>
            </w:r>
            <w:r w:rsidRPr="004B6A22">
              <w:rPr>
                <w:rFonts w:ascii="Arial Narrow" w:hAnsi="Arial Narrow"/>
                <w:sz w:val="20"/>
                <w:szCs w:val="20"/>
                <w:lang w:val="pt-BR"/>
              </w:rPr>
              <w:noBreakHyphen/>
              <w:t>) methadone AUC ↓ 16%</w:t>
            </w:r>
          </w:p>
          <w:p w14:paraId="3D07A3CA" w14:textId="77777777" w:rsidR="004B6A22" w:rsidRPr="004B6A22" w:rsidRDefault="004B6A22" w:rsidP="004B6A22">
            <w:pPr>
              <w:autoSpaceDE w:val="0"/>
              <w:autoSpaceDN w:val="0"/>
              <w:adjustRightInd w:val="0"/>
              <w:spacing w:after="0"/>
              <w:rPr>
                <w:rFonts w:ascii="Arial Narrow" w:hAnsi="Arial Narrow"/>
                <w:sz w:val="20"/>
                <w:szCs w:val="20"/>
                <w:lang w:val="pt-BR"/>
              </w:rPr>
            </w:pPr>
            <w:r w:rsidRPr="004B6A22">
              <w:rPr>
                <w:rFonts w:ascii="Arial Narrow" w:hAnsi="Arial Narrow"/>
                <w:sz w:val="20"/>
                <w:szCs w:val="20"/>
                <w:lang w:val="pt-BR"/>
              </w:rPr>
              <w:t>R(</w:t>
            </w:r>
            <w:r w:rsidRPr="004B6A22">
              <w:rPr>
                <w:rFonts w:ascii="Arial Narrow" w:hAnsi="Arial Narrow"/>
                <w:sz w:val="20"/>
                <w:szCs w:val="20"/>
                <w:lang w:val="pt-BR"/>
              </w:rPr>
              <w:noBreakHyphen/>
              <w:t>) methadone C</w:t>
            </w:r>
            <w:r w:rsidRPr="004B6A22">
              <w:rPr>
                <w:rFonts w:ascii="Arial Narrow" w:hAnsi="Arial Narrow"/>
                <w:sz w:val="20"/>
                <w:szCs w:val="20"/>
                <w:vertAlign w:val="subscript"/>
                <w:lang w:val="pt-BR"/>
              </w:rPr>
              <w:t>min</w:t>
            </w:r>
            <w:r w:rsidRPr="004B6A22">
              <w:rPr>
                <w:rFonts w:ascii="Arial Narrow" w:hAnsi="Arial Narrow"/>
                <w:sz w:val="20"/>
                <w:szCs w:val="20"/>
                <w:lang w:val="pt-BR"/>
              </w:rPr>
              <w:t xml:space="preserve"> ↓ 22%</w:t>
            </w:r>
          </w:p>
          <w:p w14:paraId="69234E47" w14:textId="77777777" w:rsidR="004B6A22" w:rsidRPr="004B6A22" w:rsidRDefault="004B6A22" w:rsidP="004B6A22">
            <w:pPr>
              <w:autoSpaceDE w:val="0"/>
              <w:autoSpaceDN w:val="0"/>
              <w:adjustRightInd w:val="0"/>
              <w:spacing w:after="0"/>
              <w:rPr>
                <w:rFonts w:ascii="Arial Narrow" w:hAnsi="Arial Narrow"/>
                <w:sz w:val="20"/>
                <w:szCs w:val="20"/>
                <w:lang w:val="pt-BR"/>
              </w:rPr>
            </w:pPr>
            <w:r w:rsidRPr="004B6A22">
              <w:rPr>
                <w:rFonts w:ascii="Arial Narrow" w:hAnsi="Arial Narrow"/>
                <w:sz w:val="20"/>
                <w:szCs w:val="20"/>
                <w:lang w:val="pt-BR"/>
              </w:rPr>
              <w:t>R(</w:t>
            </w:r>
            <w:r w:rsidRPr="004B6A22">
              <w:rPr>
                <w:rFonts w:ascii="Arial Narrow" w:hAnsi="Arial Narrow"/>
                <w:sz w:val="20"/>
                <w:szCs w:val="20"/>
                <w:lang w:val="pt-BR"/>
              </w:rPr>
              <w:noBreakHyphen/>
              <w:t>) methadone C</w:t>
            </w:r>
            <w:r w:rsidRPr="004B6A22">
              <w:rPr>
                <w:rFonts w:ascii="Arial Narrow" w:hAnsi="Arial Narrow"/>
                <w:sz w:val="20"/>
                <w:szCs w:val="20"/>
                <w:vertAlign w:val="subscript"/>
                <w:lang w:val="pt-BR"/>
              </w:rPr>
              <w:t>max</w:t>
            </w:r>
            <w:r w:rsidRPr="004B6A22">
              <w:rPr>
                <w:rFonts w:ascii="Arial Narrow" w:hAnsi="Arial Narrow"/>
                <w:sz w:val="20"/>
                <w:szCs w:val="20"/>
                <w:lang w:val="pt-BR"/>
              </w:rPr>
              <w:t xml:space="preserve"> ↓ 14%</w:t>
            </w:r>
          </w:p>
          <w:p w14:paraId="0A7EE817" w14:textId="77777777" w:rsidR="004B6A22" w:rsidRPr="004B6A22" w:rsidRDefault="004B6A22" w:rsidP="004B6A22">
            <w:pPr>
              <w:spacing w:after="0"/>
              <w:rPr>
                <w:rFonts w:ascii="Arial Narrow" w:hAnsi="Arial Narrow"/>
                <w:sz w:val="20"/>
                <w:szCs w:val="20"/>
                <w:vertAlign w:val="superscript"/>
                <w:lang w:val="pt-BR"/>
              </w:rPr>
            </w:pPr>
            <w:r w:rsidRPr="004B6A22">
              <w:rPr>
                <w:rFonts w:ascii="Arial Narrow" w:hAnsi="Arial Narrow"/>
                <w:sz w:val="20"/>
                <w:szCs w:val="20"/>
                <w:lang w:val="pt-BR"/>
              </w:rPr>
              <w:t>rilpivirine AUC ↔</w:t>
            </w:r>
            <w:r w:rsidRPr="004B6A22">
              <w:rPr>
                <w:rFonts w:ascii="Arial Narrow" w:hAnsi="Arial Narrow"/>
                <w:sz w:val="20"/>
                <w:szCs w:val="20"/>
                <w:vertAlign w:val="superscript"/>
                <w:lang w:val="pt-BR"/>
              </w:rPr>
              <w:t>£</w:t>
            </w:r>
          </w:p>
          <w:p w14:paraId="419A7C38" w14:textId="77777777" w:rsidR="004B6A22" w:rsidRPr="004B6A22" w:rsidRDefault="004B6A22" w:rsidP="004B6A22">
            <w:pPr>
              <w:spacing w:after="0"/>
              <w:rPr>
                <w:rFonts w:ascii="Arial Narrow" w:hAnsi="Arial Narrow"/>
                <w:sz w:val="20"/>
                <w:szCs w:val="20"/>
                <w:lang w:val="pt-BR"/>
              </w:rPr>
            </w:pPr>
            <w:r w:rsidRPr="004B6A22">
              <w:rPr>
                <w:rFonts w:ascii="Arial Narrow" w:hAnsi="Arial Narrow"/>
                <w:sz w:val="20"/>
                <w:szCs w:val="20"/>
                <w:lang w:val="pt-BR"/>
              </w:rPr>
              <w:t>rilpivirine C</w:t>
            </w:r>
            <w:r w:rsidRPr="004B6A22">
              <w:rPr>
                <w:rFonts w:ascii="Arial Narrow" w:hAnsi="Arial Narrow"/>
                <w:sz w:val="20"/>
                <w:szCs w:val="20"/>
                <w:vertAlign w:val="subscript"/>
                <w:lang w:val="pt-BR"/>
              </w:rPr>
              <w:t>min</w:t>
            </w:r>
            <w:r w:rsidRPr="004B6A22">
              <w:rPr>
                <w:rFonts w:ascii="Arial Narrow" w:hAnsi="Arial Narrow"/>
                <w:sz w:val="20"/>
                <w:szCs w:val="20"/>
                <w:lang w:val="pt-BR"/>
              </w:rPr>
              <w:t xml:space="preserve"> ↔</w:t>
            </w:r>
            <w:r w:rsidRPr="004B6A22">
              <w:rPr>
                <w:rFonts w:ascii="Arial Narrow" w:hAnsi="Arial Narrow"/>
                <w:sz w:val="20"/>
                <w:szCs w:val="20"/>
                <w:vertAlign w:val="superscript"/>
                <w:lang w:val="pt-BR"/>
              </w:rPr>
              <w:t>£</w:t>
            </w:r>
          </w:p>
          <w:p w14:paraId="5E9C3D38" w14:textId="77777777" w:rsidR="004B6A22" w:rsidRPr="004B6A22" w:rsidRDefault="004B6A22" w:rsidP="004B6A22">
            <w:pPr>
              <w:spacing w:after="0"/>
              <w:rPr>
                <w:rFonts w:ascii="Arial Narrow" w:hAnsi="Arial Narrow"/>
                <w:sz w:val="20"/>
                <w:szCs w:val="20"/>
              </w:rPr>
            </w:pPr>
            <w:proofErr w:type="spellStart"/>
            <w:r w:rsidRPr="004B6A22">
              <w:rPr>
                <w:rFonts w:ascii="Arial Narrow" w:hAnsi="Arial Narrow"/>
                <w:sz w:val="20"/>
                <w:szCs w:val="20"/>
              </w:rPr>
              <w:t>rilpivirine</w:t>
            </w:r>
            <w:proofErr w:type="spellEnd"/>
            <w:r w:rsidRPr="004B6A22">
              <w:rPr>
                <w:rFonts w:ascii="Arial Narrow" w:hAnsi="Arial Narrow"/>
                <w:sz w:val="20"/>
                <w:szCs w:val="20"/>
              </w:rPr>
              <w:t xml:space="preserve"> </w:t>
            </w:r>
            <w:proofErr w:type="spellStart"/>
            <w:r w:rsidRPr="004B6A22">
              <w:rPr>
                <w:rFonts w:ascii="Arial Narrow" w:hAnsi="Arial Narrow"/>
                <w:sz w:val="20"/>
                <w:szCs w:val="20"/>
              </w:rPr>
              <w:t>C</w:t>
            </w:r>
            <w:r w:rsidRPr="004B6A22">
              <w:rPr>
                <w:rFonts w:ascii="Arial Narrow" w:hAnsi="Arial Narrow"/>
                <w:sz w:val="20"/>
                <w:szCs w:val="20"/>
                <w:vertAlign w:val="subscript"/>
              </w:rPr>
              <w:t>max</w:t>
            </w:r>
            <w:proofErr w:type="spellEnd"/>
            <w:r w:rsidRPr="004B6A22">
              <w:rPr>
                <w:rFonts w:ascii="Arial Narrow" w:hAnsi="Arial Narrow"/>
                <w:sz w:val="20"/>
                <w:szCs w:val="20"/>
              </w:rPr>
              <w:t xml:space="preserve"> ↔</w:t>
            </w:r>
            <w:r w:rsidRPr="004B6A22">
              <w:rPr>
                <w:rFonts w:ascii="Arial Narrow" w:hAnsi="Arial Narrow"/>
                <w:sz w:val="20"/>
                <w:szCs w:val="20"/>
                <w:vertAlign w:val="superscript"/>
              </w:rPr>
              <w:t>£</w:t>
            </w:r>
          </w:p>
          <w:p w14:paraId="2AE5751F"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vertAlign w:val="superscript"/>
              </w:rPr>
              <w:t>£</w:t>
            </w:r>
            <w:r w:rsidRPr="004B6A22">
              <w:rPr>
                <w:rFonts w:ascii="Arial Narrow" w:hAnsi="Arial Narrow"/>
                <w:sz w:val="20"/>
                <w:szCs w:val="20"/>
              </w:rPr>
              <w:t xml:space="preserve"> based on historic controls</w:t>
            </w:r>
          </w:p>
        </w:tc>
        <w:tc>
          <w:tcPr>
            <w:tcW w:w="1725" w:type="pct"/>
            <w:shd w:val="clear" w:color="auto" w:fill="auto"/>
          </w:tcPr>
          <w:p w14:paraId="3FCAEFB1"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No dose adjustments are required when initiating co</w:t>
            </w:r>
            <w:r w:rsidRPr="004B6A22">
              <w:rPr>
                <w:rFonts w:ascii="Arial Narrow" w:hAnsi="Arial Narrow"/>
                <w:sz w:val="20"/>
                <w:szCs w:val="20"/>
              </w:rPr>
              <w:noBreakHyphen/>
              <w:t>administration of methadone. However, clinical monitoring is recommended as methadone maintenance therapy may need to be adjusted in some patients</w:t>
            </w:r>
            <w:r w:rsidRPr="004B6A22">
              <w:rPr>
                <w:rFonts w:ascii="Arial Narrow" w:hAnsi="Arial Narrow"/>
                <w:bCs/>
                <w:sz w:val="20"/>
                <w:szCs w:val="20"/>
              </w:rPr>
              <w:t>.</w:t>
            </w:r>
          </w:p>
        </w:tc>
      </w:tr>
      <w:tr w:rsidR="004B6A22" w:rsidRPr="004B6A22" w14:paraId="285DEFB4" w14:textId="77777777" w:rsidTr="004B6A22">
        <w:trPr>
          <w:cantSplit/>
          <w:jc w:val="center"/>
        </w:trPr>
        <w:tc>
          <w:tcPr>
            <w:tcW w:w="5000" w:type="pct"/>
            <w:gridSpan w:val="4"/>
          </w:tcPr>
          <w:p w14:paraId="0A743D3C" w14:textId="7431E467" w:rsidR="004B6A22" w:rsidRPr="00372919" w:rsidRDefault="00372919" w:rsidP="004B6A22">
            <w:pPr>
              <w:keepNext/>
              <w:spacing w:after="0"/>
              <w:rPr>
                <w:rFonts w:ascii="Arial Narrow" w:hAnsi="Arial Narrow"/>
                <w:i/>
                <w:sz w:val="20"/>
                <w:szCs w:val="20"/>
              </w:rPr>
            </w:pPr>
            <w:r>
              <w:rPr>
                <w:rFonts w:ascii="Arial Narrow" w:hAnsi="Arial Narrow"/>
                <w:i/>
                <w:sz w:val="20"/>
                <w:szCs w:val="20"/>
              </w:rPr>
              <w:t>A</w:t>
            </w:r>
            <w:r w:rsidRPr="00372919">
              <w:rPr>
                <w:rFonts w:ascii="Arial Narrow" w:hAnsi="Arial Narrow"/>
                <w:i/>
                <w:sz w:val="20"/>
                <w:szCs w:val="20"/>
              </w:rPr>
              <w:t>ntiarrhythmics</w:t>
            </w:r>
          </w:p>
        </w:tc>
      </w:tr>
      <w:tr w:rsidR="004B6A22" w:rsidRPr="004B6A22" w14:paraId="0DE2E542" w14:textId="77777777" w:rsidTr="004B6A22">
        <w:trPr>
          <w:cantSplit/>
          <w:jc w:val="center"/>
        </w:trPr>
        <w:tc>
          <w:tcPr>
            <w:tcW w:w="1421" w:type="pct"/>
          </w:tcPr>
          <w:p w14:paraId="36C19C1D"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Digoxin*</w:t>
            </w:r>
          </w:p>
        </w:tc>
        <w:tc>
          <w:tcPr>
            <w:tcW w:w="1854" w:type="pct"/>
            <w:gridSpan w:val="2"/>
          </w:tcPr>
          <w:p w14:paraId="3C8EE891" w14:textId="77777777" w:rsidR="004B6A22" w:rsidRPr="004B6A22" w:rsidRDefault="004B6A22" w:rsidP="004B6A22">
            <w:pPr>
              <w:autoSpaceDE w:val="0"/>
              <w:autoSpaceDN w:val="0"/>
              <w:adjustRightInd w:val="0"/>
              <w:spacing w:after="0"/>
              <w:rPr>
                <w:rFonts w:ascii="Arial Narrow" w:hAnsi="Arial Narrow"/>
                <w:sz w:val="20"/>
                <w:szCs w:val="20"/>
              </w:rPr>
            </w:pPr>
            <w:r w:rsidRPr="004B6A22">
              <w:rPr>
                <w:rFonts w:ascii="Arial Narrow" w:hAnsi="Arial Narrow"/>
                <w:sz w:val="20"/>
                <w:szCs w:val="20"/>
              </w:rPr>
              <w:t>digoxin AUC ↔</w:t>
            </w:r>
          </w:p>
          <w:p w14:paraId="517CC8F5" w14:textId="77777777" w:rsidR="004B6A22" w:rsidRPr="004B6A22" w:rsidRDefault="004B6A22" w:rsidP="004B6A22">
            <w:pPr>
              <w:autoSpaceDE w:val="0"/>
              <w:autoSpaceDN w:val="0"/>
              <w:adjustRightInd w:val="0"/>
              <w:spacing w:after="0"/>
              <w:rPr>
                <w:rFonts w:ascii="Arial Narrow" w:hAnsi="Arial Narrow"/>
                <w:sz w:val="20"/>
                <w:szCs w:val="20"/>
              </w:rPr>
            </w:pPr>
            <w:r w:rsidRPr="004B6A22">
              <w:rPr>
                <w:rFonts w:ascii="Arial Narrow" w:hAnsi="Arial Narrow"/>
                <w:sz w:val="20"/>
                <w:szCs w:val="20"/>
              </w:rPr>
              <w:t xml:space="preserve">digoxin </w:t>
            </w:r>
            <w:proofErr w:type="spellStart"/>
            <w:r w:rsidRPr="004B6A22">
              <w:rPr>
                <w:rFonts w:ascii="Arial Narrow" w:hAnsi="Arial Narrow"/>
                <w:sz w:val="20"/>
                <w:szCs w:val="20"/>
              </w:rPr>
              <w:t>C</w:t>
            </w:r>
            <w:r w:rsidRPr="004B6A22">
              <w:rPr>
                <w:rFonts w:ascii="Arial Narrow" w:hAnsi="Arial Narrow"/>
                <w:sz w:val="20"/>
                <w:szCs w:val="20"/>
                <w:vertAlign w:val="subscript"/>
              </w:rPr>
              <w:t>min</w:t>
            </w:r>
            <w:proofErr w:type="spellEnd"/>
            <w:r w:rsidRPr="004B6A22">
              <w:rPr>
                <w:rFonts w:ascii="Arial Narrow" w:hAnsi="Arial Narrow"/>
                <w:sz w:val="20"/>
                <w:szCs w:val="20"/>
              </w:rPr>
              <w:t xml:space="preserve"> NA</w:t>
            </w:r>
          </w:p>
          <w:p w14:paraId="3B364761" w14:textId="77777777" w:rsidR="004B6A22" w:rsidRPr="004B6A22" w:rsidRDefault="004B6A22" w:rsidP="004B6A22">
            <w:pPr>
              <w:autoSpaceDE w:val="0"/>
              <w:autoSpaceDN w:val="0"/>
              <w:adjustRightInd w:val="0"/>
              <w:spacing w:after="0"/>
              <w:rPr>
                <w:rFonts w:ascii="Arial Narrow" w:hAnsi="Arial Narrow"/>
                <w:sz w:val="20"/>
                <w:szCs w:val="20"/>
              </w:rPr>
            </w:pPr>
            <w:r w:rsidRPr="004B6A22">
              <w:rPr>
                <w:rFonts w:ascii="Arial Narrow" w:hAnsi="Arial Narrow"/>
                <w:sz w:val="20"/>
                <w:szCs w:val="20"/>
              </w:rPr>
              <w:t xml:space="preserve">digoxin </w:t>
            </w:r>
            <w:proofErr w:type="spellStart"/>
            <w:r w:rsidRPr="004B6A22">
              <w:rPr>
                <w:rFonts w:ascii="Arial Narrow" w:hAnsi="Arial Narrow"/>
                <w:sz w:val="20"/>
                <w:szCs w:val="20"/>
              </w:rPr>
              <w:t>C</w:t>
            </w:r>
            <w:r w:rsidRPr="004B6A22">
              <w:rPr>
                <w:rFonts w:ascii="Arial Narrow" w:hAnsi="Arial Narrow"/>
                <w:sz w:val="20"/>
                <w:szCs w:val="20"/>
                <w:vertAlign w:val="subscript"/>
              </w:rPr>
              <w:t>max</w:t>
            </w:r>
            <w:proofErr w:type="spellEnd"/>
            <w:r w:rsidRPr="004B6A22">
              <w:rPr>
                <w:rFonts w:ascii="Arial Narrow" w:hAnsi="Arial Narrow"/>
                <w:sz w:val="20"/>
                <w:szCs w:val="20"/>
              </w:rPr>
              <w:t xml:space="preserve"> ↔</w:t>
            </w:r>
          </w:p>
        </w:tc>
        <w:tc>
          <w:tcPr>
            <w:tcW w:w="1725" w:type="pct"/>
          </w:tcPr>
          <w:p w14:paraId="2C5D2F0E"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No dose adjustment is required.</w:t>
            </w:r>
          </w:p>
        </w:tc>
      </w:tr>
      <w:tr w:rsidR="004B6A22" w:rsidRPr="004B6A22" w14:paraId="155AD4A1" w14:textId="77777777" w:rsidTr="004B6A22">
        <w:trPr>
          <w:cantSplit/>
          <w:jc w:val="center"/>
        </w:trPr>
        <w:tc>
          <w:tcPr>
            <w:tcW w:w="5000" w:type="pct"/>
            <w:gridSpan w:val="4"/>
          </w:tcPr>
          <w:p w14:paraId="5481DF28" w14:textId="7582518C" w:rsidR="004B6A22" w:rsidRPr="00372919" w:rsidRDefault="00372919" w:rsidP="004B6A22">
            <w:pPr>
              <w:keepNext/>
              <w:spacing w:after="0"/>
              <w:rPr>
                <w:rFonts w:ascii="Arial Narrow" w:hAnsi="Arial Narrow"/>
                <w:i/>
                <w:sz w:val="20"/>
                <w:szCs w:val="20"/>
              </w:rPr>
            </w:pPr>
            <w:r>
              <w:rPr>
                <w:rFonts w:ascii="Arial Narrow" w:hAnsi="Arial Narrow"/>
                <w:i/>
                <w:sz w:val="20"/>
                <w:szCs w:val="20"/>
              </w:rPr>
              <w:lastRenderedPageBreak/>
              <w:t>A</w:t>
            </w:r>
            <w:r w:rsidRPr="00372919">
              <w:rPr>
                <w:rFonts w:ascii="Arial Narrow" w:hAnsi="Arial Narrow"/>
                <w:i/>
                <w:sz w:val="20"/>
                <w:szCs w:val="20"/>
              </w:rPr>
              <w:t>ntidiabetics</w:t>
            </w:r>
          </w:p>
        </w:tc>
      </w:tr>
      <w:tr w:rsidR="004B6A22" w:rsidRPr="004B6A22" w14:paraId="46E6C81B" w14:textId="77777777" w:rsidTr="004B6A22">
        <w:trPr>
          <w:cantSplit/>
          <w:jc w:val="center"/>
        </w:trPr>
        <w:tc>
          <w:tcPr>
            <w:tcW w:w="1421" w:type="pct"/>
          </w:tcPr>
          <w:p w14:paraId="56CE8A35" w14:textId="7C519A82" w:rsidR="004B6A22" w:rsidRPr="004B6A22" w:rsidRDefault="004B6A22" w:rsidP="00B93BAD">
            <w:pPr>
              <w:spacing w:after="0"/>
              <w:ind w:left="288"/>
              <w:rPr>
                <w:rFonts w:ascii="Arial Narrow" w:eastAsia="MS Mincho" w:hAnsi="Arial Narrow"/>
                <w:sz w:val="20"/>
                <w:szCs w:val="20"/>
              </w:rPr>
            </w:pPr>
            <w:r w:rsidRPr="004B6A22">
              <w:rPr>
                <w:rFonts w:ascii="Arial Narrow" w:hAnsi="Arial Narrow"/>
                <w:snapToGrid w:val="0"/>
                <w:sz w:val="20"/>
                <w:szCs w:val="20"/>
              </w:rPr>
              <w:t>Metformin</w:t>
            </w:r>
          </w:p>
        </w:tc>
        <w:tc>
          <w:tcPr>
            <w:tcW w:w="1854" w:type="pct"/>
            <w:gridSpan w:val="2"/>
          </w:tcPr>
          <w:p w14:paraId="4C98E932" w14:textId="77777777" w:rsidR="004B6A22" w:rsidRPr="004B6A22" w:rsidRDefault="004B6A22" w:rsidP="004B6A22">
            <w:pPr>
              <w:autoSpaceDE w:val="0"/>
              <w:autoSpaceDN w:val="0"/>
              <w:adjustRightInd w:val="0"/>
              <w:spacing w:after="0"/>
              <w:rPr>
                <w:rFonts w:ascii="Arial Narrow" w:hAnsi="Arial Narrow"/>
                <w:sz w:val="20"/>
                <w:szCs w:val="20"/>
                <w:lang w:val="nl-BE"/>
              </w:rPr>
            </w:pPr>
            <w:r w:rsidRPr="004B6A22">
              <w:rPr>
                <w:rFonts w:ascii="Arial Narrow" w:hAnsi="Arial Narrow"/>
                <w:sz w:val="20"/>
                <w:szCs w:val="20"/>
                <w:lang w:val="nl-BE"/>
              </w:rPr>
              <w:t>metformin AUC ↔</w:t>
            </w:r>
          </w:p>
          <w:p w14:paraId="21370A1E" w14:textId="77777777" w:rsidR="004B6A22" w:rsidRPr="004B6A22" w:rsidRDefault="004B6A22" w:rsidP="004B6A22">
            <w:pPr>
              <w:autoSpaceDE w:val="0"/>
              <w:autoSpaceDN w:val="0"/>
              <w:adjustRightInd w:val="0"/>
              <w:spacing w:after="0"/>
              <w:rPr>
                <w:rFonts w:ascii="Arial Narrow" w:hAnsi="Arial Narrow"/>
                <w:sz w:val="20"/>
                <w:szCs w:val="20"/>
                <w:lang w:val="nl-BE"/>
              </w:rPr>
            </w:pPr>
            <w:r w:rsidRPr="004B6A22">
              <w:rPr>
                <w:rFonts w:ascii="Arial Narrow" w:hAnsi="Arial Narrow"/>
                <w:sz w:val="20"/>
                <w:szCs w:val="20"/>
                <w:lang w:val="nl-BE"/>
              </w:rPr>
              <w:t>metformin C</w:t>
            </w:r>
            <w:r w:rsidRPr="004B6A22">
              <w:rPr>
                <w:rFonts w:ascii="Arial Narrow" w:hAnsi="Arial Narrow"/>
                <w:sz w:val="20"/>
                <w:szCs w:val="20"/>
                <w:vertAlign w:val="subscript"/>
                <w:lang w:val="nl-BE"/>
              </w:rPr>
              <w:t>min</w:t>
            </w:r>
            <w:r w:rsidRPr="004B6A22">
              <w:rPr>
                <w:rFonts w:ascii="Arial Narrow" w:hAnsi="Arial Narrow"/>
                <w:sz w:val="20"/>
                <w:szCs w:val="20"/>
                <w:lang w:val="nl-BE"/>
              </w:rPr>
              <w:t xml:space="preserve"> NA</w:t>
            </w:r>
          </w:p>
          <w:p w14:paraId="578BEA67" w14:textId="77777777" w:rsidR="004B6A22" w:rsidRPr="004B6A22" w:rsidRDefault="004B6A22" w:rsidP="004B6A22">
            <w:pPr>
              <w:autoSpaceDE w:val="0"/>
              <w:autoSpaceDN w:val="0"/>
              <w:adjustRightInd w:val="0"/>
              <w:spacing w:after="0"/>
              <w:rPr>
                <w:rFonts w:ascii="Arial Narrow" w:hAnsi="Arial Narrow"/>
                <w:sz w:val="20"/>
                <w:szCs w:val="20"/>
                <w:lang w:val="nl-BE"/>
              </w:rPr>
            </w:pPr>
            <w:r w:rsidRPr="004B6A22">
              <w:rPr>
                <w:rFonts w:ascii="Arial Narrow" w:hAnsi="Arial Narrow"/>
                <w:sz w:val="20"/>
                <w:szCs w:val="20"/>
                <w:lang w:val="nl-BE"/>
              </w:rPr>
              <w:t>metformin C</w:t>
            </w:r>
            <w:r w:rsidRPr="004B6A22">
              <w:rPr>
                <w:rFonts w:ascii="Arial Narrow" w:hAnsi="Arial Narrow"/>
                <w:sz w:val="20"/>
                <w:szCs w:val="20"/>
                <w:vertAlign w:val="subscript"/>
                <w:lang w:val="nl-BE"/>
              </w:rPr>
              <w:t>max</w:t>
            </w:r>
            <w:r w:rsidRPr="004B6A22">
              <w:rPr>
                <w:rFonts w:ascii="Arial Narrow" w:hAnsi="Arial Narrow"/>
                <w:sz w:val="20"/>
                <w:szCs w:val="20"/>
                <w:lang w:val="nl-BE"/>
              </w:rPr>
              <w:t xml:space="preserve"> ↔</w:t>
            </w:r>
          </w:p>
        </w:tc>
        <w:tc>
          <w:tcPr>
            <w:tcW w:w="1725" w:type="pct"/>
          </w:tcPr>
          <w:p w14:paraId="2DAC5287" w14:textId="77777777" w:rsidR="004B6A22" w:rsidRPr="004B6A22" w:rsidRDefault="004B6A22" w:rsidP="004B6A22">
            <w:pPr>
              <w:spacing w:after="0"/>
              <w:rPr>
                <w:rFonts w:ascii="Arial Narrow" w:hAnsi="Arial Narrow"/>
                <w:sz w:val="20"/>
                <w:szCs w:val="20"/>
              </w:rPr>
            </w:pPr>
            <w:r w:rsidRPr="004B6A22">
              <w:rPr>
                <w:rFonts w:ascii="Arial Narrow" w:hAnsi="Arial Narrow"/>
                <w:snapToGrid w:val="0"/>
                <w:sz w:val="20"/>
                <w:szCs w:val="20"/>
              </w:rPr>
              <w:t>No dose adjustment is required.</w:t>
            </w:r>
          </w:p>
        </w:tc>
      </w:tr>
      <w:tr w:rsidR="004B6A22" w:rsidRPr="004B6A22" w14:paraId="34A6A78F" w14:textId="77777777" w:rsidTr="004B6A22">
        <w:trPr>
          <w:cantSplit/>
          <w:jc w:val="center"/>
        </w:trPr>
        <w:tc>
          <w:tcPr>
            <w:tcW w:w="5000" w:type="pct"/>
            <w:gridSpan w:val="4"/>
          </w:tcPr>
          <w:p w14:paraId="1E977D17" w14:textId="2EDCABEB" w:rsidR="004B6A22" w:rsidRPr="00372919" w:rsidRDefault="00372919" w:rsidP="004B6A22">
            <w:pPr>
              <w:keepNext/>
              <w:spacing w:after="0"/>
              <w:rPr>
                <w:rFonts w:ascii="Arial Narrow" w:hAnsi="Arial Narrow"/>
                <w:i/>
                <w:sz w:val="20"/>
                <w:szCs w:val="20"/>
              </w:rPr>
            </w:pPr>
            <w:r>
              <w:rPr>
                <w:rFonts w:ascii="Arial Narrow" w:hAnsi="Arial Narrow"/>
                <w:bCs/>
                <w:i/>
                <w:sz w:val="20"/>
                <w:szCs w:val="20"/>
              </w:rPr>
              <w:t>H</w:t>
            </w:r>
            <w:r w:rsidRPr="00372919">
              <w:rPr>
                <w:rFonts w:ascii="Arial Narrow" w:hAnsi="Arial Narrow"/>
                <w:bCs/>
                <w:i/>
                <w:sz w:val="20"/>
                <w:szCs w:val="20"/>
              </w:rPr>
              <w:t>erbal products</w:t>
            </w:r>
          </w:p>
        </w:tc>
      </w:tr>
      <w:tr w:rsidR="004B6A22" w:rsidRPr="004B6A22" w14:paraId="39D38E75" w14:textId="77777777" w:rsidTr="00372919">
        <w:trPr>
          <w:cantSplit/>
          <w:jc w:val="center"/>
        </w:trPr>
        <w:tc>
          <w:tcPr>
            <w:tcW w:w="1421" w:type="pct"/>
          </w:tcPr>
          <w:p w14:paraId="683F1D3B" w14:textId="45646CDD" w:rsidR="004B6A22" w:rsidRPr="004B6A22" w:rsidRDefault="004B6A22" w:rsidP="00B93BAD">
            <w:pPr>
              <w:spacing w:after="0"/>
              <w:ind w:left="284"/>
              <w:rPr>
                <w:rFonts w:ascii="Arial Narrow" w:hAnsi="Arial Narrow"/>
                <w:sz w:val="20"/>
                <w:szCs w:val="20"/>
              </w:rPr>
            </w:pPr>
            <w:r w:rsidRPr="004B6A22">
              <w:rPr>
                <w:rFonts w:ascii="Arial Narrow" w:hAnsi="Arial Narrow"/>
                <w:sz w:val="20"/>
                <w:szCs w:val="20"/>
              </w:rPr>
              <w:t>St John's </w:t>
            </w:r>
            <w:proofErr w:type="spellStart"/>
            <w:r w:rsidRPr="004B6A22">
              <w:rPr>
                <w:rFonts w:ascii="Arial Narrow" w:hAnsi="Arial Narrow"/>
                <w:sz w:val="20"/>
                <w:szCs w:val="20"/>
              </w:rPr>
              <w:t>wort</w:t>
            </w:r>
            <w:proofErr w:type="spellEnd"/>
            <w:r w:rsidRPr="004B6A22">
              <w:rPr>
                <w:rFonts w:ascii="Arial Narrow" w:hAnsi="Arial Narrow"/>
                <w:sz w:val="20"/>
                <w:szCs w:val="20"/>
              </w:rPr>
              <w:t xml:space="preserve"> </w:t>
            </w:r>
            <w:r w:rsidRPr="004B6A22">
              <w:rPr>
                <w:rFonts w:ascii="Arial Narrow" w:hAnsi="Arial Narrow"/>
                <w:i/>
                <w:iCs/>
                <w:sz w:val="20"/>
                <w:szCs w:val="20"/>
              </w:rPr>
              <w:t>(</w:t>
            </w:r>
            <w:proofErr w:type="spellStart"/>
            <w:r w:rsidRPr="004B6A22">
              <w:rPr>
                <w:rFonts w:ascii="Arial Narrow" w:hAnsi="Arial Narrow"/>
                <w:i/>
                <w:iCs/>
                <w:sz w:val="20"/>
                <w:szCs w:val="20"/>
              </w:rPr>
              <w:t>Hypericum</w:t>
            </w:r>
            <w:proofErr w:type="spellEnd"/>
            <w:r w:rsidRPr="004B6A22">
              <w:rPr>
                <w:rFonts w:ascii="Arial Narrow" w:hAnsi="Arial Narrow"/>
                <w:i/>
                <w:iCs/>
                <w:sz w:val="20"/>
                <w:szCs w:val="20"/>
              </w:rPr>
              <w:t xml:space="preserve"> </w:t>
            </w:r>
            <w:proofErr w:type="spellStart"/>
            <w:r w:rsidRPr="004B6A22">
              <w:rPr>
                <w:rFonts w:ascii="Arial Narrow" w:hAnsi="Arial Narrow"/>
                <w:i/>
                <w:iCs/>
                <w:sz w:val="20"/>
                <w:szCs w:val="20"/>
              </w:rPr>
              <w:t>perforatum</w:t>
            </w:r>
            <w:proofErr w:type="spellEnd"/>
            <w:r w:rsidRPr="004B6A22">
              <w:rPr>
                <w:rFonts w:ascii="Arial Narrow" w:hAnsi="Arial Narrow"/>
                <w:i/>
                <w:iCs/>
                <w:sz w:val="20"/>
                <w:szCs w:val="20"/>
              </w:rPr>
              <w:t>)</w:t>
            </w:r>
          </w:p>
        </w:tc>
        <w:tc>
          <w:tcPr>
            <w:tcW w:w="1854" w:type="pct"/>
            <w:gridSpan w:val="2"/>
          </w:tcPr>
          <w:p w14:paraId="40DECDF6" w14:textId="1EFE3A52" w:rsidR="004B6A22" w:rsidRPr="004B6A22" w:rsidRDefault="004B6A22" w:rsidP="004B6A22">
            <w:pPr>
              <w:spacing w:after="0"/>
              <w:rPr>
                <w:rFonts w:ascii="Arial Narrow" w:hAnsi="Arial Narrow"/>
                <w:sz w:val="20"/>
                <w:szCs w:val="20"/>
              </w:rPr>
            </w:pPr>
            <w:r w:rsidRPr="004B6A22">
              <w:rPr>
                <w:rFonts w:ascii="Arial Narrow" w:hAnsi="Arial Narrow"/>
                <w:sz w:val="20"/>
                <w:szCs w:val="20"/>
              </w:rPr>
              <w:t>Not studied. Significant decreases in rilpivirine plasma concentrations are expected.</w:t>
            </w:r>
          </w:p>
          <w:p w14:paraId="3E9033A7"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(induction of CYP3A enzymes)</w:t>
            </w:r>
          </w:p>
        </w:tc>
        <w:tc>
          <w:tcPr>
            <w:tcW w:w="1725" w:type="pct"/>
            <w:shd w:val="clear" w:color="auto" w:fill="auto"/>
          </w:tcPr>
          <w:p w14:paraId="3D1A6CFA" w14:textId="7CF9762B" w:rsidR="004B6A22" w:rsidRPr="00372919" w:rsidRDefault="00372919" w:rsidP="004B6A22">
            <w:pPr>
              <w:spacing w:after="0"/>
              <w:rPr>
                <w:rFonts w:ascii="Arial Narrow" w:hAnsi="Arial Narrow"/>
                <w:sz w:val="20"/>
                <w:szCs w:val="20"/>
              </w:rPr>
            </w:pPr>
            <w:r w:rsidRPr="00372919">
              <w:rPr>
                <w:rFonts w:ascii="Arial Narrow" w:hAnsi="Arial Narrow"/>
                <w:sz w:val="20"/>
                <w:szCs w:val="20"/>
              </w:rPr>
              <w:t>Rilpivirine</w:t>
            </w:r>
            <w:r w:rsidR="004B6A22" w:rsidRPr="00372919">
              <w:rPr>
                <w:rFonts w:ascii="Arial Narrow" w:hAnsi="Arial Narrow"/>
                <w:sz w:val="20"/>
                <w:szCs w:val="20"/>
              </w:rPr>
              <w:t xml:space="preserve"> must not be used in combination with products containing St John’s wort as co</w:t>
            </w:r>
            <w:r w:rsidR="004B6A22" w:rsidRPr="00372919">
              <w:rPr>
                <w:rFonts w:ascii="Arial Narrow" w:hAnsi="Arial Narrow"/>
                <w:sz w:val="20"/>
                <w:szCs w:val="20"/>
              </w:rPr>
              <w:noBreakHyphen/>
              <w:t xml:space="preserve">administration may result in loss of therapeutic effect of rilpivirine (see </w:t>
            </w:r>
            <w:r w:rsidR="00417DBF">
              <w:rPr>
                <w:rFonts w:ascii="Arial Narrow" w:hAnsi="Arial Narrow"/>
                <w:sz w:val="20"/>
                <w:szCs w:val="20"/>
              </w:rPr>
              <w:t xml:space="preserve">Section 4.3 </w:t>
            </w:r>
            <w:r w:rsidR="00417DBF" w:rsidRPr="00417DBF">
              <w:rPr>
                <w:rFonts w:ascii="Arial Narrow" w:hAnsi="Arial Narrow"/>
                <w:iCs/>
                <w:sz w:val="20"/>
                <w:szCs w:val="20"/>
              </w:rPr>
              <w:t>CONTRAINDICATIONS</w:t>
            </w:r>
            <w:r w:rsidR="004B6A22" w:rsidRPr="00372919">
              <w:rPr>
                <w:rFonts w:ascii="Arial Narrow" w:hAnsi="Arial Narrow"/>
                <w:sz w:val="20"/>
                <w:szCs w:val="20"/>
              </w:rPr>
              <w:t>).</w:t>
            </w:r>
          </w:p>
        </w:tc>
      </w:tr>
      <w:tr w:rsidR="004B6A22" w:rsidRPr="004B6A22" w14:paraId="0177AFF2" w14:textId="77777777" w:rsidTr="004B6A22">
        <w:trPr>
          <w:cantSplit/>
          <w:jc w:val="center"/>
        </w:trPr>
        <w:tc>
          <w:tcPr>
            <w:tcW w:w="5000" w:type="pct"/>
            <w:gridSpan w:val="4"/>
          </w:tcPr>
          <w:p w14:paraId="040CFDF7" w14:textId="706EAB52" w:rsidR="004B6A22" w:rsidRPr="00372919" w:rsidRDefault="00372919" w:rsidP="004B6A22">
            <w:pPr>
              <w:keepNext/>
              <w:spacing w:after="0"/>
              <w:rPr>
                <w:rFonts w:ascii="Arial Narrow" w:hAnsi="Arial Narrow"/>
                <w:i/>
                <w:sz w:val="20"/>
                <w:szCs w:val="20"/>
              </w:rPr>
            </w:pPr>
            <w:r>
              <w:rPr>
                <w:rFonts w:ascii="Arial Narrow" w:hAnsi="Arial Narrow"/>
                <w:bCs/>
                <w:i/>
                <w:sz w:val="20"/>
                <w:szCs w:val="20"/>
              </w:rPr>
              <w:t>A</w:t>
            </w:r>
            <w:r w:rsidRPr="00372919">
              <w:rPr>
                <w:rFonts w:ascii="Arial Narrow" w:hAnsi="Arial Narrow"/>
                <w:bCs/>
                <w:i/>
                <w:sz w:val="20"/>
                <w:szCs w:val="20"/>
              </w:rPr>
              <w:t>nalgesics</w:t>
            </w:r>
          </w:p>
        </w:tc>
      </w:tr>
      <w:tr w:rsidR="004B6A22" w:rsidRPr="004B6A22" w14:paraId="300B176E" w14:textId="77777777" w:rsidTr="004B6A22">
        <w:trPr>
          <w:cantSplit/>
          <w:jc w:val="center"/>
        </w:trPr>
        <w:tc>
          <w:tcPr>
            <w:tcW w:w="1421" w:type="pct"/>
          </w:tcPr>
          <w:p w14:paraId="67A587C4"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Paracetamol</w:t>
            </w:r>
          </w:p>
          <w:p w14:paraId="69D74CF4" w14:textId="3A48C24E" w:rsidR="004B6A22" w:rsidRPr="004B6A22" w:rsidRDefault="004B6A22" w:rsidP="00B93BAD">
            <w:pPr>
              <w:spacing w:after="0"/>
              <w:ind w:left="284"/>
              <w:rPr>
                <w:rFonts w:ascii="Arial Narrow" w:hAnsi="Arial Narrow"/>
                <w:sz w:val="20"/>
                <w:szCs w:val="20"/>
              </w:rPr>
            </w:pPr>
            <w:r w:rsidRPr="004B6A22">
              <w:rPr>
                <w:rFonts w:ascii="Arial Narrow" w:hAnsi="Arial Narrow"/>
                <w:sz w:val="20"/>
                <w:szCs w:val="20"/>
              </w:rPr>
              <w:t>500 mg single dose</w:t>
            </w:r>
          </w:p>
        </w:tc>
        <w:tc>
          <w:tcPr>
            <w:tcW w:w="1854" w:type="pct"/>
            <w:gridSpan w:val="2"/>
          </w:tcPr>
          <w:p w14:paraId="03B01DF0" w14:textId="77777777" w:rsidR="004B6A22" w:rsidRPr="004B6A22" w:rsidRDefault="004B6A22" w:rsidP="004B6A22">
            <w:pPr>
              <w:spacing w:after="0"/>
              <w:rPr>
                <w:rFonts w:ascii="Arial Narrow" w:hAnsi="Arial Narrow"/>
                <w:sz w:val="20"/>
                <w:szCs w:val="20"/>
                <w:lang w:val="pt-BR"/>
              </w:rPr>
            </w:pPr>
            <w:r w:rsidRPr="004B6A22">
              <w:rPr>
                <w:rFonts w:ascii="Arial Narrow" w:hAnsi="Arial Narrow"/>
                <w:sz w:val="20"/>
                <w:szCs w:val="20"/>
                <w:lang w:val="pt-BR"/>
              </w:rPr>
              <w:t>paracetamol AUC ↔</w:t>
            </w:r>
          </w:p>
          <w:p w14:paraId="167925E1" w14:textId="77777777" w:rsidR="004B6A22" w:rsidRPr="004B6A22" w:rsidRDefault="004B6A22" w:rsidP="004B6A22">
            <w:pPr>
              <w:spacing w:after="0"/>
              <w:rPr>
                <w:rFonts w:ascii="Arial Narrow" w:hAnsi="Arial Narrow"/>
                <w:sz w:val="20"/>
                <w:szCs w:val="20"/>
                <w:lang w:val="pt-BR"/>
              </w:rPr>
            </w:pPr>
            <w:r w:rsidRPr="004B6A22">
              <w:rPr>
                <w:rFonts w:ascii="Arial Narrow" w:hAnsi="Arial Narrow"/>
                <w:sz w:val="20"/>
                <w:szCs w:val="20"/>
                <w:lang w:val="pt-BR"/>
              </w:rPr>
              <w:t>paracetamol C</w:t>
            </w:r>
            <w:r w:rsidRPr="004B6A22">
              <w:rPr>
                <w:rFonts w:ascii="Arial Narrow" w:hAnsi="Arial Narrow"/>
                <w:sz w:val="20"/>
                <w:szCs w:val="20"/>
                <w:vertAlign w:val="subscript"/>
                <w:lang w:val="pt-BR"/>
              </w:rPr>
              <w:t>min</w:t>
            </w:r>
            <w:r w:rsidRPr="004B6A22">
              <w:rPr>
                <w:rFonts w:ascii="Arial Narrow" w:hAnsi="Arial Narrow"/>
                <w:sz w:val="20"/>
                <w:szCs w:val="20"/>
                <w:lang w:val="pt-BR"/>
              </w:rPr>
              <w:t xml:space="preserve"> NA</w:t>
            </w:r>
          </w:p>
          <w:p w14:paraId="40AEEA3A" w14:textId="77777777" w:rsidR="004B6A22" w:rsidRPr="004B6A22" w:rsidRDefault="004B6A22" w:rsidP="004B6A22">
            <w:pPr>
              <w:spacing w:after="0"/>
              <w:rPr>
                <w:rFonts w:ascii="Arial Narrow" w:hAnsi="Arial Narrow"/>
                <w:sz w:val="20"/>
                <w:szCs w:val="20"/>
                <w:lang w:val="pt-BR"/>
              </w:rPr>
            </w:pPr>
            <w:r w:rsidRPr="004B6A22">
              <w:rPr>
                <w:rFonts w:ascii="Arial Narrow" w:hAnsi="Arial Narrow"/>
                <w:sz w:val="20"/>
                <w:szCs w:val="20"/>
                <w:lang w:val="pt-BR"/>
              </w:rPr>
              <w:t>paracetamol C</w:t>
            </w:r>
            <w:r w:rsidRPr="004B6A22">
              <w:rPr>
                <w:rFonts w:ascii="Arial Narrow" w:hAnsi="Arial Narrow"/>
                <w:sz w:val="20"/>
                <w:szCs w:val="20"/>
                <w:vertAlign w:val="subscript"/>
                <w:lang w:val="pt-BR"/>
              </w:rPr>
              <w:t>max</w:t>
            </w:r>
            <w:r w:rsidRPr="004B6A22">
              <w:rPr>
                <w:rFonts w:ascii="Arial Narrow" w:hAnsi="Arial Narrow"/>
                <w:sz w:val="20"/>
                <w:szCs w:val="20"/>
                <w:lang w:val="pt-BR"/>
              </w:rPr>
              <w:t xml:space="preserve"> ↔</w:t>
            </w:r>
          </w:p>
          <w:p w14:paraId="115C8379" w14:textId="77777777" w:rsidR="004B6A22" w:rsidRPr="004B6A22" w:rsidRDefault="004B6A22" w:rsidP="004B6A22">
            <w:pPr>
              <w:spacing w:after="0"/>
              <w:rPr>
                <w:rFonts w:ascii="Arial Narrow" w:hAnsi="Arial Narrow"/>
                <w:sz w:val="20"/>
                <w:szCs w:val="20"/>
                <w:lang w:val="pt-BR"/>
              </w:rPr>
            </w:pPr>
            <w:r w:rsidRPr="004B6A22">
              <w:rPr>
                <w:rFonts w:ascii="Arial Narrow" w:hAnsi="Arial Narrow"/>
                <w:sz w:val="20"/>
                <w:szCs w:val="20"/>
                <w:lang w:val="pt-BR"/>
              </w:rPr>
              <w:t>rilpivirine AUC ↔</w:t>
            </w:r>
          </w:p>
          <w:p w14:paraId="252C689D" w14:textId="77777777" w:rsidR="004B6A22" w:rsidRPr="004B6A22" w:rsidRDefault="004B6A22" w:rsidP="004B6A22">
            <w:pPr>
              <w:spacing w:after="0"/>
              <w:rPr>
                <w:rFonts w:ascii="Arial Narrow" w:hAnsi="Arial Narrow"/>
                <w:sz w:val="20"/>
                <w:szCs w:val="20"/>
                <w:lang w:val="pt-BR"/>
              </w:rPr>
            </w:pPr>
            <w:r w:rsidRPr="004B6A22">
              <w:rPr>
                <w:rFonts w:ascii="Arial Narrow" w:hAnsi="Arial Narrow"/>
                <w:sz w:val="20"/>
                <w:szCs w:val="20"/>
                <w:lang w:val="pt-BR"/>
              </w:rPr>
              <w:t>rilpivirine C</w:t>
            </w:r>
            <w:r w:rsidRPr="004B6A22">
              <w:rPr>
                <w:rFonts w:ascii="Arial Narrow" w:hAnsi="Arial Narrow"/>
                <w:sz w:val="20"/>
                <w:szCs w:val="20"/>
                <w:vertAlign w:val="subscript"/>
                <w:lang w:val="pt-BR"/>
              </w:rPr>
              <w:t>min</w:t>
            </w:r>
            <w:r w:rsidRPr="004B6A22">
              <w:rPr>
                <w:rFonts w:ascii="Arial Narrow" w:hAnsi="Arial Narrow"/>
                <w:sz w:val="20"/>
                <w:szCs w:val="20"/>
                <w:lang w:val="pt-BR"/>
              </w:rPr>
              <w:t xml:space="preserve"> ↑ 26%</w:t>
            </w:r>
          </w:p>
          <w:p w14:paraId="33B61698" w14:textId="77777777" w:rsidR="004B6A22" w:rsidRPr="004B6A22" w:rsidRDefault="004B6A22" w:rsidP="004B6A22">
            <w:pPr>
              <w:spacing w:after="0"/>
              <w:rPr>
                <w:rFonts w:ascii="Arial Narrow" w:hAnsi="Arial Narrow"/>
                <w:sz w:val="20"/>
                <w:szCs w:val="20"/>
                <w:lang w:val="pt-BR"/>
              </w:rPr>
            </w:pPr>
            <w:r w:rsidRPr="004B6A22">
              <w:rPr>
                <w:rFonts w:ascii="Arial Narrow" w:hAnsi="Arial Narrow"/>
                <w:sz w:val="20"/>
                <w:szCs w:val="20"/>
                <w:lang w:val="pt-BR"/>
              </w:rPr>
              <w:t>rilpivirine C</w:t>
            </w:r>
            <w:r w:rsidRPr="004B6A22">
              <w:rPr>
                <w:rFonts w:ascii="Arial Narrow" w:hAnsi="Arial Narrow"/>
                <w:sz w:val="20"/>
                <w:szCs w:val="20"/>
                <w:vertAlign w:val="subscript"/>
                <w:lang w:val="pt-BR"/>
              </w:rPr>
              <w:t>max</w:t>
            </w:r>
            <w:r w:rsidRPr="004B6A22">
              <w:rPr>
                <w:rFonts w:ascii="Arial Narrow" w:hAnsi="Arial Narrow"/>
                <w:sz w:val="20"/>
                <w:szCs w:val="20"/>
                <w:lang w:val="pt-BR"/>
              </w:rPr>
              <w:t xml:space="preserve"> ↔</w:t>
            </w:r>
          </w:p>
        </w:tc>
        <w:tc>
          <w:tcPr>
            <w:tcW w:w="1725" w:type="pct"/>
          </w:tcPr>
          <w:p w14:paraId="6B8D8A9A"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No dose adjustment is required.</w:t>
            </w:r>
          </w:p>
        </w:tc>
      </w:tr>
      <w:tr w:rsidR="004B6A22" w:rsidRPr="004B6A22" w14:paraId="5D336768" w14:textId="77777777" w:rsidTr="004B6A22">
        <w:trPr>
          <w:cantSplit/>
          <w:jc w:val="center"/>
        </w:trPr>
        <w:tc>
          <w:tcPr>
            <w:tcW w:w="5000" w:type="pct"/>
            <w:gridSpan w:val="4"/>
          </w:tcPr>
          <w:p w14:paraId="348E9693" w14:textId="56EC83D2" w:rsidR="004B6A22" w:rsidRPr="00372919" w:rsidRDefault="00372919" w:rsidP="004B6A22">
            <w:pPr>
              <w:keepNext/>
              <w:spacing w:after="0"/>
              <w:rPr>
                <w:rFonts w:ascii="Arial Narrow" w:hAnsi="Arial Narrow"/>
                <w:i/>
                <w:sz w:val="20"/>
                <w:szCs w:val="20"/>
              </w:rPr>
            </w:pPr>
            <w:r>
              <w:rPr>
                <w:rFonts w:ascii="Arial Narrow" w:hAnsi="Arial Narrow"/>
                <w:bCs/>
                <w:i/>
                <w:sz w:val="20"/>
                <w:szCs w:val="20"/>
              </w:rPr>
              <w:t>O</w:t>
            </w:r>
            <w:r w:rsidRPr="00372919">
              <w:rPr>
                <w:rFonts w:ascii="Arial Narrow" w:hAnsi="Arial Narrow"/>
                <w:bCs/>
                <w:i/>
                <w:sz w:val="20"/>
                <w:szCs w:val="20"/>
              </w:rPr>
              <w:t>ral contraceptives</w:t>
            </w:r>
          </w:p>
        </w:tc>
      </w:tr>
      <w:tr w:rsidR="004B6A22" w:rsidRPr="004B6A22" w14:paraId="1CD6493B" w14:textId="77777777" w:rsidTr="004B6A22">
        <w:trPr>
          <w:cantSplit/>
          <w:jc w:val="center"/>
        </w:trPr>
        <w:tc>
          <w:tcPr>
            <w:tcW w:w="1421" w:type="pct"/>
          </w:tcPr>
          <w:p w14:paraId="1812F11A"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Ethinylestradiol*</w:t>
            </w:r>
          </w:p>
          <w:p w14:paraId="29B830A3"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0.035 mg once daily</w:t>
            </w:r>
          </w:p>
          <w:p w14:paraId="1A2EADEA"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Norethindrone</w:t>
            </w:r>
          </w:p>
          <w:p w14:paraId="61D1D261" w14:textId="4B4B8F68" w:rsidR="004B6A22" w:rsidRPr="004B6A22" w:rsidRDefault="004B6A22" w:rsidP="00B93BAD">
            <w:pPr>
              <w:spacing w:after="0"/>
              <w:ind w:left="284"/>
              <w:rPr>
                <w:rFonts w:ascii="Arial Narrow" w:hAnsi="Arial Narrow"/>
                <w:sz w:val="20"/>
                <w:szCs w:val="20"/>
              </w:rPr>
            </w:pPr>
            <w:r w:rsidRPr="004B6A22">
              <w:rPr>
                <w:rFonts w:ascii="Arial Narrow" w:hAnsi="Arial Narrow"/>
                <w:sz w:val="20"/>
                <w:szCs w:val="20"/>
              </w:rPr>
              <w:t>1 mg once daily</w:t>
            </w:r>
          </w:p>
        </w:tc>
        <w:tc>
          <w:tcPr>
            <w:tcW w:w="1854" w:type="pct"/>
            <w:gridSpan w:val="2"/>
          </w:tcPr>
          <w:p w14:paraId="4980B5C5"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ethinylestradiol AUC ↔</w:t>
            </w:r>
          </w:p>
          <w:p w14:paraId="69CA1AEF"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 xml:space="preserve">ethinylestradiol </w:t>
            </w:r>
            <w:proofErr w:type="spellStart"/>
            <w:r w:rsidRPr="004B6A22">
              <w:rPr>
                <w:rFonts w:ascii="Arial Narrow" w:hAnsi="Arial Narrow"/>
                <w:sz w:val="20"/>
                <w:szCs w:val="20"/>
              </w:rPr>
              <w:t>C</w:t>
            </w:r>
            <w:r w:rsidRPr="004B6A22">
              <w:rPr>
                <w:rFonts w:ascii="Arial Narrow" w:hAnsi="Arial Narrow"/>
                <w:sz w:val="20"/>
                <w:szCs w:val="20"/>
                <w:vertAlign w:val="subscript"/>
              </w:rPr>
              <w:t>min</w:t>
            </w:r>
            <w:proofErr w:type="spellEnd"/>
            <w:r w:rsidRPr="004B6A22">
              <w:rPr>
                <w:rFonts w:ascii="Arial Narrow" w:hAnsi="Arial Narrow"/>
                <w:sz w:val="20"/>
                <w:szCs w:val="20"/>
              </w:rPr>
              <w:t xml:space="preserve"> ↔</w:t>
            </w:r>
          </w:p>
          <w:p w14:paraId="097830E6"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 xml:space="preserve">ethinylestradiol </w:t>
            </w:r>
            <w:proofErr w:type="spellStart"/>
            <w:r w:rsidRPr="004B6A22">
              <w:rPr>
                <w:rFonts w:ascii="Arial Narrow" w:hAnsi="Arial Narrow"/>
                <w:sz w:val="20"/>
                <w:szCs w:val="20"/>
              </w:rPr>
              <w:t>C</w:t>
            </w:r>
            <w:r w:rsidRPr="004B6A22">
              <w:rPr>
                <w:rFonts w:ascii="Arial Narrow" w:hAnsi="Arial Narrow"/>
                <w:sz w:val="20"/>
                <w:szCs w:val="20"/>
                <w:vertAlign w:val="subscript"/>
              </w:rPr>
              <w:t>max</w:t>
            </w:r>
            <w:proofErr w:type="spellEnd"/>
            <w:r w:rsidRPr="004B6A22">
              <w:rPr>
                <w:rFonts w:ascii="Arial Narrow" w:hAnsi="Arial Narrow"/>
                <w:sz w:val="20"/>
                <w:szCs w:val="20"/>
              </w:rPr>
              <w:t xml:space="preserve"> ↑ 17%</w:t>
            </w:r>
          </w:p>
          <w:p w14:paraId="62F89483"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norethindrone AUC ↔</w:t>
            </w:r>
          </w:p>
          <w:p w14:paraId="75663ED4" w14:textId="77777777" w:rsidR="004B6A22" w:rsidRPr="004B6A22" w:rsidRDefault="004B6A22" w:rsidP="004B6A22">
            <w:pPr>
              <w:spacing w:after="0"/>
              <w:rPr>
                <w:rFonts w:ascii="Arial Narrow" w:hAnsi="Arial Narrow"/>
                <w:sz w:val="20"/>
                <w:szCs w:val="20"/>
              </w:rPr>
            </w:pPr>
            <w:proofErr w:type="spellStart"/>
            <w:r w:rsidRPr="004B6A22">
              <w:rPr>
                <w:rFonts w:ascii="Arial Narrow" w:hAnsi="Arial Narrow"/>
                <w:sz w:val="20"/>
                <w:szCs w:val="20"/>
              </w:rPr>
              <w:t>norethindrone</w:t>
            </w:r>
            <w:proofErr w:type="spellEnd"/>
            <w:r w:rsidRPr="004B6A22">
              <w:rPr>
                <w:rFonts w:ascii="Arial Narrow" w:hAnsi="Arial Narrow"/>
                <w:sz w:val="20"/>
                <w:szCs w:val="20"/>
              </w:rPr>
              <w:t xml:space="preserve"> </w:t>
            </w:r>
            <w:proofErr w:type="spellStart"/>
            <w:r w:rsidRPr="004B6A22">
              <w:rPr>
                <w:rFonts w:ascii="Arial Narrow" w:hAnsi="Arial Narrow"/>
                <w:sz w:val="20"/>
                <w:szCs w:val="20"/>
              </w:rPr>
              <w:t>C</w:t>
            </w:r>
            <w:r w:rsidRPr="004B6A22">
              <w:rPr>
                <w:rFonts w:ascii="Arial Narrow" w:hAnsi="Arial Narrow"/>
                <w:sz w:val="20"/>
                <w:szCs w:val="20"/>
                <w:vertAlign w:val="subscript"/>
              </w:rPr>
              <w:t>min</w:t>
            </w:r>
            <w:proofErr w:type="spellEnd"/>
            <w:r w:rsidRPr="004B6A22">
              <w:rPr>
                <w:rFonts w:ascii="Arial Narrow" w:hAnsi="Arial Narrow"/>
                <w:sz w:val="20"/>
                <w:szCs w:val="20"/>
              </w:rPr>
              <w:t xml:space="preserve"> ↔</w:t>
            </w:r>
          </w:p>
          <w:p w14:paraId="6E8531AA" w14:textId="77777777" w:rsidR="004B6A22" w:rsidRPr="004B6A22" w:rsidRDefault="004B6A22" w:rsidP="004B6A22">
            <w:pPr>
              <w:spacing w:after="0"/>
              <w:rPr>
                <w:rFonts w:ascii="Arial Narrow" w:hAnsi="Arial Narrow"/>
                <w:sz w:val="20"/>
                <w:szCs w:val="20"/>
              </w:rPr>
            </w:pPr>
            <w:proofErr w:type="spellStart"/>
            <w:r w:rsidRPr="004B6A22">
              <w:rPr>
                <w:rFonts w:ascii="Arial Narrow" w:hAnsi="Arial Narrow"/>
                <w:sz w:val="20"/>
                <w:szCs w:val="20"/>
              </w:rPr>
              <w:t>norethindrone</w:t>
            </w:r>
            <w:proofErr w:type="spellEnd"/>
            <w:r w:rsidRPr="004B6A22">
              <w:rPr>
                <w:rFonts w:ascii="Arial Narrow" w:hAnsi="Arial Narrow"/>
                <w:sz w:val="20"/>
                <w:szCs w:val="20"/>
              </w:rPr>
              <w:t xml:space="preserve"> </w:t>
            </w:r>
            <w:proofErr w:type="spellStart"/>
            <w:r w:rsidRPr="004B6A22">
              <w:rPr>
                <w:rFonts w:ascii="Arial Narrow" w:hAnsi="Arial Narrow"/>
                <w:sz w:val="20"/>
                <w:szCs w:val="20"/>
              </w:rPr>
              <w:t>C</w:t>
            </w:r>
            <w:r w:rsidRPr="004B6A22">
              <w:rPr>
                <w:rFonts w:ascii="Arial Narrow" w:hAnsi="Arial Narrow"/>
                <w:sz w:val="20"/>
                <w:szCs w:val="20"/>
                <w:vertAlign w:val="subscript"/>
              </w:rPr>
              <w:t>max</w:t>
            </w:r>
            <w:proofErr w:type="spellEnd"/>
            <w:r w:rsidRPr="004B6A22">
              <w:rPr>
                <w:rFonts w:ascii="Arial Narrow" w:hAnsi="Arial Narrow"/>
                <w:sz w:val="20"/>
                <w:szCs w:val="20"/>
              </w:rPr>
              <w:t xml:space="preserve"> ↔</w:t>
            </w:r>
          </w:p>
          <w:p w14:paraId="06CF4145"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rilpivirine AUC ↔</w:t>
            </w:r>
            <w:r w:rsidRPr="004B6A22">
              <w:rPr>
                <w:rFonts w:ascii="Arial Narrow" w:hAnsi="Arial Narrow"/>
                <w:sz w:val="20"/>
                <w:szCs w:val="20"/>
                <w:vertAlign w:val="superscript"/>
              </w:rPr>
              <w:t>£</w:t>
            </w:r>
          </w:p>
          <w:p w14:paraId="5807A6F1" w14:textId="77777777" w:rsidR="004B6A22" w:rsidRPr="004B6A22" w:rsidRDefault="004B6A22" w:rsidP="004B6A22">
            <w:pPr>
              <w:spacing w:after="0"/>
              <w:rPr>
                <w:rFonts w:ascii="Arial Narrow" w:hAnsi="Arial Narrow"/>
                <w:sz w:val="20"/>
                <w:szCs w:val="20"/>
                <w:vertAlign w:val="subscript"/>
              </w:rPr>
            </w:pPr>
            <w:proofErr w:type="spellStart"/>
            <w:r w:rsidRPr="004B6A22">
              <w:rPr>
                <w:rFonts w:ascii="Arial Narrow" w:hAnsi="Arial Narrow"/>
                <w:sz w:val="20"/>
                <w:szCs w:val="20"/>
              </w:rPr>
              <w:t>rilpivirine</w:t>
            </w:r>
            <w:proofErr w:type="spellEnd"/>
            <w:r w:rsidRPr="004B6A22">
              <w:rPr>
                <w:rFonts w:ascii="Arial Narrow" w:hAnsi="Arial Narrow"/>
                <w:sz w:val="20"/>
                <w:szCs w:val="20"/>
              </w:rPr>
              <w:t xml:space="preserve"> </w:t>
            </w:r>
            <w:proofErr w:type="spellStart"/>
            <w:r w:rsidRPr="004B6A22">
              <w:rPr>
                <w:rFonts w:ascii="Arial Narrow" w:hAnsi="Arial Narrow"/>
                <w:sz w:val="20"/>
                <w:szCs w:val="20"/>
              </w:rPr>
              <w:t>C</w:t>
            </w:r>
            <w:r w:rsidRPr="004B6A22">
              <w:rPr>
                <w:rFonts w:ascii="Arial Narrow" w:hAnsi="Arial Narrow"/>
                <w:sz w:val="20"/>
                <w:szCs w:val="20"/>
                <w:vertAlign w:val="subscript"/>
              </w:rPr>
              <w:t>min</w:t>
            </w:r>
            <w:proofErr w:type="spellEnd"/>
            <w:r w:rsidRPr="004B6A22">
              <w:rPr>
                <w:rFonts w:ascii="Arial Narrow" w:hAnsi="Arial Narrow"/>
                <w:sz w:val="20"/>
                <w:szCs w:val="20"/>
              </w:rPr>
              <w:t xml:space="preserve"> ↔</w:t>
            </w:r>
            <w:r w:rsidRPr="004B6A22">
              <w:rPr>
                <w:rFonts w:ascii="Arial Narrow" w:hAnsi="Arial Narrow"/>
                <w:sz w:val="20"/>
                <w:szCs w:val="20"/>
                <w:vertAlign w:val="superscript"/>
              </w:rPr>
              <w:t>£</w:t>
            </w:r>
          </w:p>
          <w:p w14:paraId="389C5234" w14:textId="77777777" w:rsidR="004B6A22" w:rsidRPr="004B6A22" w:rsidRDefault="004B6A22" w:rsidP="004B6A22">
            <w:pPr>
              <w:spacing w:after="0"/>
              <w:rPr>
                <w:rFonts w:ascii="Arial Narrow" w:hAnsi="Arial Narrow"/>
                <w:sz w:val="20"/>
                <w:szCs w:val="20"/>
              </w:rPr>
            </w:pPr>
            <w:proofErr w:type="spellStart"/>
            <w:r w:rsidRPr="004B6A22">
              <w:rPr>
                <w:rFonts w:ascii="Arial Narrow" w:hAnsi="Arial Narrow"/>
                <w:sz w:val="20"/>
                <w:szCs w:val="20"/>
              </w:rPr>
              <w:t>rilpivirine</w:t>
            </w:r>
            <w:proofErr w:type="spellEnd"/>
            <w:r w:rsidRPr="004B6A22">
              <w:rPr>
                <w:rFonts w:ascii="Arial Narrow" w:hAnsi="Arial Narrow"/>
                <w:sz w:val="20"/>
                <w:szCs w:val="20"/>
              </w:rPr>
              <w:t xml:space="preserve"> </w:t>
            </w:r>
            <w:proofErr w:type="spellStart"/>
            <w:r w:rsidRPr="004B6A22">
              <w:rPr>
                <w:rFonts w:ascii="Arial Narrow" w:hAnsi="Arial Narrow"/>
                <w:sz w:val="20"/>
                <w:szCs w:val="20"/>
              </w:rPr>
              <w:t>C</w:t>
            </w:r>
            <w:r w:rsidRPr="004B6A22">
              <w:rPr>
                <w:rFonts w:ascii="Arial Narrow" w:hAnsi="Arial Narrow"/>
                <w:sz w:val="20"/>
                <w:szCs w:val="20"/>
                <w:vertAlign w:val="subscript"/>
              </w:rPr>
              <w:t>max</w:t>
            </w:r>
            <w:proofErr w:type="spellEnd"/>
            <w:r w:rsidRPr="004B6A22">
              <w:rPr>
                <w:rFonts w:ascii="Arial Narrow" w:hAnsi="Arial Narrow"/>
                <w:sz w:val="20"/>
                <w:szCs w:val="20"/>
              </w:rPr>
              <w:t xml:space="preserve"> ↔</w:t>
            </w:r>
            <w:r w:rsidRPr="004B6A22">
              <w:rPr>
                <w:rFonts w:ascii="Arial Narrow" w:hAnsi="Arial Narrow"/>
                <w:sz w:val="20"/>
                <w:szCs w:val="20"/>
                <w:vertAlign w:val="superscript"/>
              </w:rPr>
              <w:t>£</w:t>
            </w:r>
          </w:p>
          <w:p w14:paraId="600A68E2"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vertAlign w:val="superscript"/>
              </w:rPr>
              <w:t>£</w:t>
            </w:r>
            <w:r w:rsidRPr="004B6A22">
              <w:rPr>
                <w:rFonts w:ascii="Arial Narrow" w:hAnsi="Arial Narrow"/>
                <w:sz w:val="20"/>
                <w:szCs w:val="20"/>
              </w:rPr>
              <w:t xml:space="preserve"> based on historic controls</w:t>
            </w:r>
          </w:p>
        </w:tc>
        <w:tc>
          <w:tcPr>
            <w:tcW w:w="1725" w:type="pct"/>
          </w:tcPr>
          <w:p w14:paraId="0A6697B2"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No dose adjustment is required.</w:t>
            </w:r>
          </w:p>
        </w:tc>
      </w:tr>
      <w:tr w:rsidR="004B6A22" w:rsidRPr="004B6A22" w14:paraId="73445395" w14:textId="77777777" w:rsidTr="004B6A22">
        <w:trPr>
          <w:cantSplit/>
          <w:jc w:val="center"/>
        </w:trPr>
        <w:tc>
          <w:tcPr>
            <w:tcW w:w="5000" w:type="pct"/>
            <w:gridSpan w:val="4"/>
          </w:tcPr>
          <w:p w14:paraId="63C40D6F" w14:textId="4B4E7345" w:rsidR="004B6A22" w:rsidRPr="00372919" w:rsidRDefault="00372919" w:rsidP="004B6A22">
            <w:pPr>
              <w:keepNext/>
              <w:spacing w:after="0"/>
              <w:rPr>
                <w:rFonts w:ascii="Arial Narrow" w:hAnsi="Arial Narrow"/>
                <w:i/>
                <w:sz w:val="20"/>
                <w:szCs w:val="20"/>
              </w:rPr>
            </w:pPr>
            <w:r>
              <w:rPr>
                <w:rFonts w:ascii="Arial Narrow" w:hAnsi="Arial Narrow"/>
                <w:bCs/>
                <w:i/>
                <w:sz w:val="20"/>
                <w:szCs w:val="20"/>
              </w:rPr>
              <w:t>HMG</w:t>
            </w:r>
            <w:r w:rsidRPr="00372919">
              <w:rPr>
                <w:rFonts w:ascii="Arial Narrow" w:hAnsi="Arial Narrow"/>
                <w:bCs/>
                <w:i/>
                <w:sz w:val="20"/>
                <w:szCs w:val="20"/>
              </w:rPr>
              <w:t xml:space="preserve"> </w:t>
            </w:r>
            <w:r>
              <w:rPr>
                <w:rFonts w:ascii="Arial Narrow" w:hAnsi="Arial Narrow"/>
                <w:bCs/>
                <w:i/>
                <w:sz w:val="20"/>
                <w:szCs w:val="20"/>
              </w:rPr>
              <w:t>C</w:t>
            </w:r>
            <w:r w:rsidRPr="00372919">
              <w:rPr>
                <w:rFonts w:ascii="Arial Narrow" w:hAnsi="Arial Narrow"/>
                <w:bCs/>
                <w:i/>
                <w:sz w:val="20"/>
                <w:szCs w:val="20"/>
              </w:rPr>
              <w:t>o</w:t>
            </w:r>
            <w:r w:rsidRPr="00372919">
              <w:rPr>
                <w:rFonts w:ascii="Arial Narrow" w:hAnsi="Arial Narrow"/>
                <w:bCs/>
                <w:i/>
                <w:sz w:val="20"/>
                <w:szCs w:val="20"/>
              </w:rPr>
              <w:noBreakHyphen/>
            </w:r>
            <w:r>
              <w:rPr>
                <w:rFonts w:ascii="Arial Narrow" w:hAnsi="Arial Narrow"/>
                <w:bCs/>
                <w:i/>
                <w:sz w:val="20"/>
                <w:szCs w:val="20"/>
              </w:rPr>
              <w:t>A</w:t>
            </w:r>
            <w:r w:rsidRPr="00372919">
              <w:rPr>
                <w:rFonts w:ascii="Arial Narrow" w:hAnsi="Arial Narrow"/>
                <w:bCs/>
                <w:i/>
                <w:sz w:val="20"/>
                <w:szCs w:val="20"/>
              </w:rPr>
              <w:t xml:space="preserve"> reductase inhibitors</w:t>
            </w:r>
          </w:p>
        </w:tc>
      </w:tr>
      <w:tr w:rsidR="004B6A22" w:rsidRPr="004B6A22" w14:paraId="6016DC7E" w14:textId="77777777" w:rsidTr="004B6A22">
        <w:trPr>
          <w:cantSplit/>
          <w:jc w:val="center"/>
        </w:trPr>
        <w:tc>
          <w:tcPr>
            <w:tcW w:w="1421" w:type="pct"/>
          </w:tcPr>
          <w:p w14:paraId="1F47696D"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Atorvastatin</w:t>
            </w:r>
          </w:p>
          <w:p w14:paraId="2269180F" w14:textId="18EB9BF4" w:rsidR="004B6A22" w:rsidRPr="004B6A22" w:rsidRDefault="004B6A22" w:rsidP="00B93BAD">
            <w:pPr>
              <w:spacing w:after="0"/>
              <w:ind w:left="284"/>
              <w:rPr>
                <w:rFonts w:ascii="Arial Narrow" w:hAnsi="Arial Narrow"/>
                <w:sz w:val="20"/>
                <w:szCs w:val="20"/>
              </w:rPr>
            </w:pPr>
            <w:r w:rsidRPr="004B6A22">
              <w:rPr>
                <w:rFonts w:ascii="Arial Narrow" w:hAnsi="Arial Narrow"/>
                <w:sz w:val="20"/>
                <w:szCs w:val="20"/>
              </w:rPr>
              <w:t>40 mg once daily</w:t>
            </w:r>
          </w:p>
        </w:tc>
        <w:tc>
          <w:tcPr>
            <w:tcW w:w="1854" w:type="pct"/>
            <w:gridSpan w:val="2"/>
          </w:tcPr>
          <w:p w14:paraId="34CCBEA2"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atorvastatin AUC ↔</w:t>
            </w:r>
          </w:p>
          <w:p w14:paraId="2DBA15C2"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 xml:space="preserve">atorvastatin </w:t>
            </w:r>
            <w:proofErr w:type="spellStart"/>
            <w:r w:rsidRPr="004B6A22">
              <w:rPr>
                <w:rFonts w:ascii="Arial Narrow" w:hAnsi="Arial Narrow"/>
                <w:sz w:val="20"/>
                <w:szCs w:val="20"/>
              </w:rPr>
              <w:t>C</w:t>
            </w:r>
            <w:r w:rsidRPr="004B6A22">
              <w:rPr>
                <w:rFonts w:ascii="Arial Narrow" w:hAnsi="Arial Narrow"/>
                <w:sz w:val="20"/>
                <w:szCs w:val="20"/>
                <w:vertAlign w:val="subscript"/>
              </w:rPr>
              <w:t>min</w:t>
            </w:r>
            <w:proofErr w:type="spellEnd"/>
            <w:r w:rsidRPr="004B6A22">
              <w:rPr>
                <w:rFonts w:ascii="Arial Narrow" w:hAnsi="Arial Narrow"/>
                <w:sz w:val="20"/>
                <w:szCs w:val="20"/>
              </w:rPr>
              <w:t xml:space="preserve"> ↓ 15%</w:t>
            </w:r>
          </w:p>
          <w:p w14:paraId="56E18333"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 xml:space="preserve">atorvastatin </w:t>
            </w:r>
            <w:proofErr w:type="spellStart"/>
            <w:r w:rsidRPr="004B6A22">
              <w:rPr>
                <w:rFonts w:ascii="Arial Narrow" w:hAnsi="Arial Narrow"/>
                <w:sz w:val="20"/>
                <w:szCs w:val="20"/>
              </w:rPr>
              <w:t>C</w:t>
            </w:r>
            <w:r w:rsidRPr="004B6A22">
              <w:rPr>
                <w:rFonts w:ascii="Arial Narrow" w:hAnsi="Arial Narrow"/>
                <w:sz w:val="20"/>
                <w:szCs w:val="20"/>
                <w:vertAlign w:val="subscript"/>
              </w:rPr>
              <w:t>max</w:t>
            </w:r>
            <w:proofErr w:type="spellEnd"/>
            <w:r w:rsidRPr="004B6A22">
              <w:rPr>
                <w:rFonts w:ascii="Arial Narrow" w:hAnsi="Arial Narrow"/>
                <w:sz w:val="20"/>
                <w:szCs w:val="20"/>
              </w:rPr>
              <w:t xml:space="preserve"> ↑ 35%</w:t>
            </w:r>
          </w:p>
          <w:p w14:paraId="24731F8F"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rilpivirine AUC ↔</w:t>
            </w:r>
          </w:p>
          <w:p w14:paraId="6F8E773B" w14:textId="77777777" w:rsidR="004B6A22" w:rsidRPr="004B6A22" w:rsidRDefault="004B6A22" w:rsidP="004B6A22">
            <w:pPr>
              <w:spacing w:after="0"/>
              <w:rPr>
                <w:rFonts w:ascii="Arial Narrow" w:hAnsi="Arial Narrow"/>
                <w:sz w:val="20"/>
                <w:szCs w:val="20"/>
              </w:rPr>
            </w:pPr>
            <w:proofErr w:type="spellStart"/>
            <w:r w:rsidRPr="004B6A22">
              <w:rPr>
                <w:rFonts w:ascii="Arial Narrow" w:hAnsi="Arial Narrow"/>
                <w:sz w:val="20"/>
                <w:szCs w:val="20"/>
              </w:rPr>
              <w:t>rilpivirine</w:t>
            </w:r>
            <w:proofErr w:type="spellEnd"/>
            <w:r w:rsidRPr="004B6A22">
              <w:rPr>
                <w:rFonts w:ascii="Arial Narrow" w:hAnsi="Arial Narrow"/>
                <w:sz w:val="20"/>
                <w:szCs w:val="20"/>
              </w:rPr>
              <w:t xml:space="preserve"> </w:t>
            </w:r>
            <w:proofErr w:type="spellStart"/>
            <w:r w:rsidRPr="004B6A22">
              <w:rPr>
                <w:rFonts w:ascii="Arial Narrow" w:hAnsi="Arial Narrow"/>
                <w:sz w:val="20"/>
                <w:szCs w:val="20"/>
              </w:rPr>
              <w:t>C</w:t>
            </w:r>
            <w:r w:rsidRPr="004B6A22">
              <w:rPr>
                <w:rFonts w:ascii="Arial Narrow" w:hAnsi="Arial Narrow"/>
                <w:sz w:val="20"/>
                <w:szCs w:val="20"/>
                <w:vertAlign w:val="subscript"/>
              </w:rPr>
              <w:t>min</w:t>
            </w:r>
            <w:proofErr w:type="spellEnd"/>
            <w:r w:rsidRPr="004B6A22">
              <w:rPr>
                <w:rFonts w:ascii="Arial Narrow" w:hAnsi="Arial Narrow"/>
                <w:sz w:val="20"/>
                <w:szCs w:val="20"/>
              </w:rPr>
              <w:t xml:space="preserve"> ↔</w:t>
            </w:r>
          </w:p>
          <w:p w14:paraId="4780FACF" w14:textId="77777777" w:rsidR="004B6A22" w:rsidRPr="004B6A22" w:rsidRDefault="004B6A22" w:rsidP="004B6A22">
            <w:pPr>
              <w:tabs>
                <w:tab w:val="center" w:pos="1983"/>
              </w:tabs>
              <w:spacing w:after="0"/>
              <w:rPr>
                <w:rFonts w:ascii="Arial Narrow" w:hAnsi="Arial Narrow"/>
                <w:sz w:val="20"/>
                <w:szCs w:val="20"/>
              </w:rPr>
            </w:pPr>
            <w:proofErr w:type="spellStart"/>
            <w:r w:rsidRPr="004B6A22">
              <w:rPr>
                <w:rFonts w:ascii="Arial Narrow" w:hAnsi="Arial Narrow"/>
                <w:sz w:val="20"/>
                <w:szCs w:val="20"/>
              </w:rPr>
              <w:t>rilpivirine</w:t>
            </w:r>
            <w:proofErr w:type="spellEnd"/>
            <w:r w:rsidRPr="004B6A22">
              <w:rPr>
                <w:rFonts w:ascii="Arial Narrow" w:hAnsi="Arial Narrow"/>
                <w:sz w:val="20"/>
                <w:szCs w:val="20"/>
              </w:rPr>
              <w:t xml:space="preserve"> </w:t>
            </w:r>
            <w:proofErr w:type="spellStart"/>
            <w:r w:rsidRPr="004B6A22">
              <w:rPr>
                <w:rFonts w:ascii="Arial Narrow" w:hAnsi="Arial Narrow"/>
                <w:sz w:val="20"/>
                <w:szCs w:val="20"/>
              </w:rPr>
              <w:t>C</w:t>
            </w:r>
            <w:r w:rsidRPr="004B6A22">
              <w:rPr>
                <w:rFonts w:ascii="Arial Narrow" w:hAnsi="Arial Narrow"/>
                <w:sz w:val="20"/>
                <w:szCs w:val="20"/>
                <w:vertAlign w:val="subscript"/>
              </w:rPr>
              <w:t>max</w:t>
            </w:r>
            <w:proofErr w:type="spellEnd"/>
            <w:r w:rsidRPr="004B6A22">
              <w:rPr>
                <w:rFonts w:ascii="Arial Narrow" w:hAnsi="Arial Narrow"/>
                <w:sz w:val="20"/>
                <w:szCs w:val="20"/>
              </w:rPr>
              <w:t xml:space="preserve"> ↓ 9%</w:t>
            </w:r>
          </w:p>
        </w:tc>
        <w:tc>
          <w:tcPr>
            <w:tcW w:w="1725" w:type="pct"/>
          </w:tcPr>
          <w:p w14:paraId="3A22B217"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No dose adjustment is required</w:t>
            </w:r>
            <w:r w:rsidRPr="004B6A22">
              <w:rPr>
                <w:rFonts w:ascii="Arial Narrow" w:hAnsi="Arial Narrow"/>
                <w:iCs/>
                <w:sz w:val="20"/>
                <w:szCs w:val="20"/>
              </w:rPr>
              <w:t>.</w:t>
            </w:r>
          </w:p>
        </w:tc>
      </w:tr>
      <w:tr w:rsidR="004B6A22" w:rsidRPr="004B6A22" w14:paraId="0EF5943B" w14:textId="77777777" w:rsidTr="004B6A22">
        <w:trPr>
          <w:cantSplit/>
          <w:jc w:val="center"/>
        </w:trPr>
        <w:tc>
          <w:tcPr>
            <w:tcW w:w="1421" w:type="pct"/>
          </w:tcPr>
          <w:p w14:paraId="6815BA31" w14:textId="77777777" w:rsidR="004B6A22" w:rsidRPr="004B6A22" w:rsidRDefault="004B6A22" w:rsidP="004B6A22">
            <w:pPr>
              <w:autoSpaceDE w:val="0"/>
              <w:autoSpaceDN w:val="0"/>
              <w:adjustRightInd w:val="0"/>
              <w:spacing w:after="0"/>
              <w:ind w:firstLine="282"/>
              <w:rPr>
                <w:rFonts w:ascii="Arial Narrow" w:hAnsi="Arial Narrow"/>
                <w:noProof/>
                <w:color w:val="000000"/>
                <w:sz w:val="20"/>
                <w:szCs w:val="20"/>
                <w:lang w:val="it-IT"/>
              </w:rPr>
            </w:pPr>
            <w:r w:rsidRPr="004B6A22">
              <w:rPr>
                <w:rFonts w:ascii="Arial Narrow" w:hAnsi="Arial Narrow"/>
                <w:noProof/>
                <w:color w:val="000000"/>
                <w:sz w:val="20"/>
                <w:szCs w:val="20"/>
                <w:lang w:val="it-IT"/>
              </w:rPr>
              <w:t>Fluvastatin</w:t>
            </w:r>
          </w:p>
          <w:p w14:paraId="2494E3A3" w14:textId="77777777" w:rsidR="004B6A22" w:rsidRPr="004B6A22" w:rsidRDefault="004B6A22" w:rsidP="004B6A22">
            <w:pPr>
              <w:autoSpaceDE w:val="0"/>
              <w:autoSpaceDN w:val="0"/>
              <w:adjustRightInd w:val="0"/>
              <w:spacing w:after="0"/>
              <w:ind w:firstLine="282"/>
              <w:rPr>
                <w:rFonts w:ascii="Arial Narrow" w:hAnsi="Arial Narrow"/>
                <w:noProof/>
                <w:color w:val="000000"/>
                <w:sz w:val="20"/>
                <w:szCs w:val="20"/>
                <w:lang w:val="it-IT"/>
              </w:rPr>
            </w:pPr>
            <w:r w:rsidRPr="004B6A22">
              <w:rPr>
                <w:rFonts w:ascii="Arial Narrow" w:hAnsi="Arial Narrow"/>
                <w:noProof/>
                <w:color w:val="000000"/>
                <w:sz w:val="20"/>
                <w:szCs w:val="20"/>
                <w:lang w:val="it-IT"/>
              </w:rPr>
              <w:t>Lovastatin</w:t>
            </w:r>
          </w:p>
          <w:p w14:paraId="7EEDA506" w14:textId="77777777" w:rsidR="004B6A22" w:rsidRPr="004B6A22" w:rsidRDefault="004B6A22" w:rsidP="004B6A22">
            <w:pPr>
              <w:autoSpaceDE w:val="0"/>
              <w:autoSpaceDN w:val="0"/>
              <w:adjustRightInd w:val="0"/>
              <w:spacing w:after="0"/>
              <w:ind w:firstLine="282"/>
              <w:rPr>
                <w:rFonts w:ascii="Arial Narrow" w:hAnsi="Arial Narrow"/>
                <w:noProof/>
                <w:color w:val="000000"/>
                <w:sz w:val="20"/>
                <w:szCs w:val="20"/>
                <w:lang w:val="it-IT"/>
              </w:rPr>
            </w:pPr>
            <w:r w:rsidRPr="004B6A22">
              <w:rPr>
                <w:rFonts w:ascii="Arial Narrow" w:hAnsi="Arial Narrow"/>
                <w:noProof/>
                <w:color w:val="000000"/>
                <w:sz w:val="20"/>
                <w:szCs w:val="20"/>
                <w:lang w:val="it-IT"/>
              </w:rPr>
              <w:t>Pitavastatin</w:t>
            </w:r>
          </w:p>
          <w:p w14:paraId="7DE0DBF3" w14:textId="77777777" w:rsidR="004B6A22" w:rsidRPr="004B6A22" w:rsidRDefault="004B6A22" w:rsidP="004B6A22">
            <w:pPr>
              <w:autoSpaceDE w:val="0"/>
              <w:autoSpaceDN w:val="0"/>
              <w:adjustRightInd w:val="0"/>
              <w:spacing w:after="0"/>
              <w:ind w:firstLine="282"/>
              <w:rPr>
                <w:rFonts w:ascii="Arial Narrow" w:hAnsi="Arial Narrow"/>
                <w:noProof/>
                <w:color w:val="000000"/>
                <w:sz w:val="20"/>
                <w:szCs w:val="20"/>
                <w:lang w:val="it-IT"/>
              </w:rPr>
            </w:pPr>
            <w:r w:rsidRPr="004B6A22">
              <w:rPr>
                <w:rFonts w:ascii="Arial Narrow" w:hAnsi="Arial Narrow"/>
                <w:noProof/>
                <w:color w:val="000000"/>
                <w:sz w:val="20"/>
                <w:szCs w:val="20"/>
                <w:lang w:val="it-IT"/>
              </w:rPr>
              <w:t>Pravastatin</w:t>
            </w:r>
          </w:p>
          <w:p w14:paraId="3662F463" w14:textId="77777777" w:rsidR="004B6A22" w:rsidRPr="004B6A22" w:rsidRDefault="004B6A22" w:rsidP="004B6A22">
            <w:pPr>
              <w:autoSpaceDE w:val="0"/>
              <w:autoSpaceDN w:val="0"/>
              <w:adjustRightInd w:val="0"/>
              <w:spacing w:after="0"/>
              <w:ind w:firstLine="282"/>
              <w:rPr>
                <w:rFonts w:ascii="Arial Narrow" w:hAnsi="Arial Narrow"/>
                <w:noProof/>
                <w:color w:val="000000"/>
                <w:sz w:val="20"/>
                <w:szCs w:val="20"/>
                <w:lang w:val="it-IT"/>
              </w:rPr>
            </w:pPr>
            <w:r w:rsidRPr="004B6A22">
              <w:rPr>
                <w:rFonts w:ascii="Arial Narrow" w:hAnsi="Arial Narrow"/>
                <w:noProof/>
                <w:color w:val="000000"/>
                <w:sz w:val="20"/>
                <w:szCs w:val="20"/>
                <w:lang w:val="it-IT"/>
              </w:rPr>
              <w:t>Rosuvastatin</w:t>
            </w:r>
          </w:p>
          <w:p w14:paraId="0D463E3A" w14:textId="77777777" w:rsidR="004B6A22" w:rsidRPr="004B6A22" w:rsidRDefault="004B6A22" w:rsidP="004B6A22">
            <w:pPr>
              <w:spacing w:after="0"/>
              <w:ind w:firstLine="282"/>
              <w:rPr>
                <w:rFonts w:ascii="Arial Narrow" w:hAnsi="Arial Narrow"/>
                <w:noProof/>
                <w:sz w:val="20"/>
                <w:szCs w:val="20"/>
                <w:lang w:val="it-IT"/>
              </w:rPr>
            </w:pPr>
            <w:r w:rsidRPr="004B6A22">
              <w:rPr>
                <w:rFonts w:ascii="Arial Narrow" w:hAnsi="Arial Narrow"/>
                <w:noProof/>
                <w:sz w:val="20"/>
                <w:szCs w:val="20"/>
                <w:lang w:val="it-IT"/>
              </w:rPr>
              <w:t>Simvastatin</w:t>
            </w:r>
          </w:p>
        </w:tc>
        <w:tc>
          <w:tcPr>
            <w:tcW w:w="1854" w:type="pct"/>
            <w:gridSpan w:val="2"/>
          </w:tcPr>
          <w:p w14:paraId="5ACDFCC1"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 xml:space="preserve">Not studied. </w:t>
            </w:r>
          </w:p>
        </w:tc>
        <w:tc>
          <w:tcPr>
            <w:tcW w:w="1725" w:type="pct"/>
          </w:tcPr>
          <w:p w14:paraId="2B664F1B"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No dose adjustment is required</w:t>
            </w:r>
            <w:r w:rsidRPr="004B6A22">
              <w:rPr>
                <w:rFonts w:ascii="Arial Narrow" w:hAnsi="Arial Narrow"/>
                <w:iCs/>
                <w:sz w:val="20"/>
                <w:szCs w:val="20"/>
              </w:rPr>
              <w:t>.</w:t>
            </w:r>
          </w:p>
        </w:tc>
      </w:tr>
      <w:tr w:rsidR="004B6A22" w:rsidRPr="004B6A22" w14:paraId="1DFB8DAA" w14:textId="77777777" w:rsidTr="004B6A22">
        <w:trPr>
          <w:cantSplit/>
          <w:jc w:val="center"/>
        </w:trPr>
        <w:tc>
          <w:tcPr>
            <w:tcW w:w="5000" w:type="pct"/>
            <w:gridSpan w:val="4"/>
          </w:tcPr>
          <w:p w14:paraId="7E44519A" w14:textId="2748FC7F" w:rsidR="004B6A22" w:rsidRPr="00372919" w:rsidRDefault="00372919" w:rsidP="004B6A22">
            <w:pPr>
              <w:keepNext/>
              <w:spacing w:after="0"/>
              <w:rPr>
                <w:rFonts w:ascii="Arial Narrow" w:hAnsi="Arial Narrow"/>
                <w:i/>
                <w:sz w:val="20"/>
                <w:szCs w:val="20"/>
              </w:rPr>
            </w:pPr>
            <w:r w:rsidRPr="00372919">
              <w:rPr>
                <w:rFonts w:ascii="Arial Narrow" w:hAnsi="Arial Narrow"/>
                <w:bCs/>
                <w:i/>
                <w:sz w:val="20"/>
                <w:szCs w:val="20"/>
              </w:rPr>
              <w:lastRenderedPageBreak/>
              <w:t xml:space="preserve">Phosphodiesterase type </w:t>
            </w:r>
            <w:r w:rsidR="004B6A22" w:rsidRPr="00372919">
              <w:rPr>
                <w:rFonts w:ascii="Arial Narrow" w:hAnsi="Arial Narrow"/>
                <w:bCs/>
                <w:i/>
                <w:sz w:val="20"/>
                <w:szCs w:val="20"/>
              </w:rPr>
              <w:t>5 (PDE</w:t>
            </w:r>
            <w:r w:rsidR="004B6A22" w:rsidRPr="00372919">
              <w:rPr>
                <w:rFonts w:ascii="Arial Narrow" w:hAnsi="Arial Narrow"/>
                <w:bCs/>
                <w:i/>
                <w:sz w:val="20"/>
                <w:szCs w:val="20"/>
              </w:rPr>
              <w:noBreakHyphen/>
              <w:t xml:space="preserve">5) </w:t>
            </w:r>
            <w:r w:rsidRPr="00372919">
              <w:rPr>
                <w:rFonts w:ascii="Arial Narrow" w:hAnsi="Arial Narrow"/>
                <w:bCs/>
                <w:i/>
                <w:sz w:val="20"/>
                <w:szCs w:val="20"/>
              </w:rPr>
              <w:t>inhibitors</w:t>
            </w:r>
          </w:p>
        </w:tc>
      </w:tr>
      <w:tr w:rsidR="004B6A22" w:rsidRPr="004B6A22" w14:paraId="1DC9ECC6" w14:textId="77777777" w:rsidTr="004B6A22">
        <w:trPr>
          <w:cantSplit/>
          <w:jc w:val="center"/>
        </w:trPr>
        <w:tc>
          <w:tcPr>
            <w:tcW w:w="1421" w:type="pct"/>
          </w:tcPr>
          <w:p w14:paraId="56766B07"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Sildenafil*</w:t>
            </w:r>
            <w:r w:rsidRPr="004B6A22">
              <w:rPr>
                <w:rFonts w:ascii="Arial Narrow" w:hAnsi="Arial Narrow"/>
                <w:sz w:val="20"/>
                <w:szCs w:val="20"/>
                <w:vertAlign w:val="superscript"/>
              </w:rPr>
              <w:t>#</w:t>
            </w:r>
          </w:p>
          <w:p w14:paraId="17F4D532"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50 mg single dose</w:t>
            </w:r>
          </w:p>
        </w:tc>
        <w:tc>
          <w:tcPr>
            <w:tcW w:w="1854" w:type="pct"/>
            <w:gridSpan w:val="2"/>
          </w:tcPr>
          <w:p w14:paraId="26A396FD"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sildenafil AUC ↔</w:t>
            </w:r>
          </w:p>
          <w:p w14:paraId="6CE427BF"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 xml:space="preserve">sildenafil </w:t>
            </w:r>
            <w:proofErr w:type="spellStart"/>
            <w:r w:rsidRPr="004B6A22">
              <w:rPr>
                <w:rFonts w:ascii="Arial Narrow" w:hAnsi="Arial Narrow"/>
                <w:sz w:val="20"/>
                <w:szCs w:val="20"/>
              </w:rPr>
              <w:t>C</w:t>
            </w:r>
            <w:r w:rsidRPr="004B6A22">
              <w:rPr>
                <w:rFonts w:ascii="Arial Narrow" w:hAnsi="Arial Narrow"/>
                <w:sz w:val="20"/>
                <w:szCs w:val="20"/>
                <w:vertAlign w:val="subscript"/>
              </w:rPr>
              <w:t>min</w:t>
            </w:r>
            <w:proofErr w:type="spellEnd"/>
            <w:r w:rsidRPr="004B6A22">
              <w:rPr>
                <w:rFonts w:ascii="Arial Narrow" w:hAnsi="Arial Narrow"/>
                <w:sz w:val="20"/>
                <w:szCs w:val="20"/>
              </w:rPr>
              <w:t xml:space="preserve"> NA</w:t>
            </w:r>
          </w:p>
          <w:p w14:paraId="07D5C14D"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 xml:space="preserve">sildenafil </w:t>
            </w:r>
            <w:proofErr w:type="spellStart"/>
            <w:r w:rsidRPr="004B6A22">
              <w:rPr>
                <w:rFonts w:ascii="Arial Narrow" w:hAnsi="Arial Narrow"/>
                <w:sz w:val="20"/>
                <w:szCs w:val="20"/>
              </w:rPr>
              <w:t>C</w:t>
            </w:r>
            <w:r w:rsidRPr="004B6A22">
              <w:rPr>
                <w:rFonts w:ascii="Arial Narrow" w:hAnsi="Arial Narrow"/>
                <w:sz w:val="20"/>
                <w:szCs w:val="20"/>
                <w:vertAlign w:val="subscript"/>
              </w:rPr>
              <w:t>max</w:t>
            </w:r>
            <w:proofErr w:type="spellEnd"/>
            <w:r w:rsidRPr="004B6A22">
              <w:rPr>
                <w:rFonts w:ascii="Arial Narrow" w:hAnsi="Arial Narrow"/>
                <w:sz w:val="20"/>
                <w:szCs w:val="20"/>
              </w:rPr>
              <w:t xml:space="preserve"> ↔</w:t>
            </w:r>
          </w:p>
          <w:p w14:paraId="2E6564A4"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rilpivirine AUC ↔</w:t>
            </w:r>
          </w:p>
          <w:p w14:paraId="02D2ADDD" w14:textId="77777777" w:rsidR="004B6A22" w:rsidRPr="004B6A22" w:rsidRDefault="004B6A22" w:rsidP="004B6A22">
            <w:pPr>
              <w:spacing w:after="0"/>
              <w:rPr>
                <w:rFonts w:ascii="Arial Narrow" w:hAnsi="Arial Narrow"/>
                <w:sz w:val="20"/>
                <w:szCs w:val="20"/>
              </w:rPr>
            </w:pPr>
            <w:proofErr w:type="spellStart"/>
            <w:r w:rsidRPr="004B6A22">
              <w:rPr>
                <w:rFonts w:ascii="Arial Narrow" w:hAnsi="Arial Narrow"/>
                <w:sz w:val="20"/>
                <w:szCs w:val="20"/>
              </w:rPr>
              <w:t>rilpivirine</w:t>
            </w:r>
            <w:proofErr w:type="spellEnd"/>
            <w:r w:rsidRPr="004B6A22">
              <w:rPr>
                <w:rFonts w:ascii="Arial Narrow" w:hAnsi="Arial Narrow"/>
                <w:sz w:val="20"/>
                <w:szCs w:val="20"/>
              </w:rPr>
              <w:t xml:space="preserve"> </w:t>
            </w:r>
            <w:proofErr w:type="spellStart"/>
            <w:r w:rsidRPr="004B6A22">
              <w:rPr>
                <w:rFonts w:ascii="Arial Narrow" w:hAnsi="Arial Narrow"/>
                <w:sz w:val="20"/>
                <w:szCs w:val="20"/>
              </w:rPr>
              <w:t>C</w:t>
            </w:r>
            <w:r w:rsidRPr="004B6A22">
              <w:rPr>
                <w:rFonts w:ascii="Arial Narrow" w:hAnsi="Arial Narrow"/>
                <w:sz w:val="20"/>
                <w:szCs w:val="20"/>
                <w:vertAlign w:val="subscript"/>
              </w:rPr>
              <w:t>min</w:t>
            </w:r>
            <w:proofErr w:type="spellEnd"/>
            <w:r w:rsidRPr="004B6A22">
              <w:rPr>
                <w:rFonts w:ascii="Arial Narrow" w:hAnsi="Arial Narrow"/>
                <w:sz w:val="20"/>
                <w:szCs w:val="20"/>
              </w:rPr>
              <w:t xml:space="preserve"> ↔</w:t>
            </w:r>
          </w:p>
          <w:p w14:paraId="6764B94B" w14:textId="77777777" w:rsidR="004B6A22" w:rsidRPr="004B6A22" w:rsidRDefault="004B6A22" w:rsidP="004B6A22">
            <w:pPr>
              <w:spacing w:after="0"/>
              <w:rPr>
                <w:rFonts w:ascii="Arial Narrow" w:hAnsi="Arial Narrow"/>
                <w:sz w:val="20"/>
                <w:szCs w:val="20"/>
              </w:rPr>
            </w:pPr>
            <w:proofErr w:type="spellStart"/>
            <w:r w:rsidRPr="004B6A22">
              <w:rPr>
                <w:rFonts w:ascii="Arial Narrow" w:hAnsi="Arial Narrow"/>
                <w:sz w:val="20"/>
                <w:szCs w:val="20"/>
              </w:rPr>
              <w:t>rilpivirine</w:t>
            </w:r>
            <w:proofErr w:type="spellEnd"/>
            <w:r w:rsidRPr="004B6A22">
              <w:rPr>
                <w:rFonts w:ascii="Arial Narrow" w:hAnsi="Arial Narrow"/>
                <w:sz w:val="20"/>
                <w:szCs w:val="20"/>
              </w:rPr>
              <w:t xml:space="preserve"> </w:t>
            </w:r>
            <w:proofErr w:type="spellStart"/>
            <w:r w:rsidRPr="004B6A22">
              <w:rPr>
                <w:rFonts w:ascii="Arial Narrow" w:hAnsi="Arial Narrow"/>
                <w:sz w:val="20"/>
                <w:szCs w:val="20"/>
              </w:rPr>
              <w:t>C</w:t>
            </w:r>
            <w:r w:rsidRPr="004B6A22">
              <w:rPr>
                <w:rFonts w:ascii="Arial Narrow" w:hAnsi="Arial Narrow"/>
                <w:sz w:val="20"/>
                <w:szCs w:val="20"/>
                <w:vertAlign w:val="subscript"/>
              </w:rPr>
              <w:t>max</w:t>
            </w:r>
            <w:proofErr w:type="spellEnd"/>
            <w:r w:rsidRPr="004B6A22">
              <w:rPr>
                <w:rFonts w:ascii="Arial Narrow" w:hAnsi="Arial Narrow"/>
                <w:sz w:val="20"/>
                <w:szCs w:val="20"/>
              </w:rPr>
              <w:t xml:space="preserve"> ↔</w:t>
            </w:r>
          </w:p>
        </w:tc>
        <w:tc>
          <w:tcPr>
            <w:tcW w:w="1725" w:type="pct"/>
          </w:tcPr>
          <w:p w14:paraId="1E25736D"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No dose adjustment is required.</w:t>
            </w:r>
          </w:p>
        </w:tc>
      </w:tr>
      <w:tr w:rsidR="004B6A22" w:rsidRPr="004B6A22" w14:paraId="36E7A3C3" w14:textId="77777777" w:rsidTr="004B6A22">
        <w:trPr>
          <w:cantSplit/>
          <w:jc w:val="center"/>
        </w:trPr>
        <w:tc>
          <w:tcPr>
            <w:tcW w:w="1421" w:type="pct"/>
            <w:tcBorders>
              <w:bottom w:val="single" w:sz="4" w:space="0" w:color="auto"/>
            </w:tcBorders>
          </w:tcPr>
          <w:p w14:paraId="668D290A"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Vardenafil</w:t>
            </w:r>
          </w:p>
          <w:p w14:paraId="506C5EEA" w14:textId="77777777" w:rsidR="004B6A22" w:rsidRPr="004B6A22" w:rsidRDefault="004B6A22" w:rsidP="004B6A22">
            <w:pPr>
              <w:spacing w:after="0"/>
              <w:ind w:left="284"/>
              <w:rPr>
                <w:rFonts w:ascii="Arial Narrow" w:hAnsi="Arial Narrow"/>
                <w:sz w:val="20"/>
                <w:szCs w:val="20"/>
              </w:rPr>
            </w:pPr>
            <w:r w:rsidRPr="004B6A22">
              <w:rPr>
                <w:rFonts w:ascii="Arial Narrow" w:hAnsi="Arial Narrow"/>
                <w:sz w:val="20"/>
                <w:szCs w:val="20"/>
              </w:rPr>
              <w:t>Tadalafil</w:t>
            </w:r>
          </w:p>
        </w:tc>
        <w:tc>
          <w:tcPr>
            <w:tcW w:w="1854" w:type="pct"/>
            <w:gridSpan w:val="2"/>
            <w:tcBorders>
              <w:bottom w:val="single" w:sz="4" w:space="0" w:color="auto"/>
            </w:tcBorders>
          </w:tcPr>
          <w:p w14:paraId="688221A1" w14:textId="77777777" w:rsidR="004B6A22" w:rsidRPr="004B6A22" w:rsidRDefault="004B6A22" w:rsidP="004B6A22">
            <w:pPr>
              <w:spacing w:after="0"/>
              <w:rPr>
                <w:rFonts w:ascii="Arial Narrow" w:hAnsi="Arial Narrow"/>
                <w:sz w:val="20"/>
                <w:szCs w:val="20"/>
              </w:rPr>
            </w:pPr>
            <w:r w:rsidRPr="004B6A22">
              <w:rPr>
                <w:rFonts w:ascii="Arial Narrow" w:hAnsi="Arial Narrow"/>
                <w:sz w:val="20"/>
                <w:szCs w:val="20"/>
              </w:rPr>
              <w:t>Not studied.</w:t>
            </w:r>
          </w:p>
        </w:tc>
        <w:tc>
          <w:tcPr>
            <w:tcW w:w="1725" w:type="pct"/>
            <w:tcBorders>
              <w:bottom w:val="single" w:sz="4" w:space="0" w:color="auto"/>
            </w:tcBorders>
          </w:tcPr>
          <w:p w14:paraId="63510988" w14:textId="77777777" w:rsidR="004B6A22" w:rsidRPr="004B6A22" w:rsidRDefault="004B6A22" w:rsidP="004B6A22">
            <w:pPr>
              <w:spacing w:after="0"/>
              <w:rPr>
                <w:rFonts w:ascii="Arial Narrow" w:hAnsi="Arial Narrow"/>
                <w:iCs/>
                <w:sz w:val="20"/>
                <w:szCs w:val="20"/>
              </w:rPr>
            </w:pPr>
            <w:r w:rsidRPr="004B6A22">
              <w:rPr>
                <w:rFonts w:ascii="Arial Narrow" w:hAnsi="Arial Narrow"/>
                <w:sz w:val="20"/>
                <w:szCs w:val="20"/>
              </w:rPr>
              <w:t>No dose adjustment is required</w:t>
            </w:r>
            <w:r w:rsidRPr="004B6A22">
              <w:rPr>
                <w:rFonts w:ascii="Arial Narrow" w:hAnsi="Arial Narrow"/>
                <w:iCs/>
                <w:sz w:val="20"/>
                <w:szCs w:val="20"/>
              </w:rPr>
              <w:t>.</w:t>
            </w:r>
          </w:p>
        </w:tc>
      </w:tr>
      <w:tr w:rsidR="004B6A22" w:rsidRPr="004B6A22" w14:paraId="6D1EFFFB" w14:textId="77777777" w:rsidTr="004B6A22">
        <w:trPr>
          <w:cantSplit/>
          <w:jc w:val="center"/>
        </w:trPr>
        <w:tc>
          <w:tcPr>
            <w:tcW w:w="5000" w:type="pct"/>
            <w:gridSpan w:val="4"/>
            <w:tcBorders>
              <w:left w:val="nil"/>
              <w:bottom w:val="nil"/>
              <w:right w:val="nil"/>
            </w:tcBorders>
          </w:tcPr>
          <w:p w14:paraId="73A7D183" w14:textId="77777777" w:rsidR="004B6A22" w:rsidRPr="004B6A22" w:rsidRDefault="004B6A22" w:rsidP="004B6A22">
            <w:pPr>
              <w:spacing w:after="0"/>
              <w:ind w:left="284" w:hanging="284"/>
              <w:rPr>
                <w:rFonts w:ascii="Arial Narrow" w:hAnsi="Arial Narrow"/>
                <w:sz w:val="20"/>
                <w:szCs w:val="20"/>
              </w:rPr>
            </w:pPr>
            <w:r w:rsidRPr="004B6A22">
              <w:rPr>
                <w:rFonts w:ascii="Arial Narrow" w:hAnsi="Arial Narrow"/>
                <w:sz w:val="20"/>
                <w:szCs w:val="20"/>
              </w:rPr>
              <w:t>*</w:t>
            </w:r>
            <w:r w:rsidRPr="004B6A22">
              <w:rPr>
                <w:rFonts w:ascii="Arial Narrow" w:hAnsi="Arial Narrow"/>
                <w:sz w:val="20"/>
                <w:szCs w:val="20"/>
              </w:rPr>
              <w:tab/>
              <w:t>The interaction between rilpivirine and the medicinal product was evaluated in a clinical study. All other drug</w:t>
            </w:r>
            <w:r w:rsidRPr="004B6A22">
              <w:rPr>
                <w:rFonts w:ascii="Arial Narrow" w:hAnsi="Arial Narrow"/>
                <w:sz w:val="20"/>
                <w:szCs w:val="20"/>
              </w:rPr>
              <w:noBreakHyphen/>
              <w:t>drug interactions shown are predicted.</w:t>
            </w:r>
          </w:p>
          <w:p w14:paraId="081D7505" w14:textId="360B4AE9" w:rsidR="004B6A22" w:rsidRPr="004B6A22" w:rsidRDefault="004B6A22" w:rsidP="004B6A22">
            <w:pPr>
              <w:spacing w:after="0"/>
              <w:ind w:left="284" w:hanging="284"/>
              <w:rPr>
                <w:rFonts w:ascii="Arial Narrow" w:hAnsi="Arial Narrow"/>
                <w:sz w:val="20"/>
                <w:szCs w:val="20"/>
              </w:rPr>
            </w:pPr>
            <w:r w:rsidRPr="004B6A22">
              <w:rPr>
                <w:rFonts w:ascii="Arial Narrow" w:hAnsi="Arial Narrow"/>
                <w:sz w:val="20"/>
                <w:szCs w:val="20"/>
                <w:vertAlign w:val="superscript"/>
              </w:rPr>
              <w:t>#</w:t>
            </w:r>
            <w:r w:rsidRPr="004B6A22">
              <w:rPr>
                <w:rFonts w:ascii="Arial Narrow" w:hAnsi="Arial Narrow"/>
                <w:sz w:val="20"/>
                <w:szCs w:val="20"/>
              </w:rPr>
              <w:tab/>
              <w:t>This interaction study has been performed with a dose higher than the recommended dose for rilpivirine assessing the maximal effect on the co</w:t>
            </w:r>
            <w:r w:rsidRPr="004B6A22">
              <w:rPr>
                <w:rFonts w:ascii="Arial Narrow" w:hAnsi="Arial Narrow"/>
                <w:sz w:val="20"/>
                <w:szCs w:val="20"/>
              </w:rPr>
              <w:noBreakHyphen/>
              <w:t>administered medicinal product. The dosing recommendation is applicable to the recommended dose of rilpivirine of 25 mg once daily.</w:t>
            </w:r>
          </w:p>
        </w:tc>
      </w:tr>
    </w:tbl>
    <w:bookmarkEnd w:id="17"/>
    <w:p w14:paraId="13795EE5" w14:textId="3F8037F3" w:rsidR="00D77A6A" w:rsidRPr="008B2C3C" w:rsidRDefault="00D77A6A" w:rsidP="008B2C3C">
      <w:pPr>
        <w:pStyle w:val="Heading3"/>
        <w:ind w:left="0"/>
        <w:rPr>
          <w:rFonts w:ascii="Arial" w:hAnsi="Arial" w:cs="Arial"/>
        </w:rPr>
      </w:pPr>
      <w:r w:rsidRPr="008B2C3C">
        <w:rPr>
          <w:rFonts w:ascii="Arial" w:hAnsi="Arial" w:cs="Arial"/>
        </w:rPr>
        <w:t>QT prolonging drugs</w:t>
      </w:r>
    </w:p>
    <w:p w14:paraId="0C8E4248" w14:textId="3FA3AE7E" w:rsidR="004B6A22" w:rsidRPr="008B2C3C" w:rsidRDefault="00D77A6A" w:rsidP="002A27F8">
      <w:pPr>
        <w:rPr>
          <w:rFonts w:ascii="Arial" w:hAnsi="Arial" w:cs="Arial"/>
          <w:lang w:val="en"/>
        </w:rPr>
      </w:pPr>
      <w:r w:rsidRPr="008B2C3C">
        <w:rPr>
          <w:rFonts w:ascii="Arial" w:hAnsi="Arial" w:cs="Arial"/>
          <w:lang w:val="en"/>
        </w:rPr>
        <w:t xml:space="preserve">There is limited information available on the potential for a pharmacodynamic interaction between rilpivirine and medicinal products that prolong the QTc interval of the electrocardiogram. In a study of healthy subjects, supratherapeutic doses of </w:t>
      </w:r>
      <w:r w:rsidR="008B2C3C" w:rsidRPr="008B2C3C">
        <w:rPr>
          <w:rFonts w:ascii="Arial" w:hAnsi="Arial" w:cs="Arial"/>
          <w:lang w:val="en"/>
        </w:rPr>
        <w:t xml:space="preserve">oral </w:t>
      </w:r>
      <w:r w:rsidRPr="008B2C3C">
        <w:rPr>
          <w:rFonts w:ascii="Arial" w:hAnsi="Arial" w:cs="Arial"/>
          <w:lang w:val="en"/>
        </w:rPr>
        <w:t>rilpivirine (75 mg once daily and 300 mg once daily) have been shown to prolong the QTc interval of the electrocardiogram</w:t>
      </w:r>
      <w:r w:rsidR="008B2C3C" w:rsidRPr="008B2C3C">
        <w:rPr>
          <w:rFonts w:ascii="Arial" w:hAnsi="Arial" w:cs="Arial"/>
          <w:lang w:val="en"/>
        </w:rPr>
        <w:t xml:space="preserve">. Plasma rilpivirine concentrations after rilpivirine injections are comparable to those achieved with oral rilpivirine at a dose of 25 mg </w:t>
      </w:r>
      <w:r w:rsidR="00354E64">
        <w:rPr>
          <w:rFonts w:ascii="Arial" w:hAnsi="Arial" w:cs="Arial"/>
          <w:lang w:val="en"/>
        </w:rPr>
        <w:t>once daily</w:t>
      </w:r>
      <w:r w:rsidRPr="008B2C3C">
        <w:rPr>
          <w:rFonts w:ascii="Arial" w:hAnsi="Arial" w:cs="Arial"/>
          <w:lang w:val="en"/>
        </w:rPr>
        <w:t xml:space="preserve"> (see Section 5.1 PHARMACODYNAMIC PROPERTIES). </w:t>
      </w:r>
      <w:r w:rsidR="008B2C3C" w:rsidRPr="008B2C3C">
        <w:rPr>
          <w:rFonts w:ascii="Arial" w:hAnsi="Arial" w:cs="Arial"/>
          <w:lang w:val="en"/>
        </w:rPr>
        <w:t>Rilpivirine</w:t>
      </w:r>
      <w:r w:rsidRPr="008B2C3C">
        <w:rPr>
          <w:rFonts w:ascii="Arial" w:hAnsi="Arial" w:cs="Arial"/>
          <w:lang w:val="en"/>
        </w:rPr>
        <w:t xml:space="preserve"> should be used with caution when co-administered with a medicinal product with a known risk of Torsade de Pointes.</w:t>
      </w:r>
    </w:p>
    <w:p w14:paraId="4A5DD21A" w14:textId="77777777" w:rsidR="001A3992" w:rsidRPr="00071855" w:rsidRDefault="00071855" w:rsidP="00923029">
      <w:pPr>
        <w:pStyle w:val="Heading2"/>
        <w:numPr>
          <w:ilvl w:val="1"/>
          <w:numId w:val="35"/>
        </w:numPr>
        <w:spacing w:before="0" w:after="120"/>
        <w:rPr>
          <w:rFonts w:ascii="Arial" w:hAnsi="Arial" w:cs="Arial"/>
          <w:smallCaps w:val="0"/>
        </w:rPr>
      </w:pPr>
      <w:r w:rsidRPr="00071855">
        <w:rPr>
          <w:rFonts w:ascii="Arial" w:hAnsi="Arial" w:cs="Arial"/>
          <w:smallCaps w:val="0"/>
        </w:rPr>
        <w:t xml:space="preserve">FERTILITY, PREGNANCY AND LACTATION </w:t>
      </w:r>
    </w:p>
    <w:p w14:paraId="0C520A1D" w14:textId="77777777" w:rsidR="001A3992" w:rsidRPr="005B1108" w:rsidRDefault="001A3992" w:rsidP="00372919">
      <w:pPr>
        <w:pStyle w:val="Heading3"/>
        <w:ind w:left="0"/>
        <w:rPr>
          <w:rFonts w:ascii="Arial" w:hAnsi="Arial" w:cs="Arial"/>
        </w:rPr>
      </w:pPr>
      <w:r w:rsidRPr="005B1108">
        <w:rPr>
          <w:rFonts w:ascii="Arial" w:hAnsi="Arial" w:cs="Arial"/>
        </w:rPr>
        <w:t>Effects on fertility</w:t>
      </w:r>
    </w:p>
    <w:p w14:paraId="565D453A" w14:textId="3A118A6C" w:rsidR="008B2C3C" w:rsidRPr="008B2C3C" w:rsidRDefault="008B2C3C" w:rsidP="00B93BAD">
      <w:pPr>
        <w:spacing w:after="0"/>
        <w:rPr>
          <w:rFonts w:ascii="Arial" w:hAnsi="Arial" w:cs="Arial"/>
          <w:u w:val="single"/>
          <w:lang w:val="en"/>
        </w:rPr>
      </w:pPr>
      <w:r w:rsidRPr="008B2C3C">
        <w:rPr>
          <w:rFonts w:ascii="Arial" w:hAnsi="Arial" w:cs="Arial"/>
          <w:u w:val="single"/>
          <w:lang w:val="en"/>
        </w:rPr>
        <w:t>Cabotegravir</w:t>
      </w:r>
    </w:p>
    <w:p w14:paraId="425AA5C5" w14:textId="4C0AD369" w:rsidR="00071855" w:rsidRPr="00774CD0" w:rsidRDefault="00774CD0" w:rsidP="00B93BAD">
      <w:pPr>
        <w:rPr>
          <w:rFonts w:ascii="Arial" w:hAnsi="Arial" w:cs="Arial"/>
          <w:lang w:val="en"/>
        </w:rPr>
      </w:pPr>
      <w:r w:rsidRPr="00774CD0">
        <w:rPr>
          <w:rFonts w:ascii="Arial" w:hAnsi="Arial" w:cs="Arial"/>
          <w:lang w:val="en"/>
        </w:rPr>
        <w:t xml:space="preserve">There are no data on the effects of cabotegravir on human male or female fertility. Animal studies indicate no effects of cabotegravir on male or female fertility. </w:t>
      </w:r>
    </w:p>
    <w:p w14:paraId="2A9648FD" w14:textId="66EDEC30" w:rsidR="00774CD0" w:rsidRDefault="00774CD0" w:rsidP="00774CD0">
      <w:pPr>
        <w:rPr>
          <w:rFonts w:ascii="Arial" w:hAnsi="Arial" w:cs="Arial"/>
          <w:lang w:val="en"/>
        </w:rPr>
      </w:pPr>
      <w:r w:rsidRPr="00774CD0">
        <w:rPr>
          <w:rFonts w:ascii="Arial" w:hAnsi="Arial" w:cs="Arial"/>
          <w:lang w:val="en"/>
        </w:rPr>
        <w:t xml:space="preserve">Cabotegravir when administered orally to male and female rats at 1,000 mg/kg/day (&gt;30 times the exposure in humans at the Maximum Recommended Human Dose [MHRD] of 30 mg </w:t>
      </w:r>
      <w:bookmarkStart w:id="18" w:name="_Hlk2093489"/>
      <w:r w:rsidRPr="00774CD0">
        <w:rPr>
          <w:rFonts w:ascii="Arial" w:hAnsi="Arial" w:cs="Arial"/>
          <w:lang w:val="en"/>
        </w:rPr>
        <w:t xml:space="preserve">oral or 400 mg </w:t>
      </w:r>
      <w:r>
        <w:rPr>
          <w:rFonts w:ascii="Arial" w:hAnsi="Arial" w:cs="Arial"/>
          <w:lang w:val="en"/>
        </w:rPr>
        <w:t>intramuscular</w:t>
      </w:r>
      <w:r w:rsidR="005B1108">
        <w:rPr>
          <w:rFonts w:ascii="Arial" w:hAnsi="Arial" w:cs="Arial"/>
          <w:lang w:val="en"/>
        </w:rPr>
        <w:t xml:space="preserve"> (IM)</w:t>
      </w:r>
      <w:r w:rsidRPr="00774CD0">
        <w:rPr>
          <w:rFonts w:ascii="Arial" w:hAnsi="Arial" w:cs="Arial"/>
          <w:lang w:val="en"/>
        </w:rPr>
        <w:t xml:space="preserve"> dose</w:t>
      </w:r>
      <w:bookmarkEnd w:id="18"/>
      <w:r w:rsidRPr="00774CD0">
        <w:rPr>
          <w:rFonts w:ascii="Arial" w:hAnsi="Arial" w:cs="Arial"/>
          <w:lang w:val="en"/>
        </w:rPr>
        <w:t>) for up to 26 weeks did not cause adverse effects on male or female reproductive organs or spermatogenesis. No functional effects on male or female mating or fertility were observed in rats given cabotegravir at doses up to 1,000 mg/kg/day.</w:t>
      </w:r>
    </w:p>
    <w:p w14:paraId="6220BA0D" w14:textId="1C581E80" w:rsidR="008B2C3C" w:rsidRDefault="008B2C3C" w:rsidP="00465EE7">
      <w:pPr>
        <w:spacing w:after="0"/>
        <w:rPr>
          <w:rFonts w:ascii="Arial" w:hAnsi="Arial" w:cs="Arial"/>
          <w:u w:val="single"/>
          <w:lang w:val="en"/>
        </w:rPr>
      </w:pPr>
      <w:r w:rsidRPr="00465EE7">
        <w:rPr>
          <w:rFonts w:ascii="Arial" w:hAnsi="Arial" w:cs="Arial"/>
          <w:u w:val="single"/>
          <w:lang w:val="en"/>
        </w:rPr>
        <w:t>Rilpivirine</w:t>
      </w:r>
    </w:p>
    <w:p w14:paraId="0D826933" w14:textId="77777777" w:rsidR="00465EE7" w:rsidRPr="00465EE7" w:rsidRDefault="00465EE7" w:rsidP="00774CD0">
      <w:pPr>
        <w:rPr>
          <w:rFonts w:ascii="Arial" w:hAnsi="Arial" w:cs="Arial"/>
          <w:lang w:val="en"/>
        </w:rPr>
      </w:pPr>
      <w:r w:rsidRPr="00465EE7">
        <w:rPr>
          <w:rFonts w:ascii="Arial" w:hAnsi="Arial" w:cs="Arial"/>
          <w:lang w:val="en"/>
        </w:rPr>
        <w:t xml:space="preserve">There are no data on the effect of rilpivirine on human male or female fertility. </w:t>
      </w:r>
    </w:p>
    <w:p w14:paraId="7B96CAD2" w14:textId="3F5A8FB0" w:rsidR="00465EE7" w:rsidRDefault="00465EE7" w:rsidP="00774CD0">
      <w:pPr>
        <w:rPr>
          <w:rFonts w:ascii="Arial" w:hAnsi="Arial" w:cs="Arial"/>
          <w:lang w:val="en"/>
        </w:rPr>
      </w:pPr>
      <w:r w:rsidRPr="00465EE7">
        <w:rPr>
          <w:rFonts w:ascii="Arial" w:hAnsi="Arial" w:cs="Arial"/>
          <w:lang w:val="en"/>
        </w:rPr>
        <w:t>In a study conducted in rats, there were no effects on mating or fertility with oral rilpivirine up to 400 mg/kg/day</w:t>
      </w:r>
      <w:r w:rsidR="00703724">
        <w:rPr>
          <w:rFonts w:ascii="Arial" w:hAnsi="Arial" w:cs="Arial"/>
          <w:lang w:val="en"/>
        </w:rPr>
        <w:t>.</w:t>
      </w:r>
    </w:p>
    <w:p w14:paraId="627AE441" w14:textId="77777777" w:rsidR="00071855" w:rsidRPr="005B1108" w:rsidRDefault="00071855" w:rsidP="00460C39">
      <w:pPr>
        <w:pStyle w:val="Heading3"/>
        <w:ind w:left="0"/>
        <w:rPr>
          <w:rFonts w:ascii="Arial" w:hAnsi="Arial" w:cs="Arial"/>
        </w:rPr>
      </w:pPr>
      <w:r w:rsidRPr="005B1108">
        <w:rPr>
          <w:rFonts w:ascii="Arial" w:hAnsi="Arial" w:cs="Arial"/>
        </w:rPr>
        <w:lastRenderedPageBreak/>
        <w:t>Use in pregnancy</w:t>
      </w:r>
    </w:p>
    <w:p w14:paraId="1F93835B" w14:textId="77777777" w:rsidR="001A3992" w:rsidRPr="005B1108" w:rsidRDefault="00071855" w:rsidP="00460C39">
      <w:pPr>
        <w:keepNext/>
        <w:keepLines/>
        <w:rPr>
          <w:rFonts w:ascii="Arial" w:hAnsi="Arial" w:cs="Arial"/>
          <w:b/>
          <w:lang w:val="en"/>
        </w:rPr>
      </w:pPr>
      <w:r w:rsidRPr="005B1108">
        <w:rPr>
          <w:rFonts w:ascii="Arial" w:hAnsi="Arial" w:cs="Arial"/>
          <w:b/>
          <w:lang w:val="en"/>
        </w:rPr>
        <w:t>(</w:t>
      </w:r>
      <w:r w:rsidR="005B2812" w:rsidRPr="005B1108">
        <w:rPr>
          <w:rFonts w:ascii="Arial" w:hAnsi="Arial" w:cs="Arial"/>
          <w:b/>
          <w:lang w:val="en"/>
        </w:rPr>
        <w:t>Pregnancy Category B</w:t>
      </w:r>
      <w:r w:rsidR="00FE721E">
        <w:rPr>
          <w:rFonts w:ascii="Arial" w:hAnsi="Arial" w:cs="Arial"/>
          <w:b/>
          <w:lang w:val="en"/>
        </w:rPr>
        <w:t>1</w:t>
      </w:r>
      <w:r w:rsidRPr="005B1108">
        <w:rPr>
          <w:rFonts w:ascii="Arial" w:hAnsi="Arial" w:cs="Arial"/>
          <w:b/>
          <w:lang w:val="en"/>
        </w:rPr>
        <w:t>)</w:t>
      </w:r>
    </w:p>
    <w:p w14:paraId="7923098E" w14:textId="57967A6E" w:rsidR="00C560EF" w:rsidRPr="005B1108" w:rsidRDefault="00C560EF" w:rsidP="00B93BAD">
      <w:pPr>
        <w:rPr>
          <w:rFonts w:ascii="Arial" w:hAnsi="Arial" w:cs="Arial"/>
          <w:lang w:val="en"/>
        </w:rPr>
      </w:pPr>
      <w:r w:rsidRPr="005B1108">
        <w:rPr>
          <w:rFonts w:ascii="Arial" w:hAnsi="Arial" w:cs="Arial"/>
          <w:lang w:val="en"/>
        </w:rPr>
        <w:t xml:space="preserve">There are no studies of cabotegravir </w:t>
      </w:r>
      <w:r w:rsidR="00465EE7">
        <w:rPr>
          <w:rFonts w:ascii="Arial" w:hAnsi="Arial" w:cs="Arial"/>
          <w:lang w:val="en"/>
        </w:rPr>
        <w:t xml:space="preserve">injection or rilpivirine injection </w:t>
      </w:r>
      <w:r w:rsidRPr="005B1108">
        <w:rPr>
          <w:rFonts w:ascii="Arial" w:hAnsi="Arial" w:cs="Arial"/>
          <w:lang w:val="en"/>
        </w:rPr>
        <w:t xml:space="preserve">in pregnant women. The effect of </w:t>
      </w:r>
      <w:r w:rsidR="00DC4D8B">
        <w:rPr>
          <w:rFonts w:ascii="Arial" w:hAnsi="Arial" w:cs="Arial"/>
          <w:lang w:val="en"/>
        </w:rPr>
        <w:t>CABENUVA</w:t>
      </w:r>
      <w:r w:rsidRPr="005B1108">
        <w:rPr>
          <w:rFonts w:ascii="Arial" w:hAnsi="Arial" w:cs="Arial"/>
          <w:lang w:val="en"/>
        </w:rPr>
        <w:t xml:space="preserve"> on human pregnancy is unknown.</w:t>
      </w:r>
    </w:p>
    <w:p w14:paraId="50328213" w14:textId="1047194C" w:rsidR="005B1108" w:rsidRPr="005B1108" w:rsidRDefault="00DC4D8B" w:rsidP="000D668F">
      <w:pPr>
        <w:rPr>
          <w:rFonts w:ascii="Arial" w:hAnsi="Arial" w:cs="Arial"/>
          <w:lang w:val="en"/>
        </w:rPr>
      </w:pPr>
      <w:r>
        <w:rPr>
          <w:rFonts w:ascii="Arial" w:hAnsi="Arial" w:cs="Arial"/>
          <w:lang w:val="en"/>
        </w:rPr>
        <w:t>CABENUVA</w:t>
      </w:r>
      <w:r w:rsidR="005B1108" w:rsidRPr="005B1108">
        <w:rPr>
          <w:rFonts w:ascii="Arial" w:hAnsi="Arial" w:cs="Arial"/>
          <w:lang w:val="en"/>
        </w:rPr>
        <w:t xml:space="preserve"> should be used during pregnancy only if the expected benefit justifies the potential risk to the fetus.</w:t>
      </w:r>
    </w:p>
    <w:p w14:paraId="3CB4E58C" w14:textId="12A24198" w:rsidR="005B1108" w:rsidRDefault="005B1108" w:rsidP="000D668F">
      <w:pPr>
        <w:rPr>
          <w:rFonts w:ascii="Arial" w:hAnsi="Arial" w:cs="Arial"/>
          <w:lang w:val="en"/>
        </w:rPr>
      </w:pPr>
      <w:r w:rsidRPr="005B1108">
        <w:rPr>
          <w:rFonts w:ascii="Arial" w:hAnsi="Arial" w:cs="Arial"/>
          <w:lang w:val="en"/>
        </w:rPr>
        <w:t xml:space="preserve">Cabotegravir </w:t>
      </w:r>
      <w:r w:rsidR="00465EE7">
        <w:rPr>
          <w:rFonts w:ascii="Arial" w:hAnsi="Arial" w:cs="Arial"/>
          <w:lang w:val="en"/>
        </w:rPr>
        <w:t xml:space="preserve">and rilpivirine </w:t>
      </w:r>
      <w:r w:rsidRPr="005B1108">
        <w:rPr>
          <w:rFonts w:ascii="Arial" w:hAnsi="Arial" w:cs="Arial"/>
          <w:lang w:val="en"/>
        </w:rPr>
        <w:t>ha</w:t>
      </w:r>
      <w:r w:rsidR="00465EE7">
        <w:rPr>
          <w:rFonts w:ascii="Arial" w:hAnsi="Arial" w:cs="Arial"/>
          <w:lang w:val="en"/>
        </w:rPr>
        <w:t>ve</w:t>
      </w:r>
      <w:r w:rsidRPr="005B1108">
        <w:rPr>
          <w:rFonts w:ascii="Arial" w:hAnsi="Arial" w:cs="Arial"/>
          <w:lang w:val="en"/>
        </w:rPr>
        <w:t xml:space="preserve"> been detected in systemic circulation for up to 12 months or longer after an injection, therefore, consideration should be given to the potential for fetal exposure during pregnancy (see section 4.4 SPECIAL WARNINGS AND PRECAUTIONS FOR USE).</w:t>
      </w:r>
      <w:r w:rsidR="00465EE7" w:rsidRPr="00465EE7">
        <w:rPr>
          <w:noProof/>
          <w:szCs w:val="24"/>
          <w:lang w:val="en-GB"/>
        </w:rPr>
        <w:t xml:space="preserve"> </w:t>
      </w:r>
      <w:r w:rsidR="00465EE7" w:rsidRPr="00465EE7">
        <w:rPr>
          <w:rFonts w:ascii="Arial" w:hAnsi="Arial" w:cs="Arial"/>
          <w:lang w:val="en"/>
        </w:rPr>
        <w:t>Lower exposures of oral rilpivirine were observed during pregnancy, therefore viral load should be monitored closely</w:t>
      </w:r>
      <w:r w:rsidR="00465EE7">
        <w:rPr>
          <w:rFonts w:ascii="Arial" w:hAnsi="Arial" w:cs="Arial"/>
          <w:lang w:val="en"/>
        </w:rPr>
        <w:t>.</w:t>
      </w:r>
    </w:p>
    <w:p w14:paraId="71EE69DF" w14:textId="626084C0" w:rsidR="007969A9" w:rsidRPr="005B1108" w:rsidRDefault="007969A9" w:rsidP="000D668F">
      <w:pPr>
        <w:rPr>
          <w:rFonts w:ascii="Arial" w:hAnsi="Arial" w:cs="Arial"/>
          <w:lang w:val="en"/>
        </w:rPr>
      </w:pPr>
      <w:r w:rsidRPr="00B25819">
        <w:rPr>
          <w:rFonts w:ascii="Arial" w:hAnsi="Arial" w:cs="Arial"/>
          <w:lang w:val="en"/>
        </w:rPr>
        <w:t>Cabotegravir crossed the placenta in pregnant rats and could be detected in fetal tissues. Cabotegravir was not teratogenic in rats at oral doses up to 1000 mg/kg/day (&gt;30 times the exposure in humans at the MRHD of 30 mg oral or 400 mg IM dose) but caused a delay in delivery that was associated with reduced survival and viability of rat offspring; there was no effect on survival when fetuses were delivered by caesarean section. Exposures at the NOAEL were at least 11 times the exposure in humans at the MRHD of 30 mg oral or 400 mg IM dose. The relevance to human pregnancy is unknown.</w:t>
      </w:r>
    </w:p>
    <w:p w14:paraId="77901BD7" w14:textId="08F470B6" w:rsidR="00465EE7" w:rsidRPr="00D82AE9" w:rsidRDefault="00D82AE9" w:rsidP="005B1108">
      <w:pPr>
        <w:rPr>
          <w:rFonts w:ascii="Arial" w:hAnsi="Arial" w:cs="Arial"/>
          <w:lang w:val="en"/>
        </w:rPr>
      </w:pPr>
      <w:r w:rsidRPr="00D82AE9">
        <w:rPr>
          <w:rFonts w:ascii="Arial" w:hAnsi="Arial" w:cs="Arial"/>
          <w:lang w:val="en"/>
        </w:rPr>
        <w:t>Studies in animals have shown no evidence of relevant embryonic or fetal toxicity or an effect on reproductive function</w:t>
      </w:r>
      <w:r>
        <w:rPr>
          <w:rFonts w:ascii="Arial" w:hAnsi="Arial" w:cs="Arial"/>
          <w:lang w:val="en"/>
        </w:rPr>
        <w:t xml:space="preserve"> with rilpivirine</w:t>
      </w:r>
      <w:r w:rsidRPr="00D82AE9">
        <w:rPr>
          <w:rFonts w:ascii="Arial" w:hAnsi="Arial" w:cs="Arial"/>
          <w:lang w:val="en"/>
        </w:rPr>
        <w:t xml:space="preserve">. </w:t>
      </w:r>
      <w:r w:rsidR="00465EE7" w:rsidRPr="00D82AE9">
        <w:rPr>
          <w:rFonts w:ascii="Arial" w:hAnsi="Arial" w:cs="Arial"/>
          <w:lang w:val="en"/>
        </w:rPr>
        <w:t>There was no teratogenicity with oral rilpivirine in rats and rabbits. The exposures at the embryo</w:t>
      </w:r>
      <w:r w:rsidR="00465EE7" w:rsidRPr="00D82AE9">
        <w:rPr>
          <w:rFonts w:ascii="Arial" w:hAnsi="Arial" w:cs="Arial"/>
          <w:lang w:val="en"/>
        </w:rPr>
        <w:noBreakHyphen/>
        <w:t xml:space="preserve">fetal No Observed Adverse Effects Levels (NOAELs) in rats and rabbits were respectively 15 and 70 times higher than the exposure in humans at the recommended dose of 25 mg </w:t>
      </w:r>
      <w:r w:rsidRPr="00D82AE9">
        <w:rPr>
          <w:rFonts w:ascii="Arial" w:hAnsi="Arial" w:cs="Arial"/>
          <w:lang w:val="en"/>
        </w:rPr>
        <w:t>once daily</w:t>
      </w:r>
      <w:r w:rsidR="00465EE7" w:rsidRPr="00D82AE9">
        <w:rPr>
          <w:rFonts w:ascii="Arial" w:hAnsi="Arial" w:cs="Arial"/>
          <w:lang w:val="en"/>
        </w:rPr>
        <w:t>.</w:t>
      </w:r>
      <w:r w:rsidRPr="00D82AE9">
        <w:rPr>
          <w:rFonts w:ascii="Arial" w:hAnsi="Arial" w:cs="Arial"/>
          <w:lang w:val="en"/>
        </w:rPr>
        <w:t xml:space="preserve"> </w:t>
      </w:r>
    </w:p>
    <w:p w14:paraId="2B44EB74" w14:textId="2494A420" w:rsidR="00D82AE9" w:rsidRPr="005B1108" w:rsidRDefault="00D82AE9" w:rsidP="005B1108">
      <w:pPr>
        <w:rPr>
          <w:rFonts w:ascii="Arial" w:hAnsi="Arial" w:cs="Arial"/>
          <w:lang w:val="en"/>
        </w:rPr>
      </w:pPr>
      <w:bookmarkStart w:id="19" w:name="_Hlk42104937"/>
      <w:r w:rsidRPr="00D82AE9">
        <w:rPr>
          <w:rFonts w:ascii="Arial" w:hAnsi="Arial" w:cs="Arial"/>
          <w:lang w:val="en"/>
        </w:rPr>
        <w:t>To monitor maternal-fetal outcomes of pregnant women, an Antiretroviral Pregnancy Registry has been established (</w:t>
      </w:r>
      <w:hyperlink r:id="rId12" w:history="1">
        <w:r w:rsidRPr="009C0AE5">
          <w:rPr>
            <w:rStyle w:val="Hyperlink"/>
            <w:rFonts w:ascii="Arial" w:hAnsi="Arial" w:cs="Arial"/>
            <w:lang w:val="en"/>
          </w:rPr>
          <w:t>http://www.apregistry.com</w:t>
        </w:r>
      </w:hyperlink>
      <w:r w:rsidRPr="00D82AE9">
        <w:rPr>
          <w:rFonts w:ascii="Arial" w:hAnsi="Arial" w:cs="Arial"/>
          <w:lang w:val="en"/>
        </w:rPr>
        <w:t>)</w:t>
      </w:r>
      <w:r>
        <w:rPr>
          <w:rFonts w:ascii="Arial" w:hAnsi="Arial" w:cs="Arial"/>
          <w:lang w:val="en"/>
        </w:rPr>
        <w:t xml:space="preserve"> for rilpivirine</w:t>
      </w:r>
      <w:r w:rsidR="00DB045B">
        <w:rPr>
          <w:rFonts w:ascii="Arial" w:hAnsi="Arial" w:cs="Arial"/>
          <w:lang w:val="en"/>
        </w:rPr>
        <w:t xml:space="preserve"> and cabotegravir</w:t>
      </w:r>
      <w:r w:rsidRPr="00D82AE9">
        <w:rPr>
          <w:rFonts w:ascii="Arial" w:hAnsi="Arial" w:cs="Arial"/>
          <w:lang w:val="en"/>
        </w:rPr>
        <w:t xml:space="preserve">. This is a voluntary prospective, exposure-registration, observational study designed to collect and evaluate data on the outcomes of pregnancy exposures to antiretroviral products. For rilpivirine, sufficient first trimester exposures are available to allow detection of at least a two-fold increase in risk of overall birth defects. </w:t>
      </w:r>
      <w:bookmarkEnd w:id="19"/>
      <w:r w:rsidRPr="00D82AE9">
        <w:rPr>
          <w:rFonts w:ascii="Arial" w:hAnsi="Arial" w:cs="Arial"/>
          <w:lang w:val="en"/>
        </w:rPr>
        <w:t>No such increases have been detected to date.</w:t>
      </w:r>
    </w:p>
    <w:p w14:paraId="45B95B65" w14:textId="77777777" w:rsidR="001A3992" w:rsidRPr="005B1108" w:rsidRDefault="001A3992" w:rsidP="005617F2">
      <w:pPr>
        <w:pStyle w:val="Heading3"/>
        <w:ind w:left="0"/>
        <w:rPr>
          <w:rFonts w:ascii="Arial" w:hAnsi="Arial" w:cs="Arial"/>
        </w:rPr>
      </w:pPr>
      <w:r w:rsidRPr="005B1108">
        <w:rPr>
          <w:rFonts w:ascii="Arial" w:hAnsi="Arial" w:cs="Arial"/>
        </w:rPr>
        <w:t>Use in</w:t>
      </w:r>
      <w:r w:rsidR="00071855" w:rsidRPr="005B1108">
        <w:rPr>
          <w:rFonts w:ascii="Arial" w:hAnsi="Arial" w:cs="Arial"/>
        </w:rPr>
        <w:t xml:space="preserve"> lactation</w:t>
      </w:r>
    </w:p>
    <w:p w14:paraId="72F40A2E" w14:textId="32B6816E" w:rsidR="000D5825" w:rsidRDefault="000D5825" w:rsidP="005B1108">
      <w:pPr>
        <w:rPr>
          <w:rFonts w:ascii="Arial" w:hAnsi="Arial" w:cs="Arial"/>
          <w:color w:val="000000"/>
        </w:rPr>
      </w:pPr>
      <w:r>
        <w:rPr>
          <w:rFonts w:ascii="Arial" w:eastAsia="Calibri" w:hAnsi="Arial" w:cs="Arial"/>
          <w:color w:val="000000"/>
          <w:lang w:val="en-CA"/>
        </w:rPr>
        <w:t xml:space="preserve">Health experts recommend that where possible </w:t>
      </w:r>
      <w:r w:rsidR="00636B40" w:rsidRPr="00AD7B12">
        <w:rPr>
          <w:rFonts w:ascii="Arial" w:eastAsia="Calibri" w:hAnsi="Arial" w:cs="Arial"/>
          <w:color w:val="000000"/>
          <w:lang w:val="en-CA"/>
        </w:rPr>
        <w:t xml:space="preserve">HIV 1 infected </w:t>
      </w:r>
      <w:r>
        <w:rPr>
          <w:rFonts w:ascii="Arial" w:eastAsia="Calibri" w:hAnsi="Arial" w:cs="Arial"/>
          <w:color w:val="000000"/>
          <w:lang w:val="en-CA"/>
        </w:rPr>
        <w:t>women should</w:t>
      </w:r>
      <w:r w:rsidR="00636B40" w:rsidRPr="00AD7B12">
        <w:rPr>
          <w:rFonts w:ascii="Arial" w:eastAsia="Calibri" w:hAnsi="Arial" w:cs="Arial"/>
          <w:color w:val="000000"/>
          <w:lang w:val="en-CA"/>
        </w:rPr>
        <w:t xml:space="preserve"> not breastfeed their infants </w:t>
      </w:r>
      <w:r>
        <w:rPr>
          <w:rFonts w:ascii="Arial" w:eastAsia="Calibri" w:hAnsi="Arial" w:cs="Arial"/>
          <w:color w:val="000000"/>
          <w:lang w:val="en-CA"/>
        </w:rPr>
        <w:t xml:space="preserve">in order </w:t>
      </w:r>
      <w:r w:rsidR="00636B40" w:rsidRPr="00AD7B12">
        <w:rPr>
          <w:rFonts w:ascii="Arial" w:eastAsia="Calibri" w:hAnsi="Arial" w:cs="Arial"/>
          <w:color w:val="000000"/>
          <w:lang w:val="en-CA"/>
        </w:rPr>
        <w:t>to avoid transmission of HIV-1.</w:t>
      </w:r>
      <w:r w:rsidR="00D6566C">
        <w:rPr>
          <w:rFonts w:ascii="Arial" w:eastAsia="Calibri" w:hAnsi="Arial" w:cs="Arial"/>
          <w:color w:val="000000"/>
          <w:lang w:val="en-CA"/>
        </w:rPr>
        <w:t xml:space="preserve"> </w:t>
      </w:r>
      <w:r>
        <w:rPr>
          <w:rFonts w:ascii="Arial" w:eastAsia="Calibri" w:hAnsi="Arial" w:cs="Arial"/>
          <w:color w:val="000000"/>
          <w:lang w:val="en-CA"/>
        </w:rPr>
        <w:t>In settings where formula feeding is not feasible, local official lactation and treatment guidelines should be followed when considering breast feeding during antiretroviral therapy</w:t>
      </w:r>
      <w:r w:rsidR="00636B40" w:rsidRPr="00AD7B12">
        <w:rPr>
          <w:rFonts w:ascii="Arial" w:hAnsi="Arial" w:cs="Arial"/>
          <w:color w:val="000000"/>
        </w:rPr>
        <w:t xml:space="preserve">. </w:t>
      </w:r>
    </w:p>
    <w:p w14:paraId="17377469" w14:textId="28A9EB45" w:rsidR="005B1108" w:rsidRPr="005B1108" w:rsidRDefault="005B1108" w:rsidP="005B1108">
      <w:pPr>
        <w:rPr>
          <w:rFonts w:ascii="Arial" w:hAnsi="Arial" w:cs="Arial"/>
          <w:lang w:val="en"/>
        </w:rPr>
      </w:pPr>
      <w:r w:rsidRPr="005B1108">
        <w:rPr>
          <w:rFonts w:ascii="Arial" w:hAnsi="Arial" w:cs="Arial"/>
          <w:lang w:val="en"/>
        </w:rPr>
        <w:t xml:space="preserve">It is expected that cabotegravir </w:t>
      </w:r>
      <w:r w:rsidR="00D82AE9">
        <w:rPr>
          <w:rFonts w:ascii="Arial" w:hAnsi="Arial" w:cs="Arial"/>
          <w:lang w:val="en"/>
        </w:rPr>
        <w:t xml:space="preserve">and rilpivirine </w:t>
      </w:r>
      <w:r w:rsidRPr="005B1108">
        <w:rPr>
          <w:rFonts w:ascii="Arial" w:hAnsi="Arial" w:cs="Arial"/>
          <w:lang w:val="en"/>
        </w:rPr>
        <w:t xml:space="preserve">will be secreted into human milk based on animal data, although this has not been confirmed in humans. Cabotegravir </w:t>
      </w:r>
      <w:r w:rsidR="00D82AE9">
        <w:rPr>
          <w:rFonts w:ascii="Arial" w:hAnsi="Arial" w:cs="Arial"/>
          <w:lang w:val="en"/>
        </w:rPr>
        <w:t xml:space="preserve"> and rilpivirine </w:t>
      </w:r>
      <w:r w:rsidRPr="005B1108">
        <w:rPr>
          <w:rFonts w:ascii="Arial" w:hAnsi="Arial" w:cs="Arial"/>
          <w:lang w:val="en"/>
        </w:rPr>
        <w:t xml:space="preserve">may be present in human milk for up to 12 months or longer after the last cabotegravir </w:t>
      </w:r>
      <w:r w:rsidR="00D82AE9">
        <w:rPr>
          <w:rFonts w:ascii="Arial" w:hAnsi="Arial" w:cs="Arial"/>
          <w:lang w:val="en"/>
        </w:rPr>
        <w:t xml:space="preserve">or rilpivirine </w:t>
      </w:r>
      <w:r w:rsidRPr="005B1108">
        <w:rPr>
          <w:rFonts w:ascii="Arial" w:hAnsi="Arial" w:cs="Arial"/>
          <w:lang w:val="en"/>
        </w:rPr>
        <w:t>injection.</w:t>
      </w:r>
    </w:p>
    <w:p w14:paraId="457990A0" w14:textId="77777777" w:rsidR="001A3992" w:rsidRPr="00071855" w:rsidRDefault="00071855" w:rsidP="00923029">
      <w:pPr>
        <w:pStyle w:val="Heading2"/>
        <w:numPr>
          <w:ilvl w:val="1"/>
          <w:numId w:val="35"/>
        </w:numPr>
        <w:spacing w:before="0" w:after="120"/>
        <w:rPr>
          <w:rFonts w:ascii="Arial" w:hAnsi="Arial" w:cs="Arial"/>
          <w:smallCaps w:val="0"/>
        </w:rPr>
      </w:pPr>
      <w:r w:rsidRPr="00071855">
        <w:rPr>
          <w:rFonts w:ascii="Arial" w:hAnsi="Arial" w:cs="Arial"/>
          <w:smallCaps w:val="0"/>
        </w:rPr>
        <w:lastRenderedPageBreak/>
        <w:t xml:space="preserve">EFFECTS ON ABILITY TO DRIVE AND USE MACHINES </w:t>
      </w:r>
    </w:p>
    <w:p w14:paraId="63AE119B" w14:textId="55C9085D" w:rsidR="000D5825" w:rsidRPr="000D5825" w:rsidRDefault="000D5825" w:rsidP="000D5825">
      <w:pPr>
        <w:rPr>
          <w:rFonts w:ascii="Arial" w:hAnsi="Arial" w:cs="Arial"/>
          <w:lang w:val="en"/>
        </w:rPr>
      </w:pPr>
      <w:bookmarkStart w:id="20" w:name="_Hlk6230953"/>
      <w:r>
        <w:rPr>
          <w:rFonts w:ascii="Arial" w:hAnsi="Arial" w:cs="Arial"/>
          <w:lang w:val="en"/>
        </w:rPr>
        <w:t xml:space="preserve">There have been no studies to investigate the effect of cabotegravir </w:t>
      </w:r>
      <w:r w:rsidR="002A4CE1">
        <w:rPr>
          <w:rFonts w:ascii="Arial" w:hAnsi="Arial" w:cs="Arial"/>
          <w:lang w:val="en"/>
        </w:rPr>
        <w:t xml:space="preserve">or rilpivirine injection </w:t>
      </w:r>
      <w:r>
        <w:rPr>
          <w:rFonts w:ascii="Arial" w:hAnsi="Arial" w:cs="Arial"/>
          <w:lang w:val="en"/>
        </w:rPr>
        <w:t>on driving performance or the ability to operate machinery.</w:t>
      </w:r>
      <w:r w:rsidRPr="000D5825">
        <w:rPr>
          <w:rFonts w:ascii="Arial" w:hAnsi="Arial" w:cs="Arial"/>
          <w:lang w:val="en"/>
        </w:rPr>
        <w:t xml:space="preserve"> The clinical status of the patient and the adverse </w:t>
      </w:r>
      <w:r>
        <w:rPr>
          <w:rFonts w:ascii="Arial" w:hAnsi="Arial" w:cs="Arial"/>
          <w:lang w:val="en"/>
        </w:rPr>
        <w:t>event</w:t>
      </w:r>
      <w:r w:rsidRPr="000D5825">
        <w:rPr>
          <w:rFonts w:ascii="Arial" w:hAnsi="Arial" w:cs="Arial"/>
          <w:lang w:val="en"/>
        </w:rPr>
        <w:t xml:space="preserve"> profile of </w:t>
      </w:r>
      <w:r w:rsidR="00DC4D8B">
        <w:rPr>
          <w:rFonts w:ascii="Arial" w:hAnsi="Arial" w:cs="Arial"/>
          <w:lang w:val="en"/>
        </w:rPr>
        <w:t>CABENUVA</w:t>
      </w:r>
      <w:r w:rsidRPr="000D5825">
        <w:rPr>
          <w:rFonts w:ascii="Arial" w:hAnsi="Arial" w:cs="Arial"/>
          <w:lang w:val="en"/>
        </w:rPr>
        <w:t xml:space="preserve"> should be borne in mind when considering the patient's ability to drive or operate machinery.</w:t>
      </w:r>
    </w:p>
    <w:bookmarkEnd w:id="20"/>
    <w:p w14:paraId="27E64C17" w14:textId="77777777" w:rsidR="001A3992" w:rsidRPr="00071855" w:rsidRDefault="00071855" w:rsidP="00923029">
      <w:pPr>
        <w:pStyle w:val="Heading2"/>
        <w:numPr>
          <w:ilvl w:val="1"/>
          <w:numId w:val="35"/>
        </w:numPr>
        <w:spacing w:before="0" w:after="120"/>
        <w:rPr>
          <w:rFonts w:ascii="Arial" w:hAnsi="Arial" w:cs="Arial"/>
          <w:smallCaps w:val="0"/>
        </w:rPr>
      </w:pPr>
      <w:r w:rsidRPr="00071855">
        <w:rPr>
          <w:rFonts w:ascii="Arial" w:hAnsi="Arial" w:cs="Arial"/>
          <w:smallCaps w:val="0"/>
        </w:rPr>
        <w:t>ADVERSE EFFECTS (UNDESIRABLE EFFECTS)</w:t>
      </w:r>
    </w:p>
    <w:p w14:paraId="4901CD98" w14:textId="0408FC56" w:rsidR="006E595D" w:rsidRDefault="000D5825" w:rsidP="005617F2">
      <w:pPr>
        <w:pStyle w:val="Heading3"/>
        <w:ind w:left="0"/>
        <w:rPr>
          <w:rFonts w:ascii="Arial" w:hAnsi="Arial" w:cs="Arial"/>
        </w:rPr>
      </w:pPr>
      <w:r w:rsidRPr="00D26973">
        <w:rPr>
          <w:rFonts w:ascii="Arial" w:hAnsi="Arial" w:cs="Arial"/>
        </w:rPr>
        <w:t xml:space="preserve">Clinical </w:t>
      </w:r>
      <w:r w:rsidR="00EC1C0B">
        <w:rPr>
          <w:rFonts w:ascii="Arial" w:hAnsi="Arial" w:cs="Arial"/>
        </w:rPr>
        <w:t>t</w:t>
      </w:r>
      <w:r w:rsidRPr="00D26973">
        <w:rPr>
          <w:rFonts w:ascii="Arial" w:hAnsi="Arial" w:cs="Arial"/>
        </w:rPr>
        <w:t xml:space="preserve">rial </w:t>
      </w:r>
      <w:r w:rsidR="00EC1C0B">
        <w:rPr>
          <w:rFonts w:ascii="Arial" w:hAnsi="Arial" w:cs="Arial"/>
        </w:rPr>
        <w:t>d</w:t>
      </w:r>
      <w:r w:rsidRPr="00D26973">
        <w:rPr>
          <w:rFonts w:ascii="Arial" w:hAnsi="Arial" w:cs="Arial"/>
        </w:rPr>
        <w:t>ata</w:t>
      </w:r>
    </w:p>
    <w:p w14:paraId="653925BF" w14:textId="25022DCE" w:rsidR="00D26973" w:rsidRDefault="00D26973" w:rsidP="000D668F">
      <w:pPr>
        <w:rPr>
          <w:rFonts w:ascii="Arial" w:eastAsia="Calibri" w:hAnsi="Arial" w:cs="Arial"/>
          <w:lang w:val="en-CA"/>
        </w:rPr>
      </w:pPr>
      <w:r>
        <w:rPr>
          <w:rFonts w:ascii="Arial" w:hAnsi="Arial" w:cs="Arial"/>
          <w:lang w:val="en"/>
        </w:rPr>
        <w:t xml:space="preserve">The safety </w:t>
      </w:r>
      <w:r w:rsidRPr="00AD7B12">
        <w:rPr>
          <w:rFonts w:ascii="Arial" w:eastAsia="Calibri" w:hAnsi="Arial" w:cs="Arial"/>
          <w:lang w:val="en-CA"/>
        </w:rPr>
        <w:t xml:space="preserve">assessment of </w:t>
      </w:r>
      <w:r w:rsidR="00DC4D8B">
        <w:rPr>
          <w:rFonts w:ascii="Arial" w:eastAsia="Calibri" w:hAnsi="Arial" w:cs="Arial"/>
          <w:lang w:val="en-CA"/>
        </w:rPr>
        <w:t>CABENUVA</w:t>
      </w:r>
      <w:r w:rsidR="005E6339">
        <w:rPr>
          <w:rFonts w:ascii="Arial" w:eastAsia="Calibri" w:hAnsi="Arial" w:cs="Arial"/>
          <w:lang w:val="en-CA"/>
        </w:rPr>
        <w:t xml:space="preserve"> given monthly</w:t>
      </w:r>
      <w:r w:rsidRPr="00AD7B12">
        <w:rPr>
          <w:rFonts w:ascii="Arial" w:eastAsia="Calibri" w:hAnsi="Arial" w:cs="Arial"/>
          <w:lang w:val="en-CA"/>
        </w:rPr>
        <w:t xml:space="preserve"> in HIV-1-infected, </w:t>
      </w:r>
      <w:proofErr w:type="spellStart"/>
      <w:r w:rsidRPr="00AD7B12">
        <w:rPr>
          <w:rFonts w:ascii="Arial" w:eastAsia="Calibri" w:hAnsi="Arial" w:cs="Arial"/>
          <w:lang w:val="en-CA"/>
        </w:rPr>
        <w:t>virologically</w:t>
      </w:r>
      <w:proofErr w:type="spellEnd"/>
      <w:r w:rsidRPr="00AD7B12">
        <w:rPr>
          <w:rFonts w:ascii="Arial" w:eastAsia="Calibri" w:hAnsi="Arial" w:cs="Arial"/>
          <w:lang w:val="en-CA"/>
        </w:rPr>
        <w:t xml:space="preserve"> suppressed patients is based on pooled primary Week 48 analyses of data from </w:t>
      </w:r>
      <w:r>
        <w:rPr>
          <w:rFonts w:ascii="Arial" w:eastAsia="Calibri" w:hAnsi="Arial" w:cs="Arial"/>
          <w:lang w:val="en-CA"/>
        </w:rPr>
        <w:t>two</w:t>
      </w:r>
      <w:r w:rsidRPr="00AD7B12">
        <w:rPr>
          <w:rFonts w:ascii="Arial" w:eastAsia="Calibri" w:hAnsi="Arial" w:cs="Arial"/>
          <w:lang w:val="en-CA"/>
        </w:rPr>
        <w:t xml:space="preserve"> international, multicenter open-label </w:t>
      </w:r>
      <w:r w:rsidR="00EC1C0B">
        <w:rPr>
          <w:rFonts w:ascii="Arial" w:eastAsia="Calibri" w:hAnsi="Arial" w:cs="Arial"/>
          <w:lang w:val="en-CA"/>
        </w:rPr>
        <w:t>studies</w:t>
      </w:r>
      <w:r w:rsidRPr="00AD7B12">
        <w:rPr>
          <w:rFonts w:ascii="Arial" w:eastAsia="Calibri" w:hAnsi="Arial" w:cs="Arial"/>
          <w:lang w:val="en-CA"/>
        </w:rPr>
        <w:t>: FLAIR and ATLAS.</w:t>
      </w:r>
    </w:p>
    <w:p w14:paraId="67009C98" w14:textId="21E63BDB" w:rsidR="00D26973" w:rsidRDefault="00D26973" w:rsidP="00D26973">
      <w:pPr>
        <w:contextualSpacing/>
        <w:rPr>
          <w:rFonts w:ascii="Arial" w:hAnsi="Arial" w:cs="Arial"/>
        </w:rPr>
      </w:pPr>
      <w:r>
        <w:rPr>
          <w:rFonts w:ascii="Arial" w:hAnsi="Arial" w:cs="Arial"/>
        </w:rPr>
        <w:t xml:space="preserve">In FLAIR and ATLAS, a total of 1,182 HIV-1 infected patients were </w:t>
      </w:r>
      <w:r w:rsidRPr="00564B63">
        <w:rPr>
          <w:rFonts w:ascii="Arial" w:hAnsi="Arial" w:cs="Arial"/>
        </w:rPr>
        <w:t xml:space="preserve">randomized to receive either a cabotegravir plus rilpivirine regimen or remain on their baseline antiretroviral regimen. </w:t>
      </w:r>
      <w:r>
        <w:rPr>
          <w:rFonts w:ascii="Arial" w:hAnsi="Arial" w:cs="Arial"/>
        </w:rPr>
        <w:t>Patients</w:t>
      </w:r>
      <w:r w:rsidRPr="00564B63">
        <w:rPr>
          <w:rFonts w:ascii="Arial" w:hAnsi="Arial" w:cs="Arial"/>
        </w:rPr>
        <w:t xml:space="preserve"> randomized to receive the cabotegravir plus rilpivirine regimen</w:t>
      </w:r>
      <w:r>
        <w:rPr>
          <w:rFonts w:ascii="Arial" w:hAnsi="Arial" w:cs="Arial"/>
        </w:rPr>
        <w:t>,</w:t>
      </w:r>
      <w:r w:rsidRPr="00564B63">
        <w:rPr>
          <w:rFonts w:ascii="Arial" w:hAnsi="Arial" w:cs="Arial"/>
        </w:rPr>
        <w:t xml:space="preserve"> initiated treatment with daily oral lead-in dosing with one 30</w:t>
      </w:r>
      <w:r w:rsidR="00BF5823">
        <w:rPr>
          <w:rFonts w:ascii="Arial" w:hAnsi="Arial" w:cs="Arial"/>
        </w:rPr>
        <w:t xml:space="preserve"> </w:t>
      </w:r>
      <w:r w:rsidRPr="00564B63">
        <w:rPr>
          <w:rFonts w:ascii="Arial" w:hAnsi="Arial" w:cs="Arial"/>
        </w:rPr>
        <w:t>mg cabotegravir tablet</w:t>
      </w:r>
      <w:r>
        <w:rPr>
          <w:rFonts w:ascii="Arial" w:hAnsi="Arial" w:cs="Arial"/>
        </w:rPr>
        <w:t xml:space="preserve"> </w:t>
      </w:r>
      <w:r w:rsidR="002A4CE1">
        <w:rPr>
          <w:rFonts w:ascii="Arial" w:hAnsi="Arial" w:cs="Arial"/>
        </w:rPr>
        <w:t xml:space="preserve">(VOCABRIA) </w:t>
      </w:r>
      <w:r w:rsidRPr="00564B63">
        <w:rPr>
          <w:rFonts w:ascii="Arial" w:hAnsi="Arial" w:cs="Arial"/>
        </w:rPr>
        <w:t>plus one 25</w:t>
      </w:r>
      <w:r w:rsidR="00BF5823">
        <w:rPr>
          <w:rFonts w:ascii="Arial" w:hAnsi="Arial" w:cs="Arial"/>
        </w:rPr>
        <w:t xml:space="preserve"> </w:t>
      </w:r>
      <w:r w:rsidRPr="00564B63">
        <w:rPr>
          <w:rFonts w:ascii="Arial" w:hAnsi="Arial" w:cs="Arial"/>
        </w:rPr>
        <w:t>mg rilpivirine tablet</w:t>
      </w:r>
      <w:r>
        <w:rPr>
          <w:rFonts w:ascii="Arial" w:hAnsi="Arial" w:cs="Arial"/>
        </w:rPr>
        <w:t xml:space="preserve"> (EDURANT)</w:t>
      </w:r>
      <w:r w:rsidRPr="00564B63">
        <w:rPr>
          <w:rFonts w:ascii="Arial" w:hAnsi="Arial" w:cs="Arial"/>
        </w:rPr>
        <w:t xml:space="preserve"> for at least 4 weeks</w:t>
      </w:r>
      <w:r>
        <w:rPr>
          <w:rFonts w:ascii="Arial" w:hAnsi="Arial" w:cs="Arial"/>
        </w:rPr>
        <w:t xml:space="preserve"> </w:t>
      </w:r>
      <w:r w:rsidRPr="00564B63">
        <w:rPr>
          <w:rFonts w:ascii="Arial" w:hAnsi="Arial" w:cs="Arial"/>
        </w:rPr>
        <w:t>followed by treatment with cabotegravir injection plus rilpivirine injection</w:t>
      </w:r>
      <w:r>
        <w:rPr>
          <w:rFonts w:ascii="Arial" w:hAnsi="Arial" w:cs="Arial"/>
        </w:rPr>
        <w:t xml:space="preserve"> </w:t>
      </w:r>
      <w:r w:rsidRPr="00564B63">
        <w:rPr>
          <w:rFonts w:ascii="Arial" w:hAnsi="Arial" w:cs="Arial"/>
        </w:rPr>
        <w:t xml:space="preserve">for </w:t>
      </w:r>
      <w:r>
        <w:rPr>
          <w:rFonts w:ascii="Arial" w:hAnsi="Arial" w:cs="Arial"/>
        </w:rPr>
        <w:t xml:space="preserve">at least </w:t>
      </w:r>
      <w:r w:rsidRPr="00564B63">
        <w:rPr>
          <w:rFonts w:ascii="Arial" w:hAnsi="Arial" w:cs="Arial"/>
        </w:rPr>
        <w:t>an additional 44 weeks.</w:t>
      </w:r>
      <w:r w:rsidR="00F92D56">
        <w:rPr>
          <w:rFonts w:ascii="Arial" w:hAnsi="Arial" w:cs="Arial"/>
        </w:rPr>
        <w:t xml:space="preserve"> </w:t>
      </w:r>
    </w:p>
    <w:p w14:paraId="6CD33A79" w14:textId="7E772BD7" w:rsidR="005E6339" w:rsidRDefault="005E6339" w:rsidP="00D26973">
      <w:pPr>
        <w:contextualSpacing/>
        <w:rPr>
          <w:rFonts w:ascii="Arial" w:hAnsi="Arial" w:cs="Arial"/>
        </w:rPr>
      </w:pPr>
    </w:p>
    <w:p w14:paraId="3CD9C8EC" w14:textId="5EADD885" w:rsidR="005E6339" w:rsidRPr="00763708" w:rsidRDefault="005E6339" w:rsidP="00B93BAD">
      <w:pPr>
        <w:autoSpaceDE w:val="0"/>
        <w:autoSpaceDN w:val="0"/>
        <w:adjustRightInd w:val="0"/>
        <w:rPr>
          <w:rFonts w:ascii="Arial" w:hAnsi="Arial" w:cs="Arial"/>
        </w:rPr>
      </w:pPr>
      <w:r w:rsidRPr="00763708">
        <w:rPr>
          <w:rFonts w:ascii="Arial" w:hAnsi="Arial" w:cs="Arial"/>
          <w:szCs w:val="24"/>
        </w:rPr>
        <w:t xml:space="preserve">The </w:t>
      </w:r>
      <w:r w:rsidRPr="00763708">
        <w:rPr>
          <w:rFonts w:ascii="Arial" w:hAnsi="Arial" w:cs="Arial"/>
        </w:rPr>
        <w:t xml:space="preserve">safety </w:t>
      </w:r>
      <w:r w:rsidR="00E1151C" w:rsidRPr="00492682">
        <w:rPr>
          <w:rFonts w:ascii="Arial" w:hAnsi="Arial" w:cs="Arial"/>
        </w:rPr>
        <w:t xml:space="preserve">assessment </w:t>
      </w:r>
      <w:r w:rsidRPr="00763708">
        <w:rPr>
          <w:rFonts w:ascii="Arial" w:hAnsi="Arial" w:cs="Arial"/>
        </w:rPr>
        <w:t xml:space="preserve">of CABENUVA given every 2 months, </w:t>
      </w:r>
      <w:r w:rsidR="004558F2" w:rsidRPr="00492682">
        <w:rPr>
          <w:rFonts w:ascii="Arial" w:hAnsi="Arial" w:cs="Arial"/>
        </w:rPr>
        <w:t>is based on Week 48 analyses of data from</w:t>
      </w:r>
      <w:r w:rsidRPr="00763708">
        <w:rPr>
          <w:rFonts w:ascii="Arial" w:hAnsi="Arial" w:cs="Arial"/>
        </w:rPr>
        <w:t xml:space="preserve"> one Phase </w:t>
      </w:r>
      <w:proofErr w:type="spellStart"/>
      <w:r w:rsidRPr="00763708">
        <w:rPr>
          <w:rFonts w:ascii="Arial" w:hAnsi="Arial" w:cs="Arial"/>
        </w:rPr>
        <w:t>IIIb</w:t>
      </w:r>
      <w:proofErr w:type="spellEnd"/>
      <w:r w:rsidRPr="00763708">
        <w:rPr>
          <w:rFonts w:ascii="Arial" w:hAnsi="Arial" w:cs="Arial"/>
        </w:rPr>
        <w:t xml:space="preserve"> </w:t>
      </w:r>
      <w:r w:rsidR="004558F2" w:rsidRPr="00492682">
        <w:rPr>
          <w:rFonts w:ascii="Arial" w:hAnsi="Arial" w:cs="Arial"/>
        </w:rPr>
        <w:t>international</w:t>
      </w:r>
      <w:r w:rsidRPr="00763708">
        <w:rPr>
          <w:rFonts w:ascii="Arial" w:hAnsi="Arial" w:cs="Arial"/>
        </w:rPr>
        <w:t>, multicentre</w:t>
      </w:r>
      <w:r w:rsidR="004558F2" w:rsidRPr="00492682">
        <w:rPr>
          <w:rFonts w:ascii="Arial" w:hAnsi="Arial" w:cs="Arial"/>
        </w:rPr>
        <w:t xml:space="preserve"> </w:t>
      </w:r>
      <w:r w:rsidRPr="00763708">
        <w:rPr>
          <w:rFonts w:ascii="Arial" w:hAnsi="Arial" w:cs="Arial"/>
        </w:rPr>
        <w:t>open-label</w:t>
      </w:r>
      <w:r w:rsidR="004558F2" w:rsidRPr="00492682">
        <w:rPr>
          <w:rFonts w:ascii="Arial" w:hAnsi="Arial" w:cs="Arial"/>
        </w:rPr>
        <w:t xml:space="preserve"> study,</w:t>
      </w:r>
      <w:r w:rsidRPr="00763708">
        <w:rPr>
          <w:rFonts w:ascii="Arial" w:hAnsi="Arial" w:cs="Arial"/>
        </w:rPr>
        <w:t xml:space="preserve"> ATLAS-2M. </w:t>
      </w:r>
    </w:p>
    <w:p w14:paraId="13C25910" w14:textId="65D16268" w:rsidR="00E1151C" w:rsidRPr="003D39DC" w:rsidRDefault="00E1151C" w:rsidP="00B93BAD">
      <w:pPr>
        <w:autoSpaceDE w:val="0"/>
        <w:autoSpaceDN w:val="0"/>
        <w:adjustRightInd w:val="0"/>
        <w:rPr>
          <w:rFonts w:ascii="Arial" w:hAnsi="Arial" w:cs="Arial"/>
        </w:rPr>
      </w:pPr>
      <w:r w:rsidRPr="00763708">
        <w:rPr>
          <w:rFonts w:ascii="Arial" w:hAnsi="Arial" w:cs="Arial"/>
        </w:rPr>
        <w:t xml:space="preserve">In ATLAS-2M, 1045 HIV-1 infected, ART experienced, virologically suppressed subjects were randomised and received a cabotegravir plus rilpivirine injection regimen administered either every 2 months or monthly. Subjects initially on non-CAB/RPV treatment received oral lead-in treatment comprising one cabotegravir 30 mg tablet </w:t>
      </w:r>
      <w:r w:rsidR="004558F2">
        <w:rPr>
          <w:rFonts w:ascii="Arial" w:hAnsi="Arial" w:cs="Arial"/>
        </w:rPr>
        <w:t xml:space="preserve">(VOCABRIA) </w:t>
      </w:r>
      <w:r w:rsidRPr="00763708">
        <w:rPr>
          <w:rFonts w:ascii="Arial" w:hAnsi="Arial" w:cs="Arial"/>
        </w:rPr>
        <w:t>plus one rilpivirine 25 mg tablet</w:t>
      </w:r>
      <w:r w:rsidR="004558F2" w:rsidRPr="00763708">
        <w:rPr>
          <w:rFonts w:ascii="Arial" w:hAnsi="Arial" w:cs="Arial"/>
        </w:rPr>
        <w:t xml:space="preserve"> </w:t>
      </w:r>
      <w:r w:rsidR="004558F2">
        <w:rPr>
          <w:rFonts w:ascii="Arial" w:hAnsi="Arial" w:cs="Arial"/>
        </w:rPr>
        <w:t>(EDURANT)</w:t>
      </w:r>
      <w:r w:rsidRPr="00763708">
        <w:rPr>
          <w:rFonts w:ascii="Arial" w:hAnsi="Arial" w:cs="Arial"/>
        </w:rPr>
        <w:t xml:space="preserve">, daily, for at least 4 weeks. Subjects randomised to monthly cabotegravir injections and rilpivirine injections received treatment for an additional 44 weeks. Subjects randomised to every 2 month cabotegravir injections and rilpivirine injections for an additional 44 weeks. </w:t>
      </w:r>
    </w:p>
    <w:p w14:paraId="1D845587" w14:textId="29944187" w:rsidR="00D26973" w:rsidRPr="005617F2" w:rsidRDefault="001359F2" w:rsidP="005617F2">
      <w:pPr>
        <w:pStyle w:val="Heading4"/>
        <w:rPr>
          <w:rFonts w:ascii="Arial" w:hAnsi="Arial" w:cs="Arial"/>
          <w:color w:val="auto"/>
        </w:rPr>
      </w:pPr>
      <w:r w:rsidRPr="005617F2">
        <w:rPr>
          <w:rFonts w:ascii="Arial" w:hAnsi="Arial" w:cs="Arial"/>
          <w:color w:val="auto"/>
        </w:rPr>
        <w:t xml:space="preserve">Adverse </w:t>
      </w:r>
      <w:r w:rsidR="00EC1C0B">
        <w:rPr>
          <w:rFonts w:ascii="Arial" w:hAnsi="Arial" w:cs="Arial"/>
          <w:color w:val="auto"/>
        </w:rPr>
        <w:t>e</w:t>
      </w:r>
      <w:r w:rsidRPr="005617F2">
        <w:rPr>
          <w:rFonts w:ascii="Arial" w:hAnsi="Arial" w:cs="Arial"/>
          <w:color w:val="auto"/>
        </w:rPr>
        <w:t>vents</w:t>
      </w:r>
    </w:p>
    <w:p w14:paraId="78D1DB81" w14:textId="2739807A" w:rsidR="001359F2" w:rsidRDefault="008D6D88" w:rsidP="00D26973">
      <w:pPr>
        <w:rPr>
          <w:rFonts w:ascii="Arial" w:hAnsi="Arial" w:cs="Arial"/>
          <w:lang w:val="en"/>
        </w:rPr>
      </w:pPr>
      <w:r w:rsidRPr="008D6D88">
        <w:rPr>
          <w:rFonts w:ascii="Arial" w:hAnsi="Arial" w:cs="Arial"/>
          <w:lang w:val="en"/>
        </w:rPr>
        <w:t xml:space="preserve">For many of the adverse events listed in Table </w:t>
      </w:r>
      <w:r w:rsidR="00936270">
        <w:rPr>
          <w:rFonts w:ascii="Arial" w:hAnsi="Arial" w:cs="Arial"/>
          <w:lang w:val="en"/>
        </w:rPr>
        <w:t>7</w:t>
      </w:r>
      <w:r w:rsidRPr="008D6D88">
        <w:rPr>
          <w:rFonts w:ascii="Arial" w:hAnsi="Arial" w:cs="Arial"/>
          <w:lang w:val="en"/>
        </w:rPr>
        <w:t>, it is unclear whether they are related to the active substance, the wide range of other medicinal products used in the management of HIV infection, or whether they are a result of the underlying disease process</w:t>
      </w:r>
    </w:p>
    <w:p w14:paraId="25DEDE4C" w14:textId="544B3D3E" w:rsidR="008D6D88" w:rsidRDefault="008D6D88" w:rsidP="00D26973">
      <w:pPr>
        <w:rPr>
          <w:rFonts w:ascii="Arial" w:hAnsi="Arial" w:cs="Arial"/>
          <w:highlight w:val="yellow"/>
          <w:lang w:val="en"/>
        </w:rPr>
      </w:pPr>
      <w:r w:rsidRPr="00BB01FF">
        <w:rPr>
          <w:rFonts w:ascii="Arial" w:hAnsi="Arial" w:cs="Arial"/>
          <w:lang w:val="en"/>
        </w:rPr>
        <w:t xml:space="preserve">The most common adverse events reported in </w:t>
      </w:r>
      <w:r w:rsidR="00BB01FF">
        <w:rPr>
          <w:rFonts w:ascii="Arial" w:hAnsi="Arial" w:cs="Arial"/>
          <w:lang w:val="en"/>
        </w:rPr>
        <w:t xml:space="preserve">greater than </w:t>
      </w:r>
      <w:r w:rsidR="00354E64" w:rsidRPr="00BB01FF">
        <w:rPr>
          <w:rFonts w:ascii="Arial" w:hAnsi="Arial" w:cs="Arial"/>
          <w:lang w:val="en"/>
        </w:rPr>
        <w:t>10</w:t>
      </w:r>
      <w:r w:rsidRPr="00BB01FF">
        <w:rPr>
          <w:rFonts w:ascii="Arial" w:hAnsi="Arial" w:cs="Arial"/>
          <w:lang w:val="en"/>
        </w:rPr>
        <w:t xml:space="preserve">% of subjects in the group that received </w:t>
      </w:r>
      <w:r w:rsidR="00DC4D8B" w:rsidRPr="00BB01FF">
        <w:rPr>
          <w:rFonts w:ascii="Arial" w:hAnsi="Arial" w:cs="Arial"/>
          <w:lang w:val="en"/>
        </w:rPr>
        <w:t>CABENUVA</w:t>
      </w:r>
      <w:r w:rsidRPr="00BB01FF">
        <w:rPr>
          <w:rFonts w:ascii="Arial" w:hAnsi="Arial" w:cs="Arial"/>
          <w:lang w:val="en"/>
        </w:rPr>
        <w:t xml:space="preserve"> in the </w:t>
      </w:r>
      <w:r w:rsidR="00FB5E91" w:rsidRPr="00BB01FF">
        <w:rPr>
          <w:rFonts w:ascii="Arial" w:hAnsi="Arial" w:cs="Arial"/>
          <w:lang w:val="en"/>
        </w:rPr>
        <w:t>FLAIR</w:t>
      </w:r>
      <w:r w:rsidRPr="00BB01FF">
        <w:rPr>
          <w:rFonts w:ascii="Arial" w:hAnsi="Arial" w:cs="Arial"/>
          <w:lang w:val="en"/>
        </w:rPr>
        <w:t xml:space="preserve"> and </w:t>
      </w:r>
      <w:r w:rsidR="00FB5E91" w:rsidRPr="00BB01FF">
        <w:rPr>
          <w:rFonts w:ascii="Arial" w:hAnsi="Arial" w:cs="Arial"/>
          <w:lang w:val="en"/>
        </w:rPr>
        <w:t>ATLAS</w:t>
      </w:r>
      <w:r w:rsidRPr="00BB01FF">
        <w:rPr>
          <w:rFonts w:ascii="Arial" w:hAnsi="Arial" w:cs="Arial"/>
          <w:lang w:val="en"/>
        </w:rPr>
        <w:t xml:space="preserve"> </w:t>
      </w:r>
      <w:r w:rsidR="00EC1C0B" w:rsidRPr="00BB01FF">
        <w:rPr>
          <w:rFonts w:ascii="Arial" w:hAnsi="Arial" w:cs="Arial"/>
          <w:lang w:val="en"/>
        </w:rPr>
        <w:t>studies</w:t>
      </w:r>
      <w:r w:rsidRPr="00BB01FF">
        <w:rPr>
          <w:rFonts w:ascii="Arial" w:hAnsi="Arial" w:cs="Arial"/>
          <w:lang w:val="en"/>
        </w:rPr>
        <w:t xml:space="preserve"> were</w:t>
      </w:r>
      <w:r w:rsidR="00354E64" w:rsidRPr="00BB01FF">
        <w:rPr>
          <w:rFonts w:ascii="Arial" w:hAnsi="Arial" w:cs="Arial"/>
          <w:lang w:val="en"/>
        </w:rPr>
        <w:t xml:space="preserve"> </w:t>
      </w:r>
      <w:r w:rsidR="00354E64">
        <w:rPr>
          <w:rFonts w:ascii="Arial" w:hAnsi="Arial" w:cs="Arial"/>
          <w:lang w:val="en"/>
        </w:rPr>
        <w:t xml:space="preserve">injection site pain, nasopharyngitis, upper respiratory tract infection, headache, </w:t>
      </w:r>
      <w:proofErr w:type="spellStart"/>
      <w:r w:rsidR="00354E64">
        <w:rPr>
          <w:rFonts w:ascii="Arial" w:hAnsi="Arial" w:cs="Arial"/>
          <w:lang w:val="en"/>
        </w:rPr>
        <w:t>diarrhoea</w:t>
      </w:r>
      <w:proofErr w:type="spellEnd"/>
      <w:r w:rsidR="00354E64">
        <w:rPr>
          <w:rFonts w:ascii="Arial" w:hAnsi="Arial" w:cs="Arial"/>
          <w:lang w:val="en"/>
        </w:rPr>
        <w:t>, injection site nodule and injection site induration.</w:t>
      </w:r>
    </w:p>
    <w:p w14:paraId="7202DBF4" w14:textId="640281F0" w:rsidR="008D6D88" w:rsidRPr="00096112" w:rsidRDefault="008D6D88" w:rsidP="00096112">
      <w:pPr>
        <w:pageBreakBefore/>
        <w:rPr>
          <w:b/>
        </w:rPr>
      </w:pPr>
      <w:bookmarkStart w:id="21" w:name="_Hlk17655594"/>
      <w:r w:rsidRPr="00096112">
        <w:rPr>
          <w:b/>
        </w:rPr>
        <w:lastRenderedPageBreak/>
        <w:t xml:space="preserve">Table </w:t>
      </w:r>
      <w:r w:rsidR="00936270" w:rsidRPr="00096112">
        <w:rPr>
          <w:b/>
        </w:rPr>
        <w:t>7</w:t>
      </w:r>
      <w:r w:rsidRPr="00096112">
        <w:rPr>
          <w:b/>
        </w:rPr>
        <w:t xml:space="preserve">: </w:t>
      </w:r>
      <w:r w:rsidRPr="00096112">
        <w:rPr>
          <w:b/>
        </w:rPr>
        <w:tab/>
        <w:t>Summary of adverse events reported in ≥</w:t>
      </w:r>
      <w:r w:rsidR="00175721" w:rsidRPr="00096112">
        <w:rPr>
          <w:b/>
        </w:rPr>
        <w:t>3</w:t>
      </w:r>
      <w:r w:rsidRPr="00096112">
        <w:rPr>
          <w:b/>
        </w:rPr>
        <w:t>% of subjects in any treatment group by overall frequency in ATLAS and FLAIR (Week 48 pooled analysis)</w:t>
      </w:r>
    </w:p>
    <w:tbl>
      <w:tblPr>
        <w:tblStyle w:val="TableGrid2"/>
        <w:tblW w:w="8789" w:type="dxa"/>
        <w:tblLook w:val="04A0" w:firstRow="1" w:lastRow="0" w:firstColumn="1" w:lastColumn="0" w:noHBand="0" w:noVBand="1"/>
      </w:tblPr>
      <w:tblGrid>
        <w:gridCol w:w="3260"/>
        <w:gridCol w:w="2835"/>
        <w:gridCol w:w="2694"/>
      </w:tblGrid>
      <w:tr w:rsidR="00354E64" w14:paraId="2EE7C8DE" w14:textId="77777777" w:rsidTr="00096112">
        <w:trPr>
          <w:trHeight w:val="1210"/>
          <w:tblHeader/>
        </w:trPr>
        <w:tc>
          <w:tcPr>
            <w:tcW w:w="3260" w:type="dxa"/>
            <w:hideMark/>
          </w:tcPr>
          <w:bookmarkEnd w:id="21"/>
          <w:p w14:paraId="2F2936FF" w14:textId="77777777" w:rsidR="00354E64" w:rsidRDefault="00354E64">
            <w:pPr>
              <w:rPr>
                <w:rFonts w:ascii="Arial Narrow" w:hAnsi="Arial Narrow"/>
                <w:b/>
              </w:rPr>
            </w:pPr>
            <w:r>
              <w:rPr>
                <w:rFonts w:ascii="Arial Narrow" w:hAnsi="Arial Narrow"/>
                <w:b/>
              </w:rPr>
              <w:t>Preferred Term</w:t>
            </w:r>
          </w:p>
        </w:tc>
        <w:tc>
          <w:tcPr>
            <w:tcW w:w="2835" w:type="dxa"/>
          </w:tcPr>
          <w:p w14:paraId="5B2F9B38" w14:textId="10738949" w:rsidR="00354E64" w:rsidRDefault="00354E64">
            <w:pPr>
              <w:jc w:val="center"/>
              <w:rPr>
                <w:rFonts w:ascii="Arial Narrow" w:hAnsi="Arial Narrow"/>
                <w:b/>
              </w:rPr>
            </w:pPr>
            <w:r>
              <w:rPr>
                <w:rFonts w:ascii="Arial Narrow" w:hAnsi="Arial Narrow"/>
                <w:b/>
              </w:rPr>
              <w:t xml:space="preserve">Cabotegravir plus </w:t>
            </w:r>
            <w:r w:rsidR="00BF5823">
              <w:rPr>
                <w:rFonts w:ascii="Arial Narrow" w:hAnsi="Arial Narrow"/>
                <w:b/>
              </w:rPr>
              <w:t>rilpivirine</w:t>
            </w:r>
          </w:p>
          <w:p w14:paraId="4C62913A" w14:textId="77777777" w:rsidR="00354E64" w:rsidRDefault="00354E64">
            <w:pPr>
              <w:jc w:val="center"/>
              <w:rPr>
                <w:rFonts w:ascii="Arial Narrow" w:hAnsi="Arial Narrow"/>
                <w:b/>
              </w:rPr>
            </w:pPr>
          </w:p>
          <w:p w14:paraId="7C6A4EC2" w14:textId="77777777" w:rsidR="00354E64" w:rsidRDefault="00354E64">
            <w:pPr>
              <w:jc w:val="center"/>
              <w:rPr>
                <w:rFonts w:ascii="Arial Narrow" w:hAnsi="Arial Narrow"/>
                <w:b/>
              </w:rPr>
            </w:pPr>
            <w:r>
              <w:rPr>
                <w:rFonts w:ascii="Arial Narrow" w:hAnsi="Arial Narrow"/>
                <w:b/>
              </w:rPr>
              <w:t>N=591</w:t>
            </w:r>
            <w:r>
              <w:rPr>
                <w:rFonts w:ascii="Arial Narrow" w:hAnsi="Arial Narrow"/>
                <w:b/>
              </w:rPr>
              <w:br/>
              <w:t>n(%)</w:t>
            </w:r>
          </w:p>
        </w:tc>
        <w:tc>
          <w:tcPr>
            <w:tcW w:w="2694" w:type="dxa"/>
            <w:hideMark/>
          </w:tcPr>
          <w:p w14:paraId="155C6FE0" w14:textId="77777777" w:rsidR="00354E64" w:rsidRDefault="00354E64">
            <w:pPr>
              <w:jc w:val="center"/>
              <w:rPr>
                <w:rFonts w:ascii="Arial Narrow" w:hAnsi="Arial Narrow"/>
                <w:b/>
              </w:rPr>
            </w:pPr>
            <w:r>
              <w:rPr>
                <w:rFonts w:ascii="Arial Narrow" w:hAnsi="Arial Narrow"/>
                <w:b/>
              </w:rPr>
              <w:t>Current antiretroviral therapy</w:t>
            </w:r>
          </w:p>
          <w:p w14:paraId="163CA08C" w14:textId="77777777" w:rsidR="00354E64" w:rsidRDefault="00354E64">
            <w:pPr>
              <w:jc w:val="center"/>
              <w:rPr>
                <w:rFonts w:ascii="Arial Narrow" w:hAnsi="Arial Narrow"/>
                <w:b/>
              </w:rPr>
            </w:pPr>
            <w:r>
              <w:rPr>
                <w:rFonts w:ascii="Arial Narrow" w:hAnsi="Arial Narrow"/>
                <w:b/>
              </w:rPr>
              <w:t>N=591</w:t>
            </w:r>
            <w:r>
              <w:rPr>
                <w:rFonts w:ascii="Arial Narrow" w:hAnsi="Arial Narrow"/>
                <w:b/>
              </w:rPr>
              <w:br/>
              <w:t>n(%)</w:t>
            </w:r>
          </w:p>
        </w:tc>
      </w:tr>
      <w:tr w:rsidR="00354E64" w14:paraId="517AF30C" w14:textId="77777777" w:rsidTr="00096112">
        <w:trPr>
          <w:trHeight w:hRule="exact" w:val="284"/>
        </w:trPr>
        <w:tc>
          <w:tcPr>
            <w:tcW w:w="3260" w:type="dxa"/>
            <w:hideMark/>
          </w:tcPr>
          <w:p w14:paraId="0D11B45C" w14:textId="77777777" w:rsidR="00354E64" w:rsidRDefault="00354E64">
            <w:pPr>
              <w:rPr>
                <w:rFonts w:ascii="Arial Narrow" w:hAnsi="Arial Narrow"/>
                <w:b/>
              </w:rPr>
            </w:pPr>
            <w:r>
              <w:rPr>
                <w:rFonts w:ascii="Arial Narrow" w:hAnsi="Arial Narrow"/>
                <w:b/>
              </w:rPr>
              <w:t>Infections and Infestations</w:t>
            </w:r>
          </w:p>
        </w:tc>
        <w:tc>
          <w:tcPr>
            <w:tcW w:w="2835" w:type="dxa"/>
          </w:tcPr>
          <w:p w14:paraId="7B40DA60" w14:textId="77777777" w:rsidR="00354E64" w:rsidRDefault="00354E64">
            <w:pPr>
              <w:jc w:val="center"/>
              <w:rPr>
                <w:rFonts w:ascii="Arial Narrow" w:hAnsi="Arial Narrow"/>
                <w:b/>
              </w:rPr>
            </w:pPr>
          </w:p>
        </w:tc>
        <w:tc>
          <w:tcPr>
            <w:tcW w:w="2694" w:type="dxa"/>
          </w:tcPr>
          <w:p w14:paraId="0206947B" w14:textId="77777777" w:rsidR="00354E64" w:rsidRDefault="00354E64">
            <w:pPr>
              <w:jc w:val="center"/>
              <w:rPr>
                <w:rFonts w:ascii="Arial Narrow" w:hAnsi="Arial Narrow"/>
                <w:b/>
              </w:rPr>
            </w:pPr>
          </w:p>
        </w:tc>
      </w:tr>
      <w:tr w:rsidR="00354E64" w14:paraId="7C666511" w14:textId="77777777" w:rsidTr="00096112">
        <w:trPr>
          <w:trHeight w:hRule="exact" w:val="283"/>
        </w:trPr>
        <w:tc>
          <w:tcPr>
            <w:tcW w:w="3260" w:type="dxa"/>
            <w:hideMark/>
          </w:tcPr>
          <w:p w14:paraId="74CAEE52" w14:textId="77777777" w:rsidR="00354E64" w:rsidRDefault="00354E64">
            <w:pPr>
              <w:pStyle w:val="TableParagraph"/>
              <w:spacing w:line="276" w:lineRule="auto"/>
              <w:ind w:left="161" w:right="0"/>
              <w:jc w:val="left"/>
              <w:rPr>
                <w:rFonts w:ascii="Arial Narrow" w:hAnsi="Arial Narrow"/>
              </w:rPr>
            </w:pPr>
            <w:r>
              <w:rPr>
                <w:rFonts w:ascii="Arial Narrow" w:hAnsi="Arial Narrow"/>
              </w:rPr>
              <w:t>Nasopharyngitis</w:t>
            </w:r>
          </w:p>
        </w:tc>
        <w:tc>
          <w:tcPr>
            <w:tcW w:w="2835" w:type="dxa"/>
            <w:hideMark/>
          </w:tcPr>
          <w:p w14:paraId="2825C444" w14:textId="77777777" w:rsidR="00354E64" w:rsidRDefault="00354E64">
            <w:pPr>
              <w:pStyle w:val="TableParagraph"/>
              <w:spacing w:line="276" w:lineRule="auto"/>
              <w:ind w:right="0"/>
              <w:jc w:val="center"/>
              <w:rPr>
                <w:rFonts w:ascii="Arial Narrow" w:hAnsi="Arial Narrow"/>
              </w:rPr>
            </w:pPr>
            <w:r>
              <w:rPr>
                <w:rFonts w:ascii="Arial Narrow" w:hAnsi="Arial Narrow"/>
              </w:rPr>
              <w:t>108 (18%)</w:t>
            </w:r>
          </w:p>
        </w:tc>
        <w:tc>
          <w:tcPr>
            <w:tcW w:w="2694" w:type="dxa"/>
            <w:hideMark/>
          </w:tcPr>
          <w:p w14:paraId="4BE71D93" w14:textId="77777777" w:rsidR="00354E64" w:rsidRDefault="00354E64">
            <w:pPr>
              <w:pStyle w:val="TableParagraph"/>
              <w:spacing w:line="276" w:lineRule="auto"/>
              <w:ind w:right="0"/>
              <w:jc w:val="center"/>
              <w:rPr>
                <w:rFonts w:ascii="Arial Narrow" w:hAnsi="Arial Narrow"/>
              </w:rPr>
            </w:pPr>
            <w:r>
              <w:rPr>
                <w:rFonts w:ascii="Arial Narrow" w:hAnsi="Arial Narrow"/>
              </w:rPr>
              <w:t>90 (15%</w:t>
            </w:r>
          </w:p>
        </w:tc>
      </w:tr>
      <w:tr w:rsidR="00354E64" w14:paraId="405F3A9E" w14:textId="77777777" w:rsidTr="00096112">
        <w:trPr>
          <w:trHeight w:hRule="exact" w:val="283"/>
        </w:trPr>
        <w:tc>
          <w:tcPr>
            <w:tcW w:w="3260" w:type="dxa"/>
            <w:hideMark/>
          </w:tcPr>
          <w:p w14:paraId="7F40471D" w14:textId="77777777" w:rsidR="00354E64" w:rsidRDefault="00354E64">
            <w:pPr>
              <w:ind w:left="161"/>
              <w:rPr>
                <w:rFonts w:ascii="Arial Narrow" w:hAnsi="Arial Narrow"/>
              </w:rPr>
            </w:pPr>
            <w:r>
              <w:rPr>
                <w:rFonts w:ascii="Arial Narrow" w:hAnsi="Arial Narrow"/>
              </w:rPr>
              <w:t>Upper respiratory tract infection</w:t>
            </w:r>
          </w:p>
        </w:tc>
        <w:tc>
          <w:tcPr>
            <w:tcW w:w="2835" w:type="dxa"/>
            <w:hideMark/>
          </w:tcPr>
          <w:p w14:paraId="5FF5332C" w14:textId="77777777" w:rsidR="00354E64" w:rsidRDefault="00354E64">
            <w:pPr>
              <w:jc w:val="center"/>
              <w:rPr>
                <w:rFonts w:ascii="Arial Narrow" w:hAnsi="Arial Narrow"/>
              </w:rPr>
            </w:pPr>
            <w:r>
              <w:rPr>
                <w:rFonts w:ascii="Arial Narrow" w:hAnsi="Arial Narrow"/>
              </w:rPr>
              <w:t>70 (12%</w:t>
            </w:r>
          </w:p>
        </w:tc>
        <w:tc>
          <w:tcPr>
            <w:tcW w:w="2694" w:type="dxa"/>
            <w:hideMark/>
          </w:tcPr>
          <w:p w14:paraId="5CB900C4" w14:textId="77777777" w:rsidR="00354E64" w:rsidRDefault="00354E64">
            <w:pPr>
              <w:jc w:val="center"/>
              <w:rPr>
                <w:rFonts w:ascii="Arial Narrow" w:hAnsi="Arial Narrow"/>
              </w:rPr>
            </w:pPr>
            <w:r>
              <w:rPr>
                <w:rFonts w:ascii="Arial Narrow" w:hAnsi="Arial Narrow"/>
              </w:rPr>
              <w:t>53 (9%)</w:t>
            </w:r>
          </w:p>
        </w:tc>
      </w:tr>
      <w:tr w:rsidR="00354E64" w14:paraId="3816F881" w14:textId="77777777" w:rsidTr="00096112">
        <w:trPr>
          <w:trHeight w:hRule="exact" w:val="284"/>
        </w:trPr>
        <w:tc>
          <w:tcPr>
            <w:tcW w:w="3260" w:type="dxa"/>
            <w:hideMark/>
          </w:tcPr>
          <w:p w14:paraId="205889F4" w14:textId="77777777" w:rsidR="00354E64" w:rsidRDefault="00354E64">
            <w:pPr>
              <w:ind w:left="161"/>
              <w:rPr>
                <w:rFonts w:ascii="Arial Narrow" w:hAnsi="Arial Narrow"/>
              </w:rPr>
            </w:pPr>
            <w:r>
              <w:rPr>
                <w:rFonts w:ascii="Arial Narrow" w:hAnsi="Arial Narrow"/>
              </w:rPr>
              <w:t>Influenza</w:t>
            </w:r>
          </w:p>
        </w:tc>
        <w:tc>
          <w:tcPr>
            <w:tcW w:w="2835" w:type="dxa"/>
            <w:hideMark/>
          </w:tcPr>
          <w:p w14:paraId="7FB12536" w14:textId="77777777" w:rsidR="00354E64" w:rsidRDefault="00354E64">
            <w:pPr>
              <w:jc w:val="center"/>
              <w:rPr>
                <w:rFonts w:ascii="Arial Narrow" w:hAnsi="Arial Narrow"/>
              </w:rPr>
            </w:pPr>
            <w:r>
              <w:rPr>
                <w:rFonts w:ascii="Arial Narrow" w:hAnsi="Arial Narrow"/>
              </w:rPr>
              <w:t>42 (7%)</w:t>
            </w:r>
          </w:p>
        </w:tc>
        <w:tc>
          <w:tcPr>
            <w:tcW w:w="2694" w:type="dxa"/>
            <w:hideMark/>
          </w:tcPr>
          <w:p w14:paraId="49ED8513" w14:textId="77777777" w:rsidR="00354E64" w:rsidRDefault="00354E64">
            <w:pPr>
              <w:jc w:val="center"/>
              <w:rPr>
                <w:rFonts w:ascii="Arial Narrow" w:hAnsi="Arial Narrow"/>
              </w:rPr>
            </w:pPr>
            <w:r>
              <w:rPr>
                <w:rFonts w:ascii="Arial Narrow" w:hAnsi="Arial Narrow"/>
              </w:rPr>
              <w:t>34 (6%)</w:t>
            </w:r>
          </w:p>
        </w:tc>
      </w:tr>
      <w:tr w:rsidR="00354E64" w14:paraId="72219D77" w14:textId="77777777" w:rsidTr="00096112">
        <w:trPr>
          <w:trHeight w:hRule="exact" w:val="284"/>
        </w:trPr>
        <w:tc>
          <w:tcPr>
            <w:tcW w:w="3260" w:type="dxa"/>
            <w:hideMark/>
          </w:tcPr>
          <w:p w14:paraId="64483518" w14:textId="77777777" w:rsidR="00354E64" w:rsidRDefault="00354E64">
            <w:pPr>
              <w:ind w:left="161"/>
              <w:rPr>
                <w:rFonts w:ascii="Arial Narrow" w:hAnsi="Arial Narrow"/>
              </w:rPr>
            </w:pPr>
            <w:r>
              <w:rPr>
                <w:rFonts w:ascii="Arial Narrow" w:hAnsi="Arial Narrow"/>
              </w:rPr>
              <w:t>Respiratory tract infection, viral</w:t>
            </w:r>
          </w:p>
        </w:tc>
        <w:tc>
          <w:tcPr>
            <w:tcW w:w="2835" w:type="dxa"/>
            <w:hideMark/>
          </w:tcPr>
          <w:p w14:paraId="4129B774" w14:textId="77777777" w:rsidR="00354E64" w:rsidRDefault="00354E64">
            <w:pPr>
              <w:jc w:val="center"/>
              <w:rPr>
                <w:rFonts w:ascii="Arial Narrow" w:hAnsi="Arial Narrow"/>
              </w:rPr>
            </w:pPr>
            <w:r>
              <w:rPr>
                <w:rFonts w:ascii="Arial Narrow" w:hAnsi="Arial Narrow"/>
              </w:rPr>
              <w:t>24 (4%)</w:t>
            </w:r>
          </w:p>
        </w:tc>
        <w:tc>
          <w:tcPr>
            <w:tcW w:w="2694" w:type="dxa"/>
            <w:hideMark/>
          </w:tcPr>
          <w:p w14:paraId="786FBFE5" w14:textId="77777777" w:rsidR="00354E64" w:rsidRDefault="00354E64">
            <w:pPr>
              <w:jc w:val="center"/>
              <w:rPr>
                <w:rFonts w:ascii="Arial Narrow" w:hAnsi="Arial Narrow"/>
              </w:rPr>
            </w:pPr>
            <w:r>
              <w:rPr>
                <w:rFonts w:ascii="Arial Narrow" w:hAnsi="Arial Narrow"/>
              </w:rPr>
              <w:t>29 (5%)</w:t>
            </w:r>
          </w:p>
        </w:tc>
      </w:tr>
      <w:tr w:rsidR="00354E64" w14:paraId="19DE8357" w14:textId="77777777" w:rsidTr="00096112">
        <w:trPr>
          <w:trHeight w:hRule="exact" w:val="284"/>
        </w:trPr>
        <w:tc>
          <w:tcPr>
            <w:tcW w:w="3260" w:type="dxa"/>
            <w:hideMark/>
          </w:tcPr>
          <w:p w14:paraId="0EA2C004" w14:textId="77777777" w:rsidR="00354E64" w:rsidRDefault="00354E64">
            <w:pPr>
              <w:ind w:left="161"/>
              <w:rPr>
                <w:rFonts w:ascii="Arial Narrow" w:hAnsi="Arial Narrow"/>
              </w:rPr>
            </w:pPr>
            <w:r>
              <w:rPr>
                <w:rFonts w:ascii="Arial Narrow" w:hAnsi="Arial Narrow"/>
              </w:rPr>
              <w:t>Pharyngitis</w:t>
            </w:r>
          </w:p>
        </w:tc>
        <w:tc>
          <w:tcPr>
            <w:tcW w:w="2835" w:type="dxa"/>
            <w:hideMark/>
          </w:tcPr>
          <w:p w14:paraId="14AD0E95" w14:textId="77777777" w:rsidR="00354E64" w:rsidRDefault="00354E64">
            <w:pPr>
              <w:jc w:val="center"/>
              <w:rPr>
                <w:rFonts w:ascii="Arial Narrow" w:hAnsi="Arial Narrow"/>
              </w:rPr>
            </w:pPr>
            <w:r>
              <w:rPr>
                <w:rFonts w:ascii="Arial Narrow" w:hAnsi="Arial Narrow"/>
              </w:rPr>
              <w:t>23 (4%)</w:t>
            </w:r>
          </w:p>
        </w:tc>
        <w:tc>
          <w:tcPr>
            <w:tcW w:w="2694" w:type="dxa"/>
            <w:hideMark/>
          </w:tcPr>
          <w:p w14:paraId="4E151549" w14:textId="77777777" w:rsidR="00354E64" w:rsidRDefault="00354E64">
            <w:pPr>
              <w:jc w:val="center"/>
              <w:rPr>
                <w:rFonts w:ascii="Arial Narrow" w:hAnsi="Arial Narrow"/>
              </w:rPr>
            </w:pPr>
            <w:r>
              <w:rPr>
                <w:rFonts w:ascii="Arial Narrow" w:hAnsi="Arial Narrow"/>
              </w:rPr>
              <w:t>21 (4%)</w:t>
            </w:r>
          </w:p>
        </w:tc>
      </w:tr>
      <w:tr w:rsidR="00354E64" w14:paraId="3EA92EE3" w14:textId="77777777" w:rsidTr="00096112">
        <w:trPr>
          <w:trHeight w:hRule="exact" w:val="284"/>
        </w:trPr>
        <w:tc>
          <w:tcPr>
            <w:tcW w:w="3260" w:type="dxa"/>
            <w:hideMark/>
          </w:tcPr>
          <w:p w14:paraId="086150B7" w14:textId="77777777" w:rsidR="00354E64" w:rsidRDefault="00354E64">
            <w:pPr>
              <w:ind w:left="161"/>
              <w:rPr>
                <w:rFonts w:ascii="Arial Narrow" w:hAnsi="Arial Narrow"/>
              </w:rPr>
            </w:pPr>
            <w:r>
              <w:rPr>
                <w:rFonts w:ascii="Arial Narrow" w:hAnsi="Arial Narrow"/>
              </w:rPr>
              <w:t xml:space="preserve">Gastroenteritis </w:t>
            </w:r>
          </w:p>
        </w:tc>
        <w:tc>
          <w:tcPr>
            <w:tcW w:w="2835" w:type="dxa"/>
            <w:hideMark/>
          </w:tcPr>
          <w:p w14:paraId="18622120" w14:textId="77777777" w:rsidR="00354E64" w:rsidRDefault="00354E64">
            <w:pPr>
              <w:jc w:val="center"/>
              <w:rPr>
                <w:rFonts w:ascii="Arial Narrow" w:hAnsi="Arial Narrow"/>
              </w:rPr>
            </w:pPr>
            <w:r>
              <w:rPr>
                <w:rFonts w:ascii="Arial Narrow" w:hAnsi="Arial Narrow"/>
              </w:rPr>
              <w:t>20 (3%)</w:t>
            </w:r>
          </w:p>
        </w:tc>
        <w:tc>
          <w:tcPr>
            <w:tcW w:w="2694" w:type="dxa"/>
            <w:hideMark/>
          </w:tcPr>
          <w:p w14:paraId="079D7549" w14:textId="77777777" w:rsidR="00354E64" w:rsidRDefault="00354E64">
            <w:pPr>
              <w:jc w:val="center"/>
              <w:rPr>
                <w:rFonts w:ascii="Arial Narrow" w:hAnsi="Arial Narrow"/>
              </w:rPr>
            </w:pPr>
            <w:r>
              <w:rPr>
                <w:rFonts w:ascii="Arial Narrow" w:hAnsi="Arial Narrow"/>
              </w:rPr>
              <w:t>21 (4%)</w:t>
            </w:r>
          </w:p>
        </w:tc>
      </w:tr>
      <w:tr w:rsidR="00354E64" w14:paraId="48A00876" w14:textId="77777777" w:rsidTr="00096112">
        <w:trPr>
          <w:trHeight w:hRule="exact" w:val="284"/>
        </w:trPr>
        <w:tc>
          <w:tcPr>
            <w:tcW w:w="3260" w:type="dxa"/>
            <w:hideMark/>
          </w:tcPr>
          <w:p w14:paraId="7B788B3C" w14:textId="77777777" w:rsidR="00354E64" w:rsidRDefault="00354E64">
            <w:pPr>
              <w:rPr>
                <w:rFonts w:ascii="Arial Narrow" w:hAnsi="Arial Narrow"/>
                <w:b/>
              </w:rPr>
            </w:pPr>
            <w:r>
              <w:rPr>
                <w:rFonts w:ascii="Arial Narrow" w:hAnsi="Arial Narrow"/>
                <w:b/>
              </w:rPr>
              <w:t>Gastrointestinal disorders</w:t>
            </w:r>
          </w:p>
        </w:tc>
        <w:tc>
          <w:tcPr>
            <w:tcW w:w="2835" w:type="dxa"/>
          </w:tcPr>
          <w:p w14:paraId="5A8275A8" w14:textId="77777777" w:rsidR="00354E64" w:rsidRDefault="00354E64">
            <w:pPr>
              <w:jc w:val="center"/>
              <w:rPr>
                <w:rFonts w:ascii="Arial Narrow" w:hAnsi="Arial Narrow"/>
                <w:b/>
              </w:rPr>
            </w:pPr>
          </w:p>
        </w:tc>
        <w:tc>
          <w:tcPr>
            <w:tcW w:w="2694" w:type="dxa"/>
          </w:tcPr>
          <w:p w14:paraId="59E8876B" w14:textId="77777777" w:rsidR="00354E64" w:rsidRDefault="00354E64">
            <w:pPr>
              <w:jc w:val="center"/>
              <w:rPr>
                <w:rFonts w:ascii="Arial Narrow" w:hAnsi="Arial Narrow"/>
                <w:b/>
              </w:rPr>
            </w:pPr>
          </w:p>
        </w:tc>
      </w:tr>
      <w:tr w:rsidR="00354E64" w14:paraId="2395F104" w14:textId="77777777" w:rsidTr="00096112">
        <w:trPr>
          <w:trHeight w:hRule="exact" w:val="284"/>
        </w:trPr>
        <w:tc>
          <w:tcPr>
            <w:tcW w:w="3260" w:type="dxa"/>
            <w:hideMark/>
          </w:tcPr>
          <w:p w14:paraId="3E71629F" w14:textId="77777777" w:rsidR="00354E64" w:rsidRDefault="00354E64">
            <w:pPr>
              <w:ind w:left="161"/>
              <w:rPr>
                <w:rFonts w:ascii="Arial Narrow" w:hAnsi="Arial Narrow"/>
              </w:rPr>
            </w:pPr>
            <w:r>
              <w:rPr>
                <w:rFonts w:ascii="Arial Narrow" w:hAnsi="Arial Narrow"/>
              </w:rPr>
              <w:t>Diarrhoea</w:t>
            </w:r>
          </w:p>
        </w:tc>
        <w:tc>
          <w:tcPr>
            <w:tcW w:w="2835" w:type="dxa"/>
            <w:hideMark/>
          </w:tcPr>
          <w:p w14:paraId="1EE139BE" w14:textId="77777777" w:rsidR="00354E64" w:rsidRDefault="00354E64">
            <w:pPr>
              <w:jc w:val="center"/>
              <w:rPr>
                <w:rFonts w:ascii="Arial Narrow" w:hAnsi="Arial Narrow"/>
              </w:rPr>
            </w:pPr>
            <w:r>
              <w:rPr>
                <w:rFonts w:ascii="Arial Narrow" w:hAnsi="Arial Narrow"/>
              </w:rPr>
              <w:t>54 (9%)</w:t>
            </w:r>
          </w:p>
        </w:tc>
        <w:tc>
          <w:tcPr>
            <w:tcW w:w="2694" w:type="dxa"/>
            <w:hideMark/>
          </w:tcPr>
          <w:p w14:paraId="4170E88B" w14:textId="77777777" w:rsidR="00354E64" w:rsidRDefault="00354E64">
            <w:pPr>
              <w:jc w:val="center"/>
              <w:rPr>
                <w:rFonts w:ascii="Arial Narrow" w:hAnsi="Arial Narrow"/>
              </w:rPr>
            </w:pPr>
            <w:r>
              <w:rPr>
                <w:rFonts w:ascii="Arial Narrow" w:hAnsi="Arial Narrow"/>
              </w:rPr>
              <w:t>40 (7%)</w:t>
            </w:r>
          </w:p>
        </w:tc>
      </w:tr>
      <w:tr w:rsidR="00354E64" w14:paraId="330349B6" w14:textId="77777777" w:rsidTr="00096112">
        <w:trPr>
          <w:trHeight w:hRule="exact" w:val="284"/>
        </w:trPr>
        <w:tc>
          <w:tcPr>
            <w:tcW w:w="3260" w:type="dxa"/>
            <w:hideMark/>
          </w:tcPr>
          <w:p w14:paraId="4A4BFC19" w14:textId="77777777" w:rsidR="00354E64" w:rsidRDefault="00354E64">
            <w:pPr>
              <w:ind w:left="161"/>
              <w:rPr>
                <w:rFonts w:ascii="Arial Narrow" w:hAnsi="Arial Narrow"/>
              </w:rPr>
            </w:pPr>
            <w:r>
              <w:rPr>
                <w:rFonts w:ascii="Arial Narrow" w:hAnsi="Arial Narrow"/>
              </w:rPr>
              <w:t>Nausea</w:t>
            </w:r>
          </w:p>
        </w:tc>
        <w:tc>
          <w:tcPr>
            <w:tcW w:w="2835" w:type="dxa"/>
            <w:hideMark/>
          </w:tcPr>
          <w:p w14:paraId="60131629" w14:textId="77777777" w:rsidR="00354E64" w:rsidRDefault="00354E64">
            <w:pPr>
              <w:jc w:val="center"/>
              <w:rPr>
                <w:rFonts w:ascii="Arial Narrow" w:hAnsi="Arial Narrow"/>
              </w:rPr>
            </w:pPr>
            <w:r>
              <w:rPr>
                <w:rFonts w:ascii="Arial Narrow" w:hAnsi="Arial Narrow"/>
              </w:rPr>
              <w:t>30 (5%)</w:t>
            </w:r>
          </w:p>
        </w:tc>
        <w:tc>
          <w:tcPr>
            <w:tcW w:w="2694" w:type="dxa"/>
            <w:hideMark/>
          </w:tcPr>
          <w:p w14:paraId="5745FCE2" w14:textId="77777777" w:rsidR="00354E64" w:rsidRDefault="00354E64">
            <w:pPr>
              <w:jc w:val="center"/>
              <w:rPr>
                <w:rFonts w:ascii="Arial Narrow" w:hAnsi="Arial Narrow"/>
              </w:rPr>
            </w:pPr>
            <w:r>
              <w:rPr>
                <w:rFonts w:ascii="Arial Narrow" w:hAnsi="Arial Narrow"/>
              </w:rPr>
              <w:t>16 (3%)</w:t>
            </w:r>
          </w:p>
        </w:tc>
      </w:tr>
      <w:tr w:rsidR="00354E64" w14:paraId="235584DE" w14:textId="77777777" w:rsidTr="00096112">
        <w:trPr>
          <w:trHeight w:hRule="exact" w:val="284"/>
        </w:trPr>
        <w:tc>
          <w:tcPr>
            <w:tcW w:w="3260" w:type="dxa"/>
            <w:hideMark/>
          </w:tcPr>
          <w:p w14:paraId="202F9C44" w14:textId="77777777" w:rsidR="00354E64" w:rsidRDefault="00354E64">
            <w:pPr>
              <w:ind w:left="161"/>
              <w:rPr>
                <w:rFonts w:ascii="Arial Narrow" w:hAnsi="Arial Narrow"/>
              </w:rPr>
            </w:pPr>
            <w:r>
              <w:rPr>
                <w:rFonts w:ascii="Arial Narrow" w:hAnsi="Arial Narrow"/>
              </w:rPr>
              <w:t>Haemorrhoids</w:t>
            </w:r>
          </w:p>
        </w:tc>
        <w:tc>
          <w:tcPr>
            <w:tcW w:w="2835" w:type="dxa"/>
            <w:hideMark/>
          </w:tcPr>
          <w:p w14:paraId="5D8AABAD" w14:textId="77777777" w:rsidR="00354E64" w:rsidRDefault="00354E64">
            <w:pPr>
              <w:jc w:val="center"/>
              <w:rPr>
                <w:rFonts w:ascii="Arial Narrow" w:hAnsi="Arial Narrow"/>
              </w:rPr>
            </w:pPr>
            <w:r>
              <w:rPr>
                <w:rFonts w:ascii="Arial Narrow" w:hAnsi="Arial Narrow"/>
              </w:rPr>
              <w:t>20 (3%)</w:t>
            </w:r>
          </w:p>
        </w:tc>
        <w:tc>
          <w:tcPr>
            <w:tcW w:w="2694" w:type="dxa"/>
            <w:hideMark/>
          </w:tcPr>
          <w:p w14:paraId="2BE8F6EC" w14:textId="77777777" w:rsidR="00354E64" w:rsidRDefault="00354E64">
            <w:pPr>
              <w:jc w:val="center"/>
              <w:rPr>
                <w:rFonts w:ascii="Arial Narrow" w:hAnsi="Arial Narrow"/>
              </w:rPr>
            </w:pPr>
            <w:r>
              <w:rPr>
                <w:rFonts w:ascii="Arial Narrow" w:hAnsi="Arial Narrow"/>
              </w:rPr>
              <w:t>5 (&lt;1%)</w:t>
            </w:r>
          </w:p>
        </w:tc>
      </w:tr>
      <w:tr w:rsidR="00354E64" w14:paraId="6625F56C" w14:textId="77777777" w:rsidTr="00096112">
        <w:trPr>
          <w:trHeight w:hRule="exact" w:val="284"/>
        </w:trPr>
        <w:tc>
          <w:tcPr>
            <w:tcW w:w="3260" w:type="dxa"/>
            <w:hideMark/>
          </w:tcPr>
          <w:p w14:paraId="22D6F6EA" w14:textId="77777777" w:rsidR="00354E64" w:rsidRDefault="00354E64">
            <w:pPr>
              <w:rPr>
                <w:rFonts w:ascii="Arial Narrow" w:hAnsi="Arial Narrow"/>
                <w:b/>
              </w:rPr>
            </w:pPr>
            <w:r>
              <w:rPr>
                <w:rFonts w:ascii="Arial Narrow" w:hAnsi="Arial Narrow"/>
                <w:b/>
              </w:rPr>
              <w:t>Nervous system disorders</w:t>
            </w:r>
          </w:p>
        </w:tc>
        <w:tc>
          <w:tcPr>
            <w:tcW w:w="2835" w:type="dxa"/>
          </w:tcPr>
          <w:p w14:paraId="2BCB46AD" w14:textId="77777777" w:rsidR="00354E64" w:rsidRDefault="00354E64">
            <w:pPr>
              <w:jc w:val="center"/>
              <w:rPr>
                <w:rFonts w:ascii="Arial Narrow" w:hAnsi="Arial Narrow"/>
                <w:b/>
              </w:rPr>
            </w:pPr>
          </w:p>
        </w:tc>
        <w:tc>
          <w:tcPr>
            <w:tcW w:w="2694" w:type="dxa"/>
          </w:tcPr>
          <w:p w14:paraId="30632241" w14:textId="77777777" w:rsidR="00354E64" w:rsidRDefault="00354E64">
            <w:pPr>
              <w:jc w:val="center"/>
              <w:rPr>
                <w:rFonts w:ascii="Arial Narrow" w:hAnsi="Arial Narrow"/>
                <w:b/>
              </w:rPr>
            </w:pPr>
          </w:p>
        </w:tc>
      </w:tr>
      <w:tr w:rsidR="00354E64" w14:paraId="7140B0F4" w14:textId="77777777" w:rsidTr="00096112">
        <w:trPr>
          <w:trHeight w:hRule="exact" w:val="284"/>
        </w:trPr>
        <w:tc>
          <w:tcPr>
            <w:tcW w:w="3260" w:type="dxa"/>
            <w:hideMark/>
          </w:tcPr>
          <w:p w14:paraId="594519F5" w14:textId="77777777" w:rsidR="00354E64" w:rsidRDefault="00354E64">
            <w:pPr>
              <w:ind w:left="161"/>
              <w:rPr>
                <w:rFonts w:ascii="Arial Narrow" w:hAnsi="Arial Narrow"/>
              </w:rPr>
            </w:pPr>
            <w:r>
              <w:rPr>
                <w:rFonts w:ascii="Arial Narrow" w:hAnsi="Arial Narrow"/>
              </w:rPr>
              <w:t>Headache</w:t>
            </w:r>
          </w:p>
        </w:tc>
        <w:tc>
          <w:tcPr>
            <w:tcW w:w="2835" w:type="dxa"/>
            <w:hideMark/>
          </w:tcPr>
          <w:p w14:paraId="4B01B128" w14:textId="77777777" w:rsidR="00354E64" w:rsidRDefault="00354E64">
            <w:pPr>
              <w:jc w:val="center"/>
              <w:rPr>
                <w:rFonts w:ascii="Arial Narrow" w:hAnsi="Arial Narrow"/>
              </w:rPr>
            </w:pPr>
            <w:r>
              <w:rPr>
                <w:rFonts w:ascii="Arial Narrow" w:hAnsi="Arial Narrow"/>
              </w:rPr>
              <w:t>73 (12%)</w:t>
            </w:r>
          </w:p>
        </w:tc>
        <w:tc>
          <w:tcPr>
            <w:tcW w:w="2694" w:type="dxa"/>
            <w:hideMark/>
          </w:tcPr>
          <w:p w14:paraId="1AF62D9D" w14:textId="77777777" w:rsidR="00354E64" w:rsidRDefault="00354E64">
            <w:pPr>
              <w:jc w:val="center"/>
              <w:rPr>
                <w:rFonts w:ascii="Arial Narrow" w:hAnsi="Arial Narrow"/>
              </w:rPr>
            </w:pPr>
            <w:r>
              <w:rPr>
                <w:rFonts w:ascii="Arial Narrow" w:hAnsi="Arial Narrow"/>
              </w:rPr>
              <w:t>38 (6%)</w:t>
            </w:r>
          </w:p>
        </w:tc>
      </w:tr>
      <w:tr w:rsidR="00354E64" w14:paraId="26777B8E" w14:textId="77777777" w:rsidTr="00096112">
        <w:trPr>
          <w:trHeight w:hRule="exact" w:val="284"/>
        </w:trPr>
        <w:tc>
          <w:tcPr>
            <w:tcW w:w="3260" w:type="dxa"/>
            <w:hideMark/>
          </w:tcPr>
          <w:p w14:paraId="59D1876F" w14:textId="77777777" w:rsidR="00354E64" w:rsidRDefault="00354E64">
            <w:pPr>
              <w:ind w:left="161"/>
              <w:rPr>
                <w:rFonts w:ascii="Arial Narrow" w:hAnsi="Arial Narrow"/>
              </w:rPr>
            </w:pPr>
            <w:r>
              <w:rPr>
                <w:rFonts w:ascii="Arial Narrow" w:hAnsi="Arial Narrow"/>
              </w:rPr>
              <w:t>Dizziness</w:t>
            </w:r>
          </w:p>
        </w:tc>
        <w:tc>
          <w:tcPr>
            <w:tcW w:w="2835" w:type="dxa"/>
            <w:hideMark/>
          </w:tcPr>
          <w:p w14:paraId="5645A4D5" w14:textId="77777777" w:rsidR="00354E64" w:rsidRDefault="00354E64">
            <w:pPr>
              <w:jc w:val="center"/>
              <w:rPr>
                <w:rFonts w:ascii="Arial Narrow" w:hAnsi="Arial Narrow"/>
              </w:rPr>
            </w:pPr>
            <w:r>
              <w:rPr>
                <w:rFonts w:ascii="Arial Narrow" w:hAnsi="Arial Narrow"/>
              </w:rPr>
              <w:t>24 (4%)</w:t>
            </w:r>
          </w:p>
        </w:tc>
        <w:tc>
          <w:tcPr>
            <w:tcW w:w="2694" w:type="dxa"/>
            <w:hideMark/>
          </w:tcPr>
          <w:p w14:paraId="48D174B7" w14:textId="77777777" w:rsidR="00354E64" w:rsidRDefault="00354E64">
            <w:pPr>
              <w:jc w:val="center"/>
              <w:rPr>
                <w:rFonts w:ascii="Arial Narrow" w:hAnsi="Arial Narrow"/>
              </w:rPr>
            </w:pPr>
            <w:r>
              <w:rPr>
                <w:rFonts w:ascii="Arial Narrow" w:hAnsi="Arial Narrow"/>
              </w:rPr>
              <w:t>8 (1%)</w:t>
            </w:r>
          </w:p>
        </w:tc>
      </w:tr>
      <w:tr w:rsidR="00354E64" w14:paraId="2B5A9884" w14:textId="77777777" w:rsidTr="00096112">
        <w:trPr>
          <w:trHeight w:hRule="exact" w:val="284"/>
        </w:trPr>
        <w:tc>
          <w:tcPr>
            <w:tcW w:w="3260" w:type="dxa"/>
            <w:hideMark/>
          </w:tcPr>
          <w:p w14:paraId="50CBBFB7" w14:textId="77777777" w:rsidR="00354E64" w:rsidRDefault="00354E64">
            <w:pPr>
              <w:rPr>
                <w:rFonts w:ascii="Arial Narrow" w:hAnsi="Arial Narrow"/>
                <w:b/>
              </w:rPr>
            </w:pPr>
            <w:r>
              <w:rPr>
                <w:rFonts w:ascii="Arial Narrow" w:hAnsi="Arial Narrow"/>
                <w:b/>
              </w:rPr>
              <w:t>Musculoskeletal and connective tissue disorders</w:t>
            </w:r>
          </w:p>
        </w:tc>
        <w:tc>
          <w:tcPr>
            <w:tcW w:w="2835" w:type="dxa"/>
          </w:tcPr>
          <w:p w14:paraId="3386B41C" w14:textId="77777777" w:rsidR="00354E64" w:rsidRDefault="00354E64">
            <w:pPr>
              <w:jc w:val="center"/>
              <w:rPr>
                <w:rFonts w:ascii="Arial Narrow" w:hAnsi="Arial Narrow"/>
                <w:b/>
              </w:rPr>
            </w:pPr>
          </w:p>
        </w:tc>
        <w:tc>
          <w:tcPr>
            <w:tcW w:w="2694" w:type="dxa"/>
          </w:tcPr>
          <w:p w14:paraId="51B86DD6" w14:textId="77777777" w:rsidR="00354E64" w:rsidRDefault="00354E64">
            <w:pPr>
              <w:jc w:val="center"/>
              <w:rPr>
                <w:rFonts w:ascii="Arial Narrow" w:hAnsi="Arial Narrow"/>
                <w:b/>
              </w:rPr>
            </w:pPr>
          </w:p>
        </w:tc>
      </w:tr>
      <w:tr w:rsidR="00354E64" w14:paraId="28D2477F" w14:textId="77777777" w:rsidTr="00096112">
        <w:trPr>
          <w:trHeight w:hRule="exact" w:val="284"/>
        </w:trPr>
        <w:tc>
          <w:tcPr>
            <w:tcW w:w="3260" w:type="dxa"/>
            <w:hideMark/>
          </w:tcPr>
          <w:p w14:paraId="4D99B766" w14:textId="77777777" w:rsidR="00354E64" w:rsidRDefault="00354E64">
            <w:pPr>
              <w:ind w:left="161"/>
              <w:rPr>
                <w:rFonts w:ascii="Arial Narrow" w:hAnsi="Arial Narrow"/>
              </w:rPr>
            </w:pPr>
            <w:r>
              <w:rPr>
                <w:rFonts w:ascii="Arial Narrow" w:hAnsi="Arial Narrow"/>
              </w:rPr>
              <w:t>Back pain</w:t>
            </w:r>
          </w:p>
        </w:tc>
        <w:tc>
          <w:tcPr>
            <w:tcW w:w="2835" w:type="dxa"/>
            <w:hideMark/>
          </w:tcPr>
          <w:p w14:paraId="1D1DADC8" w14:textId="77777777" w:rsidR="00354E64" w:rsidRDefault="00354E64">
            <w:pPr>
              <w:jc w:val="center"/>
              <w:rPr>
                <w:rFonts w:ascii="Arial Narrow" w:hAnsi="Arial Narrow"/>
              </w:rPr>
            </w:pPr>
            <w:r>
              <w:rPr>
                <w:rFonts w:ascii="Arial Narrow" w:hAnsi="Arial Narrow"/>
              </w:rPr>
              <w:t>43 (7%)</w:t>
            </w:r>
          </w:p>
        </w:tc>
        <w:tc>
          <w:tcPr>
            <w:tcW w:w="2694" w:type="dxa"/>
            <w:hideMark/>
          </w:tcPr>
          <w:p w14:paraId="16A09073" w14:textId="77777777" w:rsidR="00354E64" w:rsidRDefault="00354E64">
            <w:pPr>
              <w:jc w:val="center"/>
              <w:rPr>
                <w:rFonts w:ascii="Arial Narrow" w:hAnsi="Arial Narrow"/>
              </w:rPr>
            </w:pPr>
            <w:r>
              <w:rPr>
                <w:rFonts w:ascii="Arial Narrow" w:hAnsi="Arial Narrow"/>
              </w:rPr>
              <w:t>23 (4%)</w:t>
            </w:r>
          </w:p>
        </w:tc>
      </w:tr>
      <w:tr w:rsidR="00354E64" w14:paraId="0529A482" w14:textId="77777777" w:rsidTr="00096112">
        <w:trPr>
          <w:trHeight w:hRule="exact" w:val="620"/>
        </w:trPr>
        <w:tc>
          <w:tcPr>
            <w:tcW w:w="3260" w:type="dxa"/>
            <w:hideMark/>
          </w:tcPr>
          <w:p w14:paraId="260DA410" w14:textId="77777777" w:rsidR="00354E64" w:rsidRDefault="00354E64">
            <w:pPr>
              <w:spacing w:after="120"/>
              <w:rPr>
                <w:rFonts w:ascii="Arial Narrow" w:hAnsi="Arial Narrow"/>
                <w:b/>
              </w:rPr>
            </w:pPr>
            <w:r>
              <w:rPr>
                <w:rFonts w:ascii="Arial Narrow" w:hAnsi="Arial Narrow"/>
                <w:b/>
              </w:rPr>
              <w:t>General disorders and administration site conditions</w:t>
            </w:r>
          </w:p>
        </w:tc>
        <w:tc>
          <w:tcPr>
            <w:tcW w:w="2835" w:type="dxa"/>
          </w:tcPr>
          <w:p w14:paraId="745BB3E1" w14:textId="77777777" w:rsidR="00354E64" w:rsidRDefault="00354E64">
            <w:pPr>
              <w:jc w:val="center"/>
              <w:rPr>
                <w:rFonts w:ascii="Arial Narrow" w:hAnsi="Arial Narrow"/>
                <w:b/>
              </w:rPr>
            </w:pPr>
          </w:p>
        </w:tc>
        <w:tc>
          <w:tcPr>
            <w:tcW w:w="2694" w:type="dxa"/>
          </w:tcPr>
          <w:p w14:paraId="7D10B62C" w14:textId="77777777" w:rsidR="00354E64" w:rsidRDefault="00354E64">
            <w:pPr>
              <w:jc w:val="center"/>
              <w:rPr>
                <w:rFonts w:ascii="Arial Narrow" w:hAnsi="Arial Narrow"/>
                <w:b/>
              </w:rPr>
            </w:pPr>
          </w:p>
        </w:tc>
      </w:tr>
      <w:tr w:rsidR="00354E64" w14:paraId="64B52101" w14:textId="77777777" w:rsidTr="00096112">
        <w:trPr>
          <w:trHeight w:hRule="exact" w:val="283"/>
        </w:trPr>
        <w:tc>
          <w:tcPr>
            <w:tcW w:w="3260" w:type="dxa"/>
            <w:hideMark/>
          </w:tcPr>
          <w:p w14:paraId="2998BFB5" w14:textId="77777777" w:rsidR="00354E64" w:rsidRDefault="00354E64">
            <w:pPr>
              <w:pStyle w:val="TableParagraph"/>
              <w:spacing w:line="276" w:lineRule="auto"/>
              <w:ind w:left="161" w:right="0"/>
              <w:jc w:val="left"/>
              <w:rPr>
                <w:rFonts w:ascii="Arial Narrow" w:hAnsi="Arial Narrow"/>
              </w:rPr>
            </w:pPr>
            <w:r>
              <w:rPr>
                <w:rFonts w:ascii="Arial Narrow" w:hAnsi="Arial Narrow"/>
              </w:rPr>
              <w:t>Injection site pain</w:t>
            </w:r>
          </w:p>
        </w:tc>
        <w:tc>
          <w:tcPr>
            <w:tcW w:w="2835" w:type="dxa"/>
            <w:hideMark/>
          </w:tcPr>
          <w:p w14:paraId="63FF4A3C" w14:textId="77777777" w:rsidR="00354E64" w:rsidRDefault="00354E64">
            <w:pPr>
              <w:pStyle w:val="TableParagraph"/>
              <w:spacing w:line="276" w:lineRule="auto"/>
              <w:ind w:right="0"/>
              <w:jc w:val="center"/>
              <w:rPr>
                <w:rFonts w:ascii="Arial Narrow" w:hAnsi="Arial Narrow"/>
              </w:rPr>
            </w:pPr>
            <w:r>
              <w:rPr>
                <w:rFonts w:ascii="Arial Narrow" w:hAnsi="Arial Narrow"/>
              </w:rPr>
              <w:t>458 (77%)</w:t>
            </w:r>
          </w:p>
        </w:tc>
        <w:tc>
          <w:tcPr>
            <w:tcW w:w="2694" w:type="dxa"/>
            <w:hideMark/>
          </w:tcPr>
          <w:p w14:paraId="53CFC493" w14:textId="77777777" w:rsidR="00354E64" w:rsidRDefault="00354E64">
            <w:pPr>
              <w:pStyle w:val="TableParagraph"/>
              <w:spacing w:line="276" w:lineRule="auto"/>
              <w:ind w:right="0"/>
              <w:jc w:val="center"/>
              <w:rPr>
                <w:rFonts w:ascii="Arial Narrow" w:hAnsi="Arial Narrow"/>
              </w:rPr>
            </w:pPr>
            <w:r>
              <w:rPr>
                <w:rFonts w:ascii="Arial Narrow" w:hAnsi="Arial Narrow"/>
              </w:rPr>
              <w:t>-</w:t>
            </w:r>
          </w:p>
        </w:tc>
      </w:tr>
      <w:tr w:rsidR="00354E64" w14:paraId="5B1AAD3F" w14:textId="77777777" w:rsidTr="00096112">
        <w:trPr>
          <w:trHeight w:hRule="exact" w:val="284"/>
        </w:trPr>
        <w:tc>
          <w:tcPr>
            <w:tcW w:w="3260" w:type="dxa"/>
            <w:hideMark/>
          </w:tcPr>
          <w:p w14:paraId="13C008E5" w14:textId="77777777" w:rsidR="00354E64" w:rsidRDefault="00354E64">
            <w:pPr>
              <w:ind w:left="161"/>
              <w:rPr>
                <w:rFonts w:ascii="Arial Narrow" w:hAnsi="Arial Narrow"/>
              </w:rPr>
            </w:pPr>
            <w:r>
              <w:rPr>
                <w:rFonts w:ascii="Arial Narrow" w:hAnsi="Arial Narrow"/>
              </w:rPr>
              <w:t>Injection site nodule</w:t>
            </w:r>
          </w:p>
        </w:tc>
        <w:tc>
          <w:tcPr>
            <w:tcW w:w="2835" w:type="dxa"/>
            <w:hideMark/>
          </w:tcPr>
          <w:p w14:paraId="4921F163" w14:textId="77777777" w:rsidR="00354E64" w:rsidRDefault="00354E64">
            <w:pPr>
              <w:jc w:val="center"/>
              <w:rPr>
                <w:rFonts w:ascii="Arial Narrow" w:hAnsi="Arial Narrow"/>
              </w:rPr>
            </w:pPr>
            <w:r>
              <w:rPr>
                <w:rFonts w:ascii="Arial Narrow" w:hAnsi="Arial Narrow"/>
              </w:rPr>
              <w:t>81 (14%</w:t>
            </w:r>
          </w:p>
        </w:tc>
        <w:tc>
          <w:tcPr>
            <w:tcW w:w="2694" w:type="dxa"/>
            <w:hideMark/>
          </w:tcPr>
          <w:p w14:paraId="363645A5" w14:textId="77777777" w:rsidR="00354E64" w:rsidRDefault="00354E64">
            <w:pPr>
              <w:jc w:val="center"/>
              <w:rPr>
                <w:rFonts w:ascii="Arial Narrow" w:hAnsi="Arial Narrow"/>
              </w:rPr>
            </w:pPr>
            <w:r>
              <w:rPr>
                <w:rFonts w:ascii="Arial Narrow" w:hAnsi="Arial Narrow"/>
              </w:rPr>
              <w:t>-</w:t>
            </w:r>
          </w:p>
        </w:tc>
      </w:tr>
      <w:tr w:rsidR="00354E64" w14:paraId="63605EAC" w14:textId="77777777" w:rsidTr="00096112">
        <w:trPr>
          <w:trHeight w:hRule="exact" w:val="284"/>
        </w:trPr>
        <w:tc>
          <w:tcPr>
            <w:tcW w:w="3260" w:type="dxa"/>
            <w:hideMark/>
          </w:tcPr>
          <w:p w14:paraId="29752FB7" w14:textId="77777777" w:rsidR="00354E64" w:rsidRDefault="00354E64">
            <w:pPr>
              <w:ind w:left="161"/>
              <w:rPr>
                <w:rFonts w:ascii="Arial Narrow" w:hAnsi="Arial Narrow"/>
              </w:rPr>
            </w:pPr>
            <w:r>
              <w:rPr>
                <w:rFonts w:ascii="Arial Narrow" w:hAnsi="Arial Narrow"/>
              </w:rPr>
              <w:t>Injection site induration</w:t>
            </w:r>
          </w:p>
        </w:tc>
        <w:tc>
          <w:tcPr>
            <w:tcW w:w="2835" w:type="dxa"/>
            <w:hideMark/>
          </w:tcPr>
          <w:p w14:paraId="0FB4538E" w14:textId="77777777" w:rsidR="00354E64" w:rsidRDefault="00354E64">
            <w:pPr>
              <w:jc w:val="center"/>
              <w:rPr>
                <w:rFonts w:ascii="Arial Narrow" w:hAnsi="Arial Narrow"/>
              </w:rPr>
            </w:pPr>
            <w:r>
              <w:rPr>
                <w:rFonts w:ascii="Arial Narrow" w:hAnsi="Arial Narrow"/>
              </w:rPr>
              <w:t>68 (12%)</w:t>
            </w:r>
          </w:p>
        </w:tc>
        <w:tc>
          <w:tcPr>
            <w:tcW w:w="2694" w:type="dxa"/>
            <w:hideMark/>
          </w:tcPr>
          <w:p w14:paraId="13F61A6C" w14:textId="77777777" w:rsidR="00354E64" w:rsidRDefault="00354E64">
            <w:pPr>
              <w:jc w:val="center"/>
              <w:rPr>
                <w:rFonts w:ascii="Arial Narrow" w:hAnsi="Arial Narrow"/>
              </w:rPr>
            </w:pPr>
            <w:r>
              <w:rPr>
                <w:rFonts w:ascii="Arial Narrow" w:hAnsi="Arial Narrow"/>
              </w:rPr>
              <w:t>-</w:t>
            </w:r>
          </w:p>
        </w:tc>
      </w:tr>
      <w:tr w:rsidR="00354E64" w14:paraId="775EAC5A" w14:textId="77777777" w:rsidTr="00096112">
        <w:trPr>
          <w:trHeight w:hRule="exact" w:val="284"/>
        </w:trPr>
        <w:tc>
          <w:tcPr>
            <w:tcW w:w="3260" w:type="dxa"/>
            <w:hideMark/>
          </w:tcPr>
          <w:p w14:paraId="031CEA98" w14:textId="77777777" w:rsidR="00354E64" w:rsidRDefault="00354E64">
            <w:pPr>
              <w:ind w:left="161"/>
              <w:rPr>
                <w:rFonts w:ascii="Arial Narrow" w:hAnsi="Arial Narrow"/>
              </w:rPr>
            </w:pPr>
            <w:r>
              <w:rPr>
                <w:rFonts w:ascii="Arial Narrow" w:hAnsi="Arial Narrow"/>
              </w:rPr>
              <w:t>Injection site swelling</w:t>
            </w:r>
          </w:p>
        </w:tc>
        <w:tc>
          <w:tcPr>
            <w:tcW w:w="2835" w:type="dxa"/>
            <w:hideMark/>
          </w:tcPr>
          <w:p w14:paraId="0760713C" w14:textId="77777777" w:rsidR="00354E64" w:rsidRDefault="00354E64">
            <w:pPr>
              <w:jc w:val="center"/>
              <w:rPr>
                <w:rFonts w:ascii="Arial Narrow" w:hAnsi="Arial Narrow"/>
              </w:rPr>
            </w:pPr>
            <w:r>
              <w:rPr>
                <w:rFonts w:ascii="Arial Narrow" w:hAnsi="Arial Narrow"/>
              </w:rPr>
              <w:t>46 (8%)</w:t>
            </w:r>
          </w:p>
        </w:tc>
        <w:tc>
          <w:tcPr>
            <w:tcW w:w="2694" w:type="dxa"/>
            <w:hideMark/>
          </w:tcPr>
          <w:p w14:paraId="19E4BE21" w14:textId="77777777" w:rsidR="00354E64" w:rsidRDefault="00354E64">
            <w:pPr>
              <w:jc w:val="center"/>
              <w:rPr>
                <w:rFonts w:ascii="Arial Narrow" w:hAnsi="Arial Narrow"/>
              </w:rPr>
            </w:pPr>
            <w:r>
              <w:rPr>
                <w:rFonts w:ascii="Arial Narrow" w:hAnsi="Arial Narrow"/>
              </w:rPr>
              <w:t>-</w:t>
            </w:r>
          </w:p>
        </w:tc>
      </w:tr>
      <w:tr w:rsidR="00354E64" w14:paraId="62845237" w14:textId="77777777" w:rsidTr="00096112">
        <w:trPr>
          <w:trHeight w:hRule="exact" w:val="284"/>
        </w:trPr>
        <w:tc>
          <w:tcPr>
            <w:tcW w:w="3260" w:type="dxa"/>
            <w:hideMark/>
          </w:tcPr>
          <w:p w14:paraId="0606E861" w14:textId="77777777" w:rsidR="00354E64" w:rsidRDefault="00354E64">
            <w:pPr>
              <w:ind w:left="161"/>
              <w:rPr>
                <w:rFonts w:ascii="Arial Narrow" w:hAnsi="Arial Narrow"/>
              </w:rPr>
            </w:pPr>
            <w:r>
              <w:rPr>
                <w:rFonts w:ascii="Arial Narrow" w:hAnsi="Arial Narrow"/>
              </w:rPr>
              <w:t>Pyrexia</w:t>
            </w:r>
          </w:p>
        </w:tc>
        <w:tc>
          <w:tcPr>
            <w:tcW w:w="2835" w:type="dxa"/>
            <w:hideMark/>
          </w:tcPr>
          <w:p w14:paraId="520D8DDB" w14:textId="77777777" w:rsidR="00354E64" w:rsidRDefault="00354E64">
            <w:pPr>
              <w:jc w:val="center"/>
              <w:rPr>
                <w:rFonts w:ascii="Arial Narrow" w:hAnsi="Arial Narrow"/>
              </w:rPr>
            </w:pPr>
            <w:r>
              <w:rPr>
                <w:rFonts w:ascii="Arial Narrow" w:hAnsi="Arial Narrow"/>
              </w:rPr>
              <w:t>43 (7%)</w:t>
            </w:r>
          </w:p>
        </w:tc>
        <w:tc>
          <w:tcPr>
            <w:tcW w:w="2694" w:type="dxa"/>
            <w:hideMark/>
          </w:tcPr>
          <w:p w14:paraId="6D07E25F" w14:textId="77777777" w:rsidR="00354E64" w:rsidRDefault="00354E64">
            <w:pPr>
              <w:jc w:val="center"/>
              <w:rPr>
                <w:rFonts w:ascii="Arial Narrow" w:hAnsi="Arial Narrow"/>
              </w:rPr>
            </w:pPr>
            <w:r>
              <w:rPr>
                <w:rFonts w:ascii="Arial Narrow" w:hAnsi="Arial Narrow"/>
              </w:rPr>
              <w:t>13 (2%)</w:t>
            </w:r>
          </w:p>
        </w:tc>
      </w:tr>
      <w:tr w:rsidR="00354E64" w14:paraId="1D3C912A" w14:textId="77777777" w:rsidTr="00096112">
        <w:trPr>
          <w:trHeight w:hRule="exact" w:val="284"/>
        </w:trPr>
        <w:tc>
          <w:tcPr>
            <w:tcW w:w="3260" w:type="dxa"/>
            <w:hideMark/>
          </w:tcPr>
          <w:p w14:paraId="095303FE" w14:textId="77777777" w:rsidR="00354E64" w:rsidRDefault="00354E64">
            <w:pPr>
              <w:ind w:left="161"/>
              <w:rPr>
                <w:rFonts w:ascii="Arial Narrow" w:hAnsi="Arial Narrow"/>
              </w:rPr>
            </w:pPr>
            <w:r>
              <w:rPr>
                <w:rFonts w:ascii="Arial Narrow" w:hAnsi="Arial Narrow"/>
              </w:rPr>
              <w:t>Injection site pruritis</w:t>
            </w:r>
          </w:p>
        </w:tc>
        <w:tc>
          <w:tcPr>
            <w:tcW w:w="2835" w:type="dxa"/>
            <w:hideMark/>
          </w:tcPr>
          <w:p w14:paraId="50CCCBFD" w14:textId="77777777" w:rsidR="00354E64" w:rsidRDefault="00354E64">
            <w:pPr>
              <w:jc w:val="center"/>
              <w:rPr>
                <w:rFonts w:ascii="Arial Narrow" w:hAnsi="Arial Narrow"/>
              </w:rPr>
            </w:pPr>
            <w:r>
              <w:rPr>
                <w:rFonts w:ascii="Arial Narrow" w:hAnsi="Arial Narrow"/>
              </w:rPr>
              <w:t>23 (4%)</w:t>
            </w:r>
          </w:p>
        </w:tc>
        <w:tc>
          <w:tcPr>
            <w:tcW w:w="2694" w:type="dxa"/>
            <w:hideMark/>
          </w:tcPr>
          <w:p w14:paraId="5BBA82E6" w14:textId="77777777" w:rsidR="00354E64" w:rsidRDefault="00354E64">
            <w:pPr>
              <w:jc w:val="center"/>
              <w:rPr>
                <w:rFonts w:ascii="Arial Narrow" w:hAnsi="Arial Narrow"/>
              </w:rPr>
            </w:pPr>
            <w:r>
              <w:rPr>
                <w:rFonts w:ascii="Arial Narrow" w:hAnsi="Arial Narrow"/>
              </w:rPr>
              <w:t>-</w:t>
            </w:r>
          </w:p>
        </w:tc>
      </w:tr>
      <w:tr w:rsidR="00354E64" w14:paraId="70588691" w14:textId="77777777" w:rsidTr="00096112">
        <w:trPr>
          <w:trHeight w:hRule="exact" w:val="284"/>
        </w:trPr>
        <w:tc>
          <w:tcPr>
            <w:tcW w:w="3260" w:type="dxa"/>
            <w:hideMark/>
          </w:tcPr>
          <w:p w14:paraId="3799C968" w14:textId="77777777" w:rsidR="00354E64" w:rsidRDefault="00354E64">
            <w:pPr>
              <w:ind w:left="161"/>
              <w:rPr>
                <w:rFonts w:ascii="Arial Narrow" w:hAnsi="Arial Narrow"/>
              </w:rPr>
            </w:pPr>
            <w:r>
              <w:rPr>
                <w:rFonts w:ascii="Arial Narrow" w:hAnsi="Arial Narrow"/>
              </w:rPr>
              <w:t>Fatigue</w:t>
            </w:r>
          </w:p>
        </w:tc>
        <w:tc>
          <w:tcPr>
            <w:tcW w:w="2835" w:type="dxa"/>
            <w:hideMark/>
          </w:tcPr>
          <w:p w14:paraId="21D069C2" w14:textId="77777777" w:rsidR="00354E64" w:rsidRDefault="00354E64">
            <w:pPr>
              <w:jc w:val="center"/>
              <w:rPr>
                <w:rFonts w:ascii="Arial Narrow" w:hAnsi="Arial Narrow"/>
              </w:rPr>
            </w:pPr>
            <w:r>
              <w:rPr>
                <w:rFonts w:ascii="Arial Narrow" w:hAnsi="Arial Narrow"/>
              </w:rPr>
              <w:t>29 (5%)</w:t>
            </w:r>
          </w:p>
        </w:tc>
        <w:tc>
          <w:tcPr>
            <w:tcW w:w="2694" w:type="dxa"/>
            <w:hideMark/>
          </w:tcPr>
          <w:p w14:paraId="5375FC2F" w14:textId="77777777" w:rsidR="00354E64" w:rsidRDefault="00354E64">
            <w:pPr>
              <w:jc w:val="center"/>
              <w:rPr>
                <w:rFonts w:ascii="Arial Narrow" w:hAnsi="Arial Narrow"/>
              </w:rPr>
            </w:pPr>
            <w:r>
              <w:rPr>
                <w:rFonts w:ascii="Arial Narrow" w:hAnsi="Arial Narrow"/>
              </w:rPr>
              <w:t>14 (2%)</w:t>
            </w:r>
          </w:p>
        </w:tc>
      </w:tr>
      <w:tr w:rsidR="00354E64" w14:paraId="5A102F44" w14:textId="77777777" w:rsidTr="00096112">
        <w:trPr>
          <w:trHeight w:hRule="exact" w:val="699"/>
        </w:trPr>
        <w:tc>
          <w:tcPr>
            <w:tcW w:w="3260" w:type="dxa"/>
            <w:hideMark/>
          </w:tcPr>
          <w:p w14:paraId="0F2F4D4F" w14:textId="77777777" w:rsidR="00354E64" w:rsidRDefault="00354E64">
            <w:pPr>
              <w:spacing w:after="120"/>
              <w:rPr>
                <w:rFonts w:ascii="Arial Narrow" w:hAnsi="Arial Narrow"/>
                <w:b/>
              </w:rPr>
            </w:pPr>
            <w:r>
              <w:rPr>
                <w:rFonts w:ascii="Arial Narrow" w:hAnsi="Arial Narrow"/>
                <w:b/>
              </w:rPr>
              <w:t>Respiratory, thoracic and mediastinal disorders</w:t>
            </w:r>
          </w:p>
        </w:tc>
        <w:tc>
          <w:tcPr>
            <w:tcW w:w="2835" w:type="dxa"/>
          </w:tcPr>
          <w:p w14:paraId="24B58114" w14:textId="77777777" w:rsidR="00354E64" w:rsidRDefault="00354E64">
            <w:pPr>
              <w:jc w:val="center"/>
              <w:rPr>
                <w:rFonts w:ascii="Arial Narrow" w:hAnsi="Arial Narrow"/>
                <w:b/>
              </w:rPr>
            </w:pPr>
          </w:p>
        </w:tc>
        <w:tc>
          <w:tcPr>
            <w:tcW w:w="2694" w:type="dxa"/>
          </w:tcPr>
          <w:p w14:paraId="6225AAA4" w14:textId="77777777" w:rsidR="00354E64" w:rsidRDefault="00354E64">
            <w:pPr>
              <w:jc w:val="center"/>
              <w:rPr>
                <w:rFonts w:ascii="Arial Narrow" w:hAnsi="Arial Narrow"/>
                <w:b/>
              </w:rPr>
            </w:pPr>
          </w:p>
        </w:tc>
      </w:tr>
      <w:tr w:rsidR="00354E64" w14:paraId="483D6351" w14:textId="77777777" w:rsidTr="00096112">
        <w:trPr>
          <w:trHeight w:hRule="exact" w:val="284"/>
        </w:trPr>
        <w:tc>
          <w:tcPr>
            <w:tcW w:w="3260" w:type="dxa"/>
            <w:hideMark/>
          </w:tcPr>
          <w:p w14:paraId="39F22DCD" w14:textId="77777777" w:rsidR="00354E64" w:rsidRDefault="00354E64">
            <w:pPr>
              <w:ind w:left="161"/>
              <w:rPr>
                <w:rFonts w:ascii="Arial Narrow" w:hAnsi="Arial Narrow"/>
              </w:rPr>
            </w:pPr>
            <w:r>
              <w:rPr>
                <w:rFonts w:ascii="Arial Narrow" w:hAnsi="Arial Narrow"/>
              </w:rPr>
              <w:t>Cough</w:t>
            </w:r>
          </w:p>
        </w:tc>
        <w:tc>
          <w:tcPr>
            <w:tcW w:w="2835" w:type="dxa"/>
            <w:hideMark/>
          </w:tcPr>
          <w:p w14:paraId="1AD3F31B" w14:textId="77777777" w:rsidR="00354E64" w:rsidRDefault="00354E64">
            <w:pPr>
              <w:jc w:val="center"/>
              <w:rPr>
                <w:rFonts w:ascii="Arial Narrow" w:hAnsi="Arial Narrow"/>
              </w:rPr>
            </w:pPr>
            <w:r>
              <w:rPr>
                <w:rFonts w:ascii="Arial Narrow" w:hAnsi="Arial Narrow"/>
              </w:rPr>
              <w:t>26 (4%)</w:t>
            </w:r>
          </w:p>
        </w:tc>
        <w:tc>
          <w:tcPr>
            <w:tcW w:w="2694" w:type="dxa"/>
            <w:hideMark/>
          </w:tcPr>
          <w:p w14:paraId="50222049" w14:textId="77777777" w:rsidR="00354E64" w:rsidRDefault="00354E64">
            <w:pPr>
              <w:jc w:val="center"/>
              <w:rPr>
                <w:rFonts w:ascii="Arial Narrow" w:hAnsi="Arial Narrow"/>
              </w:rPr>
            </w:pPr>
            <w:r>
              <w:rPr>
                <w:rFonts w:ascii="Arial Narrow" w:hAnsi="Arial Narrow"/>
              </w:rPr>
              <w:t>26 (4%)</w:t>
            </w:r>
          </w:p>
        </w:tc>
      </w:tr>
      <w:tr w:rsidR="00354E64" w14:paraId="7AB6F2FD" w14:textId="77777777" w:rsidTr="00096112">
        <w:trPr>
          <w:trHeight w:hRule="exact" w:val="284"/>
        </w:trPr>
        <w:tc>
          <w:tcPr>
            <w:tcW w:w="3260" w:type="dxa"/>
            <w:hideMark/>
          </w:tcPr>
          <w:p w14:paraId="7617E93F" w14:textId="77777777" w:rsidR="00354E64" w:rsidRDefault="00354E64">
            <w:pPr>
              <w:ind w:left="22"/>
              <w:rPr>
                <w:rFonts w:ascii="Arial Narrow" w:hAnsi="Arial Narrow"/>
                <w:b/>
              </w:rPr>
            </w:pPr>
            <w:r>
              <w:rPr>
                <w:rFonts w:ascii="Arial Narrow" w:hAnsi="Arial Narrow"/>
                <w:b/>
              </w:rPr>
              <w:t>Metabolism and nutrition disorders</w:t>
            </w:r>
          </w:p>
        </w:tc>
        <w:tc>
          <w:tcPr>
            <w:tcW w:w="2835" w:type="dxa"/>
          </w:tcPr>
          <w:p w14:paraId="0E5C1964" w14:textId="77777777" w:rsidR="00354E64" w:rsidRDefault="00354E64">
            <w:pPr>
              <w:jc w:val="center"/>
              <w:rPr>
                <w:rFonts w:ascii="Arial Narrow" w:hAnsi="Arial Narrow"/>
              </w:rPr>
            </w:pPr>
          </w:p>
        </w:tc>
        <w:tc>
          <w:tcPr>
            <w:tcW w:w="2694" w:type="dxa"/>
          </w:tcPr>
          <w:p w14:paraId="7E46BC69" w14:textId="77777777" w:rsidR="00354E64" w:rsidRDefault="00354E64">
            <w:pPr>
              <w:jc w:val="center"/>
              <w:rPr>
                <w:rFonts w:ascii="Arial Narrow" w:hAnsi="Arial Narrow"/>
              </w:rPr>
            </w:pPr>
          </w:p>
        </w:tc>
      </w:tr>
      <w:tr w:rsidR="00354E64" w14:paraId="178D347E" w14:textId="77777777" w:rsidTr="00096112">
        <w:trPr>
          <w:trHeight w:hRule="exact" w:val="284"/>
        </w:trPr>
        <w:tc>
          <w:tcPr>
            <w:tcW w:w="3260" w:type="dxa"/>
            <w:hideMark/>
          </w:tcPr>
          <w:p w14:paraId="5794D503" w14:textId="77777777" w:rsidR="00354E64" w:rsidRDefault="00354E64">
            <w:pPr>
              <w:ind w:left="161"/>
              <w:rPr>
                <w:rFonts w:ascii="Arial Narrow" w:hAnsi="Arial Narrow"/>
              </w:rPr>
            </w:pPr>
            <w:r>
              <w:rPr>
                <w:rFonts w:ascii="Arial Narrow" w:hAnsi="Arial Narrow"/>
              </w:rPr>
              <w:t>Vitamin D deficiency</w:t>
            </w:r>
          </w:p>
        </w:tc>
        <w:tc>
          <w:tcPr>
            <w:tcW w:w="2835" w:type="dxa"/>
            <w:hideMark/>
          </w:tcPr>
          <w:p w14:paraId="03BCACBC" w14:textId="77777777" w:rsidR="00354E64" w:rsidRDefault="00354E64">
            <w:pPr>
              <w:jc w:val="center"/>
              <w:rPr>
                <w:rFonts w:ascii="Arial Narrow" w:hAnsi="Arial Narrow"/>
              </w:rPr>
            </w:pPr>
            <w:r>
              <w:rPr>
                <w:rFonts w:ascii="Arial Narrow" w:hAnsi="Arial Narrow"/>
              </w:rPr>
              <w:t>31 (5%)</w:t>
            </w:r>
          </w:p>
        </w:tc>
        <w:tc>
          <w:tcPr>
            <w:tcW w:w="2694" w:type="dxa"/>
            <w:hideMark/>
          </w:tcPr>
          <w:p w14:paraId="783B5733" w14:textId="77777777" w:rsidR="00354E64" w:rsidRDefault="00354E64">
            <w:pPr>
              <w:jc w:val="center"/>
              <w:rPr>
                <w:rFonts w:ascii="Arial Narrow" w:hAnsi="Arial Narrow"/>
              </w:rPr>
            </w:pPr>
            <w:r>
              <w:rPr>
                <w:rFonts w:ascii="Arial Narrow" w:hAnsi="Arial Narrow"/>
              </w:rPr>
              <w:t>25 (4%)</w:t>
            </w:r>
          </w:p>
        </w:tc>
      </w:tr>
    </w:tbl>
    <w:p w14:paraId="16EF8D16" w14:textId="77777777" w:rsidR="009436C7" w:rsidRDefault="009436C7" w:rsidP="008D6D88">
      <w:pPr>
        <w:rPr>
          <w:rFonts w:ascii="Arial" w:hAnsi="Arial" w:cs="Arial"/>
          <w:lang w:val="en"/>
        </w:rPr>
      </w:pPr>
      <w:bookmarkStart w:id="22" w:name="_Hlk6090180"/>
    </w:p>
    <w:p w14:paraId="5A50AC40" w14:textId="09D04B90" w:rsidR="008D6D88" w:rsidRPr="0011749B" w:rsidRDefault="008D6D88" w:rsidP="008D6D88">
      <w:pPr>
        <w:rPr>
          <w:rFonts w:ascii="Arial" w:hAnsi="Arial" w:cs="Arial"/>
          <w:lang w:val="en"/>
        </w:rPr>
      </w:pPr>
      <w:r w:rsidRPr="0011749B">
        <w:rPr>
          <w:rFonts w:ascii="Arial" w:hAnsi="Arial" w:cs="Arial"/>
          <w:lang w:val="en"/>
        </w:rPr>
        <w:t xml:space="preserve">Adverse events leading to discontinuation and occurring in more than 1 </w:t>
      </w:r>
      <w:r w:rsidR="0011749B" w:rsidRPr="0011749B">
        <w:rPr>
          <w:rFonts w:ascii="Arial" w:hAnsi="Arial" w:cs="Arial"/>
          <w:lang w:val="en"/>
        </w:rPr>
        <w:t>subject</w:t>
      </w:r>
      <w:r w:rsidRPr="0011749B">
        <w:rPr>
          <w:rFonts w:ascii="Arial" w:hAnsi="Arial" w:cs="Arial"/>
          <w:lang w:val="en"/>
        </w:rPr>
        <w:t xml:space="preserve"> were injection site reactions, hepatitis A, acute hepatitis B, headache, and diarrhea which occurred with an incidence of ≤1%.</w:t>
      </w:r>
      <w:r w:rsidR="0011749B" w:rsidRPr="0011749B">
        <w:rPr>
          <w:rFonts w:ascii="Arial" w:hAnsi="Arial" w:cs="Arial"/>
          <w:lang w:val="en"/>
        </w:rPr>
        <w:t xml:space="preserve"> </w:t>
      </w:r>
      <w:r w:rsidR="00354E64">
        <w:rPr>
          <w:rFonts w:ascii="Arial" w:hAnsi="Arial" w:cs="Arial"/>
          <w:lang w:val="en"/>
        </w:rPr>
        <w:t>The incidence of s</w:t>
      </w:r>
      <w:r w:rsidR="0011749B" w:rsidRPr="0011749B">
        <w:rPr>
          <w:rFonts w:ascii="Arial" w:hAnsi="Arial" w:cs="Arial"/>
          <w:lang w:val="en"/>
        </w:rPr>
        <w:t>erious</w:t>
      </w:r>
      <w:r w:rsidR="00354E64">
        <w:rPr>
          <w:rFonts w:ascii="Arial" w:hAnsi="Arial" w:cs="Arial"/>
          <w:lang w:val="en"/>
        </w:rPr>
        <w:t xml:space="preserve"> adverse events was 5% in subjects receiving CABENUVA and 4% for subjects remaining on current antiretroviral therapy.</w:t>
      </w:r>
    </w:p>
    <w:bookmarkEnd w:id="22"/>
    <w:p w14:paraId="63ECF062" w14:textId="1511393F" w:rsidR="0011749B" w:rsidRPr="005617F2" w:rsidRDefault="0011749B" w:rsidP="005617F2">
      <w:pPr>
        <w:pStyle w:val="Heading4"/>
        <w:rPr>
          <w:rFonts w:ascii="Arial" w:hAnsi="Arial" w:cs="Arial"/>
          <w:color w:val="auto"/>
        </w:rPr>
      </w:pPr>
      <w:r w:rsidRPr="005617F2">
        <w:rPr>
          <w:rFonts w:ascii="Arial" w:hAnsi="Arial" w:cs="Arial"/>
          <w:color w:val="auto"/>
        </w:rPr>
        <w:lastRenderedPageBreak/>
        <w:t xml:space="preserve">Adverse </w:t>
      </w:r>
      <w:r w:rsidR="00EC1C0B">
        <w:rPr>
          <w:rFonts w:ascii="Arial" w:hAnsi="Arial" w:cs="Arial"/>
          <w:color w:val="auto"/>
        </w:rPr>
        <w:t>drug r</w:t>
      </w:r>
      <w:r w:rsidRPr="005617F2">
        <w:rPr>
          <w:rFonts w:ascii="Arial" w:hAnsi="Arial" w:cs="Arial"/>
          <w:color w:val="auto"/>
        </w:rPr>
        <w:t>eactions</w:t>
      </w:r>
    </w:p>
    <w:p w14:paraId="574D81EE" w14:textId="537E6FD6" w:rsidR="00D4064D" w:rsidRDefault="00D4064D" w:rsidP="000D668F">
      <w:pPr>
        <w:rPr>
          <w:rFonts w:ascii="Arial" w:hAnsi="Arial" w:cs="Arial"/>
          <w:lang w:val="en"/>
        </w:rPr>
      </w:pPr>
      <w:bookmarkStart w:id="23" w:name="_Hlk63244006"/>
      <w:r w:rsidRPr="008D6D88">
        <w:rPr>
          <w:rFonts w:ascii="Arial" w:hAnsi="Arial" w:cs="Arial"/>
          <w:lang w:val="en"/>
        </w:rPr>
        <w:t>ADRs are adverse events that are considered to be reasonably associated with the use of a drug based on the comprehensive assessment of the available adverse event information. A causal relationship cannot be reliably established in individual cases.</w:t>
      </w:r>
    </w:p>
    <w:bookmarkEnd w:id="23"/>
    <w:p w14:paraId="13CED757" w14:textId="77BC5B24" w:rsidR="0011749B" w:rsidRPr="0011749B" w:rsidRDefault="0011749B" w:rsidP="000D668F">
      <w:pPr>
        <w:rPr>
          <w:rFonts w:ascii="Arial" w:hAnsi="Arial" w:cs="Arial"/>
          <w:lang w:val="en"/>
        </w:rPr>
      </w:pPr>
      <w:r w:rsidRPr="0011749B">
        <w:rPr>
          <w:rFonts w:ascii="Arial" w:hAnsi="Arial" w:cs="Arial"/>
          <w:lang w:val="en"/>
        </w:rPr>
        <w:t xml:space="preserve">Adverse </w:t>
      </w:r>
      <w:r w:rsidR="00EC1C0B">
        <w:rPr>
          <w:rFonts w:ascii="Arial" w:hAnsi="Arial" w:cs="Arial"/>
          <w:lang w:val="en"/>
        </w:rPr>
        <w:t xml:space="preserve">drug </w:t>
      </w:r>
      <w:r w:rsidRPr="0011749B">
        <w:rPr>
          <w:rFonts w:ascii="Arial" w:hAnsi="Arial" w:cs="Arial"/>
          <w:lang w:val="en"/>
        </w:rPr>
        <w:t xml:space="preserve">reactions for </w:t>
      </w:r>
      <w:r w:rsidR="00DC4D8B">
        <w:rPr>
          <w:rFonts w:ascii="Arial" w:hAnsi="Arial" w:cs="Arial"/>
          <w:lang w:val="en"/>
        </w:rPr>
        <w:t>CABENUVA</w:t>
      </w:r>
      <w:r w:rsidRPr="0011749B">
        <w:rPr>
          <w:rFonts w:ascii="Arial" w:hAnsi="Arial" w:cs="Arial"/>
          <w:lang w:val="en"/>
        </w:rPr>
        <w:t xml:space="preserve"> were identified from pivotal Phase III clinical </w:t>
      </w:r>
      <w:r w:rsidR="00EC1C0B">
        <w:rPr>
          <w:rFonts w:ascii="Arial" w:hAnsi="Arial" w:cs="Arial"/>
          <w:lang w:val="en"/>
        </w:rPr>
        <w:t>studies</w:t>
      </w:r>
      <w:r w:rsidRPr="0011749B">
        <w:rPr>
          <w:rFonts w:ascii="Arial" w:hAnsi="Arial" w:cs="Arial"/>
          <w:lang w:val="en"/>
        </w:rPr>
        <w:t xml:space="preserve"> (FLAIR and ATLAS) based on an analysis of pooled data (N=591)</w:t>
      </w:r>
      <w:r w:rsidR="005E6339">
        <w:rPr>
          <w:rFonts w:ascii="Arial" w:hAnsi="Arial" w:cs="Arial"/>
          <w:lang w:val="en"/>
        </w:rPr>
        <w:t xml:space="preserve"> and ATLAS-2M</w:t>
      </w:r>
      <w:r w:rsidRPr="0011749B">
        <w:rPr>
          <w:rFonts w:ascii="Arial" w:hAnsi="Arial" w:cs="Arial"/>
          <w:lang w:val="en"/>
        </w:rPr>
        <w:t xml:space="preserve"> at Week 48. </w:t>
      </w:r>
    </w:p>
    <w:p w14:paraId="0127E220" w14:textId="20C017F6" w:rsidR="0011749B" w:rsidRDefault="00DC4D8B" w:rsidP="000D668F">
      <w:pPr>
        <w:rPr>
          <w:rFonts w:ascii="Arial" w:hAnsi="Arial" w:cs="Arial"/>
          <w:lang w:val="en"/>
        </w:rPr>
      </w:pPr>
      <w:r>
        <w:rPr>
          <w:rFonts w:ascii="Arial" w:hAnsi="Arial" w:cs="Arial"/>
          <w:lang w:val="en"/>
        </w:rPr>
        <w:t>CABENUVA</w:t>
      </w:r>
      <w:r w:rsidR="0011749B" w:rsidRPr="0011749B">
        <w:rPr>
          <w:rFonts w:ascii="Arial" w:hAnsi="Arial" w:cs="Arial"/>
          <w:lang w:val="en"/>
        </w:rPr>
        <w:t xml:space="preserve"> </w:t>
      </w:r>
      <w:r w:rsidR="002A4CE1">
        <w:rPr>
          <w:rFonts w:ascii="Arial" w:hAnsi="Arial" w:cs="Arial"/>
          <w:lang w:val="en"/>
        </w:rPr>
        <w:t>was</w:t>
      </w:r>
      <w:r w:rsidR="0011749B" w:rsidRPr="0011749B">
        <w:rPr>
          <w:rFonts w:ascii="Arial" w:hAnsi="Arial" w:cs="Arial"/>
          <w:lang w:val="en"/>
        </w:rPr>
        <w:t xml:space="preserve"> administered as a combination regimen </w:t>
      </w:r>
      <w:r w:rsidR="002A4CE1">
        <w:rPr>
          <w:rFonts w:ascii="Arial" w:hAnsi="Arial" w:cs="Arial"/>
          <w:lang w:val="en"/>
        </w:rPr>
        <w:t>of cabotegravir and rilpivirine</w:t>
      </w:r>
      <w:r w:rsidR="005E6339" w:rsidRPr="00763708">
        <w:rPr>
          <w:rFonts w:ascii="Arial" w:hAnsi="Arial" w:cs="Arial"/>
          <w:szCs w:val="24"/>
        </w:rPr>
        <w:t xml:space="preserve">(monthly and every 2 month dosing) </w:t>
      </w:r>
      <w:r w:rsidR="0011749B" w:rsidRPr="005E6339">
        <w:rPr>
          <w:rFonts w:ascii="Arial" w:hAnsi="Arial" w:cs="Arial"/>
          <w:lang w:val="en"/>
        </w:rPr>
        <w:t>and</w:t>
      </w:r>
      <w:r w:rsidR="0011749B" w:rsidRPr="0011749B">
        <w:rPr>
          <w:rFonts w:ascii="Arial" w:hAnsi="Arial" w:cs="Arial"/>
          <w:lang w:val="en"/>
        </w:rPr>
        <w:t xml:space="preserve"> associated </w:t>
      </w:r>
      <w:r w:rsidR="0011749B">
        <w:rPr>
          <w:rFonts w:ascii="Arial" w:hAnsi="Arial" w:cs="Arial"/>
          <w:lang w:val="en"/>
        </w:rPr>
        <w:t xml:space="preserve">adverse </w:t>
      </w:r>
      <w:r w:rsidR="002A4CE1">
        <w:rPr>
          <w:rFonts w:ascii="Arial" w:hAnsi="Arial" w:cs="Arial"/>
          <w:lang w:val="en"/>
        </w:rPr>
        <w:t xml:space="preserve">drug </w:t>
      </w:r>
      <w:r w:rsidR="0011749B">
        <w:rPr>
          <w:rFonts w:ascii="Arial" w:hAnsi="Arial" w:cs="Arial"/>
          <w:lang w:val="en"/>
        </w:rPr>
        <w:t>reactions</w:t>
      </w:r>
      <w:r w:rsidR="0011749B" w:rsidRPr="0011749B">
        <w:rPr>
          <w:rFonts w:ascii="Arial" w:hAnsi="Arial" w:cs="Arial"/>
          <w:lang w:val="en"/>
        </w:rPr>
        <w:t xml:space="preserve"> are listed in Table </w:t>
      </w:r>
      <w:r w:rsidR="00936270">
        <w:rPr>
          <w:rFonts w:ascii="Arial" w:hAnsi="Arial" w:cs="Arial"/>
          <w:lang w:val="en"/>
        </w:rPr>
        <w:t>8</w:t>
      </w:r>
      <w:r w:rsidR="0011749B" w:rsidRPr="0011749B">
        <w:rPr>
          <w:rFonts w:ascii="Arial" w:hAnsi="Arial" w:cs="Arial"/>
          <w:lang w:val="en"/>
        </w:rPr>
        <w:t xml:space="preserve">. </w:t>
      </w:r>
    </w:p>
    <w:p w14:paraId="2DD9A7DF" w14:textId="0463F19E" w:rsidR="005E6339" w:rsidRPr="00763708" w:rsidRDefault="0011749B" w:rsidP="005E6339">
      <w:pPr>
        <w:rPr>
          <w:rFonts w:ascii="Arial" w:hAnsi="Arial" w:cs="Arial"/>
          <w:szCs w:val="24"/>
        </w:rPr>
      </w:pPr>
      <w:r>
        <w:rPr>
          <w:rFonts w:ascii="Arial" w:hAnsi="Arial" w:cs="Arial"/>
          <w:lang w:val="en"/>
        </w:rPr>
        <w:t xml:space="preserve">Adverse </w:t>
      </w:r>
      <w:r w:rsidR="00EC1C0B">
        <w:rPr>
          <w:rFonts w:ascii="Arial" w:hAnsi="Arial" w:cs="Arial"/>
          <w:lang w:val="en"/>
        </w:rPr>
        <w:t xml:space="preserve">drug </w:t>
      </w:r>
      <w:r>
        <w:rPr>
          <w:rFonts w:ascii="Arial" w:hAnsi="Arial" w:cs="Arial"/>
          <w:lang w:val="en"/>
        </w:rPr>
        <w:t>reactions</w:t>
      </w:r>
      <w:r w:rsidRPr="0011749B">
        <w:rPr>
          <w:rFonts w:ascii="Arial" w:hAnsi="Arial" w:cs="Arial"/>
          <w:lang w:val="en"/>
        </w:rPr>
        <w:t xml:space="preserve"> listed include those </w:t>
      </w:r>
      <w:r w:rsidRPr="005E6339">
        <w:rPr>
          <w:rFonts w:ascii="Arial" w:hAnsi="Arial" w:cs="Arial"/>
          <w:lang w:val="en"/>
        </w:rPr>
        <w:t>attributable to both the oral and injectable formulations of cabotegravir and rilpivirine.</w:t>
      </w:r>
      <w:r w:rsidR="005E6339">
        <w:rPr>
          <w:rFonts w:ascii="Arial" w:hAnsi="Arial" w:cs="Arial"/>
          <w:szCs w:val="24"/>
        </w:rPr>
        <w:t xml:space="preserve"> </w:t>
      </w:r>
      <w:r w:rsidR="005E6339" w:rsidRPr="00763708">
        <w:rPr>
          <w:rFonts w:ascii="Arial" w:hAnsi="Arial" w:cs="Arial"/>
          <w:szCs w:val="24"/>
        </w:rPr>
        <w:t xml:space="preserve">When frequencies differed between phase III studies, the highest frequency category is quoted in Table </w:t>
      </w:r>
      <w:r w:rsidR="00936270">
        <w:rPr>
          <w:rFonts w:ascii="Arial" w:hAnsi="Arial" w:cs="Arial"/>
          <w:szCs w:val="24"/>
        </w:rPr>
        <w:t>8</w:t>
      </w:r>
      <w:r w:rsidR="005E6339" w:rsidRPr="00763708">
        <w:rPr>
          <w:rFonts w:ascii="Arial" w:hAnsi="Arial" w:cs="Arial"/>
          <w:szCs w:val="24"/>
        </w:rPr>
        <w:t>.</w:t>
      </w:r>
    </w:p>
    <w:p w14:paraId="1209D52E" w14:textId="0CAA488B" w:rsidR="005E6339" w:rsidRPr="00763708" w:rsidRDefault="005E6339" w:rsidP="005E6339">
      <w:pPr>
        <w:rPr>
          <w:rFonts w:ascii="Arial" w:hAnsi="Arial" w:cs="Arial"/>
          <w:szCs w:val="24"/>
        </w:rPr>
      </w:pPr>
      <w:r w:rsidRPr="00763708">
        <w:rPr>
          <w:rFonts w:ascii="Arial" w:hAnsi="Arial" w:cs="Arial"/>
          <w:szCs w:val="24"/>
        </w:rPr>
        <w:t xml:space="preserve">The most frequently reported </w:t>
      </w:r>
      <w:r>
        <w:rPr>
          <w:rFonts w:ascii="Arial" w:hAnsi="Arial" w:cs="Arial"/>
          <w:lang w:val="en"/>
        </w:rPr>
        <w:t>adverse drug reactions</w:t>
      </w:r>
      <w:r w:rsidRPr="0011749B">
        <w:rPr>
          <w:rFonts w:ascii="Arial" w:hAnsi="Arial" w:cs="Arial"/>
          <w:lang w:val="en"/>
        </w:rPr>
        <w:t xml:space="preserve"> </w:t>
      </w:r>
      <w:r w:rsidRPr="00763708">
        <w:rPr>
          <w:rFonts w:ascii="Arial" w:hAnsi="Arial" w:cs="Arial"/>
          <w:szCs w:val="24"/>
        </w:rPr>
        <w:t>from monthly dosing studies were injection site reactions (up to 84%), headache (up to 12%) and pyrexia</w:t>
      </w:r>
      <w:r w:rsidR="0072644A">
        <w:rPr>
          <w:rFonts w:ascii="Arial" w:hAnsi="Arial" w:cs="Arial"/>
          <w:szCs w:val="24"/>
          <w:vertAlign w:val="superscript"/>
        </w:rPr>
        <w:t>4</w:t>
      </w:r>
      <w:r w:rsidRPr="00763708">
        <w:rPr>
          <w:rFonts w:ascii="Arial" w:hAnsi="Arial" w:cs="Arial"/>
          <w:szCs w:val="24"/>
        </w:rPr>
        <w:t xml:space="preserve"> (10%).</w:t>
      </w:r>
    </w:p>
    <w:p w14:paraId="1E43FDE9" w14:textId="504200C4" w:rsidR="005E6339" w:rsidRPr="00763708" w:rsidRDefault="005E6339" w:rsidP="005E6339">
      <w:pPr>
        <w:rPr>
          <w:rFonts w:ascii="Arial" w:hAnsi="Arial" w:cs="Arial"/>
          <w:szCs w:val="24"/>
        </w:rPr>
      </w:pPr>
      <w:r w:rsidRPr="00763708">
        <w:rPr>
          <w:rFonts w:ascii="Arial" w:hAnsi="Arial" w:cs="Arial"/>
          <w:szCs w:val="24"/>
        </w:rPr>
        <w:t xml:space="preserve">The most frequently reported </w:t>
      </w:r>
      <w:r>
        <w:rPr>
          <w:rFonts w:ascii="Arial" w:hAnsi="Arial" w:cs="Arial"/>
          <w:lang w:val="en"/>
        </w:rPr>
        <w:t>adverse drug reactions</w:t>
      </w:r>
      <w:r w:rsidRPr="00763708">
        <w:rPr>
          <w:rFonts w:ascii="Arial" w:hAnsi="Arial" w:cs="Arial"/>
          <w:szCs w:val="24"/>
        </w:rPr>
        <w:t xml:space="preserve"> from ATLAS-2M every 2 month dosing were injection site reactions (76%), headache (7%) and pyrexia</w:t>
      </w:r>
      <w:r w:rsidR="0072644A" w:rsidRPr="00D13251">
        <w:rPr>
          <w:rFonts w:ascii="Arial" w:hAnsi="Arial" w:cs="Arial"/>
          <w:szCs w:val="24"/>
          <w:vertAlign w:val="superscript"/>
        </w:rPr>
        <w:t>4</w:t>
      </w:r>
      <w:r w:rsidRPr="00763708">
        <w:rPr>
          <w:rFonts w:ascii="Arial" w:hAnsi="Arial" w:cs="Arial"/>
          <w:szCs w:val="24"/>
        </w:rPr>
        <w:t xml:space="preserve"> (7%).</w:t>
      </w:r>
    </w:p>
    <w:p w14:paraId="721A9DF8" w14:textId="0938E530" w:rsidR="0011749B" w:rsidRPr="0011749B" w:rsidRDefault="0011749B" w:rsidP="000D668F">
      <w:pPr>
        <w:rPr>
          <w:rFonts w:ascii="Arial" w:hAnsi="Arial" w:cs="Arial"/>
          <w:lang w:val="en"/>
        </w:rPr>
      </w:pPr>
      <w:r w:rsidRPr="0011749B">
        <w:rPr>
          <w:rFonts w:ascii="Arial" w:hAnsi="Arial" w:cs="Arial"/>
          <w:lang w:val="en"/>
        </w:rPr>
        <w:t xml:space="preserve">The adverse reactions considered at least possibly related to cabotegravir are listed in Table </w:t>
      </w:r>
      <w:r w:rsidR="005D17F9">
        <w:rPr>
          <w:rFonts w:ascii="Arial" w:hAnsi="Arial" w:cs="Arial"/>
          <w:lang w:val="en"/>
        </w:rPr>
        <w:t>7</w:t>
      </w:r>
      <w:r w:rsidRPr="0011749B">
        <w:rPr>
          <w:rFonts w:ascii="Arial" w:hAnsi="Arial" w:cs="Arial"/>
          <w:lang w:val="en"/>
        </w:rPr>
        <w:t xml:space="preserve"> by body system</w:t>
      </w:r>
      <w:r w:rsidR="00354E64">
        <w:rPr>
          <w:rFonts w:ascii="Arial" w:hAnsi="Arial" w:cs="Arial"/>
          <w:lang w:val="en"/>
        </w:rPr>
        <w:t>,</w:t>
      </w:r>
      <w:r w:rsidRPr="0011749B">
        <w:rPr>
          <w:rFonts w:ascii="Arial" w:hAnsi="Arial" w:cs="Arial"/>
          <w:lang w:val="en"/>
        </w:rPr>
        <w:t xml:space="preserve"> organ</w:t>
      </w:r>
      <w:r w:rsidR="00354E64">
        <w:rPr>
          <w:rFonts w:ascii="Arial" w:hAnsi="Arial" w:cs="Arial"/>
          <w:lang w:val="en"/>
        </w:rPr>
        <w:t>,</w:t>
      </w:r>
      <w:r w:rsidRPr="0011749B">
        <w:rPr>
          <w:rFonts w:ascii="Arial" w:hAnsi="Arial" w:cs="Arial"/>
          <w:lang w:val="en"/>
        </w:rPr>
        <w:t xml:space="preserve"> class and frequency. Frequencies are defined as very common (</w:t>
      </w:r>
      <w:r>
        <w:rPr>
          <w:rFonts w:ascii="Symbol" w:hAnsi="Symbol" w:cs="Symbol"/>
          <w:color w:val="000000"/>
        </w:rPr>
        <w:t></w:t>
      </w:r>
      <w:r w:rsidRPr="0011749B">
        <w:rPr>
          <w:rFonts w:ascii="Arial" w:hAnsi="Arial" w:cs="Arial"/>
          <w:lang w:val="en"/>
        </w:rPr>
        <w:t>1/10), common (</w:t>
      </w:r>
      <w:r>
        <w:rPr>
          <w:rFonts w:ascii="Symbol" w:hAnsi="Symbol" w:cs="Symbol"/>
          <w:color w:val="000000"/>
        </w:rPr>
        <w:t></w:t>
      </w:r>
      <w:r w:rsidRPr="0011749B">
        <w:rPr>
          <w:rFonts w:ascii="Arial" w:hAnsi="Arial" w:cs="Arial"/>
          <w:lang w:val="en"/>
        </w:rPr>
        <w:t>1/100 to &lt;1/10), uncommon (</w:t>
      </w:r>
      <w:r>
        <w:rPr>
          <w:rFonts w:ascii="Symbol" w:hAnsi="Symbol" w:cs="Symbol"/>
          <w:color w:val="000000"/>
        </w:rPr>
        <w:t></w:t>
      </w:r>
      <w:r w:rsidRPr="0011749B">
        <w:rPr>
          <w:rFonts w:ascii="Arial" w:hAnsi="Arial" w:cs="Arial"/>
          <w:lang w:val="en"/>
        </w:rPr>
        <w:t>1/1,000 to &lt;1/100), rare (</w:t>
      </w:r>
      <w:r>
        <w:rPr>
          <w:rFonts w:ascii="Symbol" w:hAnsi="Symbol" w:cs="Symbol"/>
          <w:color w:val="000000"/>
        </w:rPr>
        <w:t></w:t>
      </w:r>
      <w:r w:rsidRPr="0011749B">
        <w:rPr>
          <w:rFonts w:ascii="Arial" w:hAnsi="Arial" w:cs="Arial"/>
          <w:lang w:val="en"/>
        </w:rPr>
        <w:t>1/10,000 to &lt;1/1,000), very rare (&lt;1/10,000)</w:t>
      </w:r>
      <w:r w:rsidR="00C6780E">
        <w:rPr>
          <w:rFonts w:ascii="Arial" w:hAnsi="Arial" w:cs="Arial"/>
          <w:lang w:val="en"/>
        </w:rPr>
        <w:t>, including isolated reports</w:t>
      </w:r>
      <w:r w:rsidRPr="0011749B">
        <w:rPr>
          <w:rFonts w:ascii="Arial" w:hAnsi="Arial" w:cs="Arial"/>
          <w:lang w:val="en"/>
        </w:rPr>
        <w:t>.</w:t>
      </w:r>
    </w:p>
    <w:p w14:paraId="022B23B7" w14:textId="66BD0B0C" w:rsidR="00C763E6" w:rsidRPr="00C763E6" w:rsidRDefault="00C763E6" w:rsidP="00C763E6">
      <w:pPr>
        <w:keepNext/>
        <w:rPr>
          <w:rFonts w:ascii="Arial" w:hAnsi="Arial" w:cs="Arial"/>
          <w:b/>
        </w:rPr>
      </w:pPr>
      <w:r w:rsidRPr="00C763E6">
        <w:rPr>
          <w:rFonts w:ascii="Arial" w:hAnsi="Arial" w:cs="Arial"/>
          <w:b/>
        </w:rPr>
        <w:t xml:space="preserve">Table </w:t>
      </w:r>
      <w:r w:rsidR="00936270">
        <w:rPr>
          <w:rFonts w:ascii="Arial" w:hAnsi="Arial" w:cs="Arial"/>
          <w:b/>
        </w:rPr>
        <w:t>8</w:t>
      </w:r>
      <w:r w:rsidRPr="00C763E6">
        <w:rPr>
          <w:rFonts w:ascii="Arial" w:hAnsi="Arial" w:cs="Arial"/>
          <w:b/>
        </w:rPr>
        <w:t xml:space="preserve">: Tabulated summary of adverse </w:t>
      </w:r>
      <w:r w:rsidR="00EC1C0B">
        <w:rPr>
          <w:rFonts w:ascii="Arial" w:hAnsi="Arial" w:cs="Arial"/>
          <w:b/>
        </w:rPr>
        <w:t xml:space="preserve">drug </w:t>
      </w:r>
      <w:r w:rsidRPr="00C763E6">
        <w:rPr>
          <w:rFonts w:ascii="Arial" w:hAnsi="Arial" w:cs="Arial"/>
          <w:b/>
        </w:rPr>
        <w:t>reactions</w:t>
      </w:r>
    </w:p>
    <w:tbl>
      <w:tblPr>
        <w:tblStyle w:val="TableGrid"/>
        <w:tblW w:w="9015" w:type="dxa"/>
        <w:tblLook w:val="04A0" w:firstRow="1" w:lastRow="0" w:firstColumn="1" w:lastColumn="0" w:noHBand="0" w:noVBand="1"/>
      </w:tblPr>
      <w:tblGrid>
        <w:gridCol w:w="3005"/>
        <w:gridCol w:w="2093"/>
        <w:gridCol w:w="3917"/>
      </w:tblGrid>
      <w:tr w:rsidR="00C763E6" w:rsidRPr="00C763E6" w14:paraId="316B4874" w14:textId="77777777" w:rsidTr="00C763E6">
        <w:trPr>
          <w:tblHeader/>
        </w:trPr>
        <w:tc>
          <w:tcPr>
            <w:tcW w:w="3005" w:type="dxa"/>
          </w:tcPr>
          <w:p w14:paraId="4C05E2CB" w14:textId="77777777" w:rsidR="00C763E6" w:rsidRPr="00C763E6" w:rsidRDefault="00C763E6" w:rsidP="00C763E6">
            <w:pPr>
              <w:keepNext/>
              <w:tabs>
                <w:tab w:val="left" w:pos="720"/>
              </w:tabs>
              <w:spacing w:after="240"/>
              <w:rPr>
                <w:rFonts w:ascii="Arial Narrow" w:eastAsia="SimSun" w:hAnsi="Arial Narrow"/>
                <w:b/>
                <w:lang w:val="en-US" w:eastAsia="en-GB"/>
              </w:rPr>
            </w:pPr>
            <w:r w:rsidRPr="00C763E6">
              <w:rPr>
                <w:rFonts w:ascii="Arial Narrow" w:eastAsia="SimSun" w:hAnsi="Arial Narrow"/>
                <w:b/>
                <w:lang w:val="en-US" w:eastAsia="en-GB"/>
              </w:rPr>
              <w:t>MedDRA System Organ Class (SOC)</w:t>
            </w:r>
          </w:p>
        </w:tc>
        <w:tc>
          <w:tcPr>
            <w:tcW w:w="2093" w:type="dxa"/>
          </w:tcPr>
          <w:p w14:paraId="18DA723F" w14:textId="77777777" w:rsidR="00C763E6" w:rsidRPr="00C763E6" w:rsidRDefault="00C763E6" w:rsidP="00C763E6">
            <w:pPr>
              <w:keepNext/>
              <w:tabs>
                <w:tab w:val="left" w:pos="720"/>
              </w:tabs>
              <w:spacing w:after="240"/>
              <w:rPr>
                <w:rFonts w:ascii="Arial Narrow" w:eastAsia="SimSun" w:hAnsi="Arial Narrow"/>
                <w:b/>
                <w:lang w:val="en-US" w:eastAsia="en-GB"/>
              </w:rPr>
            </w:pPr>
            <w:r w:rsidRPr="00C763E6">
              <w:rPr>
                <w:rFonts w:ascii="Arial Narrow" w:eastAsia="SimSun" w:hAnsi="Arial Narrow"/>
                <w:b/>
                <w:lang w:val="en-US" w:eastAsia="en-GB"/>
              </w:rPr>
              <w:t>Frequency Category</w:t>
            </w:r>
          </w:p>
        </w:tc>
        <w:tc>
          <w:tcPr>
            <w:tcW w:w="3917" w:type="dxa"/>
          </w:tcPr>
          <w:p w14:paraId="0F5DA5F8" w14:textId="5849A05E" w:rsidR="00C763E6" w:rsidRPr="00C763E6" w:rsidRDefault="00C763E6" w:rsidP="00C763E6">
            <w:pPr>
              <w:keepNext/>
              <w:tabs>
                <w:tab w:val="left" w:pos="720"/>
              </w:tabs>
              <w:rPr>
                <w:rFonts w:ascii="Arial Narrow" w:eastAsia="SimSun" w:hAnsi="Arial Narrow"/>
                <w:b/>
                <w:lang w:val="en-US" w:eastAsia="en-GB"/>
              </w:rPr>
            </w:pPr>
            <w:r w:rsidRPr="00C763E6">
              <w:rPr>
                <w:rFonts w:ascii="Arial Narrow" w:eastAsia="SimSun" w:hAnsi="Arial Narrow"/>
                <w:b/>
                <w:lang w:val="en-US" w:eastAsia="en-GB"/>
              </w:rPr>
              <w:t xml:space="preserve">Adverse </w:t>
            </w:r>
            <w:r w:rsidR="00EC1C0B">
              <w:rPr>
                <w:rFonts w:ascii="Arial Narrow" w:eastAsia="SimSun" w:hAnsi="Arial Narrow"/>
                <w:b/>
                <w:lang w:val="en-US" w:eastAsia="en-GB"/>
              </w:rPr>
              <w:t>drug r</w:t>
            </w:r>
            <w:r w:rsidRPr="00C763E6">
              <w:rPr>
                <w:rFonts w:ascii="Arial Narrow" w:eastAsia="SimSun" w:hAnsi="Arial Narrow"/>
                <w:b/>
                <w:lang w:val="en-US" w:eastAsia="en-GB"/>
              </w:rPr>
              <w:t xml:space="preserve">eactions for </w:t>
            </w:r>
          </w:p>
          <w:p w14:paraId="16B4CEB9" w14:textId="77777777" w:rsidR="00C763E6" w:rsidRPr="00C763E6" w:rsidRDefault="00C763E6" w:rsidP="00C763E6">
            <w:pPr>
              <w:keepNext/>
              <w:tabs>
                <w:tab w:val="left" w:pos="720"/>
              </w:tabs>
              <w:spacing w:after="240"/>
              <w:rPr>
                <w:rFonts w:ascii="Arial Narrow" w:eastAsia="SimSun" w:hAnsi="Arial Narrow"/>
                <w:b/>
                <w:lang w:val="en-US" w:eastAsia="en-GB"/>
              </w:rPr>
            </w:pPr>
            <w:r w:rsidRPr="00C763E6">
              <w:rPr>
                <w:rFonts w:ascii="Arial Narrow" w:eastAsia="SimSun" w:hAnsi="Arial Narrow"/>
                <w:b/>
                <w:lang w:val="en-US" w:eastAsia="en-GB"/>
              </w:rPr>
              <w:t>cabotegravir + rilpivirine regimen</w:t>
            </w:r>
          </w:p>
        </w:tc>
      </w:tr>
      <w:tr w:rsidR="00C763E6" w:rsidRPr="00C763E6" w14:paraId="00C95895" w14:textId="77777777" w:rsidTr="00C763E6">
        <w:tc>
          <w:tcPr>
            <w:tcW w:w="3005" w:type="dxa"/>
          </w:tcPr>
          <w:p w14:paraId="7BC75B49"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Psychiatric disorders</w:t>
            </w:r>
          </w:p>
        </w:tc>
        <w:tc>
          <w:tcPr>
            <w:tcW w:w="2093" w:type="dxa"/>
          </w:tcPr>
          <w:p w14:paraId="2A05F4DC"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Common</w:t>
            </w:r>
          </w:p>
        </w:tc>
        <w:tc>
          <w:tcPr>
            <w:tcW w:w="3917" w:type="dxa"/>
          </w:tcPr>
          <w:p w14:paraId="418F60C8" w14:textId="77777777"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Depression</w:t>
            </w:r>
          </w:p>
          <w:p w14:paraId="3480AFB9" w14:textId="77777777"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Anxiety</w:t>
            </w:r>
          </w:p>
          <w:p w14:paraId="47E22898" w14:textId="77777777"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Abnormal dreams</w:t>
            </w:r>
          </w:p>
          <w:p w14:paraId="4A3C27A2" w14:textId="77777777"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Insomnia</w:t>
            </w:r>
          </w:p>
        </w:tc>
      </w:tr>
      <w:tr w:rsidR="00354E64" w:rsidRPr="00C763E6" w14:paraId="1E87D0E2" w14:textId="77777777" w:rsidTr="00C763E6">
        <w:tc>
          <w:tcPr>
            <w:tcW w:w="3005" w:type="dxa"/>
            <w:vMerge w:val="restart"/>
          </w:tcPr>
          <w:p w14:paraId="475800BA" w14:textId="77777777" w:rsidR="00354E64" w:rsidRPr="00C763E6" w:rsidRDefault="00354E64"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Nervous system disorders</w:t>
            </w:r>
          </w:p>
        </w:tc>
        <w:tc>
          <w:tcPr>
            <w:tcW w:w="2093" w:type="dxa"/>
          </w:tcPr>
          <w:p w14:paraId="1620CD0B" w14:textId="77777777" w:rsidR="00354E64" w:rsidRPr="00C763E6" w:rsidRDefault="00354E64"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Very common</w:t>
            </w:r>
          </w:p>
        </w:tc>
        <w:tc>
          <w:tcPr>
            <w:tcW w:w="3917" w:type="dxa"/>
          </w:tcPr>
          <w:p w14:paraId="0366EC67" w14:textId="77777777" w:rsidR="00354E64" w:rsidRPr="00C763E6" w:rsidRDefault="00354E64"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Headache</w:t>
            </w:r>
          </w:p>
        </w:tc>
      </w:tr>
      <w:tr w:rsidR="00354E64" w:rsidRPr="00C763E6" w14:paraId="279218A8" w14:textId="77777777" w:rsidTr="00C763E6">
        <w:tc>
          <w:tcPr>
            <w:tcW w:w="3005" w:type="dxa"/>
            <w:vMerge/>
            <w:vAlign w:val="center"/>
          </w:tcPr>
          <w:p w14:paraId="5B65410C" w14:textId="77777777" w:rsidR="00354E64" w:rsidRPr="00C763E6" w:rsidRDefault="00354E64" w:rsidP="00C763E6">
            <w:pPr>
              <w:rPr>
                <w:rFonts w:ascii="Arial Narrow" w:eastAsia="SimSun" w:hAnsi="Arial Narrow"/>
                <w:lang w:val="en-US" w:eastAsia="en-GB"/>
              </w:rPr>
            </w:pPr>
          </w:p>
        </w:tc>
        <w:tc>
          <w:tcPr>
            <w:tcW w:w="2093" w:type="dxa"/>
          </w:tcPr>
          <w:p w14:paraId="567D461F" w14:textId="77777777" w:rsidR="00354E64" w:rsidRPr="00C763E6" w:rsidRDefault="00354E64"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 xml:space="preserve">Common </w:t>
            </w:r>
          </w:p>
        </w:tc>
        <w:tc>
          <w:tcPr>
            <w:tcW w:w="3917" w:type="dxa"/>
          </w:tcPr>
          <w:p w14:paraId="1EF7E828" w14:textId="77777777" w:rsidR="00354E64" w:rsidRPr="00C763E6" w:rsidRDefault="00354E64"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Dizziness</w:t>
            </w:r>
          </w:p>
        </w:tc>
      </w:tr>
      <w:tr w:rsidR="00354E64" w:rsidRPr="00C763E6" w14:paraId="32504E53" w14:textId="77777777" w:rsidTr="00C763E6">
        <w:tc>
          <w:tcPr>
            <w:tcW w:w="3005" w:type="dxa"/>
            <w:vMerge/>
            <w:vAlign w:val="center"/>
          </w:tcPr>
          <w:p w14:paraId="2AC89B81" w14:textId="77777777" w:rsidR="00354E64" w:rsidRPr="00C763E6" w:rsidRDefault="00354E64" w:rsidP="00C763E6">
            <w:pPr>
              <w:rPr>
                <w:rFonts w:ascii="Arial Narrow" w:eastAsia="SimSun" w:hAnsi="Arial Narrow"/>
                <w:lang w:val="en-US" w:eastAsia="en-GB"/>
              </w:rPr>
            </w:pPr>
          </w:p>
        </w:tc>
        <w:tc>
          <w:tcPr>
            <w:tcW w:w="2093" w:type="dxa"/>
          </w:tcPr>
          <w:p w14:paraId="6D027FB9" w14:textId="77777777" w:rsidR="00354E64" w:rsidRPr="00C763E6" w:rsidRDefault="00354E64"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Uncommon</w:t>
            </w:r>
          </w:p>
        </w:tc>
        <w:tc>
          <w:tcPr>
            <w:tcW w:w="3917" w:type="dxa"/>
          </w:tcPr>
          <w:p w14:paraId="2303D639" w14:textId="77777777" w:rsidR="00354E64" w:rsidRDefault="00354E64"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Somnolence</w:t>
            </w:r>
          </w:p>
          <w:p w14:paraId="13EAD093" w14:textId="4CBF7BA5" w:rsidR="00354E64" w:rsidRPr="00C763E6" w:rsidRDefault="00354E64" w:rsidP="00C763E6">
            <w:pPr>
              <w:tabs>
                <w:tab w:val="left" w:pos="720"/>
              </w:tabs>
              <w:rPr>
                <w:rFonts w:ascii="Arial Narrow" w:eastAsia="SimSun" w:hAnsi="Arial Narrow"/>
                <w:lang w:val="en-US" w:eastAsia="en-GB"/>
              </w:rPr>
            </w:pPr>
            <w:r>
              <w:rPr>
                <w:rFonts w:ascii="Arial Narrow" w:eastAsia="SimSun" w:hAnsi="Arial Narrow"/>
                <w:lang w:val="en-US" w:eastAsia="en-GB"/>
              </w:rPr>
              <w:t>Vasovagal reactions (in response to injections)</w:t>
            </w:r>
          </w:p>
        </w:tc>
      </w:tr>
      <w:tr w:rsidR="00C763E6" w:rsidRPr="00C763E6" w14:paraId="79A4DE7F" w14:textId="77777777" w:rsidTr="00C763E6">
        <w:tc>
          <w:tcPr>
            <w:tcW w:w="3005" w:type="dxa"/>
          </w:tcPr>
          <w:p w14:paraId="4DD9A576"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Gastrointestinal disorders</w:t>
            </w:r>
          </w:p>
        </w:tc>
        <w:tc>
          <w:tcPr>
            <w:tcW w:w="2093" w:type="dxa"/>
          </w:tcPr>
          <w:p w14:paraId="31AD7B81"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Common</w:t>
            </w:r>
          </w:p>
        </w:tc>
        <w:tc>
          <w:tcPr>
            <w:tcW w:w="3917" w:type="dxa"/>
          </w:tcPr>
          <w:p w14:paraId="6767E352" w14:textId="77777777"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Nausea</w:t>
            </w:r>
          </w:p>
          <w:p w14:paraId="1788AA5E" w14:textId="77777777"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Vomiting</w:t>
            </w:r>
          </w:p>
          <w:p w14:paraId="70FC8900" w14:textId="77777777" w:rsidR="00C763E6" w:rsidRPr="00C763E6" w:rsidRDefault="00C763E6" w:rsidP="00C763E6">
            <w:pPr>
              <w:tabs>
                <w:tab w:val="left" w:pos="720"/>
              </w:tabs>
              <w:rPr>
                <w:rFonts w:ascii="Arial Narrow" w:eastAsia="SimSun" w:hAnsi="Arial Narrow"/>
                <w:vertAlign w:val="superscript"/>
                <w:lang w:val="en-US" w:eastAsia="en-GB"/>
              </w:rPr>
            </w:pPr>
            <w:r w:rsidRPr="00C763E6">
              <w:rPr>
                <w:rFonts w:ascii="Arial Narrow" w:eastAsia="SimSun" w:hAnsi="Arial Narrow"/>
                <w:lang w:val="en-US" w:eastAsia="en-GB"/>
              </w:rPr>
              <w:t>Abdominal pain</w:t>
            </w:r>
            <w:r w:rsidRPr="00C763E6">
              <w:rPr>
                <w:rFonts w:ascii="Arial Narrow" w:eastAsia="SimSun" w:hAnsi="Arial Narrow"/>
                <w:vertAlign w:val="superscript"/>
                <w:lang w:val="en-US" w:eastAsia="en-GB"/>
              </w:rPr>
              <w:t>1</w:t>
            </w:r>
          </w:p>
          <w:p w14:paraId="2320AF53" w14:textId="77777777"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Flatulence</w:t>
            </w:r>
          </w:p>
          <w:p w14:paraId="37F2D367" w14:textId="77777777" w:rsidR="00C763E6" w:rsidRPr="00D6566C" w:rsidRDefault="00C763E6" w:rsidP="00C763E6">
            <w:pPr>
              <w:tabs>
                <w:tab w:val="left" w:pos="720"/>
              </w:tabs>
              <w:spacing w:after="240"/>
              <w:rPr>
                <w:rFonts w:ascii="Arial Narrow" w:eastAsia="SimSun" w:hAnsi="Arial Narrow"/>
                <w:lang w:eastAsia="en-GB"/>
              </w:rPr>
            </w:pPr>
            <w:r w:rsidRPr="00D6566C">
              <w:rPr>
                <w:rFonts w:ascii="Arial Narrow" w:eastAsia="SimSun" w:hAnsi="Arial Narrow"/>
                <w:lang w:eastAsia="en-GB"/>
              </w:rPr>
              <w:t>Diarrhoea</w:t>
            </w:r>
          </w:p>
        </w:tc>
      </w:tr>
      <w:tr w:rsidR="00C763E6" w:rsidRPr="00C763E6" w14:paraId="71460A04" w14:textId="77777777" w:rsidTr="00C763E6">
        <w:tc>
          <w:tcPr>
            <w:tcW w:w="3005" w:type="dxa"/>
          </w:tcPr>
          <w:p w14:paraId="44F8A44C"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lastRenderedPageBreak/>
              <w:t>Hepatobiliary Disorders</w:t>
            </w:r>
          </w:p>
        </w:tc>
        <w:tc>
          <w:tcPr>
            <w:tcW w:w="2093" w:type="dxa"/>
          </w:tcPr>
          <w:p w14:paraId="11C3E2AF"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Uncommon</w:t>
            </w:r>
          </w:p>
        </w:tc>
        <w:tc>
          <w:tcPr>
            <w:tcW w:w="3917" w:type="dxa"/>
          </w:tcPr>
          <w:p w14:paraId="22DC1CB5" w14:textId="7D5DB66E"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Hepatotoxicity</w:t>
            </w:r>
          </w:p>
        </w:tc>
      </w:tr>
      <w:tr w:rsidR="00C763E6" w:rsidRPr="00C763E6" w14:paraId="681063C8" w14:textId="77777777" w:rsidTr="00C763E6">
        <w:tc>
          <w:tcPr>
            <w:tcW w:w="3005" w:type="dxa"/>
          </w:tcPr>
          <w:p w14:paraId="26FB397C"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Skin and subcutaneous tissue disorders</w:t>
            </w:r>
          </w:p>
        </w:tc>
        <w:tc>
          <w:tcPr>
            <w:tcW w:w="2093" w:type="dxa"/>
          </w:tcPr>
          <w:p w14:paraId="0ED9119B"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Common</w:t>
            </w:r>
          </w:p>
        </w:tc>
        <w:tc>
          <w:tcPr>
            <w:tcW w:w="3917" w:type="dxa"/>
          </w:tcPr>
          <w:p w14:paraId="38852CB1" w14:textId="0F2C8975"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Rash</w:t>
            </w:r>
            <w:r w:rsidR="00F92D56">
              <w:rPr>
                <w:rFonts w:ascii="Arial Narrow" w:eastAsia="SimSun" w:hAnsi="Arial Narrow"/>
                <w:vertAlign w:val="superscript"/>
                <w:lang w:val="en-US" w:eastAsia="en-GB"/>
              </w:rPr>
              <w:t>2</w:t>
            </w:r>
          </w:p>
        </w:tc>
      </w:tr>
      <w:tr w:rsidR="00C763E6" w:rsidRPr="00C763E6" w14:paraId="4557D3BA" w14:textId="77777777" w:rsidTr="00C763E6">
        <w:tc>
          <w:tcPr>
            <w:tcW w:w="3005" w:type="dxa"/>
          </w:tcPr>
          <w:p w14:paraId="57D0D58F"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Musculoskeletal and connective tissue disorders</w:t>
            </w:r>
          </w:p>
        </w:tc>
        <w:tc>
          <w:tcPr>
            <w:tcW w:w="2093" w:type="dxa"/>
          </w:tcPr>
          <w:p w14:paraId="019DA9FE"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Common</w:t>
            </w:r>
          </w:p>
        </w:tc>
        <w:tc>
          <w:tcPr>
            <w:tcW w:w="3917" w:type="dxa"/>
          </w:tcPr>
          <w:p w14:paraId="188F1CFD" w14:textId="77777777"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Myalgia</w:t>
            </w:r>
          </w:p>
        </w:tc>
      </w:tr>
      <w:tr w:rsidR="00354E64" w:rsidRPr="00C763E6" w14:paraId="4ABB25C9" w14:textId="77777777" w:rsidTr="00C763E6">
        <w:tc>
          <w:tcPr>
            <w:tcW w:w="3005" w:type="dxa"/>
            <w:vMerge w:val="restart"/>
          </w:tcPr>
          <w:p w14:paraId="5562664A" w14:textId="77777777" w:rsidR="00354E64" w:rsidRPr="00C763E6" w:rsidRDefault="00354E64"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General disorders and administrative site conditions</w:t>
            </w:r>
          </w:p>
        </w:tc>
        <w:tc>
          <w:tcPr>
            <w:tcW w:w="2093" w:type="dxa"/>
          </w:tcPr>
          <w:p w14:paraId="3AFB13A1" w14:textId="77777777" w:rsidR="00354E64" w:rsidRPr="00C763E6" w:rsidRDefault="00354E64"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Very common</w:t>
            </w:r>
          </w:p>
        </w:tc>
        <w:tc>
          <w:tcPr>
            <w:tcW w:w="3917" w:type="dxa"/>
          </w:tcPr>
          <w:p w14:paraId="6767E0FE" w14:textId="2A3C0D32" w:rsidR="00F92D56" w:rsidRPr="001D3B07" w:rsidRDefault="00354E64" w:rsidP="00F92D56">
            <w:pPr>
              <w:rPr>
                <w:rFonts w:ascii="Arial Narrow" w:eastAsia="SimSun" w:hAnsi="Arial Narrow"/>
                <w:szCs w:val="24"/>
                <w:highlight w:val="lightGray"/>
                <w:vertAlign w:val="superscript"/>
              </w:rPr>
            </w:pPr>
            <w:r w:rsidRPr="00C763E6">
              <w:rPr>
                <w:rFonts w:ascii="Arial Narrow" w:eastAsia="SimSun" w:hAnsi="Arial Narrow"/>
                <w:lang w:val="en-US" w:eastAsia="en-GB"/>
              </w:rPr>
              <w:t>Injection site reactions</w:t>
            </w:r>
            <w:r w:rsidR="00F92D56" w:rsidRPr="00C5247F">
              <w:rPr>
                <w:rFonts w:ascii="Arial Narrow" w:eastAsia="SimSun" w:hAnsi="Arial Narrow"/>
                <w:vertAlign w:val="superscript"/>
                <w:lang w:val="en-US" w:eastAsia="en-GB"/>
              </w:rPr>
              <w:t>3</w:t>
            </w:r>
            <w:r w:rsidR="00F92D56">
              <w:rPr>
                <w:rFonts w:ascii="Arial Narrow" w:eastAsia="SimSun" w:hAnsi="Arial Narrow"/>
                <w:lang w:val="en-US" w:eastAsia="en-GB"/>
              </w:rPr>
              <w:t xml:space="preserve"> </w:t>
            </w:r>
            <w:r w:rsidR="00F92D56" w:rsidRPr="00D13251">
              <w:rPr>
                <w:rFonts w:ascii="Arial Narrow" w:eastAsia="SimSun" w:hAnsi="Arial Narrow"/>
                <w:lang w:val="en-US" w:eastAsia="en-GB"/>
              </w:rPr>
              <w:t>(pain and discomfort, site nodule, induration)</w:t>
            </w:r>
          </w:p>
          <w:p w14:paraId="4D2CCCCC" w14:textId="47497059" w:rsidR="00354E64" w:rsidRPr="00C763E6" w:rsidRDefault="00354E64" w:rsidP="00C763E6">
            <w:pPr>
              <w:tabs>
                <w:tab w:val="left" w:pos="720"/>
              </w:tabs>
              <w:rPr>
                <w:rFonts w:ascii="Arial Narrow" w:eastAsia="SimSun" w:hAnsi="Arial Narrow"/>
                <w:vertAlign w:val="superscript"/>
                <w:lang w:val="en-US" w:eastAsia="en-GB"/>
              </w:rPr>
            </w:pPr>
          </w:p>
          <w:p w14:paraId="4AB9889F" w14:textId="74854901" w:rsidR="00354E64" w:rsidRPr="00C763E6" w:rsidRDefault="00354E64" w:rsidP="00C763E6">
            <w:pPr>
              <w:tabs>
                <w:tab w:val="left" w:pos="720"/>
              </w:tabs>
              <w:rPr>
                <w:rFonts w:ascii="Arial Narrow" w:eastAsia="SimSun" w:hAnsi="Arial Narrow"/>
                <w:vertAlign w:val="superscript"/>
                <w:lang w:val="en-US" w:eastAsia="en-GB"/>
              </w:rPr>
            </w:pPr>
            <w:r w:rsidRPr="00C763E6">
              <w:rPr>
                <w:rFonts w:ascii="Arial Narrow" w:eastAsia="SimSun" w:hAnsi="Arial Narrow"/>
                <w:lang w:val="en-US" w:eastAsia="en-GB"/>
              </w:rPr>
              <w:t>Pyrexia</w:t>
            </w:r>
            <w:r w:rsidRPr="00C763E6">
              <w:rPr>
                <w:rFonts w:ascii="Arial Narrow" w:eastAsia="SimSun" w:hAnsi="Arial Narrow"/>
                <w:vertAlign w:val="superscript"/>
                <w:lang w:val="en-US" w:eastAsia="en-GB"/>
              </w:rPr>
              <w:t>4</w:t>
            </w:r>
          </w:p>
        </w:tc>
      </w:tr>
      <w:tr w:rsidR="00354E64" w:rsidRPr="00C763E6" w14:paraId="442965CC" w14:textId="77777777" w:rsidTr="00C763E6">
        <w:tc>
          <w:tcPr>
            <w:tcW w:w="3005" w:type="dxa"/>
            <w:vMerge/>
            <w:vAlign w:val="center"/>
          </w:tcPr>
          <w:p w14:paraId="08A56AB0" w14:textId="77777777" w:rsidR="00354E64" w:rsidRPr="00C763E6" w:rsidRDefault="00354E64" w:rsidP="00C763E6">
            <w:pPr>
              <w:rPr>
                <w:rFonts w:ascii="Arial Narrow" w:eastAsia="SimSun" w:hAnsi="Arial Narrow"/>
                <w:lang w:val="en-US" w:eastAsia="en-GB"/>
              </w:rPr>
            </w:pPr>
          </w:p>
        </w:tc>
        <w:tc>
          <w:tcPr>
            <w:tcW w:w="2093" w:type="dxa"/>
          </w:tcPr>
          <w:p w14:paraId="4CFA8D2C" w14:textId="77777777" w:rsidR="00354E64" w:rsidRPr="00C763E6" w:rsidRDefault="00354E64"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Common</w:t>
            </w:r>
          </w:p>
        </w:tc>
        <w:tc>
          <w:tcPr>
            <w:tcW w:w="3917" w:type="dxa"/>
          </w:tcPr>
          <w:p w14:paraId="7F8B41FF" w14:textId="2485CFF9" w:rsidR="00F92D56" w:rsidRPr="00D13251" w:rsidRDefault="00F92D56" w:rsidP="00763708">
            <w:pPr>
              <w:rPr>
                <w:rFonts w:ascii="Arial Narrow" w:eastAsia="SimSun" w:hAnsi="Arial Narrow"/>
                <w:lang w:val="en-US" w:eastAsia="en-GB"/>
              </w:rPr>
            </w:pPr>
            <w:r w:rsidRPr="00D13251">
              <w:rPr>
                <w:rFonts w:ascii="Arial Narrow" w:eastAsia="SimSun" w:hAnsi="Arial Narrow"/>
                <w:lang w:val="en-US" w:eastAsia="en-GB"/>
              </w:rPr>
              <w:t>Injection site reactions</w:t>
            </w:r>
            <w:r w:rsidRPr="00D13251">
              <w:rPr>
                <w:rFonts w:ascii="Arial Narrow" w:eastAsia="SimSun" w:hAnsi="Arial Narrow"/>
                <w:vertAlign w:val="superscript"/>
                <w:lang w:val="en-US" w:eastAsia="en-GB"/>
              </w:rPr>
              <w:t>3</w:t>
            </w:r>
            <w:r w:rsidRPr="00D13251">
              <w:rPr>
                <w:rFonts w:ascii="Arial Narrow" w:eastAsia="SimSun" w:hAnsi="Arial Narrow"/>
                <w:lang w:val="en-US" w:eastAsia="en-GB"/>
              </w:rPr>
              <w:t xml:space="preserve"> (swelling, erythema, pruritus, bruising, warmth, </w:t>
            </w:r>
            <w:proofErr w:type="spellStart"/>
            <w:r w:rsidRPr="00D13251">
              <w:rPr>
                <w:rFonts w:ascii="Arial Narrow" w:eastAsia="SimSun" w:hAnsi="Arial Narrow"/>
                <w:lang w:val="en-US" w:eastAsia="en-GB"/>
              </w:rPr>
              <w:t>haematoma</w:t>
            </w:r>
            <w:proofErr w:type="spellEnd"/>
            <w:r w:rsidRPr="00D13251">
              <w:rPr>
                <w:rFonts w:ascii="Arial Narrow" w:eastAsia="SimSun" w:hAnsi="Arial Narrow"/>
                <w:lang w:val="en-US" w:eastAsia="en-GB"/>
              </w:rPr>
              <w:t>)</w:t>
            </w:r>
          </w:p>
          <w:p w14:paraId="4306A368" w14:textId="7166605A" w:rsidR="00354E64" w:rsidRPr="00C763E6" w:rsidRDefault="00354E64"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Fatigue</w:t>
            </w:r>
          </w:p>
          <w:p w14:paraId="70B79F20" w14:textId="77777777" w:rsidR="00354E64" w:rsidRPr="00C763E6" w:rsidRDefault="00354E64"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Asthenia</w:t>
            </w:r>
          </w:p>
          <w:p w14:paraId="4F60805E" w14:textId="77777777" w:rsidR="00354E64" w:rsidRPr="00C763E6" w:rsidRDefault="00354E64"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Malaise</w:t>
            </w:r>
          </w:p>
        </w:tc>
      </w:tr>
      <w:tr w:rsidR="00F92D56" w:rsidRPr="00C763E6" w14:paraId="30DBB653" w14:textId="77777777" w:rsidTr="00C763E6">
        <w:tc>
          <w:tcPr>
            <w:tcW w:w="3005" w:type="dxa"/>
            <w:vAlign w:val="center"/>
          </w:tcPr>
          <w:p w14:paraId="35231003" w14:textId="77777777" w:rsidR="00F92D56" w:rsidRPr="00C763E6" w:rsidRDefault="00F92D56" w:rsidP="00C763E6">
            <w:pPr>
              <w:rPr>
                <w:rFonts w:ascii="Arial Narrow" w:eastAsia="SimSun" w:hAnsi="Arial Narrow"/>
                <w:lang w:val="en-US" w:eastAsia="en-GB"/>
              </w:rPr>
            </w:pPr>
          </w:p>
        </w:tc>
        <w:tc>
          <w:tcPr>
            <w:tcW w:w="2093" w:type="dxa"/>
          </w:tcPr>
          <w:p w14:paraId="1D2A069A" w14:textId="55C5A95C" w:rsidR="00F92D56" w:rsidRPr="00C763E6" w:rsidRDefault="00F92D56" w:rsidP="00C763E6">
            <w:pPr>
              <w:tabs>
                <w:tab w:val="left" w:pos="720"/>
              </w:tabs>
              <w:spacing w:after="240"/>
              <w:rPr>
                <w:rFonts w:ascii="Arial Narrow" w:eastAsia="SimSun" w:hAnsi="Arial Narrow"/>
                <w:lang w:val="en-US" w:eastAsia="en-GB"/>
              </w:rPr>
            </w:pPr>
            <w:r>
              <w:rPr>
                <w:rFonts w:ascii="Arial Narrow" w:eastAsia="SimSun" w:hAnsi="Arial Narrow"/>
                <w:lang w:val="en-US" w:eastAsia="en-GB"/>
              </w:rPr>
              <w:t>Uncommon</w:t>
            </w:r>
          </w:p>
        </w:tc>
        <w:tc>
          <w:tcPr>
            <w:tcW w:w="3917" w:type="dxa"/>
          </w:tcPr>
          <w:p w14:paraId="45150233" w14:textId="5470554D" w:rsidR="00F92D56" w:rsidRPr="00D13251" w:rsidRDefault="00F92D56" w:rsidP="00F92D56">
            <w:pPr>
              <w:rPr>
                <w:rFonts w:ascii="Arial Narrow" w:eastAsia="SimSun" w:hAnsi="Arial Narrow"/>
                <w:lang w:val="en-US" w:eastAsia="en-GB"/>
              </w:rPr>
            </w:pPr>
            <w:r w:rsidRPr="00D13251">
              <w:rPr>
                <w:rFonts w:ascii="Arial Narrow" w:eastAsia="SimSun" w:hAnsi="Arial Narrow"/>
                <w:lang w:val="en-US" w:eastAsia="en-GB"/>
              </w:rPr>
              <w:t>Injection site reactions</w:t>
            </w:r>
            <w:r w:rsidRPr="00D13251">
              <w:rPr>
                <w:rFonts w:ascii="Arial Narrow" w:eastAsia="SimSun" w:hAnsi="Arial Narrow"/>
                <w:vertAlign w:val="superscript"/>
                <w:lang w:val="en-US" w:eastAsia="en-GB"/>
              </w:rPr>
              <w:t>3</w:t>
            </w:r>
            <w:r w:rsidRPr="00D13251">
              <w:rPr>
                <w:rFonts w:ascii="Arial Narrow" w:eastAsia="SimSun" w:hAnsi="Arial Narrow"/>
                <w:lang w:val="en-US" w:eastAsia="en-GB"/>
              </w:rPr>
              <w:t xml:space="preserve"> (cellulitis, abscess, </w:t>
            </w:r>
            <w:proofErr w:type="spellStart"/>
            <w:r w:rsidRPr="00D13251">
              <w:rPr>
                <w:rFonts w:ascii="Arial Narrow" w:eastAsia="SimSun" w:hAnsi="Arial Narrow"/>
                <w:lang w:val="en-US" w:eastAsia="en-GB"/>
              </w:rPr>
              <w:t>anaesthesia</w:t>
            </w:r>
            <w:proofErr w:type="spellEnd"/>
            <w:r w:rsidRPr="00D13251">
              <w:rPr>
                <w:rFonts w:ascii="Arial Narrow" w:eastAsia="SimSun" w:hAnsi="Arial Narrow"/>
                <w:lang w:val="en-US" w:eastAsia="en-GB"/>
              </w:rPr>
              <w:t xml:space="preserve">, </w:t>
            </w:r>
            <w:proofErr w:type="spellStart"/>
            <w:r w:rsidRPr="00D13251">
              <w:rPr>
                <w:rFonts w:ascii="Arial Narrow" w:eastAsia="SimSun" w:hAnsi="Arial Narrow"/>
                <w:lang w:val="en-US" w:eastAsia="en-GB"/>
              </w:rPr>
              <w:t>haemorrhage</w:t>
            </w:r>
            <w:proofErr w:type="spellEnd"/>
            <w:r w:rsidRPr="00D13251">
              <w:rPr>
                <w:rFonts w:ascii="Arial Narrow" w:eastAsia="SimSun" w:hAnsi="Arial Narrow"/>
                <w:lang w:val="en-US" w:eastAsia="en-GB"/>
              </w:rPr>
              <w:t xml:space="preserve">, </w:t>
            </w:r>
            <w:proofErr w:type="spellStart"/>
            <w:r w:rsidRPr="00D13251">
              <w:rPr>
                <w:rFonts w:ascii="Arial Narrow" w:eastAsia="SimSun" w:hAnsi="Arial Narrow"/>
                <w:lang w:val="en-US" w:eastAsia="en-GB"/>
              </w:rPr>
              <w:t>discolouration</w:t>
            </w:r>
            <w:proofErr w:type="spellEnd"/>
            <w:r w:rsidRPr="00D13251">
              <w:rPr>
                <w:rFonts w:ascii="Arial Narrow" w:eastAsia="SimSun" w:hAnsi="Arial Narrow"/>
                <w:lang w:val="en-US" w:eastAsia="en-GB"/>
              </w:rPr>
              <w:t>)</w:t>
            </w:r>
          </w:p>
          <w:p w14:paraId="704C0EAB" w14:textId="77777777" w:rsidR="00F92D56" w:rsidRPr="00D13251" w:rsidRDefault="00F92D56" w:rsidP="00F92D56">
            <w:pPr>
              <w:rPr>
                <w:rFonts w:ascii="Arial Narrow" w:eastAsia="SimSun" w:hAnsi="Arial Narrow"/>
                <w:lang w:val="en-US" w:eastAsia="en-GB"/>
              </w:rPr>
            </w:pPr>
          </w:p>
        </w:tc>
      </w:tr>
      <w:tr w:rsidR="00F92D56" w:rsidRPr="00C763E6" w14:paraId="5238F92F" w14:textId="77777777" w:rsidTr="00C763E6">
        <w:tc>
          <w:tcPr>
            <w:tcW w:w="3005" w:type="dxa"/>
          </w:tcPr>
          <w:p w14:paraId="3BC3FCD3" w14:textId="4BDD8BA7" w:rsidR="00F92D56" w:rsidRPr="00C763E6" w:rsidRDefault="00F92D5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Investigations</w:t>
            </w:r>
          </w:p>
        </w:tc>
        <w:tc>
          <w:tcPr>
            <w:tcW w:w="2093" w:type="dxa"/>
          </w:tcPr>
          <w:p w14:paraId="68C70FE1" w14:textId="6ED74C37" w:rsidR="00F92D56" w:rsidRPr="00C763E6" w:rsidRDefault="00F92D56" w:rsidP="00C763E6">
            <w:pPr>
              <w:tabs>
                <w:tab w:val="left" w:pos="720"/>
              </w:tabs>
              <w:spacing w:after="240"/>
              <w:rPr>
                <w:rFonts w:ascii="Arial Narrow" w:eastAsia="SimSun" w:hAnsi="Arial Narrow"/>
                <w:lang w:val="en-US" w:eastAsia="en-GB"/>
              </w:rPr>
            </w:pPr>
            <w:r>
              <w:rPr>
                <w:rFonts w:ascii="Arial Narrow" w:eastAsia="SimSun" w:hAnsi="Arial Narrow"/>
                <w:lang w:val="en-US" w:eastAsia="en-GB"/>
              </w:rPr>
              <w:t>Common</w:t>
            </w:r>
          </w:p>
        </w:tc>
        <w:tc>
          <w:tcPr>
            <w:tcW w:w="3917" w:type="dxa"/>
          </w:tcPr>
          <w:p w14:paraId="36740822" w14:textId="77777777" w:rsidR="00F92D56" w:rsidRPr="00C763E6" w:rsidRDefault="00F92D56" w:rsidP="00F92D56">
            <w:pPr>
              <w:tabs>
                <w:tab w:val="left" w:pos="720"/>
              </w:tabs>
              <w:rPr>
                <w:rFonts w:ascii="Arial Narrow" w:eastAsia="SimSun" w:hAnsi="Arial Narrow"/>
                <w:lang w:val="en-US" w:eastAsia="en-GB"/>
              </w:rPr>
            </w:pPr>
            <w:r w:rsidRPr="00C763E6">
              <w:rPr>
                <w:rFonts w:ascii="Arial Narrow" w:eastAsia="SimSun" w:hAnsi="Arial Narrow"/>
                <w:lang w:val="en-US" w:eastAsia="en-GB"/>
              </w:rPr>
              <w:t>Weight increased</w:t>
            </w:r>
          </w:p>
          <w:p w14:paraId="37B913CA" w14:textId="77777777" w:rsidR="00F92D56" w:rsidRPr="00C763E6" w:rsidRDefault="00F92D56" w:rsidP="00C763E6">
            <w:pPr>
              <w:tabs>
                <w:tab w:val="left" w:pos="720"/>
              </w:tabs>
              <w:rPr>
                <w:rFonts w:ascii="Arial Narrow" w:eastAsia="SimSun" w:hAnsi="Arial Narrow"/>
                <w:lang w:val="en-US" w:eastAsia="en-GB"/>
              </w:rPr>
            </w:pPr>
          </w:p>
        </w:tc>
      </w:tr>
      <w:tr w:rsidR="00C763E6" w:rsidRPr="00C763E6" w14:paraId="4E0B5B66" w14:textId="77777777" w:rsidTr="00C763E6">
        <w:tc>
          <w:tcPr>
            <w:tcW w:w="3005" w:type="dxa"/>
          </w:tcPr>
          <w:p w14:paraId="0333202D" w14:textId="3AA20BC5" w:rsidR="00C763E6" w:rsidRPr="00C763E6" w:rsidRDefault="00C763E6" w:rsidP="00C763E6">
            <w:pPr>
              <w:tabs>
                <w:tab w:val="left" w:pos="720"/>
              </w:tabs>
              <w:spacing w:after="240"/>
              <w:rPr>
                <w:rFonts w:ascii="Arial Narrow" w:eastAsia="SimSun" w:hAnsi="Arial Narrow"/>
                <w:lang w:val="en-US" w:eastAsia="en-GB"/>
              </w:rPr>
            </w:pPr>
          </w:p>
        </w:tc>
        <w:tc>
          <w:tcPr>
            <w:tcW w:w="2093" w:type="dxa"/>
          </w:tcPr>
          <w:p w14:paraId="5B660263"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Uncommon</w:t>
            </w:r>
          </w:p>
        </w:tc>
        <w:tc>
          <w:tcPr>
            <w:tcW w:w="3917" w:type="dxa"/>
          </w:tcPr>
          <w:p w14:paraId="22E53412" w14:textId="77777777"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Transaminase increased</w:t>
            </w:r>
          </w:p>
        </w:tc>
      </w:tr>
    </w:tbl>
    <w:p w14:paraId="578F0D00" w14:textId="0D7943AC" w:rsidR="00C763E6" w:rsidRPr="00C763E6" w:rsidRDefault="00C763E6" w:rsidP="00C763E6">
      <w:pPr>
        <w:tabs>
          <w:tab w:val="left" w:pos="720"/>
        </w:tabs>
        <w:autoSpaceDE w:val="0"/>
        <w:autoSpaceDN w:val="0"/>
        <w:spacing w:after="0" w:line="240" w:lineRule="auto"/>
        <w:rPr>
          <w:rFonts w:ascii="Arial Narrow" w:hAnsi="Arial Narrow"/>
          <w:color w:val="000000"/>
          <w:sz w:val="20"/>
          <w:szCs w:val="20"/>
          <w:lang w:eastAsia="en-GB"/>
        </w:rPr>
      </w:pPr>
      <w:r w:rsidRPr="00C763E6">
        <w:rPr>
          <w:rFonts w:ascii="Arial Narrow" w:hAnsi="Arial Narrow"/>
          <w:color w:val="000000"/>
          <w:sz w:val="20"/>
          <w:szCs w:val="20"/>
          <w:vertAlign w:val="superscript"/>
          <w:lang w:eastAsia="en-GB"/>
        </w:rPr>
        <w:t>1</w:t>
      </w:r>
      <w:r w:rsidRPr="00C763E6">
        <w:rPr>
          <w:rFonts w:ascii="Arial Narrow" w:hAnsi="Arial Narrow"/>
          <w:color w:val="000000"/>
          <w:sz w:val="20"/>
          <w:szCs w:val="20"/>
          <w:lang w:eastAsia="en-GB"/>
        </w:rPr>
        <w:t xml:space="preserve"> </w:t>
      </w:r>
      <w:r w:rsidRPr="00C763E6">
        <w:rPr>
          <w:rFonts w:ascii="Arial Narrow" w:hAnsi="Arial Narrow"/>
          <w:sz w:val="20"/>
          <w:szCs w:val="20"/>
          <w:lang w:eastAsia="en-GB"/>
        </w:rPr>
        <w:t xml:space="preserve">Abdominal pain includes the following grouped MedDRA preferred term: </w:t>
      </w:r>
      <w:r w:rsidR="00F92D56" w:rsidRPr="00C763E6">
        <w:rPr>
          <w:rFonts w:ascii="Arial Narrow" w:hAnsi="Arial Narrow"/>
          <w:sz w:val="20"/>
          <w:szCs w:val="20"/>
          <w:lang w:eastAsia="en-GB"/>
        </w:rPr>
        <w:t>abdominal pain</w:t>
      </w:r>
      <w:r w:rsidR="00F92D56">
        <w:rPr>
          <w:rFonts w:ascii="Arial Narrow" w:hAnsi="Arial Narrow"/>
          <w:sz w:val="20"/>
          <w:szCs w:val="20"/>
          <w:lang w:eastAsia="en-GB"/>
        </w:rPr>
        <w:t xml:space="preserve">, </w:t>
      </w:r>
      <w:r w:rsidRPr="00C763E6">
        <w:rPr>
          <w:rFonts w:ascii="Arial Narrow" w:hAnsi="Arial Narrow"/>
          <w:sz w:val="20"/>
          <w:szCs w:val="20"/>
          <w:lang w:eastAsia="en-GB"/>
        </w:rPr>
        <w:t>upper abdominal pain.</w:t>
      </w:r>
    </w:p>
    <w:p w14:paraId="25F2A679" w14:textId="1779D34B" w:rsidR="00C763E6" w:rsidRDefault="00C763E6" w:rsidP="00C763E6">
      <w:pPr>
        <w:tabs>
          <w:tab w:val="left" w:pos="720"/>
        </w:tabs>
        <w:autoSpaceDE w:val="0"/>
        <w:autoSpaceDN w:val="0"/>
        <w:spacing w:after="0" w:line="240" w:lineRule="auto"/>
        <w:rPr>
          <w:rFonts w:ascii="Arial Narrow" w:hAnsi="Arial Narrow"/>
          <w:sz w:val="20"/>
          <w:szCs w:val="20"/>
        </w:rPr>
      </w:pPr>
      <w:r w:rsidRPr="00C763E6">
        <w:rPr>
          <w:rFonts w:ascii="Arial Narrow" w:hAnsi="Arial Narrow"/>
          <w:sz w:val="20"/>
          <w:szCs w:val="20"/>
        </w:rPr>
        <w:br w:type="textWrapping" w:clear="all"/>
      </w:r>
      <w:r w:rsidR="00F92D56">
        <w:rPr>
          <w:rFonts w:ascii="Arial Narrow" w:hAnsi="Arial Narrow"/>
          <w:sz w:val="20"/>
          <w:szCs w:val="20"/>
          <w:vertAlign w:val="superscript"/>
        </w:rPr>
        <w:t>2</w:t>
      </w:r>
      <w:r w:rsidRPr="00C763E6">
        <w:rPr>
          <w:rFonts w:ascii="Arial Narrow" w:hAnsi="Arial Narrow"/>
          <w:sz w:val="20"/>
          <w:szCs w:val="20"/>
        </w:rPr>
        <w:t xml:space="preserve"> Rash includes the following grouped MedDRA preferred terms: Rash, rash erythematous, rash generalised, rash macular, rash </w:t>
      </w:r>
      <w:proofErr w:type="spellStart"/>
      <w:r w:rsidRPr="00C763E6">
        <w:rPr>
          <w:rFonts w:ascii="Arial Narrow" w:hAnsi="Arial Narrow"/>
          <w:sz w:val="20"/>
          <w:szCs w:val="20"/>
        </w:rPr>
        <w:t>maculo-papular</w:t>
      </w:r>
      <w:proofErr w:type="spellEnd"/>
      <w:r w:rsidRPr="00C763E6">
        <w:rPr>
          <w:rFonts w:ascii="Arial Narrow" w:hAnsi="Arial Narrow"/>
          <w:sz w:val="20"/>
          <w:szCs w:val="20"/>
        </w:rPr>
        <w:t xml:space="preserve">, rash </w:t>
      </w:r>
      <w:proofErr w:type="spellStart"/>
      <w:r w:rsidRPr="00C763E6">
        <w:rPr>
          <w:rFonts w:ascii="Arial Narrow" w:hAnsi="Arial Narrow"/>
          <w:sz w:val="20"/>
          <w:szCs w:val="20"/>
        </w:rPr>
        <w:t>morbilliform</w:t>
      </w:r>
      <w:proofErr w:type="spellEnd"/>
      <w:r w:rsidRPr="00C763E6">
        <w:rPr>
          <w:rFonts w:ascii="Arial Narrow" w:hAnsi="Arial Narrow"/>
          <w:sz w:val="20"/>
          <w:szCs w:val="20"/>
        </w:rPr>
        <w:t xml:space="preserve">, rash </w:t>
      </w:r>
      <w:proofErr w:type="spellStart"/>
      <w:r w:rsidRPr="00C763E6">
        <w:rPr>
          <w:rFonts w:ascii="Arial Narrow" w:hAnsi="Arial Narrow"/>
          <w:sz w:val="20"/>
          <w:szCs w:val="20"/>
        </w:rPr>
        <w:t>papular</w:t>
      </w:r>
      <w:proofErr w:type="spellEnd"/>
      <w:r w:rsidRPr="00C763E6">
        <w:rPr>
          <w:rFonts w:ascii="Arial Narrow" w:hAnsi="Arial Narrow"/>
          <w:sz w:val="20"/>
          <w:szCs w:val="20"/>
        </w:rPr>
        <w:t>, rash pruritic.</w:t>
      </w:r>
    </w:p>
    <w:p w14:paraId="3CDC4E37" w14:textId="4FE82FBC" w:rsidR="00F92D56" w:rsidRPr="00763708" w:rsidRDefault="00F92D56" w:rsidP="00763708">
      <w:pPr>
        <w:autoSpaceDE w:val="0"/>
        <w:autoSpaceDN w:val="0"/>
        <w:spacing w:after="0"/>
        <w:rPr>
          <w:rFonts w:ascii="Arial Narrow" w:hAnsi="Arial Narrow"/>
          <w:sz w:val="20"/>
          <w:szCs w:val="20"/>
        </w:rPr>
      </w:pPr>
      <w:r w:rsidRPr="00763708">
        <w:rPr>
          <w:rFonts w:ascii="Arial Narrow" w:hAnsi="Arial Narrow"/>
          <w:sz w:val="20"/>
          <w:szCs w:val="20"/>
          <w:vertAlign w:val="superscript"/>
        </w:rPr>
        <w:t>3</w:t>
      </w:r>
      <w:r w:rsidRPr="00F92D56">
        <w:rPr>
          <w:color w:val="0070C0"/>
          <w:szCs w:val="24"/>
        </w:rPr>
        <w:t xml:space="preserve"> </w:t>
      </w:r>
      <w:r w:rsidRPr="00763708">
        <w:rPr>
          <w:rFonts w:ascii="Arial Narrow" w:hAnsi="Arial Narrow"/>
          <w:sz w:val="20"/>
          <w:szCs w:val="20"/>
        </w:rPr>
        <w:t>Injection site reactions listed in the table have been reported in 2 subjects or more.</w:t>
      </w:r>
    </w:p>
    <w:p w14:paraId="68E931E4" w14:textId="77777777" w:rsidR="00C763E6" w:rsidRPr="00C763E6" w:rsidRDefault="00C763E6" w:rsidP="00C763E6">
      <w:pPr>
        <w:tabs>
          <w:tab w:val="left" w:pos="720"/>
        </w:tabs>
        <w:autoSpaceDE w:val="0"/>
        <w:autoSpaceDN w:val="0"/>
        <w:spacing w:after="0" w:line="240" w:lineRule="auto"/>
        <w:rPr>
          <w:rFonts w:ascii="Arial Narrow" w:hAnsi="Arial Narrow"/>
          <w:sz w:val="20"/>
          <w:szCs w:val="20"/>
          <w:lang w:eastAsia="en-GB"/>
        </w:rPr>
      </w:pPr>
      <w:r w:rsidRPr="00C763E6">
        <w:rPr>
          <w:rFonts w:ascii="Arial Narrow" w:hAnsi="Arial Narrow"/>
          <w:sz w:val="20"/>
          <w:szCs w:val="20"/>
          <w:vertAlign w:val="superscript"/>
          <w:lang w:eastAsia="en-GB"/>
        </w:rPr>
        <w:t xml:space="preserve">4 </w:t>
      </w:r>
      <w:r w:rsidRPr="00C763E6">
        <w:rPr>
          <w:rFonts w:ascii="Arial Narrow" w:hAnsi="Arial Narrow"/>
          <w:sz w:val="20"/>
          <w:szCs w:val="20"/>
          <w:lang w:eastAsia="en-GB"/>
        </w:rPr>
        <w:t>Pyrexia includes the following grouped MedDRA preferred terms: feeling hot, body temperature increased.</w:t>
      </w:r>
    </w:p>
    <w:p w14:paraId="11F126ED" w14:textId="77777777" w:rsidR="00FB5E91" w:rsidRDefault="00FB5E91" w:rsidP="00D65787">
      <w:pPr>
        <w:pStyle w:val="Heading3"/>
        <w:ind w:left="0"/>
        <w:rPr>
          <w:rFonts w:ascii="Arial" w:hAnsi="Arial" w:cs="Arial"/>
        </w:rPr>
      </w:pPr>
      <w:r w:rsidRPr="00FB5E91">
        <w:rPr>
          <w:rFonts w:ascii="Arial" w:hAnsi="Arial" w:cs="Arial"/>
        </w:rPr>
        <w:t>Description of selected adverse reactions</w:t>
      </w:r>
    </w:p>
    <w:p w14:paraId="6B6F1BE6" w14:textId="77777777" w:rsidR="00FB5E91" w:rsidRPr="00FB5E91" w:rsidRDefault="00FB5E91" w:rsidP="00FB5E91">
      <w:pPr>
        <w:keepNext/>
        <w:tabs>
          <w:tab w:val="left" w:pos="720"/>
        </w:tabs>
        <w:autoSpaceDE w:val="0"/>
        <w:autoSpaceDN w:val="0"/>
        <w:adjustRightInd w:val="0"/>
        <w:spacing w:after="120" w:line="240" w:lineRule="auto"/>
        <w:rPr>
          <w:rFonts w:ascii="Arial" w:hAnsi="Arial" w:cs="Arial"/>
          <w:u w:val="single"/>
          <w:lang w:val="en"/>
        </w:rPr>
      </w:pPr>
      <w:r w:rsidRPr="00FB5E91">
        <w:rPr>
          <w:rFonts w:ascii="Arial" w:hAnsi="Arial" w:cs="Arial"/>
          <w:u w:val="single"/>
          <w:lang w:val="en"/>
        </w:rPr>
        <w:t>Local injection site reactions</w:t>
      </w:r>
    </w:p>
    <w:p w14:paraId="3A9093F0" w14:textId="4D3FC3CF" w:rsidR="0039498D" w:rsidRDefault="0039498D" w:rsidP="002A4CE1">
      <w:pPr>
        <w:tabs>
          <w:tab w:val="left" w:pos="720"/>
        </w:tabs>
        <w:autoSpaceDE w:val="0"/>
        <w:autoSpaceDN w:val="0"/>
        <w:rPr>
          <w:rFonts w:ascii="Arial" w:hAnsi="Arial" w:cs="Arial"/>
          <w:lang w:val="en"/>
        </w:rPr>
      </w:pPr>
      <w:r w:rsidRPr="00763708">
        <w:rPr>
          <w:rFonts w:ascii="Arial" w:hAnsi="Arial" w:cs="Arial"/>
          <w:lang w:val="en"/>
        </w:rPr>
        <w:t>In each of the three Phase III studies,</w:t>
      </w:r>
      <w:r w:rsidR="00FB5E91" w:rsidRPr="00FB5E91">
        <w:rPr>
          <w:rFonts w:ascii="Arial" w:hAnsi="Arial" w:cs="Arial"/>
          <w:lang w:val="en"/>
        </w:rPr>
        <w:t xml:space="preserve"> </w:t>
      </w:r>
      <w:r>
        <w:rPr>
          <w:rFonts w:ascii="Arial" w:hAnsi="Arial" w:cs="Arial"/>
          <w:lang w:val="en"/>
        </w:rPr>
        <w:t>approximately ≤</w:t>
      </w:r>
      <w:r w:rsidR="00FB5E91" w:rsidRPr="00FB5E91">
        <w:rPr>
          <w:rFonts w:ascii="Arial" w:hAnsi="Arial" w:cs="Arial"/>
          <w:lang w:val="en"/>
        </w:rPr>
        <w:t xml:space="preserve">1% of subjects discontinued treatment with </w:t>
      </w:r>
      <w:r w:rsidR="00DC4D8B">
        <w:rPr>
          <w:rFonts w:ascii="Arial" w:hAnsi="Arial" w:cs="Arial"/>
          <w:lang w:val="en"/>
        </w:rPr>
        <w:t>CABENUVA</w:t>
      </w:r>
      <w:r w:rsidR="00FB5E91" w:rsidRPr="00FB5E91">
        <w:rPr>
          <w:rFonts w:ascii="Arial" w:hAnsi="Arial" w:cs="Arial"/>
          <w:lang w:val="en"/>
        </w:rPr>
        <w:t xml:space="preserve"> because of ISRs. </w:t>
      </w:r>
    </w:p>
    <w:p w14:paraId="0D90ED3F" w14:textId="77777777" w:rsidR="0039498D" w:rsidRPr="00763708" w:rsidRDefault="0039498D" w:rsidP="0039498D">
      <w:pPr>
        <w:keepNext/>
        <w:autoSpaceDE w:val="0"/>
        <w:autoSpaceDN w:val="0"/>
        <w:spacing w:after="0"/>
        <w:rPr>
          <w:rFonts w:ascii="Arial" w:hAnsi="Arial" w:cs="Arial"/>
          <w:lang w:val="en"/>
        </w:rPr>
      </w:pPr>
      <w:bookmarkStart w:id="24" w:name="_Hlk29507254"/>
      <w:r w:rsidRPr="00763708">
        <w:rPr>
          <w:rFonts w:ascii="Arial" w:hAnsi="Arial" w:cs="Arial"/>
          <w:lang w:val="en"/>
        </w:rPr>
        <w:t>When dosing monthly, out of 30393 injections, 6815 ISRs were reported. When dosing every 2 months, out of 8470 injections, 2507 ISRs were reported.</w:t>
      </w:r>
    </w:p>
    <w:bookmarkEnd w:id="24"/>
    <w:p w14:paraId="34384AD9" w14:textId="77777777" w:rsidR="0039498D" w:rsidRPr="00763708" w:rsidRDefault="0039498D" w:rsidP="00B93BAD">
      <w:pPr>
        <w:autoSpaceDE w:val="0"/>
        <w:autoSpaceDN w:val="0"/>
        <w:spacing w:before="240" w:after="0" w:line="240" w:lineRule="auto"/>
        <w:rPr>
          <w:rFonts w:ascii="Arial" w:hAnsi="Arial" w:cs="Arial"/>
          <w:lang w:val="en"/>
        </w:rPr>
      </w:pPr>
      <w:r w:rsidRPr="00763708">
        <w:rPr>
          <w:rFonts w:ascii="Arial" w:hAnsi="Arial" w:cs="Arial"/>
          <w:lang w:val="en"/>
        </w:rPr>
        <w:t xml:space="preserve">The severity of reactions was generally mild (Grade 1, 70%-75% of subjects) or moderate (Grade 2, 27%-36% of subjects). 3-4% of subjects experienced severe (Grade 3) ISRs, and no subjects experienced Grade 4 ISRs. The median duration of overall ISR events was 3 days. The percentage of subjects reporting ISRs decreased over time. </w:t>
      </w:r>
    </w:p>
    <w:p w14:paraId="7EB18BE4" w14:textId="77777777" w:rsidR="00FB5E91" w:rsidRPr="00FB5E91" w:rsidRDefault="00FB5E91" w:rsidP="00FB5E91">
      <w:pPr>
        <w:tabs>
          <w:tab w:val="left" w:pos="720"/>
        </w:tabs>
        <w:autoSpaceDE w:val="0"/>
        <w:autoSpaceDN w:val="0"/>
        <w:spacing w:after="120" w:line="240" w:lineRule="auto"/>
        <w:rPr>
          <w:rFonts w:ascii="Arial" w:eastAsia="Calibri" w:hAnsi="Arial" w:cs="Arial"/>
          <w:bCs/>
          <w:color w:val="000000"/>
          <w:u w:val="single"/>
          <w:lang w:val="en-US" w:eastAsia="en-GB"/>
        </w:rPr>
      </w:pPr>
      <w:r w:rsidRPr="00FB5E91">
        <w:rPr>
          <w:rFonts w:ascii="Arial" w:eastAsia="Calibri" w:hAnsi="Arial" w:cs="Arial"/>
          <w:bCs/>
          <w:color w:val="000000"/>
          <w:u w:val="single"/>
          <w:lang w:val="en-US" w:eastAsia="en-GB"/>
        </w:rPr>
        <w:t>Weight increased</w:t>
      </w:r>
    </w:p>
    <w:p w14:paraId="7C50B4AB" w14:textId="5E60709A" w:rsidR="00FB5E91" w:rsidRPr="00FB5E91" w:rsidRDefault="00FB5E91" w:rsidP="008E26DE">
      <w:pPr>
        <w:tabs>
          <w:tab w:val="left" w:pos="720"/>
        </w:tabs>
        <w:autoSpaceDE w:val="0"/>
        <w:autoSpaceDN w:val="0"/>
        <w:spacing w:before="240" w:after="120" w:line="240" w:lineRule="auto"/>
        <w:rPr>
          <w:rFonts w:ascii="Arial" w:hAnsi="Arial" w:cs="Arial"/>
          <w:lang w:val="en"/>
        </w:rPr>
      </w:pPr>
      <w:bookmarkStart w:id="25" w:name="_Hlk3813467"/>
      <w:r w:rsidRPr="00FB5E91">
        <w:rPr>
          <w:rFonts w:ascii="Arial" w:hAnsi="Arial" w:cs="Arial"/>
          <w:lang w:val="en"/>
        </w:rPr>
        <w:t xml:space="preserve">At the Week 48 time point, subjects in </w:t>
      </w:r>
      <w:r>
        <w:rPr>
          <w:rFonts w:ascii="Arial" w:hAnsi="Arial" w:cs="Arial"/>
          <w:lang w:val="en"/>
        </w:rPr>
        <w:t xml:space="preserve">the </w:t>
      </w:r>
      <w:r w:rsidRPr="00FB5E91">
        <w:rPr>
          <w:rFonts w:ascii="Arial" w:hAnsi="Arial" w:cs="Arial"/>
          <w:lang w:val="en"/>
        </w:rPr>
        <w:t>FLAIR and ATLAS</w:t>
      </w:r>
      <w:r>
        <w:rPr>
          <w:rFonts w:ascii="Arial" w:hAnsi="Arial" w:cs="Arial"/>
          <w:lang w:val="en"/>
        </w:rPr>
        <w:t xml:space="preserve"> </w:t>
      </w:r>
      <w:r w:rsidR="00EC1C0B">
        <w:rPr>
          <w:rFonts w:ascii="Arial" w:hAnsi="Arial" w:cs="Arial"/>
          <w:lang w:val="en"/>
        </w:rPr>
        <w:t>studies</w:t>
      </w:r>
      <w:r w:rsidRPr="00FB5E91">
        <w:rPr>
          <w:rFonts w:ascii="Arial" w:hAnsi="Arial" w:cs="Arial"/>
          <w:lang w:val="en"/>
        </w:rPr>
        <w:t xml:space="preserve">, who received </w:t>
      </w:r>
      <w:r w:rsidR="00DC4D8B">
        <w:rPr>
          <w:rFonts w:ascii="Arial" w:hAnsi="Arial" w:cs="Arial"/>
          <w:lang w:val="en"/>
        </w:rPr>
        <w:t>CABENUVA</w:t>
      </w:r>
      <w:r w:rsidRPr="00FB5E91">
        <w:rPr>
          <w:rFonts w:ascii="Arial" w:hAnsi="Arial" w:cs="Arial"/>
          <w:lang w:val="en"/>
        </w:rPr>
        <w:t xml:space="preserve"> gained a median of 1.5 kg in weight; those in the </w:t>
      </w:r>
      <w:r>
        <w:rPr>
          <w:rFonts w:ascii="Arial" w:hAnsi="Arial" w:cs="Arial"/>
          <w:lang w:val="en"/>
        </w:rPr>
        <w:t>c</w:t>
      </w:r>
      <w:r w:rsidR="007B5EA6">
        <w:rPr>
          <w:rFonts w:ascii="Arial" w:hAnsi="Arial" w:cs="Arial"/>
          <w:lang w:val="en"/>
        </w:rPr>
        <w:t>urrent</w:t>
      </w:r>
      <w:r>
        <w:rPr>
          <w:rFonts w:ascii="Arial" w:hAnsi="Arial" w:cs="Arial"/>
          <w:lang w:val="en"/>
        </w:rPr>
        <w:t xml:space="preserve"> antiretroviral therapy (CAR)</w:t>
      </w:r>
      <w:r w:rsidRPr="00FB5E91">
        <w:rPr>
          <w:rFonts w:ascii="Arial" w:hAnsi="Arial" w:cs="Arial"/>
          <w:lang w:val="en"/>
        </w:rPr>
        <w:t xml:space="preserve"> group gained a median of 1.0 kg (pooled analysis). In the individual FLAIR and </w:t>
      </w:r>
      <w:r w:rsidRPr="00FB5E91">
        <w:rPr>
          <w:rFonts w:ascii="Arial" w:hAnsi="Arial" w:cs="Arial"/>
          <w:lang w:val="en"/>
        </w:rPr>
        <w:lastRenderedPageBreak/>
        <w:t>ATLAS</w:t>
      </w:r>
      <w:r>
        <w:rPr>
          <w:rFonts w:ascii="Arial" w:hAnsi="Arial" w:cs="Arial"/>
          <w:lang w:val="en"/>
        </w:rPr>
        <w:t xml:space="preserve"> </w:t>
      </w:r>
      <w:r w:rsidR="00EC1C0B">
        <w:rPr>
          <w:rFonts w:ascii="Arial" w:hAnsi="Arial" w:cs="Arial"/>
          <w:lang w:val="en"/>
        </w:rPr>
        <w:t>studies</w:t>
      </w:r>
      <w:r w:rsidRPr="00FB5E91">
        <w:rPr>
          <w:rFonts w:ascii="Arial" w:hAnsi="Arial" w:cs="Arial"/>
          <w:lang w:val="en"/>
        </w:rPr>
        <w:t xml:space="preserve">, the median weight gains in the </w:t>
      </w:r>
      <w:r w:rsidR="00DC4D8B">
        <w:rPr>
          <w:rFonts w:ascii="Arial" w:hAnsi="Arial" w:cs="Arial"/>
          <w:lang w:val="en"/>
        </w:rPr>
        <w:t>CABENUVA</w:t>
      </w:r>
      <w:r w:rsidRPr="00FB5E91">
        <w:rPr>
          <w:rFonts w:ascii="Arial" w:hAnsi="Arial" w:cs="Arial"/>
          <w:lang w:val="en"/>
        </w:rPr>
        <w:t xml:space="preserve"> </w:t>
      </w:r>
      <w:r w:rsidR="007B5EA6">
        <w:rPr>
          <w:rFonts w:ascii="Arial" w:hAnsi="Arial" w:cs="Arial"/>
          <w:lang w:val="en"/>
        </w:rPr>
        <w:t>group</w:t>
      </w:r>
      <w:r w:rsidRPr="00FB5E91">
        <w:rPr>
          <w:rFonts w:ascii="Arial" w:hAnsi="Arial" w:cs="Arial"/>
          <w:lang w:val="en"/>
        </w:rPr>
        <w:t xml:space="preserve"> were 1.3 kg and 1.8 kg respectively, compared to 1.5 kg and 0.3 kg in the CAR </w:t>
      </w:r>
      <w:r w:rsidR="007B5EA6">
        <w:rPr>
          <w:rFonts w:ascii="Arial" w:hAnsi="Arial" w:cs="Arial"/>
          <w:lang w:val="en"/>
        </w:rPr>
        <w:t>group</w:t>
      </w:r>
      <w:bookmarkEnd w:id="25"/>
      <w:r w:rsidR="0039498D" w:rsidRPr="00763708">
        <w:rPr>
          <w:rFonts w:ascii="Arial" w:hAnsi="Arial" w:cs="Arial"/>
          <w:lang w:val="en"/>
        </w:rPr>
        <w:t xml:space="preserve">. At the 48 week timepoint, in ATLAS-2M the median weight gain in both the monthly and 2-monthly </w:t>
      </w:r>
      <w:r w:rsidR="0039498D">
        <w:rPr>
          <w:rFonts w:ascii="Arial" w:hAnsi="Arial" w:cs="Arial"/>
          <w:lang w:val="en"/>
        </w:rPr>
        <w:t>CABENUVA</w:t>
      </w:r>
      <w:r w:rsidR="0039498D" w:rsidRPr="00FB5E91">
        <w:rPr>
          <w:rFonts w:ascii="Arial" w:hAnsi="Arial" w:cs="Arial"/>
          <w:lang w:val="en"/>
        </w:rPr>
        <w:t xml:space="preserve"> </w:t>
      </w:r>
      <w:r w:rsidR="0039498D">
        <w:rPr>
          <w:rFonts w:ascii="Arial" w:hAnsi="Arial" w:cs="Arial"/>
          <w:lang w:val="en"/>
        </w:rPr>
        <w:t>group</w:t>
      </w:r>
      <w:r w:rsidR="0039498D" w:rsidRPr="00763708">
        <w:rPr>
          <w:rFonts w:ascii="Arial" w:hAnsi="Arial" w:cs="Arial"/>
          <w:lang w:val="en"/>
        </w:rPr>
        <w:t xml:space="preserve"> was 1.0 kg.</w:t>
      </w:r>
    </w:p>
    <w:p w14:paraId="3F2FF44A" w14:textId="77777777" w:rsidR="00E42B91" w:rsidRPr="00D26973" w:rsidRDefault="00E42B91" w:rsidP="00D65787">
      <w:pPr>
        <w:pStyle w:val="Heading3"/>
        <w:ind w:left="0"/>
        <w:rPr>
          <w:rFonts w:ascii="Arial" w:hAnsi="Arial" w:cs="Arial"/>
        </w:rPr>
      </w:pPr>
      <w:r w:rsidRPr="00D26973">
        <w:rPr>
          <w:rFonts w:ascii="Arial" w:hAnsi="Arial" w:cs="Arial"/>
        </w:rPr>
        <w:t>Reporting suspected adverse effects</w:t>
      </w:r>
    </w:p>
    <w:p w14:paraId="2DBB9194" w14:textId="77777777" w:rsidR="005B2812" w:rsidRPr="00071855" w:rsidRDefault="005B2812" w:rsidP="000D668F">
      <w:pPr>
        <w:rPr>
          <w:rFonts w:ascii="Arial" w:hAnsi="Arial" w:cs="Arial"/>
        </w:rPr>
      </w:pPr>
      <w:r w:rsidRPr="00071855">
        <w:rPr>
          <w:rFonts w:ascii="Arial" w:hAnsi="Arial" w:cs="Arial"/>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Pr="00071855">
          <w:rPr>
            <w:rStyle w:val="Hyperlink"/>
            <w:rFonts w:ascii="Arial" w:hAnsi="Arial" w:cs="Arial"/>
            <w:lang w:val="en"/>
          </w:rPr>
          <w:t>www.tga.gov.au/reporting-problems</w:t>
        </w:r>
      </w:hyperlink>
      <w:r w:rsidRPr="00071855">
        <w:rPr>
          <w:rFonts w:ascii="Arial" w:hAnsi="Arial" w:cs="Arial"/>
          <w:lang w:val="en"/>
        </w:rPr>
        <w:t>.</w:t>
      </w:r>
    </w:p>
    <w:p w14:paraId="0FCC9450" w14:textId="77777777" w:rsidR="001A3992" w:rsidRPr="00071855" w:rsidRDefault="00071855" w:rsidP="00923029">
      <w:pPr>
        <w:pStyle w:val="Heading2"/>
        <w:numPr>
          <w:ilvl w:val="1"/>
          <w:numId w:val="35"/>
        </w:numPr>
        <w:spacing w:before="0" w:after="120"/>
        <w:rPr>
          <w:rFonts w:ascii="Arial" w:hAnsi="Arial" w:cs="Arial"/>
          <w:smallCaps w:val="0"/>
        </w:rPr>
      </w:pPr>
      <w:r w:rsidRPr="00071855">
        <w:rPr>
          <w:rFonts w:ascii="Arial" w:hAnsi="Arial" w:cs="Arial"/>
          <w:smallCaps w:val="0"/>
        </w:rPr>
        <w:t>OVERDOSE</w:t>
      </w:r>
    </w:p>
    <w:p w14:paraId="366287B9" w14:textId="49C8C485" w:rsidR="007B5EA6" w:rsidRPr="007B5EA6" w:rsidRDefault="007B5EA6" w:rsidP="008E26DE">
      <w:pPr>
        <w:rPr>
          <w:rFonts w:ascii="Arial" w:hAnsi="Arial" w:cs="Arial"/>
          <w:lang w:val="en"/>
        </w:rPr>
      </w:pPr>
      <w:bookmarkStart w:id="26" w:name="_Hlk6231142"/>
      <w:r w:rsidRPr="007B5EA6">
        <w:rPr>
          <w:rFonts w:ascii="Arial" w:hAnsi="Arial" w:cs="Arial"/>
          <w:lang w:val="en"/>
        </w:rPr>
        <w:t xml:space="preserve">There is currently no experience with overdosage of </w:t>
      </w:r>
      <w:r w:rsidR="00DC4D8B">
        <w:rPr>
          <w:rFonts w:ascii="Arial" w:hAnsi="Arial" w:cs="Arial"/>
          <w:lang w:val="en"/>
        </w:rPr>
        <w:t>CABENUVA</w:t>
      </w:r>
      <w:r w:rsidRPr="007B5EA6">
        <w:rPr>
          <w:rFonts w:ascii="Arial" w:hAnsi="Arial" w:cs="Arial"/>
          <w:lang w:val="en"/>
        </w:rPr>
        <w:t>.</w:t>
      </w:r>
    </w:p>
    <w:p w14:paraId="7CFD82B2" w14:textId="3768D78C" w:rsidR="007B5EA6" w:rsidRPr="007B5EA6" w:rsidRDefault="007B5EA6" w:rsidP="000D668F">
      <w:pPr>
        <w:rPr>
          <w:rFonts w:ascii="Arial" w:hAnsi="Arial" w:cs="Arial"/>
          <w:lang w:val="en"/>
        </w:rPr>
      </w:pPr>
      <w:r w:rsidRPr="007B5EA6">
        <w:rPr>
          <w:rFonts w:ascii="Arial" w:hAnsi="Arial" w:cs="Arial"/>
          <w:lang w:val="en"/>
        </w:rPr>
        <w:t xml:space="preserve">There is no specific treatment for overdose with </w:t>
      </w:r>
      <w:r w:rsidR="00DC4D8B">
        <w:rPr>
          <w:rFonts w:ascii="Arial" w:hAnsi="Arial" w:cs="Arial"/>
          <w:lang w:val="en"/>
        </w:rPr>
        <w:t>CABENUVA</w:t>
      </w:r>
      <w:r w:rsidRPr="007B5EA6">
        <w:rPr>
          <w:rFonts w:ascii="Arial" w:hAnsi="Arial" w:cs="Arial"/>
          <w:lang w:val="en"/>
        </w:rPr>
        <w:t xml:space="preserve">. If overdose occurs, the patient should be treated supportively with appropriate monitoring as necessary. Further management should be as clinically indicated or as recommended by the national poisons </w:t>
      </w:r>
      <w:proofErr w:type="spellStart"/>
      <w:r w:rsidRPr="007B5EA6">
        <w:rPr>
          <w:rFonts w:ascii="Arial" w:hAnsi="Arial" w:cs="Arial"/>
          <w:lang w:val="en"/>
        </w:rPr>
        <w:t>centre</w:t>
      </w:r>
      <w:proofErr w:type="spellEnd"/>
      <w:r w:rsidRPr="007B5EA6">
        <w:rPr>
          <w:rFonts w:ascii="Arial" w:hAnsi="Arial" w:cs="Arial"/>
          <w:lang w:val="en"/>
        </w:rPr>
        <w:t>, where available.</w:t>
      </w:r>
    </w:p>
    <w:p w14:paraId="248BD33D" w14:textId="5E7F48EA" w:rsidR="007B5EA6" w:rsidRPr="007B5EA6" w:rsidRDefault="007B5EA6" w:rsidP="000D668F">
      <w:pPr>
        <w:rPr>
          <w:rFonts w:ascii="Arial" w:hAnsi="Arial" w:cs="Arial"/>
          <w:lang w:val="en"/>
        </w:rPr>
      </w:pPr>
      <w:r w:rsidRPr="007B5EA6">
        <w:rPr>
          <w:rFonts w:ascii="Arial" w:hAnsi="Arial" w:cs="Arial"/>
          <w:lang w:val="en"/>
        </w:rPr>
        <w:t>Cabotegravir</w:t>
      </w:r>
      <w:r w:rsidR="00207C8B">
        <w:rPr>
          <w:rFonts w:ascii="Arial" w:hAnsi="Arial" w:cs="Arial"/>
          <w:lang w:val="en"/>
        </w:rPr>
        <w:t xml:space="preserve"> and rilpivirine are</w:t>
      </w:r>
      <w:r w:rsidRPr="007B5EA6">
        <w:rPr>
          <w:rFonts w:ascii="Arial" w:hAnsi="Arial" w:cs="Arial"/>
          <w:lang w:val="en"/>
        </w:rPr>
        <w:t xml:space="preserve"> known to be highly protein bound in plasma; therefore, dialysis is unlikely to be helpful in removal of cabotegravir </w:t>
      </w:r>
      <w:r w:rsidR="00207C8B">
        <w:rPr>
          <w:rFonts w:ascii="Arial" w:hAnsi="Arial" w:cs="Arial"/>
          <w:lang w:val="en"/>
        </w:rPr>
        <w:t xml:space="preserve">or rilpivirine </w:t>
      </w:r>
      <w:r w:rsidRPr="007B5EA6">
        <w:rPr>
          <w:rFonts w:ascii="Arial" w:hAnsi="Arial" w:cs="Arial"/>
          <w:lang w:val="en"/>
        </w:rPr>
        <w:t xml:space="preserve">from the body. Management of overdose with </w:t>
      </w:r>
      <w:r w:rsidR="00DC4D8B">
        <w:rPr>
          <w:rFonts w:ascii="Arial" w:hAnsi="Arial" w:cs="Arial"/>
          <w:lang w:val="en"/>
        </w:rPr>
        <w:t>CABENUVA</w:t>
      </w:r>
      <w:r w:rsidRPr="007B5EA6">
        <w:rPr>
          <w:rFonts w:ascii="Arial" w:hAnsi="Arial" w:cs="Arial"/>
          <w:lang w:val="en"/>
        </w:rPr>
        <w:t xml:space="preserve"> should take into consideration the prolonged exposure to the medicine following an injection (see section 4.4</w:t>
      </w:r>
      <w:r>
        <w:rPr>
          <w:rFonts w:ascii="Arial" w:hAnsi="Arial" w:cs="Arial"/>
          <w:lang w:val="en"/>
        </w:rPr>
        <w:t xml:space="preserve"> SPECIAL WARNINGS AND PRECAUTIONS FOR USE</w:t>
      </w:r>
      <w:r w:rsidRPr="007B5EA6">
        <w:rPr>
          <w:rFonts w:ascii="Arial" w:hAnsi="Arial" w:cs="Arial"/>
          <w:lang w:val="en"/>
        </w:rPr>
        <w:t>).</w:t>
      </w:r>
    </w:p>
    <w:bookmarkEnd w:id="26"/>
    <w:p w14:paraId="23338648" w14:textId="77777777" w:rsidR="005B2812" w:rsidRPr="00071855" w:rsidRDefault="005B2812" w:rsidP="000D668F">
      <w:pPr>
        <w:rPr>
          <w:rFonts w:ascii="Arial" w:hAnsi="Arial" w:cs="Arial"/>
        </w:rPr>
      </w:pPr>
      <w:r w:rsidRPr="00071855">
        <w:rPr>
          <w:rFonts w:ascii="Arial" w:hAnsi="Arial" w:cs="Arial"/>
          <w:lang w:val="en"/>
        </w:rPr>
        <w:t>For information on the management of overdose, contact the Poisons Information Centre on 13 11 26 (Australia).</w:t>
      </w:r>
    </w:p>
    <w:p w14:paraId="0AB337B3" w14:textId="77777777" w:rsidR="001A3992" w:rsidRPr="00923029" w:rsidRDefault="001A3992" w:rsidP="009436C7">
      <w:pPr>
        <w:pStyle w:val="Heading1"/>
        <w:numPr>
          <w:ilvl w:val="0"/>
          <w:numId w:val="35"/>
        </w:numPr>
        <w:spacing w:before="0" w:after="120"/>
        <w:ind w:left="426"/>
        <w:rPr>
          <w:rFonts w:ascii="Arial" w:hAnsi="Arial" w:cs="Arial"/>
        </w:rPr>
      </w:pPr>
      <w:r w:rsidRPr="00923029">
        <w:rPr>
          <w:rFonts w:ascii="Arial" w:hAnsi="Arial" w:cs="Arial"/>
        </w:rPr>
        <w:t>Pharmacological properties</w:t>
      </w:r>
    </w:p>
    <w:p w14:paraId="186C82B4" w14:textId="77777777" w:rsidR="001A3992" w:rsidRPr="00071855" w:rsidRDefault="00071855" w:rsidP="009436C7">
      <w:pPr>
        <w:pStyle w:val="Heading2"/>
        <w:keepNext/>
        <w:numPr>
          <w:ilvl w:val="1"/>
          <w:numId w:val="35"/>
        </w:numPr>
        <w:spacing w:before="0" w:after="120"/>
        <w:rPr>
          <w:rFonts w:ascii="Arial" w:hAnsi="Arial" w:cs="Arial"/>
          <w:smallCaps w:val="0"/>
        </w:rPr>
      </w:pPr>
      <w:r w:rsidRPr="00071855">
        <w:rPr>
          <w:rFonts w:ascii="Arial" w:hAnsi="Arial" w:cs="Arial"/>
          <w:smallCaps w:val="0"/>
        </w:rPr>
        <w:t xml:space="preserve">PHARMACODYNAMIC PROPERTIES </w:t>
      </w:r>
    </w:p>
    <w:p w14:paraId="15DF0178" w14:textId="77777777" w:rsidR="001A3992" w:rsidRPr="00B02CA3" w:rsidRDefault="001A3992" w:rsidP="009436C7">
      <w:pPr>
        <w:pStyle w:val="Heading3"/>
        <w:ind w:left="0"/>
        <w:rPr>
          <w:rFonts w:ascii="Arial" w:hAnsi="Arial" w:cs="Arial"/>
        </w:rPr>
      </w:pPr>
      <w:r w:rsidRPr="00B02CA3">
        <w:rPr>
          <w:rFonts w:ascii="Arial" w:hAnsi="Arial" w:cs="Arial"/>
        </w:rPr>
        <w:t>Mechanism of action</w:t>
      </w:r>
    </w:p>
    <w:p w14:paraId="341C32E8" w14:textId="2D95F824" w:rsidR="006B1BDC" w:rsidRDefault="006B1BDC" w:rsidP="008E26DE">
      <w:pPr>
        <w:rPr>
          <w:rFonts w:ascii="Arial" w:hAnsi="Arial" w:cs="Arial"/>
          <w:lang w:val="en"/>
        </w:rPr>
      </w:pPr>
      <w:r w:rsidRPr="00B02CA3">
        <w:rPr>
          <w:rFonts w:ascii="Arial" w:hAnsi="Arial" w:cs="Arial"/>
          <w:lang w:val="en"/>
        </w:rPr>
        <w:t>Cabotegravir inhibits HIV integrase by binding to the integrase active site and blocking the strand transfer step of retroviral Deoxyribonucleic acid (DNA) integration which is essential for the HIV replication cycle.</w:t>
      </w:r>
    </w:p>
    <w:p w14:paraId="6D5D5AD0" w14:textId="6C601458" w:rsidR="00207C8B" w:rsidRPr="00B02CA3" w:rsidRDefault="00207C8B" w:rsidP="000D668F">
      <w:pPr>
        <w:rPr>
          <w:rFonts w:ascii="Arial" w:hAnsi="Arial" w:cs="Arial"/>
          <w:lang w:val="en"/>
        </w:rPr>
      </w:pPr>
      <w:proofErr w:type="spellStart"/>
      <w:r w:rsidRPr="00207C8B">
        <w:rPr>
          <w:rFonts w:ascii="Arial" w:hAnsi="Arial" w:cs="Arial"/>
          <w:lang w:val="en"/>
        </w:rPr>
        <w:t>Rilpivirine</w:t>
      </w:r>
      <w:proofErr w:type="spellEnd"/>
      <w:r w:rsidRPr="00207C8B">
        <w:rPr>
          <w:rFonts w:ascii="Arial" w:hAnsi="Arial" w:cs="Arial"/>
          <w:lang w:val="en"/>
        </w:rPr>
        <w:t xml:space="preserve"> is a </w:t>
      </w:r>
      <w:proofErr w:type="spellStart"/>
      <w:r w:rsidRPr="00207C8B">
        <w:rPr>
          <w:rFonts w:ascii="Arial" w:hAnsi="Arial" w:cs="Arial"/>
          <w:lang w:val="en"/>
        </w:rPr>
        <w:t>diarylpyrimidine</w:t>
      </w:r>
      <w:proofErr w:type="spellEnd"/>
      <w:r w:rsidRPr="00207C8B">
        <w:rPr>
          <w:rFonts w:ascii="Arial" w:hAnsi="Arial" w:cs="Arial"/>
          <w:lang w:val="en"/>
        </w:rPr>
        <w:t xml:space="preserve"> non</w:t>
      </w:r>
      <w:r w:rsidRPr="00207C8B">
        <w:rPr>
          <w:rFonts w:ascii="Arial" w:hAnsi="Arial" w:cs="Arial"/>
          <w:lang w:val="en"/>
        </w:rPr>
        <w:noBreakHyphen/>
        <w:t xml:space="preserve">nucleoside reverse transcriptase inhibitor </w:t>
      </w:r>
      <w:r>
        <w:rPr>
          <w:rFonts w:ascii="Arial" w:hAnsi="Arial" w:cs="Arial"/>
          <w:lang w:val="en"/>
        </w:rPr>
        <w:t>(</w:t>
      </w:r>
      <w:r w:rsidRPr="00207C8B">
        <w:rPr>
          <w:rFonts w:ascii="Arial" w:hAnsi="Arial" w:cs="Arial"/>
          <w:lang w:val="en"/>
        </w:rPr>
        <w:t>NNRTI</w:t>
      </w:r>
      <w:r>
        <w:rPr>
          <w:rFonts w:ascii="Arial" w:hAnsi="Arial" w:cs="Arial"/>
          <w:lang w:val="en"/>
        </w:rPr>
        <w:t>)</w:t>
      </w:r>
      <w:r w:rsidRPr="00207C8B">
        <w:rPr>
          <w:rFonts w:ascii="Arial" w:hAnsi="Arial" w:cs="Arial"/>
          <w:lang w:val="en"/>
        </w:rPr>
        <w:t xml:space="preserve"> of HIV</w:t>
      </w:r>
      <w:r w:rsidRPr="00207C8B">
        <w:rPr>
          <w:rFonts w:ascii="Arial" w:hAnsi="Arial" w:cs="Arial"/>
          <w:lang w:val="en"/>
        </w:rPr>
        <w:noBreakHyphen/>
        <w:t>1. Rilpivirine activity is mediated by non</w:t>
      </w:r>
      <w:r w:rsidRPr="00207C8B">
        <w:rPr>
          <w:rFonts w:ascii="Arial" w:hAnsi="Arial" w:cs="Arial"/>
          <w:lang w:val="en"/>
        </w:rPr>
        <w:noBreakHyphen/>
        <w:t>competitive inhibition of HIV</w:t>
      </w:r>
      <w:r w:rsidRPr="00207C8B">
        <w:rPr>
          <w:rFonts w:ascii="Arial" w:hAnsi="Arial" w:cs="Arial"/>
          <w:lang w:val="en"/>
        </w:rPr>
        <w:noBreakHyphen/>
        <w:t>1 reverse transcriptase (RT). Rilpivirine does not inhibit the human cellular DNA polymerases α, β and γ.</w:t>
      </w:r>
    </w:p>
    <w:p w14:paraId="133BE287" w14:textId="5A3DC189" w:rsidR="00C5247F" w:rsidRPr="00431430" w:rsidRDefault="00B02CA3" w:rsidP="00EF650F">
      <w:pPr>
        <w:pStyle w:val="Heading3"/>
        <w:spacing w:line="360" w:lineRule="auto"/>
        <w:ind w:left="0"/>
        <w:rPr>
          <w:rFonts w:ascii="Arial" w:hAnsi="Arial" w:cs="Arial"/>
        </w:rPr>
      </w:pPr>
      <w:r w:rsidRPr="00B02CA3">
        <w:rPr>
          <w:rFonts w:ascii="Arial" w:hAnsi="Arial" w:cs="Arial"/>
        </w:rPr>
        <w:t>Pharmacodynamic effects</w:t>
      </w:r>
    </w:p>
    <w:p w14:paraId="2C0F2C2C" w14:textId="5C2C7F35" w:rsidR="00B02CA3" w:rsidRDefault="00B02CA3" w:rsidP="00EF650F">
      <w:pPr>
        <w:rPr>
          <w:rFonts w:ascii="Arial" w:hAnsi="Arial" w:cs="Arial"/>
          <w:lang w:val="en"/>
        </w:rPr>
      </w:pPr>
      <w:r w:rsidRPr="00D65787">
        <w:rPr>
          <w:rFonts w:ascii="Arial" w:eastAsiaTheme="majorEastAsia" w:hAnsi="Arial" w:cs="Arial"/>
          <w:b/>
          <w:bCs/>
          <w:i/>
          <w:iCs/>
        </w:rPr>
        <w:t>Antiviral activity in cell culture</w:t>
      </w:r>
      <w:r w:rsidRPr="00D65787">
        <w:rPr>
          <w:rFonts w:ascii="Arial" w:eastAsiaTheme="majorEastAsia" w:hAnsi="Arial" w:cs="Arial"/>
          <w:b/>
          <w:bCs/>
          <w:i/>
          <w:iCs/>
        </w:rPr>
        <w:br/>
      </w:r>
      <w:r w:rsidRPr="00B02CA3">
        <w:rPr>
          <w:rFonts w:ascii="Arial" w:hAnsi="Arial" w:cs="Arial"/>
          <w:lang w:val="en"/>
        </w:rPr>
        <w:t>Cabotegravir exhibited antiviral activity against laboratory strains of wild-type HIV-1 with mean concentration of cabotegravir necessary to reduce viral replication by 50 percent (EC</w:t>
      </w:r>
      <w:r w:rsidRPr="00EF650F">
        <w:rPr>
          <w:rFonts w:ascii="Arial" w:hAnsi="Arial" w:cs="Arial"/>
          <w:lang w:val="en"/>
        </w:rPr>
        <w:t>50</w:t>
      </w:r>
      <w:r w:rsidRPr="00B02CA3">
        <w:rPr>
          <w:rFonts w:ascii="Arial" w:hAnsi="Arial" w:cs="Arial"/>
          <w:lang w:val="en"/>
        </w:rPr>
        <w:t>) values of 0.22 </w:t>
      </w:r>
      <w:proofErr w:type="spellStart"/>
      <w:r w:rsidRPr="00B02CA3">
        <w:rPr>
          <w:rFonts w:ascii="Arial" w:hAnsi="Arial" w:cs="Arial"/>
          <w:lang w:val="en"/>
        </w:rPr>
        <w:t>nM</w:t>
      </w:r>
      <w:proofErr w:type="spellEnd"/>
      <w:r w:rsidRPr="00B02CA3">
        <w:rPr>
          <w:rFonts w:ascii="Arial" w:hAnsi="Arial" w:cs="Arial"/>
          <w:lang w:val="en"/>
        </w:rPr>
        <w:t xml:space="preserve"> to 1.</w:t>
      </w:r>
      <w:r w:rsidR="007969A9">
        <w:rPr>
          <w:rFonts w:ascii="Arial" w:hAnsi="Arial" w:cs="Arial"/>
          <w:lang w:val="en"/>
        </w:rPr>
        <w:t>6</w:t>
      </w:r>
      <w:r w:rsidRPr="00B02CA3">
        <w:rPr>
          <w:rFonts w:ascii="Arial" w:hAnsi="Arial" w:cs="Arial"/>
          <w:lang w:val="en"/>
        </w:rPr>
        <w:t> </w:t>
      </w:r>
      <w:proofErr w:type="spellStart"/>
      <w:r w:rsidRPr="00B02CA3">
        <w:rPr>
          <w:rFonts w:ascii="Arial" w:hAnsi="Arial" w:cs="Arial"/>
          <w:lang w:val="en"/>
        </w:rPr>
        <w:t>nM</w:t>
      </w:r>
      <w:proofErr w:type="spellEnd"/>
      <w:r w:rsidRPr="00B02CA3">
        <w:rPr>
          <w:rFonts w:ascii="Arial" w:hAnsi="Arial" w:cs="Arial"/>
          <w:lang w:val="en"/>
        </w:rPr>
        <w:t xml:space="preserve"> in peripheral blood mononuclear cells (PBMCs) and 293T cells. Cabotegravir demonstrated antiviral activity in cell culture against a panel of 24 </w:t>
      </w:r>
      <w:r w:rsidRPr="00B02CA3">
        <w:rPr>
          <w:rFonts w:ascii="Arial" w:hAnsi="Arial" w:cs="Arial"/>
          <w:lang w:val="en"/>
        </w:rPr>
        <w:lastRenderedPageBreak/>
        <w:t>HIV-1 clinical isolates (three in each group of M clades A, B, C, D, E, F, and G, and 3 in group O) with EC</w:t>
      </w:r>
      <w:r w:rsidRPr="00EF650F">
        <w:rPr>
          <w:rFonts w:ascii="Arial" w:hAnsi="Arial" w:cs="Arial"/>
          <w:lang w:val="en"/>
        </w:rPr>
        <w:t>50</w:t>
      </w:r>
      <w:r w:rsidRPr="00B02CA3">
        <w:rPr>
          <w:rFonts w:ascii="Arial" w:hAnsi="Arial" w:cs="Arial"/>
          <w:lang w:val="en"/>
        </w:rPr>
        <w:t xml:space="preserve"> values ranging from 0.02 </w:t>
      </w:r>
      <w:proofErr w:type="spellStart"/>
      <w:r w:rsidRPr="00B02CA3">
        <w:rPr>
          <w:rFonts w:ascii="Arial" w:hAnsi="Arial" w:cs="Arial"/>
          <w:lang w:val="en"/>
        </w:rPr>
        <w:t>nM</w:t>
      </w:r>
      <w:proofErr w:type="spellEnd"/>
      <w:r w:rsidRPr="00B02CA3">
        <w:rPr>
          <w:rFonts w:ascii="Arial" w:hAnsi="Arial" w:cs="Arial"/>
          <w:lang w:val="en"/>
        </w:rPr>
        <w:t xml:space="preserve"> to 1.06 </w:t>
      </w:r>
      <w:proofErr w:type="spellStart"/>
      <w:r w:rsidRPr="00B02CA3">
        <w:rPr>
          <w:rFonts w:ascii="Arial" w:hAnsi="Arial" w:cs="Arial"/>
          <w:lang w:val="en"/>
        </w:rPr>
        <w:t>nM</w:t>
      </w:r>
      <w:proofErr w:type="spellEnd"/>
      <w:r w:rsidRPr="00B02CA3">
        <w:rPr>
          <w:rFonts w:ascii="Arial" w:hAnsi="Arial" w:cs="Arial"/>
          <w:lang w:val="en"/>
        </w:rPr>
        <w:t xml:space="preserve"> for HIV-1. Cabotegravir EC</w:t>
      </w:r>
      <w:r w:rsidRPr="00EF650F">
        <w:rPr>
          <w:rFonts w:ascii="Arial" w:hAnsi="Arial" w:cs="Arial"/>
          <w:lang w:val="en"/>
        </w:rPr>
        <w:t>50</w:t>
      </w:r>
      <w:r w:rsidRPr="00B02CA3">
        <w:rPr>
          <w:rFonts w:ascii="Arial" w:hAnsi="Arial" w:cs="Arial"/>
          <w:lang w:val="en"/>
        </w:rPr>
        <w:t xml:space="preserve"> values against four HIV-2 clinical isolates ranged from 0.10 </w:t>
      </w:r>
      <w:proofErr w:type="spellStart"/>
      <w:r w:rsidRPr="00B02CA3">
        <w:rPr>
          <w:rFonts w:ascii="Arial" w:hAnsi="Arial" w:cs="Arial"/>
          <w:lang w:val="en"/>
        </w:rPr>
        <w:t>nM</w:t>
      </w:r>
      <w:proofErr w:type="spellEnd"/>
      <w:r w:rsidRPr="00B02CA3">
        <w:rPr>
          <w:rFonts w:ascii="Arial" w:hAnsi="Arial" w:cs="Arial"/>
          <w:lang w:val="en"/>
        </w:rPr>
        <w:t xml:space="preserve"> to 0.14 </w:t>
      </w:r>
      <w:proofErr w:type="spellStart"/>
      <w:r w:rsidRPr="00B02CA3">
        <w:rPr>
          <w:rFonts w:ascii="Arial" w:hAnsi="Arial" w:cs="Arial"/>
          <w:lang w:val="en"/>
        </w:rPr>
        <w:t>nM</w:t>
      </w:r>
      <w:proofErr w:type="spellEnd"/>
      <w:r w:rsidRPr="00B02CA3">
        <w:rPr>
          <w:rFonts w:ascii="Arial" w:hAnsi="Arial" w:cs="Arial"/>
          <w:lang w:val="en"/>
        </w:rPr>
        <w:t>.</w:t>
      </w:r>
    </w:p>
    <w:p w14:paraId="7099EA3E" w14:textId="45FBE187" w:rsidR="00207C8B" w:rsidRPr="00207C8B" w:rsidRDefault="00207C8B" w:rsidP="00207C8B">
      <w:pPr>
        <w:autoSpaceDE w:val="0"/>
        <w:autoSpaceDN w:val="0"/>
        <w:adjustRightInd w:val="0"/>
        <w:rPr>
          <w:rFonts w:ascii="Arial" w:hAnsi="Arial" w:cs="Arial"/>
          <w:lang w:val="en"/>
        </w:rPr>
      </w:pPr>
      <w:r w:rsidRPr="00207C8B">
        <w:rPr>
          <w:rFonts w:ascii="Arial" w:hAnsi="Arial" w:cs="Arial"/>
          <w:lang w:val="en"/>
        </w:rPr>
        <w:t>Rilpivirine exhibited activity against laboratory strains of wild</w:t>
      </w:r>
      <w:r w:rsidRPr="00207C8B">
        <w:rPr>
          <w:rFonts w:ascii="Arial" w:hAnsi="Arial" w:cs="Arial"/>
          <w:lang w:val="en"/>
        </w:rPr>
        <w:noBreakHyphen/>
        <w:t>type HIV</w:t>
      </w:r>
      <w:r w:rsidRPr="00207C8B">
        <w:rPr>
          <w:rFonts w:ascii="Arial" w:hAnsi="Arial" w:cs="Arial"/>
          <w:lang w:val="en"/>
        </w:rPr>
        <w:noBreakHyphen/>
        <w:t>1 in an acutely infected T</w:t>
      </w:r>
      <w:r w:rsidRPr="00207C8B">
        <w:rPr>
          <w:rFonts w:ascii="Arial" w:hAnsi="Arial" w:cs="Arial"/>
          <w:lang w:val="en"/>
        </w:rPr>
        <w:noBreakHyphen/>
        <w:t>cell line with a median EC</w:t>
      </w:r>
      <w:r w:rsidRPr="00207C8B">
        <w:rPr>
          <w:rFonts w:ascii="Arial" w:hAnsi="Arial" w:cs="Arial"/>
          <w:vertAlign w:val="subscript"/>
          <w:lang w:val="en"/>
        </w:rPr>
        <w:t>50</w:t>
      </w:r>
      <w:r w:rsidRPr="00207C8B">
        <w:rPr>
          <w:rFonts w:ascii="Arial" w:hAnsi="Arial" w:cs="Arial"/>
          <w:lang w:val="en"/>
        </w:rPr>
        <w:t xml:space="preserve"> value for HIV</w:t>
      </w:r>
      <w:r w:rsidRPr="00207C8B">
        <w:rPr>
          <w:rFonts w:ascii="Arial" w:hAnsi="Arial" w:cs="Arial"/>
          <w:lang w:val="en"/>
        </w:rPr>
        <w:noBreakHyphen/>
        <w:t>1/IIIB of 0.73 </w:t>
      </w:r>
      <w:proofErr w:type="spellStart"/>
      <w:r w:rsidRPr="00207C8B">
        <w:rPr>
          <w:rFonts w:ascii="Arial" w:hAnsi="Arial" w:cs="Arial"/>
          <w:lang w:val="en"/>
        </w:rPr>
        <w:t>nM</w:t>
      </w:r>
      <w:proofErr w:type="spellEnd"/>
      <w:r w:rsidRPr="00207C8B">
        <w:rPr>
          <w:rFonts w:ascii="Arial" w:hAnsi="Arial" w:cs="Arial"/>
          <w:lang w:val="en"/>
        </w:rPr>
        <w:t xml:space="preserve"> (0.27 ng</w:t>
      </w:r>
      <w:r>
        <w:rPr>
          <w:rFonts w:ascii="Arial" w:hAnsi="Arial" w:cs="Arial"/>
          <w:lang w:val="en"/>
        </w:rPr>
        <w:t xml:space="preserve"> per </w:t>
      </w:r>
      <w:r w:rsidRPr="00207C8B">
        <w:rPr>
          <w:rFonts w:ascii="Arial" w:hAnsi="Arial" w:cs="Arial"/>
          <w:lang w:val="en"/>
        </w:rPr>
        <w:t xml:space="preserve">mL). Although rilpivirine demonstrated limited </w:t>
      </w:r>
      <w:r w:rsidRPr="00207C8B">
        <w:rPr>
          <w:rFonts w:ascii="Arial" w:hAnsi="Arial" w:cs="Arial"/>
          <w:i/>
          <w:lang w:val="en"/>
        </w:rPr>
        <w:t>in vitro</w:t>
      </w:r>
      <w:r w:rsidRPr="00207C8B">
        <w:rPr>
          <w:rFonts w:ascii="Arial" w:hAnsi="Arial" w:cs="Arial"/>
          <w:lang w:val="en"/>
        </w:rPr>
        <w:t xml:space="preserve"> activity against HIV</w:t>
      </w:r>
      <w:r w:rsidRPr="00207C8B">
        <w:rPr>
          <w:rFonts w:ascii="Arial" w:hAnsi="Arial" w:cs="Arial"/>
          <w:lang w:val="en"/>
        </w:rPr>
        <w:noBreakHyphen/>
        <w:t>2 with EC</w:t>
      </w:r>
      <w:r w:rsidRPr="00207C8B">
        <w:rPr>
          <w:rFonts w:ascii="Arial" w:hAnsi="Arial" w:cs="Arial"/>
          <w:vertAlign w:val="subscript"/>
          <w:lang w:val="en"/>
        </w:rPr>
        <w:t>50</w:t>
      </w:r>
      <w:r w:rsidRPr="00207C8B">
        <w:rPr>
          <w:rFonts w:ascii="Arial" w:hAnsi="Arial" w:cs="Arial"/>
          <w:lang w:val="en"/>
        </w:rPr>
        <w:t xml:space="preserve"> values ranging from 2</w:t>
      </w:r>
      <w:r>
        <w:rPr>
          <w:rFonts w:ascii="Arial" w:hAnsi="Arial" w:cs="Arial"/>
          <w:lang w:val="en"/>
        </w:rPr>
        <w:t>,</w:t>
      </w:r>
      <w:r w:rsidRPr="00207C8B">
        <w:rPr>
          <w:rFonts w:ascii="Arial" w:hAnsi="Arial" w:cs="Arial"/>
          <w:lang w:val="en"/>
        </w:rPr>
        <w:t>510 to 10</w:t>
      </w:r>
      <w:r>
        <w:rPr>
          <w:rFonts w:ascii="Arial" w:hAnsi="Arial" w:cs="Arial"/>
          <w:lang w:val="en"/>
        </w:rPr>
        <w:t>,</w:t>
      </w:r>
      <w:r w:rsidRPr="00207C8B">
        <w:rPr>
          <w:rFonts w:ascii="Arial" w:hAnsi="Arial" w:cs="Arial"/>
          <w:lang w:val="en"/>
        </w:rPr>
        <w:t>830 </w:t>
      </w:r>
      <w:proofErr w:type="spellStart"/>
      <w:r w:rsidRPr="00207C8B">
        <w:rPr>
          <w:rFonts w:ascii="Arial" w:hAnsi="Arial" w:cs="Arial"/>
          <w:lang w:val="en"/>
        </w:rPr>
        <w:t>nM</w:t>
      </w:r>
      <w:proofErr w:type="spellEnd"/>
      <w:r w:rsidRPr="00207C8B">
        <w:rPr>
          <w:rFonts w:ascii="Arial" w:hAnsi="Arial" w:cs="Arial"/>
          <w:lang w:val="en"/>
        </w:rPr>
        <w:t xml:space="preserve"> (920 to 3970 ng</w:t>
      </w:r>
      <w:r>
        <w:rPr>
          <w:rFonts w:ascii="Arial" w:hAnsi="Arial" w:cs="Arial"/>
          <w:lang w:val="en"/>
        </w:rPr>
        <w:t xml:space="preserve"> per </w:t>
      </w:r>
      <w:r w:rsidRPr="00207C8B">
        <w:rPr>
          <w:rFonts w:ascii="Arial" w:hAnsi="Arial" w:cs="Arial"/>
          <w:lang w:val="en"/>
        </w:rPr>
        <w:t>mL), treatment of HIV</w:t>
      </w:r>
      <w:r w:rsidRPr="00207C8B">
        <w:rPr>
          <w:rFonts w:ascii="Arial" w:hAnsi="Arial" w:cs="Arial"/>
          <w:lang w:val="en"/>
        </w:rPr>
        <w:noBreakHyphen/>
        <w:t xml:space="preserve">2 infection with </w:t>
      </w:r>
      <w:r>
        <w:rPr>
          <w:rFonts w:ascii="Arial" w:hAnsi="Arial" w:cs="Arial"/>
          <w:lang w:val="en"/>
        </w:rPr>
        <w:t>rilpivirine</w:t>
      </w:r>
      <w:r w:rsidRPr="00207C8B">
        <w:rPr>
          <w:rFonts w:ascii="Arial" w:hAnsi="Arial" w:cs="Arial"/>
          <w:lang w:val="en"/>
        </w:rPr>
        <w:t xml:space="preserve"> is not recommended in the absence of clinical data.</w:t>
      </w:r>
    </w:p>
    <w:p w14:paraId="5BBC502C" w14:textId="77777777" w:rsidR="00207C8B" w:rsidRPr="00207C8B" w:rsidRDefault="00207C8B" w:rsidP="00207C8B">
      <w:pPr>
        <w:autoSpaceDE w:val="0"/>
        <w:autoSpaceDN w:val="0"/>
        <w:adjustRightInd w:val="0"/>
        <w:rPr>
          <w:rFonts w:ascii="Arial" w:hAnsi="Arial" w:cs="Arial"/>
          <w:lang w:val="en"/>
        </w:rPr>
      </w:pPr>
      <w:r w:rsidRPr="00207C8B">
        <w:rPr>
          <w:rFonts w:ascii="Arial" w:hAnsi="Arial" w:cs="Arial"/>
          <w:lang w:val="en"/>
        </w:rPr>
        <w:t>Rilpivirine also demonstrated antiviral activity against a broad panel of HIV</w:t>
      </w:r>
      <w:r w:rsidRPr="00207C8B">
        <w:rPr>
          <w:rFonts w:ascii="Arial" w:hAnsi="Arial" w:cs="Arial"/>
          <w:lang w:val="en"/>
        </w:rPr>
        <w:noBreakHyphen/>
        <w:t>1 group M (subtype A, B, C, D, F, G, H) primary isolates with EC</w:t>
      </w:r>
      <w:r w:rsidRPr="00207C8B">
        <w:rPr>
          <w:rFonts w:ascii="Arial" w:hAnsi="Arial" w:cs="Arial"/>
          <w:vertAlign w:val="subscript"/>
          <w:lang w:val="en"/>
        </w:rPr>
        <w:t>50</w:t>
      </w:r>
      <w:r w:rsidRPr="00207C8B">
        <w:rPr>
          <w:rFonts w:ascii="Arial" w:hAnsi="Arial" w:cs="Arial"/>
          <w:lang w:val="en"/>
        </w:rPr>
        <w:t xml:space="preserve"> values ranging from 0.07 to 1.01 </w:t>
      </w:r>
      <w:proofErr w:type="spellStart"/>
      <w:r w:rsidRPr="00207C8B">
        <w:rPr>
          <w:rFonts w:ascii="Arial" w:hAnsi="Arial" w:cs="Arial"/>
          <w:lang w:val="en"/>
        </w:rPr>
        <w:t>nM</w:t>
      </w:r>
      <w:proofErr w:type="spellEnd"/>
      <w:r w:rsidRPr="00207C8B">
        <w:rPr>
          <w:rFonts w:ascii="Arial" w:hAnsi="Arial" w:cs="Arial"/>
          <w:lang w:val="en"/>
        </w:rPr>
        <w:t xml:space="preserve"> (0.03 to 0.37 ng/mL) and group O primary isolates with EC</w:t>
      </w:r>
      <w:r w:rsidRPr="00207C8B">
        <w:rPr>
          <w:rFonts w:ascii="Arial" w:hAnsi="Arial" w:cs="Arial"/>
          <w:vertAlign w:val="subscript"/>
          <w:lang w:val="en"/>
        </w:rPr>
        <w:t>50</w:t>
      </w:r>
      <w:r w:rsidRPr="00207C8B">
        <w:rPr>
          <w:rFonts w:ascii="Arial" w:hAnsi="Arial" w:cs="Arial"/>
          <w:lang w:val="en"/>
        </w:rPr>
        <w:t xml:space="preserve"> values ranging from 2.88 to 8.45 </w:t>
      </w:r>
      <w:proofErr w:type="spellStart"/>
      <w:r w:rsidRPr="00207C8B">
        <w:rPr>
          <w:rFonts w:ascii="Arial" w:hAnsi="Arial" w:cs="Arial"/>
          <w:lang w:val="en"/>
        </w:rPr>
        <w:t>nM</w:t>
      </w:r>
      <w:proofErr w:type="spellEnd"/>
      <w:r w:rsidRPr="00207C8B">
        <w:rPr>
          <w:rFonts w:ascii="Arial" w:hAnsi="Arial" w:cs="Arial"/>
          <w:lang w:val="en"/>
        </w:rPr>
        <w:t xml:space="preserve"> (1.06 to 3.10 ng/mL).</w:t>
      </w:r>
    </w:p>
    <w:p w14:paraId="73A5D68A" w14:textId="6FAD506D" w:rsidR="00B02CA3" w:rsidRDefault="00B02CA3" w:rsidP="000D668F">
      <w:pPr>
        <w:rPr>
          <w:rFonts w:ascii="Arial" w:hAnsi="Arial" w:cs="Arial"/>
          <w:lang w:val="en"/>
        </w:rPr>
      </w:pPr>
      <w:r w:rsidRPr="00D65787">
        <w:rPr>
          <w:rFonts w:ascii="Arial" w:eastAsiaTheme="majorEastAsia" w:hAnsi="Arial" w:cs="Arial"/>
          <w:b/>
          <w:bCs/>
          <w:i/>
          <w:iCs/>
        </w:rPr>
        <w:t>Antiviral Activity in combination with other medicinal products</w:t>
      </w:r>
      <w:r w:rsidRPr="00D65787">
        <w:rPr>
          <w:rFonts w:ascii="Arial" w:eastAsiaTheme="majorEastAsia" w:hAnsi="Arial" w:cs="Arial"/>
          <w:b/>
          <w:bCs/>
          <w:i/>
          <w:iCs/>
        </w:rPr>
        <w:br/>
      </w:r>
      <w:r w:rsidR="007969A9">
        <w:rPr>
          <w:rFonts w:ascii="Arial" w:hAnsi="Arial" w:cs="Arial"/>
          <w:lang w:val="en"/>
        </w:rPr>
        <w:t>I</w:t>
      </w:r>
      <w:r w:rsidR="007969A9" w:rsidRPr="00103CED">
        <w:rPr>
          <w:rFonts w:ascii="Arial" w:hAnsi="Arial" w:cs="Arial"/>
          <w:lang w:val="en"/>
        </w:rPr>
        <w:t xml:space="preserve">n </w:t>
      </w:r>
      <w:r w:rsidR="007969A9" w:rsidRPr="00103CED">
        <w:rPr>
          <w:rFonts w:ascii="Arial" w:hAnsi="Arial" w:cs="Arial"/>
          <w:i/>
          <w:iCs/>
          <w:lang w:val="en"/>
        </w:rPr>
        <w:t>in vitro</w:t>
      </w:r>
      <w:r w:rsidR="007969A9" w:rsidRPr="00103CED">
        <w:rPr>
          <w:rFonts w:ascii="Arial" w:hAnsi="Arial" w:cs="Arial"/>
          <w:lang w:val="en"/>
        </w:rPr>
        <w:t xml:space="preserve"> combination studies, cabotegravir had weak synergistic antiviral effects with nucleoside reverse transcriptase inhibitors (lamivudine, tenofovir disoproxil fumarate, emtricitabine) and additive effects with the non-nucleoside reverse transcriptase inhibitor, rilpivirine.</w:t>
      </w:r>
    </w:p>
    <w:p w14:paraId="742FCC4A" w14:textId="34FDFA4F" w:rsidR="00207C8B" w:rsidRPr="00B37CFB" w:rsidRDefault="00207C8B" w:rsidP="000D668F">
      <w:pPr>
        <w:rPr>
          <w:rFonts w:ascii="Arial" w:hAnsi="Arial" w:cs="Arial"/>
          <w:lang w:val="en"/>
        </w:rPr>
      </w:pPr>
      <w:r w:rsidRPr="00B37CFB">
        <w:rPr>
          <w:rFonts w:ascii="Arial" w:hAnsi="Arial" w:cs="Arial"/>
          <w:lang w:val="en"/>
        </w:rPr>
        <w:t xml:space="preserve">Rilpivirine showed </w:t>
      </w:r>
      <w:r w:rsidR="00CC69A6">
        <w:rPr>
          <w:rFonts w:ascii="Arial" w:hAnsi="Arial" w:cs="Arial"/>
          <w:lang w:val="en"/>
        </w:rPr>
        <w:t>additive</w:t>
      </w:r>
      <w:r w:rsidRPr="00B37CFB">
        <w:rPr>
          <w:rFonts w:ascii="Arial" w:hAnsi="Arial" w:cs="Arial"/>
          <w:lang w:val="en"/>
        </w:rPr>
        <w:t xml:space="preserve"> antiviral activity in combination with the N</w:t>
      </w:r>
      <w:r w:rsidR="00CC69A6" w:rsidRPr="00CC69A6">
        <w:rPr>
          <w:rFonts w:ascii="Arial" w:hAnsi="Arial" w:cs="Arial"/>
          <w:lang w:val="en"/>
        </w:rPr>
        <w:t>(t)</w:t>
      </w:r>
      <w:r w:rsidRPr="00B37CFB">
        <w:rPr>
          <w:rFonts w:ascii="Arial" w:hAnsi="Arial" w:cs="Arial"/>
          <w:lang w:val="en"/>
        </w:rPr>
        <w:t xml:space="preserve">RTIs: </w:t>
      </w:r>
      <w:proofErr w:type="spellStart"/>
      <w:r w:rsidRPr="00B37CFB">
        <w:rPr>
          <w:rFonts w:ascii="Arial" w:hAnsi="Arial" w:cs="Arial"/>
          <w:lang w:val="en"/>
        </w:rPr>
        <w:t>abacavir</w:t>
      </w:r>
      <w:proofErr w:type="spellEnd"/>
      <w:r w:rsidRPr="00B37CFB">
        <w:rPr>
          <w:rFonts w:ascii="Arial" w:hAnsi="Arial" w:cs="Arial"/>
          <w:lang w:val="en"/>
        </w:rPr>
        <w:t xml:space="preserve">, </w:t>
      </w:r>
      <w:proofErr w:type="spellStart"/>
      <w:r w:rsidRPr="00B37CFB">
        <w:rPr>
          <w:rFonts w:ascii="Arial" w:hAnsi="Arial" w:cs="Arial"/>
          <w:lang w:val="en"/>
        </w:rPr>
        <w:t>didanosine</w:t>
      </w:r>
      <w:proofErr w:type="spellEnd"/>
      <w:r w:rsidRPr="00B37CFB">
        <w:rPr>
          <w:rFonts w:ascii="Arial" w:hAnsi="Arial" w:cs="Arial"/>
          <w:lang w:val="en"/>
        </w:rPr>
        <w:t xml:space="preserve">, emtricitabine,  </w:t>
      </w:r>
      <w:proofErr w:type="spellStart"/>
      <w:r w:rsidRPr="00B37CFB">
        <w:rPr>
          <w:rFonts w:ascii="Arial" w:hAnsi="Arial" w:cs="Arial"/>
          <w:lang w:val="en"/>
        </w:rPr>
        <w:t>stavudine</w:t>
      </w:r>
      <w:proofErr w:type="spellEnd"/>
      <w:r w:rsidR="00CC69A6">
        <w:rPr>
          <w:rFonts w:ascii="Arial" w:hAnsi="Arial" w:cs="Arial"/>
          <w:lang w:val="en"/>
        </w:rPr>
        <w:t xml:space="preserve"> and </w:t>
      </w:r>
      <w:r w:rsidRPr="00B37CFB">
        <w:rPr>
          <w:rFonts w:ascii="Arial" w:hAnsi="Arial" w:cs="Arial"/>
          <w:lang w:val="en"/>
        </w:rPr>
        <w:t xml:space="preserve"> tenofovir</w:t>
      </w:r>
      <w:r w:rsidR="00CC69A6">
        <w:rPr>
          <w:rFonts w:ascii="Arial" w:hAnsi="Arial" w:cs="Arial"/>
          <w:lang w:val="en"/>
        </w:rPr>
        <w:t>.</w:t>
      </w:r>
      <w:r w:rsidRPr="00B37CFB">
        <w:rPr>
          <w:rFonts w:ascii="Arial" w:hAnsi="Arial" w:cs="Arial"/>
          <w:lang w:val="en"/>
        </w:rPr>
        <w:t>; the</w:t>
      </w:r>
      <w:r w:rsidR="00CC69A6">
        <w:rPr>
          <w:rFonts w:ascii="Arial" w:hAnsi="Arial" w:cs="Arial"/>
          <w:lang w:val="en"/>
        </w:rPr>
        <w:t xml:space="preserve"> protease inhibitors</w:t>
      </w:r>
      <w:r w:rsidRPr="00B37CFB">
        <w:rPr>
          <w:rFonts w:ascii="Arial" w:hAnsi="Arial" w:cs="Arial"/>
          <w:lang w:val="en"/>
        </w:rPr>
        <w:t xml:space="preserve"> </w:t>
      </w:r>
      <w:r w:rsidR="00CC69A6">
        <w:rPr>
          <w:rFonts w:ascii="Arial" w:hAnsi="Arial" w:cs="Arial"/>
          <w:lang w:val="en"/>
        </w:rPr>
        <w:t>(</w:t>
      </w:r>
      <w:r w:rsidRPr="00B37CFB">
        <w:rPr>
          <w:rFonts w:ascii="Arial" w:hAnsi="Arial" w:cs="Arial"/>
          <w:lang w:val="en"/>
        </w:rPr>
        <w:t>P</w:t>
      </w:r>
      <w:r w:rsidR="00CC69A6">
        <w:rPr>
          <w:rFonts w:ascii="Arial" w:hAnsi="Arial" w:cs="Arial"/>
          <w:lang w:val="en"/>
        </w:rPr>
        <w:t>I</w:t>
      </w:r>
      <w:r w:rsidRPr="00B37CFB">
        <w:rPr>
          <w:rFonts w:ascii="Arial" w:hAnsi="Arial" w:cs="Arial"/>
          <w:lang w:val="en"/>
        </w:rPr>
        <w:t>s</w:t>
      </w:r>
      <w:r w:rsidR="00CC69A6">
        <w:rPr>
          <w:rFonts w:ascii="Arial" w:hAnsi="Arial" w:cs="Arial"/>
          <w:lang w:val="en"/>
        </w:rPr>
        <w:t>)</w:t>
      </w:r>
      <w:r w:rsidRPr="00B37CFB">
        <w:rPr>
          <w:rFonts w:ascii="Arial" w:hAnsi="Arial" w:cs="Arial"/>
          <w:lang w:val="en"/>
        </w:rPr>
        <w:t xml:space="preserve">: amprenavir, atazanavir, darunavir, indinavir, lopinavir, nelfinavir, ritonavir, saquinavir and tipranavir; the NNRTIs: efavirenz, etravirine and nevirapine; the fusion inhibitor enfuvirtide; </w:t>
      </w:r>
      <w:r w:rsidR="00CC69A6">
        <w:rPr>
          <w:rFonts w:ascii="Arial" w:hAnsi="Arial" w:cs="Arial"/>
          <w:lang w:val="en"/>
        </w:rPr>
        <w:t xml:space="preserve">and </w:t>
      </w:r>
      <w:r w:rsidRPr="00B37CFB">
        <w:rPr>
          <w:rFonts w:ascii="Arial" w:hAnsi="Arial" w:cs="Arial"/>
          <w:lang w:val="en"/>
        </w:rPr>
        <w:t>the entry inhibitor maraviroc.</w:t>
      </w:r>
      <w:r w:rsidR="00CC69A6">
        <w:rPr>
          <w:rFonts w:ascii="Arial" w:hAnsi="Arial" w:cs="Arial"/>
          <w:lang w:val="en"/>
        </w:rPr>
        <w:t xml:space="preserve"> </w:t>
      </w:r>
      <w:r w:rsidR="00CC69A6" w:rsidRPr="00CC69A6">
        <w:rPr>
          <w:rFonts w:ascii="Arial" w:hAnsi="Arial" w:cs="Arial"/>
          <w:lang w:val="en"/>
        </w:rPr>
        <w:t xml:space="preserve">Rilpivirine showed additive to synergistic antiviral activity in combination with the NRTIs lamivudine and zidovudine, and the integrase inhibitor </w:t>
      </w:r>
      <w:proofErr w:type="spellStart"/>
      <w:r w:rsidR="00CC69A6" w:rsidRPr="00CC69A6">
        <w:rPr>
          <w:rFonts w:ascii="Arial" w:hAnsi="Arial" w:cs="Arial"/>
          <w:lang w:val="en"/>
        </w:rPr>
        <w:t>raltegravir</w:t>
      </w:r>
      <w:proofErr w:type="spellEnd"/>
      <w:r w:rsidR="00CC69A6" w:rsidRPr="00CC69A6">
        <w:rPr>
          <w:rFonts w:ascii="Arial" w:hAnsi="Arial" w:cs="Arial"/>
          <w:lang w:val="en"/>
        </w:rPr>
        <w:t>.</w:t>
      </w:r>
    </w:p>
    <w:p w14:paraId="5D62854B" w14:textId="5DEC0E42" w:rsidR="00B02CA3" w:rsidRPr="00B02CA3" w:rsidRDefault="00B02CA3" w:rsidP="000D668F">
      <w:pPr>
        <w:rPr>
          <w:rFonts w:ascii="Arial" w:hAnsi="Arial" w:cs="Arial"/>
          <w:lang w:val="en"/>
        </w:rPr>
      </w:pPr>
      <w:r w:rsidRPr="00D65787">
        <w:rPr>
          <w:rFonts w:ascii="Arial" w:eastAsiaTheme="majorEastAsia" w:hAnsi="Arial" w:cs="Arial"/>
          <w:b/>
          <w:bCs/>
          <w:i/>
          <w:iCs/>
        </w:rPr>
        <w:t>Effect of Human Serum and Serum Proteins</w:t>
      </w:r>
      <w:r w:rsidRPr="00D65787">
        <w:rPr>
          <w:rFonts w:ascii="Arial" w:eastAsiaTheme="majorEastAsia" w:hAnsi="Arial" w:cs="Arial"/>
          <w:b/>
          <w:bCs/>
          <w:i/>
          <w:iCs/>
        </w:rPr>
        <w:br/>
      </w:r>
      <w:r w:rsidRPr="00BB0170">
        <w:rPr>
          <w:rFonts w:ascii="Arial" w:hAnsi="Arial" w:cs="Arial"/>
          <w:i/>
          <w:lang w:val="en"/>
        </w:rPr>
        <w:t>In vitro</w:t>
      </w:r>
      <w:r w:rsidRPr="00B02CA3">
        <w:rPr>
          <w:rFonts w:ascii="Arial" w:hAnsi="Arial" w:cs="Arial"/>
          <w:lang w:val="en"/>
        </w:rPr>
        <w:t xml:space="preserve"> studies suggested a 408</w:t>
      </w:r>
      <w:r w:rsidRPr="00B02CA3">
        <w:rPr>
          <w:rFonts w:ascii="Arial" w:hAnsi="Arial" w:cs="Arial"/>
          <w:lang w:val="en"/>
        </w:rPr>
        <w:noBreakHyphen/>
        <w:t>fold shift in IC</w:t>
      </w:r>
      <w:r w:rsidRPr="007D4266">
        <w:rPr>
          <w:rFonts w:ascii="Arial" w:hAnsi="Arial" w:cs="Arial"/>
          <w:vertAlign w:val="subscript"/>
          <w:lang w:val="en"/>
        </w:rPr>
        <w:t>50</w:t>
      </w:r>
      <w:r w:rsidRPr="00B02CA3">
        <w:rPr>
          <w:rFonts w:ascii="Arial" w:hAnsi="Arial" w:cs="Arial"/>
          <w:lang w:val="en"/>
        </w:rPr>
        <w:t xml:space="preserve"> of cabotegravir in the presence of 100% human serum (by method of extrapolation), and the protein adjusted IC</w:t>
      </w:r>
      <w:r w:rsidRPr="007D4266">
        <w:rPr>
          <w:rFonts w:ascii="Arial" w:hAnsi="Arial" w:cs="Arial"/>
          <w:vertAlign w:val="subscript"/>
          <w:lang w:val="en"/>
        </w:rPr>
        <w:t xml:space="preserve">50 </w:t>
      </w:r>
      <w:r w:rsidRPr="00B02CA3">
        <w:rPr>
          <w:rFonts w:ascii="Arial" w:hAnsi="Arial" w:cs="Arial"/>
          <w:lang w:val="en"/>
        </w:rPr>
        <w:t>(PA-IC</w:t>
      </w:r>
      <w:r w:rsidRPr="007D4266">
        <w:rPr>
          <w:rFonts w:ascii="Arial" w:hAnsi="Arial" w:cs="Arial"/>
          <w:vertAlign w:val="subscript"/>
          <w:lang w:val="en"/>
        </w:rPr>
        <w:t>50</w:t>
      </w:r>
      <w:r w:rsidRPr="00B02CA3">
        <w:rPr>
          <w:rFonts w:ascii="Arial" w:hAnsi="Arial" w:cs="Arial"/>
          <w:lang w:val="en"/>
        </w:rPr>
        <w:t>) was estimated to be 102 </w:t>
      </w:r>
      <w:proofErr w:type="spellStart"/>
      <w:r w:rsidRPr="00B02CA3">
        <w:rPr>
          <w:rFonts w:ascii="Arial" w:hAnsi="Arial" w:cs="Arial"/>
          <w:lang w:val="en"/>
        </w:rPr>
        <w:t>nM</w:t>
      </w:r>
      <w:proofErr w:type="spellEnd"/>
      <w:r w:rsidRPr="00B02CA3">
        <w:rPr>
          <w:rFonts w:ascii="Arial" w:hAnsi="Arial" w:cs="Arial"/>
          <w:lang w:val="en"/>
        </w:rPr>
        <w:t xml:space="preserve"> in MT4 cells.</w:t>
      </w:r>
    </w:p>
    <w:p w14:paraId="27A07E31" w14:textId="0E787401" w:rsidR="00B02CA3" w:rsidRDefault="00B02CA3" w:rsidP="000D668F">
      <w:pPr>
        <w:rPr>
          <w:rFonts w:ascii="Arial" w:hAnsi="Arial" w:cs="Arial"/>
          <w:lang w:val="en"/>
        </w:rPr>
      </w:pPr>
      <w:r w:rsidRPr="00D65787">
        <w:rPr>
          <w:rFonts w:ascii="Arial" w:eastAsiaTheme="majorEastAsia" w:hAnsi="Arial" w:cs="Arial"/>
          <w:b/>
          <w:bCs/>
          <w:i/>
          <w:iCs/>
        </w:rPr>
        <w:t>Resistance in vitro</w:t>
      </w:r>
      <w:r w:rsidRPr="00D65787">
        <w:rPr>
          <w:rFonts w:ascii="Arial" w:eastAsiaTheme="majorEastAsia" w:hAnsi="Arial" w:cs="Arial"/>
          <w:b/>
          <w:bCs/>
          <w:i/>
          <w:iCs/>
        </w:rPr>
        <w:br/>
      </w:r>
      <w:r w:rsidRPr="00B93EC2">
        <w:rPr>
          <w:rFonts w:ascii="Arial" w:hAnsi="Arial" w:cs="Arial"/>
          <w:i/>
          <w:lang w:val="en"/>
        </w:rPr>
        <w:t>Isolation from wild-type HIV-1 and activity against resistant strains</w:t>
      </w:r>
      <w:r w:rsidRPr="00B02CA3">
        <w:rPr>
          <w:rFonts w:ascii="Arial" w:hAnsi="Arial" w:cs="Arial"/>
          <w:lang w:val="en"/>
        </w:rPr>
        <w:t xml:space="preserve">: </w:t>
      </w:r>
      <w:bookmarkStart w:id="27" w:name="_Hlk531358524"/>
      <w:r w:rsidRPr="00B02CA3">
        <w:rPr>
          <w:rFonts w:ascii="Arial" w:hAnsi="Arial" w:cs="Arial"/>
          <w:lang w:val="en"/>
        </w:rPr>
        <w:t>Viruses with &gt;10-fold increase in cabotegravir EC</w:t>
      </w:r>
      <w:r w:rsidRPr="007D4266">
        <w:rPr>
          <w:rFonts w:ascii="Arial" w:hAnsi="Arial" w:cs="Arial"/>
          <w:vertAlign w:val="subscript"/>
          <w:lang w:val="en"/>
        </w:rPr>
        <w:t>50</w:t>
      </w:r>
      <w:r w:rsidRPr="00B02CA3">
        <w:rPr>
          <w:rFonts w:ascii="Arial" w:hAnsi="Arial" w:cs="Arial"/>
          <w:lang w:val="en"/>
        </w:rPr>
        <w:t xml:space="preserve"> were not observed during the 112-day passage of strain IIIB. </w:t>
      </w:r>
      <w:bookmarkStart w:id="28" w:name="_Hlk531703892"/>
      <w:bookmarkEnd w:id="27"/>
      <w:r w:rsidRPr="00B02CA3">
        <w:rPr>
          <w:rFonts w:ascii="Arial" w:hAnsi="Arial" w:cs="Arial"/>
          <w:lang w:val="en"/>
        </w:rPr>
        <w:t xml:space="preserve">The following integrase (IN) mutations emerged after passaging wild type HIV-1 (with T124A polymorphism) in the presence of cabotegravir: Q146L (fold-change range 1.3-4.6), S153Y (fold-change range 3.6-8.4),  and I162M (fold-change = 2.8). As noted above, the detection of T124A is selection of a pre-existing minority variant that does not have differential susceptibility to cabotegravir. </w:t>
      </w:r>
      <w:bookmarkEnd w:id="28"/>
      <w:r w:rsidRPr="00B02CA3">
        <w:rPr>
          <w:rFonts w:ascii="Arial" w:hAnsi="Arial" w:cs="Arial"/>
          <w:lang w:val="en"/>
        </w:rPr>
        <w:t>No amino acid substitutions in the integrase region were selected when passaging the wild-type HIV-1 NL</w:t>
      </w:r>
      <w:r w:rsidRPr="00B02CA3">
        <w:rPr>
          <w:rFonts w:ascii="Arial" w:hAnsi="Arial" w:cs="Arial"/>
          <w:lang w:val="en"/>
        </w:rPr>
        <w:noBreakHyphen/>
        <w:t>432 in the presence of 6.4 </w:t>
      </w:r>
      <w:proofErr w:type="spellStart"/>
      <w:r w:rsidRPr="00B02CA3">
        <w:rPr>
          <w:rFonts w:ascii="Arial" w:hAnsi="Arial" w:cs="Arial"/>
          <w:lang w:val="en"/>
        </w:rPr>
        <w:t>nM</w:t>
      </w:r>
      <w:proofErr w:type="spellEnd"/>
      <w:r w:rsidRPr="00B02CA3">
        <w:rPr>
          <w:rFonts w:ascii="Arial" w:hAnsi="Arial" w:cs="Arial"/>
          <w:lang w:val="en"/>
        </w:rPr>
        <w:t xml:space="preserve"> of </w:t>
      </w:r>
      <w:proofErr w:type="spellStart"/>
      <w:r w:rsidRPr="00B02CA3">
        <w:rPr>
          <w:rFonts w:ascii="Arial" w:hAnsi="Arial" w:cs="Arial"/>
          <w:lang w:val="en"/>
        </w:rPr>
        <w:t>cabotegravir</w:t>
      </w:r>
      <w:proofErr w:type="spellEnd"/>
      <w:r w:rsidRPr="00B02CA3">
        <w:rPr>
          <w:rFonts w:ascii="Arial" w:hAnsi="Arial" w:cs="Arial"/>
          <w:lang w:val="en"/>
        </w:rPr>
        <w:t xml:space="preserve"> through Day 56.</w:t>
      </w:r>
    </w:p>
    <w:p w14:paraId="6E39F201" w14:textId="5B29EF8E" w:rsidR="000B19E6" w:rsidRPr="00B02CA3" w:rsidRDefault="000B19E6" w:rsidP="000B19E6">
      <w:pPr>
        <w:autoSpaceDE w:val="0"/>
        <w:autoSpaceDN w:val="0"/>
        <w:adjustRightInd w:val="0"/>
        <w:rPr>
          <w:rFonts w:ascii="Arial" w:hAnsi="Arial" w:cs="Arial"/>
          <w:lang w:val="en"/>
        </w:rPr>
      </w:pPr>
      <w:r w:rsidRPr="009F2A74">
        <w:rPr>
          <w:rFonts w:ascii="Arial" w:hAnsi="Arial" w:cs="Arial"/>
          <w:lang w:val="en"/>
        </w:rPr>
        <w:t xml:space="preserve">Among the known integrase resistant mutants tested, mild resistance (≥ 5-fold but &lt;10-fold resistance) was seen with E92Q/N155H, G118R, G140S/Q148H, Y143H/N155H, Q148K, </w:t>
      </w:r>
      <w:r w:rsidRPr="009F2A74">
        <w:rPr>
          <w:rFonts w:ascii="Arial" w:hAnsi="Arial" w:cs="Arial"/>
          <w:lang w:val="en"/>
        </w:rPr>
        <w:lastRenderedPageBreak/>
        <w:t>Q148R, T66K/L74M and G140S/Q148K. High resistance (≥10-fold resistance) was seen with E138K/Q148K, V72I/E138K/Q148K, E138K/Q148R, E138K/G140S/Q148R, L74M/V75A/G140S/Q148H, G140C/Q148R, Q148R/N155H and G140S/Q148R.</w:t>
      </w:r>
    </w:p>
    <w:p w14:paraId="62A31B9E" w14:textId="5FC2F5EF" w:rsidR="00B37CFB" w:rsidRDefault="00B37CFB" w:rsidP="00B37CFB">
      <w:pPr>
        <w:rPr>
          <w:rFonts w:ascii="Arial" w:hAnsi="Arial" w:cs="Arial"/>
          <w:lang w:val="en"/>
        </w:rPr>
      </w:pPr>
      <w:r>
        <w:rPr>
          <w:rFonts w:ascii="Arial" w:hAnsi="Arial" w:cs="Arial"/>
          <w:lang w:val="en"/>
        </w:rPr>
        <w:t>Taking into c</w:t>
      </w:r>
      <w:r w:rsidRPr="00B37CFB">
        <w:rPr>
          <w:rFonts w:ascii="Arial" w:hAnsi="Arial" w:cs="Arial"/>
          <w:lang w:val="en"/>
        </w:rPr>
        <w:t>onsider</w:t>
      </w:r>
      <w:r>
        <w:rPr>
          <w:rFonts w:ascii="Arial" w:hAnsi="Arial" w:cs="Arial"/>
          <w:lang w:val="en"/>
        </w:rPr>
        <w:t>ation</w:t>
      </w:r>
      <w:r w:rsidRPr="00B37CFB">
        <w:rPr>
          <w:rFonts w:ascii="Arial" w:hAnsi="Arial" w:cs="Arial"/>
          <w:lang w:val="en"/>
        </w:rPr>
        <w:t xml:space="preserve"> all of the available </w:t>
      </w:r>
      <w:r w:rsidRPr="00B37CFB">
        <w:rPr>
          <w:rFonts w:ascii="Arial" w:hAnsi="Arial" w:cs="Arial"/>
          <w:i/>
          <w:lang w:val="en"/>
        </w:rPr>
        <w:t>in vitro</w:t>
      </w:r>
      <w:r w:rsidRPr="00B37CFB">
        <w:rPr>
          <w:rFonts w:ascii="Arial" w:hAnsi="Arial" w:cs="Arial"/>
          <w:lang w:val="en"/>
        </w:rPr>
        <w:t xml:space="preserve"> and </w:t>
      </w:r>
      <w:r w:rsidRPr="00B37CFB">
        <w:rPr>
          <w:rFonts w:ascii="Arial" w:hAnsi="Arial" w:cs="Arial"/>
          <w:i/>
          <w:lang w:val="en"/>
        </w:rPr>
        <w:t>in vivo</w:t>
      </w:r>
      <w:r w:rsidRPr="00B37CFB">
        <w:rPr>
          <w:rFonts w:ascii="Arial" w:hAnsi="Arial" w:cs="Arial"/>
          <w:lang w:val="en"/>
        </w:rPr>
        <w:t xml:space="preserve"> data generated with oral rilpivirine in previously untreated patients, the following amino acid substitutions, when present at baseline, may affect the activity of rilpivirine: K101E, K101P, E138A, E138G, E138K, E138Q, E138R, V179L, Y181C, Y181I, Y181V, Y188L, H221Y, F227C, M230I, and M230L, and the combination of L100I and K103N.</w:t>
      </w:r>
    </w:p>
    <w:p w14:paraId="77926BD7" w14:textId="005BD5E0" w:rsidR="008D5698" w:rsidRPr="008D5698" w:rsidRDefault="008D5698" w:rsidP="008D5698">
      <w:pPr>
        <w:rPr>
          <w:rFonts w:ascii="Arial" w:hAnsi="Arial" w:cs="Arial"/>
          <w:i/>
          <w:lang w:val="en"/>
        </w:rPr>
      </w:pPr>
      <w:r w:rsidRPr="008D5698">
        <w:rPr>
          <w:rFonts w:ascii="Arial" w:hAnsi="Arial" w:cs="Arial"/>
          <w:i/>
          <w:lang w:val="en"/>
        </w:rPr>
        <w:t>Cross-resistance</w:t>
      </w:r>
      <w:r>
        <w:rPr>
          <w:rFonts w:ascii="Arial" w:hAnsi="Arial" w:cs="Arial"/>
          <w:i/>
          <w:lang w:val="en"/>
        </w:rPr>
        <w:t xml:space="preserve">: </w:t>
      </w:r>
      <w:r w:rsidRPr="008D5698">
        <w:rPr>
          <w:rFonts w:ascii="Arial" w:hAnsi="Arial" w:cs="Arial"/>
          <w:lang w:val="en"/>
        </w:rPr>
        <w:t>In a panel of 67 HIV</w:t>
      </w:r>
      <w:r w:rsidRPr="008D5698">
        <w:rPr>
          <w:rFonts w:ascii="Arial" w:hAnsi="Arial" w:cs="Arial"/>
          <w:lang w:val="en"/>
        </w:rPr>
        <w:noBreakHyphen/>
        <w:t>1 recombinant laboratory strains</w:t>
      </w:r>
      <w:r w:rsidR="00F63DA7">
        <w:rPr>
          <w:rFonts w:ascii="Arial" w:hAnsi="Arial" w:cs="Arial"/>
          <w:lang w:val="en"/>
        </w:rPr>
        <w:t>,</w:t>
      </w:r>
      <w:r w:rsidRPr="008D5698">
        <w:rPr>
          <w:rFonts w:ascii="Arial" w:hAnsi="Arial" w:cs="Arial"/>
          <w:lang w:val="en"/>
        </w:rPr>
        <w:t xml:space="preserve"> with one amino acid substitution at RT positions associated with NNRTI resistance, including the most commonly found K103N and Y181C, rilpivirine showed antiviral activity against 64 (96%) of these strains. The single amino acid substitutions associated with a loss of susceptibility to rilpivirine were: K101P, Y181I and Y181V. The K103N substitution did not result in reduced susceptibility to rilpivirine by itself, but the combination of K103N and L100I resulted in a 7-fold reduced susceptibility to rilpivirine.</w:t>
      </w:r>
    </w:p>
    <w:p w14:paraId="106C1D8C" w14:textId="77777777" w:rsidR="008D5698" w:rsidRPr="008D5698" w:rsidRDefault="008D5698" w:rsidP="008D5698">
      <w:pPr>
        <w:autoSpaceDE w:val="0"/>
        <w:autoSpaceDN w:val="0"/>
        <w:adjustRightInd w:val="0"/>
        <w:rPr>
          <w:rFonts w:ascii="Arial" w:hAnsi="Arial" w:cs="Arial"/>
          <w:lang w:val="en"/>
        </w:rPr>
      </w:pPr>
      <w:r w:rsidRPr="008D5698">
        <w:rPr>
          <w:rFonts w:ascii="Arial" w:hAnsi="Arial" w:cs="Arial"/>
          <w:lang w:val="en"/>
        </w:rPr>
        <w:t>Rilpivirine retained sensitivity (FC ≤ BCO) against 62% of 4786 HIV</w:t>
      </w:r>
      <w:r w:rsidRPr="008D5698">
        <w:rPr>
          <w:rFonts w:ascii="Arial" w:hAnsi="Arial" w:cs="Arial"/>
          <w:lang w:val="en"/>
        </w:rPr>
        <w:noBreakHyphen/>
        <w:t>1 recombinant clinical isolates resistant to efavirenz and/or nevirapine.</w:t>
      </w:r>
    </w:p>
    <w:p w14:paraId="420DE836" w14:textId="24298A94" w:rsidR="00C6780E" w:rsidRPr="00B02CA3" w:rsidRDefault="00B02CA3" w:rsidP="00C6780E">
      <w:pPr>
        <w:autoSpaceDE w:val="0"/>
        <w:autoSpaceDN w:val="0"/>
        <w:adjustRightInd w:val="0"/>
        <w:rPr>
          <w:rFonts w:ascii="Arial" w:hAnsi="Arial" w:cs="Arial"/>
          <w:lang w:val="en"/>
        </w:rPr>
      </w:pPr>
      <w:r w:rsidRPr="00D65787">
        <w:rPr>
          <w:rFonts w:ascii="Arial" w:eastAsiaTheme="majorEastAsia" w:hAnsi="Arial" w:cs="Arial"/>
          <w:b/>
          <w:bCs/>
          <w:i/>
          <w:iCs/>
        </w:rPr>
        <w:t>Resistance in vivo</w:t>
      </w:r>
      <w:r w:rsidRPr="00D65787">
        <w:rPr>
          <w:rFonts w:ascii="Arial" w:eastAsiaTheme="majorEastAsia" w:hAnsi="Arial" w:cs="Arial"/>
          <w:b/>
          <w:bCs/>
          <w:i/>
          <w:iCs/>
        </w:rPr>
        <w:br/>
      </w:r>
      <w:bookmarkStart w:id="29" w:name="_Hlk2967821"/>
      <w:r w:rsidR="00C6780E" w:rsidRPr="00B02CA3">
        <w:rPr>
          <w:rFonts w:ascii="Arial" w:hAnsi="Arial" w:cs="Arial"/>
          <w:lang w:val="en"/>
        </w:rPr>
        <w:t xml:space="preserve">The number of subjects who met CVF criteria was low across the pooled FLAIR and ATLAS </w:t>
      </w:r>
      <w:r w:rsidR="00C6780E">
        <w:rPr>
          <w:rFonts w:ascii="Arial" w:hAnsi="Arial" w:cs="Arial"/>
          <w:lang w:val="en"/>
        </w:rPr>
        <w:t>studies</w:t>
      </w:r>
      <w:r w:rsidR="00C6780E" w:rsidRPr="00B02CA3">
        <w:rPr>
          <w:rFonts w:ascii="Arial" w:hAnsi="Arial" w:cs="Arial"/>
          <w:lang w:val="en"/>
        </w:rPr>
        <w:t xml:space="preserve">. In the pooled analysis, there were 7 CVFs on cabotegravir plus rilpivirine (7/591, 1.2%) and 7 CVFs on current antiretroviral regimen (7/591, 1.2%). The </w:t>
      </w:r>
      <w:r w:rsidR="00C6780E">
        <w:rPr>
          <w:rFonts w:ascii="Arial" w:hAnsi="Arial" w:cs="Arial"/>
          <w:lang w:val="en"/>
        </w:rPr>
        <w:t>3</w:t>
      </w:r>
      <w:r w:rsidR="00C6780E" w:rsidRPr="00B02CA3">
        <w:rPr>
          <w:rFonts w:ascii="Arial" w:hAnsi="Arial" w:cs="Arial"/>
          <w:lang w:val="en"/>
        </w:rPr>
        <w:t xml:space="preserve"> CVFs on cabotegravir plus rilpivirine in FLAIR with resistance data had Subtype A1</w:t>
      </w:r>
      <w:r w:rsidR="00C6780E">
        <w:rPr>
          <w:rFonts w:ascii="Arial" w:hAnsi="Arial" w:cs="Arial"/>
          <w:lang w:val="en"/>
        </w:rPr>
        <w:t xml:space="preserve"> </w:t>
      </w:r>
      <w:r w:rsidR="00C6780E" w:rsidRPr="00D25AFD">
        <w:rPr>
          <w:rFonts w:ascii="Arial" w:hAnsi="Arial" w:cs="Arial"/>
          <w:lang w:val="en"/>
        </w:rPr>
        <w:t>with IN substitution L74I (which by itself does not cause</w:t>
      </w:r>
      <w:r w:rsidR="00C6780E">
        <w:rPr>
          <w:rFonts w:ascii="Arial" w:hAnsi="Arial" w:cs="Arial"/>
          <w:lang w:val="en"/>
        </w:rPr>
        <w:t xml:space="preserve"> </w:t>
      </w:r>
      <w:r w:rsidR="00C6780E" w:rsidRPr="00D25AFD">
        <w:rPr>
          <w:rFonts w:ascii="Arial" w:hAnsi="Arial" w:cs="Arial"/>
          <w:lang w:val="en"/>
        </w:rPr>
        <w:t xml:space="preserve">resistance to any INI) detected at </w:t>
      </w:r>
      <w:r w:rsidR="00C6780E">
        <w:rPr>
          <w:rFonts w:ascii="Arial" w:hAnsi="Arial" w:cs="Arial"/>
          <w:lang w:val="en"/>
        </w:rPr>
        <w:t>b</w:t>
      </w:r>
      <w:r w:rsidR="00C6780E" w:rsidRPr="00D25AFD">
        <w:rPr>
          <w:rFonts w:ascii="Arial" w:hAnsi="Arial" w:cs="Arial"/>
          <w:lang w:val="en"/>
        </w:rPr>
        <w:t>aseline and suspected virologic failure (SVF).</w:t>
      </w:r>
      <w:r w:rsidR="00C6780E" w:rsidRPr="00EA441B">
        <w:rPr>
          <w:rFonts w:ascii="Arial" w:hAnsi="Arial" w:cs="Arial"/>
          <w:lang w:val="en"/>
        </w:rPr>
        <w:t xml:space="preserve"> </w:t>
      </w:r>
      <w:r w:rsidR="00C6780E" w:rsidRPr="00B02CA3">
        <w:rPr>
          <w:rFonts w:ascii="Arial" w:hAnsi="Arial" w:cs="Arial"/>
          <w:lang w:val="en"/>
        </w:rPr>
        <w:t xml:space="preserve">In addition, 2 of the 3 CVFs had treatment-emergent integrase inhibitor resistance associated substitution Q148R while </w:t>
      </w:r>
      <w:r w:rsidR="00C6780E">
        <w:rPr>
          <w:rFonts w:ascii="Arial" w:hAnsi="Arial" w:cs="Arial"/>
          <w:lang w:val="en"/>
        </w:rPr>
        <w:t>1</w:t>
      </w:r>
      <w:r w:rsidR="00C6780E" w:rsidRPr="00B02CA3">
        <w:rPr>
          <w:rFonts w:ascii="Arial" w:hAnsi="Arial" w:cs="Arial"/>
          <w:lang w:val="en"/>
        </w:rPr>
        <w:t xml:space="preserve"> of the </w:t>
      </w:r>
      <w:r w:rsidR="00C6780E">
        <w:rPr>
          <w:rFonts w:ascii="Arial" w:hAnsi="Arial" w:cs="Arial"/>
          <w:lang w:val="en"/>
        </w:rPr>
        <w:t>3</w:t>
      </w:r>
      <w:r w:rsidR="00C6780E" w:rsidRPr="00B02CA3">
        <w:rPr>
          <w:rFonts w:ascii="Arial" w:hAnsi="Arial" w:cs="Arial"/>
          <w:lang w:val="en"/>
        </w:rPr>
        <w:t xml:space="preserve"> had G140R with reduced phenotypic susceptibility to cabotegravir. All 3 CVFs carried one rilpivirine resistance-associated substitution: K101E, E138E/A/K/T or E138K, and </w:t>
      </w:r>
      <w:r w:rsidR="00C6780E">
        <w:rPr>
          <w:rFonts w:ascii="Arial" w:hAnsi="Arial" w:cs="Arial"/>
          <w:lang w:val="en"/>
        </w:rPr>
        <w:t>2</w:t>
      </w:r>
      <w:r w:rsidR="00C6780E" w:rsidRPr="00B02CA3">
        <w:rPr>
          <w:rFonts w:ascii="Arial" w:hAnsi="Arial" w:cs="Arial"/>
          <w:lang w:val="en"/>
        </w:rPr>
        <w:t xml:space="preserve"> of the </w:t>
      </w:r>
      <w:r w:rsidR="00C6780E">
        <w:rPr>
          <w:rFonts w:ascii="Arial" w:hAnsi="Arial" w:cs="Arial"/>
          <w:lang w:val="en"/>
        </w:rPr>
        <w:t>3</w:t>
      </w:r>
      <w:r w:rsidR="00C6780E" w:rsidRPr="00B02CA3">
        <w:rPr>
          <w:rFonts w:ascii="Arial" w:hAnsi="Arial" w:cs="Arial"/>
          <w:lang w:val="en"/>
        </w:rPr>
        <w:t xml:space="preserve"> showed reduced phenotypic susceptibility to rilpivirine. The 3 CVFs in ATLAS had subtype A, A1 and AG. </w:t>
      </w:r>
      <w:r w:rsidR="00C6780E" w:rsidRPr="00B62BD3">
        <w:rPr>
          <w:rFonts w:ascii="Arial" w:hAnsi="Arial" w:cs="Arial"/>
          <w:lang w:val="en"/>
        </w:rPr>
        <w:t>The 2 CVFs with subtype A and A1 both carried IN substitution L74I  in</w:t>
      </w:r>
      <w:r w:rsidR="004558F2">
        <w:rPr>
          <w:rFonts w:ascii="Arial" w:hAnsi="Arial" w:cs="Arial"/>
          <w:lang w:val="en"/>
        </w:rPr>
        <w:t xml:space="preserve"> </w:t>
      </w:r>
      <w:r w:rsidR="00FE3C58">
        <w:rPr>
          <w:rFonts w:ascii="Arial" w:hAnsi="Arial" w:cs="Arial"/>
          <w:lang w:val="en"/>
        </w:rPr>
        <w:t>ba</w:t>
      </w:r>
      <w:r w:rsidR="004558F2">
        <w:rPr>
          <w:rFonts w:ascii="Arial" w:hAnsi="Arial" w:cs="Arial"/>
          <w:lang w:val="en"/>
        </w:rPr>
        <w:t>seline</w:t>
      </w:r>
      <w:r w:rsidR="00C6780E" w:rsidRPr="00B62BD3">
        <w:rPr>
          <w:rFonts w:ascii="Arial" w:hAnsi="Arial" w:cs="Arial"/>
          <w:lang w:val="en"/>
        </w:rPr>
        <w:t xml:space="preserve"> PBMC HIV-1 DNA and at </w:t>
      </w:r>
      <w:r w:rsidR="004558F2">
        <w:rPr>
          <w:rFonts w:ascii="Arial" w:hAnsi="Arial" w:cs="Arial"/>
          <w:lang w:val="en"/>
        </w:rPr>
        <w:t>S</w:t>
      </w:r>
      <w:r w:rsidR="00C6780E" w:rsidRPr="00B62BD3">
        <w:rPr>
          <w:rFonts w:ascii="Arial" w:hAnsi="Arial" w:cs="Arial"/>
          <w:lang w:val="en"/>
        </w:rPr>
        <w:t>VF in HIV-1 RNA. In addition, 1</w:t>
      </w:r>
      <w:r w:rsidR="00C6780E" w:rsidRPr="00B02CA3">
        <w:rPr>
          <w:rFonts w:ascii="Arial" w:hAnsi="Arial" w:cs="Arial"/>
          <w:lang w:val="en"/>
        </w:rPr>
        <w:t xml:space="preserve"> of the </w:t>
      </w:r>
      <w:r w:rsidR="00C6780E">
        <w:rPr>
          <w:rFonts w:ascii="Arial" w:hAnsi="Arial" w:cs="Arial"/>
          <w:lang w:val="en"/>
        </w:rPr>
        <w:t>3</w:t>
      </w:r>
      <w:r w:rsidR="00C6780E" w:rsidRPr="00B02CA3">
        <w:rPr>
          <w:rFonts w:ascii="Arial" w:hAnsi="Arial" w:cs="Arial"/>
          <w:lang w:val="en"/>
        </w:rPr>
        <w:t xml:space="preserve"> CVFs carried the INI resistance-associated substitution N155H</w:t>
      </w:r>
      <w:r w:rsidR="004558F2">
        <w:rPr>
          <w:rFonts w:ascii="Arial" w:hAnsi="Arial" w:cs="Arial"/>
          <w:lang w:val="en"/>
        </w:rPr>
        <w:t xml:space="preserve"> at SVF</w:t>
      </w:r>
      <w:r w:rsidR="00C6780E">
        <w:rPr>
          <w:rFonts w:ascii="Arial" w:hAnsi="Arial" w:cs="Arial"/>
          <w:lang w:val="en"/>
        </w:rPr>
        <w:t xml:space="preserve">. </w:t>
      </w:r>
      <w:r w:rsidR="00C6780E" w:rsidRPr="00B02CA3">
        <w:rPr>
          <w:rFonts w:ascii="Arial" w:hAnsi="Arial" w:cs="Arial"/>
          <w:lang w:val="en"/>
        </w:rPr>
        <w:t xml:space="preserve">All </w:t>
      </w:r>
      <w:r w:rsidR="00C6780E">
        <w:rPr>
          <w:rFonts w:ascii="Arial" w:hAnsi="Arial" w:cs="Arial"/>
          <w:lang w:val="en"/>
        </w:rPr>
        <w:t>3</w:t>
      </w:r>
      <w:r w:rsidR="00C6780E" w:rsidRPr="00B02CA3">
        <w:rPr>
          <w:rFonts w:ascii="Arial" w:hAnsi="Arial" w:cs="Arial"/>
          <w:lang w:val="en"/>
        </w:rPr>
        <w:t xml:space="preserve"> CVFs </w:t>
      </w:r>
      <w:r w:rsidR="00C6780E">
        <w:rPr>
          <w:rFonts w:ascii="Arial" w:hAnsi="Arial" w:cs="Arial"/>
          <w:lang w:val="en"/>
        </w:rPr>
        <w:t xml:space="preserve">had treatment-emergent </w:t>
      </w:r>
      <w:r w:rsidR="00C6780E" w:rsidRPr="00B02CA3">
        <w:rPr>
          <w:rFonts w:ascii="Arial" w:hAnsi="Arial" w:cs="Arial"/>
          <w:lang w:val="en"/>
        </w:rPr>
        <w:t xml:space="preserve">rilpivirine resistance-associated substitution: E138A, E138E/K or E138K, and showed reduced phenotypic susceptibility to </w:t>
      </w:r>
      <w:r w:rsidR="00C6780E">
        <w:rPr>
          <w:rFonts w:ascii="Arial" w:hAnsi="Arial" w:cs="Arial"/>
          <w:lang w:val="en"/>
        </w:rPr>
        <w:t>rilpivirine while 1 of the 3 also showed reduced phenotypic susceptibility to cabotegravir</w:t>
      </w:r>
      <w:r w:rsidR="00C6780E" w:rsidRPr="00B02CA3">
        <w:rPr>
          <w:rFonts w:ascii="Arial" w:hAnsi="Arial" w:cs="Arial"/>
          <w:lang w:val="en"/>
        </w:rPr>
        <w:t xml:space="preserve">. In </w:t>
      </w:r>
      <w:r w:rsidR="00C6780E">
        <w:rPr>
          <w:rFonts w:ascii="Arial" w:hAnsi="Arial" w:cs="Arial"/>
          <w:lang w:val="en"/>
        </w:rPr>
        <w:t>2</w:t>
      </w:r>
      <w:r w:rsidR="00C6780E" w:rsidRPr="00B02CA3">
        <w:rPr>
          <w:rFonts w:ascii="Arial" w:hAnsi="Arial" w:cs="Arial"/>
          <w:lang w:val="en"/>
        </w:rPr>
        <w:t xml:space="preserve"> of these </w:t>
      </w:r>
      <w:r w:rsidR="00C6780E">
        <w:rPr>
          <w:rFonts w:ascii="Arial" w:hAnsi="Arial" w:cs="Arial"/>
          <w:lang w:val="en"/>
        </w:rPr>
        <w:t>3</w:t>
      </w:r>
      <w:r w:rsidR="00C6780E" w:rsidRPr="00B02CA3">
        <w:rPr>
          <w:rFonts w:ascii="Arial" w:hAnsi="Arial" w:cs="Arial"/>
          <w:lang w:val="en"/>
        </w:rPr>
        <w:t xml:space="preserve"> CVFs, the rilpivirine resistance-associated substitutions observed at failure were also observed at </w:t>
      </w:r>
      <w:r w:rsidR="00FE3C58">
        <w:rPr>
          <w:rFonts w:ascii="Arial" w:hAnsi="Arial" w:cs="Arial"/>
          <w:lang w:val="en"/>
        </w:rPr>
        <w:t>b</w:t>
      </w:r>
      <w:r w:rsidR="004558F2">
        <w:rPr>
          <w:rFonts w:ascii="Arial" w:hAnsi="Arial" w:cs="Arial"/>
          <w:lang w:val="en"/>
        </w:rPr>
        <w:t>aseline</w:t>
      </w:r>
      <w:r w:rsidR="00C6780E" w:rsidRPr="00B02CA3">
        <w:rPr>
          <w:rFonts w:ascii="Arial" w:hAnsi="Arial" w:cs="Arial"/>
          <w:lang w:val="en"/>
        </w:rPr>
        <w:t xml:space="preserve"> in PBMC HIV-1 DNA. The seventh CVF (FLAIR) never received an injection.</w:t>
      </w:r>
    </w:p>
    <w:p w14:paraId="2A923FFA" w14:textId="5C672C84" w:rsidR="00C6780E" w:rsidRDefault="00C6780E" w:rsidP="00C6780E">
      <w:pPr>
        <w:rPr>
          <w:rFonts w:ascii="Arial" w:hAnsi="Arial" w:cs="Arial"/>
          <w:lang w:val="en"/>
        </w:rPr>
      </w:pPr>
      <w:r w:rsidRPr="00B02CA3">
        <w:rPr>
          <w:rFonts w:ascii="Arial" w:hAnsi="Arial" w:cs="Arial"/>
          <w:lang w:val="en"/>
        </w:rPr>
        <w:t xml:space="preserve">The substitutions associated with resistance to long-acting cabotegravir injection, observed in the pooled ATLAS and FLAIR </w:t>
      </w:r>
      <w:r>
        <w:rPr>
          <w:rFonts w:ascii="Arial" w:hAnsi="Arial" w:cs="Arial"/>
          <w:lang w:val="en"/>
        </w:rPr>
        <w:t>studies</w:t>
      </w:r>
      <w:r w:rsidRPr="00B02CA3">
        <w:rPr>
          <w:rFonts w:ascii="Arial" w:hAnsi="Arial" w:cs="Arial"/>
          <w:lang w:val="en"/>
        </w:rPr>
        <w:t xml:space="preserve"> were G140R (n=1), Q148R (n=2), and N155H (n=1).</w:t>
      </w:r>
    </w:p>
    <w:p w14:paraId="5EF2922B" w14:textId="0F8BB1E3" w:rsidR="004558F2" w:rsidRPr="00763708" w:rsidRDefault="004558F2" w:rsidP="004558F2">
      <w:pPr>
        <w:rPr>
          <w:rFonts w:ascii="Arial" w:hAnsi="Arial" w:cs="Arial"/>
          <w:lang w:val="en"/>
        </w:rPr>
      </w:pPr>
      <w:r w:rsidRPr="00763708">
        <w:rPr>
          <w:rFonts w:ascii="Arial" w:hAnsi="Arial" w:cs="Arial"/>
          <w:lang w:val="en"/>
        </w:rPr>
        <w:lastRenderedPageBreak/>
        <w:t xml:space="preserve">In the ATLAS-2M study 10 subjects met CVF criteria through Week 48: 8 subjects (1.5%) in the </w:t>
      </w:r>
      <w:r w:rsidR="00FE3C58" w:rsidRPr="00D63276">
        <w:rPr>
          <w:rFonts w:ascii="Arial" w:hAnsi="Arial" w:cs="Arial"/>
          <w:lang w:val="en"/>
        </w:rPr>
        <w:t>every 2 month dose</w:t>
      </w:r>
      <w:r w:rsidR="00FE3C58" w:rsidRPr="00763708">
        <w:rPr>
          <w:rFonts w:ascii="Arial" w:hAnsi="Arial" w:cs="Arial"/>
          <w:lang w:val="en"/>
        </w:rPr>
        <w:t xml:space="preserve"> </w:t>
      </w:r>
      <w:r w:rsidRPr="00763708">
        <w:rPr>
          <w:rFonts w:ascii="Arial" w:hAnsi="Arial" w:cs="Arial"/>
          <w:lang w:val="en"/>
        </w:rPr>
        <w:t xml:space="preserve">arm and 2 subjects (0.4%) in the </w:t>
      </w:r>
      <w:r w:rsidR="00D63276">
        <w:rPr>
          <w:rFonts w:ascii="Arial" w:hAnsi="Arial" w:cs="Arial"/>
          <w:lang w:val="en"/>
        </w:rPr>
        <w:t xml:space="preserve">monthly dose </w:t>
      </w:r>
      <w:r w:rsidRPr="00763708">
        <w:rPr>
          <w:rFonts w:ascii="Arial" w:hAnsi="Arial" w:cs="Arial"/>
          <w:lang w:val="en"/>
        </w:rPr>
        <w:t>arm.  Eight subjects met CVF criteria at or before the Week 24 timepoint.</w:t>
      </w:r>
    </w:p>
    <w:p w14:paraId="1ADE6C3E" w14:textId="2850C124" w:rsidR="004558F2" w:rsidRPr="00763708" w:rsidRDefault="004558F2" w:rsidP="004558F2">
      <w:pPr>
        <w:rPr>
          <w:rFonts w:ascii="Arial" w:hAnsi="Arial" w:cs="Arial"/>
          <w:lang w:val="en"/>
        </w:rPr>
      </w:pPr>
      <w:r w:rsidRPr="00763708">
        <w:rPr>
          <w:rFonts w:ascii="Arial" w:hAnsi="Arial" w:cs="Arial"/>
          <w:lang w:val="en"/>
        </w:rPr>
        <w:t xml:space="preserve">At </w:t>
      </w:r>
      <w:r w:rsidR="00FE3C58">
        <w:rPr>
          <w:rFonts w:ascii="Arial" w:hAnsi="Arial" w:cs="Arial"/>
          <w:lang w:val="en"/>
        </w:rPr>
        <w:t>b</w:t>
      </w:r>
      <w:r w:rsidRPr="00763708">
        <w:rPr>
          <w:rFonts w:ascii="Arial" w:hAnsi="Arial" w:cs="Arial"/>
          <w:lang w:val="en"/>
        </w:rPr>
        <w:t xml:space="preserve">aseline in the </w:t>
      </w:r>
      <w:r w:rsidR="00FE3C58" w:rsidRPr="002E2FB4">
        <w:rPr>
          <w:rFonts w:ascii="Arial" w:hAnsi="Arial" w:cs="Arial"/>
          <w:lang w:val="en"/>
        </w:rPr>
        <w:t>every 2 month dose</w:t>
      </w:r>
      <w:r w:rsidR="00FE3C58" w:rsidDel="00FE3C58">
        <w:rPr>
          <w:rStyle w:val="CommentReference"/>
          <w:rFonts w:ascii="Cambria" w:hAnsi="Cambria"/>
        </w:rPr>
        <w:t xml:space="preserve"> </w:t>
      </w:r>
      <w:r w:rsidRPr="00763708">
        <w:rPr>
          <w:rFonts w:ascii="Arial" w:hAnsi="Arial" w:cs="Arial"/>
          <w:lang w:val="en"/>
        </w:rPr>
        <w:t xml:space="preserve">arm, 5 subjects had RPV resistance-associated mutations of Y181Y/C + H221H/Y, Y188Y/F/H/L, Y188L, E138A or E138E/A and 1 subject contained cabotegravir resistance mutation, G140G/R (in addition to the above Y181Y/C + H221H/Y RPV resistance-associated mutation). At the SVF timepoint in the </w:t>
      </w:r>
      <w:r w:rsidR="00FE3C58" w:rsidRPr="00D63276">
        <w:rPr>
          <w:rFonts w:ascii="Arial" w:hAnsi="Arial" w:cs="Arial"/>
          <w:lang w:val="en"/>
        </w:rPr>
        <w:t>every 2 month dose</w:t>
      </w:r>
      <w:r w:rsidR="00FE3C58" w:rsidDel="00FE3C58">
        <w:rPr>
          <w:rStyle w:val="CommentReference"/>
          <w:rFonts w:ascii="Cambria" w:hAnsi="Cambria"/>
        </w:rPr>
        <w:t xml:space="preserve"> </w:t>
      </w:r>
      <w:r w:rsidRPr="00763708">
        <w:rPr>
          <w:rFonts w:ascii="Arial" w:hAnsi="Arial" w:cs="Arial"/>
          <w:lang w:val="en"/>
        </w:rPr>
        <w:t xml:space="preserve">arm, 6 subjects had rilpivirine resistance-associated mutations with 2 subjects having an addition of K101E and 1 subject having an addition of E138E/K from </w:t>
      </w:r>
      <w:r w:rsidR="00FE3C58">
        <w:rPr>
          <w:rFonts w:ascii="Arial" w:hAnsi="Arial" w:cs="Arial"/>
          <w:lang w:val="en"/>
        </w:rPr>
        <w:t>b</w:t>
      </w:r>
      <w:r w:rsidRPr="00763708">
        <w:rPr>
          <w:rFonts w:ascii="Arial" w:hAnsi="Arial" w:cs="Arial"/>
          <w:lang w:val="en"/>
        </w:rPr>
        <w:t xml:space="preserve">aseline to SVF timepoint. Rilpivirine fold-change (FC) was above the clinical cut-off for 7 subjects and ranged from 2.4 to 15.  Five of the 6 subjects with rilpivirine resistance-associated substitution, also had INSTI resistance-associated substitutions, N155H (2); Q148R; Q148Q/R+N155N/H (2).  INSTI substitution, L74I, was seen in 4/7 subjects.  The Integrase genotype and phenotype assay failed for one subject and cabotegravir phenotype was unavailable for another. Cabotegravir FCs for these subjects ranged from 1.8 to 9.1.  All subjects remained sensitive to </w:t>
      </w:r>
      <w:proofErr w:type="spellStart"/>
      <w:r w:rsidRPr="00763708">
        <w:rPr>
          <w:rFonts w:ascii="Arial" w:hAnsi="Arial" w:cs="Arial"/>
          <w:lang w:val="en"/>
        </w:rPr>
        <w:t>dolutegravir</w:t>
      </w:r>
      <w:proofErr w:type="spellEnd"/>
      <w:r w:rsidRPr="00763708">
        <w:rPr>
          <w:rFonts w:ascii="Arial" w:hAnsi="Arial" w:cs="Arial"/>
          <w:lang w:val="en"/>
        </w:rPr>
        <w:t xml:space="preserve"> and </w:t>
      </w:r>
      <w:proofErr w:type="spellStart"/>
      <w:r w:rsidRPr="00763708">
        <w:rPr>
          <w:rFonts w:ascii="Arial" w:hAnsi="Arial" w:cs="Arial"/>
          <w:lang w:val="en"/>
        </w:rPr>
        <w:t>bictegravir</w:t>
      </w:r>
      <w:proofErr w:type="spellEnd"/>
      <w:r w:rsidRPr="00763708">
        <w:rPr>
          <w:rFonts w:ascii="Arial" w:hAnsi="Arial" w:cs="Arial"/>
          <w:lang w:val="en"/>
        </w:rPr>
        <w:t>.</w:t>
      </w:r>
    </w:p>
    <w:p w14:paraId="7D23BC0F" w14:textId="4B70759D" w:rsidR="004558F2" w:rsidRPr="00B02CA3" w:rsidRDefault="004558F2" w:rsidP="00C6780E">
      <w:pPr>
        <w:rPr>
          <w:rFonts w:ascii="Arial" w:hAnsi="Arial" w:cs="Arial"/>
          <w:lang w:val="en"/>
        </w:rPr>
      </w:pPr>
      <w:r w:rsidRPr="00763708">
        <w:rPr>
          <w:rFonts w:ascii="Arial" w:hAnsi="Arial" w:cs="Arial"/>
          <w:lang w:val="en"/>
        </w:rPr>
        <w:t xml:space="preserve">In the </w:t>
      </w:r>
      <w:r w:rsidR="00FE3C58">
        <w:rPr>
          <w:rFonts w:ascii="Arial" w:hAnsi="Arial" w:cs="Arial"/>
          <w:lang w:val="en"/>
        </w:rPr>
        <w:t>monthly dose a</w:t>
      </w:r>
      <w:r w:rsidRPr="00763708">
        <w:rPr>
          <w:rFonts w:ascii="Arial" w:hAnsi="Arial" w:cs="Arial"/>
          <w:lang w:val="en"/>
        </w:rPr>
        <w:t xml:space="preserve">rm, neither subject had any RPV or INSTI resistance-associated substitutions at </w:t>
      </w:r>
      <w:r w:rsidR="00FE3C58">
        <w:rPr>
          <w:rFonts w:ascii="Arial" w:hAnsi="Arial" w:cs="Arial"/>
          <w:lang w:val="en"/>
        </w:rPr>
        <w:t>b</w:t>
      </w:r>
      <w:r w:rsidRPr="00763708">
        <w:rPr>
          <w:rFonts w:ascii="Arial" w:hAnsi="Arial" w:cs="Arial"/>
          <w:lang w:val="en"/>
        </w:rPr>
        <w:t xml:space="preserve">aseline.  One subject had the NNRTI substitution, G190Q, in combination with the NNRTI polymorphism, V189I.  At SVF timepoint, one subject had on-treatment rilpivirine resistance-associated mutations, K101E + M230L and the other retained the G190Q + V189I NNRTI substitutions with the addition of V179V/I. Both subjects showed reduced phenotypic susceptibility to RPV. Both subjects also had INSTI resistance-associated mutations, either Q148R + E138E/K or N155N/H at SVF and 1 subject had reduced susceptibility to CAB. Neither subject had the INSTI substitution, L74I. All subjects remained sensitive to </w:t>
      </w:r>
      <w:proofErr w:type="spellStart"/>
      <w:r w:rsidRPr="00763708">
        <w:rPr>
          <w:rFonts w:ascii="Arial" w:hAnsi="Arial" w:cs="Arial"/>
          <w:lang w:val="en"/>
        </w:rPr>
        <w:t>dolutegravir</w:t>
      </w:r>
      <w:proofErr w:type="spellEnd"/>
      <w:r w:rsidRPr="00763708">
        <w:rPr>
          <w:rFonts w:ascii="Arial" w:hAnsi="Arial" w:cs="Arial"/>
          <w:lang w:val="en"/>
        </w:rPr>
        <w:t xml:space="preserve"> and </w:t>
      </w:r>
      <w:proofErr w:type="spellStart"/>
      <w:r w:rsidRPr="00763708">
        <w:rPr>
          <w:rFonts w:ascii="Arial" w:hAnsi="Arial" w:cs="Arial"/>
          <w:lang w:val="en"/>
        </w:rPr>
        <w:t>bictegravir</w:t>
      </w:r>
      <w:proofErr w:type="spellEnd"/>
      <w:r w:rsidRPr="00763708">
        <w:rPr>
          <w:rFonts w:ascii="Arial" w:hAnsi="Arial" w:cs="Arial"/>
          <w:lang w:val="en"/>
        </w:rPr>
        <w:t>.</w:t>
      </w:r>
    </w:p>
    <w:p w14:paraId="76036D0D" w14:textId="5E02E928" w:rsidR="00C5247F" w:rsidRPr="00B02CA3" w:rsidRDefault="00B02CA3" w:rsidP="00C6780E">
      <w:pPr>
        <w:rPr>
          <w:rFonts w:ascii="Arial" w:hAnsi="Arial" w:cs="Arial"/>
          <w:lang w:val="en"/>
        </w:rPr>
      </w:pPr>
      <w:r w:rsidRPr="00D65787">
        <w:rPr>
          <w:rFonts w:ascii="Arial" w:eastAsiaTheme="majorEastAsia" w:hAnsi="Arial" w:cs="Arial"/>
          <w:b/>
          <w:bCs/>
          <w:i/>
          <w:iCs/>
        </w:rPr>
        <w:t>Effects on Electrocardiogram</w:t>
      </w:r>
      <w:bookmarkEnd w:id="29"/>
      <w:r w:rsidRPr="00D65787">
        <w:rPr>
          <w:rFonts w:ascii="Arial" w:eastAsiaTheme="majorEastAsia" w:hAnsi="Arial" w:cs="Arial"/>
          <w:b/>
          <w:bCs/>
          <w:i/>
          <w:iCs/>
        </w:rPr>
        <w:br w:type="textWrapping" w:clear="all"/>
      </w:r>
      <w:r w:rsidRPr="00B02CA3">
        <w:rPr>
          <w:rFonts w:ascii="Arial" w:hAnsi="Arial" w:cs="Arial"/>
          <w:lang w:val="en"/>
        </w:rPr>
        <w:t xml:space="preserve">In a </w:t>
      </w:r>
      <w:proofErr w:type="spellStart"/>
      <w:r w:rsidRPr="00B02CA3">
        <w:rPr>
          <w:rFonts w:ascii="Arial" w:hAnsi="Arial" w:cs="Arial"/>
          <w:lang w:val="en"/>
        </w:rPr>
        <w:t>randomised</w:t>
      </w:r>
      <w:proofErr w:type="spellEnd"/>
      <w:r w:rsidRPr="00B02CA3">
        <w:rPr>
          <w:rFonts w:ascii="Arial" w:hAnsi="Arial" w:cs="Arial"/>
          <w:lang w:val="en"/>
        </w:rPr>
        <w:t>, placebo-</w:t>
      </w:r>
      <w:r w:rsidRPr="00431430">
        <w:rPr>
          <w:rFonts w:ascii="Arial" w:hAnsi="Arial" w:cs="Arial"/>
          <w:lang w:val="en"/>
        </w:rPr>
        <w:t xml:space="preserve">controlled, three-period cross-over trial, 42 healthy subjects were </w:t>
      </w:r>
      <w:proofErr w:type="spellStart"/>
      <w:r w:rsidRPr="00431430">
        <w:rPr>
          <w:rFonts w:ascii="Arial" w:hAnsi="Arial" w:cs="Arial"/>
          <w:lang w:val="en"/>
        </w:rPr>
        <w:t>randomised</w:t>
      </w:r>
      <w:proofErr w:type="spellEnd"/>
      <w:r w:rsidRPr="00431430">
        <w:rPr>
          <w:rFonts w:ascii="Arial" w:hAnsi="Arial" w:cs="Arial"/>
          <w:lang w:val="en"/>
        </w:rPr>
        <w:t xml:space="preserve"> into 6 random sequences and received three doses of oral administration of placebo, cabotegravir 150 mg every 12 hours (</w:t>
      </w:r>
      <w:r w:rsidR="004558F2" w:rsidRPr="00431430">
        <w:rPr>
          <w:rFonts w:ascii="Arial" w:hAnsi="Arial" w:cs="Arial"/>
          <w:lang w:val="en"/>
        </w:rPr>
        <w:t xml:space="preserve">mean steady-state </w:t>
      </w:r>
      <w:proofErr w:type="spellStart"/>
      <w:r w:rsidRPr="00431430">
        <w:rPr>
          <w:rFonts w:ascii="Arial" w:hAnsi="Arial" w:cs="Arial"/>
          <w:lang w:val="en"/>
        </w:rPr>
        <w:t>C</w:t>
      </w:r>
      <w:r w:rsidRPr="00431430">
        <w:rPr>
          <w:rFonts w:ascii="Arial" w:hAnsi="Arial" w:cs="Arial"/>
          <w:vertAlign w:val="subscript"/>
          <w:lang w:val="en"/>
        </w:rPr>
        <w:t>max</w:t>
      </w:r>
      <w:proofErr w:type="spellEnd"/>
      <w:r w:rsidRPr="00431430">
        <w:rPr>
          <w:rFonts w:ascii="Arial" w:hAnsi="Arial" w:cs="Arial"/>
          <w:lang w:val="en"/>
        </w:rPr>
        <w:t xml:space="preserve"> </w:t>
      </w:r>
      <w:r w:rsidR="004558F2" w:rsidRPr="00431430">
        <w:rPr>
          <w:rFonts w:ascii="Arial" w:hAnsi="Arial" w:cs="Arial"/>
          <w:lang w:val="en"/>
        </w:rPr>
        <w:t xml:space="preserve">was </w:t>
      </w:r>
      <w:r w:rsidRPr="00431430">
        <w:rPr>
          <w:rFonts w:ascii="Arial" w:hAnsi="Arial" w:cs="Arial"/>
          <w:lang w:val="en"/>
        </w:rPr>
        <w:t xml:space="preserve">approximately </w:t>
      </w:r>
      <w:r w:rsidR="00387F9E" w:rsidRPr="00431430">
        <w:rPr>
          <w:rFonts w:ascii="Arial" w:hAnsi="Arial" w:cs="Arial"/>
          <w:lang w:val="en"/>
        </w:rPr>
        <w:t>2.8</w:t>
      </w:r>
      <w:r w:rsidRPr="00431430">
        <w:rPr>
          <w:rFonts w:ascii="Arial" w:hAnsi="Arial" w:cs="Arial"/>
          <w:lang w:val="en"/>
        </w:rPr>
        <w:t>-fold</w:t>
      </w:r>
      <w:r w:rsidR="00387F9E" w:rsidRPr="00431430">
        <w:rPr>
          <w:rFonts w:ascii="Arial" w:hAnsi="Arial" w:cs="Arial"/>
          <w:lang w:val="en"/>
        </w:rPr>
        <w:t>,</w:t>
      </w:r>
      <w:r w:rsidR="00387F9E" w:rsidRPr="00D13251">
        <w:rPr>
          <w:rFonts w:ascii="Arial" w:hAnsi="Arial" w:cs="Arial"/>
        </w:rPr>
        <w:t xml:space="preserve"> 5.4-fold and 5.6-fold</w:t>
      </w:r>
      <w:r w:rsidRPr="00431430">
        <w:rPr>
          <w:rFonts w:ascii="Arial" w:hAnsi="Arial" w:cs="Arial"/>
          <w:lang w:val="en"/>
        </w:rPr>
        <w:t xml:space="preserve"> </w:t>
      </w:r>
      <w:r w:rsidR="00387F9E" w:rsidRPr="00431430">
        <w:rPr>
          <w:rFonts w:ascii="Arial" w:hAnsi="Arial" w:cs="Arial"/>
          <w:lang w:val="en"/>
        </w:rPr>
        <w:t>above</w:t>
      </w:r>
      <w:r w:rsidRPr="00431430">
        <w:rPr>
          <w:rFonts w:ascii="Arial" w:hAnsi="Arial" w:cs="Arial"/>
          <w:lang w:val="en"/>
        </w:rPr>
        <w:t xml:space="preserve"> the 30 mg </w:t>
      </w:r>
      <w:r w:rsidR="00387F9E" w:rsidRPr="00431430">
        <w:rPr>
          <w:rFonts w:ascii="Arial" w:hAnsi="Arial" w:cs="Arial"/>
          <w:lang w:val="en"/>
        </w:rPr>
        <w:t xml:space="preserve">oral </w:t>
      </w:r>
      <w:r w:rsidRPr="00431430">
        <w:rPr>
          <w:rFonts w:ascii="Arial" w:hAnsi="Arial" w:cs="Arial"/>
          <w:lang w:val="en"/>
        </w:rPr>
        <w:t>once-daily dose</w:t>
      </w:r>
      <w:bookmarkStart w:id="30" w:name="_Hlk42179399"/>
      <w:r w:rsidR="00387F9E" w:rsidRPr="00D13251">
        <w:rPr>
          <w:rFonts w:ascii="Arial" w:hAnsi="Arial" w:cs="Arial"/>
        </w:rPr>
        <w:t>, the 400 mg cabotegravir injection monthly dose and the 600 mg cabotegravir injection every 2 month dose, respectively</w:t>
      </w:r>
      <w:r w:rsidRPr="00431430">
        <w:rPr>
          <w:rFonts w:ascii="Arial" w:hAnsi="Arial" w:cs="Arial"/>
          <w:lang w:val="en"/>
        </w:rPr>
        <w:t xml:space="preserve">), </w:t>
      </w:r>
      <w:bookmarkEnd w:id="30"/>
      <w:r w:rsidRPr="00431430">
        <w:rPr>
          <w:rFonts w:ascii="Arial" w:hAnsi="Arial" w:cs="Arial"/>
          <w:lang w:val="en"/>
        </w:rPr>
        <w:t xml:space="preserve">and single dose of moxifloxacin 400 mg (active control). After baseline and placebo adjustment, the maximum time-matched mean QTc change based on </w:t>
      </w:r>
      <w:proofErr w:type="spellStart"/>
      <w:r w:rsidRPr="00431430">
        <w:rPr>
          <w:rFonts w:ascii="Arial" w:hAnsi="Arial" w:cs="Arial"/>
          <w:lang w:val="en"/>
        </w:rPr>
        <w:t>Fridericia’s</w:t>
      </w:r>
      <w:proofErr w:type="spellEnd"/>
      <w:r w:rsidRPr="00431430">
        <w:rPr>
          <w:rFonts w:ascii="Arial" w:hAnsi="Arial" w:cs="Arial"/>
          <w:lang w:val="en"/>
        </w:rPr>
        <w:t xml:space="preserve"> correction</w:t>
      </w:r>
      <w:r w:rsidRPr="00B02CA3">
        <w:rPr>
          <w:rFonts w:ascii="Arial" w:hAnsi="Arial" w:cs="Arial"/>
          <w:lang w:val="en"/>
        </w:rPr>
        <w:t xml:space="preserve"> method (</w:t>
      </w:r>
      <w:proofErr w:type="spellStart"/>
      <w:r w:rsidRPr="00B02CA3">
        <w:rPr>
          <w:rFonts w:ascii="Arial" w:hAnsi="Arial" w:cs="Arial"/>
          <w:lang w:val="en"/>
        </w:rPr>
        <w:t>QTcF</w:t>
      </w:r>
      <w:proofErr w:type="spellEnd"/>
      <w:r w:rsidRPr="00B02CA3">
        <w:rPr>
          <w:rFonts w:ascii="Arial" w:hAnsi="Arial" w:cs="Arial"/>
          <w:lang w:val="en"/>
        </w:rPr>
        <w:t xml:space="preserve">) for </w:t>
      </w:r>
      <w:proofErr w:type="spellStart"/>
      <w:r w:rsidRPr="00B02CA3">
        <w:rPr>
          <w:rFonts w:ascii="Arial" w:hAnsi="Arial" w:cs="Arial"/>
          <w:lang w:val="en"/>
        </w:rPr>
        <w:t>cabotegravir</w:t>
      </w:r>
      <w:proofErr w:type="spellEnd"/>
      <w:r w:rsidRPr="00B02CA3">
        <w:rPr>
          <w:rFonts w:ascii="Arial" w:hAnsi="Arial" w:cs="Arial"/>
          <w:lang w:val="en"/>
        </w:rPr>
        <w:t xml:space="preserve"> was 2.62 </w:t>
      </w:r>
      <w:proofErr w:type="spellStart"/>
      <w:r w:rsidRPr="00B02CA3">
        <w:rPr>
          <w:rFonts w:ascii="Arial" w:hAnsi="Arial" w:cs="Arial"/>
          <w:lang w:val="en"/>
        </w:rPr>
        <w:t>msec</w:t>
      </w:r>
      <w:proofErr w:type="spellEnd"/>
      <w:r w:rsidRPr="00B02CA3">
        <w:rPr>
          <w:rFonts w:ascii="Arial" w:hAnsi="Arial" w:cs="Arial"/>
          <w:lang w:val="en"/>
        </w:rPr>
        <w:t xml:space="preserve"> (1-side 90% upper CI:5.26 </w:t>
      </w:r>
      <w:proofErr w:type="spellStart"/>
      <w:r w:rsidRPr="00B02CA3">
        <w:rPr>
          <w:rFonts w:ascii="Arial" w:hAnsi="Arial" w:cs="Arial"/>
          <w:lang w:val="en"/>
        </w:rPr>
        <w:t>msec</w:t>
      </w:r>
      <w:proofErr w:type="spellEnd"/>
      <w:r w:rsidRPr="00B02CA3">
        <w:rPr>
          <w:rFonts w:ascii="Arial" w:hAnsi="Arial" w:cs="Arial"/>
          <w:lang w:val="en"/>
        </w:rPr>
        <w:t>). Cabotegravir did not prolong the QTc interval over 24 hours post-dose.</w:t>
      </w:r>
    </w:p>
    <w:p w14:paraId="4AC4BFE6" w14:textId="5EEACEEA" w:rsidR="00C5247F" w:rsidRPr="00431430" w:rsidRDefault="001A3992" w:rsidP="00D13251">
      <w:pPr>
        <w:pStyle w:val="Heading3"/>
        <w:spacing w:line="480" w:lineRule="auto"/>
        <w:ind w:left="0"/>
        <w:rPr>
          <w:rFonts w:ascii="Arial" w:hAnsi="Arial" w:cs="Arial"/>
        </w:rPr>
      </w:pPr>
      <w:r w:rsidRPr="000D668F">
        <w:rPr>
          <w:rFonts w:ascii="Arial" w:hAnsi="Arial" w:cs="Arial"/>
        </w:rPr>
        <w:t>Clinical trials</w:t>
      </w:r>
    </w:p>
    <w:p w14:paraId="19F54A51" w14:textId="25028C46" w:rsidR="00243E3C" w:rsidRPr="00D13251" w:rsidRDefault="00243E3C">
      <w:pPr>
        <w:rPr>
          <w:rFonts w:ascii="Arial" w:hAnsi="Arial" w:cs="Arial"/>
          <w:b/>
          <w:i/>
        </w:rPr>
      </w:pPr>
      <w:r w:rsidRPr="00D13251">
        <w:rPr>
          <w:rFonts w:ascii="Arial" w:hAnsi="Arial" w:cs="Arial"/>
          <w:b/>
          <w:i/>
        </w:rPr>
        <w:t>Monthly Dosing</w:t>
      </w:r>
    </w:p>
    <w:p w14:paraId="5A6B7511" w14:textId="3E301CCB" w:rsidR="007D4266" w:rsidRPr="000D668F" w:rsidRDefault="007D4266" w:rsidP="008E26DE">
      <w:pPr>
        <w:tabs>
          <w:tab w:val="left" w:pos="720"/>
        </w:tabs>
        <w:autoSpaceDE w:val="0"/>
        <w:autoSpaceDN w:val="0"/>
        <w:adjustRightInd w:val="0"/>
        <w:rPr>
          <w:rFonts w:ascii="Arial" w:hAnsi="Arial" w:cs="Arial"/>
          <w:lang w:val="en"/>
        </w:rPr>
      </w:pPr>
      <w:r w:rsidRPr="000D668F">
        <w:rPr>
          <w:rFonts w:ascii="Arial" w:hAnsi="Arial" w:cs="Arial"/>
          <w:lang w:val="en"/>
        </w:rPr>
        <w:t xml:space="preserve">The efficacy of </w:t>
      </w:r>
      <w:r w:rsidR="00DC4D8B">
        <w:rPr>
          <w:rFonts w:ascii="Arial" w:hAnsi="Arial" w:cs="Arial"/>
          <w:lang w:val="en"/>
        </w:rPr>
        <w:t>CABENUVA</w:t>
      </w:r>
      <w:r w:rsidRPr="000D668F">
        <w:rPr>
          <w:rFonts w:ascii="Arial" w:hAnsi="Arial" w:cs="Arial"/>
          <w:lang w:val="en"/>
        </w:rPr>
        <w:t xml:space="preserve"> has been evaluated in two Phase III </w:t>
      </w:r>
      <w:proofErr w:type="spellStart"/>
      <w:r w:rsidRPr="000D668F">
        <w:rPr>
          <w:rFonts w:ascii="Arial" w:hAnsi="Arial" w:cs="Arial"/>
          <w:lang w:val="en"/>
        </w:rPr>
        <w:t>randomised</w:t>
      </w:r>
      <w:proofErr w:type="spellEnd"/>
      <w:r w:rsidRPr="000D668F">
        <w:rPr>
          <w:rFonts w:ascii="Arial" w:hAnsi="Arial" w:cs="Arial"/>
          <w:lang w:val="en"/>
        </w:rPr>
        <w:t xml:space="preserve">, </w:t>
      </w:r>
      <w:proofErr w:type="spellStart"/>
      <w:r w:rsidRPr="000D668F">
        <w:rPr>
          <w:rFonts w:ascii="Arial" w:hAnsi="Arial" w:cs="Arial"/>
          <w:lang w:val="en"/>
        </w:rPr>
        <w:t>multicentre</w:t>
      </w:r>
      <w:proofErr w:type="spellEnd"/>
      <w:r w:rsidRPr="000D668F">
        <w:rPr>
          <w:rFonts w:ascii="Arial" w:hAnsi="Arial" w:cs="Arial"/>
          <w:lang w:val="en"/>
        </w:rPr>
        <w:t xml:space="preserve">, active-controlled, parallel-arm, open-label, non-inferiority </w:t>
      </w:r>
      <w:r w:rsidR="00EC1C0B">
        <w:rPr>
          <w:rFonts w:ascii="Arial" w:hAnsi="Arial" w:cs="Arial"/>
          <w:lang w:val="en"/>
        </w:rPr>
        <w:t>studies</w:t>
      </w:r>
      <w:r w:rsidRPr="000D668F">
        <w:rPr>
          <w:rFonts w:ascii="Arial" w:hAnsi="Arial" w:cs="Arial"/>
          <w:lang w:val="en"/>
        </w:rPr>
        <w:t>, FLAIR (201584) and ATLAS (201585). The primary analysis was conducted after all subjects completed their Week 48 visit or discontinued the study prematurely.</w:t>
      </w:r>
    </w:p>
    <w:p w14:paraId="677704FC" w14:textId="63110EC6" w:rsidR="007D4266" w:rsidRPr="001D4A64" w:rsidRDefault="007D4266" w:rsidP="000D668F">
      <w:pPr>
        <w:tabs>
          <w:tab w:val="left" w:pos="720"/>
        </w:tabs>
        <w:autoSpaceDE w:val="0"/>
        <w:autoSpaceDN w:val="0"/>
        <w:adjustRightInd w:val="0"/>
        <w:rPr>
          <w:rFonts w:ascii="Arial" w:hAnsi="Arial" w:cs="Arial"/>
          <w:lang w:val="en"/>
        </w:rPr>
      </w:pPr>
      <w:r w:rsidRPr="000D668F">
        <w:rPr>
          <w:rFonts w:ascii="Arial" w:hAnsi="Arial" w:cs="Arial"/>
          <w:lang w:val="en"/>
        </w:rPr>
        <w:lastRenderedPageBreak/>
        <w:t>In FLAIR, 629 HIV-1-infected, antiretroviral treatment (ART)-n</w:t>
      </w:r>
      <w:r w:rsidR="00BB0170">
        <w:rPr>
          <w:rFonts w:ascii="Arial" w:hAnsi="Arial" w:cs="Arial"/>
          <w:lang w:val="en"/>
        </w:rPr>
        <w:t>aïve</w:t>
      </w:r>
      <w:r w:rsidRPr="000D668F">
        <w:rPr>
          <w:rFonts w:ascii="Arial" w:hAnsi="Arial" w:cs="Arial"/>
          <w:lang w:val="en"/>
        </w:rPr>
        <w:t xml:space="preserve"> subjects received a dolutegravir integrase strand transfer inhibitor (INSTI) containing regimen for 20 weeks (either dolutegravir/abacavir/lamivudine or dolutegravir plus 2 other nucleoside reverse transcriptase inhibitors if subjects were HLA-B*5701 positive). Subjects who were </w:t>
      </w:r>
      <w:proofErr w:type="spellStart"/>
      <w:r w:rsidRPr="000D668F">
        <w:rPr>
          <w:rFonts w:ascii="Arial" w:hAnsi="Arial" w:cs="Arial"/>
          <w:lang w:val="en"/>
        </w:rPr>
        <w:t>virologically</w:t>
      </w:r>
      <w:proofErr w:type="spellEnd"/>
      <w:r w:rsidRPr="000D668F">
        <w:rPr>
          <w:rFonts w:ascii="Arial" w:hAnsi="Arial" w:cs="Arial"/>
          <w:lang w:val="en"/>
        </w:rPr>
        <w:t xml:space="preserve"> suppressed (HIV-1 RNA &lt;50 copies per mL, n=566) were then </w:t>
      </w:r>
      <w:proofErr w:type="spellStart"/>
      <w:r w:rsidRPr="000D668F">
        <w:rPr>
          <w:rFonts w:ascii="Arial" w:hAnsi="Arial" w:cs="Arial"/>
          <w:lang w:val="en"/>
        </w:rPr>
        <w:t>randomised</w:t>
      </w:r>
      <w:proofErr w:type="spellEnd"/>
      <w:r w:rsidRPr="000D668F">
        <w:rPr>
          <w:rFonts w:ascii="Arial" w:hAnsi="Arial" w:cs="Arial"/>
          <w:lang w:val="en"/>
        </w:rPr>
        <w:t xml:space="preserve"> (1:1) to receive either the </w:t>
      </w:r>
      <w:r w:rsidR="00DC4D8B">
        <w:rPr>
          <w:rFonts w:ascii="Arial" w:hAnsi="Arial" w:cs="Arial"/>
          <w:lang w:val="en"/>
        </w:rPr>
        <w:t>CABENUVA</w:t>
      </w:r>
      <w:r w:rsidRPr="000D668F">
        <w:rPr>
          <w:rFonts w:ascii="Arial" w:hAnsi="Arial" w:cs="Arial"/>
          <w:lang w:val="en"/>
        </w:rPr>
        <w:t xml:space="preserve"> regimen or </w:t>
      </w:r>
      <w:r w:rsidRPr="001D4A64">
        <w:rPr>
          <w:rFonts w:ascii="Arial" w:hAnsi="Arial" w:cs="Arial"/>
          <w:lang w:val="en"/>
        </w:rPr>
        <w:t xml:space="preserve">remain on the current antiretroviral (CAR) regimen. Subjects </w:t>
      </w:r>
      <w:proofErr w:type="spellStart"/>
      <w:r w:rsidRPr="001D4A64">
        <w:rPr>
          <w:rFonts w:ascii="Arial" w:hAnsi="Arial" w:cs="Arial"/>
          <w:lang w:val="en"/>
        </w:rPr>
        <w:t>randomised</w:t>
      </w:r>
      <w:proofErr w:type="spellEnd"/>
      <w:r w:rsidRPr="001D4A64">
        <w:rPr>
          <w:rFonts w:ascii="Arial" w:hAnsi="Arial" w:cs="Arial"/>
          <w:lang w:val="en"/>
        </w:rPr>
        <w:t xml:space="preserve"> to receive the </w:t>
      </w:r>
      <w:r w:rsidR="00DC4D8B" w:rsidRPr="001D4A64">
        <w:rPr>
          <w:rFonts w:ascii="Arial" w:hAnsi="Arial" w:cs="Arial"/>
          <w:lang w:val="en"/>
        </w:rPr>
        <w:t>CABENUVA</w:t>
      </w:r>
      <w:r w:rsidRPr="001D4A64">
        <w:rPr>
          <w:rFonts w:ascii="Arial" w:hAnsi="Arial" w:cs="Arial"/>
          <w:lang w:val="en"/>
        </w:rPr>
        <w:t xml:space="preserve"> regimen, initiated treatment with oral lead-in dosing with</w:t>
      </w:r>
      <w:r w:rsidR="00DB045B" w:rsidRPr="001D4A64">
        <w:rPr>
          <w:rFonts w:ascii="Arial" w:hAnsi="Arial" w:cs="Arial"/>
          <w:lang w:val="en"/>
        </w:rPr>
        <w:t xml:space="preserve"> a</w:t>
      </w:r>
      <w:r w:rsidRPr="001D4A64">
        <w:rPr>
          <w:rFonts w:ascii="Arial" w:hAnsi="Arial" w:cs="Arial"/>
          <w:lang w:val="en"/>
        </w:rPr>
        <w:t xml:space="preserve"> </w:t>
      </w:r>
      <w:r w:rsidR="00C44233" w:rsidRPr="001D4A64">
        <w:rPr>
          <w:rFonts w:ascii="Arial" w:hAnsi="Arial" w:cs="Arial"/>
          <w:lang w:val="en"/>
        </w:rPr>
        <w:t>cabotegravir</w:t>
      </w:r>
      <w:r w:rsidR="00DB045B" w:rsidRPr="001D4A64">
        <w:rPr>
          <w:rFonts w:ascii="Arial" w:hAnsi="Arial" w:cs="Arial"/>
          <w:lang w:val="en"/>
        </w:rPr>
        <w:t xml:space="preserve"> 30 mg</w:t>
      </w:r>
      <w:r w:rsidR="00C44233" w:rsidRPr="001D4A64">
        <w:rPr>
          <w:rFonts w:ascii="Arial" w:hAnsi="Arial" w:cs="Arial"/>
          <w:lang w:val="en"/>
        </w:rPr>
        <w:t xml:space="preserve"> (VOCABRIA)</w:t>
      </w:r>
      <w:r w:rsidRPr="001D4A64">
        <w:rPr>
          <w:rFonts w:ascii="Arial" w:hAnsi="Arial" w:cs="Arial"/>
          <w:lang w:val="en"/>
        </w:rPr>
        <w:t xml:space="preserve"> tablet plus</w:t>
      </w:r>
      <w:r w:rsidR="00DB045B" w:rsidRPr="001D4A64">
        <w:rPr>
          <w:rFonts w:ascii="Arial" w:hAnsi="Arial" w:cs="Arial"/>
          <w:lang w:val="en"/>
        </w:rPr>
        <w:t xml:space="preserve"> a</w:t>
      </w:r>
      <w:r w:rsidRPr="001D4A64">
        <w:rPr>
          <w:rFonts w:ascii="Arial" w:hAnsi="Arial" w:cs="Arial"/>
          <w:lang w:val="en"/>
        </w:rPr>
        <w:t xml:space="preserve"> rilpivirine</w:t>
      </w:r>
      <w:r w:rsidR="00DB045B" w:rsidRPr="001D4A64">
        <w:rPr>
          <w:rFonts w:ascii="Arial" w:hAnsi="Arial" w:cs="Arial"/>
          <w:lang w:val="en"/>
        </w:rPr>
        <w:t xml:space="preserve"> 25 mg</w:t>
      </w:r>
      <w:r w:rsidR="00C44233" w:rsidRPr="001D4A64">
        <w:rPr>
          <w:rFonts w:ascii="Arial" w:hAnsi="Arial" w:cs="Arial"/>
          <w:lang w:val="en"/>
        </w:rPr>
        <w:t xml:space="preserve"> (EDURANT)</w:t>
      </w:r>
      <w:r w:rsidRPr="001D4A64">
        <w:rPr>
          <w:rFonts w:ascii="Arial" w:hAnsi="Arial" w:cs="Arial"/>
          <w:lang w:val="en"/>
        </w:rPr>
        <w:t xml:space="preserve"> tablet</w:t>
      </w:r>
      <w:r w:rsidR="00DB045B" w:rsidRPr="001D4A64">
        <w:rPr>
          <w:rFonts w:ascii="Arial" w:hAnsi="Arial" w:cs="Arial"/>
          <w:lang w:val="en"/>
        </w:rPr>
        <w:t>, daily,</w:t>
      </w:r>
      <w:r w:rsidRPr="001D4A64">
        <w:rPr>
          <w:rFonts w:ascii="Arial" w:hAnsi="Arial" w:cs="Arial"/>
          <w:lang w:val="en"/>
        </w:rPr>
        <w:t xml:space="preserve"> for at least 4 weeks, followed by treatment with </w:t>
      </w:r>
      <w:r w:rsidR="00DB045B" w:rsidRPr="00D13251">
        <w:rPr>
          <w:rFonts w:ascii="Arial" w:hAnsi="Arial" w:cs="Arial"/>
          <w:szCs w:val="24"/>
        </w:rPr>
        <w:t>cabotegravir injection</w:t>
      </w:r>
      <w:r w:rsidR="00DB045B" w:rsidRPr="001D4A64">
        <w:rPr>
          <w:rFonts w:ascii="Arial" w:hAnsi="Arial" w:cs="Arial"/>
          <w:lang w:val="en"/>
        </w:rPr>
        <w:t xml:space="preserve"> </w:t>
      </w:r>
      <w:bookmarkStart w:id="31" w:name="_Hlk29507654"/>
      <w:r w:rsidR="00DB045B" w:rsidRPr="00D13251">
        <w:rPr>
          <w:rFonts w:ascii="Arial" w:hAnsi="Arial" w:cs="Arial"/>
          <w:szCs w:val="24"/>
        </w:rPr>
        <w:t>(month 1: 600 mg injection, month 2 onwards: 400 mg injection) plus rilpivirine injection (month 1: 900 mg injection, month 2 onwards: 600 mg injection), every month,</w:t>
      </w:r>
      <w:bookmarkEnd w:id="31"/>
      <w:r w:rsidR="00C44233" w:rsidRPr="001D4A64">
        <w:rPr>
          <w:rFonts w:ascii="Arial" w:hAnsi="Arial" w:cs="Arial"/>
          <w:lang w:val="en"/>
        </w:rPr>
        <w:t xml:space="preserve"> </w:t>
      </w:r>
      <w:r w:rsidRPr="001D4A64">
        <w:rPr>
          <w:rFonts w:ascii="Arial" w:hAnsi="Arial" w:cs="Arial"/>
          <w:lang w:val="en"/>
        </w:rPr>
        <w:t>for an additional 44 weeks.</w:t>
      </w:r>
    </w:p>
    <w:p w14:paraId="18BF5748" w14:textId="22B1E91E" w:rsidR="007D4266" w:rsidRPr="000D668F" w:rsidRDefault="007D4266" w:rsidP="000D668F">
      <w:pPr>
        <w:tabs>
          <w:tab w:val="left" w:pos="720"/>
        </w:tabs>
        <w:autoSpaceDE w:val="0"/>
        <w:autoSpaceDN w:val="0"/>
        <w:adjustRightInd w:val="0"/>
        <w:rPr>
          <w:rFonts w:ascii="Arial" w:hAnsi="Arial" w:cs="Arial"/>
          <w:lang w:val="en"/>
        </w:rPr>
      </w:pPr>
      <w:r w:rsidRPr="001D4A64">
        <w:rPr>
          <w:rFonts w:ascii="Arial" w:hAnsi="Arial" w:cs="Arial"/>
          <w:lang w:val="en"/>
        </w:rPr>
        <w:t xml:space="preserve">In ATLAS, 616 HIV-1-infected, ART-experienced, </w:t>
      </w:r>
      <w:proofErr w:type="spellStart"/>
      <w:r w:rsidRPr="001D4A64">
        <w:rPr>
          <w:rFonts w:ascii="Arial" w:hAnsi="Arial" w:cs="Arial"/>
          <w:lang w:val="en"/>
        </w:rPr>
        <w:t>virologically</w:t>
      </w:r>
      <w:proofErr w:type="spellEnd"/>
      <w:r w:rsidRPr="001D4A64">
        <w:rPr>
          <w:rFonts w:ascii="Arial" w:hAnsi="Arial" w:cs="Arial"/>
          <w:lang w:val="en"/>
        </w:rPr>
        <w:t xml:space="preserve">-suppressed (for at least 6 months) subjects (HIV-1 RNA &lt;50 copies per mL) were </w:t>
      </w:r>
      <w:proofErr w:type="spellStart"/>
      <w:r w:rsidRPr="001D4A64">
        <w:rPr>
          <w:rFonts w:ascii="Arial" w:hAnsi="Arial" w:cs="Arial"/>
          <w:lang w:val="en"/>
        </w:rPr>
        <w:t>randomised</w:t>
      </w:r>
      <w:proofErr w:type="spellEnd"/>
      <w:r w:rsidRPr="001D4A64">
        <w:rPr>
          <w:rFonts w:ascii="Arial" w:hAnsi="Arial" w:cs="Arial"/>
          <w:lang w:val="en"/>
        </w:rPr>
        <w:t xml:space="preserve"> (1:1) and received either the </w:t>
      </w:r>
      <w:r w:rsidR="00DC4D8B" w:rsidRPr="001D4A64">
        <w:rPr>
          <w:rFonts w:ascii="Arial" w:hAnsi="Arial" w:cs="Arial"/>
          <w:lang w:val="en"/>
        </w:rPr>
        <w:t>CABENUVA</w:t>
      </w:r>
      <w:r w:rsidRPr="001D4A64">
        <w:rPr>
          <w:rFonts w:ascii="Arial" w:hAnsi="Arial" w:cs="Arial"/>
          <w:lang w:val="en"/>
        </w:rPr>
        <w:t xml:space="preserve"> regimen or remained on the CAR regimen. Subjects </w:t>
      </w:r>
      <w:proofErr w:type="spellStart"/>
      <w:r w:rsidRPr="001D4A64">
        <w:rPr>
          <w:rFonts w:ascii="Arial" w:hAnsi="Arial" w:cs="Arial"/>
          <w:lang w:val="en"/>
        </w:rPr>
        <w:t>randomised</w:t>
      </w:r>
      <w:proofErr w:type="spellEnd"/>
      <w:r w:rsidRPr="001D4A64">
        <w:rPr>
          <w:rFonts w:ascii="Arial" w:hAnsi="Arial" w:cs="Arial"/>
          <w:lang w:val="en"/>
        </w:rPr>
        <w:t xml:space="preserve"> to receive the </w:t>
      </w:r>
      <w:r w:rsidR="00DC4D8B" w:rsidRPr="001D4A64">
        <w:rPr>
          <w:rFonts w:ascii="Arial" w:hAnsi="Arial" w:cs="Arial"/>
          <w:lang w:val="en"/>
        </w:rPr>
        <w:t>CABENUVA</w:t>
      </w:r>
      <w:r w:rsidRPr="001D4A64">
        <w:rPr>
          <w:rFonts w:ascii="Arial" w:hAnsi="Arial" w:cs="Arial"/>
          <w:lang w:val="en"/>
        </w:rPr>
        <w:t xml:space="preserve"> regimen, initiated treatment with oral lead-in dosing with </w:t>
      </w:r>
      <w:r w:rsidR="001D4A64" w:rsidRPr="001D4A64">
        <w:rPr>
          <w:rFonts w:ascii="Arial" w:hAnsi="Arial" w:cs="Arial"/>
          <w:lang w:val="en"/>
        </w:rPr>
        <w:t xml:space="preserve">a </w:t>
      </w:r>
      <w:r w:rsidR="00C44233" w:rsidRPr="001D4A64">
        <w:rPr>
          <w:rFonts w:ascii="Arial" w:hAnsi="Arial" w:cs="Arial"/>
          <w:lang w:val="en"/>
        </w:rPr>
        <w:t xml:space="preserve">cabotegravir </w:t>
      </w:r>
      <w:r w:rsidR="001D4A64" w:rsidRPr="001D4A64">
        <w:rPr>
          <w:rFonts w:ascii="Arial" w:hAnsi="Arial" w:cs="Arial"/>
          <w:lang w:val="en"/>
        </w:rPr>
        <w:t xml:space="preserve">30 mg </w:t>
      </w:r>
      <w:r w:rsidR="00C44233" w:rsidRPr="001D4A64">
        <w:rPr>
          <w:rFonts w:ascii="Arial" w:hAnsi="Arial" w:cs="Arial"/>
          <w:lang w:val="en"/>
        </w:rPr>
        <w:t>(VOCABRIA)</w:t>
      </w:r>
      <w:r w:rsidRPr="001D4A64">
        <w:rPr>
          <w:rFonts w:ascii="Arial" w:hAnsi="Arial" w:cs="Arial"/>
          <w:lang w:val="en"/>
        </w:rPr>
        <w:t xml:space="preserve"> tablet plus </w:t>
      </w:r>
      <w:r w:rsidR="001D4A64" w:rsidRPr="001D4A64">
        <w:rPr>
          <w:rFonts w:ascii="Arial" w:hAnsi="Arial" w:cs="Arial"/>
          <w:lang w:val="en"/>
        </w:rPr>
        <w:t xml:space="preserve">a </w:t>
      </w:r>
      <w:r w:rsidRPr="001D4A64">
        <w:rPr>
          <w:rFonts w:ascii="Arial" w:hAnsi="Arial" w:cs="Arial"/>
          <w:lang w:val="en"/>
        </w:rPr>
        <w:t>rilpivirine</w:t>
      </w:r>
      <w:r w:rsidR="001D4A64" w:rsidRPr="001D4A64">
        <w:rPr>
          <w:rFonts w:ascii="Arial" w:hAnsi="Arial" w:cs="Arial"/>
          <w:lang w:val="en"/>
        </w:rPr>
        <w:t xml:space="preserve"> 25 mg</w:t>
      </w:r>
      <w:r w:rsidR="00C44233" w:rsidRPr="001D4A64">
        <w:rPr>
          <w:rFonts w:ascii="Arial" w:hAnsi="Arial" w:cs="Arial"/>
          <w:lang w:val="en"/>
        </w:rPr>
        <w:t xml:space="preserve"> (EDURANT)</w:t>
      </w:r>
      <w:r w:rsidRPr="001D4A64">
        <w:rPr>
          <w:rFonts w:ascii="Arial" w:hAnsi="Arial" w:cs="Arial"/>
          <w:lang w:val="en"/>
        </w:rPr>
        <w:t xml:space="preserve"> tablet</w:t>
      </w:r>
      <w:r w:rsidR="001D4A64" w:rsidRPr="001D4A64">
        <w:rPr>
          <w:rFonts w:ascii="Arial" w:hAnsi="Arial" w:cs="Arial"/>
          <w:lang w:val="en"/>
        </w:rPr>
        <w:t>, daily,</w:t>
      </w:r>
      <w:r w:rsidRPr="001D4A64">
        <w:rPr>
          <w:rFonts w:ascii="Arial" w:hAnsi="Arial" w:cs="Arial"/>
          <w:lang w:val="en"/>
        </w:rPr>
        <w:t xml:space="preserve"> for at least 4 weeks,</w:t>
      </w:r>
      <w:r w:rsidR="001D4A64" w:rsidRPr="001D4A64">
        <w:rPr>
          <w:rFonts w:ascii="Arial" w:hAnsi="Arial" w:cs="Arial"/>
          <w:lang w:val="en"/>
        </w:rPr>
        <w:t xml:space="preserve"> </w:t>
      </w:r>
      <w:bookmarkStart w:id="32" w:name="_Hlk29234453"/>
      <w:r w:rsidR="001D4A64" w:rsidRPr="00D13251">
        <w:rPr>
          <w:rFonts w:ascii="Arial" w:hAnsi="Arial" w:cs="Arial"/>
          <w:szCs w:val="24"/>
        </w:rPr>
        <w:t xml:space="preserve">followed by treatment with cabotegravir injection </w:t>
      </w:r>
      <w:bookmarkEnd w:id="32"/>
      <w:r w:rsidR="001D4A64" w:rsidRPr="00D13251">
        <w:rPr>
          <w:rFonts w:ascii="Arial" w:hAnsi="Arial" w:cs="Arial"/>
          <w:szCs w:val="24"/>
        </w:rPr>
        <w:t>(month 1: 600 mg, month 2 onwards: 400 mg injection) plus rilpivirine injection (month 1: 900 mg injection, month 2 onwards: 600 mg injection), every month,</w:t>
      </w:r>
      <w:r w:rsidRPr="001D4A64">
        <w:rPr>
          <w:rFonts w:ascii="Arial" w:hAnsi="Arial" w:cs="Arial"/>
          <w:lang w:val="en"/>
        </w:rPr>
        <w:t xml:space="preserve"> for an additional 44 weeks. In ATLAS, 50%, 17%, and 33% of subjects received</w:t>
      </w:r>
      <w:r w:rsidRPr="000D668F">
        <w:rPr>
          <w:rFonts w:ascii="Arial" w:hAnsi="Arial" w:cs="Arial"/>
          <w:lang w:val="en"/>
        </w:rPr>
        <w:t xml:space="preserve"> an NNRTI, PI, or INI (respectively) as their baseline third treatment medicine class prior to </w:t>
      </w:r>
      <w:proofErr w:type="spellStart"/>
      <w:r w:rsidRPr="000D668F">
        <w:rPr>
          <w:rFonts w:ascii="Arial" w:hAnsi="Arial" w:cs="Arial"/>
          <w:lang w:val="en"/>
        </w:rPr>
        <w:t>randomisation</w:t>
      </w:r>
      <w:proofErr w:type="spellEnd"/>
      <w:r w:rsidRPr="000D668F">
        <w:rPr>
          <w:rFonts w:ascii="Arial" w:hAnsi="Arial" w:cs="Arial"/>
          <w:lang w:val="en"/>
        </w:rPr>
        <w:t xml:space="preserve"> and this was similar between treatment arms.</w:t>
      </w:r>
    </w:p>
    <w:p w14:paraId="0D2A0891" w14:textId="0157E7A2" w:rsidR="007D4266" w:rsidRPr="000D668F" w:rsidRDefault="007D4266" w:rsidP="000D668F">
      <w:pPr>
        <w:tabs>
          <w:tab w:val="left" w:pos="720"/>
        </w:tabs>
        <w:rPr>
          <w:rFonts w:ascii="Arial" w:hAnsi="Arial" w:cs="Arial"/>
          <w:lang w:val="en"/>
        </w:rPr>
      </w:pPr>
      <w:r w:rsidRPr="000D668F">
        <w:rPr>
          <w:rFonts w:ascii="Arial" w:hAnsi="Arial" w:cs="Arial"/>
          <w:lang w:val="en"/>
        </w:rPr>
        <w:t xml:space="preserve">At baseline, in the pooled analysis, for the </w:t>
      </w:r>
      <w:r w:rsidR="00DC4D8B">
        <w:rPr>
          <w:rFonts w:ascii="Arial" w:hAnsi="Arial" w:cs="Arial"/>
          <w:lang w:val="en"/>
        </w:rPr>
        <w:t>CABENUVA</w:t>
      </w:r>
      <w:r w:rsidRPr="000D668F">
        <w:rPr>
          <w:rFonts w:ascii="Arial" w:hAnsi="Arial" w:cs="Arial"/>
          <w:lang w:val="en"/>
        </w:rPr>
        <w:t xml:space="preserve"> arm, the median age of subjects was 38 years, 27% were female, 27% were non-white, and 7% had CD4+ cell count less than 350 cells per mm</w:t>
      </w:r>
      <w:r w:rsidRPr="00C44233">
        <w:rPr>
          <w:rFonts w:ascii="Arial" w:hAnsi="Arial" w:cs="Arial"/>
          <w:vertAlign w:val="superscript"/>
          <w:lang w:val="en"/>
        </w:rPr>
        <w:t>3</w:t>
      </w:r>
      <w:r w:rsidRPr="000D668F">
        <w:rPr>
          <w:rFonts w:ascii="Arial" w:hAnsi="Arial" w:cs="Arial"/>
          <w:lang w:val="en"/>
        </w:rPr>
        <w:t>; these characteristics were similar between treatment arms.</w:t>
      </w:r>
    </w:p>
    <w:p w14:paraId="67A5F54A" w14:textId="0DC26ACB" w:rsidR="007D4266" w:rsidRPr="000D668F" w:rsidRDefault="007D4266" w:rsidP="000D668F">
      <w:pPr>
        <w:tabs>
          <w:tab w:val="left" w:pos="720"/>
        </w:tabs>
        <w:rPr>
          <w:rFonts w:ascii="Arial" w:hAnsi="Arial" w:cs="Arial"/>
          <w:lang w:val="en"/>
        </w:rPr>
      </w:pPr>
      <w:r w:rsidRPr="000D668F">
        <w:rPr>
          <w:rFonts w:ascii="Arial" w:hAnsi="Arial" w:cs="Arial"/>
          <w:lang w:val="en"/>
        </w:rPr>
        <w:t xml:space="preserve">The primary endpoint of both </w:t>
      </w:r>
      <w:r w:rsidR="00EC1C0B">
        <w:rPr>
          <w:rFonts w:ascii="Arial" w:hAnsi="Arial" w:cs="Arial"/>
          <w:lang w:val="en"/>
        </w:rPr>
        <w:t>studies</w:t>
      </w:r>
      <w:r w:rsidRPr="000D668F">
        <w:rPr>
          <w:rFonts w:ascii="Arial" w:hAnsi="Arial" w:cs="Arial"/>
          <w:lang w:val="en"/>
        </w:rPr>
        <w:t xml:space="preserve"> was the proportion of subjects with plasma HIV-1 RNA ≥</w:t>
      </w:r>
      <w:r w:rsidR="00C44233">
        <w:rPr>
          <w:rFonts w:ascii="Arial" w:hAnsi="Arial" w:cs="Arial"/>
          <w:lang w:val="en"/>
        </w:rPr>
        <w:t xml:space="preserve"> </w:t>
      </w:r>
      <w:r w:rsidRPr="000D668F">
        <w:rPr>
          <w:rFonts w:ascii="Arial" w:hAnsi="Arial" w:cs="Arial"/>
          <w:lang w:val="en"/>
        </w:rPr>
        <w:t>50 copies</w:t>
      </w:r>
      <w:r w:rsidR="00C44233">
        <w:rPr>
          <w:rFonts w:ascii="Arial" w:hAnsi="Arial" w:cs="Arial"/>
          <w:lang w:val="en"/>
        </w:rPr>
        <w:t xml:space="preserve"> per </w:t>
      </w:r>
      <w:r w:rsidRPr="000D668F">
        <w:rPr>
          <w:rFonts w:ascii="Arial" w:hAnsi="Arial" w:cs="Arial"/>
          <w:lang w:val="en"/>
        </w:rPr>
        <w:t>mL at week 48 (snapshot algorithm for the ITT-E population).</w:t>
      </w:r>
    </w:p>
    <w:p w14:paraId="3394CD46" w14:textId="1E48DCB2" w:rsidR="007D4266" w:rsidRPr="000D668F" w:rsidRDefault="007D4266" w:rsidP="008E26DE">
      <w:pPr>
        <w:tabs>
          <w:tab w:val="left" w:pos="720"/>
        </w:tabs>
        <w:rPr>
          <w:rFonts w:ascii="Arial" w:hAnsi="Arial" w:cs="Arial"/>
          <w:lang w:val="en"/>
        </w:rPr>
      </w:pPr>
      <w:r w:rsidRPr="000D668F">
        <w:rPr>
          <w:rFonts w:ascii="Arial" w:hAnsi="Arial" w:cs="Arial"/>
          <w:lang w:val="en"/>
        </w:rPr>
        <w:t xml:space="preserve">In a pooled analysis of the two pivotal </w:t>
      </w:r>
      <w:r w:rsidR="003C1FEB">
        <w:rPr>
          <w:rFonts w:ascii="Arial" w:hAnsi="Arial" w:cs="Arial"/>
          <w:lang w:val="en"/>
        </w:rPr>
        <w:t>studies</w:t>
      </w:r>
      <w:r w:rsidRPr="000D668F">
        <w:rPr>
          <w:rFonts w:ascii="Arial" w:hAnsi="Arial" w:cs="Arial"/>
          <w:lang w:val="en"/>
        </w:rPr>
        <w:t xml:space="preserve">, </w:t>
      </w:r>
      <w:r w:rsidR="00DC4D8B">
        <w:rPr>
          <w:rFonts w:ascii="Arial" w:hAnsi="Arial" w:cs="Arial"/>
          <w:lang w:val="en"/>
        </w:rPr>
        <w:t>CABENUVA</w:t>
      </w:r>
      <w:r w:rsidRPr="000D668F">
        <w:rPr>
          <w:rFonts w:ascii="Arial" w:hAnsi="Arial" w:cs="Arial"/>
          <w:lang w:val="en"/>
        </w:rPr>
        <w:t xml:space="preserve"> was non-inferior to CAR on the proportion of subjects having plasma HIV-1 RNA ≥50 c/mL (1.9% and 1.7% respectively) at Week 48. The adjusted treatment difference between </w:t>
      </w:r>
      <w:r w:rsidR="00DC4D8B">
        <w:rPr>
          <w:rFonts w:ascii="Arial" w:hAnsi="Arial" w:cs="Arial"/>
          <w:lang w:val="en"/>
        </w:rPr>
        <w:t>CABENUVA</w:t>
      </w:r>
      <w:r w:rsidRPr="000D668F">
        <w:rPr>
          <w:rFonts w:ascii="Arial" w:hAnsi="Arial" w:cs="Arial"/>
          <w:lang w:val="en"/>
        </w:rPr>
        <w:t xml:space="preserve"> plus rilpivirine and CAR (0.2; 95% CI: -1.4, 1.7) for the pooled analysis met the non-inferiority criterion (upper bound of the 95% CI below 4%). Furthermore, in the pooled analysis, </w:t>
      </w:r>
      <w:r w:rsidR="00DC4D8B">
        <w:rPr>
          <w:rFonts w:ascii="Arial" w:hAnsi="Arial" w:cs="Arial"/>
          <w:lang w:val="en"/>
        </w:rPr>
        <w:t>CABENUVA</w:t>
      </w:r>
      <w:r w:rsidRPr="000D668F">
        <w:rPr>
          <w:rFonts w:ascii="Arial" w:hAnsi="Arial" w:cs="Arial"/>
          <w:lang w:val="en"/>
        </w:rPr>
        <w:t xml:space="preserve"> was non-inferior to CAR on the proportion of subjects having plasma HIV-1 RNA &lt;</w:t>
      </w:r>
      <w:r w:rsidR="00C44233">
        <w:rPr>
          <w:rFonts w:ascii="Arial" w:hAnsi="Arial" w:cs="Arial"/>
          <w:lang w:val="en"/>
        </w:rPr>
        <w:t xml:space="preserve"> </w:t>
      </w:r>
      <w:r w:rsidRPr="000D668F">
        <w:rPr>
          <w:rFonts w:ascii="Arial" w:hAnsi="Arial" w:cs="Arial"/>
          <w:lang w:val="en"/>
        </w:rPr>
        <w:t>50 c</w:t>
      </w:r>
      <w:r w:rsidR="00C44233">
        <w:rPr>
          <w:rFonts w:ascii="Arial" w:hAnsi="Arial" w:cs="Arial"/>
          <w:lang w:val="en"/>
        </w:rPr>
        <w:t xml:space="preserve">opies per </w:t>
      </w:r>
      <w:r w:rsidRPr="000D668F">
        <w:rPr>
          <w:rFonts w:ascii="Arial" w:hAnsi="Arial" w:cs="Arial"/>
          <w:lang w:val="en"/>
        </w:rPr>
        <w:t xml:space="preserve">mL (93.1% and 94.4%, respectively) at Week 48. The adjusted treatment difference between </w:t>
      </w:r>
      <w:r w:rsidR="00DC4D8B">
        <w:rPr>
          <w:rFonts w:ascii="Arial" w:hAnsi="Arial" w:cs="Arial"/>
          <w:lang w:val="en"/>
        </w:rPr>
        <w:t>CABENUVA</w:t>
      </w:r>
      <w:r w:rsidRPr="000D668F">
        <w:rPr>
          <w:rFonts w:ascii="Arial" w:hAnsi="Arial" w:cs="Arial"/>
          <w:lang w:val="en"/>
        </w:rPr>
        <w:t xml:space="preserve"> and CAR (-1.4; 95% CI: </w:t>
      </w:r>
      <w:r w:rsidRPr="000D668F">
        <w:rPr>
          <w:rFonts w:ascii="Arial" w:hAnsi="Arial" w:cs="Arial"/>
          <w:lang w:val="en"/>
        </w:rPr>
        <w:noBreakHyphen/>
        <w:t xml:space="preserve">4.1, 1.4) for the pooled analysis met the non-inferiority criteria (lower bound of the 95% CI greater than -10%. [See Table </w:t>
      </w:r>
      <w:r w:rsidR="00936270">
        <w:rPr>
          <w:rFonts w:ascii="Arial" w:hAnsi="Arial" w:cs="Arial"/>
          <w:lang w:val="en"/>
        </w:rPr>
        <w:t>9</w:t>
      </w:r>
      <w:r w:rsidRPr="000D668F">
        <w:rPr>
          <w:rFonts w:ascii="Arial" w:hAnsi="Arial" w:cs="Arial"/>
          <w:lang w:val="en"/>
        </w:rPr>
        <w:t>]).</w:t>
      </w:r>
    </w:p>
    <w:p w14:paraId="266F1224" w14:textId="4EA1423F" w:rsidR="007D4266" w:rsidRPr="000D668F" w:rsidRDefault="007D4266" w:rsidP="000D668F">
      <w:pPr>
        <w:tabs>
          <w:tab w:val="left" w:pos="720"/>
        </w:tabs>
        <w:rPr>
          <w:rFonts w:ascii="Arial" w:hAnsi="Arial" w:cs="Arial"/>
          <w:lang w:val="en"/>
        </w:rPr>
      </w:pPr>
      <w:r w:rsidRPr="000D668F">
        <w:rPr>
          <w:rFonts w:ascii="Arial" w:hAnsi="Arial" w:cs="Arial"/>
          <w:lang w:val="en"/>
        </w:rPr>
        <w:t xml:space="preserve">The non-inferiority result established in FLAIR and ATLAS demonstrated that the length of HIV-1 RNA virologic suppression prior to initiation of </w:t>
      </w:r>
      <w:r w:rsidR="00DC4D8B">
        <w:rPr>
          <w:rFonts w:ascii="Arial" w:hAnsi="Arial" w:cs="Arial"/>
          <w:lang w:val="en"/>
        </w:rPr>
        <w:t>CABENUVA</w:t>
      </w:r>
      <w:r w:rsidRPr="000D668F">
        <w:rPr>
          <w:rFonts w:ascii="Arial" w:hAnsi="Arial" w:cs="Arial"/>
          <w:lang w:val="en"/>
        </w:rPr>
        <w:t xml:space="preserve"> (i.e. &lt;6 months or ≥6 months) did not impact overall response rates.</w:t>
      </w:r>
    </w:p>
    <w:p w14:paraId="0E17C759" w14:textId="40DF392D" w:rsidR="007D4266" w:rsidRPr="000D668F" w:rsidRDefault="007D4266" w:rsidP="000D668F">
      <w:pPr>
        <w:tabs>
          <w:tab w:val="left" w:pos="720"/>
        </w:tabs>
        <w:rPr>
          <w:rFonts w:ascii="Arial" w:hAnsi="Arial" w:cs="Arial"/>
          <w:lang w:val="en"/>
        </w:rPr>
      </w:pPr>
      <w:r w:rsidRPr="000D668F">
        <w:rPr>
          <w:rFonts w:ascii="Arial" w:hAnsi="Arial" w:cs="Arial"/>
          <w:lang w:val="en"/>
        </w:rPr>
        <w:lastRenderedPageBreak/>
        <w:t xml:space="preserve">The primary endpoint and other week 48 outcomes, including outcomes by key baseline factors, for FLAIR and ATLAS are shown in Tables </w:t>
      </w:r>
      <w:r w:rsidR="00C44233">
        <w:rPr>
          <w:rFonts w:ascii="Arial" w:hAnsi="Arial" w:cs="Arial"/>
          <w:lang w:val="en"/>
        </w:rPr>
        <w:t>7</w:t>
      </w:r>
      <w:r w:rsidRPr="000D668F">
        <w:rPr>
          <w:rFonts w:ascii="Arial" w:hAnsi="Arial" w:cs="Arial"/>
          <w:lang w:val="en"/>
        </w:rPr>
        <w:t xml:space="preserve"> and </w:t>
      </w:r>
      <w:r w:rsidR="00C44233">
        <w:rPr>
          <w:rFonts w:ascii="Arial" w:hAnsi="Arial" w:cs="Arial"/>
          <w:lang w:val="en"/>
        </w:rPr>
        <w:t>8</w:t>
      </w:r>
      <w:r w:rsidRPr="000D668F">
        <w:rPr>
          <w:rFonts w:ascii="Arial" w:hAnsi="Arial" w:cs="Arial"/>
          <w:lang w:val="en"/>
        </w:rPr>
        <w:t>.</w:t>
      </w:r>
    </w:p>
    <w:p w14:paraId="68651CAE" w14:textId="6C47665D" w:rsidR="007D4266" w:rsidRPr="005617F2" w:rsidRDefault="007D4266" w:rsidP="007D4266">
      <w:pPr>
        <w:keepNext/>
        <w:tabs>
          <w:tab w:val="left" w:pos="720"/>
        </w:tabs>
        <w:spacing w:after="240" w:line="240" w:lineRule="auto"/>
        <w:ind w:left="1440" w:hanging="1440"/>
        <w:rPr>
          <w:rFonts w:ascii="Arial" w:hAnsi="Arial" w:cs="Arial"/>
          <w:b/>
        </w:rPr>
      </w:pPr>
      <w:r w:rsidRPr="005617F2">
        <w:rPr>
          <w:rFonts w:ascii="Arial" w:hAnsi="Arial" w:cs="Arial"/>
          <w:b/>
        </w:rPr>
        <w:t xml:space="preserve">Table </w:t>
      </w:r>
      <w:r w:rsidR="00936270">
        <w:rPr>
          <w:rFonts w:ascii="Arial" w:hAnsi="Arial" w:cs="Arial"/>
          <w:b/>
        </w:rPr>
        <w:t>9</w:t>
      </w:r>
      <w:r w:rsidR="005617F2">
        <w:rPr>
          <w:rFonts w:ascii="Arial" w:hAnsi="Arial" w:cs="Arial"/>
          <w:b/>
        </w:rPr>
        <w:t>:</w:t>
      </w:r>
      <w:r w:rsidRPr="005617F2">
        <w:rPr>
          <w:rFonts w:ascii="Arial" w:hAnsi="Arial" w:cs="Arial"/>
          <w:b/>
        </w:rPr>
        <w:tab/>
        <w:t>Virologic Outcomes of Randomised Treatment of FLAIR and ATLAS at 48 Weeks (Snapshot</w:t>
      </w:r>
      <w:r>
        <w:rPr>
          <w:b/>
          <w:bCs/>
          <w:lang w:val="x-none" w:eastAsia="x-none"/>
        </w:rPr>
        <w:t xml:space="preserve"> </w:t>
      </w:r>
      <w:r w:rsidRPr="005617F2">
        <w:rPr>
          <w:rFonts w:ascii="Arial" w:hAnsi="Arial" w:cs="Arial"/>
          <w:b/>
        </w:rPr>
        <w:t>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34"/>
        <w:gridCol w:w="1134"/>
        <w:gridCol w:w="1134"/>
        <w:gridCol w:w="1134"/>
        <w:gridCol w:w="1125"/>
        <w:gridCol w:w="1221"/>
      </w:tblGrid>
      <w:tr w:rsidR="007D4266" w:rsidRPr="000D668F" w14:paraId="491AFE4C" w14:textId="77777777" w:rsidTr="005617F2">
        <w:trPr>
          <w:tblHeader/>
        </w:trPr>
        <w:tc>
          <w:tcPr>
            <w:tcW w:w="1980" w:type="dxa"/>
            <w:tcBorders>
              <w:top w:val="single" w:sz="4" w:space="0" w:color="auto"/>
              <w:left w:val="single" w:sz="4" w:space="0" w:color="auto"/>
              <w:bottom w:val="single" w:sz="4" w:space="0" w:color="auto"/>
              <w:right w:val="single" w:sz="4" w:space="0" w:color="auto"/>
            </w:tcBorders>
          </w:tcPr>
          <w:p w14:paraId="0A0A2BEF" w14:textId="77777777" w:rsidR="007D4266" w:rsidRPr="000D668F" w:rsidRDefault="007D4266" w:rsidP="000D668F">
            <w:pPr>
              <w:keepNext/>
              <w:tabs>
                <w:tab w:val="left" w:pos="720"/>
              </w:tabs>
              <w:spacing w:before="100" w:beforeAutospacing="1" w:after="60"/>
              <w:rPr>
                <w:rFonts w:ascii="Arial Narrow" w:hAnsi="Arial Narrow"/>
                <w:sz w:val="20"/>
                <w:szCs w:val="20"/>
                <w:lang w:val="en-US" w:eastAsia="en-GB"/>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434438CE" w14:textId="77777777" w:rsidR="007D4266" w:rsidRPr="000D668F" w:rsidRDefault="007D4266" w:rsidP="000D668F">
            <w:pPr>
              <w:keepNext/>
              <w:tabs>
                <w:tab w:val="left" w:pos="720"/>
              </w:tabs>
              <w:spacing w:before="100" w:beforeAutospacing="1" w:after="60"/>
              <w:jc w:val="center"/>
              <w:rPr>
                <w:rFonts w:ascii="Arial Narrow" w:hAnsi="Arial Narrow"/>
                <w:b/>
                <w:sz w:val="20"/>
                <w:szCs w:val="20"/>
                <w:lang w:val="en-US" w:eastAsia="en-GB"/>
              </w:rPr>
            </w:pPr>
            <w:r w:rsidRPr="000D668F">
              <w:rPr>
                <w:rFonts w:ascii="Arial Narrow" w:hAnsi="Arial Narrow"/>
                <w:b/>
                <w:sz w:val="20"/>
                <w:szCs w:val="20"/>
                <w:lang w:val="en-US" w:eastAsia="en-GB"/>
              </w:rPr>
              <w:t>FLAIR</w:t>
            </w:r>
          </w:p>
        </w:tc>
        <w:tc>
          <w:tcPr>
            <w:tcW w:w="2268" w:type="dxa"/>
            <w:gridSpan w:val="2"/>
            <w:tcBorders>
              <w:top w:val="single" w:sz="4" w:space="0" w:color="auto"/>
              <w:left w:val="single" w:sz="4" w:space="0" w:color="auto"/>
              <w:bottom w:val="single" w:sz="4" w:space="0" w:color="auto"/>
              <w:right w:val="single" w:sz="4" w:space="0" w:color="auto"/>
            </w:tcBorders>
            <w:hideMark/>
          </w:tcPr>
          <w:p w14:paraId="2B440D88" w14:textId="77777777" w:rsidR="007D4266" w:rsidRPr="000D668F" w:rsidRDefault="007D4266" w:rsidP="000D668F">
            <w:pPr>
              <w:keepNext/>
              <w:tabs>
                <w:tab w:val="left" w:pos="720"/>
              </w:tabs>
              <w:spacing w:before="100" w:beforeAutospacing="1" w:after="60"/>
              <w:jc w:val="center"/>
              <w:rPr>
                <w:rFonts w:ascii="Arial Narrow" w:hAnsi="Arial Narrow"/>
                <w:b/>
                <w:sz w:val="20"/>
                <w:szCs w:val="20"/>
                <w:lang w:val="en-US" w:eastAsia="en-GB"/>
              </w:rPr>
            </w:pPr>
            <w:r w:rsidRPr="000D668F">
              <w:rPr>
                <w:rFonts w:ascii="Arial Narrow" w:hAnsi="Arial Narrow"/>
                <w:b/>
                <w:sz w:val="20"/>
                <w:szCs w:val="20"/>
                <w:lang w:val="en-US" w:eastAsia="en-GB"/>
              </w:rPr>
              <w:t>ATLAS</w:t>
            </w:r>
          </w:p>
        </w:tc>
        <w:tc>
          <w:tcPr>
            <w:tcW w:w="2346" w:type="dxa"/>
            <w:gridSpan w:val="2"/>
            <w:tcBorders>
              <w:top w:val="single" w:sz="4" w:space="0" w:color="auto"/>
              <w:left w:val="single" w:sz="4" w:space="0" w:color="auto"/>
              <w:bottom w:val="single" w:sz="4" w:space="0" w:color="auto"/>
              <w:right w:val="single" w:sz="4" w:space="0" w:color="auto"/>
            </w:tcBorders>
            <w:hideMark/>
          </w:tcPr>
          <w:p w14:paraId="6CC7D3F3" w14:textId="77777777" w:rsidR="007D4266" w:rsidRPr="000D668F" w:rsidRDefault="007D4266" w:rsidP="000D668F">
            <w:pPr>
              <w:keepNext/>
              <w:tabs>
                <w:tab w:val="left" w:pos="720"/>
              </w:tabs>
              <w:spacing w:before="100" w:beforeAutospacing="1" w:after="60"/>
              <w:jc w:val="center"/>
              <w:rPr>
                <w:rFonts w:ascii="Arial Narrow" w:hAnsi="Arial Narrow"/>
                <w:b/>
                <w:sz w:val="20"/>
                <w:szCs w:val="20"/>
                <w:lang w:val="en-US" w:eastAsia="en-GB"/>
              </w:rPr>
            </w:pPr>
            <w:r w:rsidRPr="000D668F">
              <w:rPr>
                <w:rFonts w:ascii="Arial Narrow" w:hAnsi="Arial Narrow"/>
                <w:b/>
                <w:sz w:val="20"/>
                <w:szCs w:val="20"/>
                <w:lang w:val="en-US" w:eastAsia="en-GB"/>
              </w:rPr>
              <w:t>Pooled Data</w:t>
            </w:r>
          </w:p>
        </w:tc>
      </w:tr>
      <w:tr w:rsidR="007D4266" w:rsidRPr="000D668F" w14:paraId="046DEEAC" w14:textId="77777777" w:rsidTr="005617F2">
        <w:tc>
          <w:tcPr>
            <w:tcW w:w="1980" w:type="dxa"/>
            <w:tcBorders>
              <w:top w:val="single" w:sz="4" w:space="0" w:color="auto"/>
              <w:left w:val="single" w:sz="4" w:space="0" w:color="auto"/>
              <w:bottom w:val="single" w:sz="4" w:space="0" w:color="auto"/>
              <w:right w:val="single" w:sz="4" w:space="0" w:color="auto"/>
            </w:tcBorders>
          </w:tcPr>
          <w:p w14:paraId="2B9A8E8A" w14:textId="77777777" w:rsidR="007D4266" w:rsidRPr="000D668F" w:rsidRDefault="007D4266" w:rsidP="008E26DE">
            <w:pPr>
              <w:tabs>
                <w:tab w:val="left" w:pos="720"/>
              </w:tabs>
              <w:spacing w:before="100" w:beforeAutospacing="1" w:after="60"/>
              <w:rPr>
                <w:rFonts w:ascii="Arial Narrow" w:hAnsi="Arial Narrow"/>
                <w:sz w:val="20"/>
                <w:szCs w:val="20"/>
                <w:lang w:val="en-US" w:eastAsia="en-GB"/>
              </w:rPr>
            </w:pPr>
          </w:p>
        </w:tc>
        <w:tc>
          <w:tcPr>
            <w:tcW w:w="1134" w:type="dxa"/>
            <w:tcBorders>
              <w:top w:val="single" w:sz="4" w:space="0" w:color="auto"/>
              <w:left w:val="single" w:sz="4" w:space="0" w:color="auto"/>
              <w:bottom w:val="single" w:sz="4" w:space="0" w:color="auto"/>
              <w:right w:val="single" w:sz="4" w:space="0" w:color="auto"/>
            </w:tcBorders>
            <w:hideMark/>
          </w:tcPr>
          <w:p w14:paraId="635B114F" w14:textId="5A838D93" w:rsidR="007D4266" w:rsidRPr="000D668F" w:rsidRDefault="000D668F" w:rsidP="005617F2">
            <w:pPr>
              <w:keepNext/>
              <w:tabs>
                <w:tab w:val="left" w:pos="720"/>
              </w:tabs>
              <w:spacing w:after="60"/>
              <w:jc w:val="center"/>
              <w:rPr>
                <w:rFonts w:ascii="Arial Narrow" w:hAnsi="Arial Narrow"/>
                <w:b/>
                <w:sz w:val="20"/>
                <w:szCs w:val="20"/>
                <w:lang w:val="en-US" w:eastAsia="en-GB"/>
              </w:rPr>
            </w:pPr>
            <w:r>
              <w:rPr>
                <w:rFonts w:ascii="Arial Narrow" w:hAnsi="Arial Narrow"/>
                <w:b/>
                <w:sz w:val="20"/>
                <w:szCs w:val="20"/>
                <w:lang w:val="en-US" w:eastAsia="en-GB"/>
              </w:rPr>
              <w:t>CAB</w:t>
            </w:r>
            <w:r w:rsidR="007D4266" w:rsidRPr="000D668F">
              <w:rPr>
                <w:rFonts w:ascii="Arial Narrow" w:hAnsi="Arial Narrow"/>
                <w:b/>
                <w:sz w:val="20"/>
                <w:szCs w:val="20"/>
                <w:lang w:val="en-US" w:eastAsia="en-GB"/>
              </w:rPr>
              <w:t xml:space="preserve"> + RPV</w:t>
            </w:r>
          </w:p>
          <w:p w14:paraId="37B3E0FC" w14:textId="77777777" w:rsidR="007D4266" w:rsidRPr="000D668F" w:rsidRDefault="007D4266" w:rsidP="005617F2">
            <w:pPr>
              <w:keepNext/>
              <w:tabs>
                <w:tab w:val="left" w:pos="720"/>
              </w:tabs>
              <w:spacing w:after="60"/>
              <w:jc w:val="center"/>
              <w:rPr>
                <w:rFonts w:ascii="Arial Narrow" w:hAnsi="Arial Narrow"/>
                <w:b/>
                <w:sz w:val="20"/>
                <w:szCs w:val="20"/>
                <w:lang w:val="en-US" w:eastAsia="en-GB"/>
              </w:rPr>
            </w:pPr>
            <w:r w:rsidRPr="000D668F">
              <w:rPr>
                <w:rFonts w:ascii="Arial Narrow" w:hAnsi="Arial Narrow"/>
                <w:b/>
                <w:sz w:val="20"/>
                <w:szCs w:val="20"/>
                <w:lang w:val="en-US" w:eastAsia="en-GB"/>
              </w:rPr>
              <w:t>N=283</w:t>
            </w:r>
          </w:p>
        </w:tc>
        <w:tc>
          <w:tcPr>
            <w:tcW w:w="1134" w:type="dxa"/>
            <w:tcBorders>
              <w:top w:val="single" w:sz="4" w:space="0" w:color="auto"/>
              <w:left w:val="single" w:sz="4" w:space="0" w:color="auto"/>
              <w:bottom w:val="single" w:sz="4" w:space="0" w:color="auto"/>
              <w:right w:val="single" w:sz="4" w:space="0" w:color="auto"/>
            </w:tcBorders>
            <w:hideMark/>
          </w:tcPr>
          <w:p w14:paraId="0ACB02DC" w14:textId="77777777" w:rsidR="007D4266" w:rsidRPr="000D668F" w:rsidRDefault="007D4266" w:rsidP="005617F2">
            <w:pPr>
              <w:keepNext/>
              <w:tabs>
                <w:tab w:val="left" w:pos="720"/>
              </w:tabs>
              <w:spacing w:after="60"/>
              <w:jc w:val="center"/>
              <w:rPr>
                <w:rFonts w:ascii="Arial Narrow" w:hAnsi="Arial Narrow"/>
                <w:b/>
                <w:sz w:val="20"/>
                <w:szCs w:val="20"/>
                <w:lang w:val="en-US" w:eastAsia="en-GB"/>
              </w:rPr>
            </w:pPr>
            <w:r w:rsidRPr="000D668F">
              <w:rPr>
                <w:rFonts w:ascii="Arial Narrow" w:hAnsi="Arial Narrow"/>
                <w:b/>
                <w:sz w:val="20"/>
                <w:szCs w:val="20"/>
                <w:lang w:val="en-US" w:eastAsia="en-GB"/>
              </w:rPr>
              <w:t>CAR</w:t>
            </w:r>
          </w:p>
          <w:p w14:paraId="29396733" w14:textId="77777777" w:rsidR="007D4266" w:rsidRPr="000D668F" w:rsidRDefault="007D4266" w:rsidP="005617F2">
            <w:pPr>
              <w:keepNext/>
              <w:tabs>
                <w:tab w:val="left" w:pos="720"/>
              </w:tabs>
              <w:spacing w:after="60"/>
              <w:jc w:val="center"/>
              <w:rPr>
                <w:rFonts w:ascii="Arial Narrow" w:hAnsi="Arial Narrow"/>
                <w:b/>
                <w:sz w:val="20"/>
                <w:szCs w:val="20"/>
                <w:lang w:val="en-US" w:eastAsia="en-GB"/>
              </w:rPr>
            </w:pPr>
            <w:r w:rsidRPr="000D668F">
              <w:rPr>
                <w:rFonts w:ascii="Arial Narrow" w:hAnsi="Arial Narrow"/>
                <w:b/>
                <w:sz w:val="20"/>
                <w:szCs w:val="20"/>
                <w:lang w:val="en-US" w:eastAsia="en-GB"/>
              </w:rPr>
              <w:t>N=283</w:t>
            </w:r>
          </w:p>
        </w:tc>
        <w:tc>
          <w:tcPr>
            <w:tcW w:w="1134" w:type="dxa"/>
            <w:tcBorders>
              <w:top w:val="single" w:sz="4" w:space="0" w:color="auto"/>
              <w:left w:val="single" w:sz="4" w:space="0" w:color="auto"/>
              <w:bottom w:val="single" w:sz="4" w:space="0" w:color="auto"/>
              <w:right w:val="single" w:sz="4" w:space="0" w:color="auto"/>
            </w:tcBorders>
            <w:hideMark/>
          </w:tcPr>
          <w:p w14:paraId="1A38C8A0" w14:textId="2853E783" w:rsidR="007D4266" w:rsidRPr="000D668F" w:rsidRDefault="000D668F" w:rsidP="005617F2">
            <w:pPr>
              <w:keepNext/>
              <w:tabs>
                <w:tab w:val="left" w:pos="720"/>
              </w:tabs>
              <w:spacing w:after="60"/>
              <w:jc w:val="center"/>
              <w:rPr>
                <w:rFonts w:ascii="Arial Narrow" w:hAnsi="Arial Narrow"/>
                <w:b/>
                <w:sz w:val="20"/>
                <w:szCs w:val="20"/>
                <w:lang w:val="en-US" w:eastAsia="en-GB"/>
              </w:rPr>
            </w:pPr>
            <w:r>
              <w:rPr>
                <w:rFonts w:ascii="Arial Narrow" w:hAnsi="Arial Narrow"/>
                <w:b/>
                <w:sz w:val="20"/>
                <w:szCs w:val="20"/>
                <w:lang w:val="en-US" w:eastAsia="en-GB"/>
              </w:rPr>
              <w:t>CAB</w:t>
            </w:r>
            <w:r w:rsidR="007D4266" w:rsidRPr="000D668F">
              <w:rPr>
                <w:rFonts w:ascii="Arial Narrow" w:hAnsi="Arial Narrow"/>
                <w:b/>
                <w:sz w:val="20"/>
                <w:szCs w:val="20"/>
                <w:lang w:val="en-US" w:eastAsia="en-GB"/>
              </w:rPr>
              <w:t xml:space="preserve"> + RPV</w:t>
            </w:r>
          </w:p>
          <w:p w14:paraId="0F756557" w14:textId="77777777" w:rsidR="007D4266" w:rsidRPr="000D668F" w:rsidRDefault="007D4266" w:rsidP="005617F2">
            <w:pPr>
              <w:keepNext/>
              <w:tabs>
                <w:tab w:val="left" w:pos="720"/>
              </w:tabs>
              <w:spacing w:after="60"/>
              <w:jc w:val="center"/>
              <w:rPr>
                <w:rFonts w:ascii="Arial Narrow" w:hAnsi="Arial Narrow"/>
                <w:b/>
                <w:sz w:val="20"/>
                <w:szCs w:val="20"/>
                <w:lang w:val="en-US" w:eastAsia="en-GB"/>
              </w:rPr>
            </w:pPr>
            <w:r w:rsidRPr="000D668F">
              <w:rPr>
                <w:rFonts w:ascii="Arial Narrow" w:hAnsi="Arial Narrow"/>
                <w:b/>
                <w:sz w:val="20"/>
                <w:szCs w:val="20"/>
                <w:lang w:val="en-US" w:eastAsia="en-GB"/>
              </w:rPr>
              <w:t>N=308</w:t>
            </w:r>
          </w:p>
        </w:tc>
        <w:tc>
          <w:tcPr>
            <w:tcW w:w="1134" w:type="dxa"/>
            <w:tcBorders>
              <w:top w:val="single" w:sz="4" w:space="0" w:color="auto"/>
              <w:left w:val="single" w:sz="4" w:space="0" w:color="auto"/>
              <w:bottom w:val="single" w:sz="4" w:space="0" w:color="auto"/>
              <w:right w:val="single" w:sz="4" w:space="0" w:color="auto"/>
            </w:tcBorders>
            <w:hideMark/>
          </w:tcPr>
          <w:p w14:paraId="25BD6B76" w14:textId="77777777" w:rsidR="007D4266" w:rsidRPr="000D668F" w:rsidRDefault="007D4266" w:rsidP="005617F2">
            <w:pPr>
              <w:keepNext/>
              <w:tabs>
                <w:tab w:val="left" w:pos="720"/>
              </w:tabs>
              <w:spacing w:after="60"/>
              <w:jc w:val="center"/>
              <w:rPr>
                <w:rFonts w:ascii="Arial Narrow" w:hAnsi="Arial Narrow"/>
                <w:b/>
                <w:sz w:val="20"/>
                <w:szCs w:val="20"/>
                <w:lang w:val="en-US" w:eastAsia="en-GB"/>
              </w:rPr>
            </w:pPr>
            <w:r w:rsidRPr="000D668F">
              <w:rPr>
                <w:rFonts w:ascii="Arial Narrow" w:hAnsi="Arial Narrow"/>
                <w:b/>
                <w:sz w:val="20"/>
                <w:szCs w:val="20"/>
                <w:lang w:val="en-US" w:eastAsia="en-GB"/>
              </w:rPr>
              <w:t>CAR</w:t>
            </w:r>
          </w:p>
          <w:p w14:paraId="6ED051D3" w14:textId="77777777" w:rsidR="007D4266" w:rsidRPr="000D668F" w:rsidRDefault="007D4266" w:rsidP="005617F2">
            <w:pPr>
              <w:keepNext/>
              <w:tabs>
                <w:tab w:val="left" w:pos="720"/>
              </w:tabs>
              <w:spacing w:after="60"/>
              <w:jc w:val="center"/>
              <w:rPr>
                <w:rFonts w:ascii="Arial Narrow" w:hAnsi="Arial Narrow"/>
                <w:b/>
                <w:sz w:val="20"/>
                <w:szCs w:val="20"/>
                <w:lang w:val="en-US" w:eastAsia="en-GB"/>
              </w:rPr>
            </w:pPr>
            <w:r w:rsidRPr="000D668F">
              <w:rPr>
                <w:rFonts w:ascii="Arial Narrow" w:hAnsi="Arial Narrow"/>
                <w:b/>
                <w:sz w:val="20"/>
                <w:szCs w:val="20"/>
                <w:lang w:val="en-US" w:eastAsia="en-GB"/>
              </w:rPr>
              <w:t>N=308</w:t>
            </w:r>
          </w:p>
        </w:tc>
        <w:tc>
          <w:tcPr>
            <w:tcW w:w="1125" w:type="dxa"/>
            <w:tcBorders>
              <w:top w:val="single" w:sz="4" w:space="0" w:color="auto"/>
              <w:left w:val="single" w:sz="4" w:space="0" w:color="auto"/>
              <w:bottom w:val="single" w:sz="4" w:space="0" w:color="auto"/>
              <w:right w:val="single" w:sz="4" w:space="0" w:color="auto"/>
            </w:tcBorders>
            <w:hideMark/>
          </w:tcPr>
          <w:p w14:paraId="53092D99" w14:textId="77777777" w:rsidR="005617F2" w:rsidRDefault="005617F2" w:rsidP="005617F2">
            <w:pPr>
              <w:keepNext/>
              <w:tabs>
                <w:tab w:val="left" w:pos="720"/>
              </w:tabs>
              <w:spacing w:after="60"/>
              <w:jc w:val="center"/>
              <w:rPr>
                <w:rFonts w:ascii="Arial Narrow" w:hAnsi="Arial Narrow"/>
                <w:b/>
                <w:sz w:val="20"/>
                <w:szCs w:val="20"/>
                <w:lang w:val="en-US" w:eastAsia="en-GB"/>
              </w:rPr>
            </w:pPr>
            <w:r>
              <w:rPr>
                <w:rFonts w:ascii="Arial Narrow" w:hAnsi="Arial Narrow"/>
                <w:b/>
                <w:sz w:val="20"/>
                <w:szCs w:val="20"/>
                <w:lang w:val="en-US" w:eastAsia="en-GB"/>
              </w:rPr>
              <w:t>CAB</w:t>
            </w:r>
            <w:r w:rsidR="007D4266" w:rsidRPr="000D668F">
              <w:rPr>
                <w:rFonts w:ascii="Arial Narrow" w:hAnsi="Arial Narrow"/>
                <w:b/>
                <w:sz w:val="20"/>
                <w:szCs w:val="20"/>
                <w:lang w:val="en-US" w:eastAsia="en-GB"/>
              </w:rPr>
              <w:t xml:space="preserve"> +RPV</w:t>
            </w:r>
          </w:p>
          <w:p w14:paraId="48E00230" w14:textId="702EEB63" w:rsidR="007D4266" w:rsidRPr="000D668F" w:rsidRDefault="007D4266" w:rsidP="005617F2">
            <w:pPr>
              <w:keepNext/>
              <w:tabs>
                <w:tab w:val="left" w:pos="720"/>
              </w:tabs>
              <w:spacing w:after="60"/>
              <w:jc w:val="center"/>
              <w:rPr>
                <w:rFonts w:ascii="Arial Narrow" w:hAnsi="Arial Narrow"/>
                <w:b/>
                <w:sz w:val="20"/>
                <w:szCs w:val="20"/>
                <w:lang w:val="en-US" w:eastAsia="en-GB"/>
              </w:rPr>
            </w:pPr>
            <w:r w:rsidRPr="000D668F">
              <w:rPr>
                <w:rFonts w:ascii="Arial Narrow" w:hAnsi="Arial Narrow"/>
                <w:b/>
                <w:sz w:val="20"/>
                <w:szCs w:val="20"/>
                <w:lang w:val="en-US" w:eastAsia="en-GB"/>
              </w:rPr>
              <w:t>N=591</w:t>
            </w:r>
          </w:p>
        </w:tc>
        <w:tc>
          <w:tcPr>
            <w:tcW w:w="1221" w:type="dxa"/>
            <w:tcBorders>
              <w:top w:val="single" w:sz="4" w:space="0" w:color="auto"/>
              <w:left w:val="single" w:sz="4" w:space="0" w:color="auto"/>
              <w:bottom w:val="single" w:sz="4" w:space="0" w:color="auto"/>
              <w:right w:val="single" w:sz="4" w:space="0" w:color="auto"/>
            </w:tcBorders>
            <w:hideMark/>
          </w:tcPr>
          <w:p w14:paraId="0CC70CBF" w14:textId="77777777" w:rsidR="005617F2" w:rsidRDefault="007D4266" w:rsidP="005617F2">
            <w:pPr>
              <w:keepNext/>
              <w:tabs>
                <w:tab w:val="left" w:pos="720"/>
              </w:tabs>
              <w:spacing w:after="60"/>
              <w:jc w:val="center"/>
              <w:rPr>
                <w:rFonts w:ascii="Arial Narrow" w:hAnsi="Arial Narrow"/>
                <w:b/>
                <w:sz w:val="20"/>
                <w:szCs w:val="20"/>
                <w:lang w:val="en-US" w:eastAsia="en-GB"/>
              </w:rPr>
            </w:pPr>
            <w:r w:rsidRPr="000D668F">
              <w:rPr>
                <w:rFonts w:ascii="Arial Narrow" w:hAnsi="Arial Narrow"/>
                <w:b/>
                <w:sz w:val="20"/>
                <w:szCs w:val="20"/>
                <w:lang w:val="en-US" w:eastAsia="en-GB"/>
              </w:rPr>
              <w:t>CAR</w:t>
            </w:r>
          </w:p>
          <w:p w14:paraId="54C0D310" w14:textId="54A3036B" w:rsidR="007D4266" w:rsidRPr="000D668F" w:rsidRDefault="007D4266" w:rsidP="005617F2">
            <w:pPr>
              <w:keepNext/>
              <w:tabs>
                <w:tab w:val="left" w:pos="720"/>
              </w:tabs>
              <w:spacing w:after="60"/>
              <w:jc w:val="center"/>
              <w:rPr>
                <w:rFonts w:ascii="Arial Narrow" w:hAnsi="Arial Narrow"/>
                <w:b/>
                <w:sz w:val="20"/>
                <w:szCs w:val="20"/>
                <w:lang w:val="en-US" w:eastAsia="en-GB"/>
              </w:rPr>
            </w:pPr>
            <w:r w:rsidRPr="000D668F">
              <w:rPr>
                <w:rFonts w:ascii="Arial Narrow" w:hAnsi="Arial Narrow"/>
                <w:b/>
                <w:sz w:val="20"/>
                <w:szCs w:val="20"/>
                <w:lang w:val="en-US" w:eastAsia="en-GB"/>
              </w:rPr>
              <w:t>N=591</w:t>
            </w:r>
          </w:p>
        </w:tc>
      </w:tr>
      <w:tr w:rsidR="007D4266" w:rsidRPr="000D668F" w14:paraId="09A8C7D3" w14:textId="77777777" w:rsidTr="005617F2">
        <w:tc>
          <w:tcPr>
            <w:tcW w:w="1980" w:type="dxa"/>
            <w:tcBorders>
              <w:top w:val="single" w:sz="4" w:space="0" w:color="auto"/>
              <w:left w:val="single" w:sz="4" w:space="0" w:color="auto"/>
              <w:bottom w:val="single" w:sz="4" w:space="0" w:color="auto"/>
              <w:right w:val="single" w:sz="4" w:space="0" w:color="auto"/>
            </w:tcBorders>
            <w:vAlign w:val="center"/>
            <w:hideMark/>
          </w:tcPr>
          <w:p w14:paraId="0869F881" w14:textId="77777777" w:rsidR="007D4266" w:rsidRPr="000D668F" w:rsidRDefault="007D4266" w:rsidP="008E26DE">
            <w:pPr>
              <w:tabs>
                <w:tab w:val="left" w:pos="720"/>
              </w:tabs>
              <w:spacing w:before="100" w:beforeAutospacing="1" w:after="60"/>
              <w:rPr>
                <w:rFonts w:ascii="Arial Narrow" w:hAnsi="Arial Narrow"/>
                <w:b/>
                <w:bCs/>
                <w:sz w:val="20"/>
                <w:szCs w:val="20"/>
                <w:lang w:val="en-US" w:eastAsia="en-GB"/>
              </w:rPr>
            </w:pPr>
            <w:r w:rsidRPr="000D668F">
              <w:rPr>
                <w:rFonts w:ascii="Arial Narrow" w:hAnsi="Arial Narrow"/>
                <w:b/>
                <w:bCs/>
                <w:sz w:val="20"/>
                <w:szCs w:val="20"/>
                <w:lang w:val="en-US" w:eastAsia="en-GB"/>
              </w:rPr>
              <w:t>HIV-1 RNA≥50 copies/mL†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6F334B"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6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0FBA90"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7 (2.5)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74D286"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5 (1.6)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BD189A"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3 (1.0)</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0658F15"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11 (1.9)</w:t>
            </w:r>
          </w:p>
        </w:tc>
        <w:tc>
          <w:tcPr>
            <w:tcW w:w="1221" w:type="dxa"/>
            <w:tcBorders>
              <w:top w:val="single" w:sz="4" w:space="0" w:color="auto"/>
              <w:left w:val="single" w:sz="4" w:space="0" w:color="auto"/>
              <w:bottom w:val="single" w:sz="4" w:space="0" w:color="auto"/>
              <w:right w:val="single" w:sz="4" w:space="0" w:color="auto"/>
            </w:tcBorders>
            <w:vAlign w:val="center"/>
            <w:hideMark/>
          </w:tcPr>
          <w:p w14:paraId="132EE8E1"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10 (1.7)</w:t>
            </w:r>
          </w:p>
        </w:tc>
      </w:tr>
      <w:tr w:rsidR="007D4266" w:rsidRPr="000D668F" w14:paraId="3E622232" w14:textId="77777777" w:rsidTr="005617F2">
        <w:tc>
          <w:tcPr>
            <w:tcW w:w="1980" w:type="dxa"/>
            <w:tcBorders>
              <w:top w:val="single" w:sz="4" w:space="0" w:color="auto"/>
              <w:left w:val="single" w:sz="4" w:space="0" w:color="auto"/>
              <w:bottom w:val="single" w:sz="4" w:space="0" w:color="auto"/>
              <w:right w:val="single" w:sz="4" w:space="0" w:color="auto"/>
            </w:tcBorders>
            <w:vAlign w:val="center"/>
            <w:hideMark/>
          </w:tcPr>
          <w:p w14:paraId="2B069317" w14:textId="77777777" w:rsidR="007D4266" w:rsidRPr="000D668F" w:rsidRDefault="007D4266" w:rsidP="008E26DE">
            <w:pPr>
              <w:tabs>
                <w:tab w:val="left" w:pos="720"/>
              </w:tabs>
              <w:spacing w:before="100" w:beforeAutospacing="1" w:after="60"/>
              <w:rPr>
                <w:rFonts w:ascii="Arial Narrow" w:hAnsi="Arial Narrow"/>
                <w:b/>
                <w:bCs/>
                <w:sz w:val="20"/>
                <w:szCs w:val="20"/>
                <w:lang w:val="en-US" w:eastAsia="en-GB"/>
              </w:rPr>
            </w:pPr>
            <w:r w:rsidRPr="000D668F">
              <w:rPr>
                <w:rFonts w:ascii="Arial Narrow" w:hAnsi="Arial Narrow"/>
                <w:b/>
                <w:bCs/>
                <w:sz w:val="20"/>
                <w:szCs w:val="20"/>
                <w:lang w:val="en-US" w:eastAsia="en-GB"/>
              </w:rPr>
              <w:t xml:space="preserve">Treatment </w:t>
            </w:r>
            <w:r w:rsidRPr="000D668F">
              <w:rPr>
                <w:rFonts w:ascii="Arial Narrow" w:hAnsi="Arial Narrow"/>
                <w:b/>
                <w:sz w:val="20"/>
                <w:szCs w:val="20"/>
                <w:lang w:val="en-US" w:eastAsia="en-GB"/>
              </w:rPr>
              <w:t>Difference % (95% CI)</w:t>
            </w:r>
            <w:r w:rsidRPr="000D668F">
              <w:rPr>
                <w:rFonts w:ascii="Arial Narrow" w:hAnsi="Arial Narrow"/>
                <w:sz w:val="20"/>
                <w:szCs w:val="20"/>
                <w:lang w:val="en-US" w:eastAsia="en-GB"/>
              </w:rPr>
              <w:t xml:space="preserve">* </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6459DFE"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-0.4 (-2.8,2.1)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7CADB70"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0.7 (-1.2, 2.5)</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2C511A13"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0.2 (-1.4, 1.7)</w:t>
            </w:r>
          </w:p>
        </w:tc>
      </w:tr>
      <w:tr w:rsidR="007D4266" w:rsidRPr="000D668F" w14:paraId="760E64E1" w14:textId="77777777" w:rsidTr="005617F2">
        <w:tc>
          <w:tcPr>
            <w:tcW w:w="1980" w:type="dxa"/>
            <w:tcBorders>
              <w:top w:val="single" w:sz="4" w:space="0" w:color="auto"/>
              <w:left w:val="single" w:sz="4" w:space="0" w:color="auto"/>
              <w:bottom w:val="single" w:sz="4" w:space="0" w:color="auto"/>
              <w:right w:val="single" w:sz="4" w:space="0" w:color="auto"/>
            </w:tcBorders>
            <w:vAlign w:val="center"/>
            <w:hideMark/>
          </w:tcPr>
          <w:p w14:paraId="55C6A317" w14:textId="77777777" w:rsidR="007D4266" w:rsidRPr="000D668F" w:rsidRDefault="007D4266" w:rsidP="008E26DE">
            <w:pPr>
              <w:tabs>
                <w:tab w:val="left" w:pos="720"/>
              </w:tabs>
              <w:spacing w:before="100" w:beforeAutospacing="1" w:after="60"/>
              <w:rPr>
                <w:rFonts w:ascii="Arial Narrow" w:hAnsi="Arial Narrow"/>
                <w:sz w:val="20"/>
                <w:szCs w:val="20"/>
                <w:lang w:val="en-US" w:eastAsia="en-GB"/>
              </w:rPr>
            </w:pPr>
            <w:r w:rsidRPr="000D668F">
              <w:rPr>
                <w:rFonts w:ascii="Arial Narrow" w:hAnsi="Arial Narrow"/>
                <w:b/>
                <w:bCs/>
                <w:sz w:val="20"/>
                <w:szCs w:val="20"/>
                <w:lang w:val="en-US" w:eastAsia="en-GB"/>
              </w:rPr>
              <w:t>HIV-1 RNA &lt;50 copies/mL</w:t>
            </w:r>
          </w:p>
        </w:tc>
        <w:tc>
          <w:tcPr>
            <w:tcW w:w="1134" w:type="dxa"/>
            <w:tcBorders>
              <w:top w:val="single" w:sz="4" w:space="0" w:color="auto"/>
              <w:left w:val="single" w:sz="4" w:space="0" w:color="auto"/>
              <w:bottom w:val="single" w:sz="4" w:space="0" w:color="auto"/>
              <w:right w:val="single" w:sz="4" w:space="0" w:color="auto"/>
            </w:tcBorders>
            <w:hideMark/>
          </w:tcPr>
          <w:p w14:paraId="406B9BC5"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265 (93.6)</w:t>
            </w:r>
          </w:p>
        </w:tc>
        <w:tc>
          <w:tcPr>
            <w:tcW w:w="1134" w:type="dxa"/>
            <w:tcBorders>
              <w:top w:val="single" w:sz="4" w:space="0" w:color="auto"/>
              <w:left w:val="single" w:sz="4" w:space="0" w:color="auto"/>
              <w:bottom w:val="single" w:sz="4" w:space="0" w:color="auto"/>
              <w:right w:val="single" w:sz="4" w:space="0" w:color="auto"/>
            </w:tcBorders>
            <w:hideMark/>
          </w:tcPr>
          <w:p w14:paraId="7B43BC6A"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264 (93.3)</w:t>
            </w:r>
          </w:p>
        </w:tc>
        <w:tc>
          <w:tcPr>
            <w:tcW w:w="1134" w:type="dxa"/>
            <w:tcBorders>
              <w:top w:val="single" w:sz="4" w:space="0" w:color="auto"/>
              <w:left w:val="single" w:sz="4" w:space="0" w:color="auto"/>
              <w:bottom w:val="single" w:sz="4" w:space="0" w:color="auto"/>
              <w:right w:val="single" w:sz="4" w:space="0" w:color="auto"/>
            </w:tcBorders>
            <w:hideMark/>
          </w:tcPr>
          <w:p w14:paraId="70A02544"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285 (92.5)</w:t>
            </w:r>
          </w:p>
        </w:tc>
        <w:tc>
          <w:tcPr>
            <w:tcW w:w="1134" w:type="dxa"/>
            <w:tcBorders>
              <w:top w:val="single" w:sz="4" w:space="0" w:color="auto"/>
              <w:left w:val="single" w:sz="4" w:space="0" w:color="auto"/>
              <w:bottom w:val="single" w:sz="4" w:space="0" w:color="auto"/>
              <w:right w:val="single" w:sz="4" w:space="0" w:color="auto"/>
            </w:tcBorders>
            <w:hideMark/>
          </w:tcPr>
          <w:p w14:paraId="4AC29E29"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294 (95.5)</w:t>
            </w:r>
          </w:p>
        </w:tc>
        <w:tc>
          <w:tcPr>
            <w:tcW w:w="1125" w:type="dxa"/>
            <w:tcBorders>
              <w:top w:val="single" w:sz="4" w:space="0" w:color="auto"/>
              <w:left w:val="single" w:sz="4" w:space="0" w:color="auto"/>
              <w:bottom w:val="single" w:sz="4" w:space="0" w:color="auto"/>
              <w:right w:val="single" w:sz="4" w:space="0" w:color="auto"/>
            </w:tcBorders>
            <w:hideMark/>
          </w:tcPr>
          <w:p w14:paraId="273A597F"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550 (93.1)</w:t>
            </w:r>
          </w:p>
        </w:tc>
        <w:tc>
          <w:tcPr>
            <w:tcW w:w="1221" w:type="dxa"/>
            <w:tcBorders>
              <w:top w:val="single" w:sz="4" w:space="0" w:color="auto"/>
              <w:left w:val="single" w:sz="4" w:space="0" w:color="auto"/>
              <w:bottom w:val="single" w:sz="4" w:space="0" w:color="auto"/>
              <w:right w:val="single" w:sz="4" w:space="0" w:color="auto"/>
            </w:tcBorders>
            <w:hideMark/>
          </w:tcPr>
          <w:p w14:paraId="0488255F" w14:textId="77777777" w:rsidR="007D4266" w:rsidRPr="000D668F" w:rsidRDefault="007D4266" w:rsidP="000D668F">
            <w:pPr>
              <w:tabs>
                <w:tab w:val="left" w:pos="720"/>
              </w:tabs>
              <w:autoSpaceDE w:val="0"/>
              <w:autoSpaceDN w:val="0"/>
              <w:adjustRightInd w:val="0"/>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558 (94.4)</w:t>
            </w:r>
          </w:p>
        </w:tc>
      </w:tr>
      <w:tr w:rsidR="007D4266" w:rsidRPr="000D668F" w14:paraId="4C87DAF9" w14:textId="77777777" w:rsidTr="005617F2">
        <w:tc>
          <w:tcPr>
            <w:tcW w:w="1980" w:type="dxa"/>
            <w:tcBorders>
              <w:top w:val="single" w:sz="4" w:space="0" w:color="auto"/>
              <w:left w:val="single" w:sz="4" w:space="0" w:color="auto"/>
              <w:bottom w:val="single" w:sz="4" w:space="0" w:color="auto"/>
              <w:right w:val="single" w:sz="4" w:space="0" w:color="auto"/>
            </w:tcBorders>
            <w:vAlign w:val="center"/>
            <w:hideMark/>
          </w:tcPr>
          <w:p w14:paraId="214114DC" w14:textId="77777777" w:rsidR="007D4266" w:rsidRPr="00417DBF" w:rsidRDefault="007D4266" w:rsidP="008E26DE">
            <w:pPr>
              <w:tabs>
                <w:tab w:val="left" w:pos="720"/>
              </w:tabs>
              <w:spacing w:before="100" w:beforeAutospacing="1" w:after="60"/>
              <w:rPr>
                <w:rFonts w:ascii="Arial Narrow" w:hAnsi="Arial Narrow"/>
                <w:b/>
                <w:bCs/>
                <w:sz w:val="20"/>
                <w:szCs w:val="20"/>
                <w:lang w:val="en-US" w:eastAsia="en-GB"/>
              </w:rPr>
            </w:pPr>
            <w:r w:rsidRPr="00D958EC">
              <w:rPr>
                <w:rFonts w:ascii="Arial Narrow" w:hAnsi="Arial Narrow"/>
                <w:b/>
                <w:sz w:val="20"/>
                <w:szCs w:val="20"/>
                <w:lang w:val="en-US" w:eastAsia="en-GB"/>
              </w:rPr>
              <w:t>Treatment Difference % (95% CI)*</w:t>
            </w:r>
          </w:p>
        </w:tc>
        <w:tc>
          <w:tcPr>
            <w:tcW w:w="2268" w:type="dxa"/>
            <w:gridSpan w:val="2"/>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11"/>
            </w:tblGrid>
            <w:tr w:rsidR="00713854" w:rsidRPr="000D668F" w14:paraId="5847D2D3" w14:textId="77777777" w:rsidTr="00D958EC">
              <w:trPr>
                <w:trHeight w:val="103"/>
              </w:trPr>
              <w:tc>
                <w:tcPr>
                  <w:tcW w:w="2011" w:type="dxa"/>
                  <w:tcBorders>
                    <w:top w:val="nil"/>
                    <w:left w:val="nil"/>
                    <w:bottom w:val="nil"/>
                  </w:tcBorders>
                  <w:hideMark/>
                </w:tcPr>
                <w:p w14:paraId="58C9FEFB" w14:textId="77777777" w:rsidR="00713854" w:rsidRPr="000D668F" w:rsidRDefault="00713854" w:rsidP="00D958EC">
                  <w:pPr>
                    <w:tabs>
                      <w:tab w:val="left" w:pos="720"/>
                    </w:tabs>
                    <w:autoSpaceDE w:val="0"/>
                    <w:autoSpaceDN w:val="0"/>
                    <w:adjustRightInd w:val="0"/>
                    <w:spacing w:before="100" w:beforeAutospacing="1" w:after="60"/>
                    <w:jc w:val="center"/>
                    <w:rPr>
                      <w:rFonts w:ascii="Arial Narrow" w:eastAsia="Calibri" w:hAnsi="Arial Narrow"/>
                      <w:color w:val="000000"/>
                      <w:sz w:val="20"/>
                      <w:szCs w:val="20"/>
                      <w:lang w:val="en-US"/>
                    </w:rPr>
                  </w:pPr>
                  <w:r w:rsidRPr="000D668F">
                    <w:rPr>
                      <w:rFonts w:ascii="Arial Narrow" w:eastAsia="Calibri" w:hAnsi="Arial Narrow"/>
                      <w:color w:val="000000"/>
                      <w:sz w:val="20"/>
                      <w:szCs w:val="20"/>
                      <w:lang w:val="en-US"/>
                    </w:rPr>
                    <w:t>0.4 (-3.7, 4.5)</w:t>
                  </w:r>
                </w:p>
              </w:tc>
            </w:tr>
          </w:tbl>
          <w:p w14:paraId="566FDB37"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1C39C2C5" w14:textId="77777777" w:rsidR="007D4266" w:rsidRPr="000D668F" w:rsidRDefault="007D4266" w:rsidP="000D668F">
            <w:pPr>
              <w:tabs>
                <w:tab w:val="left" w:pos="720"/>
              </w:tabs>
              <w:autoSpaceDE w:val="0"/>
              <w:autoSpaceDN w:val="0"/>
              <w:adjustRightInd w:val="0"/>
              <w:spacing w:before="100" w:beforeAutospacing="1" w:after="60"/>
              <w:jc w:val="center"/>
              <w:rPr>
                <w:rFonts w:ascii="Arial Narrow" w:hAnsi="Arial Narrow"/>
                <w:color w:val="000000"/>
                <w:sz w:val="20"/>
                <w:szCs w:val="20"/>
                <w:lang w:val="en-US"/>
              </w:rPr>
            </w:pPr>
            <w:r w:rsidRPr="000D668F">
              <w:rPr>
                <w:rFonts w:ascii="Arial Narrow" w:hAnsi="Arial Narrow"/>
                <w:color w:val="000000"/>
                <w:sz w:val="20"/>
                <w:szCs w:val="20"/>
                <w:lang w:val="en-US"/>
              </w:rPr>
              <w:t>-3.0 (-6.7, 0.7)</w:t>
            </w:r>
          </w:p>
        </w:tc>
        <w:tc>
          <w:tcPr>
            <w:tcW w:w="2346" w:type="dxa"/>
            <w:gridSpan w:val="2"/>
            <w:tcBorders>
              <w:top w:val="single" w:sz="4" w:space="0" w:color="auto"/>
              <w:left w:val="single" w:sz="4" w:space="0" w:color="auto"/>
              <w:bottom w:val="single" w:sz="4" w:space="0" w:color="auto"/>
              <w:right w:val="single" w:sz="4" w:space="0" w:color="auto"/>
            </w:tcBorders>
            <w:hideMark/>
          </w:tcPr>
          <w:p w14:paraId="6EF1C7B8" w14:textId="77777777" w:rsidR="007D4266" w:rsidRPr="000D668F" w:rsidRDefault="007D4266" w:rsidP="000D668F">
            <w:pPr>
              <w:tabs>
                <w:tab w:val="left" w:pos="720"/>
              </w:tabs>
              <w:autoSpaceDE w:val="0"/>
              <w:autoSpaceDN w:val="0"/>
              <w:adjustRightInd w:val="0"/>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-1.4 (-4.1, 1.4)</w:t>
            </w:r>
          </w:p>
        </w:tc>
      </w:tr>
      <w:tr w:rsidR="007D4266" w:rsidRPr="000D668F" w14:paraId="0EE5CD59" w14:textId="77777777" w:rsidTr="005617F2">
        <w:tc>
          <w:tcPr>
            <w:tcW w:w="1980" w:type="dxa"/>
            <w:tcBorders>
              <w:top w:val="single" w:sz="4" w:space="0" w:color="auto"/>
              <w:left w:val="single" w:sz="4" w:space="0" w:color="auto"/>
              <w:bottom w:val="single" w:sz="4" w:space="0" w:color="auto"/>
              <w:right w:val="single" w:sz="4" w:space="0" w:color="auto"/>
            </w:tcBorders>
            <w:vAlign w:val="center"/>
            <w:hideMark/>
          </w:tcPr>
          <w:p w14:paraId="12E8697D" w14:textId="77777777" w:rsidR="007D4266" w:rsidRPr="000D668F" w:rsidRDefault="007D4266" w:rsidP="008E26DE">
            <w:pPr>
              <w:tabs>
                <w:tab w:val="left" w:pos="720"/>
              </w:tabs>
              <w:spacing w:before="100" w:beforeAutospacing="1" w:after="60"/>
              <w:rPr>
                <w:rFonts w:ascii="Arial Narrow" w:hAnsi="Arial Narrow"/>
                <w:b/>
                <w:sz w:val="20"/>
                <w:szCs w:val="20"/>
                <w:lang w:val="en-US" w:eastAsia="en-GB"/>
              </w:rPr>
            </w:pPr>
            <w:r w:rsidRPr="000D668F">
              <w:rPr>
                <w:rFonts w:ascii="Arial Narrow" w:hAnsi="Arial Narrow"/>
                <w:b/>
                <w:sz w:val="20"/>
                <w:szCs w:val="20"/>
                <w:lang w:val="en-US" w:eastAsia="en-GB"/>
              </w:rPr>
              <w:t>No virologic data at Week 48 window</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238A84"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12 (4.2)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85ED4D"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12 (4.2)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ED8CD9"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18 (5.8)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412D8E"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11 (3.6)</w:t>
            </w:r>
          </w:p>
        </w:tc>
        <w:tc>
          <w:tcPr>
            <w:tcW w:w="1125" w:type="dxa"/>
            <w:tcBorders>
              <w:top w:val="single" w:sz="4" w:space="0" w:color="auto"/>
              <w:left w:val="single" w:sz="4" w:space="0" w:color="auto"/>
              <w:bottom w:val="single" w:sz="4" w:space="0" w:color="auto"/>
              <w:right w:val="single" w:sz="4" w:space="0" w:color="auto"/>
            </w:tcBorders>
            <w:vAlign w:val="center"/>
            <w:hideMark/>
          </w:tcPr>
          <w:p w14:paraId="3E7DA0CA"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30 (5.1)</w:t>
            </w:r>
          </w:p>
        </w:tc>
        <w:tc>
          <w:tcPr>
            <w:tcW w:w="1221" w:type="dxa"/>
            <w:tcBorders>
              <w:top w:val="single" w:sz="4" w:space="0" w:color="auto"/>
              <w:left w:val="single" w:sz="4" w:space="0" w:color="auto"/>
              <w:bottom w:val="single" w:sz="4" w:space="0" w:color="auto"/>
              <w:right w:val="single" w:sz="4" w:space="0" w:color="auto"/>
            </w:tcBorders>
            <w:vAlign w:val="center"/>
            <w:hideMark/>
          </w:tcPr>
          <w:p w14:paraId="748E3720"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23 (3.9)</w:t>
            </w:r>
          </w:p>
        </w:tc>
      </w:tr>
      <w:tr w:rsidR="007D4266" w:rsidRPr="000D668F" w14:paraId="2227E98F" w14:textId="77777777" w:rsidTr="003E7E6F">
        <w:tc>
          <w:tcPr>
            <w:tcW w:w="8862" w:type="dxa"/>
            <w:gridSpan w:val="7"/>
            <w:tcBorders>
              <w:top w:val="single" w:sz="4" w:space="0" w:color="auto"/>
              <w:left w:val="single" w:sz="4" w:space="0" w:color="auto"/>
              <w:bottom w:val="single" w:sz="4" w:space="0" w:color="auto"/>
              <w:right w:val="single" w:sz="4" w:space="0" w:color="auto"/>
            </w:tcBorders>
            <w:hideMark/>
          </w:tcPr>
          <w:p w14:paraId="21039997" w14:textId="77777777" w:rsidR="007D4266" w:rsidRPr="000D668F" w:rsidRDefault="007D4266" w:rsidP="008E26DE">
            <w:pPr>
              <w:tabs>
                <w:tab w:val="left" w:pos="720"/>
              </w:tabs>
              <w:spacing w:before="100" w:beforeAutospacing="1" w:after="60"/>
              <w:rPr>
                <w:rFonts w:ascii="Arial Narrow" w:hAnsi="Arial Narrow"/>
                <w:sz w:val="20"/>
                <w:szCs w:val="20"/>
                <w:lang w:val="en-US" w:eastAsia="en-GB"/>
              </w:rPr>
            </w:pPr>
            <w:r w:rsidRPr="000D668F">
              <w:rPr>
                <w:rFonts w:ascii="Arial Narrow" w:hAnsi="Arial Narrow"/>
                <w:sz w:val="20"/>
                <w:szCs w:val="20"/>
                <w:u w:val="single"/>
                <w:lang w:val="en-US" w:eastAsia="en-GB"/>
              </w:rPr>
              <w:t>Reasons</w:t>
            </w:r>
          </w:p>
        </w:tc>
      </w:tr>
      <w:tr w:rsidR="007D4266" w:rsidRPr="000D668F" w14:paraId="36EE562B" w14:textId="77777777" w:rsidTr="005617F2">
        <w:tc>
          <w:tcPr>
            <w:tcW w:w="1980" w:type="dxa"/>
            <w:tcBorders>
              <w:top w:val="single" w:sz="4" w:space="0" w:color="auto"/>
              <w:left w:val="single" w:sz="4" w:space="0" w:color="auto"/>
              <w:bottom w:val="nil"/>
              <w:right w:val="single" w:sz="4" w:space="0" w:color="auto"/>
            </w:tcBorders>
            <w:vAlign w:val="center"/>
            <w:hideMark/>
          </w:tcPr>
          <w:p w14:paraId="7037D329" w14:textId="77777777" w:rsidR="007D4266" w:rsidRPr="000D668F" w:rsidRDefault="007D4266" w:rsidP="008E26DE">
            <w:pPr>
              <w:tabs>
                <w:tab w:val="left" w:pos="720"/>
              </w:tabs>
              <w:spacing w:before="100" w:beforeAutospacing="1" w:after="60"/>
              <w:rPr>
                <w:rFonts w:ascii="Arial Narrow" w:hAnsi="Arial Narrow"/>
                <w:sz w:val="20"/>
                <w:szCs w:val="20"/>
                <w:lang w:val="en-US" w:eastAsia="en-GB"/>
              </w:rPr>
            </w:pPr>
            <w:r w:rsidRPr="000D668F">
              <w:rPr>
                <w:rFonts w:ascii="Arial Narrow" w:hAnsi="Arial Narrow"/>
                <w:sz w:val="20"/>
                <w:szCs w:val="20"/>
                <w:lang w:val="en-US" w:eastAsia="en-GB"/>
              </w:rPr>
              <w:t>Discontinued study/study drug due to adverse event or death</w:t>
            </w:r>
          </w:p>
        </w:tc>
        <w:tc>
          <w:tcPr>
            <w:tcW w:w="1134" w:type="dxa"/>
            <w:tcBorders>
              <w:top w:val="single" w:sz="4" w:space="0" w:color="auto"/>
              <w:left w:val="single" w:sz="4" w:space="0" w:color="auto"/>
              <w:bottom w:val="nil"/>
              <w:right w:val="single" w:sz="4" w:space="0" w:color="auto"/>
            </w:tcBorders>
            <w:vAlign w:val="center"/>
            <w:hideMark/>
          </w:tcPr>
          <w:p w14:paraId="28ACBF49"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8 (2.8)</w:t>
            </w:r>
          </w:p>
        </w:tc>
        <w:tc>
          <w:tcPr>
            <w:tcW w:w="1134" w:type="dxa"/>
            <w:tcBorders>
              <w:top w:val="single" w:sz="4" w:space="0" w:color="auto"/>
              <w:left w:val="single" w:sz="4" w:space="0" w:color="auto"/>
              <w:bottom w:val="nil"/>
              <w:right w:val="single" w:sz="4" w:space="0" w:color="auto"/>
            </w:tcBorders>
            <w:vAlign w:val="center"/>
            <w:hideMark/>
          </w:tcPr>
          <w:p w14:paraId="063322DF"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2 (0.7)</w:t>
            </w:r>
          </w:p>
        </w:tc>
        <w:tc>
          <w:tcPr>
            <w:tcW w:w="1134" w:type="dxa"/>
            <w:tcBorders>
              <w:top w:val="single" w:sz="4" w:space="0" w:color="auto"/>
              <w:left w:val="single" w:sz="4" w:space="0" w:color="auto"/>
              <w:bottom w:val="nil"/>
              <w:right w:val="single" w:sz="4" w:space="0" w:color="auto"/>
            </w:tcBorders>
            <w:vAlign w:val="center"/>
            <w:hideMark/>
          </w:tcPr>
          <w:p w14:paraId="72CD8632"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11 (3.6)</w:t>
            </w:r>
          </w:p>
        </w:tc>
        <w:tc>
          <w:tcPr>
            <w:tcW w:w="1134" w:type="dxa"/>
            <w:tcBorders>
              <w:top w:val="single" w:sz="4" w:space="0" w:color="auto"/>
              <w:left w:val="single" w:sz="4" w:space="0" w:color="auto"/>
              <w:bottom w:val="nil"/>
              <w:right w:val="single" w:sz="4" w:space="0" w:color="auto"/>
            </w:tcBorders>
            <w:vAlign w:val="center"/>
            <w:hideMark/>
          </w:tcPr>
          <w:p w14:paraId="51A22D6A"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5 (1.6)</w:t>
            </w:r>
          </w:p>
        </w:tc>
        <w:tc>
          <w:tcPr>
            <w:tcW w:w="1125" w:type="dxa"/>
            <w:tcBorders>
              <w:top w:val="single" w:sz="4" w:space="0" w:color="auto"/>
              <w:left w:val="single" w:sz="4" w:space="0" w:color="auto"/>
              <w:bottom w:val="nil"/>
              <w:right w:val="single" w:sz="4" w:space="0" w:color="auto"/>
            </w:tcBorders>
            <w:vAlign w:val="center"/>
            <w:hideMark/>
          </w:tcPr>
          <w:p w14:paraId="55B52215"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19 (3.2)</w:t>
            </w:r>
          </w:p>
        </w:tc>
        <w:tc>
          <w:tcPr>
            <w:tcW w:w="1221" w:type="dxa"/>
            <w:tcBorders>
              <w:top w:val="single" w:sz="4" w:space="0" w:color="auto"/>
              <w:left w:val="single" w:sz="4" w:space="0" w:color="auto"/>
              <w:bottom w:val="nil"/>
              <w:right w:val="single" w:sz="4" w:space="0" w:color="auto"/>
            </w:tcBorders>
            <w:vAlign w:val="center"/>
            <w:hideMark/>
          </w:tcPr>
          <w:p w14:paraId="20E97305"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7 (1.2)</w:t>
            </w:r>
          </w:p>
        </w:tc>
      </w:tr>
      <w:tr w:rsidR="007D4266" w:rsidRPr="000D668F" w14:paraId="71CD2F0D" w14:textId="77777777" w:rsidTr="005617F2">
        <w:tc>
          <w:tcPr>
            <w:tcW w:w="1980" w:type="dxa"/>
            <w:tcBorders>
              <w:top w:val="nil"/>
              <w:left w:val="single" w:sz="4" w:space="0" w:color="auto"/>
              <w:bottom w:val="nil"/>
              <w:right w:val="single" w:sz="4" w:space="0" w:color="auto"/>
            </w:tcBorders>
            <w:vAlign w:val="center"/>
            <w:hideMark/>
          </w:tcPr>
          <w:p w14:paraId="706C70CE" w14:textId="77777777" w:rsidR="007D4266" w:rsidRPr="000D668F" w:rsidRDefault="007D4266" w:rsidP="008E26DE">
            <w:pPr>
              <w:tabs>
                <w:tab w:val="left" w:pos="720"/>
              </w:tabs>
              <w:spacing w:before="100" w:beforeAutospacing="1" w:after="60"/>
              <w:rPr>
                <w:rFonts w:ascii="Arial Narrow" w:hAnsi="Arial Narrow"/>
                <w:sz w:val="20"/>
                <w:szCs w:val="20"/>
                <w:lang w:val="en-US" w:eastAsia="en-GB"/>
              </w:rPr>
            </w:pPr>
            <w:r w:rsidRPr="000D668F">
              <w:rPr>
                <w:rFonts w:ascii="Arial Narrow" w:hAnsi="Arial Narrow"/>
                <w:sz w:val="20"/>
                <w:szCs w:val="20"/>
                <w:lang w:val="en-US" w:eastAsia="en-GB"/>
              </w:rPr>
              <w:t>Discontinued study/study drug for other reasons</w:t>
            </w:r>
          </w:p>
        </w:tc>
        <w:tc>
          <w:tcPr>
            <w:tcW w:w="1134" w:type="dxa"/>
            <w:tcBorders>
              <w:top w:val="nil"/>
              <w:left w:val="single" w:sz="4" w:space="0" w:color="auto"/>
              <w:bottom w:val="nil"/>
              <w:right w:val="single" w:sz="4" w:space="0" w:color="auto"/>
            </w:tcBorders>
            <w:vAlign w:val="center"/>
            <w:hideMark/>
          </w:tcPr>
          <w:p w14:paraId="0B309017"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4 (1.4)</w:t>
            </w:r>
          </w:p>
        </w:tc>
        <w:tc>
          <w:tcPr>
            <w:tcW w:w="1134" w:type="dxa"/>
            <w:tcBorders>
              <w:top w:val="nil"/>
              <w:left w:val="single" w:sz="4" w:space="0" w:color="auto"/>
              <w:bottom w:val="nil"/>
              <w:right w:val="single" w:sz="4" w:space="0" w:color="auto"/>
            </w:tcBorders>
            <w:vAlign w:val="center"/>
            <w:hideMark/>
          </w:tcPr>
          <w:p w14:paraId="61148291"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10 (3.5)</w:t>
            </w:r>
          </w:p>
        </w:tc>
        <w:tc>
          <w:tcPr>
            <w:tcW w:w="1134" w:type="dxa"/>
            <w:tcBorders>
              <w:top w:val="nil"/>
              <w:left w:val="single" w:sz="4" w:space="0" w:color="auto"/>
              <w:bottom w:val="nil"/>
              <w:right w:val="single" w:sz="4" w:space="0" w:color="auto"/>
            </w:tcBorders>
            <w:vAlign w:val="center"/>
            <w:hideMark/>
          </w:tcPr>
          <w:p w14:paraId="6AE1E810"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7 (2.3)</w:t>
            </w:r>
          </w:p>
        </w:tc>
        <w:tc>
          <w:tcPr>
            <w:tcW w:w="1134" w:type="dxa"/>
            <w:tcBorders>
              <w:top w:val="nil"/>
              <w:left w:val="single" w:sz="4" w:space="0" w:color="auto"/>
              <w:bottom w:val="nil"/>
              <w:right w:val="single" w:sz="4" w:space="0" w:color="auto"/>
            </w:tcBorders>
            <w:vAlign w:val="center"/>
            <w:hideMark/>
          </w:tcPr>
          <w:p w14:paraId="7790A386"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6 (1.9)</w:t>
            </w:r>
          </w:p>
        </w:tc>
        <w:tc>
          <w:tcPr>
            <w:tcW w:w="1125" w:type="dxa"/>
            <w:tcBorders>
              <w:top w:val="nil"/>
              <w:left w:val="single" w:sz="4" w:space="0" w:color="auto"/>
              <w:bottom w:val="nil"/>
              <w:right w:val="single" w:sz="4" w:space="0" w:color="auto"/>
            </w:tcBorders>
            <w:vAlign w:val="center"/>
            <w:hideMark/>
          </w:tcPr>
          <w:p w14:paraId="02DE334F"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11 (1.9)</w:t>
            </w:r>
          </w:p>
        </w:tc>
        <w:tc>
          <w:tcPr>
            <w:tcW w:w="1221" w:type="dxa"/>
            <w:tcBorders>
              <w:top w:val="nil"/>
              <w:left w:val="single" w:sz="4" w:space="0" w:color="auto"/>
              <w:bottom w:val="nil"/>
              <w:right w:val="single" w:sz="4" w:space="0" w:color="auto"/>
            </w:tcBorders>
            <w:vAlign w:val="center"/>
            <w:hideMark/>
          </w:tcPr>
          <w:p w14:paraId="21631945"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16 (2.7)</w:t>
            </w:r>
          </w:p>
        </w:tc>
      </w:tr>
      <w:tr w:rsidR="007D4266" w:rsidRPr="000D668F" w14:paraId="15E6128A" w14:textId="77777777" w:rsidTr="005617F2">
        <w:tc>
          <w:tcPr>
            <w:tcW w:w="1980" w:type="dxa"/>
            <w:tcBorders>
              <w:top w:val="nil"/>
              <w:left w:val="single" w:sz="4" w:space="0" w:color="auto"/>
              <w:bottom w:val="single" w:sz="4" w:space="0" w:color="auto"/>
              <w:right w:val="single" w:sz="4" w:space="0" w:color="auto"/>
            </w:tcBorders>
            <w:vAlign w:val="center"/>
            <w:hideMark/>
          </w:tcPr>
          <w:p w14:paraId="67930566" w14:textId="77777777" w:rsidR="007D4266" w:rsidRPr="000D668F" w:rsidRDefault="007D4266" w:rsidP="008E26DE">
            <w:pPr>
              <w:tabs>
                <w:tab w:val="left" w:pos="720"/>
              </w:tabs>
              <w:spacing w:before="100" w:beforeAutospacing="1" w:after="60"/>
              <w:rPr>
                <w:rFonts w:ascii="Arial Narrow" w:hAnsi="Arial Narrow"/>
                <w:sz w:val="20"/>
                <w:szCs w:val="20"/>
                <w:lang w:val="en-US" w:eastAsia="en-GB"/>
              </w:rPr>
            </w:pPr>
            <w:r w:rsidRPr="000D668F">
              <w:rPr>
                <w:rFonts w:ascii="Arial Narrow" w:hAnsi="Arial Narrow"/>
                <w:sz w:val="20"/>
                <w:szCs w:val="20"/>
                <w:lang w:val="en-US" w:eastAsia="en-GB"/>
              </w:rPr>
              <w:t>Missing data during window but on study</w:t>
            </w:r>
          </w:p>
        </w:tc>
        <w:tc>
          <w:tcPr>
            <w:tcW w:w="1134" w:type="dxa"/>
            <w:tcBorders>
              <w:top w:val="nil"/>
              <w:left w:val="single" w:sz="4" w:space="0" w:color="auto"/>
              <w:bottom w:val="single" w:sz="4" w:space="0" w:color="auto"/>
              <w:right w:val="single" w:sz="4" w:space="0" w:color="auto"/>
            </w:tcBorders>
            <w:vAlign w:val="center"/>
            <w:hideMark/>
          </w:tcPr>
          <w:p w14:paraId="0E4307AE"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0</w:t>
            </w:r>
          </w:p>
        </w:tc>
        <w:tc>
          <w:tcPr>
            <w:tcW w:w="1134" w:type="dxa"/>
            <w:tcBorders>
              <w:top w:val="nil"/>
              <w:left w:val="single" w:sz="4" w:space="0" w:color="auto"/>
              <w:bottom w:val="single" w:sz="4" w:space="0" w:color="auto"/>
              <w:right w:val="single" w:sz="4" w:space="0" w:color="auto"/>
            </w:tcBorders>
            <w:vAlign w:val="center"/>
            <w:hideMark/>
          </w:tcPr>
          <w:p w14:paraId="3C8A47B9"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0</w:t>
            </w:r>
          </w:p>
        </w:tc>
        <w:tc>
          <w:tcPr>
            <w:tcW w:w="1134" w:type="dxa"/>
            <w:tcBorders>
              <w:top w:val="nil"/>
              <w:left w:val="single" w:sz="4" w:space="0" w:color="auto"/>
              <w:bottom w:val="single" w:sz="4" w:space="0" w:color="auto"/>
              <w:right w:val="single" w:sz="4" w:space="0" w:color="auto"/>
            </w:tcBorders>
            <w:vAlign w:val="center"/>
            <w:hideMark/>
          </w:tcPr>
          <w:p w14:paraId="1FEE4FD0"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0</w:t>
            </w:r>
          </w:p>
        </w:tc>
        <w:tc>
          <w:tcPr>
            <w:tcW w:w="1134" w:type="dxa"/>
            <w:tcBorders>
              <w:top w:val="nil"/>
              <w:left w:val="single" w:sz="4" w:space="0" w:color="auto"/>
              <w:bottom w:val="single" w:sz="4" w:space="0" w:color="auto"/>
              <w:right w:val="single" w:sz="4" w:space="0" w:color="auto"/>
            </w:tcBorders>
            <w:vAlign w:val="center"/>
            <w:hideMark/>
          </w:tcPr>
          <w:p w14:paraId="14789C9B"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0</w:t>
            </w:r>
          </w:p>
        </w:tc>
        <w:tc>
          <w:tcPr>
            <w:tcW w:w="1125" w:type="dxa"/>
            <w:tcBorders>
              <w:top w:val="nil"/>
              <w:left w:val="single" w:sz="4" w:space="0" w:color="auto"/>
              <w:bottom w:val="single" w:sz="4" w:space="0" w:color="auto"/>
              <w:right w:val="single" w:sz="4" w:space="0" w:color="auto"/>
            </w:tcBorders>
            <w:vAlign w:val="center"/>
            <w:hideMark/>
          </w:tcPr>
          <w:p w14:paraId="721CA911"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0</w:t>
            </w:r>
          </w:p>
        </w:tc>
        <w:tc>
          <w:tcPr>
            <w:tcW w:w="1221" w:type="dxa"/>
            <w:tcBorders>
              <w:top w:val="nil"/>
              <w:left w:val="single" w:sz="4" w:space="0" w:color="auto"/>
              <w:bottom w:val="single" w:sz="4" w:space="0" w:color="auto"/>
              <w:right w:val="single" w:sz="4" w:space="0" w:color="auto"/>
            </w:tcBorders>
            <w:vAlign w:val="center"/>
            <w:hideMark/>
          </w:tcPr>
          <w:p w14:paraId="508EEB4F" w14:textId="77777777" w:rsidR="007D4266" w:rsidRPr="000D668F" w:rsidRDefault="007D4266" w:rsidP="000D668F">
            <w:pPr>
              <w:keepNext/>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0</w:t>
            </w:r>
          </w:p>
        </w:tc>
      </w:tr>
    </w:tbl>
    <w:p w14:paraId="3661EDA2" w14:textId="77777777" w:rsidR="007D4266" w:rsidRPr="005617F2" w:rsidRDefault="007D4266" w:rsidP="008E26DE">
      <w:pPr>
        <w:tabs>
          <w:tab w:val="left" w:pos="720"/>
        </w:tabs>
        <w:spacing w:after="0" w:line="240" w:lineRule="auto"/>
        <w:rPr>
          <w:rFonts w:ascii="Arial Narrow" w:hAnsi="Arial Narrow"/>
          <w:sz w:val="18"/>
          <w:szCs w:val="18"/>
          <w:lang w:eastAsia="en-GB"/>
        </w:rPr>
      </w:pPr>
      <w:r w:rsidRPr="005617F2">
        <w:rPr>
          <w:rFonts w:ascii="Arial Narrow" w:hAnsi="Arial Narrow"/>
          <w:sz w:val="18"/>
          <w:szCs w:val="18"/>
          <w:lang w:eastAsia="en-GB"/>
        </w:rPr>
        <w:t>* Adjusted for baseline stratification factors.</w:t>
      </w:r>
    </w:p>
    <w:p w14:paraId="65E62DDA" w14:textId="77777777" w:rsidR="007D4266" w:rsidRPr="005617F2" w:rsidRDefault="007D4266" w:rsidP="008E26DE">
      <w:pPr>
        <w:tabs>
          <w:tab w:val="left" w:pos="720"/>
        </w:tabs>
        <w:spacing w:after="0" w:line="240" w:lineRule="auto"/>
        <w:rPr>
          <w:rFonts w:ascii="Arial Narrow" w:hAnsi="Arial Narrow"/>
          <w:sz w:val="18"/>
          <w:szCs w:val="18"/>
          <w:lang w:eastAsia="en-GB"/>
        </w:rPr>
      </w:pPr>
      <w:r w:rsidRPr="005617F2">
        <w:rPr>
          <w:rFonts w:ascii="Arial Narrow" w:hAnsi="Arial Narrow"/>
          <w:sz w:val="18"/>
          <w:szCs w:val="18"/>
          <w:lang w:eastAsia="en-GB"/>
        </w:rPr>
        <w:t>† Includes subjects who discontinued for lack of efficacy, discontinued while not supressed.</w:t>
      </w:r>
    </w:p>
    <w:p w14:paraId="4A79E168" w14:textId="52CF1409" w:rsidR="007D4266" w:rsidRPr="005617F2" w:rsidRDefault="007D4266" w:rsidP="008E26DE">
      <w:pPr>
        <w:tabs>
          <w:tab w:val="left" w:pos="720"/>
        </w:tabs>
        <w:spacing w:line="240" w:lineRule="auto"/>
        <w:rPr>
          <w:rFonts w:ascii="Arial Narrow" w:hAnsi="Arial Narrow"/>
          <w:sz w:val="18"/>
          <w:szCs w:val="18"/>
          <w:lang w:eastAsia="en-GB"/>
        </w:rPr>
      </w:pPr>
      <w:r w:rsidRPr="005617F2">
        <w:rPr>
          <w:rFonts w:ascii="Arial Narrow" w:hAnsi="Arial Narrow"/>
          <w:sz w:val="18"/>
          <w:szCs w:val="18"/>
          <w:lang w:eastAsia="en-GB"/>
        </w:rPr>
        <w:t>N = Number of subjects in each treatment group, CI = confidence interval, CAR = current antiviral regimen</w:t>
      </w:r>
      <w:r w:rsidR="005617F2">
        <w:rPr>
          <w:rFonts w:ascii="Arial Narrow" w:hAnsi="Arial Narrow"/>
          <w:sz w:val="18"/>
          <w:szCs w:val="18"/>
          <w:lang w:eastAsia="en-GB"/>
        </w:rPr>
        <w:t>, CAB = cabotegravir, RPV = rilpivirine.</w:t>
      </w:r>
    </w:p>
    <w:p w14:paraId="40C92B1F" w14:textId="0A2EE57D" w:rsidR="007D4266" w:rsidRPr="005D0B1D" w:rsidRDefault="007D4266" w:rsidP="005D0B1D">
      <w:pPr>
        <w:pageBreakBefore/>
        <w:rPr>
          <w:b/>
        </w:rPr>
      </w:pPr>
      <w:r w:rsidRPr="005D0B1D">
        <w:rPr>
          <w:b/>
        </w:rPr>
        <w:lastRenderedPageBreak/>
        <w:t xml:space="preserve">Table </w:t>
      </w:r>
      <w:r w:rsidR="00936270" w:rsidRPr="005D0B1D">
        <w:rPr>
          <w:b/>
        </w:rPr>
        <w:t>10</w:t>
      </w:r>
      <w:r w:rsidR="005617F2" w:rsidRPr="005D0B1D">
        <w:rPr>
          <w:b/>
        </w:rPr>
        <w:t>:</w:t>
      </w:r>
      <w:r w:rsidRPr="005D0B1D">
        <w:rPr>
          <w:b/>
        </w:rPr>
        <w:tab/>
        <w:t>Proportion of Subjects with Plasma HIV-1 RNA ≥50 copies/mL at Week 48 for key baseline factors (Snapshot Outcomes).</w:t>
      </w:r>
    </w:p>
    <w:tbl>
      <w:tblPr>
        <w:tblStyle w:val="TableGrid2"/>
        <w:tblW w:w="9209" w:type="dxa"/>
        <w:tblLook w:val="04A0" w:firstRow="1" w:lastRow="0" w:firstColumn="1" w:lastColumn="0" w:noHBand="0" w:noVBand="1"/>
      </w:tblPr>
      <w:tblGrid>
        <w:gridCol w:w="1696"/>
        <w:gridCol w:w="2268"/>
        <w:gridCol w:w="2622"/>
        <w:gridCol w:w="2623"/>
      </w:tblGrid>
      <w:tr w:rsidR="007D4266" w:rsidRPr="005617F2" w14:paraId="3E0E0EA7" w14:textId="77777777" w:rsidTr="005D0B1D">
        <w:trPr>
          <w:trHeight w:val="250"/>
          <w:tblHeader/>
        </w:trPr>
        <w:tc>
          <w:tcPr>
            <w:tcW w:w="3964" w:type="dxa"/>
            <w:gridSpan w:val="2"/>
            <w:vMerge w:val="restart"/>
            <w:hideMark/>
          </w:tcPr>
          <w:p w14:paraId="00882406"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b/>
                <w:sz w:val="20"/>
                <w:szCs w:val="20"/>
                <w:lang w:val="en-US" w:eastAsia="en-GB"/>
              </w:rPr>
              <w:t>Baseline factors</w:t>
            </w:r>
          </w:p>
        </w:tc>
        <w:tc>
          <w:tcPr>
            <w:tcW w:w="5245" w:type="dxa"/>
            <w:gridSpan w:val="2"/>
            <w:hideMark/>
          </w:tcPr>
          <w:p w14:paraId="01DAB2E8" w14:textId="77777777" w:rsidR="007D4266" w:rsidRPr="005617F2" w:rsidRDefault="007D4266" w:rsidP="005617F2">
            <w:pPr>
              <w:keepNext/>
              <w:keepLines/>
              <w:tabs>
                <w:tab w:val="left" w:pos="720"/>
              </w:tabs>
              <w:spacing w:after="60"/>
              <w:jc w:val="center"/>
              <w:rPr>
                <w:rFonts w:ascii="Arial Narrow" w:hAnsi="Arial Narrow"/>
                <w:b/>
                <w:sz w:val="20"/>
                <w:szCs w:val="20"/>
                <w:lang w:val="en-US" w:eastAsia="en-GB"/>
              </w:rPr>
            </w:pPr>
            <w:r w:rsidRPr="005617F2">
              <w:rPr>
                <w:rFonts w:ascii="Arial Narrow" w:hAnsi="Arial Narrow"/>
                <w:b/>
                <w:sz w:val="20"/>
                <w:szCs w:val="20"/>
                <w:lang w:val="en-US" w:eastAsia="en-GB"/>
              </w:rPr>
              <w:t>Pooled Data from FLAIR and ATLAS</w:t>
            </w:r>
          </w:p>
        </w:tc>
      </w:tr>
      <w:tr w:rsidR="007D4266" w:rsidRPr="005617F2" w14:paraId="387FD059" w14:textId="77777777" w:rsidTr="005D0B1D">
        <w:trPr>
          <w:trHeight w:val="761"/>
        </w:trPr>
        <w:tc>
          <w:tcPr>
            <w:tcW w:w="0" w:type="auto"/>
            <w:gridSpan w:val="2"/>
            <w:vMerge/>
            <w:hideMark/>
          </w:tcPr>
          <w:p w14:paraId="3C54EDA0" w14:textId="77777777" w:rsidR="007D4266" w:rsidRPr="005617F2" w:rsidRDefault="007D4266" w:rsidP="005617F2">
            <w:pPr>
              <w:keepNext/>
              <w:keepLines/>
              <w:spacing w:after="60"/>
              <w:rPr>
                <w:rFonts w:ascii="Arial Narrow" w:hAnsi="Arial Narrow"/>
                <w:sz w:val="20"/>
                <w:szCs w:val="20"/>
                <w:lang w:val="en-US" w:eastAsia="en-GB"/>
              </w:rPr>
            </w:pPr>
          </w:p>
        </w:tc>
        <w:tc>
          <w:tcPr>
            <w:tcW w:w="2622" w:type="dxa"/>
            <w:hideMark/>
          </w:tcPr>
          <w:p w14:paraId="212CF343" w14:textId="18ACDD78" w:rsidR="007D4266" w:rsidRPr="005617F2" w:rsidRDefault="005617F2" w:rsidP="005617F2">
            <w:pPr>
              <w:keepNext/>
              <w:keepLines/>
              <w:tabs>
                <w:tab w:val="left" w:pos="720"/>
              </w:tabs>
              <w:spacing w:after="60"/>
              <w:jc w:val="center"/>
              <w:rPr>
                <w:rFonts w:ascii="Arial Narrow" w:hAnsi="Arial Narrow"/>
                <w:b/>
                <w:sz w:val="20"/>
                <w:szCs w:val="20"/>
                <w:lang w:val="en-US" w:eastAsia="en-GB"/>
              </w:rPr>
            </w:pPr>
            <w:r>
              <w:rPr>
                <w:rFonts w:ascii="Arial Narrow" w:hAnsi="Arial Narrow"/>
                <w:b/>
                <w:sz w:val="20"/>
                <w:szCs w:val="20"/>
                <w:lang w:val="en-US" w:eastAsia="en-GB"/>
              </w:rPr>
              <w:t>CAB</w:t>
            </w:r>
            <w:r w:rsidR="007D4266" w:rsidRPr="005617F2">
              <w:rPr>
                <w:rFonts w:ascii="Arial Narrow" w:hAnsi="Arial Narrow"/>
                <w:b/>
                <w:sz w:val="20"/>
                <w:szCs w:val="20"/>
                <w:lang w:val="en-US" w:eastAsia="en-GB"/>
              </w:rPr>
              <w:t>+RPV</w:t>
            </w:r>
            <w:r w:rsidR="007D4266" w:rsidRPr="005617F2">
              <w:rPr>
                <w:rFonts w:ascii="Arial Narrow" w:hAnsi="Arial Narrow"/>
                <w:b/>
                <w:sz w:val="20"/>
                <w:szCs w:val="20"/>
                <w:lang w:val="en-US" w:eastAsia="en-GB"/>
              </w:rPr>
              <w:br/>
              <w:t>N=591</w:t>
            </w:r>
          </w:p>
          <w:p w14:paraId="547D068A" w14:textId="77777777" w:rsidR="007D4266" w:rsidRPr="005617F2" w:rsidRDefault="007D4266" w:rsidP="005617F2">
            <w:pPr>
              <w:keepNext/>
              <w:keepLines/>
              <w:tabs>
                <w:tab w:val="left" w:pos="720"/>
              </w:tabs>
              <w:spacing w:after="60"/>
              <w:jc w:val="center"/>
              <w:rPr>
                <w:rFonts w:ascii="Arial Narrow" w:hAnsi="Arial Narrow"/>
                <w:b/>
                <w:sz w:val="20"/>
                <w:szCs w:val="20"/>
                <w:lang w:val="en-US" w:eastAsia="en-GB"/>
              </w:rPr>
            </w:pPr>
            <w:r w:rsidRPr="005617F2">
              <w:rPr>
                <w:rFonts w:ascii="Arial Narrow" w:hAnsi="Arial Narrow"/>
                <w:b/>
                <w:sz w:val="20"/>
                <w:szCs w:val="20"/>
                <w:lang w:val="en-US" w:eastAsia="en-GB"/>
              </w:rPr>
              <w:t>n/N (%)</w:t>
            </w:r>
          </w:p>
        </w:tc>
        <w:tc>
          <w:tcPr>
            <w:tcW w:w="2623" w:type="dxa"/>
            <w:hideMark/>
          </w:tcPr>
          <w:p w14:paraId="5B70B49F" w14:textId="77777777" w:rsidR="007D4266" w:rsidRPr="005617F2" w:rsidRDefault="007D4266" w:rsidP="005617F2">
            <w:pPr>
              <w:keepNext/>
              <w:keepLines/>
              <w:tabs>
                <w:tab w:val="left" w:pos="720"/>
              </w:tabs>
              <w:spacing w:after="60"/>
              <w:jc w:val="center"/>
              <w:rPr>
                <w:rFonts w:ascii="Arial Narrow" w:hAnsi="Arial Narrow"/>
                <w:b/>
                <w:sz w:val="20"/>
                <w:szCs w:val="20"/>
                <w:lang w:val="en-US" w:eastAsia="en-GB"/>
              </w:rPr>
            </w:pPr>
            <w:r w:rsidRPr="005617F2">
              <w:rPr>
                <w:rFonts w:ascii="Arial Narrow" w:hAnsi="Arial Narrow"/>
                <w:b/>
                <w:sz w:val="20"/>
                <w:szCs w:val="20"/>
                <w:lang w:val="en-US" w:eastAsia="en-GB"/>
              </w:rPr>
              <w:t>CAR</w:t>
            </w:r>
            <w:r w:rsidRPr="005617F2">
              <w:rPr>
                <w:rFonts w:ascii="Arial Narrow" w:hAnsi="Arial Narrow"/>
                <w:b/>
                <w:sz w:val="20"/>
                <w:szCs w:val="20"/>
                <w:lang w:val="en-US" w:eastAsia="en-GB"/>
              </w:rPr>
              <w:br/>
              <w:t>N=591</w:t>
            </w:r>
          </w:p>
          <w:p w14:paraId="0DCE2576" w14:textId="77777777" w:rsidR="007D4266" w:rsidRPr="005617F2" w:rsidRDefault="007D4266" w:rsidP="005617F2">
            <w:pPr>
              <w:keepNext/>
              <w:keepLines/>
              <w:tabs>
                <w:tab w:val="left" w:pos="720"/>
              </w:tabs>
              <w:spacing w:after="60"/>
              <w:jc w:val="center"/>
              <w:rPr>
                <w:rFonts w:ascii="Arial Narrow" w:hAnsi="Arial Narrow"/>
                <w:b/>
                <w:sz w:val="20"/>
                <w:szCs w:val="20"/>
                <w:lang w:val="en-US" w:eastAsia="en-GB"/>
              </w:rPr>
            </w:pPr>
            <w:r w:rsidRPr="005617F2">
              <w:rPr>
                <w:rFonts w:ascii="Arial Narrow" w:hAnsi="Arial Narrow"/>
                <w:b/>
                <w:sz w:val="20"/>
                <w:szCs w:val="20"/>
                <w:lang w:val="en-US" w:eastAsia="en-GB"/>
              </w:rPr>
              <w:t>n/N (%)</w:t>
            </w:r>
          </w:p>
        </w:tc>
      </w:tr>
      <w:tr w:rsidR="007D4266" w:rsidRPr="005617F2" w14:paraId="38BCC937" w14:textId="77777777" w:rsidTr="005D0B1D">
        <w:trPr>
          <w:trHeight w:val="286"/>
        </w:trPr>
        <w:tc>
          <w:tcPr>
            <w:tcW w:w="1696" w:type="dxa"/>
            <w:vMerge w:val="restart"/>
            <w:hideMark/>
          </w:tcPr>
          <w:p w14:paraId="1A68ADD1" w14:textId="52A182E1" w:rsidR="007D4266" w:rsidRPr="005617F2" w:rsidRDefault="007D4266" w:rsidP="008E26DE">
            <w:pPr>
              <w:tabs>
                <w:tab w:val="left" w:pos="720"/>
              </w:tabs>
              <w:spacing w:after="60"/>
              <w:rPr>
                <w:rFonts w:ascii="Arial Narrow" w:hAnsi="Arial Narrow"/>
                <w:sz w:val="20"/>
                <w:szCs w:val="20"/>
                <w:lang w:val="en-US" w:eastAsia="en-GB"/>
              </w:rPr>
            </w:pPr>
            <w:r w:rsidRPr="005617F2">
              <w:rPr>
                <w:rFonts w:ascii="Arial Narrow" w:hAnsi="Arial Narrow"/>
                <w:b/>
                <w:sz w:val="20"/>
                <w:szCs w:val="20"/>
                <w:lang w:val="en-US" w:eastAsia="en-GB"/>
              </w:rPr>
              <w:t>Baseline CD4+ (cells/</w:t>
            </w:r>
            <w:r w:rsidRPr="005617F2">
              <w:rPr>
                <w:rFonts w:ascii="Arial Narrow" w:hAnsi="Arial Narrow"/>
                <w:b/>
                <w:bCs/>
                <w:sz w:val="20"/>
                <w:szCs w:val="20"/>
                <w:lang w:val="en-US" w:eastAsia="en-GB"/>
              </w:rPr>
              <w:t>mm</w:t>
            </w:r>
            <w:r w:rsidRPr="005617F2">
              <w:rPr>
                <w:rFonts w:ascii="Arial Narrow" w:hAnsi="Arial Narrow"/>
                <w:b/>
                <w:bCs/>
                <w:sz w:val="20"/>
                <w:szCs w:val="20"/>
                <w:vertAlign w:val="superscript"/>
                <w:lang w:val="en-US" w:eastAsia="en-GB"/>
              </w:rPr>
              <w:t>3</w:t>
            </w:r>
            <w:r w:rsidRPr="005617F2">
              <w:rPr>
                <w:rFonts w:ascii="Arial Narrow" w:hAnsi="Arial Narrow"/>
                <w:b/>
                <w:sz w:val="20"/>
                <w:szCs w:val="20"/>
                <w:lang w:val="en-US" w:eastAsia="en-GB"/>
              </w:rPr>
              <w:t>)</w:t>
            </w:r>
          </w:p>
        </w:tc>
        <w:tc>
          <w:tcPr>
            <w:tcW w:w="2268" w:type="dxa"/>
            <w:hideMark/>
          </w:tcPr>
          <w:p w14:paraId="3CE0E957" w14:textId="77777777" w:rsidR="007D4266" w:rsidRPr="005617F2" w:rsidRDefault="007D4266" w:rsidP="005617F2">
            <w:pPr>
              <w:keepNext/>
              <w:keepLines/>
              <w:tabs>
                <w:tab w:val="left" w:pos="720"/>
              </w:tabs>
              <w:spacing w:after="60"/>
              <w:rPr>
                <w:rFonts w:ascii="Arial Narrow" w:hAnsi="Arial Narrow"/>
                <w:sz w:val="20"/>
                <w:szCs w:val="20"/>
                <w:lang w:val="en-US" w:eastAsia="en-GB"/>
              </w:rPr>
            </w:pPr>
            <w:r w:rsidRPr="005617F2">
              <w:rPr>
                <w:rFonts w:ascii="Arial Narrow" w:hAnsi="Arial Narrow"/>
                <w:sz w:val="20"/>
                <w:szCs w:val="20"/>
                <w:lang w:val="en-US" w:eastAsia="en-GB"/>
              </w:rPr>
              <w:t>&lt;350</w:t>
            </w:r>
            <w:r w:rsidRPr="005617F2">
              <w:rPr>
                <w:rFonts w:ascii="Arial Narrow" w:hAnsi="Arial Narrow"/>
                <w:bCs/>
                <w:sz w:val="20"/>
                <w:szCs w:val="20"/>
                <w:lang w:val="en-US" w:eastAsia="en-GB"/>
              </w:rPr>
              <w:t xml:space="preserve"> </w:t>
            </w:r>
          </w:p>
        </w:tc>
        <w:tc>
          <w:tcPr>
            <w:tcW w:w="2622" w:type="dxa"/>
            <w:hideMark/>
          </w:tcPr>
          <w:p w14:paraId="1B649436" w14:textId="77777777" w:rsidR="007D4266" w:rsidRPr="005617F2" w:rsidRDefault="007D4266" w:rsidP="005617F2">
            <w:pPr>
              <w:keepNext/>
              <w:keepLines/>
              <w:tabs>
                <w:tab w:val="left" w:pos="720"/>
              </w:tabs>
              <w:spacing w:after="60"/>
              <w:jc w:val="center"/>
              <w:rPr>
                <w:rFonts w:ascii="Arial Narrow" w:hAnsi="Arial Narrow"/>
                <w:sz w:val="20"/>
                <w:szCs w:val="20"/>
                <w:lang w:val="en-US"/>
              </w:rPr>
            </w:pPr>
            <w:r w:rsidRPr="005617F2">
              <w:rPr>
                <w:rFonts w:ascii="Arial Narrow" w:hAnsi="Arial Narrow"/>
                <w:sz w:val="20"/>
                <w:szCs w:val="20"/>
                <w:lang w:val="en-US"/>
              </w:rPr>
              <w:t>0/42</w:t>
            </w:r>
          </w:p>
        </w:tc>
        <w:tc>
          <w:tcPr>
            <w:tcW w:w="2623" w:type="dxa"/>
            <w:hideMark/>
          </w:tcPr>
          <w:p w14:paraId="7C969AC7" w14:textId="77777777" w:rsidR="007D4266" w:rsidRPr="005617F2" w:rsidRDefault="007D4266" w:rsidP="005617F2">
            <w:pPr>
              <w:keepNext/>
              <w:keepLines/>
              <w:tabs>
                <w:tab w:val="left" w:pos="720"/>
              </w:tabs>
              <w:spacing w:after="60"/>
              <w:jc w:val="center"/>
              <w:rPr>
                <w:rFonts w:ascii="Arial Narrow" w:hAnsi="Arial Narrow"/>
                <w:color w:val="000000"/>
                <w:sz w:val="20"/>
                <w:szCs w:val="20"/>
                <w:lang w:val="en-US" w:eastAsia="en-GB"/>
              </w:rPr>
            </w:pPr>
            <w:r w:rsidRPr="005617F2">
              <w:rPr>
                <w:rFonts w:ascii="Arial Narrow" w:hAnsi="Arial Narrow"/>
                <w:color w:val="000000"/>
                <w:sz w:val="20"/>
                <w:szCs w:val="20"/>
                <w:lang w:val="en-US" w:eastAsia="en-GB"/>
              </w:rPr>
              <w:t>2/54 (3.7)</w:t>
            </w:r>
          </w:p>
        </w:tc>
      </w:tr>
      <w:tr w:rsidR="007D4266" w:rsidRPr="005617F2" w14:paraId="302C284C" w14:textId="77777777" w:rsidTr="005D0B1D">
        <w:trPr>
          <w:trHeight w:val="285"/>
        </w:trPr>
        <w:tc>
          <w:tcPr>
            <w:tcW w:w="0" w:type="auto"/>
            <w:vMerge/>
            <w:hideMark/>
          </w:tcPr>
          <w:p w14:paraId="3D8025D0" w14:textId="77777777" w:rsidR="007D4266" w:rsidRPr="005617F2" w:rsidRDefault="007D4266" w:rsidP="008E26DE">
            <w:pPr>
              <w:spacing w:after="60"/>
              <w:rPr>
                <w:rFonts w:ascii="Arial Narrow" w:hAnsi="Arial Narrow"/>
                <w:sz w:val="20"/>
                <w:szCs w:val="20"/>
                <w:lang w:val="en-US" w:eastAsia="en-GB"/>
              </w:rPr>
            </w:pPr>
          </w:p>
        </w:tc>
        <w:tc>
          <w:tcPr>
            <w:tcW w:w="2268" w:type="dxa"/>
            <w:hideMark/>
          </w:tcPr>
          <w:p w14:paraId="78376670" w14:textId="77777777" w:rsidR="007D4266" w:rsidRPr="005617F2" w:rsidRDefault="007D4266" w:rsidP="005617F2">
            <w:pPr>
              <w:keepNext/>
              <w:keepLines/>
              <w:tabs>
                <w:tab w:val="left" w:pos="720"/>
              </w:tabs>
              <w:spacing w:after="60"/>
              <w:rPr>
                <w:rFonts w:ascii="Arial Narrow" w:hAnsi="Arial Narrow"/>
                <w:sz w:val="20"/>
                <w:szCs w:val="20"/>
                <w:lang w:val="en-US" w:eastAsia="en-GB"/>
              </w:rPr>
            </w:pPr>
            <w:r w:rsidRPr="005617F2">
              <w:rPr>
                <w:rFonts w:ascii="Arial Narrow" w:hAnsi="Arial Narrow"/>
                <w:sz w:val="20"/>
                <w:szCs w:val="20"/>
                <w:lang w:val="en-US" w:eastAsia="en-GB"/>
              </w:rPr>
              <w:sym w:font="Symbol" w:char="F0B3"/>
            </w:r>
            <w:r w:rsidRPr="005617F2">
              <w:rPr>
                <w:rFonts w:ascii="Arial Narrow" w:hAnsi="Arial Narrow"/>
                <w:sz w:val="20"/>
                <w:szCs w:val="20"/>
                <w:lang w:val="en-US" w:eastAsia="en-GB"/>
              </w:rPr>
              <w:t>350 to &lt;500</w:t>
            </w:r>
          </w:p>
        </w:tc>
        <w:tc>
          <w:tcPr>
            <w:tcW w:w="2622" w:type="dxa"/>
            <w:hideMark/>
          </w:tcPr>
          <w:p w14:paraId="0061DAA4" w14:textId="77777777" w:rsidR="007D4266" w:rsidRPr="005617F2" w:rsidRDefault="007D4266" w:rsidP="005617F2">
            <w:pPr>
              <w:keepNext/>
              <w:keepLines/>
              <w:tabs>
                <w:tab w:val="left" w:pos="720"/>
              </w:tabs>
              <w:autoSpaceDE w:val="0"/>
              <w:autoSpaceDN w:val="0"/>
              <w:adjustRightInd w:val="0"/>
              <w:spacing w:after="60"/>
              <w:jc w:val="center"/>
              <w:rPr>
                <w:rFonts w:ascii="Arial Narrow" w:hAnsi="Arial Narrow"/>
                <w:color w:val="000000"/>
                <w:sz w:val="20"/>
                <w:szCs w:val="20"/>
                <w:lang w:val="en-US" w:eastAsia="en-GB"/>
              </w:rPr>
            </w:pPr>
            <w:r w:rsidRPr="005617F2">
              <w:rPr>
                <w:rFonts w:ascii="Arial Narrow" w:hAnsi="Arial Narrow"/>
                <w:color w:val="000000"/>
                <w:sz w:val="20"/>
                <w:szCs w:val="20"/>
                <w:lang w:val="en-US" w:eastAsia="en-GB"/>
              </w:rPr>
              <w:t>5/120 (4.2)</w:t>
            </w:r>
          </w:p>
        </w:tc>
        <w:tc>
          <w:tcPr>
            <w:tcW w:w="2623" w:type="dxa"/>
            <w:hideMark/>
          </w:tcPr>
          <w:p w14:paraId="450D741C" w14:textId="77777777" w:rsidR="007D4266" w:rsidRPr="005617F2" w:rsidRDefault="007D4266" w:rsidP="005617F2">
            <w:pPr>
              <w:keepNext/>
              <w:keepLines/>
              <w:tabs>
                <w:tab w:val="left" w:pos="720"/>
              </w:tabs>
              <w:spacing w:after="60"/>
              <w:jc w:val="center"/>
              <w:rPr>
                <w:rFonts w:ascii="Arial Narrow" w:hAnsi="Arial Narrow"/>
                <w:color w:val="000000"/>
                <w:sz w:val="20"/>
                <w:szCs w:val="20"/>
                <w:lang w:val="en-US" w:eastAsia="en-GB"/>
              </w:rPr>
            </w:pPr>
            <w:r w:rsidRPr="005617F2">
              <w:rPr>
                <w:rFonts w:ascii="Arial Narrow" w:hAnsi="Arial Narrow"/>
                <w:color w:val="000000"/>
                <w:sz w:val="20"/>
                <w:szCs w:val="20"/>
                <w:lang w:val="en-US" w:eastAsia="en-GB"/>
              </w:rPr>
              <w:t>0/117</w:t>
            </w:r>
          </w:p>
        </w:tc>
      </w:tr>
      <w:tr w:rsidR="007D4266" w:rsidRPr="005617F2" w14:paraId="260D3745" w14:textId="77777777" w:rsidTr="005D0B1D">
        <w:trPr>
          <w:trHeight w:val="285"/>
        </w:trPr>
        <w:tc>
          <w:tcPr>
            <w:tcW w:w="0" w:type="auto"/>
            <w:vMerge/>
            <w:hideMark/>
          </w:tcPr>
          <w:p w14:paraId="2912B078" w14:textId="77777777" w:rsidR="007D4266" w:rsidRPr="005617F2" w:rsidRDefault="007D4266" w:rsidP="008E26DE">
            <w:pPr>
              <w:spacing w:after="60"/>
              <w:rPr>
                <w:rFonts w:ascii="Arial Narrow" w:hAnsi="Arial Narrow"/>
                <w:sz w:val="20"/>
                <w:szCs w:val="20"/>
                <w:lang w:val="en-US" w:eastAsia="en-GB"/>
              </w:rPr>
            </w:pPr>
          </w:p>
        </w:tc>
        <w:tc>
          <w:tcPr>
            <w:tcW w:w="2268" w:type="dxa"/>
            <w:hideMark/>
          </w:tcPr>
          <w:p w14:paraId="4D08C2A9" w14:textId="77777777" w:rsidR="007D4266" w:rsidRPr="005617F2" w:rsidRDefault="007D4266" w:rsidP="005617F2">
            <w:pPr>
              <w:keepNext/>
              <w:keepLines/>
              <w:tabs>
                <w:tab w:val="left" w:pos="720"/>
              </w:tabs>
              <w:spacing w:after="60"/>
              <w:rPr>
                <w:rFonts w:ascii="Arial Narrow" w:hAnsi="Arial Narrow"/>
                <w:sz w:val="20"/>
                <w:szCs w:val="20"/>
                <w:lang w:val="en-US" w:eastAsia="en-GB"/>
              </w:rPr>
            </w:pPr>
            <w:r w:rsidRPr="005617F2">
              <w:rPr>
                <w:rFonts w:ascii="Arial Narrow" w:hAnsi="Arial Narrow"/>
                <w:sz w:val="20"/>
                <w:szCs w:val="20"/>
                <w:lang w:val="en-US" w:eastAsia="en-GB"/>
              </w:rPr>
              <w:sym w:font="Symbol" w:char="F0B3"/>
            </w:r>
            <w:r w:rsidRPr="005617F2">
              <w:rPr>
                <w:rFonts w:ascii="Arial Narrow" w:hAnsi="Arial Narrow"/>
                <w:sz w:val="20"/>
                <w:szCs w:val="20"/>
                <w:lang w:val="en-US" w:eastAsia="en-GB"/>
              </w:rPr>
              <w:t>500</w:t>
            </w:r>
          </w:p>
        </w:tc>
        <w:tc>
          <w:tcPr>
            <w:tcW w:w="2622" w:type="dxa"/>
            <w:hideMark/>
          </w:tcPr>
          <w:p w14:paraId="6420A9C7" w14:textId="77777777" w:rsidR="007D4266" w:rsidRPr="005617F2" w:rsidRDefault="007D4266" w:rsidP="005617F2">
            <w:pPr>
              <w:keepNext/>
              <w:keepLines/>
              <w:tabs>
                <w:tab w:val="left" w:pos="720"/>
              </w:tabs>
              <w:spacing w:after="60"/>
              <w:jc w:val="center"/>
              <w:rPr>
                <w:rFonts w:ascii="Arial Narrow" w:hAnsi="Arial Narrow"/>
                <w:sz w:val="20"/>
                <w:szCs w:val="20"/>
                <w:lang w:val="en-US"/>
              </w:rPr>
            </w:pPr>
            <w:r w:rsidRPr="005617F2">
              <w:rPr>
                <w:rFonts w:ascii="Arial Narrow" w:hAnsi="Arial Narrow"/>
                <w:color w:val="000000"/>
                <w:sz w:val="20"/>
                <w:szCs w:val="20"/>
                <w:lang w:val="en-US" w:eastAsia="en-GB"/>
              </w:rPr>
              <w:t>6/429 (1.4)</w:t>
            </w:r>
          </w:p>
        </w:tc>
        <w:tc>
          <w:tcPr>
            <w:tcW w:w="2623" w:type="dxa"/>
            <w:hideMark/>
          </w:tcPr>
          <w:p w14:paraId="541E3612" w14:textId="77777777" w:rsidR="007D4266" w:rsidRPr="005617F2" w:rsidRDefault="007D4266" w:rsidP="005617F2">
            <w:pPr>
              <w:keepNext/>
              <w:keepLines/>
              <w:tabs>
                <w:tab w:val="left" w:pos="720"/>
              </w:tabs>
              <w:spacing w:after="60"/>
              <w:jc w:val="center"/>
              <w:rPr>
                <w:rFonts w:ascii="Arial Narrow" w:hAnsi="Arial Narrow"/>
                <w:color w:val="000000"/>
                <w:sz w:val="20"/>
                <w:szCs w:val="20"/>
                <w:lang w:val="en-US" w:eastAsia="en-GB"/>
              </w:rPr>
            </w:pPr>
            <w:r w:rsidRPr="005617F2">
              <w:rPr>
                <w:rFonts w:ascii="Arial Narrow" w:hAnsi="Arial Narrow"/>
                <w:color w:val="000000"/>
                <w:sz w:val="20"/>
                <w:szCs w:val="20"/>
                <w:lang w:val="en-US" w:eastAsia="en-GB"/>
              </w:rPr>
              <w:t>8 / 420 (1.9)</w:t>
            </w:r>
          </w:p>
        </w:tc>
      </w:tr>
      <w:tr w:rsidR="007D4266" w:rsidRPr="005617F2" w14:paraId="564E60B6" w14:textId="77777777" w:rsidTr="005D0B1D">
        <w:trPr>
          <w:trHeight w:val="234"/>
        </w:trPr>
        <w:tc>
          <w:tcPr>
            <w:tcW w:w="1696" w:type="dxa"/>
            <w:hideMark/>
          </w:tcPr>
          <w:p w14:paraId="640E06AA" w14:textId="77777777" w:rsidR="007D4266" w:rsidRPr="005617F2" w:rsidRDefault="007D4266" w:rsidP="008E26DE">
            <w:pPr>
              <w:tabs>
                <w:tab w:val="left" w:pos="720"/>
              </w:tabs>
              <w:spacing w:after="60"/>
              <w:rPr>
                <w:rFonts w:ascii="Arial Narrow" w:hAnsi="Arial Narrow"/>
                <w:sz w:val="20"/>
                <w:szCs w:val="20"/>
                <w:lang w:val="en-US" w:eastAsia="en-GB"/>
              </w:rPr>
            </w:pPr>
            <w:r w:rsidRPr="005617F2">
              <w:rPr>
                <w:rFonts w:ascii="Arial Narrow" w:hAnsi="Arial Narrow"/>
                <w:b/>
                <w:sz w:val="20"/>
                <w:szCs w:val="20"/>
                <w:lang w:val="en-US" w:eastAsia="en-GB"/>
              </w:rPr>
              <w:t>Gender</w:t>
            </w:r>
          </w:p>
        </w:tc>
        <w:tc>
          <w:tcPr>
            <w:tcW w:w="2268" w:type="dxa"/>
            <w:hideMark/>
          </w:tcPr>
          <w:p w14:paraId="0922953B" w14:textId="77777777" w:rsidR="007D4266" w:rsidRPr="005617F2" w:rsidRDefault="007D4266" w:rsidP="005617F2">
            <w:pPr>
              <w:keepNext/>
              <w:keepLines/>
              <w:tabs>
                <w:tab w:val="left" w:pos="720"/>
              </w:tabs>
              <w:spacing w:after="60"/>
              <w:rPr>
                <w:rFonts w:ascii="Arial Narrow" w:hAnsi="Arial Narrow"/>
                <w:b/>
                <w:sz w:val="20"/>
                <w:szCs w:val="20"/>
                <w:lang w:val="en-US" w:eastAsia="en-GB"/>
              </w:rPr>
            </w:pPr>
            <w:r w:rsidRPr="005617F2">
              <w:rPr>
                <w:rFonts w:ascii="Arial Narrow" w:hAnsi="Arial Narrow"/>
                <w:sz w:val="20"/>
                <w:szCs w:val="20"/>
                <w:lang w:val="en-US" w:eastAsia="en-GB"/>
              </w:rPr>
              <w:t>Male</w:t>
            </w:r>
          </w:p>
        </w:tc>
        <w:tc>
          <w:tcPr>
            <w:tcW w:w="2622" w:type="dxa"/>
            <w:hideMark/>
          </w:tcPr>
          <w:p w14:paraId="0EC3BA60"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color w:val="000000"/>
                <w:sz w:val="20"/>
                <w:szCs w:val="20"/>
                <w:lang w:val="en-US" w:eastAsia="en-GB"/>
              </w:rPr>
              <w:t>6/429 (1.4)</w:t>
            </w:r>
          </w:p>
        </w:tc>
        <w:tc>
          <w:tcPr>
            <w:tcW w:w="2623" w:type="dxa"/>
            <w:hideMark/>
          </w:tcPr>
          <w:p w14:paraId="05D1A25C"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color w:val="000000"/>
                <w:sz w:val="20"/>
                <w:szCs w:val="20"/>
                <w:lang w:val="en-US" w:eastAsia="en-GB"/>
              </w:rPr>
              <w:t>9/423 (2.1)</w:t>
            </w:r>
          </w:p>
        </w:tc>
      </w:tr>
      <w:tr w:rsidR="007D4266" w:rsidRPr="005617F2" w14:paraId="4E5B8CAD" w14:textId="77777777" w:rsidTr="005D0B1D">
        <w:trPr>
          <w:trHeight w:val="457"/>
        </w:trPr>
        <w:tc>
          <w:tcPr>
            <w:tcW w:w="1696" w:type="dxa"/>
          </w:tcPr>
          <w:p w14:paraId="17E1164A" w14:textId="77777777" w:rsidR="007D4266" w:rsidRPr="005617F2" w:rsidRDefault="007D4266" w:rsidP="008E26DE">
            <w:pPr>
              <w:tabs>
                <w:tab w:val="left" w:pos="720"/>
              </w:tabs>
              <w:spacing w:after="60"/>
              <w:rPr>
                <w:rFonts w:ascii="Arial Narrow" w:hAnsi="Arial Narrow"/>
                <w:sz w:val="20"/>
                <w:szCs w:val="20"/>
                <w:lang w:val="en-US" w:eastAsia="en-GB"/>
              </w:rPr>
            </w:pPr>
          </w:p>
        </w:tc>
        <w:tc>
          <w:tcPr>
            <w:tcW w:w="2268" w:type="dxa"/>
            <w:hideMark/>
          </w:tcPr>
          <w:p w14:paraId="3120C523" w14:textId="77777777" w:rsidR="007D4266" w:rsidRPr="005617F2" w:rsidRDefault="007D4266" w:rsidP="005617F2">
            <w:pPr>
              <w:keepNext/>
              <w:keepLines/>
              <w:tabs>
                <w:tab w:val="left" w:pos="720"/>
              </w:tabs>
              <w:spacing w:after="60"/>
              <w:rPr>
                <w:rFonts w:ascii="Arial Narrow" w:hAnsi="Arial Narrow"/>
                <w:b/>
                <w:sz w:val="20"/>
                <w:szCs w:val="20"/>
                <w:lang w:val="en-US" w:eastAsia="en-GB"/>
              </w:rPr>
            </w:pPr>
            <w:r w:rsidRPr="005617F2">
              <w:rPr>
                <w:rFonts w:ascii="Arial Narrow" w:hAnsi="Arial Narrow"/>
                <w:sz w:val="20"/>
                <w:szCs w:val="20"/>
                <w:lang w:val="en-US" w:eastAsia="en-GB"/>
              </w:rPr>
              <w:t>Female</w:t>
            </w:r>
          </w:p>
        </w:tc>
        <w:tc>
          <w:tcPr>
            <w:tcW w:w="2622" w:type="dxa"/>
            <w:hideMark/>
          </w:tcPr>
          <w:p w14:paraId="5137A8A7"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color w:val="000000"/>
                <w:sz w:val="20"/>
                <w:szCs w:val="20"/>
                <w:lang w:val="en-US" w:eastAsia="en-GB"/>
              </w:rPr>
              <w:t>5/162 (3.1)</w:t>
            </w:r>
          </w:p>
        </w:tc>
        <w:tc>
          <w:tcPr>
            <w:tcW w:w="2623" w:type="dxa"/>
            <w:hideMark/>
          </w:tcPr>
          <w:p w14:paraId="5F4DFFCF"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color w:val="000000"/>
                <w:sz w:val="20"/>
                <w:szCs w:val="20"/>
                <w:lang w:val="en-US" w:eastAsia="en-GB"/>
              </w:rPr>
              <w:t>1/168 (0.6)</w:t>
            </w:r>
          </w:p>
        </w:tc>
      </w:tr>
      <w:tr w:rsidR="007D4266" w:rsidRPr="005617F2" w14:paraId="3117CCFA" w14:textId="77777777" w:rsidTr="005D0B1D">
        <w:trPr>
          <w:trHeight w:val="313"/>
        </w:trPr>
        <w:tc>
          <w:tcPr>
            <w:tcW w:w="1696" w:type="dxa"/>
            <w:vMerge w:val="restart"/>
            <w:hideMark/>
          </w:tcPr>
          <w:p w14:paraId="2930B8F1" w14:textId="77777777" w:rsidR="007D4266" w:rsidRPr="005617F2" w:rsidRDefault="007D4266" w:rsidP="008E26DE">
            <w:pPr>
              <w:tabs>
                <w:tab w:val="left" w:pos="720"/>
              </w:tabs>
              <w:spacing w:after="60"/>
              <w:rPr>
                <w:rFonts w:ascii="Arial Narrow" w:hAnsi="Arial Narrow"/>
                <w:sz w:val="20"/>
                <w:szCs w:val="20"/>
                <w:lang w:val="en-US" w:eastAsia="en-GB"/>
              </w:rPr>
            </w:pPr>
            <w:r w:rsidRPr="005617F2">
              <w:rPr>
                <w:rFonts w:ascii="Arial Narrow" w:hAnsi="Arial Narrow"/>
                <w:b/>
                <w:sz w:val="20"/>
                <w:szCs w:val="20"/>
                <w:lang w:val="en-US" w:eastAsia="en-GB"/>
              </w:rPr>
              <w:t>Race</w:t>
            </w:r>
          </w:p>
        </w:tc>
        <w:tc>
          <w:tcPr>
            <w:tcW w:w="2268" w:type="dxa"/>
            <w:hideMark/>
          </w:tcPr>
          <w:p w14:paraId="4D33C533" w14:textId="77777777" w:rsidR="007D4266" w:rsidRPr="005617F2" w:rsidRDefault="007D4266" w:rsidP="005617F2">
            <w:pPr>
              <w:keepNext/>
              <w:keepLines/>
              <w:tabs>
                <w:tab w:val="left" w:pos="720"/>
              </w:tabs>
              <w:spacing w:after="60"/>
              <w:rPr>
                <w:rFonts w:ascii="Arial Narrow" w:hAnsi="Arial Narrow"/>
                <w:sz w:val="20"/>
                <w:szCs w:val="20"/>
                <w:lang w:val="en-US" w:eastAsia="en-GB"/>
              </w:rPr>
            </w:pPr>
            <w:r w:rsidRPr="005617F2">
              <w:rPr>
                <w:rFonts w:ascii="Arial Narrow" w:hAnsi="Arial Narrow"/>
                <w:sz w:val="20"/>
                <w:szCs w:val="20"/>
                <w:lang w:val="en-US" w:eastAsia="en-GB"/>
              </w:rPr>
              <w:t>White</w:t>
            </w:r>
          </w:p>
        </w:tc>
        <w:tc>
          <w:tcPr>
            <w:tcW w:w="2622" w:type="dxa"/>
            <w:hideMark/>
          </w:tcPr>
          <w:p w14:paraId="56211296"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9/430 (2.1)</w:t>
            </w:r>
          </w:p>
        </w:tc>
        <w:tc>
          <w:tcPr>
            <w:tcW w:w="2623" w:type="dxa"/>
            <w:hideMark/>
          </w:tcPr>
          <w:p w14:paraId="4DD2F542"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7/408 (1.7)</w:t>
            </w:r>
          </w:p>
        </w:tc>
      </w:tr>
      <w:tr w:rsidR="007D4266" w:rsidRPr="005617F2" w14:paraId="53935197" w14:textId="77777777" w:rsidTr="005D0B1D">
        <w:trPr>
          <w:trHeight w:val="312"/>
        </w:trPr>
        <w:tc>
          <w:tcPr>
            <w:tcW w:w="0" w:type="auto"/>
            <w:vMerge/>
            <w:hideMark/>
          </w:tcPr>
          <w:p w14:paraId="791F7127" w14:textId="77777777" w:rsidR="007D4266" w:rsidRPr="005617F2" w:rsidRDefault="007D4266" w:rsidP="008E26DE">
            <w:pPr>
              <w:spacing w:after="60"/>
              <w:rPr>
                <w:rFonts w:ascii="Arial Narrow" w:hAnsi="Arial Narrow"/>
                <w:sz w:val="20"/>
                <w:szCs w:val="20"/>
                <w:lang w:val="en-US" w:eastAsia="en-GB"/>
              </w:rPr>
            </w:pPr>
          </w:p>
        </w:tc>
        <w:tc>
          <w:tcPr>
            <w:tcW w:w="2268" w:type="dxa"/>
            <w:hideMark/>
          </w:tcPr>
          <w:p w14:paraId="4644D94F" w14:textId="77777777" w:rsidR="007D4266" w:rsidRPr="005617F2" w:rsidRDefault="007D4266" w:rsidP="005617F2">
            <w:pPr>
              <w:keepNext/>
              <w:keepLines/>
              <w:tabs>
                <w:tab w:val="left" w:pos="720"/>
              </w:tabs>
              <w:spacing w:after="60"/>
              <w:rPr>
                <w:rFonts w:ascii="Arial Narrow" w:hAnsi="Arial Narrow"/>
                <w:sz w:val="20"/>
                <w:szCs w:val="20"/>
                <w:lang w:val="en-US" w:eastAsia="en-GB"/>
              </w:rPr>
            </w:pPr>
            <w:r w:rsidRPr="005617F2">
              <w:rPr>
                <w:rFonts w:ascii="Arial Narrow" w:hAnsi="Arial Narrow"/>
                <w:sz w:val="20"/>
                <w:szCs w:val="20"/>
                <w:lang w:val="en-US" w:eastAsia="en-GB"/>
              </w:rPr>
              <w:t>Black African/American</w:t>
            </w:r>
          </w:p>
        </w:tc>
        <w:tc>
          <w:tcPr>
            <w:tcW w:w="2622" w:type="dxa"/>
            <w:hideMark/>
          </w:tcPr>
          <w:p w14:paraId="5A517427"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2/109 (1.8)</w:t>
            </w:r>
          </w:p>
        </w:tc>
        <w:tc>
          <w:tcPr>
            <w:tcW w:w="2623" w:type="dxa"/>
            <w:hideMark/>
          </w:tcPr>
          <w:p w14:paraId="01E1EED0"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3/133 (2.3)</w:t>
            </w:r>
          </w:p>
        </w:tc>
      </w:tr>
      <w:tr w:rsidR="007D4266" w:rsidRPr="005617F2" w14:paraId="38252FD1" w14:textId="77777777" w:rsidTr="005D0B1D">
        <w:trPr>
          <w:trHeight w:val="312"/>
        </w:trPr>
        <w:tc>
          <w:tcPr>
            <w:tcW w:w="1696" w:type="dxa"/>
            <w:hideMark/>
          </w:tcPr>
          <w:p w14:paraId="55ADF841" w14:textId="77777777" w:rsidR="007D4266" w:rsidRPr="005617F2" w:rsidRDefault="007D4266" w:rsidP="008E26DE">
            <w:pPr>
              <w:tabs>
                <w:tab w:val="left" w:pos="720"/>
              </w:tabs>
              <w:spacing w:after="60"/>
              <w:rPr>
                <w:rFonts w:ascii="Arial Narrow" w:hAnsi="Arial Narrow"/>
                <w:b/>
                <w:sz w:val="20"/>
                <w:szCs w:val="20"/>
                <w:lang w:val="en-US" w:eastAsia="en-GB"/>
              </w:rPr>
            </w:pPr>
            <w:r w:rsidRPr="005617F2">
              <w:rPr>
                <w:rFonts w:ascii="Arial Narrow" w:hAnsi="Arial Narrow"/>
                <w:sz w:val="20"/>
                <w:szCs w:val="20"/>
                <w:lang w:val="en-US"/>
              </w:rPr>
              <w:t xml:space="preserve"> </w:t>
            </w:r>
          </w:p>
        </w:tc>
        <w:tc>
          <w:tcPr>
            <w:tcW w:w="2268" w:type="dxa"/>
            <w:hideMark/>
          </w:tcPr>
          <w:p w14:paraId="0E19C3C3" w14:textId="77777777" w:rsidR="007D4266" w:rsidRPr="005617F2" w:rsidRDefault="007D4266" w:rsidP="005617F2">
            <w:pPr>
              <w:keepNext/>
              <w:keepLines/>
              <w:tabs>
                <w:tab w:val="left" w:pos="720"/>
              </w:tabs>
              <w:spacing w:after="60"/>
              <w:rPr>
                <w:rFonts w:ascii="Arial Narrow" w:hAnsi="Arial Narrow"/>
                <w:sz w:val="20"/>
                <w:szCs w:val="20"/>
                <w:lang w:val="en-US" w:eastAsia="en-GB"/>
              </w:rPr>
            </w:pPr>
            <w:r w:rsidRPr="005617F2">
              <w:rPr>
                <w:rFonts w:ascii="Arial Narrow" w:hAnsi="Arial Narrow"/>
                <w:sz w:val="20"/>
                <w:szCs w:val="20"/>
                <w:lang w:val="en-US" w:eastAsia="en-GB"/>
              </w:rPr>
              <w:t>Asian/Other</w:t>
            </w:r>
          </w:p>
        </w:tc>
        <w:tc>
          <w:tcPr>
            <w:tcW w:w="2622" w:type="dxa"/>
            <w:hideMark/>
          </w:tcPr>
          <w:p w14:paraId="0D77C3C5"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0/52</w:t>
            </w:r>
          </w:p>
        </w:tc>
        <w:tc>
          <w:tcPr>
            <w:tcW w:w="2623" w:type="dxa"/>
            <w:hideMark/>
          </w:tcPr>
          <w:p w14:paraId="469E0B52"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0/48</w:t>
            </w:r>
          </w:p>
        </w:tc>
      </w:tr>
      <w:tr w:rsidR="007D4266" w:rsidRPr="005617F2" w14:paraId="4DE73F97" w14:textId="77777777" w:rsidTr="005D0B1D">
        <w:trPr>
          <w:trHeight w:val="313"/>
        </w:trPr>
        <w:tc>
          <w:tcPr>
            <w:tcW w:w="1696" w:type="dxa"/>
            <w:vMerge w:val="restart"/>
            <w:hideMark/>
          </w:tcPr>
          <w:p w14:paraId="05A83567" w14:textId="77777777" w:rsidR="007D4266" w:rsidRPr="005617F2" w:rsidRDefault="007D4266" w:rsidP="008E26DE">
            <w:pPr>
              <w:tabs>
                <w:tab w:val="left" w:pos="720"/>
              </w:tabs>
              <w:spacing w:after="60"/>
              <w:rPr>
                <w:rFonts w:ascii="Arial Narrow" w:hAnsi="Arial Narrow"/>
                <w:color w:val="000000"/>
                <w:sz w:val="20"/>
                <w:szCs w:val="20"/>
                <w:lang w:val="en-US" w:eastAsia="en-GB"/>
              </w:rPr>
            </w:pPr>
            <w:r w:rsidRPr="005617F2">
              <w:rPr>
                <w:rFonts w:ascii="Arial Narrow" w:hAnsi="Arial Narrow"/>
                <w:b/>
                <w:sz w:val="20"/>
                <w:szCs w:val="20"/>
                <w:lang w:val="en-US" w:eastAsia="en-GB"/>
              </w:rPr>
              <w:t>BMI</w:t>
            </w:r>
          </w:p>
        </w:tc>
        <w:tc>
          <w:tcPr>
            <w:tcW w:w="2268" w:type="dxa"/>
            <w:hideMark/>
          </w:tcPr>
          <w:p w14:paraId="2115670B" w14:textId="77777777" w:rsidR="007D4266" w:rsidRPr="005617F2" w:rsidRDefault="007D4266" w:rsidP="005617F2">
            <w:pPr>
              <w:keepNext/>
              <w:keepLines/>
              <w:tabs>
                <w:tab w:val="left" w:pos="720"/>
              </w:tabs>
              <w:spacing w:after="60"/>
              <w:rPr>
                <w:rFonts w:ascii="Arial Narrow" w:hAnsi="Arial Narrow"/>
                <w:color w:val="000000"/>
                <w:sz w:val="20"/>
                <w:szCs w:val="20"/>
                <w:lang w:val="en-US" w:eastAsia="en-GB"/>
              </w:rPr>
            </w:pPr>
            <w:r w:rsidRPr="005617F2">
              <w:rPr>
                <w:rFonts w:ascii="Arial Narrow" w:hAnsi="Arial Narrow"/>
                <w:color w:val="000000"/>
                <w:sz w:val="20"/>
                <w:szCs w:val="20"/>
                <w:lang w:val="en-US" w:eastAsia="en-GB"/>
              </w:rPr>
              <w:t>&lt;30 kg/m</w:t>
            </w:r>
            <w:r w:rsidRPr="005617F2">
              <w:rPr>
                <w:rFonts w:ascii="Arial Narrow" w:hAnsi="Arial Narrow"/>
                <w:color w:val="000000"/>
                <w:sz w:val="20"/>
                <w:szCs w:val="20"/>
                <w:vertAlign w:val="superscript"/>
                <w:lang w:val="en-US" w:eastAsia="en-GB"/>
              </w:rPr>
              <w:t>2</w:t>
            </w:r>
          </w:p>
        </w:tc>
        <w:tc>
          <w:tcPr>
            <w:tcW w:w="2622" w:type="dxa"/>
            <w:hideMark/>
          </w:tcPr>
          <w:p w14:paraId="4D1ED46E"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6/491 (1.2)</w:t>
            </w:r>
          </w:p>
        </w:tc>
        <w:tc>
          <w:tcPr>
            <w:tcW w:w="2623" w:type="dxa"/>
            <w:hideMark/>
          </w:tcPr>
          <w:p w14:paraId="32C86C15"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8/488 (1.6)</w:t>
            </w:r>
          </w:p>
        </w:tc>
      </w:tr>
      <w:tr w:rsidR="007D4266" w:rsidRPr="005617F2" w14:paraId="3DA282F4" w14:textId="77777777" w:rsidTr="005D0B1D">
        <w:trPr>
          <w:trHeight w:val="312"/>
        </w:trPr>
        <w:tc>
          <w:tcPr>
            <w:tcW w:w="0" w:type="auto"/>
            <w:vMerge/>
            <w:hideMark/>
          </w:tcPr>
          <w:p w14:paraId="3B7F5527" w14:textId="77777777" w:rsidR="007D4266" w:rsidRPr="005617F2" w:rsidRDefault="007D4266" w:rsidP="008E26DE">
            <w:pPr>
              <w:spacing w:after="60"/>
              <w:rPr>
                <w:rFonts w:ascii="Arial Narrow" w:hAnsi="Arial Narrow"/>
                <w:color w:val="000000"/>
                <w:sz w:val="20"/>
                <w:szCs w:val="20"/>
                <w:lang w:val="en-US" w:eastAsia="en-GB"/>
              </w:rPr>
            </w:pPr>
          </w:p>
        </w:tc>
        <w:tc>
          <w:tcPr>
            <w:tcW w:w="2268" w:type="dxa"/>
            <w:hideMark/>
          </w:tcPr>
          <w:p w14:paraId="1EF29615" w14:textId="77777777" w:rsidR="007D4266" w:rsidRPr="005617F2" w:rsidRDefault="007D4266" w:rsidP="005617F2">
            <w:pPr>
              <w:keepNext/>
              <w:keepLines/>
              <w:tabs>
                <w:tab w:val="left" w:pos="720"/>
              </w:tabs>
              <w:spacing w:after="60"/>
              <w:rPr>
                <w:rFonts w:ascii="Arial Narrow" w:hAnsi="Arial Narrow"/>
                <w:color w:val="000000"/>
                <w:sz w:val="20"/>
                <w:szCs w:val="20"/>
                <w:lang w:val="en-US" w:eastAsia="en-GB"/>
              </w:rPr>
            </w:pPr>
            <w:r w:rsidRPr="005617F2">
              <w:rPr>
                <w:rFonts w:ascii="Arial Narrow" w:hAnsi="Arial Narrow"/>
                <w:color w:val="000000"/>
                <w:sz w:val="20"/>
                <w:szCs w:val="20"/>
                <w:lang w:val="en-US" w:eastAsia="en-GB"/>
              </w:rPr>
              <w:t>≥30 kg/m</w:t>
            </w:r>
            <w:r w:rsidRPr="005617F2">
              <w:rPr>
                <w:rFonts w:ascii="Arial Narrow" w:hAnsi="Arial Narrow"/>
                <w:color w:val="000000"/>
                <w:sz w:val="20"/>
                <w:szCs w:val="20"/>
                <w:vertAlign w:val="superscript"/>
                <w:lang w:val="en-US" w:eastAsia="en-GB"/>
              </w:rPr>
              <w:t>2</w:t>
            </w:r>
          </w:p>
        </w:tc>
        <w:tc>
          <w:tcPr>
            <w:tcW w:w="2622" w:type="dxa"/>
            <w:hideMark/>
          </w:tcPr>
          <w:p w14:paraId="5B746018"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5/100 (5.0)</w:t>
            </w:r>
          </w:p>
        </w:tc>
        <w:tc>
          <w:tcPr>
            <w:tcW w:w="2623" w:type="dxa"/>
            <w:hideMark/>
          </w:tcPr>
          <w:p w14:paraId="1A9768F7"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2/103 (1.9)</w:t>
            </w:r>
          </w:p>
        </w:tc>
      </w:tr>
      <w:tr w:rsidR="007D4266" w:rsidRPr="005617F2" w14:paraId="5135B678" w14:textId="77777777" w:rsidTr="005D0B1D">
        <w:trPr>
          <w:trHeight w:val="319"/>
        </w:trPr>
        <w:tc>
          <w:tcPr>
            <w:tcW w:w="1696" w:type="dxa"/>
            <w:vMerge w:val="restart"/>
            <w:hideMark/>
          </w:tcPr>
          <w:p w14:paraId="1E869F76" w14:textId="77777777" w:rsidR="007D4266" w:rsidRPr="005617F2" w:rsidRDefault="007D4266" w:rsidP="008E26DE">
            <w:pPr>
              <w:tabs>
                <w:tab w:val="left" w:pos="720"/>
              </w:tabs>
              <w:spacing w:after="60"/>
              <w:rPr>
                <w:rFonts w:ascii="Arial Narrow" w:hAnsi="Arial Narrow"/>
                <w:sz w:val="20"/>
                <w:szCs w:val="20"/>
                <w:lang w:val="en-US" w:eastAsia="en-GB"/>
              </w:rPr>
            </w:pPr>
            <w:r w:rsidRPr="005617F2">
              <w:rPr>
                <w:rFonts w:ascii="Arial Narrow" w:hAnsi="Arial Narrow"/>
                <w:b/>
                <w:sz w:val="20"/>
                <w:szCs w:val="20"/>
                <w:lang w:val="en-US" w:eastAsia="en-GB"/>
              </w:rPr>
              <w:t>Age (years)</w:t>
            </w:r>
          </w:p>
        </w:tc>
        <w:tc>
          <w:tcPr>
            <w:tcW w:w="2268" w:type="dxa"/>
            <w:hideMark/>
          </w:tcPr>
          <w:p w14:paraId="2DA03D06" w14:textId="77777777" w:rsidR="007D4266" w:rsidRPr="005617F2" w:rsidRDefault="007D4266" w:rsidP="005617F2">
            <w:pPr>
              <w:keepNext/>
              <w:keepLines/>
              <w:tabs>
                <w:tab w:val="left" w:pos="720"/>
              </w:tabs>
              <w:spacing w:after="60"/>
              <w:rPr>
                <w:rFonts w:ascii="Arial Narrow" w:hAnsi="Arial Narrow"/>
                <w:sz w:val="20"/>
                <w:szCs w:val="20"/>
                <w:lang w:val="en-US" w:eastAsia="en-GB"/>
              </w:rPr>
            </w:pPr>
            <w:r w:rsidRPr="005617F2">
              <w:rPr>
                <w:rFonts w:ascii="Arial Narrow" w:hAnsi="Arial Narrow"/>
                <w:sz w:val="20"/>
                <w:szCs w:val="20"/>
                <w:lang w:val="en-US" w:eastAsia="en-GB"/>
              </w:rPr>
              <w:t>&lt;50</w:t>
            </w:r>
          </w:p>
        </w:tc>
        <w:tc>
          <w:tcPr>
            <w:tcW w:w="2622" w:type="dxa"/>
            <w:hideMark/>
          </w:tcPr>
          <w:p w14:paraId="7751C9C5"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9/492 (1.8)</w:t>
            </w:r>
          </w:p>
        </w:tc>
        <w:tc>
          <w:tcPr>
            <w:tcW w:w="2623" w:type="dxa"/>
            <w:hideMark/>
          </w:tcPr>
          <w:p w14:paraId="17B68C6C"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8/466 (1.7)</w:t>
            </w:r>
          </w:p>
        </w:tc>
      </w:tr>
      <w:tr w:rsidR="007D4266" w:rsidRPr="005617F2" w14:paraId="3DEE6BCA" w14:textId="77777777" w:rsidTr="005D0B1D">
        <w:trPr>
          <w:trHeight w:val="319"/>
        </w:trPr>
        <w:tc>
          <w:tcPr>
            <w:tcW w:w="0" w:type="auto"/>
            <w:vMerge/>
            <w:hideMark/>
          </w:tcPr>
          <w:p w14:paraId="14A5EC05" w14:textId="77777777" w:rsidR="007D4266" w:rsidRPr="005617F2" w:rsidRDefault="007D4266" w:rsidP="008E26DE">
            <w:pPr>
              <w:spacing w:after="60"/>
              <w:rPr>
                <w:rFonts w:ascii="Arial Narrow" w:hAnsi="Arial Narrow"/>
                <w:sz w:val="20"/>
                <w:szCs w:val="20"/>
                <w:lang w:val="en-US" w:eastAsia="en-GB"/>
              </w:rPr>
            </w:pPr>
          </w:p>
        </w:tc>
        <w:tc>
          <w:tcPr>
            <w:tcW w:w="2268" w:type="dxa"/>
            <w:hideMark/>
          </w:tcPr>
          <w:p w14:paraId="3C5C27CD" w14:textId="77777777" w:rsidR="007D4266" w:rsidRPr="005617F2" w:rsidRDefault="007D4266" w:rsidP="005617F2">
            <w:pPr>
              <w:keepNext/>
              <w:keepLines/>
              <w:tabs>
                <w:tab w:val="left" w:pos="720"/>
              </w:tabs>
              <w:spacing w:after="60"/>
              <w:rPr>
                <w:rFonts w:ascii="Arial Narrow" w:hAnsi="Arial Narrow"/>
                <w:sz w:val="20"/>
                <w:szCs w:val="20"/>
                <w:lang w:val="en-US" w:eastAsia="en-GB"/>
              </w:rPr>
            </w:pPr>
            <w:r w:rsidRPr="005617F2">
              <w:rPr>
                <w:rFonts w:ascii="Arial Narrow" w:hAnsi="Arial Narrow"/>
                <w:sz w:val="20"/>
                <w:szCs w:val="20"/>
                <w:lang w:val="en-US" w:eastAsia="en-GB"/>
              </w:rPr>
              <w:sym w:font="Symbol" w:char="F0B3"/>
            </w:r>
            <w:r w:rsidRPr="005617F2">
              <w:rPr>
                <w:rFonts w:ascii="Arial Narrow" w:hAnsi="Arial Narrow"/>
                <w:sz w:val="20"/>
                <w:szCs w:val="20"/>
                <w:lang w:val="en-US" w:eastAsia="en-GB"/>
              </w:rPr>
              <w:t>50</w:t>
            </w:r>
          </w:p>
        </w:tc>
        <w:tc>
          <w:tcPr>
            <w:tcW w:w="2622" w:type="dxa"/>
            <w:hideMark/>
          </w:tcPr>
          <w:p w14:paraId="366FAEDA"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2/99 (2.0)</w:t>
            </w:r>
          </w:p>
        </w:tc>
        <w:tc>
          <w:tcPr>
            <w:tcW w:w="2623" w:type="dxa"/>
            <w:hideMark/>
          </w:tcPr>
          <w:p w14:paraId="7593B0B1"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2/125 (1.6)</w:t>
            </w:r>
          </w:p>
        </w:tc>
      </w:tr>
      <w:tr w:rsidR="007D4266" w:rsidRPr="005617F2" w14:paraId="0A41DA98" w14:textId="77777777" w:rsidTr="005D0B1D">
        <w:trPr>
          <w:trHeight w:val="308"/>
        </w:trPr>
        <w:tc>
          <w:tcPr>
            <w:tcW w:w="1696" w:type="dxa"/>
            <w:vMerge w:val="restart"/>
            <w:hideMark/>
          </w:tcPr>
          <w:p w14:paraId="7EA9F706" w14:textId="77777777" w:rsidR="007D4266" w:rsidRPr="005617F2" w:rsidRDefault="007D4266" w:rsidP="008E26DE">
            <w:pPr>
              <w:tabs>
                <w:tab w:val="left" w:pos="720"/>
              </w:tabs>
              <w:spacing w:after="60"/>
              <w:rPr>
                <w:rFonts w:ascii="Arial Narrow" w:hAnsi="Arial Narrow"/>
                <w:sz w:val="20"/>
                <w:szCs w:val="20"/>
                <w:lang w:val="en-US" w:eastAsia="en-GB"/>
              </w:rPr>
            </w:pPr>
            <w:r w:rsidRPr="005617F2">
              <w:rPr>
                <w:rFonts w:ascii="Arial Narrow" w:hAnsi="Arial Narrow"/>
                <w:b/>
                <w:sz w:val="20"/>
                <w:szCs w:val="20"/>
                <w:lang w:val="en-US" w:eastAsia="en-GB"/>
              </w:rPr>
              <w:t xml:space="preserve">Baseline antiviral therapy at </w:t>
            </w:r>
            <w:r w:rsidRPr="00D6566C">
              <w:rPr>
                <w:rFonts w:ascii="Arial Narrow" w:hAnsi="Arial Narrow"/>
                <w:b/>
                <w:sz w:val="20"/>
                <w:szCs w:val="20"/>
                <w:lang w:eastAsia="en-GB"/>
              </w:rPr>
              <w:t>randomisation</w:t>
            </w:r>
          </w:p>
        </w:tc>
        <w:tc>
          <w:tcPr>
            <w:tcW w:w="2268" w:type="dxa"/>
            <w:hideMark/>
          </w:tcPr>
          <w:p w14:paraId="5976AECB" w14:textId="77777777" w:rsidR="007D4266" w:rsidRPr="005617F2" w:rsidRDefault="007D4266" w:rsidP="005617F2">
            <w:pPr>
              <w:keepNext/>
              <w:keepLines/>
              <w:tabs>
                <w:tab w:val="left" w:pos="720"/>
              </w:tabs>
              <w:spacing w:after="60"/>
              <w:rPr>
                <w:rFonts w:ascii="Arial Narrow" w:hAnsi="Arial Narrow"/>
                <w:sz w:val="20"/>
                <w:szCs w:val="20"/>
                <w:lang w:val="en-US" w:eastAsia="en-GB"/>
              </w:rPr>
            </w:pPr>
            <w:r w:rsidRPr="005617F2">
              <w:rPr>
                <w:rFonts w:ascii="Arial Narrow" w:hAnsi="Arial Narrow"/>
                <w:sz w:val="20"/>
                <w:szCs w:val="20"/>
                <w:lang w:val="en-US" w:eastAsia="en-GB"/>
              </w:rPr>
              <w:t>PI</w:t>
            </w:r>
          </w:p>
        </w:tc>
        <w:tc>
          <w:tcPr>
            <w:tcW w:w="2622" w:type="dxa"/>
            <w:hideMark/>
          </w:tcPr>
          <w:p w14:paraId="391C8746"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1/51 (2.0)</w:t>
            </w:r>
          </w:p>
        </w:tc>
        <w:tc>
          <w:tcPr>
            <w:tcW w:w="2623" w:type="dxa"/>
            <w:hideMark/>
          </w:tcPr>
          <w:p w14:paraId="167E66FE"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0/54</w:t>
            </w:r>
          </w:p>
        </w:tc>
      </w:tr>
      <w:tr w:rsidR="007D4266" w:rsidRPr="005617F2" w14:paraId="61F6FAB7" w14:textId="77777777" w:rsidTr="005D0B1D">
        <w:trPr>
          <w:trHeight w:val="308"/>
        </w:trPr>
        <w:tc>
          <w:tcPr>
            <w:tcW w:w="0" w:type="auto"/>
            <w:vMerge/>
            <w:hideMark/>
          </w:tcPr>
          <w:p w14:paraId="1B6BB52A" w14:textId="77777777" w:rsidR="007D4266" w:rsidRPr="005617F2" w:rsidRDefault="007D4266" w:rsidP="005617F2">
            <w:pPr>
              <w:keepNext/>
              <w:keepLines/>
              <w:spacing w:after="60"/>
              <w:rPr>
                <w:rFonts w:ascii="Arial Narrow" w:hAnsi="Arial Narrow"/>
                <w:sz w:val="20"/>
                <w:szCs w:val="20"/>
                <w:lang w:val="en-US" w:eastAsia="en-GB"/>
              </w:rPr>
            </w:pPr>
          </w:p>
        </w:tc>
        <w:tc>
          <w:tcPr>
            <w:tcW w:w="2268" w:type="dxa"/>
            <w:hideMark/>
          </w:tcPr>
          <w:p w14:paraId="0E11CBBA" w14:textId="77777777" w:rsidR="007D4266" w:rsidRPr="005617F2" w:rsidRDefault="007D4266" w:rsidP="005617F2">
            <w:pPr>
              <w:keepNext/>
              <w:keepLines/>
              <w:tabs>
                <w:tab w:val="left" w:pos="720"/>
              </w:tabs>
              <w:spacing w:after="60"/>
              <w:rPr>
                <w:rFonts w:ascii="Arial Narrow" w:hAnsi="Arial Narrow"/>
                <w:sz w:val="20"/>
                <w:szCs w:val="20"/>
                <w:lang w:val="en-US" w:eastAsia="en-GB"/>
              </w:rPr>
            </w:pPr>
            <w:r w:rsidRPr="005617F2">
              <w:rPr>
                <w:rFonts w:ascii="Arial Narrow" w:hAnsi="Arial Narrow"/>
                <w:sz w:val="20"/>
                <w:szCs w:val="20"/>
                <w:lang w:val="en-US" w:eastAsia="en-GB"/>
              </w:rPr>
              <w:t>INI</w:t>
            </w:r>
          </w:p>
        </w:tc>
        <w:tc>
          <w:tcPr>
            <w:tcW w:w="2622" w:type="dxa"/>
            <w:hideMark/>
          </w:tcPr>
          <w:p w14:paraId="5BC14C46"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6/385 (1.6)</w:t>
            </w:r>
          </w:p>
        </w:tc>
        <w:tc>
          <w:tcPr>
            <w:tcW w:w="2623" w:type="dxa"/>
            <w:hideMark/>
          </w:tcPr>
          <w:p w14:paraId="219811FE"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9/382 (2.4)</w:t>
            </w:r>
          </w:p>
        </w:tc>
      </w:tr>
      <w:tr w:rsidR="007D4266" w:rsidRPr="005617F2" w14:paraId="6766994F" w14:textId="77777777" w:rsidTr="005D0B1D">
        <w:trPr>
          <w:trHeight w:val="308"/>
        </w:trPr>
        <w:tc>
          <w:tcPr>
            <w:tcW w:w="0" w:type="auto"/>
            <w:vMerge/>
            <w:hideMark/>
          </w:tcPr>
          <w:p w14:paraId="5AFD1638" w14:textId="77777777" w:rsidR="007D4266" w:rsidRPr="005617F2" w:rsidRDefault="007D4266" w:rsidP="005617F2">
            <w:pPr>
              <w:keepNext/>
              <w:keepLines/>
              <w:spacing w:after="60"/>
              <w:rPr>
                <w:rFonts w:ascii="Arial Narrow" w:hAnsi="Arial Narrow"/>
                <w:sz w:val="20"/>
                <w:szCs w:val="20"/>
                <w:lang w:val="en-US" w:eastAsia="en-GB"/>
              </w:rPr>
            </w:pPr>
          </w:p>
        </w:tc>
        <w:tc>
          <w:tcPr>
            <w:tcW w:w="2268" w:type="dxa"/>
            <w:hideMark/>
          </w:tcPr>
          <w:p w14:paraId="3A4A5715" w14:textId="77777777" w:rsidR="007D4266" w:rsidRPr="005617F2" w:rsidRDefault="007D4266" w:rsidP="005617F2">
            <w:pPr>
              <w:keepNext/>
              <w:keepLines/>
              <w:tabs>
                <w:tab w:val="left" w:pos="720"/>
              </w:tabs>
              <w:spacing w:after="60"/>
              <w:rPr>
                <w:rFonts w:ascii="Arial Narrow" w:hAnsi="Arial Narrow"/>
                <w:sz w:val="20"/>
                <w:szCs w:val="20"/>
                <w:lang w:val="en-US" w:eastAsia="en-GB"/>
              </w:rPr>
            </w:pPr>
            <w:r w:rsidRPr="005617F2">
              <w:rPr>
                <w:rFonts w:ascii="Arial Narrow" w:hAnsi="Arial Narrow"/>
                <w:sz w:val="20"/>
                <w:szCs w:val="20"/>
                <w:lang w:val="en-US" w:eastAsia="en-GB"/>
              </w:rPr>
              <w:t>NNRTIs</w:t>
            </w:r>
          </w:p>
        </w:tc>
        <w:tc>
          <w:tcPr>
            <w:tcW w:w="2622" w:type="dxa"/>
            <w:hideMark/>
          </w:tcPr>
          <w:p w14:paraId="50FB9A51"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4/155 (2.6)</w:t>
            </w:r>
          </w:p>
        </w:tc>
        <w:tc>
          <w:tcPr>
            <w:tcW w:w="2623" w:type="dxa"/>
            <w:hideMark/>
          </w:tcPr>
          <w:p w14:paraId="5F5BFF86" w14:textId="77777777" w:rsidR="007D4266" w:rsidRPr="005617F2" w:rsidRDefault="007D4266" w:rsidP="005617F2">
            <w:pPr>
              <w:keepNext/>
              <w:keepLines/>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1/155 (0.6)</w:t>
            </w:r>
          </w:p>
        </w:tc>
      </w:tr>
    </w:tbl>
    <w:p w14:paraId="66145F89" w14:textId="77777777" w:rsidR="007D4266" w:rsidRPr="005617F2" w:rsidRDefault="007D4266" w:rsidP="008E26DE">
      <w:pPr>
        <w:tabs>
          <w:tab w:val="left" w:pos="720"/>
        </w:tabs>
        <w:spacing w:line="240" w:lineRule="auto"/>
        <w:rPr>
          <w:rFonts w:ascii="Arial Narrow" w:hAnsi="Arial Narrow"/>
          <w:sz w:val="18"/>
          <w:szCs w:val="18"/>
          <w:lang w:eastAsia="en-GB"/>
        </w:rPr>
      </w:pPr>
      <w:r w:rsidRPr="005617F2">
        <w:rPr>
          <w:rFonts w:ascii="Arial Narrow" w:hAnsi="Arial Narrow"/>
          <w:sz w:val="18"/>
          <w:szCs w:val="18"/>
          <w:lang w:eastAsia="en-GB"/>
        </w:rPr>
        <w:t>BMI= body mass index</w:t>
      </w:r>
      <w:r w:rsidRPr="005617F2">
        <w:rPr>
          <w:rFonts w:ascii="Arial Narrow" w:hAnsi="Arial Narrow"/>
          <w:sz w:val="18"/>
          <w:szCs w:val="18"/>
          <w:lang w:eastAsia="en-GB"/>
        </w:rPr>
        <w:br/>
        <w:t>PI= Protease inhibitor</w:t>
      </w:r>
      <w:r w:rsidRPr="005617F2">
        <w:rPr>
          <w:rFonts w:ascii="Arial Narrow" w:hAnsi="Arial Narrow"/>
          <w:sz w:val="18"/>
          <w:szCs w:val="18"/>
          <w:lang w:eastAsia="en-GB"/>
        </w:rPr>
        <w:br/>
        <w:t>INI= Integrase inhibitor</w:t>
      </w:r>
      <w:r w:rsidRPr="005617F2">
        <w:rPr>
          <w:rFonts w:ascii="Arial Narrow" w:hAnsi="Arial Narrow"/>
          <w:sz w:val="18"/>
          <w:szCs w:val="18"/>
          <w:lang w:eastAsia="en-GB"/>
        </w:rPr>
        <w:br/>
        <w:t>NNRTI= non-nucleoside reverse transcriptase inhibitor</w:t>
      </w:r>
    </w:p>
    <w:p w14:paraId="007D904A" w14:textId="77777777" w:rsidR="007D4266" w:rsidRPr="005617F2" w:rsidRDefault="007D4266" w:rsidP="008E26DE">
      <w:pPr>
        <w:tabs>
          <w:tab w:val="left" w:pos="720"/>
        </w:tabs>
        <w:rPr>
          <w:rFonts w:ascii="Arial" w:hAnsi="Arial" w:cs="Arial"/>
          <w:lang w:val="en"/>
        </w:rPr>
      </w:pPr>
      <w:r w:rsidRPr="005617F2">
        <w:rPr>
          <w:rFonts w:ascii="Arial" w:hAnsi="Arial" w:cs="Arial"/>
          <w:lang w:val="en"/>
        </w:rPr>
        <w:t>In both the FLAIR and ATLAS studies, treatment differences across baseline characteristics (CD4+ count, gender, age, race, BMI, baseline third agent treatment class) were comparable.</w:t>
      </w:r>
    </w:p>
    <w:p w14:paraId="011F8769" w14:textId="092FD41C" w:rsidR="007D4266" w:rsidRPr="001D4A64" w:rsidRDefault="007D4266" w:rsidP="008E26DE">
      <w:pPr>
        <w:tabs>
          <w:tab w:val="left" w:pos="720"/>
        </w:tabs>
        <w:rPr>
          <w:rFonts w:ascii="Arial" w:hAnsi="Arial" w:cs="Arial"/>
          <w:lang w:val="en"/>
        </w:rPr>
      </w:pPr>
      <w:r w:rsidRPr="005617F2">
        <w:rPr>
          <w:rFonts w:ascii="Arial" w:hAnsi="Arial" w:cs="Arial"/>
          <w:lang w:val="en"/>
        </w:rPr>
        <w:t xml:space="preserve">Subjects in both FLAIR and ATLAS were </w:t>
      </w:r>
      <w:proofErr w:type="spellStart"/>
      <w:r w:rsidRPr="005617F2">
        <w:rPr>
          <w:rFonts w:ascii="Arial" w:hAnsi="Arial" w:cs="Arial"/>
          <w:lang w:val="en"/>
        </w:rPr>
        <w:t>virologically</w:t>
      </w:r>
      <w:proofErr w:type="spellEnd"/>
      <w:r w:rsidRPr="005617F2">
        <w:rPr>
          <w:rFonts w:ascii="Arial" w:hAnsi="Arial" w:cs="Arial"/>
          <w:lang w:val="en"/>
        </w:rPr>
        <w:t xml:space="preserve"> suppressed prior to Day 1 or study entry, respectively, and a clinically relevant change from baseline in CD4+ cell counts was not </w:t>
      </w:r>
      <w:r w:rsidRPr="001D4A64">
        <w:rPr>
          <w:rFonts w:ascii="Arial" w:hAnsi="Arial" w:cs="Arial"/>
          <w:lang w:val="en"/>
        </w:rPr>
        <w:t>observed.</w:t>
      </w:r>
    </w:p>
    <w:p w14:paraId="4F3822BC" w14:textId="7A03A5DE" w:rsidR="001D4A64" w:rsidRDefault="001D4A64" w:rsidP="001D4A64">
      <w:pPr>
        <w:rPr>
          <w:rFonts w:ascii="Arial" w:eastAsia="MS Mincho" w:hAnsi="Arial" w:cs="Arial"/>
        </w:rPr>
      </w:pPr>
      <w:bookmarkStart w:id="33" w:name="_Hlk41663545"/>
      <w:r w:rsidRPr="00D13251">
        <w:rPr>
          <w:rFonts w:ascii="Arial" w:eastAsia="MS Mincho" w:hAnsi="Arial" w:cs="Arial"/>
        </w:rPr>
        <w:t xml:space="preserve">In the FLAIR study at 96 Weeks, the results remained consistent with the results at 48 Weeks. </w:t>
      </w:r>
      <w:bookmarkEnd w:id="33"/>
      <w:r w:rsidRPr="00D13251">
        <w:rPr>
          <w:rFonts w:ascii="Arial" w:eastAsia="MS Mincho" w:hAnsi="Arial" w:cs="Arial"/>
        </w:rPr>
        <w:t xml:space="preserve"> The proportion of subjects having plasma HIV-1 RNA ≥50 c/mL in cabotegravir plus rilpivirine (n=283) and CAR (n=283) was 3.2% and 3.2% respectively (adjusted treatment difference between cabotegravir plus rilpivirine and CAR [0.0; 95% CI: -2.9, 2.9]).  The proportion of subjects having plasma HIV-1 RNA &lt;50 c/mL in cabotegravir plus rilpivirine and CAR was 87% and 89%, respectively (adjusted treatment difference between cabotegravir plus rilpivirine and CAR [-2.8; 95% CI: -8.2, 2.5]).</w:t>
      </w:r>
    </w:p>
    <w:p w14:paraId="78FF39D2" w14:textId="725A1703" w:rsidR="001D4A64" w:rsidRDefault="001D4A64" w:rsidP="001D4A64">
      <w:pPr>
        <w:rPr>
          <w:rFonts w:ascii="Arial" w:eastAsia="MS Mincho" w:hAnsi="Arial" w:cs="Arial"/>
        </w:rPr>
      </w:pPr>
    </w:p>
    <w:p w14:paraId="5EB9138C" w14:textId="2D477E1F" w:rsidR="001D4A64" w:rsidRPr="00D13251" w:rsidRDefault="001D4A64" w:rsidP="001D4A64">
      <w:pPr>
        <w:keepNext/>
        <w:rPr>
          <w:rFonts w:ascii="Arial" w:eastAsia="MS Mincho" w:hAnsi="Arial" w:cs="Arial"/>
          <w:b/>
          <w:i/>
        </w:rPr>
      </w:pPr>
      <w:bookmarkStart w:id="34" w:name="_Hlk29507809"/>
      <w:r w:rsidRPr="00D13251">
        <w:rPr>
          <w:rFonts w:ascii="Arial" w:hAnsi="Arial" w:cs="Arial"/>
          <w:b/>
          <w:i/>
        </w:rPr>
        <w:lastRenderedPageBreak/>
        <w:t xml:space="preserve">Every 2 </w:t>
      </w:r>
      <w:r w:rsidR="00C5247F">
        <w:rPr>
          <w:rFonts w:ascii="Arial" w:hAnsi="Arial" w:cs="Arial"/>
          <w:b/>
          <w:i/>
        </w:rPr>
        <w:t>M</w:t>
      </w:r>
      <w:r w:rsidRPr="00D13251">
        <w:rPr>
          <w:rFonts w:ascii="Arial" w:hAnsi="Arial" w:cs="Arial"/>
          <w:b/>
          <w:i/>
        </w:rPr>
        <w:t xml:space="preserve">onth </w:t>
      </w:r>
      <w:r w:rsidR="00C5247F">
        <w:rPr>
          <w:rFonts w:ascii="Arial" w:hAnsi="Arial" w:cs="Arial"/>
          <w:b/>
          <w:i/>
        </w:rPr>
        <w:t>D</w:t>
      </w:r>
      <w:r w:rsidRPr="00D13251">
        <w:rPr>
          <w:rFonts w:ascii="Arial" w:hAnsi="Arial" w:cs="Arial"/>
          <w:b/>
          <w:i/>
        </w:rPr>
        <w:t>osing</w:t>
      </w:r>
    </w:p>
    <w:p w14:paraId="7D2FDBFD" w14:textId="77777777" w:rsidR="001D4A64" w:rsidRPr="00D13251" w:rsidRDefault="001D4A64" w:rsidP="008E26DE">
      <w:pPr>
        <w:autoSpaceDE w:val="0"/>
        <w:autoSpaceDN w:val="0"/>
        <w:adjustRightInd w:val="0"/>
        <w:rPr>
          <w:rFonts w:ascii="Arial" w:hAnsi="Arial" w:cs="Arial"/>
        </w:rPr>
      </w:pPr>
      <w:bookmarkStart w:id="35" w:name="_Hlk41663325"/>
      <w:r w:rsidRPr="00D13251">
        <w:rPr>
          <w:rFonts w:ascii="Arial" w:hAnsi="Arial" w:cs="Arial"/>
        </w:rPr>
        <w:t xml:space="preserve">The efficacy and safety of cabotegravir injection given every 2 months, has been evaluated in one Phase </w:t>
      </w:r>
      <w:proofErr w:type="spellStart"/>
      <w:r w:rsidRPr="00D13251">
        <w:rPr>
          <w:rFonts w:ascii="Arial" w:hAnsi="Arial" w:cs="Arial"/>
        </w:rPr>
        <w:t>IIIb</w:t>
      </w:r>
      <w:proofErr w:type="spellEnd"/>
      <w:r w:rsidRPr="00D13251">
        <w:rPr>
          <w:rFonts w:ascii="Arial" w:hAnsi="Arial" w:cs="Arial"/>
        </w:rPr>
        <w:t xml:space="preserve"> randomised, multicentre, parallel-arm, open-label, non-inferiority study, ATLAS-2M (207966). The primary analysis was conducted after all subjects completed their Week 48 visit or discontinued the study prematurely.</w:t>
      </w:r>
    </w:p>
    <w:p w14:paraId="30177BF6" w14:textId="4D76F496" w:rsidR="001D4A64" w:rsidRPr="00D13251" w:rsidRDefault="001D4A64" w:rsidP="008E26DE">
      <w:pPr>
        <w:autoSpaceDE w:val="0"/>
        <w:autoSpaceDN w:val="0"/>
        <w:adjustRightInd w:val="0"/>
        <w:rPr>
          <w:rFonts w:ascii="Arial" w:hAnsi="Arial" w:cs="Arial"/>
        </w:rPr>
      </w:pPr>
      <w:bookmarkStart w:id="36" w:name="_Hlk41665109"/>
      <w:bookmarkEnd w:id="35"/>
      <w:r w:rsidRPr="00D13251">
        <w:rPr>
          <w:rFonts w:ascii="Arial" w:hAnsi="Arial" w:cs="Arial"/>
        </w:rPr>
        <w:t>In ATLAS-2M, 1045 HIV-1 infected, ART experienced, virologically suppressed subjects were randomised (1:1) and received a cabotegravir plus rilpivirine injection regimen administered either every 2 months or monthly. Subjects initially on non-</w:t>
      </w:r>
      <w:r w:rsidR="00292C3F" w:rsidRPr="00292C3F">
        <w:rPr>
          <w:rFonts w:ascii="Arial" w:eastAsia="MS Mincho" w:hAnsi="Arial" w:cs="Arial"/>
        </w:rPr>
        <w:t xml:space="preserve"> </w:t>
      </w:r>
      <w:r w:rsidR="00292C3F" w:rsidRPr="00D13251">
        <w:rPr>
          <w:rFonts w:ascii="Arial" w:eastAsia="MS Mincho" w:hAnsi="Arial" w:cs="Arial"/>
        </w:rPr>
        <w:t xml:space="preserve">cabotegravir plus rilpivirine </w:t>
      </w:r>
      <w:r w:rsidRPr="00D13251">
        <w:rPr>
          <w:rFonts w:ascii="Arial" w:hAnsi="Arial" w:cs="Arial"/>
        </w:rPr>
        <w:t xml:space="preserve">treatment received oral lead-in treatment comprising one cabotegravir 30 mg tablet plus one rilpivirine 25 mg tablet, daily, for at least 4 weeks. Subjects randomised to monthly cabotegravir injections (month 1: 600 mg injection, month 2 onwards: 400 mg injection) and rilpivirine injections (month 1: 900 mg injection, month 2 onwards: 600 mg injection administered) received treatment for an additional 44 weeks. Subjects randomised to every 2 month cabotegravir injections (600 mg injection at months 1, 2, 4 and every 2 months thereafter) and rilpivirine injections (900 mg injection at months 1, 2, 4 and every 2 months thereafter) for an additional 44 weeks. Prior to randomisation, 63%, 13% and 24% of subjects received </w:t>
      </w:r>
      <w:r w:rsidR="00292C3F" w:rsidRPr="00D13251">
        <w:rPr>
          <w:rFonts w:ascii="Arial" w:eastAsia="MS Mincho" w:hAnsi="Arial" w:cs="Arial"/>
        </w:rPr>
        <w:t xml:space="preserve">cabotegravir plus rilpivirine </w:t>
      </w:r>
      <w:r w:rsidRPr="00D13251">
        <w:rPr>
          <w:rFonts w:ascii="Arial" w:hAnsi="Arial" w:cs="Arial"/>
        </w:rPr>
        <w:t>for 0 weeks, 1 to 24 weeks and &gt;24 weeks, respectively.</w:t>
      </w:r>
    </w:p>
    <w:bookmarkEnd w:id="36"/>
    <w:p w14:paraId="0FFB5A5F" w14:textId="77777777" w:rsidR="001D4A64" w:rsidRPr="00D13251" w:rsidRDefault="001D4A64" w:rsidP="001D4A64">
      <w:pPr>
        <w:rPr>
          <w:rFonts w:ascii="Arial" w:eastAsia="MS Mincho" w:hAnsi="Arial" w:cs="Arial"/>
        </w:rPr>
      </w:pPr>
      <w:r w:rsidRPr="00D13251">
        <w:rPr>
          <w:rFonts w:ascii="Arial" w:hAnsi="Arial" w:cs="Arial"/>
        </w:rPr>
        <w:t>At baseline, the median age of subjects was 42 years, 27% were female, 27% were non-white and 6% had a CD4+ cell count less than 350 cells per mm</w:t>
      </w:r>
      <w:r w:rsidRPr="00D13251">
        <w:rPr>
          <w:rFonts w:ascii="Arial" w:hAnsi="Arial" w:cs="Arial"/>
          <w:vertAlign w:val="superscript"/>
        </w:rPr>
        <w:t>3</w:t>
      </w:r>
      <w:r w:rsidRPr="00D13251">
        <w:rPr>
          <w:rFonts w:ascii="Arial" w:hAnsi="Arial" w:cs="Arial"/>
        </w:rPr>
        <w:t>; these characteristics were similar between the treatment arms.</w:t>
      </w:r>
    </w:p>
    <w:p w14:paraId="38C6A55C" w14:textId="69449413" w:rsidR="001D4A64" w:rsidRPr="00D13251" w:rsidRDefault="001D4A64" w:rsidP="008E26DE">
      <w:pPr>
        <w:rPr>
          <w:rFonts w:ascii="Arial" w:hAnsi="Arial" w:cs="Arial"/>
        </w:rPr>
      </w:pPr>
      <w:r w:rsidRPr="00D13251">
        <w:rPr>
          <w:rFonts w:ascii="Arial" w:hAnsi="Arial" w:cs="Arial"/>
        </w:rPr>
        <w:t xml:space="preserve">The primary endpoint in ATLAS-2M was the proportion of subjects with a plasma HIV-1 RNA </w:t>
      </w:r>
      <w:r w:rsidR="00C5247F">
        <w:rPr>
          <w:rFonts w:ascii="Arial" w:hAnsi="Arial" w:cs="Arial"/>
        </w:rPr>
        <w:t>≥</w:t>
      </w:r>
      <w:r w:rsidRPr="00D13251">
        <w:rPr>
          <w:rFonts w:ascii="Arial" w:hAnsi="Arial" w:cs="Arial"/>
        </w:rPr>
        <w:t xml:space="preserve">50 c/mL at Week 48 (snapshot algorithm for the ITT-E population). </w:t>
      </w:r>
    </w:p>
    <w:bookmarkEnd w:id="34"/>
    <w:p w14:paraId="37C292C3" w14:textId="3BC396F3" w:rsidR="001D4A64" w:rsidRPr="00D13251" w:rsidRDefault="001D4A64" w:rsidP="008E26DE">
      <w:pPr>
        <w:rPr>
          <w:rFonts w:ascii="Arial" w:hAnsi="Arial" w:cs="Arial"/>
        </w:rPr>
      </w:pPr>
      <w:r w:rsidRPr="00D13251">
        <w:rPr>
          <w:rFonts w:ascii="Arial" w:hAnsi="Arial" w:cs="Arial"/>
        </w:rPr>
        <w:t xml:space="preserve">In ATLAS-2M, cabotegravir </w:t>
      </w:r>
      <w:r w:rsidR="00292C3F">
        <w:rPr>
          <w:rFonts w:ascii="Arial" w:hAnsi="Arial" w:cs="Arial"/>
        </w:rPr>
        <w:t>and</w:t>
      </w:r>
      <w:r w:rsidRPr="00D13251">
        <w:rPr>
          <w:rFonts w:ascii="Arial" w:hAnsi="Arial" w:cs="Arial"/>
        </w:rPr>
        <w:t xml:space="preserve"> rilpivirine administered every 2 months was non-inferior to cabotegravir and rilpivirine administered every month on the proportion of subjects having plasma HIV-1 RNA ≥50 c/mL (1.7% and 1.0% respectively) at Week 48. The adjusted treatment difference between cabotegravir </w:t>
      </w:r>
      <w:r w:rsidR="00292C3F">
        <w:rPr>
          <w:rFonts w:ascii="Arial" w:hAnsi="Arial" w:cs="Arial"/>
        </w:rPr>
        <w:t>and</w:t>
      </w:r>
      <w:r w:rsidRPr="00D13251">
        <w:rPr>
          <w:rFonts w:ascii="Arial" w:hAnsi="Arial" w:cs="Arial"/>
        </w:rPr>
        <w:t xml:space="preserve"> rilpivirine administered every 2 months and every month (0.8; 95% CI: -0.6, 2.2) met the non-inferiority criterion (upper bound of the 95% CI below 4%). Furthermore, cabotegravir </w:t>
      </w:r>
      <w:r w:rsidR="00292C3F">
        <w:rPr>
          <w:rFonts w:ascii="Arial" w:hAnsi="Arial" w:cs="Arial"/>
        </w:rPr>
        <w:t>and</w:t>
      </w:r>
      <w:r w:rsidRPr="00D13251">
        <w:rPr>
          <w:rFonts w:ascii="Arial" w:hAnsi="Arial" w:cs="Arial"/>
        </w:rPr>
        <w:t xml:space="preserve"> rilpivirine dosed every 2 months was non-inferior to </w:t>
      </w:r>
      <w:r w:rsidR="00292C3F" w:rsidRPr="00D13251">
        <w:rPr>
          <w:rFonts w:ascii="Arial" w:eastAsia="MS Mincho" w:hAnsi="Arial" w:cs="Arial"/>
        </w:rPr>
        <w:t xml:space="preserve">cabotegravir plus rilpivirine </w:t>
      </w:r>
      <w:r w:rsidRPr="00D13251">
        <w:rPr>
          <w:rFonts w:ascii="Arial" w:hAnsi="Arial" w:cs="Arial"/>
        </w:rPr>
        <w:t>dosed every month on the proportion of subjects having plasma HIV-1 RNA &lt;50 c/mL</w:t>
      </w:r>
      <w:r w:rsidRPr="00D13251">
        <w:rPr>
          <w:rFonts w:ascii="Arial" w:hAnsi="Arial" w:cs="Arial"/>
          <w:color w:val="FF0000"/>
        </w:rPr>
        <w:t xml:space="preserve"> </w:t>
      </w:r>
      <w:r w:rsidRPr="00D13251">
        <w:rPr>
          <w:rFonts w:ascii="Arial" w:hAnsi="Arial" w:cs="Arial"/>
        </w:rPr>
        <w:t xml:space="preserve">(94% and 93%, respectively) at Week 48. The adjusted treatment difference between cabotegravir </w:t>
      </w:r>
      <w:r w:rsidR="00292C3F">
        <w:rPr>
          <w:rFonts w:ascii="Arial" w:hAnsi="Arial" w:cs="Arial"/>
        </w:rPr>
        <w:t>and</w:t>
      </w:r>
      <w:r w:rsidRPr="00D13251">
        <w:rPr>
          <w:rFonts w:ascii="Arial" w:hAnsi="Arial" w:cs="Arial"/>
        </w:rPr>
        <w:t xml:space="preserve"> rilpivirine dosed every 2 months and monthly (0.8; 95% CI: -2.1, 3.7) met the non-inferiority criteria (lower bound of the 95% CI greater than -10%. [See Table </w:t>
      </w:r>
      <w:r w:rsidR="00936270">
        <w:rPr>
          <w:rFonts w:ascii="Arial" w:hAnsi="Arial" w:cs="Arial"/>
        </w:rPr>
        <w:t>11</w:t>
      </w:r>
      <w:r w:rsidRPr="00D13251">
        <w:rPr>
          <w:rFonts w:ascii="Arial" w:hAnsi="Arial" w:cs="Arial"/>
        </w:rPr>
        <w:t>]).</w:t>
      </w:r>
    </w:p>
    <w:p w14:paraId="148D26AB" w14:textId="2E9528E4" w:rsidR="001D4A64" w:rsidRPr="001D4A64" w:rsidRDefault="001D4A64" w:rsidP="008E26DE">
      <w:pPr>
        <w:pageBreakBefore/>
        <w:autoSpaceDE w:val="0"/>
        <w:autoSpaceDN w:val="0"/>
        <w:adjustRightInd w:val="0"/>
        <w:rPr>
          <w:rFonts w:ascii="Arial" w:hAnsi="Arial" w:cs="Arial"/>
          <w:b/>
        </w:rPr>
      </w:pPr>
      <w:r w:rsidRPr="001D4A64">
        <w:rPr>
          <w:rFonts w:ascii="Arial" w:hAnsi="Arial" w:cs="Arial"/>
          <w:b/>
          <w:bCs/>
        </w:rPr>
        <w:lastRenderedPageBreak/>
        <w:t xml:space="preserve">Table </w:t>
      </w:r>
      <w:r w:rsidR="00936270">
        <w:rPr>
          <w:rFonts w:ascii="Arial" w:hAnsi="Arial" w:cs="Arial"/>
          <w:b/>
          <w:bCs/>
        </w:rPr>
        <w:t>11</w:t>
      </w:r>
      <w:r w:rsidRPr="001D4A64">
        <w:rPr>
          <w:rFonts w:ascii="Arial" w:hAnsi="Arial" w:cs="Arial"/>
          <w:b/>
          <w:bCs/>
        </w:rPr>
        <w:t xml:space="preserve"> </w:t>
      </w:r>
      <w:r w:rsidRPr="00B20EC9">
        <w:rPr>
          <w:rFonts w:ascii="Arial" w:hAnsi="Arial" w:cs="Arial"/>
        </w:rPr>
        <w:tab/>
      </w:r>
      <w:proofErr w:type="spellStart"/>
      <w:r w:rsidRPr="001D4A64">
        <w:rPr>
          <w:rFonts w:ascii="Arial" w:hAnsi="Arial" w:cs="Arial"/>
          <w:b/>
          <w:bCs/>
        </w:rPr>
        <w:t>Virologic</w:t>
      </w:r>
      <w:proofErr w:type="spellEnd"/>
      <w:r w:rsidRPr="001D4A64">
        <w:rPr>
          <w:rFonts w:ascii="Arial" w:hAnsi="Arial" w:cs="Arial"/>
          <w:b/>
          <w:bCs/>
        </w:rPr>
        <w:t xml:space="preserve"> Outcomes of Randomized Treatment for ATLAS-2M at 48 Weeks (Snapshot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551"/>
        <w:gridCol w:w="2578"/>
      </w:tblGrid>
      <w:tr w:rsidR="001D4A64" w:rsidRPr="001D4A64" w14:paraId="0379EFB4" w14:textId="77777777" w:rsidTr="008E26DE">
        <w:trPr>
          <w:tblHeader/>
        </w:trPr>
        <w:tc>
          <w:tcPr>
            <w:tcW w:w="3369" w:type="dxa"/>
          </w:tcPr>
          <w:p w14:paraId="061134DB" w14:textId="77777777" w:rsidR="001D4A64" w:rsidRPr="00D13251" w:rsidRDefault="001D4A64" w:rsidP="008E26DE">
            <w:pPr>
              <w:pStyle w:val="tabletextNS"/>
              <w:rPr>
                <w:rFonts w:cs="Arial"/>
                <w:sz w:val="20"/>
              </w:rPr>
            </w:pPr>
          </w:p>
        </w:tc>
        <w:tc>
          <w:tcPr>
            <w:tcW w:w="2551" w:type="dxa"/>
          </w:tcPr>
          <w:p w14:paraId="5D257B04" w14:textId="77777777" w:rsidR="001D4A64" w:rsidRPr="00D13251" w:rsidRDefault="001D4A64" w:rsidP="008E26DE">
            <w:pPr>
              <w:pStyle w:val="tabletextNS"/>
              <w:jc w:val="center"/>
              <w:rPr>
                <w:rFonts w:cs="Arial"/>
                <w:b/>
                <w:sz w:val="20"/>
              </w:rPr>
            </w:pPr>
            <w:r w:rsidRPr="00D13251">
              <w:rPr>
                <w:rFonts w:cs="Arial"/>
                <w:b/>
                <w:bCs/>
                <w:sz w:val="20"/>
              </w:rPr>
              <w:t>2 month Dosing (Q8W)</w:t>
            </w:r>
          </w:p>
        </w:tc>
        <w:tc>
          <w:tcPr>
            <w:tcW w:w="2578" w:type="dxa"/>
          </w:tcPr>
          <w:p w14:paraId="01ED30E8" w14:textId="77777777" w:rsidR="001D4A64" w:rsidRPr="00D13251" w:rsidRDefault="001D4A64" w:rsidP="008E26DE">
            <w:pPr>
              <w:pStyle w:val="tabletextNS"/>
              <w:jc w:val="center"/>
              <w:rPr>
                <w:rFonts w:cs="Arial"/>
                <w:b/>
                <w:sz w:val="20"/>
              </w:rPr>
            </w:pPr>
            <w:r w:rsidRPr="00D13251">
              <w:rPr>
                <w:rFonts w:cs="Arial"/>
                <w:b/>
                <w:bCs/>
                <w:sz w:val="20"/>
              </w:rPr>
              <w:t>Monthly Dosing (Q4W)</w:t>
            </w:r>
          </w:p>
        </w:tc>
      </w:tr>
      <w:tr w:rsidR="001D4A64" w:rsidRPr="001D4A64" w14:paraId="7B9F9A41" w14:textId="77777777" w:rsidTr="00417380">
        <w:tc>
          <w:tcPr>
            <w:tcW w:w="3369" w:type="dxa"/>
          </w:tcPr>
          <w:p w14:paraId="77ED8170" w14:textId="77777777" w:rsidR="001D4A64" w:rsidRPr="00D13251" w:rsidRDefault="001D4A64" w:rsidP="008E26DE">
            <w:pPr>
              <w:pStyle w:val="tabletextNS"/>
              <w:rPr>
                <w:rFonts w:cs="Arial"/>
                <w:sz w:val="20"/>
              </w:rPr>
            </w:pPr>
          </w:p>
        </w:tc>
        <w:tc>
          <w:tcPr>
            <w:tcW w:w="2551" w:type="dxa"/>
          </w:tcPr>
          <w:p w14:paraId="6D8BAD98" w14:textId="77777777" w:rsidR="001D4A64" w:rsidRPr="00D13251" w:rsidRDefault="001D4A64" w:rsidP="008E26DE">
            <w:pPr>
              <w:pStyle w:val="tabletextNS"/>
              <w:jc w:val="center"/>
              <w:rPr>
                <w:rFonts w:cs="Arial"/>
                <w:b/>
                <w:sz w:val="20"/>
              </w:rPr>
            </w:pPr>
            <w:r w:rsidRPr="00D13251">
              <w:rPr>
                <w:rFonts w:cs="Arial"/>
                <w:b/>
                <w:bCs/>
                <w:sz w:val="20"/>
              </w:rPr>
              <w:t>N=522 (%)</w:t>
            </w:r>
          </w:p>
        </w:tc>
        <w:tc>
          <w:tcPr>
            <w:tcW w:w="2578" w:type="dxa"/>
          </w:tcPr>
          <w:p w14:paraId="228FA452" w14:textId="77777777" w:rsidR="001D4A64" w:rsidRPr="00D13251" w:rsidRDefault="001D4A64" w:rsidP="008E26DE">
            <w:pPr>
              <w:pStyle w:val="tabletextNS"/>
              <w:jc w:val="center"/>
              <w:rPr>
                <w:rFonts w:cs="Arial"/>
                <w:b/>
                <w:sz w:val="20"/>
              </w:rPr>
            </w:pPr>
            <w:r w:rsidRPr="00D13251">
              <w:rPr>
                <w:rFonts w:cs="Arial"/>
                <w:b/>
                <w:bCs/>
                <w:sz w:val="20"/>
              </w:rPr>
              <w:t>N=523 (%)</w:t>
            </w:r>
          </w:p>
        </w:tc>
      </w:tr>
      <w:tr w:rsidR="001D4A64" w:rsidRPr="001D4A64" w14:paraId="637E0B46" w14:textId="77777777" w:rsidTr="00417380">
        <w:tc>
          <w:tcPr>
            <w:tcW w:w="3369" w:type="dxa"/>
            <w:tcBorders>
              <w:bottom w:val="single" w:sz="4" w:space="0" w:color="auto"/>
            </w:tcBorders>
            <w:vAlign w:val="center"/>
          </w:tcPr>
          <w:p w14:paraId="34ED9FDB" w14:textId="77777777" w:rsidR="001D4A64" w:rsidRPr="00D13251" w:rsidRDefault="001D4A64" w:rsidP="008E26DE">
            <w:pPr>
              <w:pStyle w:val="tabletextNS"/>
              <w:rPr>
                <w:rFonts w:cs="Arial"/>
                <w:b/>
                <w:bCs/>
                <w:sz w:val="20"/>
              </w:rPr>
            </w:pPr>
            <w:r w:rsidRPr="00D13251">
              <w:rPr>
                <w:rFonts w:cs="Arial"/>
                <w:b/>
                <w:bCs/>
                <w:sz w:val="20"/>
              </w:rPr>
              <w:t>HIV-1 RNA≥50 copies/mL</w:t>
            </w:r>
            <w:r w:rsidRPr="00D13251">
              <w:rPr>
                <w:rFonts w:cs="Arial"/>
                <w:b/>
                <w:bCs/>
                <w:sz w:val="20"/>
                <w:vertAlign w:val="superscript"/>
              </w:rPr>
              <w:t>†</w:t>
            </w:r>
          </w:p>
        </w:tc>
        <w:tc>
          <w:tcPr>
            <w:tcW w:w="2551" w:type="dxa"/>
            <w:tcBorders>
              <w:bottom w:val="single" w:sz="4" w:space="0" w:color="auto"/>
            </w:tcBorders>
            <w:vAlign w:val="center"/>
          </w:tcPr>
          <w:p w14:paraId="1B1A724C" w14:textId="77777777" w:rsidR="001D4A64" w:rsidRPr="00D13251" w:rsidRDefault="001D4A64" w:rsidP="008E26DE">
            <w:pPr>
              <w:pStyle w:val="tabletextNS"/>
              <w:jc w:val="center"/>
              <w:rPr>
                <w:rFonts w:cs="Arial"/>
                <w:sz w:val="20"/>
              </w:rPr>
            </w:pPr>
            <w:r w:rsidRPr="00D13251">
              <w:rPr>
                <w:rFonts w:cs="Arial"/>
                <w:sz w:val="20"/>
              </w:rPr>
              <w:t>9 (1.7)</w:t>
            </w:r>
          </w:p>
        </w:tc>
        <w:tc>
          <w:tcPr>
            <w:tcW w:w="2578" w:type="dxa"/>
            <w:tcBorders>
              <w:bottom w:val="single" w:sz="4" w:space="0" w:color="auto"/>
            </w:tcBorders>
            <w:vAlign w:val="center"/>
          </w:tcPr>
          <w:p w14:paraId="609F8A00" w14:textId="77777777" w:rsidR="001D4A64" w:rsidRPr="00D13251" w:rsidRDefault="001D4A64" w:rsidP="008E26DE">
            <w:pPr>
              <w:pStyle w:val="tabletextNS"/>
              <w:jc w:val="center"/>
              <w:rPr>
                <w:rFonts w:cs="Arial"/>
                <w:sz w:val="20"/>
              </w:rPr>
            </w:pPr>
            <w:r w:rsidRPr="00D13251">
              <w:rPr>
                <w:rFonts w:cs="Arial"/>
                <w:sz w:val="20"/>
              </w:rPr>
              <w:t>5 (1.0)</w:t>
            </w:r>
          </w:p>
        </w:tc>
      </w:tr>
      <w:tr w:rsidR="001D4A64" w:rsidRPr="001D4A64" w14:paraId="6E52981B" w14:textId="77777777" w:rsidTr="00417380">
        <w:tc>
          <w:tcPr>
            <w:tcW w:w="3369" w:type="dxa"/>
            <w:vAlign w:val="center"/>
          </w:tcPr>
          <w:p w14:paraId="75835E22" w14:textId="77777777" w:rsidR="001D4A64" w:rsidRPr="00D13251" w:rsidRDefault="001D4A64" w:rsidP="008E26DE">
            <w:pPr>
              <w:pStyle w:val="tabletextNS"/>
              <w:rPr>
                <w:rFonts w:cs="Arial"/>
                <w:b/>
                <w:bCs/>
                <w:sz w:val="20"/>
              </w:rPr>
            </w:pPr>
            <w:r w:rsidRPr="00D13251">
              <w:rPr>
                <w:rFonts w:cs="Arial"/>
                <w:b/>
                <w:bCs/>
                <w:sz w:val="20"/>
              </w:rPr>
              <w:t>Treatment Difference % (95% CI)</w:t>
            </w:r>
            <w:r w:rsidRPr="00D13251">
              <w:rPr>
                <w:rFonts w:cs="Arial"/>
                <w:sz w:val="20"/>
              </w:rPr>
              <w:t xml:space="preserve">* </w:t>
            </w:r>
          </w:p>
        </w:tc>
        <w:tc>
          <w:tcPr>
            <w:tcW w:w="5129" w:type="dxa"/>
            <w:gridSpan w:val="2"/>
            <w:vAlign w:val="center"/>
          </w:tcPr>
          <w:p w14:paraId="4BBF3929" w14:textId="77777777" w:rsidR="001D4A64" w:rsidRPr="00D13251" w:rsidRDefault="001D4A64" w:rsidP="008E26DE">
            <w:pPr>
              <w:pStyle w:val="tabletextNS"/>
              <w:jc w:val="center"/>
              <w:rPr>
                <w:rFonts w:cs="Arial"/>
                <w:sz w:val="20"/>
              </w:rPr>
            </w:pPr>
            <w:r w:rsidRPr="00D13251">
              <w:rPr>
                <w:rFonts w:cs="Arial"/>
                <w:sz w:val="20"/>
              </w:rPr>
              <w:t>0.8 (-0.6, 2.2)</w:t>
            </w:r>
          </w:p>
          <w:p w14:paraId="0200A8A6" w14:textId="77777777" w:rsidR="001D4A64" w:rsidRPr="00D13251" w:rsidRDefault="001D4A64" w:rsidP="008E26DE">
            <w:pPr>
              <w:pStyle w:val="tabletextNS"/>
              <w:jc w:val="center"/>
              <w:rPr>
                <w:rFonts w:cs="Arial"/>
                <w:sz w:val="20"/>
              </w:rPr>
            </w:pPr>
          </w:p>
        </w:tc>
      </w:tr>
      <w:tr w:rsidR="001D4A64" w:rsidRPr="001D4A64" w14:paraId="051D9848" w14:textId="77777777" w:rsidTr="00417380">
        <w:tc>
          <w:tcPr>
            <w:tcW w:w="3369" w:type="dxa"/>
            <w:vAlign w:val="center"/>
          </w:tcPr>
          <w:p w14:paraId="71A23FAA" w14:textId="77777777" w:rsidR="001D4A64" w:rsidRPr="00D13251" w:rsidRDefault="001D4A64" w:rsidP="008E26DE">
            <w:pPr>
              <w:pStyle w:val="tabletextNS"/>
              <w:rPr>
                <w:rFonts w:cs="Arial"/>
                <w:sz w:val="20"/>
              </w:rPr>
            </w:pPr>
            <w:r w:rsidRPr="00D13251">
              <w:rPr>
                <w:rFonts w:cs="Arial"/>
                <w:b/>
                <w:bCs/>
                <w:sz w:val="20"/>
              </w:rPr>
              <w:t>HIV-1 RNA &lt;50 copies/mL</w:t>
            </w:r>
          </w:p>
        </w:tc>
        <w:tc>
          <w:tcPr>
            <w:tcW w:w="2551" w:type="dxa"/>
          </w:tcPr>
          <w:p w14:paraId="78715743" w14:textId="77777777" w:rsidR="001D4A64" w:rsidRPr="00D13251" w:rsidRDefault="001D4A64" w:rsidP="008E26DE">
            <w:pPr>
              <w:pStyle w:val="tabletextNS"/>
              <w:jc w:val="center"/>
              <w:rPr>
                <w:rFonts w:cs="Arial"/>
                <w:sz w:val="20"/>
              </w:rPr>
            </w:pPr>
            <w:r w:rsidRPr="00D13251">
              <w:rPr>
                <w:rFonts w:cs="Arial"/>
                <w:sz w:val="20"/>
              </w:rPr>
              <w:t>492 (94.3)</w:t>
            </w:r>
          </w:p>
        </w:tc>
        <w:tc>
          <w:tcPr>
            <w:tcW w:w="2578" w:type="dxa"/>
          </w:tcPr>
          <w:p w14:paraId="2F2DA4F2" w14:textId="77777777" w:rsidR="001D4A64" w:rsidRPr="00D13251" w:rsidRDefault="001D4A64" w:rsidP="008E26DE">
            <w:pPr>
              <w:pStyle w:val="tabletextNS"/>
              <w:jc w:val="center"/>
              <w:rPr>
                <w:rFonts w:cs="Arial"/>
                <w:sz w:val="20"/>
              </w:rPr>
            </w:pPr>
            <w:r w:rsidRPr="00D13251">
              <w:rPr>
                <w:rFonts w:cs="Arial"/>
                <w:sz w:val="20"/>
              </w:rPr>
              <w:t>489 (93.5)</w:t>
            </w:r>
          </w:p>
        </w:tc>
      </w:tr>
      <w:tr w:rsidR="001D4A64" w:rsidRPr="001D4A64" w14:paraId="4F58F76E" w14:textId="77777777" w:rsidTr="00417380">
        <w:tc>
          <w:tcPr>
            <w:tcW w:w="3369" w:type="dxa"/>
            <w:vAlign w:val="center"/>
          </w:tcPr>
          <w:p w14:paraId="5B67B6C1" w14:textId="77777777" w:rsidR="001D4A64" w:rsidRPr="00D13251" w:rsidRDefault="001D4A64" w:rsidP="008E26DE">
            <w:pPr>
              <w:pStyle w:val="tabletextNS"/>
              <w:rPr>
                <w:rFonts w:cs="Arial"/>
                <w:b/>
                <w:bCs/>
                <w:sz w:val="20"/>
              </w:rPr>
            </w:pPr>
            <w:r w:rsidRPr="00D13251">
              <w:rPr>
                <w:rFonts w:cs="Arial"/>
                <w:sz w:val="20"/>
              </w:rPr>
              <w:t>Treatment Difference % (95% CI)*</w:t>
            </w:r>
          </w:p>
        </w:tc>
        <w:tc>
          <w:tcPr>
            <w:tcW w:w="5129" w:type="dxa"/>
            <w:gridSpan w:val="2"/>
          </w:tcPr>
          <w:p w14:paraId="34DAF796" w14:textId="77777777" w:rsidR="001D4A64" w:rsidRPr="00D13251" w:rsidRDefault="001D4A64" w:rsidP="008E26DE">
            <w:pPr>
              <w:pStyle w:val="Default"/>
              <w:jc w:val="center"/>
              <w:rPr>
                <w:rFonts w:ascii="Arial Narrow" w:hAnsi="Arial Narrow" w:cs="Arial"/>
                <w:sz w:val="20"/>
                <w:szCs w:val="20"/>
              </w:rPr>
            </w:pPr>
            <w:r w:rsidRPr="00D13251">
              <w:rPr>
                <w:rFonts w:ascii="Arial Narrow" w:hAnsi="Arial Narrow" w:cs="Arial"/>
                <w:sz w:val="20"/>
                <w:szCs w:val="20"/>
              </w:rPr>
              <w:t>0.8 (-2.1, 3.7)</w:t>
            </w:r>
          </w:p>
        </w:tc>
      </w:tr>
      <w:tr w:rsidR="001D4A64" w:rsidRPr="001D4A64" w14:paraId="07E8A763" w14:textId="77777777" w:rsidTr="00417380">
        <w:trPr>
          <w:tblHeader/>
        </w:trPr>
        <w:tc>
          <w:tcPr>
            <w:tcW w:w="3369" w:type="dxa"/>
            <w:tcBorders>
              <w:top w:val="single" w:sz="4" w:space="0" w:color="auto"/>
              <w:left w:val="single" w:sz="4" w:space="0" w:color="auto"/>
              <w:bottom w:val="single" w:sz="4" w:space="0" w:color="auto"/>
              <w:right w:val="single" w:sz="4" w:space="0" w:color="auto"/>
            </w:tcBorders>
            <w:vAlign w:val="center"/>
            <w:hideMark/>
          </w:tcPr>
          <w:p w14:paraId="23190ACF" w14:textId="77777777" w:rsidR="001D4A64" w:rsidRPr="00D13251" w:rsidRDefault="001D4A64" w:rsidP="008E26DE">
            <w:pPr>
              <w:spacing w:after="0"/>
              <w:rPr>
                <w:rFonts w:ascii="Arial Narrow" w:hAnsi="Arial Narrow" w:cs="Arial"/>
                <w:sz w:val="20"/>
                <w:szCs w:val="20"/>
                <w:lang w:val="en-US"/>
              </w:rPr>
            </w:pPr>
            <w:r w:rsidRPr="00D13251">
              <w:rPr>
                <w:rFonts w:ascii="Arial Narrow" w:hAnsi="Arial Narrow" w:cs="Arial"/>
                <w:sz w:val="20"/>
                <w:szCs w:val="20"/>
              </w:rPr>
              <w:t>No virologic data at week 48 window</w:t>
            </w:r>
          </w:p>
        </w:tc>
        <w:tc>
          <w:tcPr>
            <w:tcW w:w="2551" w:type="dxa"/>
            <w:tcBorders>
              <w:top w:val="single" w:sz="4" w:space="0" w:color="auto"/>
              <w:left w:val="single" w:sz="4" w:space="0" w:color="auto"/>
              <w:bottom w:val="single" w:sz="4" w:space="0" w:color="auto"/>
              <w:right w:val="single" w:sz="4" w:space="0" w:color="auto"/>
            </w:tcBorders>
          </w:tcPr>
          <w:p w14:paraId="12C0647E" w14:textId="77777777" w:rsidR="001D4A64" w:rsidRPr="00D13251" w:rsidRDefault="001D4A64" w:rsidP="008E26DE">
            <w:pPr>
              <w:pStyle w:val="tabletextNS"/>
              <w:jc w:val="center"/>
              <w:rPr>
                <w:rFonts w:cs="Arial"/>
                <w:color w:val="000000"/>
                <w:sz w:val="20"/>
                <w:lang w:val="en-US"/>
              </w:rPr>
            </w:pPr>
            <w:r w:rsidRPr="00D13251">
              <w:rPr>
                <w:rFonts w:cs="Arial"/>
                <w:color w:val="000000"/>
                <w:sz w:val="20"/>
              </w:rPr>
              <w:t>21 (4.0)</w:t>
            </w:r>
          </w:p>
        </w:tc>
        <w:tc>
          <w:tcPr>
            <w:tcW w:w="2578" w:type="dxa"/>
            <w:tcBorders>
              <w:top w:val="single" w:sz="4" w:space="0" w:color="auto"/>
              <w:left w:val="single" w:sz="4" w:space="0" w:color="auto"/>
              <w:bottom w:val="single" w:sz="4" w:space="0" w:color="auto"/>
              <w:right w:val="single" w:sz="4" w:space="0" w:color="auto"/>
            </w:tcBorders>
          </w:tcPr>
          <w:p w14:paraId="79DBFF93" w14:textId="77777777" w:rsidR="001D4A64" w:rsidRPr="00D13251" w:rsidRDefault="001D4A64" w:rsidP="008E26DE">
            <w:pPr>
              <w:pStyle w:val="tabletextNS"/>
              <w:jc w:val="center"/>
              <w:rPr>
                <w:rFonts w:cs="Arial"/>
                <w:color w:val="000000"/>
                <w:sz w:val="20"/>
                <w:lang w:val="en-US"/>
              </w:rPr>
            </w:pPr>
            <w:r w:rsidRPr="00D13251">
              <w:rPr>
                <w:rFonts w:cs="Arial"/>
                <w:color w:val="000000"/>
                <w:sz w:val="20"/>
              </w:rPr>
              <w:t>29 (5.5)</w:t>
            </w:r>
          </w:p>
        </w:tc>
      </w:tr>
      <w:tr w:rsidR="001D4A64" w:rsidRPr="001D4A64" w14:paraId="16F12FE9" w14:textId="77777777" w:rsidTr="00417380">
        <w:tc>
          <w:tcPr>
            <w:tcW w:w="3369" w:type="dxa"/>
            <w:vAlign w:val="center"/>
          </w:tcPr>
          <w:p w14:paraId="036A338C" w14:textId="77777777" w:rsidR="001D4A64" w:rsidRPr="00D13251" w:rsidRDefault="001D4A64" w:rsidP="008E26DE">
            <w:pPr>
              <w:pStyle w:val="tabletextNS"/>
              <w:rPr>
                <w:rFonts w:cs="Arial"/>
                <w:sz w:val="20"/>
              </w:rPr>
            </w:pPr>
            <w:r w:rsidRPr="00D13251">
              <w:rPr>
                <w:rFonts w:cs="Arial"/>
                <w:sz w:val="20"/>
              </w:rPr>
              <w:t>Reasons:</w:t>
            </w:r>
          </w:p>
        </w:tc>
        <w:tc>
          <w:tcPr>
            <w:tcW w:w="5129" w:type="dxa"/>
            <w:gridSpan w:val="2"/>
          </w:tcPr>
          <w:p w14:paraId="1C482647" w14:textId="77777777" w:rsidR="001D4A64" w:rsidRPr="00D13251" w:rsidRDefault="001D4A64" w:rsidP="008E26DE">
            <w:pPr>
              <w:pStyle w:val="Default"/>
              <w:jc w:val="center"/>
              <w:rPr>
                <w:rFonts w:ascii="Arial Narrow" w:hAnsi="Arial Narrow" w:cs="Arial"/>
                <w:sz w:val="20"/>
                <w:szCs w:val="20"/>
              </w:rPr>
            </w:pPr>
          </w:p>
        </w:tc>
      </w:tr>
      <w:tr w:rsidR="001D4A64" w:rsidRPr="001D4A64" w14:paraId="5189F56D" w14:textId="77777777" w:rsidTr="00417380">
        <w:trPr>
          <w:tblHeader/>
        </w:trPr>
        <w:tc>
          <w:tcPr>
            <w:tcW w:w="3369" w:type="dxa"/>
            <w:tcBorders>
              <w:top w:val="single" w:sz="4" w:space="0" w:color="auto"/>
              <w:left w:val="single" w:sz="4" w:space="0" w:color="auto"/>
              <w:bottom w:val="single" w:sz="4" w:space="0" w:color="auto"/>
              <w:right w:val="single" w:sz="4" w:space="0" w:color="auto"/>
            </w:tcBorders>
            <w:vAlign w:val="center"/>
            <w:hideMark/>
          </w:tcPr>
          <w:p w14:paraId="3DC7C760" w14:textId="77777777" w:rsidR="001D4A64" w:rsidRPr="00D13251" w:rsidRDefault="001D4A64" w:rsidP="008E26DE">
            <w:pPr>
              <w:spacing w:after="0"/>
              <w:ind w:left="180"/>
              <w:rPr>
                <w:rFonts w:ascii="Arial Narrow" w:hAnsi="Arial Narrow" w:cs="Arial"/>
                <w:color w:val="000000"/>
                <w:sz w:val="20"/>
                <w:szCs w:val="20"/>
                <w:vertAlign w:val="superscript"/>
                <w:lang w:val="en-US"/>
              </w:rPr>
            </w:pPr>
            <w:r w:rsidRPr="00D13251">
              <w:rPr>
                <w:rFonts w:ascii="Arial Narrow" w:hAnsi="Arial Narrow" w:cs="Arial"/>
                <w:color w:val="000000"/>
                <w:sz w:val="20"/>
                <w:szCs w:val="20"/>
              </w:rPr>
              <w:t>Discontinued study due to AE or death</w:t>
            </w:r>
          </w:p>
        </w:tc>
        <w:tc>
          <w:tcPr>
            <w:tcW w:w="2551" w:type="dxa"/>
            <w:tcBorders>
              <w:top w:val="single" w:sz="4" w:space="0" w:color="auto"/>
              <w:left w:val="single" w:sz="4" w:space="0" w:color="auto"/>
              <w:bottom w:val="single" w:sz="4" w:space="0" w:color="auto"/>
              <w:right w:val="single" w:sz="4" w:space="0" w:color="auto"/>
            </w:tcBorders>
          </w:tcPr>
          <w:p w14:paraId="34387D86" w14:textId="77777777" w:rsidR="001D4A64" w:rsidRPr="00D13251" w:rsidRDefault="001D4A64" w:rsidP="008E26DE">
            <w:pPr>
              <w:pStyle w:val="tabletextNS"/>
              <w:jc w:val="center"/>
              <w:rPr>
                <w:rFonts w:cs="Arial"/>
                <w:color w:val="000000"/>
                <w:sz w:val="20"/>
                <w:lang w:val="en-US"/>
              </w:rPr>
            </w:pPr>
            <w:r w:rsidRPr="00D13251">
              <w:rPr>
                <w:rFonts w:cs="Arial"/>
                <w:color w:val="000000"/>
                <w:sz w:val="20"/>
              </w:rPr>
              <w:t>9 (1.7)</w:t>
            </w:r>
          </w:p>
        </w:tc>
        <w:tc>
          <w:tcPr>
            <w:tcW w:w="2578" w:type="dxa"/>
            <w:tcBorders>
              <w:top w:val="single" w:sz="4" w:space="0" w:color="auto"/>
              <w:left w:val="single" w:sz="4" w:space="0" w:color="auto"/>
              <w:bottom w:val="single" w:sz="4" w:space="0" w:color="auto"/>
              <w:right w:val="single" w:sz="4" w:space="0" w:color="auto"/>
            </w:tcBorders>
          </w:tcPr>
          <w:p w14:paraId="76345ABD" w14:textId="77777777" w:rsidR="001D4A64" w:rsidRPr="00D13251" w:rsidRDefault="001D4A64" w:rsidP="008E26DE">
            <w:pPr>
              <w:pStyle w:val="tabletextNS"/>
              <w:jc w:val="center"/>
              <w:rPr>
                <w:rFonts w:cs="Arial"/>
                <w:color w:val="000000"/>
                <w:sz w:val="20"/>
                <w:lang w:val="en-US"/>
              </w:rPr>
            </w:pPr>
            <w:r w:rsidRPr="00D13251">
              <w:rPr>
                <w:rFonts w:cs="Arial"/>
                <w:color w:val="000000"/>
                <w:sz w:val="20"/>
              </w:rPr>
              <w:t>13 (2.5)</w:t>
            </w:r>
          </w:p>
        </w:tc>
      </w:tr>
      <w:tr w:rsidR="001D4A64" w:rsidRPr="001D4A64" w14:paraId="29F63464" w14:textId="77777777" w:rsidTr="00417380">
        <w:trPr>
          <w:tblHeader/>
        </w:trPr>
        <w:tc>
          <w:tcPr>
            <w:tcW w:w="3369" w:type="dxa"/>
            <w:tcBorders>
              <w:top w:val="single" w:sz="4" w:space="0" w:color="auto"/>
              <w:left w:val="single" w:sz="4" w:space="0" w:color="auto"/>
              <w:bottom w:val="single" w:sz="4" w:space="0" w:color="auto"/>
              <w:right w:val="single" w:sz="4" w:space="0" w:color="auto"/>
            </w:tcBorders>
            <w:hideMark/>
          </w:tcPr>
          <w:p w14:paraId="34993EAD" w14:textId="65A42496" w:rsidR="001D4A64" w:rsidRPr="00D13251" w:rsidRDefault="001D4A64" w:rsidP="008E26DE">
            <w:pPr>
              <w:spacing w:after="0"/>
              <w:ind w:left="180"/>
              <w:rPr>
                <w:rFonts w:ascii="Arial Narrow" w:hAnsi="Arial Narrow" w:cs="Arial"/>
                <w:color w:val="000000"/>
                <w:sz w:val="20"/>
                <w:szCs w:val="20"/>
                <w:vertAlign w:val="superscript"/>
                <w:lang w:val="en-US"/>
              </w:rPr>
            </w:pPr>
            <w:r w:rsidRPr="00D13251">
              <w:rPr>
                <w:rFonts w:ascii="Arial Narrow" w:hAnsi="Arial Narrow" w:cs="Arial"/>
                <w:color w:val="000000"/>
                <w:sz w:val="20"/>
                <w:szCs w:val="20"/>
              </w:rPr>
              <w:t xml:space="preserve">Discontinued study for other reasons </w:t>
            </w:r>
          </w:p>
        </w:tc>
        <w:tc>
          <w:tcPr>
            <w:tcW w:w="2551" w:type="dxa"/>
            <w:tcBorders>
              <w:top w:val="single" w:sz="4" w:space="0" w:color="auto"/>
              <w:left w:val="single" w:sz="4" w:space="0" w:color="auto"/>
              <w:bottom w:val="single" w:sz="4" w:space="0" w:color="auto"/>
              <w:right w:val="single" w:sz="4" w:space="0" w:color="auto"/>
            </w:tcBorders>
          </w:tcPr>
          <w:p w14:paraId="760631C9" w14:textId="77777777" w:rsidR="001D4A64" w:rsidRPr="00D13251" w:rsidRDefault="001D4A64" w:rsidP="008E26DE">
            <w:pPr>
              <w:pStyle w:val="tabletextNS"/>
              <w:jc w:val="center"/>
              <w:rPr>
                <w:rFonts w:cs="Arial"/>
                <w:color w:val="000000"/>
                <w:sz w:val="20"/>
                <w:lang w:val="en-US"/>
              </w:rPr>
            </w:pPr>
            <w:r w:rsidRPr="00D13251">
              <w:rPr>
                <w:rFonts w:cs="Arial"/>
                <w:color w:val="000000"/>
                <w:sz w:val="20"/>
              </w:rPr>
              <w:t>12 (2.3)</w:t>
            </w:r>
          </w:p>
        </w:tc>
        <w:tc>
          <w:tcPr>
            <w:tcW w:w="2578" w:type="dxa"/>
            <w:tcBorders>
              <w:top w:val="single" w:sz="4" w:space="0" w:color="auto"/>
              <w:left w:val="single" w:sz="4" w:space="0" w:color="auto"/>
              <w:bottom w:val="single" w:sz="4" w:space="0" w:color="auto"/>
              <w:right w:val="single" w:sz="4" w:space="0" w:color="auto"/>
            </w:tcBorders>
          </w:tcPr>
          <w:p w14:paraId="66B0DC09" w14:textId="77777777" w:rsidR="001D4A64" w:rsidRPr="00D13251" w:rsidRDefault="001D4A64" w:rsidP="008E26DE">
            <w:pPr>
              <w:pStyle w:val="tabletextNS"/>
              <w:jc w:val="center"/>
              <w:rPr>
                <w:rFonts w:cs="Arial"/>
                <w:color w:val="000000"/>
                <w:sz w:val="20"/>
                <w:lang w:val="en-US"/>
              </w:rPr>
            </w:pPr>
            <w:r w:rsidRPr="00D13251">
              <w:rPr>
                <w:rFonts w:cs="Arial"/>
                <w:color w:val="000000"/>
                <w:sz w:val="20"/>
              </w:rPr>
              <w:t>16 (3.1)</w:t>
            </w:r>
          </w:p>
        </w:tc>
      </w:tr>
      <w:tr w:rsidR="001D4A64" w:rsidRPr="001D4A64" w14:paraId="54B6E55A" w14:textId="77777777" w:rsidTr="00417380">
        <w:trPr>
          <w:tblHeader/>
        </w:trPr>
        <w:tc>
          <w:tcPr>
            <w:tcW w:w="3369" w:type="dxa"/>
            <w:tcBorders>
              <w:top w:val="single" w:sz="4" w:space="0" w:color="auto"/>
              <w:left w:val="single" w:sz="4" w:space="0" w:color="auto"/>
              <w:bottom w:val="single" w:sz="4" w:space="0" w:color="auto"/>
              <w:right w:val="single" w:sz="4" w:space="0" w:color="auto"/>
            </w:tcBorders>
            <w:hideMark/>
          </w:tcPr>
          <w:p w14:paraId="6544A21D" w14:textId="77777777" w:rsidR="001D4A64" w:rsidRPr="00D13251" w:rsidRDefault="001D4A64" w:rsidP="008E26DE">
            <w:pPr>
              <w:spacing w:after="0"/>
              <w:ind w:left="180"/>
              <w:rPr>
                <w:rFonts w:ascii="Arial Narrow" w:hAnsi="Arial Narrow" w:cs="Arial"/>
                <w:color w:val="000000"/>
                <w:sz w:val="20"/>
                <w:szCs w:val="20"/>
                <w:lang w:val="en-US"/>
              </w:rPr>
            </w:pPr>
            <w:r w:rsidRPr="00D13251">
              <w:rPr>
                <w:rFonts w:ascii="Arial Narrow" w:hAnsi="Arial Narrow" w:cs="Arial"/>
                <w:color w:val="000000"/>
                <w:sz w:val="20"/>
                <w:szCs w:val="20"/>
              </w:rPr>
              <w:t>On study but missing data in window</w:t>
            </w:r>
          </w:p>
        </w:tc>
        <w:tc>
          <w:tcPr>
            <w:tcW w:w="2551" w:type="dxa"/>
            <w:tcBorders>
              <w:top w:val="single" w:sz="4" w:space="0" w:color="auto"/>
              <w:left w:val="single" w:sz="4" w:space="0" w:color="auto"/>
              <w:bottom w:val="single" w:sz="4" w:space="0" w:color="auto"/>
              <w:right w:val="single" w:sz="4" w:space="0" w:color="auto"/>
            </w:tcBorders>
          </w:tcPr>
          <w:p w14:paraId="150C1ECF" w14:textId="77777777" w:rsidR="001D4A64" w:rsidRPr="00D13251" w:rsidRDefault="001D4A64" w:rsidP="008E26DE">
            <w:pPr>
              <w:pStyle w:val="tabletextNS"/>
              <w:jc w:val="center"/>
              <w:rPr>
                <w:rFonts w:cs="Arial"/>
                <w:color w:val="000000"/>
                <w:sz w:val="20"/>
                <w:lang w:val="en-US"/>
              </w:rPr>
            </w:pPr>
            <w:r w:rsidRPr="00D13251">
              <w:rPr>
                <w:rFonts w:cs="Arial"/>
                <w:color w:val="000000"/>
                <w:sz w:val="20"/>
              </w:rPr>
              <w:t>0</w:t>
            </w:r>
          </w:p>
        </w:tc>
        <w:tc>
          <w:tcPr>
            <w:tcW w:w="2578" w:type="dxa"/>
            <w:tcBorders>
              <w:top w:val="single" w:sz="4" w:space="0" w:color="auto"/>
              <w:left w:val="single" w:sz="4" w:space="0" w:color="auto"/>
              <w:bottom w:val="single" w:sz="4" w:space="0" w:color="auto"/>
              <w:right w:val="single" w:sz="4" w:space="0" w:color="auto"/>
            </w:tcBorders>
          </w:tcPr>
          <w:p w14:paraId="0D06B0BC" w14:textId="77777777" w:rsidR="001D4A64" w:rsidRPr="00D13251" w:rsidRDefault="001D4A64" w:rsidP="008E26DE">
            <w:pPr>
              <w:pStyle w:val="tabletextNS"/>
              <w:jc w:val="center"/>
              <w:rPr>
                <w:rFonts w:cs="Arial"/>
                <w:color w:val="000000"/>
                <w:sz w:val="20"/>
                <w:lang w:val="en-US"/>
              </w:rPr>
            </w:pPr>
            <w:r w:rsidRPr="00D13251">
              <w:rPr>
                <w:rFonts w:cs="Arial"/>
                <w:color w:val="000000"/>
                <w:sz w:val="20"/>
              </w:rPr>
              <w:t>0</w:t>
            </w:r>
          </w:p>
        </w:tc>
      </w:tr>
    </w:tbl>
    <w:p w14:paraId="07898B5C" w14:textId="77777777" w:rsidR="001D4A64" w:rsidRPr="00D13251" w:rsidRDefault="001D4A64" w:rsidP="008E26DE">
      <w:pPr>
        <w:pStyle w:val="tabletextNS"/>
        <w:rPr>
          <w:rFonts w:cs="Arial"/>
          <w:sz w:val="18"/>
          <w:szCs w:val="18"/>
        </w:rPr>
      </w:pPr>
      <w:r w:rsidRPr="00D13251">
        <w:rPr>
          <w:rFonts w:cs="Arial"/>
          <w:sz w:val="18"/>
          <w:szCs w:val="18"/>
        </w:rPr>
        <w:t>* Adjusted for baseline stratification factors.</w:t>
      </w:r>
    </w:p>
    <w:p w14:paraId="42B3FDD9" w14:textId="77777777" w:rsidR="001D4A64" w:rsidRPr="00D13251" w:rsidRDefault="001D4A64" w:rsidP="008E26DE">
      <w:pPr>
        <w:pStyle w:val="tabletextNS"/>
        <w:rPr>
          <w:rFonts w:cs="Arial"/>
          <w:sz w:val="18"/>
          <w:szCs w:val="18"/>
        </w:rPr>
      </w:pPr>
      <w:r w:rsidRPr="00D13251">
        <w:rPr>
          <w:rFonts w:cs="Arial"/>
          <w:sz w:val="18"/>
          <w:szCs w:val="18"/>
        </w:rPr>
        <w:t>† Includes subjects who discontinued for lack of efficacy, discontinued while not suppressed.</w:t>
      </w:r>
    </w:p>
    <w:p w14:paraId="0E1E34DE" w14:textId="77777777" w:rsidR="001D4A64" w:rsidRPr="00D13251" w:rsidRDefault="001D4A64" w:rsidP="008E26DE">
      <w:pPr>
        <w:rPr>
          <w:rFonts w:ascii="Arial Narrow" w:hAnsi="Arial Narrow" w:cs="Arial"/>
          <w:sz w:val="18"/>
          <w:szCs w:val="18"/>
        </w:rPr>
      </w:pPr>
      <w:r w:rsidRPr="00D13251">
        <w:rPr>
          <w:rFonts w:ascii="Arial Narrow" w:hAnsi="Arial Narrow" w:cs="Arial"/>
          <w:sz w:val="18"/>
          <w:szCs w:val="18"/>
        </w:rPr>
        <w:t>N = Number of subjects in each treatment group, CI = confidence interval, CAR = current antiviral regimen.</w:t>
      </w:r>
    </w:p>
    <w:p w14:paraId="7CCEFC5C" w14:textId="7E019E9A" w:rsidR="001D4A64" w:rsidRPr="008E26DE" w:rsidRDefault="001D4A64" w:rsidP="008E26DE">
      <w:pPr>
        <w:rPr>
          <w:b/>
        </w:rPr>
      </w:pPr>
      <w:r w:rsidRPr="008E26DE">
        <w:rPr>
          <w:b/>
        </w:rPr>
        <w:t>Table 1</w:t>
      </w:r>
      <w:r w:rsidR="00936270" w:rsidRPr="008E26DE">
        <w:rPr>
          <w:b/>
        </w:rPr>
        <w:t>2</w:t>
      </w:r>
      <w:r w:rsidRPr="008E26DE">
        <w:rPr>
          <w:b/>
        </w:rPr>
        <w:tab/>
        <w:t xml:space="preserve">Proportion of Subjects with Plasma HIV-1 RNA ≥50 copies/mL at Week 48 for key baseline factors (Snapshot Outcomes).  </w:t>
      </w:r>
    </w:p>
    <w:tbl>
      <w:tblPr>
        <w:tblStyle w:val="TableGrid2"/>
        <w:tblpPr w:leftFromText="180" w:rightFromText="180" w:vertAnchor="text" w:tblpY="1"/>
        <w:tblW w:w="4780" w:type="pct"/>
        <w:tblLook w:val="04A0" w:firstRow="1" w:lastRow="0" w:firstColumn="1" w:lastColumn="0" w:noHBand="0" w:noVBand="1"/>
      </w:tblPr>
      <w:tblGrid>
        <w:gridCol w:w="2309"/>
        <w:gridCol w:w="1470"/>
        <w:gridCol w:w="2244"/>
        <w:gridCol w:w="2596"/>
      </w:tblGrid>
      <w:tr w:rsidR="001D4A64" w:rsidRPr="008E26DE" w14:paraId="344DCB2A" w14:textId="77777777" w:rsidTr="008E26DE">
        <w:trPr>
          <w:tblHeader/>
        </w:trPr>
        <w:tc>
          <w:tcPr>
            <w:tcW w:w="1339" w:type="pct"/>
            <w:hideMark/>
          </w:tcPr>
          <w:p w14:paraId="2BB45F11" w14:textId="77777777" w:rsidR="001D4A64" w:rsidRPr="008E26DE" w:rsidRDefault="001D4A64" w:rsidP="00417380">
            <w:pPr>
              <w:pStyle w:val="tabletextNS"/>
              <w:rPr>
                <w:rFonts w:cs="Arial"/>
                <w:sz w:val="19"/>
                <w:szCs w:val="19"/>
              </w:rPr>
            </w:pPr>
          </w:p>
        </w:tc>
        <w:tc>
          <w:tcPr>
            <w:tcW w:w="853" w:type="pct"/>
            <w:hideMark/>
          </w:tcPr>
          <w:p w14:paraId="41AFDC94" w14:textId="77777777" w:rsidR="001D4A64" w:rsidRPr="008E26DE" w:rsidRDefault="001D4A64" w:rsidP="00417380">
            <w:pPr>
              <w:pStyle w:val="tabletextNS"/>
              <w:rPr>
                <w:rFonts w:cs="Arial"/>
                <w:sz w:val="19"/>
                <w:szCs w:val="19"/>
              </w:rPr>
            </w:pPr>
          </w:p>
        </w:tc>
        <w:tc>
          <w:tcPr>
            <w:tcW w:w="2808" w:type="pct"/>
            <w:gridSpan w:val="2"/>
            <w:hideMark/>
          </w:tcPr>
          <w:p w14:paraId="12ADE599" w14:textId="77777777" w:rsidR="001D4A64" w:rsidRPr="008E26DE" w:rsidRDefault="001D4A64" w:rsidP="00417380">
            <w:pPr>
              <w:pStyle w:val="tabletextNS"/>
              <w:rPr>
                <w:rFonts w:cs="Arial"/>
                <w:b/>
                <w:sz w:val="19"/>
                <w:szCs w:val="19"/>
              </w:rPr>
            </w:pPr>
            <w:r w:rsidRPr="008E26DE">
              <w:rPr>
                <w:rFonts w:cs="Arial"/>
                <w:b/>
                <w:bCs/>
                <w:sz w:val="19"/>
                <w:szCs w:val="19"/>
              </w:rPr>
              <w:t>Number of HIV-1</w:t>
            </w:r>
            <w:r w:rsidRPr="008E26DE">
              <w:rPr>
                <w:rFonts w:cs="Arial"/>
                <w:sz w:val="19"/>
                <w:szCs w:val="19"/>
              </w:rPr>
              <w:br w:type="textWrapping" w:clear="all"/>
            </w:r>
            <w:r w:rsidRPr="008E26DE">
              <w:rPr>
                <w:rFonts w:cs="Arial"/>
                <w:b/>
                <w:bCs/>
                <w:sz w:val="19"/>
                <w:szCs w:val="19"/>
              </w:rPr>
              <w:t>RNA ≥50 c/mL/</w:t>
            </w:r>
            <w:r w:rsidRPr="008E26DE">
              <w:rPr>
                <w:rFonts w:cs="Arial"/>
                <w:sz w:val="19"/>
                <w:szCs w:val="19"/>
              </w:rPr>
              <w:br w:type="textWrapping" w:clear="all"/>
            </w:r>
            <w:r w:rsidRPr="008E26DE">
              <w:rPr>
                <w:rFonts w:cs="Arial"/>
                <w:b/>
                <w:bCs/>
                <w:sz w:val="19"/>
                <w:szCs w:val="19"/>
              </w:rPr>
              <w:t>Total Assessed (%)</w:t>
            </w:r>
          </w:p>
        </w:tc>
      </w:tr>
      <w:tr w:rsidR="001D4A64" w:rsidRPr="008E26DE" w14:paraId="001C6581" w14:textId="77777777" w:rsidTr="008E26DE">
        <w:tc>
          <w:tcPr>
            <w:tcW w:w="1339" w:type="pct"/>
          </w:tcPr>
          <w:p w14:paraId="2777E705" w14:textId="77777777" w:rsidR="001D4A64" w:rsidRPr="008E26DE" w:rsidRDefault="001D4A64" w:rsidP="00417380">
            <w:pPr>
              <w:pStyle w:val="tabletextNS"/>
              <w:rPr>
                <w:rFonts w:cs="Arial"/>
                <w:sz w:val="19"/>
                <w:szCs w:val="19"/>
              </w:rPr>
            </w:pPr>
          </w:p>
        </w:tc>
        <w:tc>
          <w:tcPr>
            <w:tcW w:w="853" w:type="pct"/>
          </w:tcPr>
          <w:p w14:paraId="3DE67FB6" w14:textId="77777777" w:rsidR="001D4A64" w:rsidRPr="008E26DE" w:rsidRDefault="001D4A64" w:rsidP="00417380">
            <w:pPr>
              <w:pStyle w:val="tabletextNS"/>
              <w:rPr>
                <w:rFonts w:cs="Arial"/>
                <w:sz w:val="19"/>
                <w:szCs w:val="19"/>
              </w:rPr>
            </w:pPr>
          </w:p>
        </w:tc>
        <w:tc>
          <w:tcPr>
            <w:tcW w:w="1302" w:type="pct"/>
          </w:tcPr>
          <w:p w14:paraId="4EBE3B3D" w14:textId="77777777" w:rsidR="001D4A64" w:rsidRPr="008E26DE" w:rsidRDefault="001D4A64" w:rsidP="00417380">
            <w:pPr>
              <w:pStyle w:val="tabletextNS"/>
              <w:rPr>
                <w:rFonts w:cs="Arial"/>
                <w:b/>
                <w:bCs/>
                <w:sz w:val="19"/>
                <w:szCs w:val="19"/>
              </w:rPr>
            </w:pPr>
            <w:r w:rsidRPr="008E26DE">
              <w:rPr>
                <w:rFonts w:cs="Arial"/>
                <w:b/>
                <w:bCs/>
                <w:sz w:val="19"/>
                <w:szCs w:val="19"/>
              </w:rPr>
              <w:t>2 Month Dosing (Q8W)</w:t>
            </w:r>
          </w:p>
        </w:tc>
        <w:tc>
          <w:tcPr>
            <w:tcW w:w="1506" w:type="pct"/>
          </w:tcPr>
          <w:p w14:paraId="72F36FFE" w14:textId="77777777" w:rsidR="001D4A64" w:rsidRPr="008E26DE" w:rsidRDefault="001D4A64" w:rsidP="00417380">
            <w:pPr>
              <w:pStyle w:val="tabletextNS"/>
              <w:rPr>
                <w:rFonts w:cs="Arial"/>
                <w:b/>
                <w:bCs/>
                <w:sz w:val="19"/>
                <w:szCs w:val="19"/>
              </w:rPr>
            </w:pPr>
            <w:r w:rsidRPr="008E26DE">
              <w:rPr>
                <w:rFonts w:cs="Arial"/>
                <w:b/>
                <w:bCs/>
                <w:sz w:val="19"/>
                <w:szCs w:val="19"/>
              </w:rPr>
              <w:t>Monthly dosing (Q4W)</w:t>
            </w:r>
          </w:p>
        </w:tc>
      </w:tr>
      <w:tr w:rsidR="001D4A64" w:rsidRPr="008E26DE" w14:paraId="3F6C205D" w14:textId="77777777" w:rsidTr="008E26DE">
        <w:trPr>
          <w:trHeight w:val="517"/>
        </w:trPr>
        <w:tc>
          <w:tcPr>
            <w:tcW w:w="1339" w:type="pct"/>
            <w:vMerge w:val="restart"/>
            <w:hideMark/>
          </w:tcPr>
          <w:p w14:paraId="1D08A475" w14:textId="0EF5C0F2" w:rsidR="001D4A64" w:rsidRPr="008E26DE" w:rsidRDefault="001D4A64" w:rsidP="008E26DE">
            <w:pPr>
              <w:pStyle w:val="tabletextNS"/>
              <w:rPr>
                <w:rFonts w:cs="Arial"/>
                <w:b/>
                <w:sz w:val="19"/>
                <w:szCs w:val="19"/>
              </w:rPr>
            </w:pPr>
            <w:r w:rsidRPr="008E26DE">
              <w:rPr>
                <w:rFonts w:cs="Arial"/>
                <w:sz w:val="19"/>
                <w:szCs w:val="19"/>
              </w:rPr>
              <w:t>Baseline CD4+ cell count (cells/mm3)</w:t>
            </w:r>
          </w:p>
        </w:tc>
        <w:tc>
          <w:tcPr>
            <w:tcW w:w="853" w:type="pct"/>
            <w:hideMark/>
          </w:tcPr>
          <w:p w14:paraId="7B7ED9D5" w14:textId="5D996511" w:rsidR="001D4A64" w:rsidRPr="008E26DE" w:rsidRDefault="001D4A64" w:rsidP="008E26DE">
            <w:pPr>
              <w:pStyle w:val="tabletextNS"/>
              <w:rPr>
                <w:rFonts w:cs="Arial"/>
                <w:sz w:val="19"/>
                <w:szCs w:val="19"/>
              </w:rPr>
            </w:pPr>
            <w:r w:rsidRPr="008E26DE">
              <w:rPr>
                <w:rFonts w:cs="Arial"/>
                <w:sz w:val="19"/>
                <w:szCs w:val="19"/>
              </w:rPr>
              <w:t>&lt;350</w:t>
            </w:r>
          </w:p>
        </w:tc>
        <w:tc>
          <w:tcPr>
            <w:tcW w:w="1302" w:type="pct"/>
          </w:tcPr>
          <w:p w14:paraId="4C77CD2B" w14:textId="77777777" w:rsidR="001D4A64" w:rsidRPr="008E26DE" w:rsidRDefault="001D4A64" w:rsidP="00417380">
            <w:pPr>
              <w:pStyle w:val="tabletextNS"/>
              <w:rPr>
                <w:rFonts w:cs="Arial"/>
                <w:sz w:val="19"/>
                <w:szCs w:val="19"/>
              </w:rPr>
            </w:pPr>
            <w:r w:rsidRPr="008E26DE">
              <w:rPr>
                <w:rFonts w:cs="Arial"/>
                <w:sz w:val="19"/>
                <w:szCs w:val="19"/>
              </w:rPr>
              <w:t>1/ 35 (2.9)</w:t>
            </w:r>
          </w:p>
        </w:tc>
        <w:tc>
          <w:tcPr>
            <w:tcW w:w="1506" w:type="pct"/>
          </w:tcPr>
          <w:p w14:paraId="2B06D027" w14:textId="77777777" w:rsidR="001D4A64" w:rsidRPr="008E26DE" w:rsidRDefault="001D4A64" w:rsidP="00417380">
            <w:pPr>
              <w:pStyle w:val="tabletextNS"/>
              <w:jc w:val="center"/>
              <w:rPr>
                <w:rFonts w:cs="Arial"/>
                <w:sz w:val="19"/>
                <w:szCs w:val="19"/>
              </w:rPr>
            </w:pPr>
            <w:r w:rsidRPr="008E26DE">
              <w:rPr>
                <w:rFonts w:cs="Arial"/>
                <w:sz w:val="19"/>
                <w:szCs w:val="19"/>
              </w:rPr>
              <w:t>1/ 27 (3.7)</w:t>
            </w:r>
          </w:p>
        </w:tc>
      </w:tr>
      <w:tr w:rsidR="001D4A64" w:rsidRPr="008E26DE" w14:paraId="44F27EFB" w14:textId="77777777" w:rsidTr="008E26DE">
        <w:trPr>
          <w:trHeight w:val="517"/>
        </w:trPr>
        <w:tc>
          <w:tcPr>
            <w:tcW w:w="1339" w:type="pct"/>
            <w:vMerge/>
            <w:hideMark/>
          </w:tcPr>
          <w:p w14:paraId="32227278" w14:textId="77777777" w:rsidR="001D4A64" w:rsidRPr="008E26DE" w:rsidRDefault="001D4A64" w:rsidP="00417380">
            <w:pPr>
              <w:pStyle w:val="tabletextNS"/>
              <w:rPr>
                <w:rFonts w:cs="Arial"/>
                <w:sz w:val="19"/>
                <w:szCs w:val="19"/>
              </w:rPr>
            </w:pPr>
          </w:p>
        </w:tc>
        <w:tc>
          <w:tcPr>
            <w:tcW w:w="853" w:type="pct"/>
            <w:hideMark/>
          </w:tcPr>
          <w:p w14:paraId="5DA96A98" w14:textId="58285358" w:rsidR="001D4A64" w:rsidRPr="008E26DE" w:rsidRDefault="001D4A64" w:rsidP="008E26DE">
            <w:pPr>
              <w:pStyle w:val="tabletextNS"/>
              <w:rPr>
                <w:rFonts w:cs="Arial"/>
                <w:sz w:val="19"/>
                <w:szCs w:val="19"/>
              </w:rPr>
            </w:pPr>
            <w:r w:rsidRPr="008E26DE">
              <w:rPr>
                <w:rFonts w:cs="Arial"/>
                <w:sz w:val="19"/>
                <w:szCs w:val="19"/>
              </w:rPr>
              <w:t>350 to &lt;500</w:t>
            </w:r>
          </w:p>
        </w:tc>
        <w:tc>
          <w:tcPr>
            <w:tcW w:w="1302" w:type="pct"/>
          </w:tcPr>
          <w:p w14:paraId="476B43BA" w14:textId="77777777" w:rsidR="001D4A64" w:rsidRPr="008E26DE" w:rsidRDefault="001D4A64" w:rsidP="00417380">
            <w:pPr>
              <w:pStyle w:val="tabletextNS"/>
              <w:rPr>
                <w:rFonts w:cs="Arial"/>
                <w:sz w:val="19"/>
                <w:szCs w:val="19"/>
              </w:rPr>
            </w:pPr>
            <w:r w:rsidRPr="008E26DE">
              <w:rPr>
                <w:rFonts w:cs="Arial"/>
                <w:sz w:val="19"/>
                <w:szCs w:val="19"/>
              </w:rPr>
              <w:t>1/ 96 (1.0)</w:t>
            </w:r>
          </w:p>
        </w:tc>
        <w:tc>
          <w:tcPr>
            <w:tcW w:w="1506" w:type="pct"/>
          </w:tcPr>
          <w:p w14:paraId="79120FBB" w14:textId="77777777" w:rsidR="001D4A64" w:rsidRPr="008E26DE" w:rsidRDefault="001D4A64" w:rsidP="00417380">
            <w:pPr>
              <w:pStyle w:val="tabletextNS"/>
              <w:jc w:val="center"/>
              <w:rPr>
                <w:rFonts w:cs="Arial"/>
                <w:sz w:val="19"/>
                <w:szCs w:val="19"/>
              </w:rPr>
            </w:pPr>
            <w:r w:rsidRPr="008E26DE">
              <w:rPr>
                <w:rFonts w:cs="Arial"/>
                <w:sz w:val="19"/>
                <w:szCs w:val="19"/>
              </w:rPr>
              <w:t>0/ 89</w:t>
            </w:r>
          </w:p>
        </w:tc>
      </w:tr>
      <w:tr w:rsidR="001D4A64" w:rsidRPr="008E26DE" w14:paraId="05D51BB2" w14:textId="77777777" w:rsidTr="008E26DE">
        <w:trPr>
          <w:trHeight w:val="517"/>
        </w:trPr>
        <w:tc>
          <w:tcPr>
            <w:tcW w:w="1339" w:type="pct"/>
            <w:vMerge/>
            <w:hideMark/>
          </w:tcPr>
          <w:p w14:paraId="25FE3B60" w14:textId="77777777" w:rsidR="001D4A64" w:rsidRPr="008E26DE" w:rsidRDefault="001D4A64" w:rsidP="00417380">
            <w:pPr>
              <w:pStyle w:val="tabletextNS"/>
              <w:rPr>
                <w:rFonts w:cs="Arial"/>
                <w:sz w:val="19"/>
                <w:szCs w:val="19"/>
              </w:rPr>
            </w:pPr>
          </w:p>
        </w:tc>
        <w:tc>
          <w:tcPr>
            <w:tcW w:w="853" w:type="pct"/>
            <w:hideMark/>
          </w:tcPr>
          <w:p w14:paraId="08ECCAFE" w14:textId="6E360339" w:rsidR="001D4A64" w:rsidRPr="008E26DE" w:rsidRDefault="001D4A64" w:rsidP="008E26DE">
            <w:pPr>
              <w:pStyle w:val="tabletextNS"/>
              <w:rPr>
                <w:rFonts w:cs="Arial"/>
                <w:sz w:val="19"/>
                <w:szCs w:val="19"/>
              </w:rPr>
            </w:pPr>
            <w:r w:rsidRPr="008E26DE">
              <w:rPr>
                <w:rFonts w:cs="Arial"/>
                <w:sz w:val="19"/>
                <w:szCs w:val="19"/>
              </w:rPr>
              <w:t>≥500</w:t>
            </w:r>
          </w:p>
        </w:tc>
        <w:tc>
          <w:tcPr>
            <w:tcW w:w="1302" w:type="pct"/>
          </w:tcPr>
          <w:p w14:paraId="7F343841" w14:textId="77777777" w:rsidR="001D4A64" w:rsidRPr="008E26DE" w:rsidRDefault="001D4A64" w:rsidP="00417380">
            <w:pPr>
              <w:pStyle w:val="tabletextNS"/>
              <w:rPr>
                <w:rFonts w:cs="Arial"/>
                <w:sz w:val="19"/>
                <w:szCs w:val="19"/>
              </w:rPr>
            </w:pPr>
            <w:r w:rsidRPr="008E26DE">
              <w:rPr>
                <w:rFonts w:cs="Arial"/>
                <w:sz w:val="19"/>
                <w:szCs w:val="19"/>
              </w:rPr>
              <w:t>7/391 (1.8)</w:t>
            </w:r>
          </w:p>
        </w:tc>
        <w:tc>
          <w:tcPr>
            <w:tcW w:w="1506" w:type="pct"/>
          </w:tcPr>
          <w:p w14:paraId="115F087B" w14:textId="77777777" w:rsidR="001D4A64" w:rsidRPr="008E26DE" w:rsidRDefault="001D4A64" w:rsidP="00417380">
            <w:pPr>
              <w:pStyle w:val="tabletextNS"/>
              <w:jc w:val="center"/>
              <w:rPr>
                <w:rFonts w:cs="Arial"/>
                <w:sz w:val="19"/>
                <w:szCs w:val="19"/>
              </w:rPr>
            </w:pPr>
            <w:r w:rsidRPr="008E26DE">
              <w:rPr>
                <w:rFonts w:cs="Arial"/>
                <w:sz w:val="19"/>
                <w:szCs w:val="19"/>
              </w:rPr>
              <w:t>4/407 (1.0)</w:t>
            </w:r>
          </w:p>
        </w:tc>
      </w:tr>
      <w:tr w:rsidR="001D4A64" w:rsidRPr="008E26DE" w14:paraId="3563A112" w14:textId="77777777" w:rsidTr="008E26DE">
        <w:trPr>
          <w:trHeight w:val="517"/>
        </w:trPr>
        <w:tc>
          <w:tcPr>
            <w:tcW w:w="1339" w:type="pct"/>
            <w:vMerge w:val="restart"/>
            <w:hideMark/>
          </w:tcPr>
          <w:p w14:paraId="5B943A4E" w14:textId="77777777" w:rsidR="001D4A64" w:rsidRPr="008E26DE" w:rsidRDefault="001D4A64" w:rsidP="00417380">
            <w:pPr>
              <w:pStyle w:val="tabletextNS"/>
              <w:rPr>
                <w:rFonts w:cs="Arial"/>
                <w:b/>
                <w:sz w:val="19"/>
                <w:szCs w:val="19"/>
              </w:rPr>
            </w:pPr>
            <w:r w:rsidRPr="008E26DE">
              <w:rPr>
                <w:rFonts w:cs="Arial"/>
                <w:b/>
                <w:bCs/>
                <w:sz w:val="19"/>
                <w:szCs w:val="19"/>
              </w:rPr>
              <w:t>Gender</w:t>
            </w:r>
          </w:p>
        </w:tc>
        <w:tc>
          <w:tcPr>
            <w:tcW w:w="853" w:type="pct"/>
            <w:hideMark/>
          </w:tcPr>
          <w:p w14:paraId="608D967B" w14:textId="77777777" w:rsidR="001D4A64" w:rsidRPr="008E26DE" w:rsidRDefault="001D4A64" w:rsidP="00417380">
            <w:pPr>
              <w:pStyle w:val="tabletextNS"/>
              <w:rPr>
                <w:rFonts w:cs="Arial"/>
                <w:sz w:val="19"/>
                <w:szCs w:val="19"/>
              </w:rPr>
            </w:pPr>
            <w:r w:rsidRPr="008E26DE">
              <w:rPr>
                <w:rFonts w:cs="Arial"/>
                <w:sz w:val="19"/>
                <w:szCs w:val="19"/>
              </w:rPr>
              <w:t>Male</w:t>
            </w:r>
          </w:p>
        </w:tc>
        <w:tc>
          <w:tcPr>
            <w:tcW w:w="1302" w:type="pct"/>
          </w:tcPr>
          <w:p w14:paraId="32D2C5D9" w14:textId="77777777" w:rsidR="001D4A64" w:rsidRPr="008E26DE" w:rsidRDefault="001D4A64" w:rsidP="00417380">
            <w:pPr>
              <w:pStyle w:val="tabletextNS"/>
              <w:rPr>
                <w:rFonts w:cs="Arial"/>
                <w:sz w:val="19"/>
                <w:szCs w:val="19"/>
              </w:rPr>
            </w:pPr>
            <w:r w:rsidRPr="008E26DE">
              <w:rPr>
                <w:rFonts w:cs="Arial"/>
                <w:sz w:val="19"/>
                <w:szCs w:val="19"/>
              </w:rPr>
              <w:t>4/385 (1.0)</w:t>
            </w:r>
          </w:p>
        </w:tc>
        <w:tc>
          <w:tcPr>
            <w:tcW w:w="1506" w:type="pct"/>
          </w:tcPr>
          <w:p w14:paraId="5AFCF584" w14:textId="77777777" w:rsidR="001D4A64" w:rsidRPr="008E26DE" w:rsidRDefault="001D4A64" w:rsidP="00417380">
            <w:pPr>
              <w:pStyle w:val="tabletextNS"/>
              <w:jc w:val="center"/>
              <w:rPr>
                <w:rFonts w:cs="Arial"/>
                <w:sz w:val="19"/>
                <w:szCs w:val="19"/>
              </w:rPr>
            </w:pPr>
            <w:r w:rsidRPr="008E26DE">
              <w:rPr>
                <w:rFonts w:cs="Arial"/>
                <w:sz w:val="19"/>
                <w:szCs w:val="19"/>
              </w:rPr>
              <w:t>5/380 (1.3)</w:t>
            </w:r>
          </w:p>
        </w:tc>
      </w:tr>
      <w:tr w:rsidR="001D4A64" w:rsidRPr="008E26DE" w14:paraId="25F0BC18" w14:textId="77777777" w:rsidTr="008E26DE">
        <w:trPr>
          <w:trHeight w:val="517"/>
        </w:trPr>
        <w:tc>
          <w:tcPr>
            <w:tcW w:w="1339" w:type="pct"/>
            <w:vMerge/>
            <w:hideMark/>
          </w:tcPr>
          <w:p w14:paraId="4A26FA64" w14:textId="77777777" w:rsidR="001D4A64" w:rsidRPr="008E26DE" w:rsidRDefault="001D4A64" w:rsidP="00417380">
            <w:pPr>
              <w:pStyle w:val="tabletextNS"/>
              <w:rPr>
                <w:rFonts w:cs="Arial"/>
                <w:b/>
                <w:sz w:val="19"/>
                <w:szCs w:val="19"/>
              </w:rPr>
            </w:pPr>
          </w:p>
        </w:tc>
        <w:tc>
          <w:tcPr>
            <w:tcW w:w="853" w:type="pct"/>
            <w:hideMark/>
          </w:tcPr>
          <w:p w14:paraId="5460B9C6" w14:textId="77777777" w:rsidR="001D4A64" w:rsidRPr="008E26DE" w:rsidRDefault="001D4A64" w:rsidP="00417380">
            <w:pPr>
              <w:pStyle w:val="tabletextNS"/>
              <w:rPr>
                <w:rFonts w:cs="Arial"/>
                <w:sz w:val="19"/>
                <w:szCs w:val="19"/>
              </w:rPr>
            </w:pPr>
            <w:r w:rsidRPr="008E26DE">
              <w:rPr>
                <w:rFonts w:cs="Arial"/>
                <w:sz w:val="19"/>
                <w:szCs w:val="19"/>
              </w:rPr>
              <w:t>Female</w:t>
            </w:r>
          </w:p>
        </w:tc>
        <w:tc>
          <w:tcPr>
            <w:tcW w:w="1302" w:type="pct"/>
          </w:tcPr>
          <w:p w14:paraId="1DC3CCE7" w14:textId="77777777" w:rsidR="001D4A64" w:rsidRPr="008E26DE" w:rsidRDefault="001D4A64" w:rsidP="00417380">
            <w:pPr>
              <w:pStyle w:val="tabletextNS"/>
              <w:rPr>
                <w:rFonts w:cs="Arial"/>
                <w:sz w:val="19"/>
                <w:szCs w:val="19"/>
              </w:rPr>
            </w:pPr>
            <w:r w:rsidRPr="008E26DE">
              <w:rPr>
                <w:rFonts w:cs="Arial"/>
                <w:sz w:val="19"/>
                <w:szCs w:val="19"/>
              </w:rPr>
              <w:t>5/137 (3.5)</w:t>
            </w:r>
          </w:p>
        </w:tc>
        <w:tc>
          <w:tcPr>
            <w:tcW w:w="1506" w:type="pct"/>
          </w:tcPr>
          <w:p w14:paraId="7B9889F0" w14:textId="77777777" w:rsidR="001D4A64" w:rsidRPr="008E26DE" w:rsidRDefault="001D4A64" w:rsidP="00417380">
            <w:pPr>
              <w:pStyle w:val="tabletextNS"/>
              <w:jc w:val="center"/>
              <w:rPr>
                <w:rFonts w:cs="Arial"/>
                <w:sz w:val="19"/>
                <w:szCs w:val="19"/>
              </w:rPr>
            </w:pPr>
            <w:r w:rsidRPr="008E26DE">
              <w:rPr>
                <w:rFonts w:cs="Arial"/>
                <w:sz w:val="19"/>
                <w:szCs w:val="19"/>
              </w:rPr>
              <w:t>0/143</w:t>
            </w:r>
          </w:p>
        </w:tc>
      </w:tr>
      <w:tr w:rsidR="001D4A64" w:rsidRPr="008E26DE" w14:paraId="45AB69F1" w14:textId="77777777" w:rsidTr="008E26DE">
        <w:trPr>
          <w:trHeight w:val="517"/>
        </w:trPr>
        <w:tc>
          <w:tcPr>
            <w:tcW w:w="1339" w:type="pct"/>
            <w:vMerge w:val="restart"/>
            <w:hideMark/>
          </w:tcPr>
          <w:p w14:paraId="247383B3" w14:textId="174EEE49" w:rsidR="001D4A64" w:rsidRPr="008E26DE" w:rsidRDefault="001D4A64" w:rsidP="008E26DE">
            <w:pPr>
              <w:pStyle w:val="tabletextNS"/>
              <w:rPr>
                <w:rFonts w:cs="Arial"/>
                <w:b/>
                <w:sz w:val="19"/>
                <w:szCs w:val="19"/>
              </w:rPr>
            </w:pPr>
            <w:r w:rsidRPr="008E26DE">
              <w:rPr>
                <w:rFonts w:cs="Arial"/>
                <w:sz w:val="19"/>
                <w:szCs w:val="19"/>
              </w:rPr>
              <w:t>Race</w:t>
            </w:r>
          </w:p>
        </w:tc>
        <w:tc>
          <w:tcPr>
            <w:tcW w:w="853" w:type="pct"/>
            <w:hideMark/>
          </w:tcPr>
          <w:p w14:paraId="7CF34B10" w14:textId="2C2FBA7A" w:rsidR="001D4A64" w:rsidRPr="008E26DE" w:rsidRDefault="001D4A64" w:rsidP="008E26DE">
            <w:pPr>
              <w:pStyle w:val="tabletextNS"/>
              <w:rPr>
                <w:rFonts w:cs="Arial"/>
                <w:sz w:val="19"/>
                <w:szCs w:val="19"/>
              </w:rPr>
            </w:pPr>
            <w:r w:rsidRPr="008E26DE">
              <w:rPr>
                <w:rFonts w:cs="Arial"/>
                <w:sz w:val="19"/>
                <w:szCs w:val="19"/>
              </w:rPr>
              <w:t>White</w:t>
            </w:r>
          </w:p>
        </w:tc>
        <w:tc>
          <w:tcPr>
            <w:tcW w:w="1302" w:type="pct"/>
          </w:tcPr>
          <w:p w14:paraId="1C939954" w14:textId="77777777" w:rsidR="001D4A64" w:rsidRPr="008E26DE" w:rsidRDefault="001D4A64" w:rsidP="00417380">
            <w:pPr>
              <w:pStyle w:val="tabletextNS"/>
              <w:rPr>
                <w:rFonts w:cs="Arial"/>
                <w:sz w:val="19"/>
                <w:szCs w:val="19"/>
              </w:rPr>
            </w:pPr>
            <w:r w:rsidRPr="008E26DE">
              <w:rPr>
                <w:rFonts w:cs="Arial"/>
                <w:sz w:val="19"/>
                <w:szCs w:val="19"/>
              </w:rPr>
              <w:t>5/370 (1.4)</w:t>
            </w:r>
          </w:p>
        </w:tc>
        <w:tc>
          <w:tcPr>
            <w:tcW w:w="1506" w:type="pct"/>
          </w:tcPr>
          <w:p w14:paraId="656DF05F" w14:textId="77777777" w:rsidR="001D4A64" w:rsidRPr="008E26DE" w:rsidRDefault="001D4A64" w:rsidP="00417380">
            <w:pPr>
              <w:pStyle w:val="tabletextNS"/>
              <w:jc w:val="center"/>
              <w:rPr>
                <w:rFonts w:cs="Arial"/>
                <w:sz w:val="19"/>
                <w:szCs w:val="19"/>
              </w:rPr>
            </w:pPr>
            <w:r w:rsidRPr="008E26DE">
              <w:rPr>
                <w:rFonts w:cs="Arial"/>
                <w:sz w:val="19"/>
                <w:szCs w:val="19"/>
              </w:rPr>
              <w:t>5/393 (1.3)</w:t>
            </w:r>
          </w:p>
        </w:tc>
      </w:tr>
      <w:tr w:rsidR="001D4A64" w:rsidRPr="008E26DE" w14:paraId="46F89067" w14:textId="77777777" w:rsidTr="008E26DE">
        <w:trPr>
          <w:trHeight w:val="517"/>
        </w:trPr>
        <w:tc>
          <w:tcPr>
            <w:tcW w:w="1339" w:type="pct"/>
            <w:vMerge/>
            <w:hideMark/>
          </w:tcPr>
          <w:p w14:paraId="5C0C1EF0" w14:textId="77777777" w:rsidR="001D4A64" w:rsidRPr="008E26DE" w:rsidRDefault="001D4A64" w:rsidP="00417380">
            <w:pPr>
              <w:pStyle w:val="tabletextNS"/>
              <w:rPr>
                <w:rFonts w:cs="Arial"/>
                <w:b/>
                <w:sz w:val="19"/>
                <w:szCs w:val="19"/>
              </w:rPr>
            </w:pPr>
          </w:p>
        </w:tc>
        <w:tc>
          <w:tcPr>
            <w:tcW w:w="853" w:type="pct"/>
            <w:hideMark/>
          </w:tcPr>
          <w:p w14:paraId="5442BBAC" w14:textId="1ACDC5A1" w:rsidR="001D4A64" w:rsidRPr="008E26DE" w:rsidRDefault="001D4A64" w:rsidP="008E26DE">
            <w:pPr>
              <w:pStyle w:val="tabletextNS"/>
              <w:rPr>
                <w:rFonts w:cs="Arial"/>
                <w:sz w:val="19"/>
                <w:szCs w:val="19"/>
              </w:rPr>
            </w:pPr>
            <w:r w:rsidRPr="008E26DE">
              <w:rPr>
                <w:rFonts w:cs="Arial"/>
                <w:sz w:val="19"/>
                <w:szCs w:val="19"/>
              </w:rPr>
              <w:t>Non-White</w:t>
            </w:r>
          </w:p>
        </w:tc>
        <w:tc>
          <w:tcPr>
            <w:tcW w:w="1302" w:type="pct"/>
          </w:tcPr>
          <w:p w14:paraId="1F269073" w14:textId="77777777" w:rsidR="001D4A64" w:rsidRPr="008E26DE" w:rsidRDefault="001D4A64" w:rsidP="00417380">
            <w:pPr>
              <w:pStyle w:val="tabletextNS"/>
              <w:rPr>
                <w:rFonts w:cs="Arial"/>
                <w:sz w:val="19"/>
                <w:szCs w:val="19"/>
              </w:rPr>
            </w:pPr>
            <w:r w:rsidRPr="008E26DE">
              <w:rPr>
                <w:rFonts w:cs="Arial"/>
                <w:sz w:val="19"/>
                <w:szCs w:val="19"/>
              </w:rPr>
              <w:t>4/152 (2.6)</w:t>
            </w:r>
          </w:p>
        </w:tc>
        <w:tc>
          <w:tcPr>
            <w:tcW w:w="1506" w:type="pct"/>
          </w:tcPr>
          <w:p w14:paraId="258052E3" w14:textId="77777777" w:rsidR="001D4A64" w:rsidRPr="008E26DE" w:rsidRDefault="001D4A64" w:rsidP="00417380">
            <w:pPr>
              <w:pStyle w:val="tabletextNS"/>
              <w:jc w:val="center"/>
              <w:rPr>
                <w:rFonts w:cs="Arial"/>
                <w:sz w:val="19"/>
                <w:szCs w:val="19"/>
              </w:rPr>
            </w:pPr>
            <w:r w:rsidRPr="008E26DE">
              <w:rPr>
                <w:rFonts w:cs="Arial"/>
                <w:sz w:val="19"/>
                <w:szCs w:val="19"/>
              </w:rPr>
              <w:t>0/130</w:t>
            </w:r>
          </w:p>
        </w:tc>
      </w:tr>
      <w:tr w:rsidR="001D4A64" w:rsidRPr="008E26DE" w14:paraId="5C856697" w14:textId="77777777" w:rsidTr="008E26DE">
        <w:trPr>
          <w:trHeight w:val="517"/>
        </w:trPr>
        <w:tc>
          <w:tcPr>
            <w:tcW w:w="1339" w:type="pct"/>
            <w:vMerge/>
            <w:hideMark/>
          </w:tcPr>
          <w:p w14:paraId="48C89343" w14:textId="77777777" w:rsidR="001D4A64" w:rsidRPr="008E26DE" w:rsidRDefault="001D4A64" w:rsidP="00417380">
            <w:pPr>
              <w:pStyle w:val="tabletextNS"/>
              <w:rPr>
                <w:rFonts w:cs="Arial"/>
                <w:b/>
                <w:sz w:val="19"/>
                <w:szCs w:val="19"/>
              </w:rPr>
            </w:pPr>
          </w:p>
        </w:tc>
        <w:tc>
          <w:tcPr>
            <w:tcW w:w="853" w:type="pct"/>
            <w:hideMark/>
          </w:tcPr>
          <w:p w14:paraId="40B78471" w14:textId="46C39709" w:rsidR="001D4A64" w:rsidRPr="008E26DE" w:rsidRDefault="001D4A64" w:rsidP="008E26DE">
            <w:pPr>
              <w:pStyle w:val="tabletextNS"/>
              <w:rPr>
                <w:rFonts w:cs="Arial"/>
                <w:sz w:val="19"/>
                <w:szCs w:val="19"/>
              </w:rPr>
            </w:pPr>
            <w:r w:rsidRPr="008E26DE">
              <w:rPr>
                <w:rFonts w:cs="Arial"/>
                <w:sz w:val="19"/>
                <w:szCs w:val="19"/>
              </w:rPr>
              <w:t>Black/African American</w:t>
            </w:r>
          </w:p>
        </w:tc>
        <w:tc>
          <w:tcPr>
            <w:tcW w:w="1302" w:type="pct"/>
          </w:tcPr>
          <w:p w14:paraId="5B60B9AB" w14:textId="77777777" w:rsidR="001D4A64" w:rsidRPr="008E26DE" w:rsidRDefault="001D4A64" w:rsidP="00417380">
            <w:pPr>
              <w:pStyle w:val="tabletextNS"/>
              <w:rPr>
                <w:rFonts w:cs="Arial"/>
                <w:sz w:val="19"/>
                <w:szCs w:val="19"/>
              </w:rPr>
            </w:pPr>
            <w:r w:rsidRPr="008E26DE">
              <w:rPr>
                <w:rFonts w:cs="Arial"/>
                <w:sz w:val="19"/>
                <w:szCs w:val="19"/>
              </w:rPr>
              <w:t>4/101 (4.0)</w:t>
            </w:r>
          </w:p>
        </w:tc>
        <w:tc>
          <w:tcPr>
            <w:tcW w:w="1506" w:type="pct"/>
          </w:tcPr>
          <w:p w14:paraId="28BFAE10" w14:textId="77777777" w:rsidR="001D4A64" w:rsidRPr="008E26DE" w:rsidRDefault="001D4A64" w:rsidP="00417380">
            <w:pPr>
              <w:pStyle w:val="tabletextNS"/>
              <w:jc w:val="center"/>
              <w:rPr>
                <w:rFonts w:cs="Arial"/>
                <w:sz w:val="19"/>
                <w:szCs w:val="19"/>
              </w:rPr>
            </w:pPr>
            <w:r w:rsidRPr="008E26DE">
              <w:rPr>
                <w:rFonts w:cs="Arial"/>
                <w:sz w:val="19"/>
                <w:szCs w:val="19"/>
              </w:rPr>
              <w:t>0/ 90</w:t>
            </w:r>
          </w:p>
        </w:tc>
      </w:tr>
      <w:tr w:rsidR="001D4A64" w:rsidRPr="008E26DE" w14:paraId="2331C067" w14:textId="77777777" w:rsidTr="008E26DE">
        <w:trPr>
          <w:trHeight w:val="517"/>
        </w:trPr>
        <w:tc>
          <w:tcPr>
            <w:tcW w:w="1339" w:type="pct"/>
            <w:vMerge/>
            <w:hideMark/>
          </w:tcPr>
          <w:p w14:paraId="04BD9357" w14:textId="77777777" w:rsidR="001D4A64" w:rsidRPr="008E26DE" w:rsidRDefault="001D4A64" w:rsidP="00417380">
            <w:pPr>
              <w:pStyle w:val="tabletextNS"/>
              <w:rPr>
                <w:rFonts w:cs="Arial"/>
                <w:b/>
                <w:sz w:val="19"/>
                <w:szCs w:val="19"/>
              </w:rPr>
            </w:pPr>
          </w:p>
        </w:tc>
        <w:tc>
          <w:tcPr>
            <w:tcW w:w="853" w:type="pct"/>
            <w:hideMark/>
          </w:tcPr>
          <w:p w14:paraId="1E6D071C" w14:textId="7099D791" w:rsidR="001D4A64" w:rsidRPr="008E26DE" w:rsidRDefault="001D4A64" w:rsidP="008E26DE">
            <w:pPr>
              <w:pStyle w:val="tabletextNS"/>
              <w:rPr>
                <w:rFonts w:cs="Arial"/>
                <w:sz w:val="19"/>
                <w:szCs w:val="19"/>
              </w:rPr>
            </w:pPr>
            <w:r w:rsidRPr="008E26DE">
              <w:rPr>
                <w:rFonts w:cs="Arial"/>
                <w:sz w:val="19"/>
                <w:szCs w:val="19"/>
              </w:rPr>
              <w:t>Non-Black/African American</w:t>
            </w:r>
          </w:p>
        </w:tc>
        <w:tc>
          <w:tcPr>
            <w:tcW w:w="1302" w:type="pct"/>
          </w:tcPr>
          <w:p w14:paraId="57B673F1" w14:textId="77777777" w:rsidR="001D4A64" w:rsidRPr="008E26DE" w:rsidRDefault="001D4A64" w:rsidP="00417380">
            <w:pPr>
              <w:pStyle w:val="tabletextNS"/>
              <w:rPr>
                <w:rFonts w:cs="Arial"/>
                <w:sz w:val="19"/>
                <w:szCs w:val="19"/>
              </w:rPr>
            </w:pPr>
            <w:r w:rsidRPr="008E26DE">
              <w:rPr>
                <w:rFonts w:cs="Arial"/>
                <w:sz w:val="19"/>
                <w:szCs w:val="19"/>
              </w:rPr>
              <w:t>5/421 (1.2)</w:t>
            </w:r>
          </w:p>
        </w:tc>
        <w:tc>
          <w:tcPr>
            <w:tcW w:w="1506" w:type="pct"/>
          </w:tcPr>
          <w:p w14:paraId="0D8ADC4A" w14:textId="77777777" w:rsidR="001D4A64" w:rsidRPr="008E26DE" w:rsidRDefault="001D4A64" w:rsidP="00417380">
            <w:pPr>
              <w:pStyle w:val="tabletextNS"/>
              <w:jc w:val="center"/>
              <w:rPr>
                <w:rFonts w:cs="Arial"/>
                <w:sz w:val="19"/>
                <w:szCs w:val="19"/>
              </w:rPr>
            </w:pPr>
            <w:r w:rsidRPr="008E26DE">
              <w:rPr>
                <w:rFonts w:cs="Arial"/>
                <w:sz w:val="19"/>
                <w:szCs w:val="19"/>
              </w:rPr>
              <w:t>5/421 (1.2)</w:t>
            </w:r>
          </w:p>
        </w:tc>
      </w:tr>
      <w:tr w:rsidR="001D4A64" w:rsidRPr="008E26DE" w14:paraId="285C5DA4" w14:textId="77777777" w:rsidTr="008E26DE">
        <w:trPr>
          <w:trHeight w:val="517"/>
        </w:trPr>
        <w:tc>
          <w:tcPr>
            <w:tcW w:w="1339" w:type="pct"/>
            <w:vMerge w:val="restart"/>
            <w:hideMark/>
          </w:tcPr>
          <w:p w14:paraId="46AEE7C4" w14:textId="77777777" w:rsidR="001D4A64" w:rsidRPr="008E26DE" w:rsidRDefault="001D4A64" w:rsidP="00417380">
            <w:pPr>
              <w:pStyle w:val="tabletextNS"/>
              <w:rPr>
                <w:rFonts w:cs="Arial"/>
                <w:b/>
                <w:sz w:val="19"/>
                <w:szCs w:val="19"/>
              </w:rPr>
            </w:pPr>
            <w:r w:rsidRPr="008E26DE">
              <w:rPr>
                <w:rFonts w:cs="Arial"/>
                <w:b/>
                <w:bCs/>
                <w:sz w:val="19"/>
                <w:szCs w:val="19"/>
              </w:rPr>
              <w:t>BMI</w:t>
            </w:r>
          </w:p>
        </w:tc>
        <w:tc>
          <w:tcPr>
            <w:tcW w:w="853" w:type="pct"/>
            <w:hideMark/>
          </w:tcPr>
          <w:p w14:paraId="3EFE1475" w14:textId="77777777" w:rsidR="001D4A64" w:rsidRPr="008E26DE" w:rsidRDefault="001D4A64" w:rsidP="00417380">
            <w:pPr>
              <w:pStyle w:val="tabletextNS"/>
              <w:rPr>
                <w:rFonts w:cs="Arial"/>
                <w:sz w:val="19"/>
                <w:szCs w:val="19"/>
                <w:vertAlign w:val="superscript"/>
              </w:rPr>
            </w:pPr>
            <w:r w:rsidRPr="008E26DE">
              <w:rPr>
                <w:rFonts w:cs="Arial"/>
                <w:sz w:val="19"/>
                <w:szCs w:val="19"/>
              </w:rPr>
              <w:t>&lt;30 kg/m</w:t>
            </w:r>
            <w:r w:rsidRPr="008E26DE">
              <w:rPr>
                <w:rFonts w:cs="Arial"/>
                <w:sz w:val="19"/>
                <w:szCs w:val="19"/>
                <w:vertAlign w:val="superscript"/>
              </w:rPr>
              <w:t>2</w:t>
            </w:r>
          </w:p>
        </w:tc>
        <w:tc>
          <w:tcPr>
            <w:tcW w:w="1302" w:type="pct"/>
          </w:tcPr>
          <w:p w14:paraId="3463A692" w14:textId="77777777" w:rsidR="001D4A64" w:rsidRPr="008E26DE" w:rsidRDefault="001D4A64" w:rsidP="00417380">
            <w:pPr>
              <w:pStyle w:val="tabletextNS"/>
              <w:rPr>
                <w:rFonts w:cs="Arial"/>
                <w:sz w:val="19"/>
                <w:szCs w:val="19"/>
              </w:rPr>
            </w:pPr>
            <w:r w:rsidRPr="008E26DE">
              <w:rPr>
                <w:rFonts w:cs="Arial"/>
                <w:sz w:val="19"/>
                <w:szCs w:val="19"/>
              </w:rPr>
              <w:t>3/409 (0.7)</w:t>
            </w:r>
          </w:p>
        </w:tc>
        <w:tc>
          <w:tcPr>
            <w:tcW w:w="1506" w:type="pct"/>
          </w:tcPr>
          <w:p w14:paraId="6DF9EF40" w14:textId="77777777" w:rsidR="001D4A64" w:rsidRPr="008E26DE" w:rsidRDefault="001D4A64" w:rsidP="00417380">
            <w:pPr>
              <w:pStyle w:val="tabletextNS"/>
              <w:jc w:val="center"/>
              <w:rPr>
                <w:rFonts w:cs="Arial"/>
                <w:sz w:val="19"/>
                <w:szCs w:val="19"/>
              </w:rPr>
            </w:pPr>
            <w:r w:rsidRPr="008E26DE">
              <w:rPr>
                <w:rFonts w:cs="Arial"/>
                <w:sz w:val="19"/>
                <w:szCs w:val="19"/>
              </w:rPr>
              <w:t>3/425 (0.7)</w:t>
            </w:r>
          </w:p>
        </w:tc>
      </w:tr>
      <w:tr w:rsidR="001D4A64" w:rsidRPr="008E26DE" w14:paraId="682DD52C" w14:textId="77777777" w:rsidTr="008E26DE">
        <w:trPr>
          <w:trHeight w:val="517"/>
        </w:trPr>
        <w:tc>
          <w:tcPr>
            <w:tcW w:w="1339" w:type="pct"/>
            <w:vMerge/>
            <w:hideMark/>
          </w:tcPr>
          <w:p w14:paraId="7A812BED" w14:textId="77777777" w:rsidR="001D4A64" w:rsidRPr="008E26DE" w:rsidRDefault="001D4A64" w:rsidP="00417380">
            <w:pPr>
              <w:pStyle w:val="tabletextNS"/>
              <w:rPr>
                <w:rFonts w:cs="Arial"/>
                <w:b/>
                <w:sz w:val="19"/>
                <w:szCs w:val="19"/>
              </w:rPr>
            </w:pPr>
          </w:p>
        </w:tc>
        <w:tc>
          <w:tcPr>
            <w:tcW w:w="853" w:type="pct"/>
            <w:hideMark/>
          </w:tcPr>
          <w:p w14:paraId="487F0AA6" w14:textId="77777777" w:rsidR="001D4A64" w:rsidRPr="008E26DE" w:rsidRDefault="001D4A64" w:rsidP="00417380">
            <w:pPr>
              <w:pStyle w:val="tabletextNS"/>
              <w:rPr>
                <w:rFonts w:cs="Arial"/>
                <w:sz w:val="19"/>
                <w:szCs w:val="19"/>
              </w:rPr>
            </w:pPr>
            <w:r w:rsidRPr="008E26DE">
              <w:rPr>
                <w:rFonts w:cs="Arial"/>
                <w:sz w:val="19"/>
                <w:szCs w:val="19"/>
              </w:rPr>
              <w:t>≥30 kg/m</w:t>
            </w:r>
            <w:r w:rsidRPr="008E26DE">
              <w:rPr>
                <w:rFonts w:cs="Arial"/>
                <w:sz w:val="19"/>
                <w:szCs w:val="19"/>
                <w:vertAlign w:val="superscript"/>
              </w:rPr>
              <w:t>2</w:t>
            </w:r>
          </w:p>
        </w:tc>
        <w:tc>
          <w:tcPr>
            <w:tcW w:w="1302" w:type="pct"/>
          </w:tcPr>
          <w:p w14:paraId="4CC85D58" w14:textId="77777777" w:rsidR="001D4A64" w:rsidRPr="008E26DE" w:rsidRDefault="001D4A64" w:rsidP="00417380">
            <w:pPr>
              <w:pStyle w:val="tabletextNS"/>
              <w:rPr>
                <w:rFonts w:cs="Arial"/>
                <w:sz w:val="19"/>
                <w:szCs w:val="19"/>
              </w:rPr>
            </w:pPr>
            <w:r w:rsidRPr="008E26DE">
              <w:rPr>
                <w:rFonts w:cs="Arial"/>
                <w:sz w:val="19"/>
                <w:szCs w:val="19"/>
              </w:rPr>
              <w:t>6/113 (5.3)</w:t>
            </w:r>
          </w:p>
        </w:tc>
        <w:tc>
          <w:tcPr>
            <w:tcW w:w="1506" w:type="pct"/>
          </w:tcPr>
          <w:p w14:paraId="3DB1C70B" w14:textId="77777777" w:rsidR="001D4A64" w:rsidRPr="008E26DE" w:rsidRDefault="001D4A64" w:rsidP="00417380">
            <w:pPr>
              <w:pStyle w:val="tabletextNS"/>
              <w:jc w:val="center"/>
              <w:rPr>
                <w:rFonts w:cs="Arial"/>
                <w:sz w:val="19"/>
                <w:szCs w:val="19"/>
              </w:rPr>
            </w:pPr>
            <w:r w:rsidRPr="008E26DE">
              <w:rPr>
                <w:rFonts w:cs="Arial"/>
                <w:sz w:val="19"/>
                <w:szCs w:val="19"/>
              </w:rPr>
              <w:t>2/98 (2.0)</w:t>
            </w:r>
          </w:p>
        </w:tc>
      </w:tr>
      <w:tr w:rsidR="001D4A64" w:rsidRPr="008E26DE" w14:paraId="2EBD295A" w14:textId="77777777" w:rsidTr="008E26DE">
        <w:trPr>
          <w:trHeight w:val="517"/>
        </w:trPr>
        <w:tc>
          <w:tcPr>
            <w:tcW w:w="1339" w:type="pct"/>
            <w:vMerge w:val="restart"/>
            <w:hideMark/>
          </w:tcPr>
          <w:p w14:paraId="6627E1CF" w14:textId="5CA3C74A" w:rsidR="001D4A64" w:rsidRPr="008E26DE" w:rsidRDefault="001D4A64" w:rsidP="008E26DE">
            <w:pPr>
              <w:pStyle w:val="tabletextNS"/>
              <w:rPr>
                <w:rFonts w:cs="Arial"/>
                <w:b/>
                <w:sz w:val="19"/>
                <w:szCs w:val="19"/>
              </w:rPr>
            </w:pPr>
            <w:r w:rsidRPr="008E26DE">
              <w:rPr>
                <w:rFonts w:cs="Arial"/>
                <w:b/>
                <w:bCs/>
                <w:sz w:val="19"/>
                <w:szCs w:val="19"/>
              </w:rPr>
              <w:t>Age (years)</w:t>
            </w:r>
          </w:p>
        </w:tc>
        <w:tc>
          <w:tcPr>
            <w:tcW w:w="853" w:type="pct"/>
            <w:hideMark/>
          </w:tcPr>
          <w:p w14:paraId="02C71A56" w14:textId="625FB7FB" w:rsidR="001D4A64" w:rsidRPr="008E26DE" w:rsidRDefault="001D4A64" w:rsidP="008E26DE">
            <w:pPr>
              <w:pStyle w:val="tabletextNS"/>
              <w:rPr>
                <w:rFonts w:cs="Arial"/>
                <w:sz w:val="19"/>
                <w:szCs w:val="19"/>
              </w:rPr>
            </w:pPr>
            <w:r w:rsidRPr="008E26DE">
              <w:rPr>
                <w:rFonts w:cs="Arial"/>
                <w:sz w:val="19"/>
                <w:szCs w:val="19"/>
              </w:rPr>
              <w:t>&lt;35</w:t>
            </w:r>
          </w:p>
        </w:tc>
        <w:tc>
          <w:tcPr>
            <w:tcW w:w="1302" w:type="pct"/>
          </w:tcPr>
          <w:p w14:paraId="2B49F636" w14:textId="77777777" w:rsidR="001D4A64" w:rsidRPr="008E26DE" w:rsidRDefault="001D4A64" w:rsidP="00417380">
            <w:pPr>
              <w:pStyle w:val="tabletextNS"/>
              <w:rPr>
                <w:rFonts w:cs="Arial"/>
                <w:sz w:val="19"/>
                <w:szCs w:val="19"/>
              </w:rPr>
            </w:pPr>
            <w:r w:rsidRPr="008E26DE">
              <w:rPr>
                <w:rFonts w:cs="Arial"/>
                <w:sz w:val="19"/>
                <w:szCs w:val="19"/>
              </w:rPr>
              <w:t>4/137 (2.9)</w:t>
            </w:r>
          </w:p>
        </w:tc>
        <w:tc>
          <w:tcPr>
            <w:tcW w:w="1506" w:type="pct"/>
          </w:tcPr>
          <w:p w14:paraId="4F774C76" w14:textId="77777777" w:rsidR="001D4A64" w:rsidRPr="008E26DE" w:rsidRDefault="001D4A64" w:rsidP="00417380">
            <w:pPr>
              <w:pStyle w:val="tabletextNS"/>
              <w:jc w:val="center"/>
              <w:rPr>
                <w:rFonts w:cs="Arial"/>
                <w:sz w:val="19"/>
                <w:szCs w:val="19"/>
              </w:rPr>
            </w:pPr>
            <w:r w:rsidRPr="008E26DE">
              <w:rPr>
                <w:rFonts w:cs="Arial"/>
                <w:sz w:val="19"/>
                <w:szCs w:val="19"/>
              </w:rPr>
              <w:t>1/145 (0.7)</w:t>
            </w:r>
          </w:p>
        </w:tc>
      </w:tr>
      <w:tr w:rsidR="001D4A64" w:rsidRPr="008E26DE" w14:paraId="072E3780" w14:textId="77777777" w:rsidTr="008E26DE">
        <w:trPr>
          <w:trHeight w:val="517"/>
        </w:trPr>
        <w:tc>
          <w:tcPr>
            <w:tcW w:w="1339" w:type="pct"/>
            <w:vMerge/>
            <w:hideMark/>
          </w:tcPr>
          <w:p w14:paraId="29E83D69" w14:textId="77777777" w:rsidR="001D4A64" w:rsidRPr="008E26DE" w:rsidRDefault="001D4A64" w:rsidP="00417380">
            <w:pPr>
              <w:pStyle w:val="tabletextNS"/>
              <w:rPr>
                <w:rFonts w:cs="Arial"/>
                <w:b/>
                <w:sz w:val="19"/>
                <w:szCs w:val="19"/>
              </w:rPr>
            </w:pPr>
          </w:p>
        </w:tc>
        <w:tc>
          <w:tcPr>
            <w:tcW w:w="853" w:type="pct"/>
            <w:hideMark/>
          </w:tcPr>
          <w:p w14:paraId="4D88A535" w14:textId="77777777" w:rsidR="001D4A64" w:rsidRPr="008E26DE" w:rsidRDefault="001D4A64" w:rsidP="00417380">
            <w:pPr>
              <w:pStyle w:val="tabletextNS"/>
              <w:rPr>
                <w:rFonts w:cs="Arial"/>
                <w:sz w:val="19"/>
                <w:szCs w:val="19"/>
              </w:rPr>
            </w:pPr>
            <w:r w:rsidRPr="008E26DE">
              <w:rPr>
                <w:rFonts w:cs="Arial"/>
                <w:sz w:val="19"/>
                <w:szCs w:val="19"/>
              </w:rPr>
              <w:t>35 to &lt;50</w:t>
            </w:r>
          </w:p>
          <w:p w14:paraId="0E36C7B6" w14:textId="77777777" w:rsidR="001D4A64" w:rsidRPr="008E26DE" w:rsidRDefault="001D4A64" w:rsidP="00417380">
            <w:pPr>
              <w:pStyle w:val="tabletextNS"/>
              <w:rPr>
                <w:rFonts w:cs="Arial"/>
                <w:sz w:val="19"/>
                <w:szCs w:val="19"/>
              </w:rPr>
            </w:pPr>
          </w:p>
        </w:tc>
        <w:tc>
          <w:tcPr>
            <w:tcW w:w="1302" w:type="pct"/>
          </w:tcPr>
          <w:p w14:paraId="66984258" w14:textId="77777777" w:rsidR="001D4A64" w:rsidRPr="008E26DE" w:rsidRDefault="001D4A64" w:rsidP="00417380">
            <w:pPr>
              <w:pStyle w:val="tabletextNS"/>
              <w:rPr>
                <w:rFonts w:cs="Arial"/>
                <w:sz w:val="19"/>
                <w:szCs w:val="19"/>
              </w:rPr>
            </w:pPr>
            <w:r w:rsidRPr="008E26DE">
              <w:rPr>
                <w:rFonts w:cs="Arial"/>
                <w:sz w:val="19"/>
                <w:szCs w:val="19"/>
              </w:rPr>
              <w:t>3/242 (1.2)</w:t>
            </w:r>
          </w:p>
        </w:tc>
        <w:tc>
          <w:tcPr>
            <w:tcW w:w="1506" w:type="pct"/>
          </w:tcPr>
          <w:p w14:paraId="7A3610C4" w14:textId="77777777" w:rsidR="001D4A64" w:rsidRPr="008E26DE" w:rsidRDefault="001D4A64" w:rsidP="00417380">
            <w:pPr>
              <w:pStyle w:val="tabletextNS"/>
              <w:jc w:val="center"/>
              <w:rPr>
                <w:rFonts w:cs="Arial"/>
                <w:sz w:val="19"/>
                <w:szCs w:val="19"/>
              </w:rPr>
            </w:pPr>
            <w:r w:rsidRPr="008E26DE">
              <w:rPr>
                <w:rFonts w:cs="Arial"/>
                <w:sz w:val="19"/>
                <w:szCs w:val="19"/>
              </w:rPr>
              <w:t>2/239 (0.8)</w:t>
            </w:r>
          </w:p>
        </w:tc>
      </w:tr>
      <w:tr w:rsidR="001D4A64" w:rsidRPr="008E26DE" w14:paraId="0A4FE6E2" w14:textId="77777777" w:rsidTr="008E26DE">
        <w:trPr>
          <w:trHeight w:val="517"/>
        </w:trPr>
        <w:tc>
          <w:tcPr>
            <w:tcW w:w="1339" w:type="pct"/>
            <w:vMerge/>
            <w:hideMark/>
          </w:tcPr>
          <w:p w14:paraId="1313EC90" w14:textId="77777777" w:rsidR="001D4A64" w:rsidRPr="008E26DE" w:rsidRDefault="001D4A64" w:rsidP="00417380">
            <w:pPr>
              <w:pStyle w:val="tabletextNS"/>
              <w:rPr>
                <w:rFonts w:cs="Arial"/>
                <w:b/>
                <w:sz w:val="19"/>
                <w:szCs w:val="19"/>
              </w:rPr>
            </w:pPr>
          </w:p>
        </w:tc>
        <w:tc>
          <w:tcPr>
            <w:tcW w:w="853" w:type="pct"/>
            <w:hideMark/>
          </w:tcPr>
          <w:p w14:paraId="7E671997" w14:textId="77777777" w:rsidR="001D4A64" w:rsidRPr="008E26DE" w:rsidRDefault="001D4A64" w:rsidP="00417380">
            <w:pPr>
              <w:pStyle w:val="tabletextNS"/>
              <w:rPr>
                <w:rFonts w:cs="Arial"/>
                <w:sz w:val="19"/>
                <w:szCs w:val="19"/>
              </w:rPr>
            </w:pPr>
            <w:r w:rsidRPr="008E26DE">
              <w:rPr>
                <w:rFonts w:cs="Arial"/>
                <w:sz w:val="19"/>
                <w:szCs w:val="19"/>
              </w:rPr>
              <w:t>&gt;50</w:t>
            </w:r>
          </w:p>
          <w:p w14:paraId="544DA86B" w14:textId="77777777" w:rsidR="001D4A64" w:rsidRPr="008E26DE" w:rsidRDefault="001D4A64" w:rsidP="00417380">
            <w:pPr>
              <w:pStyle w:val="tabletextNS"/>
              <w:rPr>
                <w:rFonts w:cs="Arial"/>
                <w:sz w:val="19"/>
                <w:szCs w:val="19"/>
              </w:rPr>
            </w:pPr>
          </w:p>
        </w:tc>
        <w:tc>
          <w:tcPr>
            <w:tcW w:w="1302" w:type="pct"/>
          </w:tcPr>
          <w:p w14:paraId="424306BC" w14:textId="77777777" w:rsidR="001D4A64" w:rsidRPr="008E26DE" w:rsidRDefault="001D4A64" w:rsidP="00417380">
            <w:pPr>
              <w:pStyle w:val="tabletextNS"/>
              <w:rPr>
                <w:rFonts w:cs="Arial"/>
                <w:sz w:val="19"/>
                <w:szCs w:val="19"/>
              </w:rPr>
            </w:pPr>
            <w:r w:rsidRPr="008E26DE">
              <w:rPr>
                <w:rFonts w:cs="Arial"/>
                <w:sz w:val="19"/>
                <w:szCs w:val="19"/>
              </w:rPr>
              <w:t>2/143 (1.4)</w:t>
            </w:r>
          </w:p>
        </w:tc>
        <w:tc>
          <w:tcPr>
            <w:tcW w:w="1506" w:type="pct"/>
          </w:tcPr>
          <w:p w14:paraId="2066296C" w14:textId="77777777" w:rsidR="001D4A64" w:rsidRPr="008E26DE" w:rsidRDefault="001D4A64" w:rsidP="00417380">
            <w:pPr>
              <w:pStyle w:val="tabletextNS"/>
              <w:jc w:val="center"/>
              <w:rPr>
                <w:rFonts w:cs="Arial"/>
                <w:sz w:val="19"/>
                <w:szCs w:val="19"/>
              </w:rPr>
            </w:pPr>
            <w:r w:rsidRPr="008E26DE">
              <w:rPr>
                <w:rFonts w:cs="Arial"/>
                <w:sz w:val="19"/>
                <w:szCs w:val="19"/>
              </w:rPr>
              <w:t>2/139 (1.4)</w:t>
            </w:r>
          </w:p>
        </w:tc>
      </w:tr>
      <w:tr w:rsidR="001D4A64" w:rsidRPr="008E26DE" w14:paraId="19C23994" w14:textId="77777777" w:rsidTr="008E26DE">
        <w:trPr>
          <w:trHeight w:val="517"/>
        </w:trPr>
        <w:tc>
          <w:tcPr>
            <w:tcW w:w="1339" w:type="pct"/>
            <w:vMerge w:val="restart"/>
            <w:hideMark/>
          </w:tcPr>
          <w:p w14:paraId="36592CFE" w14:textId="77777777" w:rsidR="001D4A64" w:rsidRPr="008E26DE" w:rsidRDefault="001D4A64" w:rsidP="00417380">
            <w:pPr>
              <w:pStyle w:val="tabletextNS"/>
              <w:rPr>
                <w:rFonts w:cs="Arial"/>
                <w:b/>
                <w:sz w:val="19"/>
                <w:szCs w:val="19"/>
              </w:rPr>
            </w:pPr>
            <w:r w:rsidRPr="008E26DE">
              <w:rPr>
                <w:rFonts w:cs="Arial"/>
                <w:b/>
                <w:bCs/>
                <w:sz w:val="19"/>
                <w:szCs w:val="19"/>
              </w:rPr>
              <w:t>Prior exposure CAB/RPV</w:t>
            </w:r>
          </w:p>
        </w:tc>
        <w:tc>
          <w:tcPr>
            <w:tcW w:w="853" w:type="pct"/>
            <w:hideMark/>
          </w:tcPr>
          <w:p w14:paraId="161FCB4B" w14:textId="77777777" w:rsidR="001D4A64" w:rsidRPr="008E26DE" w:rsidRDefault="001D4A64" w:rsidP="00417380">
            <w:pPr>
              <w:pStyle w:val="tabletextNS"/>
              <w:rPr>
                <w:rFonts w:cs="Arial"/>
                <w:sz w:val="19"/>
                <w:szCs w:val="19"/>
              </w:rPr>
            </w:pPr>
            <w:r w:rsidRPr="008E26DE">
              <w:rPr>
                <w:rFonts w:cs="Arial"/>
                <w:sz w:val="19"/>
                <w:szCs w:val="19"/>
              </w:rPr>
              <w:t>None</w:t>
            </w:r>
          </w:p>
        </w:tc>
        <w:tc>
          <w:tcPr>
            <w:tcW w:w="1302" w:type="pct"/>
          </w:tcPr>
          <w:p w14:paraId="5CC6A681" w14:textId="77777777" w:rsidR="001D4A64" w:rsidRPr="008E26DE" w:rsidRDefault="001D4A64" w:rsidP="00417380">
            <w:pPr>
              <w:pStyle w:val="tabletextNS"/>
              <w:rPr>
                <w:rFonts w:cs="Arial"/>
                <w:sz w:val="19"/>
                <w:szCs w:val="19"/>
              </w:rPr>
            </w:pPr>
            <w:r w:rsidRPr="008E26DE">
              <w:rPr>
                <w:rFonts w:cs="Arial"/>
                <w:sz w:val="19"/>
                <w:szCs w:val="19"/>
              </w:rPr>
              <w:t>5/327 (1.5)</w:t>
            </w:r>
          </w:p>
        </w:tc>
        <w:tc>
          <w:tcPr>
            <w:tcW w:w="1506" w:type="pct"/>
          </w:tcPr>
          <w:p w14:paraId="4BEE8DC9" w14:textId="77777777" w:rsidR="001D4A64" w:rsidRPr="008E26DE" w:rsidRDefault="001D4A64" w:rsidP="00417380">
            <w:pPr>
              <w:pStyle w:val="tabletextNS"/>
              <w:jc w:val="center"/>
              <w:rPr>
                <w:rFonts w:cs="Arial"/>
                <w:sz w:val="19"/>
                <w:szCs w:val="19"/>
              </w:rPr>
            </w:pPr>
            <w:r w:rsidRPr="008E26DE">
              <w:rPr>
                <w:rFonts w:cs="Arial"/>
                <w:sz w:val="19"/>
                <w:szCs w:val="19"/>
              </w:rPr>
              <w:t>5/327 (1.5)</w:t>
            </w:r>
          </w:p>
        </w:tc>
      </w:tr>
      <w:tr w:rsidR="001D4A64" w:rsidRPr="008E26DE" w14:paraId="336E990A" w14:textId="77777777" w:rsidTr="008E26DE">
        <w:trPr>
          <w:trHeight w:val="517"/>
        </w:trPr>
        <w:tc>
          <w:tcPr>
            <w:tcW w:w="1339" w:type="pct"/>
            <w:vMerge/>
            <w:hideMark/>
          </w:tcPr>
          <w:p w14:paraId="4B27A946" w14:textId="77777777" w:rsidR="001D4A64" w:rsidRPr="008E26DE" w:rsidRDefault="001D4A64" w:rsidP="00417380">
            <w:pPr>
              <w:pStyle w:val="tabletextNS"/>
              <w:rPr>
                <w:rFonts w:cs="Arial"/>
                <w:b/>
                <w:sz w:val="19"/>
                <w:szCs w:val="19"/>
              </w:rPr>
            </w:pPr>
          </w:p>
        </w:tc>
        <w:tc>
          <w:tcPr>
            <w:tcW w:w="853" w:type="pct"/>
            <w:hideMark/>
          </w:tcPr>
          <w:p w14:paraId="4B95B959" w14:textId="77777777" w:rsidR="001D4A64" w:rsidRPr="008E26DE" w:rsidRDefault="001D4A64" w:rsidP="00417380">
            <w:pPr>
              <w:pStyle w:val="tabletextNS"/>
              <w:rPr>
                <w:rFonts w:cs="Arial"/>
                <w:sz w:val="19"/>
                <w:szCs w:val="19"/>
              </w:rPr>
            </w:pPr>
            <w:r w:rsidRPr="008E26DE">
              <w:rPr>
                <w:rFonts w:cs="Arial"/>
                <w:sz w:val="19"/>
                <w:szCs w:val="19"/>
              </w:rPr>
              <w:t>1-24 weeks</w:t>
            </w:r>
          </w:p>
        </w:tc>
        <w:tc>
          <w:tcPr>
            <w:tcW w:w="1302" w:type="pct"/>
          </w:tcPr>
          <w:p w14:paraId="49F459C8" w14:textId="77777777" w:rsidR="001D4A64" w:rsidRPr="008E26DE" w:rsidRDefault="001D4A64" w:rsidP="00417380">
            <w:pPr>
              <w:pStyle w:val="tabletextNS"/>
              <w:rPr>
                <w:rFonts w:cs="Arial"/>
                <w:sz w:val="19"/>
                <w:szCs w:val="19"/>
              </w:rPr>
            </w:pPr>
            <w:r w:rsidRPr="008E26DE">
              <w:rPr>
                <w:rFonts w:cs="Arial"/>
                <w:sz w:val="19"/>
                <w:szCs w:val="19"/>
              </w:rPr>
              <w:t>3/69 (4.3)</w:t>
            </w:r>
          </w:p>
        </w:tc>
        <w:tc>
          <w:tcPr>
            <w:tcW w:w="1506" w:type="pct"/>
          </w:tcPr>
          <w:p w14:paraId="3E252E50" w14:textId="77777777" w:rsidR="001D4A64" w:rsidRPr="008E26DE" w:rsidRDefault="001D4A64" w:rsidP="00417380">
            <w:pPr>
              <w:pStyle w:val="tabletextNS"/>
              <w:jc w:val="center"/>
              <w:rPr>
                <w:rFonts w:cs="Arial"/>
                <w:sz w:val="19"/>
                <w:szCs w:val="19"/>
              </w:rPr>
            </w:pPr>
            <w:r w:rsidRPr="008E26DE">
              <w:rPr>
                <w:rFonts w:cs="Arial"/>
                <w:sz w:val="19"/>
                <w:szCs w:val="19"/>
              </w:rPr>
              <w:t>0/68</w:t>
            </w:r>
          </w:p>
        </w:tc>
      </w:tr>
      <w:tr w:rsidR="001D4A64" w:rsidRPr="008E26DE" w14:paraId="66E661B4" w14:textId="77777777" w:rsidTr="008E26DE">
        <w:trPr>
          <w:trHeight w:val="517"/>
        </w:trPr>
        <w:tc>
          <w:tcPr>
            <w:tcW w:w="1339" w:type="pct"/>
            <w:vMerge/>
            <w:hideMark/>
          </w:tcPr>
          <w:p w14:paraId="34F1F6A4" w14:textId="77777777" w:rsidR="001D4A64" w:rsidRPr="008E26DE" w:rsidRDefault="001D4A64" w:rsidP="00417380">
            <w:pPr>
              <w:pStyle w:val="tabletextNS"/>
              <w:rPr>
                <w:rFonts w:cs="Arial"/>
                <w:b/>
                <w:sz w:val="19"/>
                <w:szCs w:val="19"/>
              </w:rPr>
            </w:pPr>
          </w:p>
        </w:tc>
        <w:tc>
          <w:tcPr>
            <w:tcW w:w="853" w:type="pct"/>
            <w:hideMark/>
          </w:tcPr>
          <w:p w14:paraId="418FBB88" w14:textId="77777777" w:rsidR="001D4A64" w:rsidRPr="008E26DE" w:rsidRDefault="001D4A64" w:rsidP="00417380">
            <w:pPr>
              <w:pStyle w:val="tabletextNS"/>
              <w:rPr>
                <w:rFonts w:cs="Arial"/>
                <w:sz w:val="19"/>
                <w:szCs w:val="19"/>
              </w:rPr>
            </w:pPr>
            <w:r w:rsidRPr="008E26DE">
              <w:rPr>
                <w:rFonts w:cs="Arial"/>
                <w:sz w:val="19"/>
                <w:szCs w:val="19"/>
              </w:rPr>
              <w:t>&gt;24 weeks</w:t>
            </w:r>
          </w:p>
        </w:tc>
        <w:tc>
          <w:tcPr>
            <w:tcW w:w="1302" w:type="pct"/>
          </w:tcPr>
          <w:p w14:paraId="421A34F6" w14:textId="77777777" w:rsidR="001D4A64" w:rsidRPr="008E26DE" w:rsidRDefault="001D4A64" w:rsidP="00417380">
            <w:pPr>
              <w:pStyle w:val="tabletextNS"/>
              <w:rPr>
                <w:rFonts w:cs="Arial"/>
                <w:sz w:val="19"/>
                <w:szCs w:val="19"/>
              </w:rPr>
            </w:pPr>
            <w:r w:rsidRPr="008E26DE">
              <w:rPr>
                <w:rFonts w:cs="Arial"/>
                <w:sz w:val="19"/>
                <w:szCs w:val="19"/>
              </w:rPr>
              <w:t>1/126 (0.8)</w:t>
            </w:r>
          </w:p>
        </w:tc>
        <w:tc>
          <w:tcPr>
            <w:tcW w:w="1506" w:type="pct"/>
          </w:tcPr>
          <w:p w14:paraId="026E9212" w14:textId="77777777" w:rsidR="001D4A64" w:rsidRPr="008E26DE" w:rsidRDefault="001D4A64" w:rsidP="00417380">
            <w:pPr>
              <w:pStyle w:val="tabletextNS"/>
              <w:jc w:val="center"/>
              <w:rPr>
                <w:rFonts w:cs="Arial"/>
                <w:sz w:val="19"/>
                <w:szCs w:val="19"/>
              </w:rPr>
            </w:pPr>
            <w:r w:rsidRPr="008E26DE">
              <w:rPr>
                <w:rFonts w:cs="Arial"/>
                <w:sz w:val="19"/>
                <w:szCs w:val="19"/>
              </w:rPr>
              <w:t>0/128</w:t>
            </w:r>
          </w:p>
        </w:tc>
      </w:tr>
    </w:tbl>
    <w:p w14:paraId="2F3F13D4" w14:textId="77777777" w:rsidR="001D4A64" w:rsidRPr="00D13251" w:rsidRDefault="001D4A64" w:rsidP="001D4A64">
      <w:pPr>
        <w:rPr>
          <w:rFonts w:ascii="Arial Narrow" w:hAnsi="Arial Narrow" w:cs="Arial"/>
          <w:sz w:val="18"/>
          <w:szCs w:val="18"/>
        </w:rPr>
      </w:pPr>
      <w:r w:rsidRPr="00D13251">
        <w:rPr>
          <w:rFonts w:ascii="Arial Narrow" w:hAnsi="Arial Narrow" w:cs="Arial"/>
          <w:sz w:val="18"/>
          <w:szCs w:val="18"/>
        </w:rPr>
        <w:t>BMI= body mass index</w:t>
      </w:r>
    </w:p>
    <w:p w14:paraId="0531B352" w14:textId="06F183EF" w:rsidR="001D4A64" w:rsidRPr="00D13251" w:rsidRDefault="001D4A64" w:rsidP="001D4A64">
      <w:pPr>
        <w:rPr>
          <w:rFonts w:ascii="Arial" w:hAnsi="Arial" w:cs="Arial"/>
          <w:color w:val="000000"/>
        </w:rPr>
      </w:pPr>
      <w:r w:rsidRPr="00D13251">
        <w:rPr>
          <w:rFonts w:ascii="Arial" w:hAnsi="Arial" w:cs="Arial"/>
          <w:color w:val="000000"/>
        </w:rPr>
        <w:t>In the ATLAS-2M study, treatment differences on the primary endpoint across baseline characteristics (CD4+ lymphocyte count, gender, race, BMI, age and prior exposure to cabotegravir/rilpivirine) were not clinically meaningful.</w:t>
      </w:r>
    </w:p>
    <w:p w14:paraId="2F668752" w14:textId="77777777" w:rsidR="0069596F" w:rsidRDefault="0069596F" w:rsidP="0069596F">
      <w:pPr>
        <w:pStyle w:val="xmsonormal"/>
        <w:rPr>
          <w:rFonts w:ascii="Arial" w:eastAsiaTheme="majorEastAsia" w:hAnsi="Arial" w:cs="Arial"/>
          <w:b/>
          <w:bCs/>
          <w:lang w:val="en" w:eastAsia="en-US"/>
        </w:rPr>
      </w:pPr>
      <w:r w:rsidRPr="00A70652">
        <w:rPr>
          <w:rFonts w:ascii="Arial" w:eastAsiaTheme="majorEastAsia" w:hAnsi="Arial" w:cs="Arial"/>
          <w:b/>
          <w:bCs/>
          <w:lang w:val="en" w:eastAsia="en-US"/>
        </w:rPr>
        <w:t>Post-hoc analysis:</w:t>
      </w:r>
    </w:p>
    <w:p w14:paraId="0B622A10" w14:textId="77777777" w:rsidR="0069596F" w:rsidRDefault="0069596F" w:rsidP="0069596F">
      <w:pPr>
        <w:pStyle w:val="xmsonormal"/>
        <w:rPr>
          <w:rFonts w:ascii="Arial" w:eastAsiaTheme="majorEastAsia" w:hAnsi="Arial" w:cs="Arial"/>
          <w:b/>
          <w:bCs/>
          <w:lang w:val="en" w:eastAsia="en-US"/>
        </w:rPr>
      </w:pPr>
    </w:p>
    <w:p w14:paraId="4FF4500C" w14:textId="2692F22B" w:rsidR="0069596F" w:rsidRDefault="0069596F" w:rsidP="0069596F">
      <w:pPr>
        <w:pStyle w:val="xmsonormal"/>
        <w:rPr>
          <w:rFonts w:ascii="Arial" w:eastAsiaTheme="minorHAnsi" w:hAnsi="Arial" w:cs="Arial"/>
          <w:color w:val="000000"/>
        </w:rPr>
      </w:pPr>
      <w:r>
        <w:rPr>
          <w:rFonts w:ascii="Arial" w:eastAsiaTheme="minorHAnsi" w:hAnsi="Arial" w:cs="Arial"/>
          <w:color w:val="000000"/>
        </w:rPr>
        <w:t>M</w:t>
      </w:r>
      <w:r w:rsidRPr="00A43EFB">
        <w:rPr>
          <w:rFonts w:ascii="Arial" w:eastAsiaTheme="minorHAnsi" w:hAnsi="Arial" w:cs="Arial"/>
          <w:color w:val="000000"/>
        </w:rPr>
        <w:t xml:space="preserve">ultivariable analyses of pooled phase 3 studies (ATLAS, FLAIR and ATLAS-2M), including data from 1039 HIV-infected adults with no prior exposure to </w:t>
      </w:r>
      <w:r>
        <w:rPr>
          <w:rFonts w:ascii="Arial" w:hAnsi="Arial" w:cs="Arial"/>
          <w:color w:val="000000"/>
          <w:lang w:val="en-AU"/>
        </w:rPr>
        <w:t>CABENUVA</w:t>
      </w:r>
      <w:r w:rsidRPr="00A43EFB">
        <w:rPr>
          <w:rFonts w:ascii="Arial" w:eastAsiaTheme="minorHAnsi" w:hAnsi="Arial" w:cs="Arial"/>
          <w:color w:val="000000"/>
        </w:rPr>
        <w:t>, examined the influence of baseline viral and participant characteristics, dosing regimen, and post-baseline plasma drug concentrations on confirmed virologic failure (CVF) using regression modelling with a variable selection procedure. Through Week 48 in these studies, 13/1039 (1.25%) participants had CVF while receiving cabotegravir and rilpivirine.</w:t>
      </w:r>
    </w:p>
    <w:p w14:paraId="6AAFCAF4" w14:textId="77777777" w:rsidR="0069596F" w:rsidRDefault="0069596F" w:rsidP="0069596F">
      <w:pPr>
        <w:pStyle w:val="xmsonormal"/>
        <w:rPr>
          <w:rFonts w:ascii="Arial" w:eastAsiaTheme="minorHAnsi" w:hAnsi="Arial" w:cs="Arial"/>
          <w:color w:val="000000"/>
        </w:rPr>
      </w:pPr>
    </w:p>
    <w:p w14:paraId="7509D05F" w14:textId="0E8F13AA" w:rsidR="0069596F" w:rsidRPr="00A70652" w:rsidRDefault="0069596F" w:rsidP="0069596F">
      <w:pPr>
        <w:pStyle w:val="xmsonormal"/>
        <w:rPr>
          <w:rFonts w:ascii="Arial" w:eastAsiaTheme="majorEastAsia" w:hAnsi="Arial" w:cs="Arial"/>
          <w:b/>
          <w:bCs/>
          <w:lang w:val="en" w:eastAsia="en-US"/>
        </w:rPr>
      </w:pPr>
      <w:r w:rsidRPr="00A43EFB">
        <w:rPr>
          <w:rFonts w:ascii="Arial" w:eastAsiaTheme="minorHAnsi" w:hAnsi="Arial" w:cs="Arial"/>
          <w:color w:val="000000"/>
        </w:rPr>
        <w:t xml:space="preserve">Four covariates were significantly associated (P&lt;0.05 for each adjusted odds ratio) with increased risk of CVF: rilpivirine resistance mutations at baseline identified by </w:t>
      </w:r>
      <w:proofErr w:type="spellStart"/>
      <w:r w:rsidRPr="00A43EFB">
        <w:rPr>
          <w:rFonts w:ascii="Arial" w:eastAsiaTheme="minorHAnsi" w:hAnsi="Arial" w:cs="Arial"/>
          <w:color w:val="000000"/>
        </w:rPr>
        <w:t>proviral</w:t>
      </w:r>
      <w:proofErr w:type="spellEnd"/>
      <w:r w:rsidRPr="00A43EFB">
        <w:rPr>
          <w:rFonts w:ascii="Arial" w:eastAsiaTheme="minorHAnsi" w:hAnsi="Arial" w:cs="Arial"/>
          <w:color w:val="000000"/>
        </w:rPr>
        <w:t xml:space="preserve"> DNA genotypic assay, HIV-1 subtype A6/A1 (associated with integrase L74I polymorphism), rilpivirine trough concentration 4 weeks following initial injection dose, body mass index of at least 30 kg/m2 (associated with cabotegravir pharmacokinetics). Other variables including Q4W or Q8W dosing, female gender, or other viral subtypes (non A6/A1) had no significant association with CVF. No baseline factor, when present in isolation, was predictive of virologic failure. However, a combination of at least 2 of the following baseline factors was associated with an increased risk of CVF: rilpivirine resistance mutations, HIV-1 subtype A6/A1, or BMI≥30 mg/m2 (see Table </w:t>
      </w:r>
      <w:r>
        <w:rPr>
          <w:rFonts w:ascii="Arial" w:eastAsiaTheme="minorHAnsi" w:hAnsi="Arial" w:cs="Arial"/>
          <w:color w:val="000000"/>
        </w:rPr>
        <w:t>13</w:t>
      </w:r>
      <w:r w:rsidRPr="00A43EFB">
        <w:rPr>
          <w:rFonts w:ascii="Arial" w:eastAsiaTheme="minorHAnsi" w:hAnsi="Arial" w:cs="Arial"/>
          <w:color w:val="000000"/>
        </w:rPr>
        <w:t>).</w:t>
      </w:r>
    </w:p>
    <w:p w14:paraId="538F6AE9" w14:textId="77777777" w:rsidR="0069596F" w:rsidRPr="00AE7CF2" w:rsidRDefault="0069596F" w:rsidP="0069596F">
      <w:pPr>
        <w:pStyle w:val="xmsonormal"/>
        <w:rPr>
          <w:rFonts w:ascii="Arial" w:eastAsiaTheme="minorHAnsi" w:hAnsi="Arial" w:cs="Arial"/>
          <w:color w:val="000000"/>
        </w:rPr>
      </w:pPr>
    </w:p>
    <w:p w14:paraId="40055C4A" w14:textId="269CC2F9" w:rsidR="0069596F" w:rsidRPr="0017644E" w:rsidRDefault="0069596F" w:rsidP="0017644E">
      <w:pPr>
        <w:pageBreakBefore/>
        <w:rPr>
          <w:b/>
        </w:rPr>
      </w:pPr>
      <w:r w:rsidRPr="0017644E">
        <w:rPr>
          <w:b/>
        </w:rPr>
        <w:lastRenderedPageBreak/>
        <w:t>Table 13  Week 48 outcomes by presence of key baseline factors of RPV RAM, Subtype A6/A11</w:t>
      </w:r>
      <w:r w:rsidRPr="0017644E">
        <w:rPr>
          <w:b/>
          <w:vertAlign w:val="superscript"/>
        </w:rPr>
        <w:t>1</w:t>
      </w:r>
      <w:r w:rsidRPr="0017644E">
        <w:rPr>
          <w:b/>
        </w:rPr>
        <w:t xml:space="preserve">, BMI ≥30 kg/m2  </w:t>
      </w:r>
    </w:p>
    <w:tbl>
      <w:tblPr>
        <w:tblStyle w:val="TableGrid2"/>
        <w:tblW w:w="0" w:type="auto"/>
        <w:tblLook w:val="04A0" w:firstRow="1" w:lastRow="0" w:firstColumn="1" w:lastColumn="0" w:noHBand="0" w:noVBand="1"/>
      </w:tblPr>
      <w:tblGrid>
        <w:gridCol w:w="3005"/>
        <w:gridCol w:w="3008"/>
        <w:gridCol w:w="3003"/>
      </w:tblGrid>
      <w:tr w:rsidR="0069596F" w:rsidRPr="00AE7CF2" w14:paraId="32875394" w14:textId="77777777" w:rsidTr="0017644E">
        <w:trPr>
          <w:tblHeader/>
        </w:trPr>
        <w:tc>
          <w:tcPr>
            <w:tcW w:w="3485" w:type="dxa"/>
            <w:hideMark/>
          </w:tcPr>
          <w:p w14:paraId="5B90CE6A" w14:textId="6366174A" w:rsidR="0069596F" w:rsidRPr="00AE7CF2" w:rsidRDefault="0069596F" w:rsidP="0017644E">
            <w:pPr>
              <w:pStyle w:val="tabletextNS"/>
              <w:rPr>
                <w:rFonts w:cs="Arial"/>
                <w:b/>
                <w:bCs/>
                <w:sz w:val="20"/>
              </w:rPr>
            </w:pPr>
            <w:r w:rsidRPr="00AE7CF2">
              <w:rPr>
                <w:rFonts w:cs="Arial"/>
                <w:b/>
                <w:bCs/>
                <w:sz w:val="20"/>
              </w:rPr>
              <w:t>Baseline Factors (number)</w:t>
            </w:r>
          </w:p>
        </w:tc>
        <w:tc>
          <w:tcPr>
            <w:tcW w:w="3485" w:type="dxa"/>
            <w:hideMark/>
          </w:tcPr>
          <w:p w14:paraId="5D4BA707" w14:textId="77777777" w:rsidR="0069596F" w:rsidRPr="00AE7CF2" w:rsidRDefault="0069596F" w:rsidP="00720274">
            <w:pPr>
              <w:pStyle w:val="tabletextNS"/>
              <w:rPr>
                <w:rFonts w:cs="Arial"/>
                <w:b/>
                <w:bCs/>
                <w:sz w:val="20"/>
              </w:rPr>
            </w:pPr>
            <w:r w:rsidRPr="00AE7CF2">
              <w:rPr>
                <w:rFonts w:cs="Arial"/>
                <w:b/>
                <w:bCs/>
                <w:sz w:val="20"/>
              </w:rPr>
              <w:t>Virologic Successes (%)</w:t>
            </w:r>
            <w:r w:rsidRPr="00AE7CF2">
              <w:rPr>
                <w:rFonts w:cs="Arial"/>
                <w:b/>
                <w:bCs/>
                <w:sz w:val="20"/>
                <w:vertAlign w:val="superscript"/>
              </w:rPr>
              <w:t>2</w:t>
            </w:r>
          </w:p>
        </w:tc>
        <w:tc>
          <w:tcPr>
            <w:tcW w:w="3486" w:type="dxa"/>
            <w:hideMark/>
          </w:tcPr>
          <w:p w14:paraId="3A538E50" w14:textId="77777777" w:rsidR="0069596F" w:rsidRPr="00AE7CF2" w:rsidRDefault="0069596F" w:rsidP="00720274">
            <w:pPr>
              <w:pStyle w:val="tabletextNS"/>
              <w:rPr>
                <w:rFonts w:cs="Arial"/>
                <w:b/>
                <w:bCs/>
                <w:sz w:val="20"/>
              </w:rPr>
            </w:pPr>
            <w:r w:rsidRPr="00AE7CF2">
              <w:rPr>
                <w:rFonts w:cs="Arial"/>
                <w:b/>
                <w:bCs/>
                <w:sz w:val="20"/>
              </w:rPr>
              <w:t>Confirmed Virologic Failure (%)</w:t>
            </w:r>
            <w:r w:rsidRPr="00AE7CF2">
              <w:rPr>
                <w:rFonts w:cs="Arial"/>
                <w:b/>
                <w:bCs/>
                <w:sz w:val="20"/>
                <w:vertAlign w:val="superscript"/>
              </w:rPr>
              <w:t>3</w:t>
            </w:r>
          </w:p>
        </w:tc>
      </w:tr>
      <w:tr w:rsidR="0069596F" w:rsidRPr="00AE7CF2" w14:paraId="2DB3147C" w14:textId="77777777" w:rsidTr="0017644E">
        <w:tc>
          <w:tcPr>
            <w:tcW w:w="3485" w:type="dxa"/>
            <w:hideMark/>
          </w:tcPr>
          <w:p w14:paraId="27F0CA34" w14:textId="032ED364" w:rsidR="0069596F" w:rsidRPr="00AE7CF2" w:rsidRDefault="0069596F" w:rsidP="0017644E">
            <w:pPr>
              <w:pStyle w:val="tabletextNS"/>
              <w:rPr>
                <w:rFonts w:cs="Arial"/>
                <w:sz w:val="20"/>
              </w:rPr>
            </w:pPr>
            <w:r w:rsidRPr="00AE7CF2">
              <w:rPr>
                <w:rFonts w:cs="Arial"/>
                <w:sz w:val="20"/>
              </w:rPr>
              <w:t>0</w:t>
            </w:r>
          </w:p>
        </w:tc>
        <w:tc>
          <w:tcPr>
            <w:tcW w:w="3485" w:type="dxa"/>
            <w:hideMark/>
          </w:tcPr>
          <w:p w14:paraId="5B89EF93" w14:textId="77777777" w:rsidR="0069596F" w:rsidRPr="00AE7CF2" w:rsidRDefault="0069596F" w:rsidP="00720274">
            <w:pPr>
              <w:pStyle w:val="tabletextNS"/>
              <w:rPr>
                <w:rFonts w:cs="Arial"/>
                <w:sz w:val="20"/>
              </w:rPr>
            </w:pPr>
            <w:r w:rsidRPr="00AE7CF2">
              <w:rPr>
                <w:rFonts w:cs="Arial"/>
                <w:sz w:val="20"/>
              </w:rPr>
              <w:t>694/732 (94.8)</w:t>
            </w:r>
          </w:p>
        </w:tc>
        <w:tc>
          <w:tcPr>
            <w:tcW w:w="3486" w:type="dxa"/>
            <w:hideMark/>
          </w:tcPr>
          <w:p w14:paraId="55B8CD91" w14:textId="77777777" w:rsidR="0069596F" w:rsidRPr="00AE7CF2" w:rsidRDefault="0069596F" w:rsidP="00720274">
            <w:pPr>
              <w:pStyle w:val="tabletextNS"/>
              <w:rPr>
                <w:rFonts w:cs="Arial"/>
                <w:sz w:val="20"/>
              </w:rPr>
            </w:pPr>
            <w:r w:rsidRPr="00AE7CF2">
              <w:rPr>
                <w:rFonts w:cs="Arial"/>
                <w:sz w:val="20"/>
              </w:rPr>
              <w:t>3/732 (0.41)</w:t>
            </w:r>
          </w:p>
        </w:tc>
      </w:tr>
      <w:tr w:rsidR="0069596F" w:rsidRPr="00AE7CF2" w14:paraId="2AEAB682" w14:textId="77777777" w:rsidTr="0017644E">
        <w:tc>
          <w:tcPr>
            <w:tcW w:w="3485" w:type="dxa"/>
            <w:hideMark/>
          </w:tcPr>
          <w:p w14:paraId="21751559" w14:textId="04F387CD" w:rsidR="0069596F" w:rsidRPr="00AE7CF2" w:rsidRDefault="0069596F" w:rsidP="0017644E">
            <w:pPr>
              <w:pStyle w:val="tabletextNS"/>
              <w:rPr>
                <w:rFonts w:cs="Arial"/>
                <w:sz w:val="20"/>
              </w:rPr>
            </w:pPr>
            <w:r w:rsidRPr="00AE7CF2">
              <w:rPr>
                <w:rFonts w:cs="Arial"/>
                <w:sz w:val="20"/>
              </w:rPr>
              <w:t>1</w:t>
            </w:r>
          </w:p>
        </w:tc>
        <w:tc>
          <w:tcPr>
            <w:tcW w:w="3485" w:type="dxa"/>
            <w:hideMark/>
          </w:tcPr>
          <w:p w14:paraId="23C0C20A" w14:textId="77777777" w:rsidR="0069596F" w:rsidRPr="00AE7CF2" w:rsidRDefault="0069596F" w:rsidP="00720274">
            <w:pPr>
              <w:pStyle w:val="tabletextNS"/>
              <w:rPr>
                <w:rFonts w:cs="Arial"/>
                <w:sz w:val="20"/>
              </w:rPr>
            </w:pPr>
            <w:r w:rsidRPr="00AE7CF2">
              <w:rPr>
                <w:rFonts w:cs="Arial"/>
                <w:sz w:val="20"/>
              </w:rPr>
              <w:t>261/272 (96.0)</w:t>
            </w:r>
          </w:p>
        </w:tc>
        <w:tc>
          <w:tcPr>
            <w:tcW w:w="3486" w:type="dxa"/>
            <w:hideMark/>
          </w:tcPr>
          <w:p w14:paraId="34E0B0C8" w14:textId="77777777" w:rsidR="0069596F" w:rsidRPr="00AE7CF2" w:rsidRDefault="0069596F" w:rsidP="00720274">
            <w:pPr>
              <w:pStyle w:val="tabletextNS"/>
              <w:rPr>
                <w:rFonts w:cs="Arial"/>
                <w:sz w:val="20"/>
              </w:rPr>
            </w:pPr>
            <w:r w:rsidRPr="00AE7CF2">
              <w:rPr>
                <w:rFonts w:cs="Arial"/>
                <w:sz w:val="20"/>
              </w:rPr>
              <w:t>1/272 (0.37)</w:t>
            </w:r>
            <w:r w:rsidRPr="00AE7CF2">
              <w:rPr>
                <w:rFonts w:cs="Arial"/>
                <w:sz w:val="20"/>
                <w:vertAlign w:val="superscript"/>
              </w:rPr>
              <w:t>4</w:t>
            </w:r>
          </w:p>
        </w:tc>
      </w:tr>
      <w:tr w:rsidR="0069596F" w:rsidRPr="00AE7CF2" w14:paraId="30EF778D" w14:textId="77777777" w:rsidTr="0017644E">
        <w:tc>
          <w:tcPr>
            <w:tcW w:w="3485" w:type="dxa"/>
            <w:hideMark/>
          </w:tcPr>
          <w:p w14:paraId="057DD716" w14:textId="53D8B7AE" w:rsidR="0069596F" w:rsidRPr="00AE7CF2" w:rsidRDefault="0069596F" w:rsidP="0017644E">
            <w:pPr>
              <w:pStyle w:val="tabletextNS"/>
              <w:rPr>
                <w:rFonts w:cs="Arial"/>
                <w:sz w:val="20"/>
              </w:rPr>
            </w:pPr>
            <w:r w:rsidRPr="00AE7CF2">
              <w:rPr>
                <w:rFonts w:cs="Arial"/>
                <w:sz w:val="20"/>
              </w:rPr>
              <w:t>≥2</w:t>
            </w:r>
          </w:p>
        </w:tc>
        <w:tc>
          <w:tcPr>
            <w:tcW w:w="3485" w:type="dxa"/>
            <w:hideMark/>
          </w:tcPr>
          <w:p w14:paraId="47B11FA3" w14:textId="77777777" w:rsidR="0069596F" w:rsidRPr="00AE7CF2" w:rsidRDefault="0069596F" w:rsidP="00720274">
            <w:pPr>
              <w:pStyle w:val="tabletextNS"/>
              <w:rPr>
                <w:rFonts w:cs="Arial"/>
                <w:sz w:val="20"/>
              </w:rPr>
            </w:pPr>
            <w:r w:rsidRPr="00AE7CF2">
              <w:rPr>
                <w:rFonts w:cs="Arial"/>
                <w:sz w:val="20"/>
              </w:rPr>
              <w:t>25/35 (71.4)</w:t>
            </w:r>
          </w:p>
        </w:tc>
        <w:tc>
          <w:tcPr>
            <w:tcW w:w="3486" w:type="dxa"/>
            <w:hideMark/>
          </w:tcPr>
          <w:p w14:paraId="71179657" w14:textId="77777777" w:rsidR="0069596F" w:rsidRPr="00AE7CF2" w:rsidRDefault="0069596F" w:rsidP="00720274">
            <w:pPr>
              <w:pStyle w:val="tabletextNS"/>
              <w:rPr>
                <w:rFonts w:cs="Arial"/>
                <w:sz w:val="20"/>
              </w:rPr>
            </w:pPr>
            <w:r w:rsidRPr="00AE7CF2">
              <w:rPr>
                <w:rFonts w:cs="Arial"/>
                <w:sz w:val="20"/>
              </w:rPr>
              <w:t>9/35 (25.7)</w:t>
            </w:r>
            <w:r w:rsidRPr="00AE7CF2">
              <w:rPr>
                <w:rFonts w:cs="Arial"/>
                <w:sz w:val="20"/>
                <w:vertAlign w:val="superscript"/>
              </w:rPr>
              <w:t>5</w:t>
            </w:r>
          </w:p>
        </w:tc>
      </w:tr>
      <w:tr w:rsidR="0069596F" w:rsidRPr="00AE7CF2" w14:paraId="619FB552" w14:textId="77777777" w:rsidTr="0017644E">
        <w:tc>
          <w:tcPr>
            <w:tcW w:w="3485" w:type="dxa"/>
            <w:hideMark/>
          </w:tcPr>
          <w:p w14:paraId="6DCA1E15" w14:textId="77777777" w:rsidR="0069596F" w:rsidRPr="00AE7CF2" w:rsidRDefault="0069596F" w:rsidP="00720274">
            <w:pPr>
              <w:pStyle w:val="tabletextNS"/>
              <w:rPr>
                <w:rFonts w:cs="Arial"/>
                <w:b/>
                <w:bCs/>
                <w:sz w:val="20"/>
              </w:rPr>
            </w:pPr>
            <w:r w:rsidRPr="00AE7CF2">
              <w:rPr>
                <w:rFonts w:cs="Arial"/>
                <w:b/>
                <w:bCs/>
                <w:sz w:val="20"/>
              </w:rPr>
              <w:t>TOTAL</w:t>
            </w:r>
          </w:p>
          <w:p w14:paraId="7DF0FEDD" w14:textId="77777777" w:rsidR="0069596F" w:rsidRPr="00AE7CF2" w:rsidRDefault="0069596F" w:rsidP="00720274">
            <w:pPr>
              <w:pStyle w:val="tabletextNS"/>
              <w:rPr>
                <w:rFonts w:cs="Arial"/>
                <w:sz w:val="20"/>
              </w:rPr>
            </w:pPr>
          </w:p>
          <w:p w14:paraId="216E7294" w14:textId="77777777" w:rsidR="0069596F" w:rsidRPr="00AE7CF2" w:rsidRDefault="0069596F" w:rsidP="00720274">
            <w:pPr>
              <w:pStyle w:val="tabletextNS"/>
              <w:rPr>
                <w:rFonts w:cs="Arial"/>
                <w:sz w:val="20"/>
              </w:rPr>
            </w:pPr>
            <w:r w:rsidRPr="00AE7CF2">
              <w:rPr>
                <w:rFonts w:cs="Arial"/>
                <w:sz w:val="20"/>
              </w:rPr>
              <w:t>(95% Confidence Interval)</w:t>
            </w:r>
          </w:p>
        </w:tc>
        <w:tc>
          <w:tcPr>
            <w:tcW w:w="3485" w:type="dxa"/>
            <w:hideMark/>
          </w:tcPr>
          <w:p w14:paraId="252E48D8" w14:textId="77777777" w:rsidR="0069596F" w:rsidRDefault="0069596F" w:rsidP="00720274">
            <w:pPr>
              <w:pStyle w:val="tabletextNS"/>
              <w:rPr>
                <w:rFonts w:cs="Arial"/>
                <w:sz w:val="20"/>
              </w:rPr>
            </w:pPr>
            <w:r w:rsidRPr="00AE7CF2">
              <w:rPr>
                <w:rFonts w:cs="Arial"/>
                <w:sz w:val="20"/>
              </w:rPr>
              <w:t>980/1039 (94.3)</w:t>
            </w:r>
          </w:p>
          <w:p w14:paraId="7BAD5F55" w14:textId="77777777" w:rsidR="0069596F" w:rsidRPr="00AE7CF2" w:rsidRDefault="0069596F" w:rsidP="00720274">
            <w:pPr>
              <w:pStyle w:val="tabletextNS"/>
              <w:rPr>
                <w:rFonts w:cs="Arial"/>
                <w:sz w:val="20"/>
              </w:rPr>
            </w:pPr>
          </w:p>
          <w:p w14:paraId="3D6D1D66" w14:textId="652A0BD3" w:rsidR="0069596F" w:rsidRPr="00AE7CF2" w:rsidRDefault="0069596F" w:rsidP="0017644E">
            <w:pPr>
              <w:pStyle w:val="tabletextNS"/>
              <w:rPr>
                <w:rFonts w:cs="Arial"/>
                <w:sz w:val="20"/>
              </w:rPr>
            </w:pPr>
            <w:r w:rsidRPr="00AE7CF2">
              <w:rPr>
                <w:rFonts w:cs="Arial"/>
                <w:sz w:val="20"/>
              </w:rPr>
              <w:t>(92.74%, 95.65%)</w:t>
            </w:r>
          </w:p>
        </w:tc>
        <w:tc>
          <w:tcPr>
            <w:tcW w:w="3486" w:type="dxa"/>
            <w:hideMark/>
          </w:tcPr>
          <w:p w14:paraId="1E0DA261" w14:textId="77777777" w:rsidR="0069596F" w:rsidRDefault="0069596F" w:rsidP="00720274">
            <w:pPr>
              <w:pStyle w:val="tabletextNS"/>
              <w:rPr>
                <w:rFonts w:cs="Arial"/>
                <w:sz w:val="20"/>
              </w:rPr>
            </w:pPr>
            <w:r w:rsidRPr="00AE7CF2">
              <w:rPr>
                <w:rFonts w:cs="Arial"/>
                <w:sz w:val="20"/>
              </w:rPr>
              <w:t>13/1039 (1.25)</w:t>
            </w:r>
          </w:p>
          <w:p w14:paraId="0C1B324B" w14:textId="77777777" w:rsidR="0069596F" w:rsidRPr="00AE7CF2" w:rsidRDefault="0069596F" w:rsidP="00720274">
            <w:pPr>
              <w:pStyle w:val="tabletextNS"/>
              <w:rPr>
                <w:rFonts w:cs="Arial"/>
                <w:sz w:val="20"/>
              </w:rPr>
            </w:pPr>
          </w:p>
          <w:p w14:paraId="0A650C90" w14:textId="77777777" w:rsidR="0069596F" w:rsidRPr="00AE7CF2" w:rsidRDefault="0069596F" w:rsidP="00720274">
            <w:pPr>
              <w:pStyle w:val="tabletextNS"/>
              <w:rPr>
                <w:rFonts w:cs="Arial"/>
                <w:sz w:val="20"/>
              </w:rPr>
            </w:pPr>
            <w:r w:rsidRPr="00AE7CF2">
              <w:rPr>
                <w:rFonts w:cs="Arial"/>
                <w:sz w:val="20"/>
              </w:rPr>
              <w:t>(0.67%, 2.13%)</w:t>
            </w:r>
          </w:p>
        </w:tc>
      </w:tr>
    </w:tbl>
    <w:p w14:paraId="46FBEFCB" w14:textId="77777777" w:rsidR="0069596F" w:rsidRPr="00AE7CF2" w:rsidRDefault="0069596F" w:rsidP="0069596F">
      <w:pPr>
        <w:pStyle w:val="tabletextNS"/>
        <w:ind w:left="113" w:hanging="113"/>
        <w:rPr>
          <w:rFonts w:cs="Arial"/>
          <w:sz w:val="20"/>
        </w:rPr>
      </w:pPr>
      <w:r w:rsidRPr="00AE7CF2">
        <w:rPr>
          <w:rFonts w:cs="Arial"/>
          <w:sz w:val="20"/>
        </w:rPr>
        <w:t xml:space="preserve">1 HIV-1 subtype A1 or A6 classification based on Los Alamos National Library panel from HIV Sequence database (June </w:t>
      </w:r>
      <w:r>
        <w:rPr>
          <w:rFonts w:cs="Arial"/>
          <w:sz w:val="20"/>
        </w:rPr>
        <w:t xml:space="preserve">  </w:t>
      </w:r>
      <w:r w:rsidRPr="00AE7CF2">
        <w:rPr>
          <w:rFonts w:cs="Arial"/>
          <w:sz w:val="20"/>
        </w:rPr>
        <w:t>2020)</w:t>
      </w:r>
    </w:p>
    <w:p w14:paraId="4A2B12E4" w14:textId="77777777" w:rsidR="0069596F" w:rsidRPr="00AE7CF2" w:rsidRDefault="0069596F" w:rsidP="0069596F">
      <w:pPr>
        <w:pStyle w:val="tabletextNS"/>
        <w:rPr>
          <w:rFonts w:cs="Arial"/>
          <w:sz w:val="20"/>
        </w:rPr>
      </w:pPr>
      <w:r w:rsidRPr="00AE7CF2">
        <w:rPr>
          <w:rFonts w:cs="Arial"/>
          <w:sz w:val="20"/>
        </w:rPr>
        <w:t>2</w:t>
      </w:r>
      <w:r>
        <w:rPr>
          <w:rFonts w:cs="Arial"/>
          <w:sz w:val="20"/>
        </w:rPr>
        <w:t xml:space="preserve"> </w:t>
      </w:r>
      <w:r w:rsidRPr="00AE7CF2">
        <w:rPr>
          <w:rFonts w:cs="Arial"/>
          <w:sz w:val="20"/>
        </w:rPr>
        <w:t>Based on the FDA Snapshot algorithm of RNA &lt;50 copies/</w:t>
      </w:r>
      <w:proofErr w:type="spellStart"/>
      <w:r w:rsidRPr="00AE7CF2">
        <w:rPr>
          <w:rFonts w:cs="Arial"/>
          <w:sz w:val="20"/>
        </w:rPr>
        <w:t>mL.</w:t>
      </w:r>
      <w:proofErr w:type="spellEnd"/>
      <w:r w:rsidRPr="00AE7CF2">
        <w:rPr>
          <w:rFonts w:cs="Arial"/>
          <w:sz w:val="20"/>
        </w:rPr>
        <w:t xml:space="preserve"> </w:t>
      </w:r>
    </w:p>
    <w:p w14:paraId="71808DFD" w14:textId="77777777" w:rsidR="0069596F" w:rsidRPr="00AE7CF2" w:rsidRDefault="0069596F" w:rsidP="0069596F">
      <w:pPr>
        <w:pStyle w:val="tabletextNS"/>
        <w:rPr>
          <w:rFonts w:cs="Arial"/>
          <w:sz w:val="20"/>
        </w:rPr>
      </w:pPr>
      <w:r w:rsidRPr="00AE7CF2">
        <w:rPr>
          <w:rFonts w:cs="Arial"/>
          <w:sz w:val="20"/>
        </w:rPr>
        <w:t>3 Defined as two consecutive measurements of HIV RNA &gt;200 copies/</w:t>
      </w:r>
      <w:proofErr w:type="spellStart"/>
      <w:r w:rsidRPr="00AE7CF2">
        <w:rPr>
          <w:rFonts w:cs="Arial"/>
          <w:sz w:val="20"/>
        </w:rPr>
        <w:t>mL.</w:t>
      </w:r>
      <w:proofErr w:type="spellEnd"/>
    </w:p>
    <w:p w14:paraId="6BD428F4" w14:textId="77777777" w:rsidR="0069596F" w:rsidRPr="00AE7CF2" w:rsidRDefault="0069596F" w:rsidP="0069596F">
      <w:pPr>
        <w:pStyle w:val="tabletextNS"/>
        <w:rPr>
          <w:rFonts w:cs="Arial"/>
          <w:sz w:val="20"/>
        </w:rPr>
      </w:pPr>
      <w:r w:rsidRPr="00AE7CF2">
        <w:rPr>
          <w:rFonts w:cs="Arial"/>
          <w:sz w:val="20"/>
        </w:rPr>
        <w:t>4 Positive Predictive Value (PPV) &lt;1%; Negative Predictive Value (NPV) 98%; sensitivity 8%; specificity 74%</w:t>
      </w:r>
    </w:p>
    <w:p w14:paraId="45341732" w14:textId="77777777" w:rsidR="0069596F" w:rsidRPr="00AE7CF2" w:rsidRDefault="0069596F" w:rsidP="0069596F">
      <w:pPr>
        <w:pStyle w:val="tabletextNS"/>
        <w:rPr>
          <w:rFonts w:cs="Arial"/>
          <w:sz w:val="20"/>
        </w:rPr>
      </w:pPr>
      <w:r w:rsidRPr="00AE7CF2">
        <w:rPr>
          <w:rFonts w:cs="Arial"/>
          <w:sz w:val="20"/>
        </w:rPr>
        <w:t xml:space="preserve">5 </w:t>
      </w:r>
      <w:r>
        <w:rPr>
          <w:rFonts w:cs="Arial"/>
          <w:sz w:val="20"/>
        </w:rPr>
        <w:t xml:space="preserve"> </w:t>
      </w:r>
      <w:r w:rsidRPr="00AE7CF2">
        <w:rPr>
          <w:rFonts w:cs="Arial"/>
          <w:sz w:val="20"/>
        </w:rPr>
        <w:t>PPV 26%; NPV 99.6%; sensitivity 69%; specificity 97.5%</w:t>
      </w:r>
    </w:p>
    <w:p w14:paraId="7A6AAB0F" w14:textId="77777777" w:rsidR="0069596F" w:rsidRDefault="0069596F" w:rsidP="0069596F">
      <w:pPr>
        <w:pStyle w:val="tabletextNS"/>
        <w:rPr>
          <w:rFonts w:cs="Arial"/>
          <w:sz w:val="20"/>
        </w:rPr>
      </w:pPr>
      <w:r w:rsidRPr="00AE7CF2">
        <w:rPr>
          <w:rFonts w:cs="Arial"/>
          <w:sz w:val="20"/>
        </w:rPr>
        <w:t>RAM: resistance-associated mutations</w:t>
      </w:r>
    </w:p>
    <w:p w14:paraId="2019B692" w14:textId="77777777" w:rsidR="00B44F48" w:rsidRPr="00B44F48" w:rsidRDefault="00B44F48" w:rsidP="00B44F48">
      <w:pPr>
        <w:pStyle w:val="Heading4"/>
        <w:rPr>
          <w:rFonts w:ascii="Arial" w:hAnsi="Arial" w:cs="Arial"/>
          <w:color w:val="auto"/>
          <w:lang w:val="en"/>
        </w:rPr>
      </w:pPr>
      <w:r w:rsidRPr="009348A3">
        <w:rPr>
          <w:rFonts w:ascii="Arial" w:hAnsi="Arial" w:cs="Arial"/>
          <w:color w:val="auto"/>
          <w:lang w:val="en"/>
        </w:rPr>
        <w:t>Patient reported outcomes</w:t>
      </w:r>
      <w:r w:rsidRPr="00B44F48">
        <w:rPr>
          <w:rFonts w:ascii="Arial" w:hAnsi="Arial" w:cs="Arial"/>
          <w:color w:val="auto"/>
          <w:lang w:val="en"/>
        </w:rPr>
        <w:t xml:space="preserve"> </w:t>
      </w:r>
    </w:p>
    <w:p w14:paraId="5291E037" w14:textId="1AB0F290" w:rsidR="00E836FB" w:rsidRDefault="00D958EC" w:rsidP="008E26DE">
      <w:pPr>
        <w:tabs>
          <w:tab w:val="left" w:pos="720"/>
        </w:tabs>
        <w:rPr>
          <w:lang w:val="en"/>
        </w:rPr>
      </w:pPr>
      <w:r>
        <w:rPr>
          <w:rFonts w:ascii="Arial" w:hAnsi="Arial" w:cs="Arial"/>
          <w:lang w:val="en"/>
        </w:rPr>
        <w:t xml:space="preserve">Patient reported outcomes were assessed by several distinct measures. </w:t>
      </w:r>
      <w:bookmarkStart w:id="37" w:name="_Hlk41915332"/>
    </w:p>
    <w:bookmarkEnd w:id="37"/>
    <w:p w14:paraId="25AA8C4A" w14:textId="0CC3E76C" w:rsidR="00763708" w:rsidRPr="00D63276" w:rsidRDefault="00763708" w:rsidP="00763708">
      <w:pPr>
        <w:pStyle w:val="NormalWeb"/>
        <w:spacing w:after="0"/>
        <w:rPr>
          <w:rFonts w:ascii="Arial" w:hAnsi="Arial" w:cs="Arial"/>
          <w:sz w:val="22"/>
          <w:szCs w:val="22"/>
          <w:lang w:val="en"/>
        </w:rPr>
      </w:pPr>
      <w:r w:rsidRPr="00D63276">
        <w:rPr>
          <w:rFonts w:ascii="Arial" w:hAnsi="Arial" w:cs="Arial"/>
          <w:sz w:val="22"/>
          <w:szCs w:val="22"/>
          <w:lang w:val="en"/>
        </w:rPr>
        <w:t>Treatment satisfaction significantly improved in the CABENUVA group compared with daily oral antiretroviral therapy (CART) group (mean difference [95% CI] in HIV Treatment Satisfaction Questionnaire (HIVTSQs) at weeks 24 and 44 was 3.9 [3.0, 4.7] (p&lt;0.001) and 3.3 [2.5, 4.2] (p&lt;0.001) respectively, in the pooled ATLAS and FLAIR analysis). Key items driving this difference were "satisfaction to continue with treatment" as well as "flexibility" and "convenience".</w:t>
      </w:r>
    </w:p>
    <w:p w14:paraId="6B60A4B2" w14:textId="77777777" w:rsidR="00763708" w:rsidRPr="00D63276" w:rsidRDefault="00763708" w:rsidP="00763708">
      <w:pPr>
        <w:pStyle w:val="NormalWeb"/>
        <w:spacing w:after="0"/>
        <w:rPr>
          <w:rFonts w:ascii="Arial" w:hAnsi="Arial" w:cs="Arial"/>
          <w:sz w:val="22"/>
          <w:szCs w:val="22"/>
          <w:lang w:val="en"/>
        </w:rPr>
      </w:pPr>
      <w:r w:rsidRPr="00D63276">
        <w:rPr>
          <w:rFonts w:ascii="Arial" w:hAnsi="Arial" w:cs="Arial"/>
          <w:sz w:val="22"/>
          <w:szCs w:val="22"/>
          <w:lang w:val="en"/>
        </w:rPr>
        <w:t>Treatment acceptance also significantly improved in the CABENUVA group compared with CART group (mean difference [95% CI] in ACCEPT General Dimension at weeks 24 and 44 was 4.9 [2.4, 7.5] (p&lt;0.01) and 6.8 [4.3, 9.4](p&lt;0.001) respectively, in the pooled ATLAS and FLAIR analysis). Items were assessing acceptability based on advantages and disadvantages of treatment option.</w:t>
      </w:r>
    </w:p>
    <w:p w14:paraId="5C43025D" w14:textId="77777777" w:rsidR="00763708" w:rsidRPr="00D63276" w:rsidRDefault="00763708" w:rsidP="00763708">
      <w:pPr>
        <w:pStyle w:val="NormalWeb"/>
        <w:spacing w:after="0"/>
        <w:rPr>
          <w:rFonts w:ascii="Arial" w:hAnsi="Arial" w:cs="Arial"/>
          <w:sz w:val="22"/>
          <w:szCs w:val="22"/>
          <w:lang w:val="en"/>
        </w:rPr>
      </w:pPr>
      <w:r w:rsidRPr="00D63276">
        <w:rPr>
          <w:rFonts w:ascii="Arial" w:hAnsi="Arial" w:cs="Arial"/>
          <w:sz w:val="22"/>
          <w:szCs w:val="22"/>
          <w:lang w:val="en"/>
        </w:rPr>
        <w:t xml:space="preserve">Acceptability of injection site reactions (including pain) significantly improved from Week 5 (2.09 points) to weeks 24 (1.66 points; p&lt;0.001) and 48 (1.61 points; p&lt;0.001) in a pooled ATLAS and FLAIR analysis for participants in the CABENUVA group according to "Acceptability of ISRs" dimension of Perception of Injection Questionnaire (PIN) (adapted from the </w:t>
      </w:r>
      <w:proofErr w:type="spellStart"/>
      <w:r w:rsidRPr="00D63276">
        <w:rPr>
          <w:rFonts w:ascii="Arial" w:hAnsi="Arial" w:cs="Arial"/>
          <w:sz w:val="22"/>
          <w:szCs w:val="22"/>
          <w:lang w:val="en"/>
        </w:rPr>
        <w:t>Vaccinees</w:t>
      </w:r>
      <w:proofErr w:type="spellEnd"/>
      <w:r w:rsidRPr="00D63276">
        <w:rPr>
          <w:rFonts w:ascii="Arial" w:hAnsi="Arial" w:cs="Arial"/>
          <w:sz w:val="22"/>
          <w:szCs w:val="22"/>
          <w:lang w:val="en"/>
        </w:rPr>
        <w:t>’ Perception of Injection (VAPI) Questionnaire) with 86% and 84% of participants in ATLAS and FLAIR finding pain following injections as "totally" or "very acceptable" at week 48.</w:t>
      </w:r>
    </w:p>
    <w:p w14:paraId="58CBB4C1" w14:textId="77777777" w:rsidR="00763708" w:rsidRPr="00D63276" w:rsidRDefault="00763708" w:rsidP="00763708">
      <w:pPr>
        <w:pStyle w:val="NormalWeb"/>
        <w:spacing w:after="0"/>
        <w:rPr>
          <w:rFonts w:ascii="Arial" w:hAnsi="Arial" w:cs="Arial"/>
          <w:sz w:val="22"/>
          <w:szCs w:val="22"/>
          <w:lang w:val="en"/>
        </w:rPr>
      </w:pPr>
      <w:r w:rsidRPr="00D63276">
        <w:rPr>
          <w:rFonts w:ascii="Arial" w:hAnsi="Arial" w:cs="Arial"/>
          <w:sz w:val="22"/>
          <w:szCs w:val="22"/>
          <w:lang w:val="en"/>
        </w:rPr>
        <w:t xml:space="preserve">According to the three dimensions of the HIV/AIDS Targeted Quality of Life (HAT-QoL) included in the study, "medication concerns" significantly improved in the CABENUVA group compared with </w:t>
      </w:r>
      <w:proofErr w:type="spellStart"/>
      <w:r w:rsidRPr="00D63276">
        <w:rPr>
          <w:rFonts w:ascii="Arial" w:hAnsi="Arial" w:cs="Arial"/>
          <w:sz w:val="22"/>
          <w:szCs w:val="22"/>
          <w:lang w:val="en"/>
        </w:rPr>
        <w:t>cART</w:t>
      </w:r>
      <w:proofErr w:type="spellEnd"/>
      <w:r w:rsidRPr="00D63276">
        <w:rPr>
          <w:rFonts w:ascii="Arial" w:hAnsi="Arial" w:cs="Arial"/>
          <w:sz w:val="22"/>
          <w:szCs w:val="22"/>
          <w:lang w:val="en"/>
        </w:rPr>
        <w:t xml:space="preserve"> (mean difference [95% CI] at weeks 24 and 48 was 3.4 [1.9, 4.9](p &lt;0.001 ) and 3.5 [1.8, 5.2](p &lt;0.001) respectively, in the pooled ATLAS and FLAIR analysis) mostly driven by the improvement in "treatment burden" scores. "Life satisfaction" and HIV "disclosure worries" showed no significant difference between treatment groups, indicating no impact of either treatment options on those concepts. </w:t>
      </w:r>
    </w:p>
    <w:p w14:paraId="3886C7C4" w14:textId="62CA057F" w:rsidR="00763708" w:rsidRPr="005617F2" w:rsidRDefault="00763708" w:rsidP="00763708">
      <w:pPr>
        <w:keepNext/>
        <w:tabs>
          <w:tab w:val="left" w:pos="720"/>
        </w:tabs>
        <w:rPr>
          <w:rFonts w:ascii="Arial" w:hAnsi="Arial" w:cs="Arial"/>
          <w:lang w:val="en"/>
        </w:rPr>
      </w:pPr>
      <w:r w:rsidRPr="00D63276">
        <w:rPr>
          <w:rFonts w:ascii="Arial" w:hAnsi="Arial" w:cs="Arial"/>
          <w:lang w:val="en"/>
        </w:rPr>
        <w:lastRenderedPageBreak/>
        <w:t xml:space="preserve">SF-12 mental and physical component scores showed </w:t>
      </w:r>
      <w:r w:rsidR="006605DD">
        <w:rPr>
          <w:rFonts w:ascii="Arial" w:hAnsi="Arial" w:cs="Arial"/>
          <w:lang w:val="en"/>
        </w:rPr>
        <w:t>n</w:t>
      </w:r>
      <w:r w:rsidRPr="00D63276">
        <w:rPr>
          <w:rFonts w:ascii="Arial" w:hAnsi="Arial" w:cs="Arial"/>
          <w:lang w:val="en"/>
        </w:rPr>
        <w:t>o significant difference in change from baseline between treatment groups at weeks 24 and 48, which indicates no improvement or worsening in mental or physical health status of participants in both groups</w:t>
      </w:r>
      <w:r w:rsidR="00E836FB">
        <w:rPr>
          <w:rFonts w:ascii="Arial" w:hAnsi="Arial" w:cs="Arial"/>
          <w:lang w:val="en"/>
        </w:rPr>
        <w:t>.</w:t>
      </w:r>
    </w:p>
    <w:p w14:paraId="75FCC3EE" w14:textId="6C81B309" w:rsidR="001A3992" w:rsidRDefault="00071855" w:rsidP="00923029">
      <w:pPr>
        <w:pStyle w:val="Heading2"/>
        <w:numPr>
          <w:ilvl w:val="1"/>
          <w:numId w:val="35"/>
        </w:numPr>
        <w:spacing w:before="0" w:after="120"/>
        <w:rPr>
          <w:rFonts w:ascii="Arial" w:hAnsi="Arial" w:cs="Arial"/>
          <w:smallCaps w:val="0"/>
        </w:rPr>
      </w:pPr>
      <w:r w:rsidRPr="00071855">
        <w:rPr>
          <w:rFonts w:ascii="Arial" w:hAnsi="Arial" w:cs="Arial"/>
          <w:smallCaps w:val="0"/>
        </w:rPr>
        <w:t xml:space="preserve">PHARMACOKINETIC PROPERTIES </w:t>
      </w:r>
    </w:p>
    <w:p w14:paraId="3F5DD611" w14:textId="6E4D3A48" w:rsidR="00D65787" w:rsidRPr="00387F9E" w:rsidRDefault="00D65787" w:rsidP="00D65787">
      <w:pPr>
        <w:keepNext/>
        <w:tabs>
          <w:tab w:val="left" w:pos="720"/>
        </w:tabs>
        <w:rPr>
          <w:rFonts w:ascii="Arial" w:hAnsi="Arial" w:cs="Arial"/>
          <w:lang w:val="en"/>
        </w:rPr>
      </w:pPr>
      <w:r w:rsidRPr="00D65787">
        <w:rPr>
          <w:rFonts w:ascii="Arial" w:hAnsi="Arial" w:cs="Arial"/>
          <w:lang w:val="en"/>
        </w:rPr>
        <w:t xml:space="preserve">Cabotegravir pharmacokinetics is </w:t>
      </w:r>
      <w:r w:rsidRPr="00387F9E">
        <w:rPr>
          <w:rFonts w:ascii="Arial" w:hAnsi="Arial" w:cs="Arial"/>
          <w:lang w:val="en"/>
        </w:rPr>
        <w:t>similar between healthy and HIV-infected subjects. The PK variability of cabotegravir is moderate to high. In  HIV-infected subjects</w:t>
      </w:r>
      <w:r w:rsidR="00387F9E" w:rsidRPr="00387F9E">
        <w:rPr>
          <w:rFonts w:ascii="Arial" w:hAnsi="Arial" w:cs="Arial"/>
          <w:lang w:val="en"/>
        </w:rPr>
        <w:t xml:space="preserve"> </w:t>
      </w:r>
      <w:r w:rsidR="00387F9E" w:rsidRPr="00763708">
        <w:rPr>
          <w:rFonts w:ascii="Arial" w:eastAsia="MS Mincho" w:hAnsi="Arial" w:cs="Arial"/>
        </w:rPr>
        <w:t>participating in Phase III studies</w:t>
      </w:r>
      <w:r w:rsidRPr="00387F9E">
        <w:rPr>
          <w:rFonts w:ascii="Arial" w:hAnsi="Arial" w:cs="Arial"/>
          <w:lang w:val="en"/>
        </w:rPr>
        <w:t xml:space="preserve">, between-subject </w:t>
      </w:r>
      <w:proofErr w:type="spellStart"/>
      <w:r w:rsidRPr="00387F9E">
        <w:rPr>
          <w:rFonts w:ascii="Arial" w:hAnsi="Arial" w:cs="Arial"/>
          <w:lang w:val="en"/>
        </w:rPr>
        <w:t>CVb</w:t>
      </w:r>
      <w:proofErr w:type="spellEnd"/>
      <w:r w:rsidRPr="00387F9E">
        <w:rPr>
          <w:rFonts w:ascii="Arial" w:hAnsi="Arial" w:cs="Arial"/>
          <w:lang w:val="en"/>
        </w:rPr>
        <w:t xml:space="preserve">% for </w:t>
      </w:r>
      <w:proofErr w:type="spellStart"/>
      <w:r w:rsidRPr="00387F9E">
        <w:rPr>
          <w:rFonts w:ascii="Arial" w:hAnsi="Arial" w:cs="Arial"/>
          <w:lang w:val="en"/>
        </w:rPr>
        <w:t>C</w:t>
      </w:r>
      <w:r w:rsidRPr="00387F9E">
        <w:rPr>
          <w:rFonts w:ascii="Arial" w:hAnsi="Arial" w:cs="Arial"/>
          <w:vertAlign w:val="subscript"/>
          <w:lang w:val="en"/>
        </w:rPr>
        <w:t>tau</w:t>
      </w:r>
      <w:proofErr w:type="spellEnd"/>
      <w:r w:rsidRPr="00387F9E">
        <w:rPr>
          <w:rFonts w:ascii="Arial" w:hAnsi="Arial" w:cs="Arial"/>
          <w:lang w:val="en"/>
        </w:rPr>
        <w:t xml:space="preserve"> ranged from </w:t>
      </w:r>
      <w:r w:rsidR="00387F9E" w:rsidRPr="00387F9E">
        <w:rPr>
          <w:rFonts w:ascii="Arial" w:hAnsi="Arial" w:cs="Arial"/>
          <w:lang w:val="en"/>
        </w:rPr>
        <w:t>39</w:t>
      </w:r>
      <w:r w:rsidRPr="00387F9E">
        <w:rPr>
          <w:rFonts w:ascii="Arial" w:hAnsi="Arial" w:cs="Arial"/>
          <w:lang w:val="en"/>
        </w:rPr>
        <w:t xml:space="preserve"> to </w:t>
      </w:r>
      <w:r w:rsidR="00387F9E" w:rsidRPr="00387F9E">
        <w:rPr>
          <w:rFonts w:ascii="Arial" w:hAnsi="Arial" w:cs="Arial"/>
          <w:lang w:val="en"/>
        </w:rPr>
        <w:t>48</w:t>
      </w:r>
      <w:r w:rsidRPr="00387F9E">
        <w:rPr>
          <w:rFonts w:ascii="Arial" w:hAnsi="Arial" w:cs="Arial"/>
          <w:lang w:val="en"/>
        </w:rPr>
        <w:t xml:space="preserve">%. Higher between-subject variability ranging from </w:t>
      </w:r>
      <w:r w:rsidR="00387F9E" w:rsidRPr="00387F9E">
        <w:rPr>
          <w:rFonts w:ascii="Arial" w:hAnsi="Arial" w:cs="Arial"/>
          <w:lang w:val="en"/>
        </w:rPr>
        <w:t>65</w:t>
      </w:r>
      <w:r w:rsidRPr="00387F9E">
        <w:rPr>
          <w:rFonts w:ascii="Arial" w:hAnsi="Arial" w:cs="Arial"/>
          <w:lang w:val="en"/>
        </w:rPr>
        <w:t>% to </w:t>
      </w:r>
      <w:r w:rsidR="00387F9E" w:rsidRPr="00387F9E">
        <w:rPr>
          <w:rFonts w:ascii="Arial" w:hAnsi="Arial" w:cs="Arial"/>
          <w:lang w:val="en"/>
        </w:rPr>
        <w:t>76</w:t>
      </w:r>
      <w:r w:rsidRPr="00387F9E">
        <w:rPr>
          <w:rFonts w:ascii="Arial" w:hAnsi="Arial" w:cs="Arial"/>
          <w:lang w:val="en"/>
        </w:rPr>
        <w:t xml:space="preserve">% was observed with single dose administration of </w:t>
      </w:r>
      <w:r w:rsidR="003875C0" w:rsidRPr="00387F9E">
        <w:rPr>
          <w:rFonts w:ascii="Arial" w:hAnsi="Arial" w:cs="Arial"/>
          <w:lang w:val="en"/>
        </w:rPr>
        <w:t>prolonged</w:t>
      </w:r>
      <w:r w:rsidR="00C001E0" w:rsidRPr="00387F9E">
        <w:rPr>
          <w:rFonts w:ascii="Arial" w:hAnsi="Arial" w:cs="Arial"/>
          <w:lang w:val="en"/>
        </w:rPr>
        <w:t>-</w:t>
      </w:r>
      <w:r w:rsidR="003875C0" w:rsidRPr="00387F9E">
        <w:rPr>
          <w:rFonts w:ascii="Arial" w:hAnsi="Arial" w:cs="Arial"/>
          <w:lang w:val="en"/>
        </w:rPr>
        <w:t>release</w:t>
      </w:r>
      <w:r w:rsidRPr="00387F9E">
        <w:rPr>
          <w:rFonts w:ascii="Arial" w:hAnsi="Arial" w:cs="Arial"/>
          <w:lang w:val="en"/>
        </w:rPr>
        <w:t xml:space="preserve"> cabotegravir injection.</w:t>
      </w:r>
    </w:p>
    <w:p w14:paraId="7CF58050" w14:textId="77777777" w:rsidR="001A3992" w:rsidRPr="00071855" w:rsidRDefault="001A3992" w:rsidP="00D65787">
      <w:pPr>
        <w:pStyle w:val="Heading3"/>
        <w:ind w:left="0"/>
        <w:rPr>
          <w:rFonts w:ascii="Arial" w:hAnsi="Arial" w:cs="Arial"/>
        </w:rPr>
      </w:pPr>
      <w:r w:rsidRPr="00071855">
        <w:rPr>
          <w:rFonts w:ascii="Arial" w:hAnsi="Arial" w:cs="Arial"/>
        </w:rPr>
        <w:t>Absorption</w:t>
      </w:r>
    </w:p>
    <w:p w14:paraId="19753EFF" w14:textId="25AB87F0" w:rsidR="00373E85" w:rsidRPr="00373E85" w:rsidRDefault="00913D95" w:rsidP="008E26DE">
      <w:pPr>
        <w:tabs>
          <w:tab w:val="left" w:pos="720"/>
        </w:tabs>
        <w:spacing w:after="0"/>
        <w:rPr>
          <w:rFonts w:ascii="Arial" w:hAnsi="Arial" w:cs="Arial"/>
          <w:u w:val="single"/>
          <w:lang w:val="en"/>
        </w:rPr>
      </w:pPr>
      <w:r>
        <w:rPr>
          <w:rFonts w:ascii="Arial" w:hAnsi="Arial" w:cs="Arial"/>
          <w:u w:val="single"/>
          <w:lang w:val="en"/>
        </w:rPr>
        <w:t>Cabotegravir</w:t>
      </w:r>
    </w:p>
    <w:p w14:paraId="3D6395DC" w14:textId="2C655562" w:rsidR="00373E85" w:rsidRPr="00373E85" w:rsidRDefault="00373E85" w:rsidP="008E26DE">
      <w:pPr>
        <w:tabs>
          <w:tab w:val="left" w:pos="720"/>
        </w:tabs>
        <w:rPr>
          <w:rFonts w:ascii="Arial" w:hAnsi="Arial" w:cs="Arial"/>
          <w:lang w:val="en"/>
        </w:rPr>
      </w:pPr>
      <w:r w:rsidRPr="00387F9E">
        <w:rPr>
          <w:rFonts w:ascii="Arial" w:hAnsi="Arial" w:cs="Arial"/>
          <w:lang w:val="en"/>
        </w:rPr>
        <w:t xml:space="preserve">Cabotegravir injection exhibits absorption-limited </w:t>
      </w:r>
      <w:r w:rsidR="00387F9E" w:rsidRPr="00387F9E">
        <w:rPr>
          <w:rFonts w:ascii="Arial" w:hAnsi="Arial" w:cs="Arial"/>
          <w:lang w:val="en"/>
        </w:rPr>
        <w:t>pharmaco</w:t>
      </w:r>
      <w:r w:rsidRPr="00387F9E">
        <w:rPr>
          <w:rFonts w:ascii="Arial" w:hAnsi="Arial" w:cs="Arial"/>
          <w:lang w:val="en"/>
        </w:rPr>
        <w:t xml:space="preserve">kinetics </w:t>
      </w:r>
      <w:r w:rsidR="00387F9E" w:rsidRPr="00763708">
        <w:rPr>
          <w:rFonts w:ascii="Arial" w:hAnsi="Arial" w:cs="Arial"/>
          <w:bCs/>
          <w:szCs w:val="24"/>
        </w:rPr>
        <w:t>because cabotegravir is slowly absorbed into the systemic circulation</w:t>
      </w:r>
      <w:r w:rsidR="00387F9E" w:rsidRPr="00387F9E">
        <w:rPr>
          <w:rFonts w:ascii="Arial" w:hAnsi="Arial" w:cs="Arial"/>
          <w:lang w:val="en"/>
        </w:rPr>
        <w:t xml:space="preserve"> </w:t>
      </w:r>
      <w:r w:rsidRPr="00387F9E">
        <w:rPr>
          <w:rFonts w:ascii="Arial" w:hAnsi="Arial" w:cs="Arial"/>
          <w:lang w:val="en"/>
        </w:rPr>
        <w:t>from the gluteal muscle resulting in sustained plasma concentrations. Following a single intramuscular</w:t>
      </w:r>
      <w:r w:rsidR="00314C77" w:rsidRPr="00387F9E">
        <w:rPr>
          <w:rFonts w:ascii="Arial" w:hAnsi="Arial" w:cs="Arial"/>
          <w:lang w:val="en"/>
        </w:rPr>
        <w:t xml:space="preserve"> (IM)</w:t>
      </w:r>
      <w:r w:rsidRPr="00387F9E">
        <w:rPr>
          <w:rFonts w:ascii="Arial" w:hAnsi="Arial" w:cs="Arial"/>
          <w:lang w:val="en"/>
        </w:rPr>
        <w:t xml:space="preserve"> dose, plasma cabotegravir concentrations are detectable on the first day and gradually rise</w:t>
      </w:r>
      <w:r w:rsidRPr="00373E85">
        <w:rPr>
          <w:rFonts w:ascii="Arial" w:hAnsi="Arial" w:cs="Arial"/>
          <w:lang w:val="en"/>
        </w:rPr>
        <w:t xml:space="preserve"> to reach maximum plasma concentration with a median </w:t>
      </w:r>
      <w:proofErr w:type="spellStart"/>
      <w:r w:rsidRPr="00373E85">
        <w:rPr>
          <w:rFonts w:ascii="Arial" w:hAnsi="Arial" w:cs="Arial"/>
          <w:lang w:val="en"/>
        </w:rPr>
        <w:t>T</w:t>
      </w:r>
      <w:r w:rsidRPr="00EC1C0B">
        <w:rPr>
          <w:rFonts w:ascii="Arial" w:hAnsi="Arial" w:cs="Arial"/>
          <w:vertAlign w:val="subscript"/>
          <w:lang w:val="en"/>
        </w:rPr>
        <w:t>max</w:t>
      </w:r>
      <w:proofErr w:type="spellEnd"/>
      <w:r w:rsidRPr="00373E85">
        <w:rPr>
          <w:rFonts w:ascii="Arial" w:hAnsi="Arial" w:cs="Arial"/>
          <w:lang w:val="en"/>
        </w:rPr>
        <w:t xml:space="preserve"> of 7 days. Cabotegravir has been detected in plasma up to 52 weeks or longer after administration of a single injection. Pharmacokinetic steady-state is achieved by 44 weeks.</w:t>
      </w:r>
    </w:p>
    <w:p w14:paraId="5CE29610" w14:textId="290B3F25" w:rsidR="00D65787" w:rsidRDefault="00373E85" w:rsidP="008E26DE">
      <w:pPr>
        <w:tabs>
          <w:tab w:val="left" w:pos="720"/>
        </w:tabs>
        <w:rPr>
          <w:rFonts w:ascii="Arial" w:hAnsi="Arial" w:cs="Arial"/>
          <w:lang w:val="en"/>
        </w:rPr>
      </w:pPr>
      <w:r w:rsidRPr="00373E85">
        <w:rPr>
          <w:rFonts w:ascii="Arial" w:hAnsi="Arial" w:cs="Arial"/>
          <w:lang w:val="en"/>
        </w:rPr>
        <w:t>Plasma cabotegravir exposure increases in proportion or slightly less than in proportion to dose following single and repeat IM injection of doses ranging from 100 to 800 mg.</w:t>
      </w:r>
    </w:p>
    <w:p w14:paraId="4C04F8F2" w14:textId="26FD2EB0" w:rsidR="00913D95" w:rsidRPr="00373E85" w:rsidRDefault="00913D95" w:rsidP="005054E4">
      <w:pPr>
        <w:keepNext/>
        <w:tabs>
          <w:tab w:val="left" w:pos="720"/>
        </w:tabs>
        <w:spacing w:after="0"/>
        <w:rPr>
          <w:rFonts w:ascii="Arial" w:hAnsi="Arial" w:cs="Arial"/>
          <w:u w:val="single"/>
          <w:lang w:val="en"/>
        </w:rPr>
      </w:pPr>
      <w:r>
        <w:rPr>
          <w:rFonts w:ascii="Arial" w:hAnsi="Arial" w:cs="Arial"/>
          <w:u w:val="single"/>
          <w:lang w:val="en"/>
        </w:rPr>
        <w:t>Rilpivirine</w:t>
      </w:r>
    </w:p>
    <w:p w14:paraId="52039EFE" w14:textId="524A53E1" w:rsidR="00913D95" w:rsidRDefault="00913D95" w:rsidP="00913D95">
      <w:pPr>
        <w:rPr>
          <w:rFonts w:ascii="Arial" w:hAnsi="Arial" w:cs="Arial"/>
          <w:bCs/>
        </w:rPr>
      </w:pPr>
      <w:r>
        <w:rPr>
          <w:rFonts w:ascii="Arial" w:hAnsi="Arial" w:cs="Arial"/>
          <w:bCs/>
        </w:rPr>
        <w:t>Rilpivirine injection exhibits absorption-limited (flip-flop) kinetics resulting from slow absorption from the gluteal muscle into the systemic circulation resulting in sustained plasma concentrations.  Following a single intramuscular</w:t>
      </w:r>
      <w:r w:rsidR="00314C77">
        <w:rPr>
          <w:rFonts w:ascii="Arial" w:hAnsi="Arial" w:cs="Arial"/>
          <w:bCs/>
        </w:rPr>
        <w:t xml:space="preserve"> (IM)</w:t>
      </w:r>
      <w:r>
        <w:rPr>
          <w:rFonts w:ascii="Arial" w:hAnsi="Arial" w:cs="Arial"/>
          <w:bCs/>
        </w:rPr>
        <w:t xml:space="preserve"> dose, plasma rilpivirine concentrations are detectable on the first day and gradually rise to reach maximum plasma concentration with a median </w:t>
      </w:r>
      <w:proofErr w:type="spellStart"/>
      <w:r>
        <w:rPr>
          <w:rFonts w:ascii="Arial" w:hAnsi="Arial" w:cs="Arial"/>
          <w:bCs/>
        </w:rPr>
        <w:t>T</w:t>
      </w:r>
      <w:r>
        <w:rPr>
          <w:rFonts w:ascii="Arial" w:hAnsi="Arial" w:cs="Arial"/>
          <w:bCs/>
          <w:vertAlign w:val="subscript"/>
        </w:rPr>
        <w:t>max</w:t>
      </w:r>
      <w:proofErr w:type="spellEnd"/>
      <w:r>
        <w:rPr>
          <w:rFonts w:ascii="Arial" w:hAnsi="Arial" w:cs="Arial"/>
          <w:bCs/>
        </w:rPr>
        <w:t xml:space="preserve"> of 3-4 days.  Rilpivirine has been detected in plasma for longer than 52 weeks after administration of a single injection.  About 80% of the rilpivirine steady-state exposure is reached by 48 weeks. After that, there is limited accumulation, with pharmacokinetic steady-state reached after approximately 2 years. </w:t>
      </w:r>
    </w:p>
    <w:p w14:paraId="2F823985" w14:textId="3EF5D909" w:rsidR="00913D95" w:rsidRPr="005054E4" w:rsidRDefault="00913D95" w:rsidP="005054E4">
      <w:pPr>
        <w:rPr>
          <w:rFonts w:ascii="Arial" w:hAnsi="Arial" w:cs="Arial"/>
          <w:b/>
          <w:bCs/>
        </w:rPr>
      </w:pPr>
      <w:r>
        <w:rPr>
          <w:rFonts w:ascii="Arial" w:hAnsi="Arial" w:cs="Arial"/>
        </w:rPr>
        <w:t>Plasma rilpivirine exposure increases in proportion or slightly less than in proportion to dose following single and repeat IM injection of doses ranging from 300 to 1200 mg.</w:t>
      </w:r>
    </w:p>
    <w:p w14:paraId="02374B45" w14:textId="77777777" w:rsidR="001A3992" w:rsidRPr="00071855" w:rsidRDefault="001A3992" w:rsidP="00D65787">
      <w:pPr>
        <w:pStyle w:val="Heading3"/>
        <w:ind w:left="0"/>
        <w:rPr>
          <w:rFonts w:ascii="Arial" w:hAnsi="Arial" w:cs="Arial"/>
        </w:rPr>
      </w:pPr>
      <w:r w:rsidRPr="00071855">
        <w:rPr>
          <w:rFonts w:ascii="Arial" w:hAnsi="Arial" w:cs="Arial"/>
        </w:rPr>
        <w:t>Distribution</w:t>
      </w:r>
    </w:p>
    <w:p w14:paraId="4E3F7265" w14:textId="02E9981E" w:rsidR="005054E4" w:rsidRPr="005054E4" w:rsidRDefault="005054E4" w:rsidP="008E26DE">
      <w:pPr>
        <w:tabs>
          <w:tab w:val="left" w:pos="720"/>
        </w:tabs>
        <w:spacing w:after="0"/>
        <w:rPr>
          <w:rFonts w:ascii="Arial" w:hAnsi="Arial" w:cs="Arial"/>
          <w:u w:val="single"/>
          <w:lang w:val="en"/>
        </w:rPr>
      </w:pPr>
      <w:bookmarkStart w:id="38" w:name="_Hlk6223736"/>
      <w:r w:rsidRPr="005054E4">
        <w:rPr>
          <w:rFonts w:ascii="Arial" w:hAnsi="Arial" w:cs="Arial"/>
          <w:u w:val="single"/>
          <w:lang w:val="en"/>
        </w:rPr>
        <w:t>Cabotegravir</w:t>
      </w:r>
    </w:p>
    <w:p w14:paraId="3A5CFD6C" w14:textId="53F73880" w:rsidR="00373E85" w:rsidRPr="00EC1C0B" w:rsidRDefault="00373E85" w:rsidP="008E26DE">
      <w:pPr>
        <w:tabs>
          <w:tab w:val="left" w:pos="720"/>
        </w:tabs>
        <w:rPr>
          <w:rFonts w:ascii="Arial" w:hAnsi="Arial" w:cs="Arial"/>
          <w:lang w:val="en"/>
        </w:rPr>
      </w:pPr>
      <w:r w:rsidRPr="00EC1C0B">
        <w:rPr>
          <w:rFonts w:ascii="Arial" w:hAnsi="Arial" w:cs="Arial"/>
          <w:lang w:val="en"/>
        </w:rPr>
        <w:t xml:space="preserve">Cabotegravir is highly bound (&gt;99%) to human plasma proteins, based on </w:t>
      </w:r>
      <w:r w:rsidRPr="00BB0170">
        <w:rPr>
          <w:rFonts w:ascii="Arial" w:hAnsi="Arial" w:cs="Arial"/>
          <w:i/>
          <w:lang w:val="en"/>
        </w:rPr>
        <w:t>in vitro</w:t>
      </w:r>
      <w:r w:rsidRPr="00EC1C0B">
        <w:rPr>
          <w:rFonts w:ascii="Arial" w:hAnsi="Arial" w:cs="Arial"/>
          <w:lang w:val="en"/>
        </w:rPr>
        <w:t xml:space="preserve"> data. Following administration of oral tablets, the mean apparent oral volume of distribution (</w:t>
      </w:r>
      <w:proofErr w:type="spellStart"/>
      <w:r w:rsidRPr="00EC1C0B">
        <w:rPr>
          <w:rFonts w:ascii="Arial" w:hAnsi="Arial" w:cs="Arial"/>
          <w:lang w:val="en"/>
        </w:rPr>
        <w:t>Vz</w:t>
      </w:r>
      <w:proofErr w:type="spellEnd"/>
      <w:r w:rsidRPr="00EC1C0B">
        <w:rPr>
          <w:rFonts w:ascii="Arial" w:hAnsi="Arial" w:cs="Arial"/>
          <w:lang w:val="en"/>
        </w:rPr>
        <w:t xml:space="preserve">/F) in plasma was 12.3 L. In humans, the estimate of plasma </w:t>
      </w:r>
      <w:proofErr w:type="spellStart"/>
      <w:r w:rsidRPr="00EC1C0B">
        <w:rPr>
          <w:rFonts w:ascii="Arial" w:hAnsi="Arial" w:cs="Arial"/>
          <w:lang w:val="en"/>
        </w:rPr>
        <w:t>cabotegravir</w:t>
      </w:r>
      <w:proofErr w:type="spellEnd"/>
      <w:r w:rsidRPr="00EC1C0B">
        <w:rPr>
          <w:rFonts w:ascii="Arial" w:hAnsi="Arial" w:cs="Arial"/>
          <w:lang w:val="en"/>
        </w:rPr>
        <w:t xml:space="preserve"> </w:t>
      </w:r>
      <w:proofErr w:type="spellStart"/>
      <w:r w:rsidRPr="00EC1C0B">
        <w:rPr>
          <w:rFonts w:ascii="Arial" w:hAnsi="Arial" w:cs="Arial"/>
          <w:lang w:val="en"/>
        </w:rPr>
        <w:t>Vc</w:t>
      </w:r>
      <w:proofErr w:type="spellEnd"/>
      <w:r w:rsidRPr="00EC1C0B">
        <w:rPr>
          <w:rFonts w:ascii="Arial" w:hAnsi="Arial" w:cs="Arial"/>
          <w:lang w:val="en"/>
        </w:rPr>
        <w:t xml:space="preserve">/F was 5.27 L and </w:t>
      </w:r>
      <w:proofErr w:type="spellStart"/>
      <w:r w:rsidRPr="00EC1C0B">
        <w:rPr>
          <w:rFonts w:ascii="Arial" w:hAnsi="Arial" w:cs="Arial"/>
          <w:lang w:val="en"/>
        </w:rPr>
        <w:t>Vp</w:t>
      </w:r>
      <w:proofErr w:type="spellEnd"/>
      <w:r w:rsidRPr="00EC1C0B">
        <w:rPr>
          <w:rFonts w:ascii="Arial" w:hAnsi="Arial" w:cs="Arial"/>
          <w:lang w:val="en"/>
        </w:rPr>
        <w:t>/F was 2.43 L. These volume estimates, along with the assumption of high bioavailability, suggest some distribution of cabotegravir to the extracellular space.</w:t>
      </w:r>
    </w:p>
    <w:p w14:paraId="0110F0D4" w14:textId="77777777" w:rsidR="00373E85" w:rsidRPr="00387F9E" w:rsidRDefault="00373E85" w:rsidP="008E26DE">
      <w:pPr>
        <w:tabs>
          <w:tab w:val="left" w:pos="720"/>
        </w:tabs>
        <w:rPr>
          <w:rFonts w:ascii="Arial" w:hAnsi="Arial" w:cs="Arial"/>
          <w:lang w:val="en"/>
        </w:rPr>
      </w:pPr>
      <w:r w:rsidRPr="00EC1C0B">
        <w:rPr>
          <w:rFonts w:ascii="Arial" w:hAnsi="Arial" w:cs="Arial"/>
          <w:lang w:val="en"/>
        </w:rPr>
        <w:t xml:space="preserve">Cabotegravir is present in the female and male genital tract. Median cervical and vaginal </w:t>
      </w:r>
      <w:proofErr w:type="spellStart"/>
      <w:r w:rsidRPr="00EC1C0B">
        <w:rPr>
          <w:rFonts w:ascii="Arial" w:hAnsi="Arial" w:cs="Arial"/>
          <w:lang w:val="en"/>
        </w:rPr>
        <w:t>tissue:plasma</w:t>
      </w:r>
      <w:proofErr w:type="spellEnd"/>
      <w:r w:rsidRPr="00EC1C0B">
        <w:rPr>
          <w:rFonts w:ascii="Arial" w:hAnsi="Arial" w:cs="Arial"/>
          <w:lang w:val="en"/>
        </w:rPr>
        <w:t xml:space="preserve"> ratios ranged from 0.16 to 0.28 and median rectal </w:t>
      </w:r>
      <w:proofErr w:type="spellStart"/>
      <w:r w:rsidRPr="00EC1C0B">
        <w:rPr>
          <w:rFonts w:ascii="Arial" w:hAnsi="Arial" w:cs="Arial"/>
          <w:lang w:val="en"/>
        </w:rPr>
        <w:t>tissue:plasma</w:t>
      </w:r>
      <w:proofErr w:type="spellEnd"/>
      <w:r w:rsidRPr="00EC1C0B">
        <w:rPr>
          <w:rFonts w:ascii="Arial" w:hAnsi="Arial" w:cs="Arial"/>
          <w:lang w:val="en"/>
        </w:rPr>
        <w:t xml:space="preserve"> ratios were </w:t>
      </w:r>
      <w:r w:rsidRPr="00EC1C0B">
        <w:rPr>
          <w:rFonts w:ascii="Arial" w:hAnsi="Arial" w:cs="Arial"/>
          <w:lang w:val="en"/>
        </w:rPr>
        <w:lastRenderedPageBreak/>
        <w:sym w:font="Symbol" w:char="F0A3"/>
      </w:r>
      <w:r w:rsidRPr="00EC1C0B">
        <w:rPr>
          <w:rFonts w:ascii="Arial" w:hAnsi="Arial" w:cs="Arial"/>
          <w:lang w:val="en"/>
        </w:rPr>
        <w:t>0.08 following a single 400 </w:t>
      </w:r>
      <w:r w:rsidRPr="00387F9E">
        <w:rPr>
          <w:rFonts w:ascii="Arial" w:hAnsi="Arial" w:cs="Arial"/>
          <w:lang w:val="en"/>
        </w:rPr>
        <w:t>mg intramuscular injection (IM) at 4, 8, and 12 weeks after dosing.</w:t>
      </w:r>
    </w:p>
    <w:p w14:paraId="7AD8E3D9" w14:textId="2EBFEEA0" w:rsidR="00373E85" w:rsidRPr="00387F9E" w:rsidRDefault="00373E85" w:rsidP="008E26DE">
      <w:pPr>
        <w:tabs>
          <w:tab w:val="left" w:pos="720"/>
        </w:tabs>
        <w:rPr>
          <w:rFonts w:ascii="Arial" w:hAnsi="Arial" w:cs="Arial"/>
          <w:lang w:val="en"/>
        </w:rPr>
      </w:pPr>
      <w:r w:rsidRPr="00387F9E">
        <w:rPr>
          <w:rFonts w:ascii="Arial" w:hAnsi="Arial" w:cs="Arial"/>
          <w:lang w:val="en"/>
        </w:rPr>
        <w:t>Cabotegravir is present in cerebrospinal fluid (CSF). In HIV-infected subjects receiving a regimen of cabotegravir injection plus rilpivirine injection, the</w:t>
      </w:r>
      <w:r w:rsidR="00387F9E" w:rsidRPr="00387F9E">
        <w:rPr>
          <w:rFonts w:ascii="Arial" w:hAnsi="Arial" w:cs="Arial"/>
          <w:lang w:val="en"/>
        </w:rPr>
        <w:t xml:space="preserve"> </w:t>
      </w:r>
      <w:r w:rsidRPr="00387F9E">
        <w:rPr>
          <w:rFonts w:ascii="Arial" w:hAnsi="Arial" w:cs="Arial"/>
          <w:lang w:val="en"/>
        </w:rPr>
        <w:t xml:space="preserve">cabotegravir CSF to plasma concentration ratio </w:t>
      </w:r>
      <w:r w:rsidR="00387F9E" w:rsidRPr="00763708">
        <w:rPr>
          <w:rFonts w:ascii="Arial" w:hAnsi="Arial" w:cs="Arial"/>
          <w:szCs w:val="24"/>
        </w:rPr>
        <w:t xml:space="preserve">[median (range)] </w:t>
      </w:r>
      <w:r w:rsidRPr="00387F9E">
        <w:rPr>
          <w:rFonts w:ascii="Arial" w:hAnsi="Arial" w:cs="Arial"/>
          <w:lang w:val="en"/>
        </w:rPr>
        <w:t xml:space="preserve">(n=16) was </w:t>
      </w:r>
      <w:r w:rsidR="00387F9E" w:rsidRPr="00387F9E">
        <w:rPr>
          <w:rFonts w:ascii="Arial" w:hAnsi="Arial" w:cs="Arial"/>
          <w:lang w:val="en"/>
        </w:rPr>
        <w:t xml:space="preserve">0.003 </w:t>
      </w:r>
      <w:r w:rsidRPr="00387F9E">
        <w:rPr>
          <w:rFonts w:ascii="Arial" w:hAnsi="Arial" w:cs="Arial"/>
          <w:lang w:val="en"/>
        </w:rPr>
        <w:t>(</w:t>
      </w:r>
      <w:r w:rsidR="00387F9E" w:rsidRPr="00387F9E">
        <w:rPr>
          <w:rFonts w:ascii="Arial" w:hAnsi="Arial" w:cs="Arial"/>
          <w:lang w:val="en"/>
        </w:rPr>
        <w:t>0.002 to 0.004</w:t>
      </w:r>
      <w:r w:rsidRPr="00387F9E">
        <w:rPr>
          <w:rFonts w:ascii="Arial" w:hAnsi="Arial" w:cs="Arial"/>
          <w:lang w:val="en"/>
        </w:rPr>
        <w:t xml:space="preserve">) one week following a steady-state </w:t>
      </w:r>
      <w:r w:rsidR="003875C0" w:rsidRPr="00387F9E">
        <w:rPr>
          <w:rFonts w:ascii="Arial" w:hAnsi="Arial" w:cs="Arial"/>
          <w:lang w:val="en"/>
        </w:rPr>
        <w:t>prolonged</w:t>
      </w:r>
      <w:r w:rsidR="00C001E0" w:rsidRPr="00387F9E">
        <w:rPr>
          <w:rFonts w:ascii="Arial" w:hAnsi="Arial" w:cs="Arial"/>
          <w:lang w:val="en"/>
        </w:rPr>
        <w:t>-</w:t>
      </w:r>
      <w:r w:rsidR="003875C0" w:rsidRPr="00387F9E">
        <w:rPr>
          <w:rFonts w:ascii="Arial" w:hAnsi="Arial" w:cs="Arial"/>
          <w:lang w:val="en"/>
        </w:rPr>
        <w:t>release</w:t>
      </w:r>
      <w:r w:rsidRPr="00387F9E">
        <w:rPr>
          <w:rFonts w:ascii="Arial" w:hAnsi="Arial" w:cs="Arial"/>
          <w:lang w:val="en"/>
        </w:rPr>
        <w:t xml:space="preserve"> cabotegravir (</w:t>
      </w:r>
      <w:r w:rsidR="00FE3C58">
        <w:rPr>
          <w:rFonts w:ascii="Arial" w:hAnsi="Arial" w:cs="Arial"/>
          <w:lang w:val="en"/>
        </w:rPr>
        <w:t>monthly does</w:t>
      </w:r>
      <w:r w:rsidRPr="00387F9E">
        <w:rPr>
          <w:rFonts w:ascii="Arial" w:hAnsi="Arial" w:cs="Arial"/>
          <w:lang w:val="en"/>
        </w:rPr>
        <w:t xml:space="preserve"> or </w:t>
      </w:r>
      <w:r w:rsidR="00FE3C58" w:rsidRPr="002E2FB4">
        <w:rPr>
          <w:rFonts w:ascii="Arial" w:hAnsi="Arial" w:cs="Arial"/>
          <w:lang w:val="en"/>
        </w:rPr>
        <w:t>every 2 month dose</w:t>
      </w:r>
      <w:r w:rsidRPr="00387F9E">
        <w:rPr>
          <w:rFonts w:ascii="Arial" w:hAnsi="Arial" w:cs="Arial"/>
          <w:lang w:val="en"/>
        </w:rPr>
        <w:t>) injection. Consistent with therapeutic cabotegravir concentrations in the CSF, CSF HIV-1 RNA (n=16) was &lt;50 c/mL in 100% and &lt;2 c/mL in 15/16 (94%) of subjects. At the same time point, plasma HIV-1 RNA (n=18) was &lt;50 c/mL in 100% and &lt;2 c/mL in 12/18 (66.7%) of subjects.</w:t>
      </w:r>
    </w:p>
    <w:p w14:paraId="6EF84AF1" w14:textId="77777777" w:rsidR="005054E4" w:rsidRPr="00373E85" w:rsidRDefault="005054E4" w:rsidP="005054E4">
      <w:pPr>
        <w:keepNext/>
        <w:tabs>
          <w:tab w:val="left" w:pos="720"/>
        </w:tabs>
        <w:spacing w:after="0"/>
        <w:rPr>
          <w:rFonts w:ascii="Arial" w:hAnsi="Arial" w:cs="Arial"/>
          <w:u w:val="single"/>
          <w:lang w:val="en"/>
        </w:rPr>
      </w:pPr>
      <w:r>
        <w:rPr>
          <w:rFonts w:ascii="Arial" w:hAnsi="Arial" w:cs="Arial"/>
          <w:u w:val="single"/>
          <w:lang w:val="en"/>
        </w:rPr>
        <w:t>Rilpivirine</w:t>
      </w:r>
    </w:p>
    <w:p w14:paraId="4E2B9A2A" w14:textId="407C3FBA" w:rsidR="005054E4" w:rsidRPr="005054E4" w:rsidRDefault="005054E4" w:rsidP="005054E4">
      <w:pPr>
        <w:rPr>
          <w:rFonts w:ascii="Arial" w:hAnsi="Arial" w:cs="Arial"/>
          <w:lang w:val="en"/>
        </w:rPr>
      </w:pPr>
      <w:r w:rsidRPr="005054E4">
        <w:rPr>
          <w:rFonts w:ascii="Arial" w:hAnsi="Arial" w:cs="Arial"/>
          <w:lang w:val="en"/>
        </w:rPr>
        <w:t xml:space="preserve">Rilpivirine is approximately 99.7% bound to plasma proteins </w:t>
      </w:r>
      <w:r w:rsidRPr="00242D8F">
        <w:rPr>
          <w:rFonts w:ascii="Arial" w:hAnsi="Arial" w:cs="Arial"/>
          <w:i/>
          <w:lang w:val="en"/>
        </w:rPr>
        <w:t>in vitro</w:t>
      </w:r>
      <w:r w:rsidRPr="005054E4">
        <w:rPr>
          <w:rFonts w:ascii="Arial" w:hAnsi="Arial" w:cs="Arial"/>
          <w:lang w:val="en"/>
        </w:rPr>
        <w:t>, primarily to albumin. Based on population pharmacokinetics analysis, the typical apparent volume of the central compartment (</w:t>
      </w:r>
      <w:proofErr w:type="spellStart"/>
      <w:r w:rsidRPr="005054E4">
        <w:rPr>
          <w:rFonts w:ascii="Arial" w:hAnsi="Arial" w:cs="Arial"/>
          <w:lang w:val="en"/>
        </w:rPr>
        <w:t>Vc</w:t>
      </w:r>
      <w:proofErr w:type="spellEnd"/>
      <w:r w:rsidRPr="005054E4">
        <w:rPr>
          <w:rFonts w:ascii="Arial" w:hAnsi="Arial" w:cs="Arial"/>
          <w:lang w:val="en"/>
        </w:rPr>
        <w:t xml:space="preserve">/F) for </w:t>
      </w:r>
      <w:proofErr w:type="spellStart"/>
      <w:r w:rsidRPr="005054E4">
        <w:rPr>
          <w:rFonts w:ascii="Arial" w:hAnsi="Arial" w:cs="Arial"/>
          <w:lang w:val="en"/>
        </w:rPr>
        <w:t>rilpivirine</w:t>
      </w:r>
      <w:proofErr w:type="spellEnd"/>
      <w:r w:rsidRPr="005054E4">
        <w:rPr>
          <w:rFonts w:ascii="Arial" w:hAnsi="Arial" w:cs="Arial"/>
          <w:lang w:val="en"/>
        </w:rPr>
        <w:t xml:space="preserve"> after IM administration was estimated to be 132 L, reflecting a moderate distribution to peripheral tissues.</w:t>
      </w:r>
    </w:p>
    <w:p w14:paraId="6F511183" w14:textId="07D1CFD6" w:rsidR="005054E4" w:rsidRPr="00242D8F" w:rsidRDefault="005054E4" w:rsidP="00242D8F">
      <w:pPr>
        <w:autoSpaceDE w:val="0"/>
        <w:autoSpaceDN w:val="0"/>
        <w:adjustRightInd w:val="0"/>
        <w:rPr>
          <w:rFonts w:ascii="Arial" w:hAnsi="Arial" w:cs="Arial"/>
          <w:lang w:val="en"/>
        </w:rPr>
      </w:pPr>
      <w:r w:rsidRPr="005054E4">
        <w:rPr>
          <w:rFonts w:ascii="Arial" w:hAnsi="Arial" w:cs="Arial"/>
          <w:lang w:val="en"/>
        </w:rPr>
        <w:t xml:space="preserve">Rilpivirine is present in cerebrospinal fluid (CSF). In HIV-1-infected patients receiving a regimen of rilpivirine injection plus cabotegravir injection, the median rilpivirine CSF to plasma concentration ratio (n=16) was 1.07 to 1.32% (range: not quantifiable to 1.69%). Consistent with therapeutic antiretroviral concentrations in the CSF, CSF HIV-1 RNA (n=16) was &lt;50 c/mL in 100% and &lt;2 c/mL in 15/16 (94%) patients. At the same time point, plasma HIV-1 RNA (n=18) was &lt;50 c/mL in 100% of patients and &lt;2 c/mL in 12/18 (66.7%) patients. </w:t>
      </w:r>
    </w:p>
    <w:bookmarkEnd w:id="38"/>
    <w:p w14:paraId="607505CF" w14:textId="77777777" w:rsidR="001A3992" w:rsidRPr="00071855" w:rsidRDefault="001A3992" w:rsidP="00D65787">
      <w:pPr>
        <w:pStyle w:val="Heading3"/>
        <w:ind w:left="0"/>
        <w:rPr>
          <w:rFonts w:ascii="Arial" w:hAnsi="Arial" w:cs="Arial"/>
        </w:rPr>
      </w:pPr>
      <w:r w:rsidRPr="00071855">
        <w:rPr>
          <w:rFonts w:ascii="Arial" w:hAnsi="Arial" w:cs="Arial"/>
        </w:rPr>
        <w:t>Metabolism</w:t>
      </w:r>
    </w:p>
    <w:p w14:paraId="53ECB0A7" w14:textId="77777777" w:rsidR="00242D8F" w:rsidRPr="005054E4" w:rsidRDefault="00242D8F" w:rsidP="008E26DE">
      <w:pPr>
        <w:tabs>
          <w:tab w:val="left" w:pos="720"/>
        </w:tabs>
        <w:spacing w:after="0"/>
        <w:rPr>
          <w:rFonts w:ascii="Arial" w:hAnsi="Arial" w:cs="Arial"/>
          <w:u w:val="single"/>
          <w:lang w:val="en"/>
        </w:rPr>
      </w:pPr>
      <w:r w:rsidRPr="005054E4">
        <w:rPr>
          <w:rFonts w:ascii="Arial" w:hAnsi="Arial" w:cs="Arial"/>
          <w:u w:val="single"/>
          <w:lang w:val="en"/>
        </w:rPr>
        <w:t>Cabotegravir</w:t>
      </w:r>
    </w:p>
    <w:p w14:paraId="05368F32" w14:textId="5C852666" w:rsidR="00373E85" w:rsidRDefault="00373E85" w:rsidP="008E26DE">
      <w:pPr>
        <w:tabs>
          <w:tab w:val="left" w:pos="720"/>
        </w:tabs>
        <w:rPr>
          <w:rFonts w:ascii="Arial" w:hAnsi="Arial" w:cs="Arial"/>
          <w:lang w:val="en"/>
        </w:rPr>
      </w:pPr>
      <w:proofErr w:type="spellStart"/>
      <w:r w:rsidRPr="00EC1C0B">
        <w:rPr>
          <w:rFonts w:ascii="Arial" w:hAnsi="Arial" w:cs="Arial"/>
          <w:lang w:val="en"/>
        </w:rPr>
        <w:t>Cabotegravir</w:t>
      </w:r>
      <w:proofErr w:type="spellEnd"/>
      <w:r w:rsidRPr="00EC1C0B">
        <w:rPr>
          <w:rFonts w:ascii="Arial" w:hAnsi="Arial" w:cs="Arial"/>
          <w:lang w:val="en"/>
        </w:rPr>
        <w:t xml:space="preserve"> is primarily </w:t>
      </w:r>
      <w:proofErr w:type="spellStart"/>
      <w:r w:rsidRPr="00EC1C0B">
        <w:rPr>
          <w:rFonts w:ascii="Arial" w:hAnsi="Arial" w:cs="Arial"/>
          <w:lang w:val="en"/>
        </w:rPr>
        <w:t>metabolised</w:t>
      </w:r>
      <w:proofErr w:type="spellEnd"/>
      <w:r w:rsidRPr="00EC1C0B">
        <w:rPr>
          <w:rFonts w:ascii="Arial" w:hAnsi="Arial" w:cs="Arial"/>
          <w:lang w:val="en"/>
        </w:rPr>
        <w:t xml:space="preserve"> by UGT1A1 with a minor UGT1A9 component. Cabotegravir is the predominant circulating compound in plasma, representing &gt;90% of plasma total radiocarbon. Following oral administration in humans, cabotegravir is primarily eliminated through metabolism; renal elimination of unchanged cabotegravir is low (&lt;1% of the dose). Forty-seven percent of the total oral dose is excreted as unchanged </w:t>
      </w:r>
      <w:proofErr w:type="spellStart"/>
      <w:r w:rsidRPr="00EC1C0B">
        <w:rPr>
          <w:rFonts w:ascii="Arial" w:hAnsi="Arial" w:cs="Arial"/>
          <w:lang w:val="en"/>
        </w:rPr>
        <w:t>cabotegravir</w:t>
      </w:r>
      <w:proofErr w:type="spellEnd"/>
      <w:r w:rsidRPr="00EC1C0B">
        <w:rPr>
          <w:rFonts w:ascii="Arial" w:hAnsi="Arial" w:cs="Arial"/>
          <w:lang w:val="en"/>
        </w:rPr>
        <w:t xml:space="preserve"> in the </w:t>
      </w:r>
      <w:proofErr w:type="spellStart"/>
      <w:r w:rsidRPr="00EC1C0B">
        <w:rPr>
          <w:rFonts w:ascii="Arial" w:hAnsi="Arial" w:cs="Arial"/>
          <w:lang w:val="en"/>
        </w:rPr>
        <w:t>faeces</w:t>
      </w:r>
      <w:proofErr w:type="spellEnd"/>
      <w:r w:rsidRPr="00EC1C0B">
        <w:rPr>
          <w:rFonts w:ascii="Arial" w:hAnsi="Arial" w:cs="Arial"/>
          <w:lang w:val="en"/>
        </w:rPr>
        <w:t>. It is unknown if all or part of this is due to unabsorbed drug or biliary excretion of the glucuronide conjugate, which can be further degraded to form the parent compound in the gut lumen. Cabotegravir was observed to be present in duodenal bile samples. The glucuronide metabolite was also present in some but not all of the duodenal bile samples. Twenty-seven percent of the total oral dose is excreted in the urine, primarily as a glucuronide metabolite (75% of urine radioactivity, 20% of total dose).</w:t>
      </w:r>
    </w:p>
    <w:p w14:paraId="0EF2F9AF" w14:textId="77777777" w:rsidR="00242D8F" w:rsidRPr="00373E85" w:rsidRDefault="00242D8F" w:rsidP="00242D8F">
      <w:pPr>
        <w:keepNext/>
        <w:tabs>
          <w:tab w:val="left" w:pos="720"/>
        </w:tabs>
        <w:spacing w:after="0"/>
        <w:rPr>
          <w:rFonts w:ascii="Arial" w:hAnsi="Arial" w:cs="Arial"/>
          <w:u w:val="single"/>
          <w:lang w:val="en"/>
        </w:rPr>
      </w:pPr>
      <w:r>
        <w:rPr>
          <w:rFonts w:ascii="Arial" w:hAnsi="Arial" w:cs="Arial"/>
          <w:u w:val="single"/>
          <w:lang w:val="en"/>
        </w:rPr>
        <w:t>Rilpivirine</w:t>
      </w:r>
    </w:p>
    <w:p w14:paraId="4B622359" w14:textId="07F094AD" w:rsidR="00242D8F" w:rsidRPr="00242D8F" w:rsidRDefault="00242D8F" w:rsidP="00242D8F">
      <w:pPr>
        <w:rPr>
          <w:rFonts w:ascii="Arial" w:eastAsia="MS Mincho" w:hAnsi="Arial" w:cs="Arial"/>
        </w:rPr>
      </w:pPr>
      <w:r w:rsidRPr="00AD7B12">
        <w:rPr>
          <w:rFonts w:ascii="Arial" w:eastAsia="MS Mincho" w:hAnsi="Arial" w:cs="Arial"/>
          <w:i/>
        </w:rPr>
        <w:t>In vitro</w:t>
      </w:r>
      <w:r w:rsidRPr="00AD7B12">
        <w:rPr>
          <w:rFonts w:ascii="Arial" w:eastAsia="MS Mincho" w:hAnsi="Arial" w:cs="Arial"/>
        </w:rPr>
        <w:t xml:space="preserve"> experiments indicate that rilpivirine primarily undergoes oxidative metabolism mediated by the cytochrome P450 (CYP) 3A system. </w:t>
      </w:r>
    </w:p>
    <w:p w14:paraId="5CC931D7" w14:textId="77777777" w:rsidR="001A3992" w:rsidRPr="00071855" w:rsidRDefault="001A3992" w:rsidP="008E26DE">
      <w:pPr>
        <w:pStyle w:val="Heading3"/>
        <w:keepNext w:val="0"/>
        <w:keepLines w:val="0"/>
        <w:pageBreakBefore/>
        <w:ind w:left="0"/>
        <w:rPr>
          <w:rFonts w:ascii="Arial" w:hAnsi="Arial" w:cs="Arial"/>
        </w:rPr>
      </w:pPr>
      <w:r w:rsidRPr="00071855">
        <w:rPr>
          <w:rFonts w:ascii="Arial" w:hAnsi="Arial" w:cs="Arial"/>
        </w:rPr>
        <w:lastRenderedPageBreak/>
        <w:t>Excretion</w:t>
      </w:r>
    </w:p>
    <w:p w14:paraId="777CE7AB" w14:textId="77777777" w:rsidR="00242D8F" w:rsidRPr="005054E4" w:rsidRDefault="00242D8F" w:rsidP="008E26DE">
      <w:pPr>
        <w:tabs>
          <w:tab w:val="left" w:pos="720"/>
        </w:tabs>
        <w:spacing w:after="0"/>
        <w:rPr>
          <w:rFonts w:ascii="Arial" w:hAnsi="Arial" w:cs="Arial"/>
          <w:u w:val="single"/>
          <w:lang w:val="en"/>
        </w:rPr>
      </w:pPr>
      <w:r w:rsidRPr="005054E4">
        <w:rPr>
          <w:rFonts w:ascii="Arial" w:hAnsi="Arial" w:cs="Arial"/>
          <w:u w:val="single"/>
          <w:lang w:val="en"/>
        </w:rPr>
        <w:t>Cabotegravir</w:t>
      </w:r>
    </w:p>
    <w:p w14:paraId="01633971" w14:textId="7403119F" w:rsidR="00373E85" w:rsidRDefault="00373E85" w:rsidP="008E26DE">
      <w:pPr>
        <w:tabs>
          <w:tab w:val="left" w:pos="720"/>
        </w:tabs>
        <w:rPr>
          <w:rFonts w:ascii="Arial" w:hAnsi="Arial" w:cs="Arial"/>
          <w:lang w:val="en"/>
        </w:rPr>
      </w:pPr>
      <w:r w:rsidRPr="00EC1C0B">
        <w:rPr>
          <w:rFonts w:ascii="Arial" w:hAnsi="Arial" w:cs="Arial"/>
          <w:lang w:val="en"/>
        </w:rPr>
        <w:t xml:space="preserve">Cabotegravir mean apparent terminal phase half-life is absorption-rate limited and is estimated to be 5.6 to 11.5 weeks after a single dose IM injection. The significantly longer apparent half-life compared to oral </w:t>
      </w:r>
      <w:r w:rsidR="00387F9E">
        <w:rPr>
          <w:rFonts w:ascii="Arial" w:hAnsi="Arial" w:cs="Arial"/>
          <w:lang w:val="en"/>
        </w:rPr>
        <w:t xml:space="preserve">administration </w:t>
      </w:r>
      <w:r w:rsidRPr="00EC1C0B">
        <w:rPr>
          <w:rFonts w:ascii="Arial" w:hAnsi="Arial" w:cs="Arial"/>
          <w:lang w:val="en"/>
        </w:rPr>
        <w:t xml:space="preserve">reflects </w:t>
      </w:r>
      <w:r w:rsidR="00243E3C">
        <w:rPr>
          <w:rFonts w:ascii="Arial" w:hAnsi="Arial" w:cs="Arial"/>
          <w:lang w:val="en"/>
        </w:rPr>
        <w:t>absorption</w:t>
      </w:r>
      <w:r w:rsidRPr="00EC1C0B">
        <w:rPr>
          <w:rFonts w:ascii="Arial" w:hAnsi="Arial" w:cs="Arial"/>
          <w:lang w:val="en"/>
        </w:rPr>
        <w:t xml:space="preserve"> from the </w:t>
      </w:r>
      <w:r w:rsidR="00243E3C">
        <w:rPr>
          <w:rFonts w:ascii="Arial" w:hAnsi="Arial" w:cs="Arial"/>
          <w:lang w:val="en"/>
        </w:rPr>
        <w:t>injection</w:t>
      </w:r>
      <w:r w:rsidRPr="00EC1C0B">
        <w:rPr>
          <w:rFonts w:ascii="Arial" w:hAnsi="Arial" w:cs="Arial"/>
          <w:lang w:val="en"/>
        </w:rPr>
        <w:t xml:space="preserve"> site </w:t>
      </w:r>
      <w:r w:rsidR="00243E3C">
        <w:rPr>
          <w:rFonts w:ascii="Arial" w:hAnsi="Arial" w:cs="Arial"/>
          <w:lang w:val="en"/>
        </w:rPr>
        <w:t xml:space="preserve">into the </w:t>
      </w:r>
      <w:r w:rsidRPr="00EC1C0B">
        <w:rPr>
          <w:rFonts w:ascii="Arial" w:hAnsi="Arial" w:cs="Arial"/>
          <w:lang w:val="en"/>
        </w:rPr>
        <w:t>systemic circulation. The apparent CL/F was 0.</w:t>
      </w:r>
      <w:r w:rsidR="00417380">
        <w:rPr>
          <w:rFonts w:ascii="Arial" w:hAnsi="Arial" w:cs="Arial"/>
          <w:lang w:val="en"/>
        </w:rPr>
        <w:t>151</w:t>
      </w:r>
      <w:r w:rsidRPr="00EC1C0B">
        <w:rPr>
          <w:rFonts w:ascii="Arial" w:hAnsi="Arial" w:cs="Arial"/>
          <w:lang w:val="en"/>
        </w:rPr>
        <w:t> L/h</w:t>
      </w:r>
      <w:r w:rsidR="00417380">
        <w:rPr>
          <w:rFonts w:ascii="Arial" w:hAnsi="Arial" w:cs="Arial"/>
          <w:lang w:val="en"/>
        </w:rPr>
        <w:t xml:space="preserve"> </w:t>
      </w:r>
      <w:r w:rsidR="00417380" w:rsidRPr="00417380">
        <w:rPr>
          <w:rFonts w:ascii="Arial" w:hAnsi="Arial" w:cs="Arial"/>
          <w:lang w:val="en"/>
        </w:rPr>
        <w:t>based on population pharmacokinetic analysis</w:t>
      </w:r>
      <w:r w:rsidRPr="00EC1C0B">
        <w:rPr>
          <w:rFonts w:ascii="Arial" w:hAnsi="Arial" w:cs="Arial"/>
          <w:lang w:val="en"/>
        </w:rPr>
        <w:t>.</w:t>
      </w:r>
    </w:p>
    <w:p w14:paraId="732A22A5" w14:textId="77777777" w:rsidR="00242D8F" w:rsidRPr="00373E85" w:rsidRDefault="00242D8F" w:rsidP="00242D8F">
      <w:pPr>
        <w:keepNext/>
        <w:tabs>
          <w:tab w:val="left" w:pos="720"/>
        </w:tabs>
        <w:spacing w:after="0"/>
        <w:rPr>
          <w:rFonts w:ascii="Arial" w:hAnsi="Arial" w:cs="Arial"/>
          <w:u w:val="single"/>
          <w:lang w:val="en"/>
        </w:rPr>
      </w:pPr>
      <w:r>
        <w:rPr>
          <w:rFonts w:ascii="Arial" w:hAnsi="Arial" w:cs="Arial"/>
          <w:u w:val="single"/>
          <w:lang w:val="en"/>
        </w:rPr>
        <w:t>Rilpivirine</w:t>
      </w:r>
    </w:p>
    <w:p w14:paraId="1369CD51" w14:textId="0D000FAE" w:rsidR="00242D8F" w:rsidRDefault="00242D8F" w:rsidP="00844836">
      <w:pPr>
        <w:rPr>
          <w:rFonts w:ascii="Arial" w:hAnsi="Arial" w:cs="Arial"/>
          <w:lang w:val="en"/>
        </w:rPr>
      </w:pPr>
      <w:r w:rsidRPr="00AD7B12">
        <w:rPr>
          <w:rFonts w:ascii="Arial" w:hAnsi="Arial" w:cs="Arial"/>
          <w:lang w:val="en-CA"/>
        </w:rPr>
        <w:t xml:space="preserve">The rilpivirine apparent terminal elimination half-life after IM injection is absorption-rate limited and estimated to be 13 to 28 weeks. The apparent plasma clearance (CL/F) of rilpivirine after IM administration was 5.08 L/h. After single-dose oral administration of </w:t>
      </w:r>
      <w:r w:rsidRPr="00242D8F">
        <w:rPr>
          <w:rFonts w:ascii="Arial" w:hAnsi="Arial" w:cs="Arial"/>
          <w:vertAlign w:val="superscript"/>
          <w:lang w:val="en-CA"/>
        </w:rPr>
        <w:t>14</w:t>
      </w:r>
      <w:r w:rsidRPr="00AD7B12">
        <w:rPr>
          <w:rFonts w:ascii="Arial" w:hAnsi="Arial" w:cs="Arial"/>
          <w:lang w:val="en-CA"/>
        </w:rPr>
        <w:t>C-rilpivirine, on average 85% and 6.1% of the radioactivity could be retrieved in f</w:t>
      </w:r>
      <w:r>
        <w:rPr>
          <w:rFonts w:ascii="Arial" w:hAnsi="Arial" w:cs="Arial"/>
          <w:lang w:val="en-CA"/>
        </w:rPr>
        <w:t>a</w:t>
      </w:r>
      <w:r w:rsidRPr="00AD7B12">
        <w:rPr>
          <w:rFonts w:ascii="Arial" w:hAnsi="Arial" w:cs="Arial"/>
          <w:lang w:val="en-CA"/>
        </w:rPr>
        <w:t>eces and urine, respectively. In f</w:t>
      </w:r>
      <w:r>
        <w:rPr>
          <w:rFonts w:ascii="Arial" w:hAnsi="Arial" w:cs="Arial"/>
          <w:lang w:val="en-CA"/>
        </w:rPr>
        <w:t>a</w:t>
      </w:r>
      <w:r w:rsidRPr="00AD7B12">
        <w:rPr>
          <w:rFonts w:ascii="Arial" w:hAnsi="Arial" w:cs="Arial"/>
          <w:lang w:val="en-CA"/>
        </w:rPr>
        <w:t>eces, unchanged rilpivirine accounted for on average 25% of the administered dose. Only trace amounts of unchanged rilpivirine (&lt; 1% of dose) were detected in urine.</w:t>
      </w:r>
    </w:p>
    <w:p w14:paraId="0C15C569" w14:textId="77777777" w:rsidR="003E7E6F" w:rsidRPr="003E7E6F" w:rsidRDefault="003E7E6F" w:rsidP="003E7E6F">
      <w:pPr>
        <w:pStyle w:val="Heading3"/>
        <w:ind w:left="0"/>
        <w:rPr>
          <w:rFonts w:ascii="Arial" w:hAnsi="Arial" w:cs="Arial"/>
        </w:rPr>
      </w:pPr>
      <w:r w:rsidRPr="003E7E6F">
        <w:rPr>
          <w:rFonts w:ascii="Arial" w:hAnsi="Arial" w:cs="Arial"/>
        </w:rPr>
        <w:t>Polymorphisms</w:t>
      </w:r>
    </w:p>
    <w:p w14:paraId="76073E27" w14:textId="7B1F044C" w:rsidR="003E7E6F" w:rsidRPr="003E7E6F" w:rsidRDefault="003E7E6F" w:rsidP="008E26DE">
      <w:pPr>
        <w:tabs>
          <w:tab w:val="left" w:pos="720"/>
        </w:tabs>
        <w:rPr>
          <w:rFonts w:ascii="Arial" w:hAnsi="Arial" w:cs="Arial"/>
          <w:lang w:val="en"/>
        </w:rPr>
      </w:pPr>
      <w:r w:rsidRPr="003E7E6F">
        <w:rPr>
          <w:rFonts w:ascii="Arial" w:hAnsi="Arial" w:cs="Arial"/>
          <w:lang w:val="en"/>
        </w:rPr>
        <w:t xml:space="preserve">In a meta-analysis of healthy and HIV-infected subject trials, HIV-infected subjects with UGT1A1 genotypes conferring poor cabotegravir metabolism had a 1.2-fold mean increase in steady-state </w:t>
      </w:r>
      <w:proofErr w:type="spellStart"/>
      <w:r w:rsidRPr="003E7E6F">
        <w:rPr>
          <w:rFonts w:ascii="Arial" w:hAnsi="Arial" w:cs="Arial"/>
          <w:lang w:val="en"/>
        </w:rPr>
        <w:t>cabotegravir</w:t>
      </w:r>
      <w:proofErr w:type="spellEnd"/>
      <w:r w:rsidRPr="003E7E6F">
        <w:rPr>
          <w:rFonts w:ascii="Arial" w:hAnsi="Arial" w:cs="Arial"/>
          <w:lang w:val="en"/>
        </w:rPr>
        <w:t xml:space="preserve"> AUC, </w:t>
      </w:r>
      <w:proofErr w:type="spellStart"/>
      <w:r w:rsidRPr="003E7E6F">
        <w:rPr>
          <w:rFonts w:ascii="Arial" w:hAnsi="Arial" w:cs="Arial"/>
          <w:lang w:val="en"/>
        </w:rPr>
        <w:t>C</w:t>
      </w:r>
      <w:r w:rsidRPr="003875C0">
        <w:rPr>
          <w:rFonts w:ascii="Arial" w:hAnsi="Arial" w:cs="Arial"/>
          <w:vertAlign w:val="subscript"/>
          <w:lang w:val="en"/>
        </w:rPr>
        <w:t>max</w:t>
      </w:r>
      <w:proofErr w:type="spellEnd"/>
      <w:r w:rsidRPr="003E7E6F">
        <w:rPr>
          <w:rFonts w:ascii="Arial" w:hAnsi="Arial" w:cs="Arial"/>
          <w:lang w:val="en"/>
        </w:rPr>
        <w:t xml:space="preserve">, and </w:t>
      </w:r>
      <w:proofErr w:type="spellStart"/>
      <w:r w:rsidRPr="003E7E6F">
        <w:rPr>
          <w:rFonts w:ascii="Arial" w:hAnsi="Arial" w:cs="Arial"/>
          <w:lang w:val="en"/>
        </w:rPr>
        <w:t>C</w:t>
      </w:r>
      <w:r w:rsidRPr="003875C0">
        <w:rPr>
          <w:rFonts w:ascii="Arial" w:hAnsi="Arial" w:cs="Arial"/>
          <w:vertAlign w:val="subscript"/>
          <w:lang w:val="en"/>
        </w:rPr>
        <w:t>tau</w:t>
      </w:r>
      <w:proofErr w:type="spellEnd"/>
      <w:r w:rsidRPr="003E7E6F">
        <w:rPr>
          <w:rFonts w:ascii="Arial" w:hAnsi="Arial" w:cs="Arial"/>
          <w:lang w:val="en"/>
        </w:rPr>
        <w:t xml:space="preserve"> following </w:t>
      </w:r>
      <w:r w:rsidR="003875C0">
        <w:rPr>
          <w:rFonts w:ascii="Arial" w:hAnsi="Arial" w:cs="Arial"/>
          <w:lang w:val="en"/>
        </w:rPr>
        <w:t>prolonged</w:t>
      </w:r>
      <w:r w:rsidR="00C001E0">
        <w:rPr>
          <w:rFonts w:ascii="Arial" w:hAnsi="Arial" w:cs="Arial"/>
          <w:lang w:val="en"/>
        </w:rPr>
        <w:t>-</w:t>
      </w:r>
      <w:r w:rsidR="003875C0">
        <w:rPr>
          <w:rFonts w:ascii="Arial" w:hAnsi="Arial" w:cs="Arial"/>
          <w:lang w:val="en"/>
        </w:rPr>
        <w:t>release</w:t>
      </w:r>
      <w:r w:rsidRPr="003E7E6F">
        <w:rPr>
          <w:rFonts w:ascii="Arial" w:hAnsi="Arial" w:cs="Arial"/>
          <w:lang w:val="en"/>
        </w:rPr>
        <w:t xml:space="preserve"> injection administration compared with subjects with genotypes associated with normal metabolism via UGT1A1. No dose adjustment is required in subjects with UGT1A1 polymorphisms</w:t>
      </w:r>
    </w:p>
    <w:p w14:paraId="0EE842E0" w14:textId="77777777" w:rsidR="003E7E6F" w:rsidRPr="003E7E6F" w:rsidRDefault="003E7E6F" w:rsidP="003E7E6F">
      <w:pPr>
        <w:pStyle w:val="Heading3"/>
        <w:ind w:left="0"/>
        <w:rPr>
          <w:rFonts w:ascii="Arial" w:hAnsi="Arial" w:cs="Arial"/>
        </w:rPr>
      </w:pPr>
      <w:bookmarkStart w:id="39" w:name="_Hlk6231521"/>
      <w:r w:rsidRPr="003E7E6F">
        <w:rPr>
          <w:rFonts w:ascii="Arial" w:hAnsi="Arial" w:cs="Arial"/>
        </w:rPr>
        <w:t>Special patient populations</w:t>
      </w:r>
    </w:p>
    <w:p w14:paraId="3BBED138" w14:textId="77777777" w:rsidR="00242D8F" w:rsidRDefault="003E7E6F" w:rsidP="003E7E6F">
      <w:pPr>
        <w:keepNext/>
        <w:tabs>
          <w:tab w:val="left" w:pos="720"/>
        </w:tabs>
        <w:rPr>
          <w:rFonts w:ascii="Arial" w:hAnsi="Arial" w:cs="Arial"/>
          <w:lang w:val="en"/>
        </w:rPr>
      </w:pPr>
      <w:r w:rsidRPr="003E7E6F">
        <w:rPr>
          <w:rFonts w:ascii="Arial" w:hAnsi="Arial" w:cs="Arial"/>
          <w:u w:val="single"/>
          <w:lang w:val="en"/>
        </w:rPr>
        <w:t>Gender</w:t>
      </w:r>
      <w:r w:rsidRPr="003E7E6F">
        <w:rPr>
          <w:rFonts w:ascii="Arial" w:hAnsi="Arial" w:cs="Arial"/>
          <w:u w:val="single"/>
          <w:lang w:val="en"/>
        </w:rPr>
        <w:br/>
      </w:r>
      <w:r w:rsidRPr="003E7E6F">
        <w:rPr>
          <w:rFonts w:ascii="Arial" w:hAnsi="Arial" w:cs="Arial"/>
          <w:lang w:val="en"/>
        </w:rPr>
        <w:t>Population pharmacokinetic analyses revealed no clinically relevant effect of gender on the exposure of cabotegravir</w:t>
      </w:r>
      <w:r w:rsidR="00242D8F">
        <w:rPr>
          <w:rFonts w:ascii="Arial" w:hAnsi="Arial" w:cs="Arial"/>
          <w:lang w:val="en"/>
        </w:rPr>
        <w:t xml:space="preserve"> or rilpivirine</w:t>
      </w:r>
      <w:r w:rsidRPr="003E7E6F">
        <w:rPr>
          <w:rFonts w:ascii="Arial" w:hAnsi="Arial" w:cs="Arial"/>
          <w:lang w:val="en"/>
        </w:rPr>
        <w:t xml:space="preserve">, therefore no dose adjustment is required on the basis of gender. </w:t>
      </w:r>
    </w:p>
    <w:p w14:paraId="2CD29294" w14:textId="77777777" w:rsidR="003E7E6F" w:rsidRPr="003E7E6F" w:rsidRDefault="003E7E6F" w:rsidP="003E7E6F">
      <w:pPr>
        <w:keepNext/>
        <w:tabs>
          <w:tab w:val="left" w:pos="720"/>
        </w:tabs>
        <w:spacing w:after="0"/>
        <w:rPr>
          <w:rFonts w:ascii="Arial" w:hAnsi="Arial" w:cs="Arial"/>
          <w:u w:val="single"/>
          <w:lang w:val="en"/>
        </w:rPr>
      </w:pPr>
      <w:r w:rsidRPr="003E7E6F">
        <w:rPr>
          <w:rFonts w:ascii="Arial" w:hAnsi="Arial" w:cs="Arial"/>
          <w:u w:val="single"/>
          <w:lang w:val="en"/>
        </w:rPr>
        <w:t>Race</w:t>
      </w:r>
    </w:p>
    <w:p w14:paraId="3C65973E" w14:textId="787EC5F1" w:rsidR="003E7E6F" w:rsidRPr="003E7E6F" w:rsidRDefault="003E7E6F" w:rsidP="003E7E6F">
      <w:pPr>
        <w:keepNext/>
        <w:tabs>
          <w:tab w:val="left" w:pos="720"/>
        </w:tabs>
        <w:rPr>
          <w:rFonts w:ascii="Arial" w:hAnsi="Arial" w:cs="Arial"/>
          <w:lang w:val="en"/>
        </w:rPr>
      </w:pPr>
      <w:r w:rsidRPr="003E7E6F">
        <w:rPr>
          <w:rFonts w:ascii="Arial" w:hAnsi="Arial" w:cs="Arial"/>
          <w:lang w:val="en"/>
        </w:rPr>
        <w:t>Population pharmacokinetic analyses revealed no clinically relevant effect of race on the exposure of cabotegravir</w:t>
      </w:r>
      <w:r w:rsidR="00632655">
        <w:rPr>
          <w:rFonts w:ascii="Arial" w:hAnsi="Arial" w:cs="Arial"/>
          <w:lang w:val="en"/>
        </w:rPr>
        <w:t xml:space="preserve"> or rilpivirine</w:t>
      </w:r>
      <w:r w:rsidRPr="003E7E6F">
        <w:rPr>
          <w:rFonts w:ascii="Arial" w:hAnsi="Arial" w:cs="Arial"/>
          <w:lang w:val="en"/>
        </w:rPr>
        <w:t>, therefore no dosage adjustment is required on the basis of race.</w:t>
      </w:r>
    </w:p>
    <w:p w14:paraId="51745C2E" w14:textId="19CC3410" w:rsidR="003E7E6F" w:rsidRPr="003E7E6F" w:rsidRDefault="003E7E6F" w:rsidP="003E7E6F">
      <w:pPr>
        <w:keepNext/>
        <w:tabs>
          <w:tab w:val="left" w:pos="720"/>
        </w:tabs>
        <w:rPr>
          <w:rFonts w:ascii="Arial" w:hAnsi="Arial" w:cs="Arial"/>
          <w:lang w:val="en"/>
        </w:rPr>
      </w:pPr>
      <w:r w:rsidRPr="003E7E6F">
        <w:rPr>
          <w:rFonts w:ascii="Arial" w:hAnsi="Arial" w:cs="Arial"/>
          <w:u w:val="single"/>
          <w:lang w:val="en"/>
        </w:rPr>
        <w:t xml:space="preserve">Body Mass Index (BMI) </w:t>
      </w:r>
      <w:r w:rsidRPr="003E7E6F">
        <w:rPr>
          <w:rFonts w:ascii="Arial" w:hAnsi="Arial" w:cs="Arial"/>
          <w:u w:val="single"/>
          <w:lang w:val="en"/>
        </w:rPr>
        <w:br/>
      </w:r>
      <w:r w:rsidRPr="003E7E6F">
        <w:rPr>
          <w:rFonts w:ascii="Arial" w:hAnsi="Arial" w:cs="Arial"/>
          <w:lang w:val="en"/>
        </w:rPr>
        <w:t>Population pharmacokinetic analyses revealed no clinically relevant effect of BMI on the exposure of cabotegravir</w:t>
      </w:r>
      <w:r w:rsidR="00632655">
        <w:rPr>
          <w:rFonts w:ascii="Arial" w:hAnsi="Arial" w:cs="Arial"/>
          <w:lang w:val="en"/>
        </w:rPr>
        <w:t xml:space="preserve"> or rilpivirine</w:t>
      </w:r>
      <w:r w:rsidRPr="003E7E6F">
        <w:rPr>
          <w:rFonts w:ascii="Arial" w:hAnsi="Arial" w:cs="Arial"/>
          <w:lang w:val="en"/>
        </w:rPr>
        <w:t>, therefore no dose adjustment is required on the basis of BMI.</w:t>
      </w:r>
    </w:p>
    <w:p w14:paraId="6070ED64" w14:textId="6E2C19DE" w:rsidR="003E7E6F" w:rsidRPr="003E7E6F" w:rsidRDefault="003E7E6F" w:rsidP="003E7E6F">
      <w:pPr>
        <w:keepNext/>
        <w:tabs>
          <w:tab w:val="left" w:pos="720"/>
        </w:tabs>
        <w:rPr>
          <w:rFonts w:ascii="Arial" w:hAnsi="Arial" w:cs="Arial"/>
          <w:lang w:val="en"/>
        </w:rPr>
      </w:pPr>
      <w:r w:rsidRPr="003E7E6F">
        <w:rPr>
          <w:rFonts w:ascii="Arial" w:hAnsi="Arial" w:cs="Arial"/>
          <w:u w:val="single"/>
          <w:lang w:val="en"/>
        </w:rPr>
        <w:t>Elderly</w:t>
      </w:r>
      <w:r w:rsidRPr="003E7E6F">
        <w:rPr>
          <w:rFonts w:ascii="Arial" w:hAnsi="Arial" w:cs="Arial"/>
          <w:u w:val="single"/>
          <w:lang w:val="en"/>
        </w:rPr>
        <w:br/>
      </w:r>
      <w:r w:rsidRPr="003E7E6F">
        <w:rPr>
          <w:rFonts w:ascii="Arial" w:hAnsi="Arial" w:cs="Arial"/>
          <w:lang w:val="en"/>
        </w:rPr>
        <w:t>Population pharmacokinetic analysis of cabotegravir revealed no clinically relevant effect of age on cabotegravir</w:t>
      </w:r>
      <w:r w:rsidR="00632655">
        <w:rPr>
          <w:rFonts w:ascii="Arial" w:hAnsi="Arial" w:cs="Arial"/>
          <w:lang w:val="en"/>
        </w:rPr>
        <w:t xml:space="preserve"> or rilpivirine</w:t>
      </w:r>
      <w:r w:rsidRPr="003E7E6F">
        <w:rPr>
          <w:rFonts w:ascii="Arial" w:hAnsi="Arial" w:cs="Arial"/>
          <w:lang w:val="en"/>
        </w:rPr>
        <w:t xml:space="preserve"> exposure. Pharmacokinetic data for cabotegravir</w:t>
      </w:r>
      <w:r w:rsidR="00632655">
        <w:rPr>
          <w:rFonts w:ascii="Arial" w:hAnsi="Arial" w:cs="Arial"/>
          <w:lang w:val="en"/>
        </w:rPr>
        <w:t xml:space="preserve"> and rilpivirine</w:t>
      </w:r>
      <w:r w:rsidRPr="003E7E6F">
        <w:rPr>
          <w:rFonts w:ascii="Arial" w:hAnsi="Arial" w:cs="Arial"/>
          <w:lang w:val="en"/>
        </w:rPr>
        <w:t xml:space="preserve"> in subjects of &gt;65 years old are limited.</w:t>
      </w:r>
    </w:p>
    <w:p w14:paraId="04F2641E" w14:textId="16AFEB27" w:rsidR="003E7E6F" w:rsidRDefault="003E7E6F" w:rsidP="003E7E6F">
      <w:pPr>
        <w:keepNext/>
        <w:tabs>
          <w:tab w:val="left" w:pos="720"/>
        </w:tabs>
        <w:rPr>
          <w:rFonts w:ascii="Arial" w:hAnsi="Arial" w:cs="Arial"/>
          <w:lang w:val="en"/>
        </w:rPr>
      </w:pPr>
      <w:r w:rsidRPr="003E7E6F">
        <w:rPr>
          <w:rFonts w:ascii="Arial" w:hAnsi="Arial" w:cs="Arial"/>
          <w:u w:val="single"/>
          <w:lang w:val="en"/>
        </w:rPr>
        <w:t>Renal impairment</w:t>
      </w:r>
      <w:r w:rsidRPr="003E7E6F">
        <w:rPr>
          <w:rFonts w:ascii="Arial" w:hAnsi="Arial" w:cs="Arial"/>
          <w:u w:val="single"/>
          <w:lang w:val="en"/>
        </w:rPr>
        <w:br/>
      </w:r>
      <w:r w:rsidR="00632655" w:rsidRPr="00632655">
        <w:rPr>
          <w:rFonts w:ascii="Arial" w:hAnsi="Arial" w:cs="Arial"/>
          <w:i/>
          <w:lang w:val="en"/>
        </w:rPr>
        <w:t>Cabotegravir</w:t>
      </w:r>
      <w:r w:rsidR="00632655">
        <w:rPr>
          <w:rFonts w:ascii="Arial" w:hAnsi="Arial" w:cs="Arial"/>
          <w:lang w:val="en"/>
        </w:rPr>
        <w:t xml:space="preserve">: </w:t>
      </w:r>
      <w:r w:rsidRPr="003E7E6F">
        <w:rPr>
          <w:rFonts w:ascii="Arial" w:hAnsi="Arial" w:cs="Arial"/>
          <w:lang w:val="en"/>
        </w:rPr>
        <w:t xml:space="preserve">No clinically important pharmacokinetic differences between subjects with </w:t>
      </w:r>
      <w:r w:rsidRPr="003E7E6F">
        <w:rPr>
          <w:rFonts w:ascii="Arial" w:hAnsi="Arial" w:cs="Arial"/>
          <w:lang w:val="en"/>
        </w:rPr>
        <w:lastRenderedPageBreak/>
        <w:t>severe renal impairment (</w:t>
      </w:r>
      <w:proofErr w:type="spellStart"/>
      <w:r w:rsidRPr="003E7E6F">
        <w:rPr>
          <w:rFonts w:ascii="Arial" w:hAnsi="Arial" w:cs="Arial"/>
          <w:lang w:val="en"/>
        </w:rPr>
        <w:t>CrCL</w:t>
      </w:r>
      <w:proofErr w:type="spellEnd"/>
      <w:r w:rsidRPr="003E7E6F">
        <w:rPr>
          <w:rFonts w:ascii="Arial" w:hAnsi="Arial" w:cs="Arial"/>
          <w:lang w:val="en"/>
        </w:rPr>
        <w:t xml:space="preserve"> &lt;30 mL/min and not on dialysis) and matching healthy subjects were observed. No dosage adjustment is necessary for patients with mild to severe renal impairment (not on dialysis). Cabotegravir has not been studied in patients on dialysis.</w:t>
      </w:r>
    </w:p>
    <w:p w14:paraId="75DCF701" w14:textId="29EB6230" w:rsidR="00632655" w:rsidRPr="00632655" w:rsidRDefault="00632655" w:rsidP="00632655">
      <w:pPr>
        <w:tabs>
          <w:tab w:val="left" w:pos="720"/>
        </w:tabs>
        <w:rPr>
          <w:rFonts w:ascii="Arial" w:hAnsi="Arial" w:cs="Arial"/>
          <w:lang w:val="en"/>
        </w:rPr>
      </w:pPr>
      <w:r w:rsidRPr="00632655">
        <w:rPr>
          <w:rFonts w:ascii="Arial" w:hAnsi="Arial" w:cs="Arial"/>
          <w:i/>
          <w:lang w:val="en"/>
        </w:rPr>
        <w:t xml:space="preserve">Rilpivirine: </w:t>
      </w:r>
      <w:r w:rsidRPr="00632655">
        <w:rPr>
          <w:rFonts w:ascii="Arial" w:hAnsi="Arial" w:cs="Arial"/>
          <w:lang w:val="en"/>
        </w:rPr>
        <w:t xml:space="preserve">The pharmacokinetics of rilpivirine have not been studied in patients with renal insufficiency. Renal elimination of rilpivirine is negligible. Therefore, the impact of renal impairment on rilpivirine elimination is expected to be minimal. As rilpivirine is highly bound to plasma proteins, it is unlikely that it will be significantly removed by </w:t>
      </w:r>
      <w:proofErr w:type="spellStart"/>
      <w:r w:rsidRPr="00632655">
        <w:rPr>
          <w:rFonts w:ascii="Arial" w:hAnsi="Arial" w:cs="Arial"/>
          <w:lang w:val="en"/>
        </w:rPr>
        <w:t>haemodialysis</w:t>
      </w:r>
      <w:proofErr w:type="spellEnd"/>
      <w:r w:rsidRPr="00632655">
        <w:rPr>
          <w:rFonts w:ascii="Arial" w:hAnsi="Arial" w:cs="Arial"/>
          <w:lang w:val="en"/>
        </w:rPr>
        <w:t xml:space="preserve"> or peritoneal dialysis. </w:t>
      </w:r>
    </w:p>
    <w:p w14:paraId="71B10E1C" w14:textId="6EC854D7" w:rsidR="003E7E6F" w:rsidRDefault="003E7E6F" w:rsidP="003E7E6F">
      <w:pPr>
        <w:keepNext/>
        <w:tabs>
          <w:tab w:val="left" w:pos="720"/>
        </w:tabs>
        <w:rPr>
          <w:rFonts w:ascii="Arial" w:hAnsi="Arial" w:cs="Arial"/>
          <w:lang w:val="en"/>
        </w:rPr>
      </w:pPr>
      <w:r w:rsidRPr="003E7E6F">
        <w:rPr>
          <w:rFonts w:ascii="Arial" w:hAnsi="Arial" w:cs="Arial"/>
          <w:u w:val="single"/>
          <w:lang w:val="en"/>
        </w:rPr>
        <w:t>Hepatic impairment</w:t>
      </w:r>
      <w:r w:rsidRPr="003E7E6F">
        <w:rPr>
          <w:rFonts w:ascii="Arial" w:hAnsi="Arial" w:cs="Arial"/>
          <w:u w:val="single"/>
          <w:lang w:val="en"/>
        </w:rPr>
        <w:br/>
      </w:r>
      <w:r w:rsidR="005E4124" w:rsidRPr="00632655">
        <w:rPr>
          <w:rFonts w:ascii="Arial" w:hAnsi="Arial" w:cs="Arial"/>
          <w:i/>
          <w:lang w:val="en"/>
        </w:rPr>
        <w:t>Cabotegravir</w:t>
      </w:r>
      <w:r w:rsidR="005E4124">
        <w:rPr>
          <w:rFonts w:ascii="Arial" w:hAnsi="Arial" w:cs="Arial"/>
          <w:lang w:val="en"/>
        </w:rPr>
        <w:t xml:space="preserve">: </w:t>
      </w:r>
      <w:r w:rsidRPr="003E7E6F">
        <w:rPr>
          <w:rFonts w:ascii="Arial" w:hAnsi="Arial" w:cs="Arial"/>
          <w:lang w:val="en"/>
        </w:rPr>
        <w:t>No clinically important pharmacokinetic differences between subjects with moderate hepatic impairment and matching healthy subjects were observed. No dosage adjustment is necessary for patients with mild to moderate hepatic impairment (Child-Pugh Score A or B). The effect of severe hepatic impairment (Child-Pugh Score C) on the pharmacokinetics of cabotegravir has not been studied.</w:t>
      </w:r>
    </w:p>
    <w:p w14:paraId="1B5A5681" w14:textId="0C8D7F26" w:rsidR="005E4124" w:rsidRPr="003E7E6F" w:rsidRDefault="005E4124" w:rsidP="005E4124">
      <w:pPr>
        <w:rPr>
          <w:rFonts w:ascii="Arial" w:hAnsi="Arial" w:cs="Arial"/>
          <w:lang w:val="en"/>
        </w:rPr>
      </w:pPr>
      <w:proofErr w:type="spellStart"/>
      <w:r w:rsidRPr="00632655">
        <w:rPr>
          <w:rFonts w:ascii="Arial" w:hAnsi="Arial" w:cs="Arial"/>
          <w:i/>
          <w:lang w:val="en"/>
        </w:rPr>
        <w:t>Rilpivirine</w:t>
      </w:r>
      <w:proofErr w:type="spellEnd"/>
      <w:r w:rsidRPr="005E4124">
        <w:rPr>
          <w:rFonts w:ascii="Arial" w:hAnsi="Arial" w:cs="Arial"/>
          <w:lang w:val="en"/>
        </w:rPr>
        <w:t xml:space="preserve">: </w:t>
      </w:r>
      <w:proofErr w:type="spellStart"/>
      <w:r>
        <w:rPr>
          <w:rFonts w:ascii="Arial" w:hAnsi="Arial" w:cs="Arial"/>
          <w:lang w:val="en"/>
        </w:rPr>
        <w:t>R</w:t>
      </w:r>
      <w:r w:rsidRPr="005E4124">
        <w:rPr>
          <w:rFonts w:ascii="Arial" w:hAnsi="Arial" w:cs="Arial"/>
          <w:lang w:val="en"/>
        </w:rPr>
        <w:t>ilpivirine</w:t>
      </w:r>
      <w:proofErr w:type="spellEnd"/>
      <w:r w:rsidRPr="005E4124">
        <w:rPr>
          <w:rFonts w:ascii="Arial" w:hAnsi="Arial" w:cs="Arial"/>
          <w:lang w:val="en"/>
        </w:rPr>
        <w:t xml:space="preserve"> </w:t>
      </w:r>
      <w:r>
        <w:rPr>
          <w:rFonts w:ascii="Arial" w:hAnsi="Arial" w:cs="Arial"/>
          <w:lang w:val="en"/>
        </w:rPr>
        <w:t>is</w:t>
      </w:r>
      <w:r w:rsidRPr="005E4124">
        <w:rPr>
          <w:rFonts w:ascii="Arial" w:hAnsi="Arial" w:cs="Arial"/>
          <w:lang w:val="en"/>
        </w:rPr>
        <w:t xml:space="preserve"> primarily </w:t>
      </w:r>
      <w:proofErr w:type="spellStart"/>
      <w:r w:rsidRPr="005E4124">
        <w:rPr>
          <w:rFonts w:ascii="Arial" w:hAnsi="Arial" w:cs="Arial"/>
          <w:lang w:val="en"/>
        </w:rPr>
        <w:t>metabolised</w:t>
      </w:r>
      <w:proofErr w:type="spellEnd"/>
      <w:r w:rsidRPr="005E4124">
        <w:rPr>
          <w:rFonts w:ascii="Arial" w:hAnsi="Arial" w:cs="Arial"/>
          <w:lang w:val="en"/>
        </w:rPr>
        <w:t xml:space="preserve"> and eliminated by the liver</w:t>
      </w:r>
      <w:r>
        <w:rPr>
          <w:rFonts w:ascii="Arial" w:hAnsi="Arial" w:cs="Arial"/>
          <w:lang w:val="en"/>
        </w:rPr>
        <w:t>.</w:t>
      </w:r>
      <w:r w:rsidRPr="005E4124">
        <w:rPr>
          <w:rFonts w:ascii="Arial" w:hAnsi="Arial" w:cs="Arial"/>
          <w:lang w:val="en"/>
        </w:rPr>
        <w:t xml:space="preserve"> In a study comparing 8 patients with mild hepatic impairment (Child-Pugh score A) to 8 matched controls, and 8 patients with moderate hepatic impairment (Child-Pugh score B) to 8 matched controls, the multiple dose exposure of rilpivirine was 47% higher in patients with mild hepatic impairment and 5% higher in patients with moderate hepatic impairment. </w:t>
      </w:r>
      <w:r w:rsidRPr="003E7E6F">
        <w:rPr>
          <w:rFonts w:ascii="Arial" w:hAnsi="Arial" w:cs="Arial"/>
          <w:lang w:val="en"/>
        </w:rPr>
        <w:t xml:space="preserve">The effect of severe hepatic impairment (Child-Pugh Score C) on the pharmacokinetics of </w:t>
      </w:r>
      <w:r>
        <w:rPr>
          <w:rFonts w:ascii="Arial" w:hAnsi="Arial" w:cs="Arial"/>
          <w:lang w:val="en"/>
        </w:rPr>
        <w:t>rilpivirine</w:t>
      </w:r>
      <w:r w:rsidRPr="003E7E6F">
        <w:rPr>
          <w:rFonts w:ascii="Arial" w:hAnsi="Arial" w:cs="Arial"/>
          <w:lang w:val="en"/>
        </w:rPr>
        <w:t xml:space="preserve"> has not been studied.</w:t>
      </w:r>
    </w:p>
    <w:p w14:paraId="7AA3E02D" w14:textId="327CB1D4" w:rsidR="00F20E8A" w:rsidRPr="005144F6" w:rsidRDefault="003E7E6F" w:rsidP="00F20E8A">
      <w:pPr>
        <w:spacing w:before="60"/>
        <w:rPr>
          <w:rFonts w:ascii="Times New Roman" w:hAnsi="Times New Roman" w:cs="Times New Roman"/>
          <w:i/>
          <w:iCs/>
          <w:color w:val="000000"/>
        </w:rPr>
      </w:pPr>
      <w:r w:rsidRPr="003E7E6F">
        <w:rPr>
          <w:rFonts w:ascii="Arial" w:hAnsi="Arial" w:cs="Arial"/>
          <w:u w:val="single"/>
          <w:lang w:val="en"/>
        </w:rPr>
        <w:t>HBV/HCV Co-infected Patients</w:t>
      </w:r>
    </w:p>
    <w:p w14:paraId="2A8365E7" w14:textId="0298C62C" w:rsidR="005E4124" w:rsidRPr="005E4124" w:rsidRDefault="00F20E8A" w:rsidP="00B20EC9">
      <w:pPr>
        <w:spacing w:before="60"/>
        <w:rPr>
          <w:rFonts w:ascii="Arial" w:hAnsi="Arial" w:cs="Arial"/>
          <w:lang w:val="en"/>
        </w:rPr>
      </w:pPr>
      <w:r w:rsidRPr="00F20E8A">
        <w:rPr>
          <w:rFonts w:ascii="Arial" w:hAnsi="Arial" w:cs="Arial"/>
          <w:lang w:val="en"/>
        </w:rPr>
        <w:t>Cabotegravir plus rilpivirine has not been studied in patients with hepatitis B co-infection. There is limited experience in patients with hepatitis C coinfection without evidence of advanced liver disease receiving cabotegravir and rilpivirine.</w:t>
      </w:r>
      <w:bookmarkEnd w:id="39"/>
      <w:r w:rsidR="005E4124" w:rsidRPr="005E4124">
        <w:rPr>
          <w:rFonts w:ascii="Arial" w:hAnsi="Arial" w:cs="Arial"/>
          <w:lang w:val="en"/>
        </w:rPr>
        <w:t xml:space="preserve"> </w:t>
      </w:r>
    </w:p>
    <w:p w14:paraId="20797637" w14:textId="77777777" w:rsidR="001A3992" w:rsidRPr="00071855" w:rsidRDefault="00071855" w:rsidP="00923029">
      <w:pPr>
        <w:pStyle w:val="Heading2"/>
        <w:numPr>
          <w:ilvl w:val="1"/>
          <w:numId w:val="35"/>
        </w:numPr>
        <w:spacing w:before="0" w:after="120"/>
        <w:rPr>
          <w:rFonts w:ascii="Arial" w:hAnsi="Arial" w:cs="Arial"/>
          <w:smallCaps w:val="0"/>
        </w:rPr>
      </w:pPr>
      <w:r w:rsidRPr="00071855">
        <w:rPr>
          <w:rFonts w:ascii="Arial" w:hAnsi="Arial" w:cs="Arial"/>
          <w:smallCaps w:val="0"/>
        </w:rPr>
        <w:t>PRECLINICAL SAFETY DATA</w:t>
      </w:r>
    </w:p>
    <w:p w14:paraId="6EB8CD48" w14:textId="77777777" w:rsidR="001A3992" w:rsidRPr="00071855" w:rsidRDefault="001A3992" w:rsidP="00D65787">
      <w:pPr>
        <w:pStyle w:val="Heading3"/>
        <w:ind w:left="0"/>
        <w:rPr>
          <w:rFonts w:ascii="Arial" w:hAnsi="Arial" w:cs="Arial"/>
        </w:rPr>
      </w:pPr>
      <w:r w:rsidRPr="00071855">
        <w:rPr>
          <w:rFonts w:ascii="Arial" w:hAnsi="Arial" w:cs="Arial"/>
        </w:rPr>
        <w:t>Genotoxicity</w:t>
      </w:r>
    </w:p>
    <w:p w14:paraId="4A4D97F5" w14:textId="7B53E72B" w:rsidR="0066460B" w:rsidRDefault="0066460B" w:rsidP="008E26DE">
      <w:pPr>
        <w:tabs>
          <w:tab w:val="left" w:pos="720"/>
        </w:tabs>
        <w:rPr>
          <w:rFonts w:ascii="Arial" w:hAnsi="Arial" w:cs="Arial"/>
          <w:lang w:val="en"/>
        </w:rPr>
      </w:pPr>
      <w:r w:rsidRPr="0066460B">
        <w:rPr>
          <w:rFonts w:ascii="Arial" w:hAnsi="Arial" w:cs="Arial"/>
          <w:lang w:val="en"/>
        </w:rPr>
        <w:t xml:space="preserve">Cabotegravir was not mutagenic or clastogenic using </w:t>
      </w:r>
      <w:r w:rsidRPr="00BB0170">
        <w:rPr>
          <w:rFonts w:ascii="Arial" w:hAnsi="Arial" w:cs="Arial"/>
          <w:i/>
          <w:lang w:val="en"/>
        </w:rPr>
        <w:t>in vitro</w:t>
      </w:r>
      <w:r w:rsidRPr="0066460B">
        <w:rPr>
          <w:rFonts w:ascii="Arial" w:hAnsi="Arial" w:cs="Arial"/>
          <w:lang w:val="en"/>
        </w:rPr>
        <w:t xml:space="preserve"> tests in bacteria and cultured mammalian cells, and an </w:t>
      </w:r>
      <w:r w:rsidRPr="00BB0170">
        <w:rPr>
          <w:rFonts w:ascii="Arial" w:hAnsi="Arial" w:cs="Arial"/>
          <w:i/>
          <w:lang w:val="en"/>
        </w:rPr>
        <w:t>in vivo</w:t>
      </w:r>
      <w:r w:rsidRPr="0066460B">
        <w:rPr>
          <w:rFonts w:ascii="Arial" w:hAnsi="Arial" w:cs="Arial"/>
          <w:lang w:val="en"/>
        </w:rPr>
        <w:t xml:space="preserve"> rodent micronucleus assay</w:t>
      </w:r>
      <w:r>
        <w:rPr>
          <w:rFonts w:ascii="Arial" w:hAnsi="Arial" w:cs="Arial"/>
          <w:lang w:val="en"/>
        </w:rPr>
        <w:t>.</w:t>
      </w:r>
      <w:r w:rsidRPr="0066460B">
        <w:rPr>
          <w:rFonts w:ascii="Arial" w:hAnsi="Arial" w:cs="Arial"/>
          <w:lang w:val="en"/>
        </w:rPr>
        <w:t xml:space="preserve"> </w:t>
      </w:r>
    </w:p>
    <w:p w14:paraId="5CD85900" w14:textId="677AA132" w:rsidR="000B19E6" w:rsidRDefault="000B19E6" w:rsidP="008E26DE">
      <w:pPr>
        <w:tabs>
          <w:tab w:val="left" w:pos="720"/>
        </w:tabs>
        <w:rPr>
          <w:rFonts w:ascii="Arial" w:hAnsi="Arial" w:cs="Arial"/>
          <w:lang w:val="en"/>
        </w:rPr>
      </w:pPr>
      <w:r w:rsidRPr="000B19E6">
        <w:rPr>
          <w:rFonts w:ascii="Arial" w:hAnsi="Arial" w:cs="Arial"/>
          <w:lang w:val="en"/>
        </w:rPr>
        <w:t xml:space="preserve">Rilpivirine has tested negative in the in vitro Ames reverse mutation assay, in vitro chromosomal aberration assay in human lymphocyte and in vitro </w:t>
      </w:r>
      <w:proofErr w:type="spellStart"/>
      <w:r w:rsidRPr="000B19E6">
        <w:rPr>
          <w:rFonts w:ascii="Arial" w:hAnsi="Arial" w:cs="Arial"/>
          <w:lang w:val="en"/>
        </w:rPr>
        <w:t>clastogenicity</w:t>
      </w:r>
      <w:proofErr w:type="spellEnd"/>
      <w:r w:rsidRPr="000B19E6">
        <w:rPr>
          <w:rFonts w:ascii="Arial" w:hAnsi="Arial" w:cs="Arial"/>
          <w:lang w:val="en"/>
        </w:rPr>
        <w:t xml:space="preserve"> mouse lymphoma assay, tested in the absence and presence of a metabolic activation system. Rilpivirine did not induce chromosomal damage in the in vivo micronucleus test in mice.</w:t>
      </w:r>
    </w:p>
    <w:p w14:paraId="4969D1FC" w14:textId="26C80C32" w:rsidR="001A3992" w:rsidRDefault="001A3992" w:rsidP="008E26DE">
      <w:pPr>
        <w:pStyle w:val="Heading3"/>
        <w:keepNext w:val="0"/>
        <w:keepLines w:val="0"/>
        <w:pageBreakBefore/>
        <w:ind w:left="0"/>
        <w:rPr>
          <w:rFonts w:ascii="Arial" w:hAnsi="Arial" w:cs="Arial"/>
        </w:rPr>
      </w:pPr>
      <w:r w:rsidRPr="0066460B">
        <w:rPr>
          <w:rFonts w:ascii="Arial" w:hAnsi="Arial" w:cs="Arial"/>
        </w:rPr>
        <w:lastRenderedPageBreak/>
        <w:t>Carcinogenicity</w:t>
      </w:r>
    </w:p>
    <w:p w14:paraId="638896DB" w14:textId="39F749B8" w:rsidR="0066460B" w:rsidRDefault="0066460B" w:rsidP="008E26DE">
      <w:pPr>
        <w:tabs>
          <w:tab w:val="left" w:pos="720"/>
        </w:tabs>
        <w:rPr>
          <w:rFonts w:ascii="Arial" w:hAnsi="Arial" w:cs="Arial"/>
          <w:lang w:val="en"/>
        </w:rPr>
      </w:pPr>
      <w:r w:rsidRPr="0066460B">
        <w:rPr>
          <w:rFonts w:ascii="Arial" w:hAnsi="Arial" w:cs="Arial"/>
          <w:lang w:val="en"/>
        </w:rPr>
        <w:t>Cabotegravir was not carcinogenic in long term</w:t>
      </w:r>
      <w:r w:rsidR="000B19E6">
        <w:rPr>
          <w:rFonts w:ascii="Arial" w:hAnsi="Arial" w:cs="Arial"/>
          <w:lang w:val="en"/>
        </w:rPr>
        <w:t xml:space="preserve"> oral</w:t>
      </w:r>
      <w:r w:rsidRPr="0066460B">
        <w:rPr>
          <w:rFonts w:ascii="Arial" w:hAnsi="Arial" w:cs="Arial"/>
          <w:lang w:val="en"/>
        </w:rPr>
        <w:t xml:space="preserve"> studies in the mouse and rat</w:t>
      </w:r>
      <w:r w:rsidR="000B19E6" w:rsidRPr="000B19E6">
        <w:rPr>
          <w:rFonts w:ascii="Arial" w:hAnsi="Arial" w:cs="Arial"/>
          <w:lang w:val="en"/>
        </w:rPr>
        <w:t xml:space="preserve"> </w:t>
      </w:r>
      <w:r w:rsidR="000B19E6" w:rsidRPr="009F2A74">
        <w:rPr>
          <w:rFonts w:ascii="Arial" w:hAnsi="Arial" w:cs="Arial"/>
          <w:lang w:val="en"/>
        </w:rPr>
        <w:t>at doses resulting in up to 7–8 and 26 times, respectively (75 mg/kg/day in male mice and rats and 35 mg/kg/day in female mice), the maximum AUC in patients.</w:t>
      </w:r>
    </w:p>
    <w:p w14:paraId="4FB395BE" w14:textId="1D9C4948" w:rsidR="005E4124" w:rsidRDefault="005E4124" w:rsidP="008E26DE">
      <w:pPr>
        <w:tabs>
          <w:tab w:val="left" w:pos="720"/>
        </w:tabs>
        <w:rPr>
          <w:rFonts w:ascii="Arial" w:hAnsi="Arial" w:cs="Arial"/>
          <w:lang w:val="en"/>
        </w:rPr>
      </w:pPr>
      <w:r w:rsidRPr="005E4124">
        <w:rPr>
          <w:rFonts w:ascii="Arial" w:hAnsi="Arial" w:cs="Arial"/>
          <w:lang w:val="en"/>
        </w:rPr>
        <w:t>Rilpivirine was evaluated for carcinogenic potential by oral gavage administration to mice and rats up to 104 weeks. Daily doses of 20, 60 and 160 mg/kg/day were administered to mice and doses of 40, 200, 500 and 1500 mg/kg/day were administered to rats. An increase in the incidences of hepatocellular adenomas and carcinomas was observed in mice and rats. An increase in the incidences of follicular cell adenomas and/or carcinomas in the thyroid gland was observed in rats. Administration of rilpivirine did not cause a statistically significant increase in the incidence of any other benign or malignant neoplasm in mice or rats. The observed hepatocellular findings in mice and rats are considered to be rodent</w:t>
      </w:r>
      <w:r w:rsidRPr="005E4124">
        <w:rPr>
          <w:rFonts w:ascii="Arial" w:hAnsi="Arial" w:cs="Arial"/>
          <w:lang w:val="en"/>
        </w:rPr>
        <w:noBreakHyphen/>
        <w:t>specific, associated with liver enzyme induction. A similar mechanism does not exist in humans; hence, these tumors are not relevant for humans. The follicular cell findings are considered to be rat</w:t>
      </w:r>
      <w:r w:rsidRPr="005E4124">
        <w:rPr>
          <w:rFonts w:ascii="Arial" w:hAnsi="Arial" w:cs="Arial"/>
          <w:lang w:val="en"/>
        </w:rPr>
        <w:noBreakHyphen/>
        <w:t xml:space="preserve">specific, associated with increased clearance of thyroxine and are not considered to be relevant for humans. At the lowest tested doses in </w:t>
      </w:r>
      <w:r w:rsidR="00531158">
        <w:rPr>
          <w:rFonts w:ascii="Arial" w:hAnsi="Arial" w:cs="Arial"/>
          <w:lang w:val="en"/>
        </w:rPr>
        <w:t>carcinogenicity studies</w:t>
      </w:r>
      <w:r w:rsidRPr="005E4124">
        <w:rPr>
          <w:rFonts w:ascii="Arial" w:hAnsi="Arial" w:cs="Arial"/>
          <w:lang w:val="en"/>
        </w:rPr>
        <w:t xml:space="preserve">, the systemic exposures (based on AUC) to rilpivirine were &gt;17 times </w:t>
      </w:r>
      <w:r w:rsidR="00531158">
        <w:rPr>
          <w:rFonts w:ascii="Arial" w:hAnsi="Arial" w:cs="Arial"/>
          <w:lang w:val="en"/>
        </w:rPr>
        <w:t xml:space="preserve">relative to those </w:t>
      </w:r>
      <w:r w:rsidR="007C06F1">
        <w:rPr>
          <w:rFonts w:ascii="Arial" w:hAnsi="Arial" w:cs="Arial"/>
          <w:lang w:val="en"/>
        </w:rPr>
        <w:t>o</w:t>
      </w:r>
      <w:r w:rsidR="00531158">
        <w:rPr>
          <w:rFonts w:ascii="Arial" w:hAnsi="Arial" w:cs="Arial"/>
          <w:lang w:val="en"/>
        </w:rPr>
        <w:t>bserved in humans at the recommended doses</w:t>
      </w:r>
      <w:r w:rsidRPr="005E4124">
        <w:rPr>
          <w:rFonts w:ascii="Arial" w:hAnsi="Arial" w:cs="Arial"/>
          <w:lang w:val="en"/>
        </w:rPr>
        <w:t xml:space="preserve"> </w:t>
      </w:r>
      <w:r w:rsidR="00531158">
        <w:rPr>
          <w:rFonts w:ascii="Arial" w:hAnsi="Arial" w:cs="Arial"/>
          <w:lang w:val="en"/>
        </w:rPr>
        <w:t>(</w:t>
      </w:r>
      <w:r w:rsidRPr="005E4124">
        <w:rPr>
          <w:rFonts w:ascii="Arial" w:hAnsi="Arial" w:cs="Arial"/>
          <w:lang w:val="en"/>
        </w:rPr>
        <w:t xml:space="preserve">25 mg once daily </w:t>
      </w:r>
      <w:r w:rsidR="00531158">
        <w:rPr>
          <w:rFonts w:ascii="Arial" w:hAnsi="Arial" w:cs="Arial"/>
          <w:lang w:val="en"/>
        </w:rPr>
        <w:t xml:space="preserve">orally </w:t>
      </w:r>
      <w:r w:rsidRPr="005E4124">
        <w:rPr>
          <w:rFonts w:ascii="Arial" w:hAnsi="Arial" w:cs="Arial"/>
          <w:lang w:val="en"/>
        </w:rPr>
        <w:t>or 600 mg IM injection monthly</w:t>
      </w:r>
      <w:r w:rsidR="00531158">
        <w:rPr>
          <w:rFonts w:ascii="Arial" w:hAnsi="Arial" w:cs="Arial"/>
          <w:lang w:val="en"/>
        </w:rPr>
        <w:t>).</w:t>
      </w:r>
    </w:p>
    <w:p w14:paraId="2FDBC469" w14:textId="3E9BC1E8" w:rsidR="001A3992" w:rsidRPr="00923029" w:rsidRDefault="001A3992" w:rsidP="00923029">
      <w:pPr>
        <w:pStyle w:val="Heading1"/>
        <w:numPr>
          <w:ilvl w:val="0"/>
          <w:numId w:val="35"/>
        </w:numPr>
        <w:spacing w:before="0" w:after="120"/>
        <w:ind w:left="426"/>
        <w:rPr>
          <w:rFonts w:ascii="Arial" w:hAnsi="Arial" w:cs="Arial"/>
        </w:rPr>
      </w:pPr>
      <w:r w:rsidRPr="00923029">
        <w:rPr>
          <w:rFonts w:ascii="Arial" w:hAnsi="Arial" w:cs="Arial"/>
        </w:rPr>
        <w:t>Pharmaceutical particulars</w:t>
      </w:r>
    </w:p>
    <w:p w14:paraId="1D0AAC50" w14:textId="77777777" w:rsidR="005B2812" w:rsidRPr="00071855" w:rsidRDefault="00071855" w:rsidP="00923029">
      <w:pPr>
        <w:pStyle w:val="Heading2"/>
        <w:numPr>
          <w:ilvl w:val="1"/>
          <w:numId w:val="35"/>
        </w:numPr>
        <w:spacing w:before="0" w:after="120"/>
        <w:rPr>
          <w:rFonts w:ascii="Arial" w:hAnsi="Arial" w:cs="Arial"/>
          <w:smallCaps w:val="0"/>
        </w:rPr>
      </w:pPr>
      <w:r w:rsidRPr="00071855">
        <w:rPr>
          <w:rFonts w:ascii="Arial" w:hAnsi="Arial" w:cs="Arial"/>
          <w:smallCaps w:val="0"/>
        </w:rPr>
        <w:t xml:space="preserve">LIST OF EXCIPIENTS </w:t>
      </w:r>
    </w:p>
    <w:p w14:paraId="5FC77DE2" w14:textId="6FF4D15E" w:rsidR="0066460B" w:rsidRPr="00D65787" w:rsidRDefault="00531158" w:rsidP="0066460B">
      <w:pPr>
        <w:keepNext/>
        <w:tabs>
          <w:tab w:val="left" w:pos="720"/>
        </w:tabs>
        <w:rPr>
          <w:rFonts w:ascii="Arial" w:hAnsi="Arial" w:cs="Arial"/>
          <w:u w:val="single"/>
          <w:lang w:val="en"/>
        </w:rPr>
      </w:pPr>
      <w:r>
        <w:rPr>
          <w:rFonts w:ascii="Arial" w:hAnsi="Arial" w:cs="Arial"/>
          <w:u w:val="single"/>
          <w:lang w:val="en"/>
        </w:rPr>
        <w:t>Cabotegravir</w:t>
      </w:r>
      <w:r w:rsidR="0066460B" w:rsidRPr="00D65787">
        <w:rPr>
          <w:rFonts w:ascii="Arial" w:hAnsi="Arial" w:cs="Arial"/>
          <w:u w:val="single"/>
          <w:lang w:val="en"/>
        </w:rPr>
        <w:t xml:space="preserve"> </w:t>
      </w:r>
      <w:r w:rsidR="0066460B">
        <w:rPr>
          <w:rFonts w:ascii="Arial" w:hAnsi="Arial" w:cs="Arial"/>
          <w:u w:val="single"/>
          <w:lang w:val="en"/>
        </w:rPr>
        <w:t>prolonged</w:t>
      </w:r>
      <w:r w:rsidR="00C001E0">
        <w:rPr>
          <w:rFonts w:ascii="Arial" w:hAnsi="Arial" w:cs="Arial"/>
          <w:u w:val="single"/>
          <w:lang w:val="en"/>
        </w:rPr>
        <w:t>-</w:t>
      </w:r>
      <w:r w:rsidR="0066460B">
        <w:rPr>
          <w:rFonts w:ascii="Arial" w:hAnsi="Arial" w:cs="Arial"/>
          <w:u w:val="single"/>
          <w:lang w:val="en"/>
        </w:rPr>
        <w:t>release suspension for i</w:t>
      </w:r>
      <w:r w:rsidR="0066460B" w:rsidRPr="00D65787">
        <w:rPr>
          <w:rFonts w:ascii="Arial" w:hAnsi="Arial" w:cs="Arial"/>
          <w:u w:val="single"/>
          <w:lang w:val="en"/>
        </w:rPr>
        <w:t>njection</w:t>
      </w:r>
    </w:p>
    <w:p w14:paraId="6B3E29D7" w14:textId="290C5A85" w:rsidR="0066460B" w:rsidRPr="0066460B" w:rsidRDefault="0066460B" w:rsidP="0066460B">
      <w:pPr>
        <w:keepNext/>
        <w:tabs>
          <w:tab w:val="left" w:pos="720"/>
        </w:tabs>
        <w:spacing w:after="0"/>
        <w:rPr>
          <w:rFonts w:ascii="Arial" w:hAnsi="Arial" w:cs="Arial"/>
          <w:lang w:val="en"/>
        </w:rPr>
      </w:pPr>
      <w:bookmarkStart w:id="40" w:name="_Hlk527997953"/>
      <w:r w:rsidRPr="0066460B">
        <w:rPr>
          <w:rFonts w:ascii="Arial" w:hAnsi="Arial" w:cs="Arial"/>
          <w:lang w:val="en"/>
        </w:rPr>
        <w:t xml:space="preserve">Mannitol </w:t>
      </w:r>
    </w:p>
    <w:p w14:paraId="4AD811B2" w14:textId="77777777" w:rsidR="0066460B" w:rsidRPr="0066460B" w:rsidRDefault="0066460B" w:rsidP="0066460B">
      <w:pPr>
        <w:keepNext/>
        <w:tabs>
          <w:tab w:val="left" w:pos="720"/>
        </w:tabs>
        <w:spacing w:after="0"/>
        <w:rPr>
          <w:rFonts w:ascii="Arial" w:hAnsi="Arial" w:cs="Arial"/>
          <w:lang w:val="en"/>
        </w:rPr>
      </w:pPr>
      <w:r w:rsidRPr="0066460B">
        <w:rPr>
          <w:rFonts w:ascii="Arial" w:hAnsi="Arial" w:cs="Arial"/>
          <w:lang w:val="en"/>
        </w:rPr>
        <w:t>Polysorbate 20</w:t>
      </w:r>
    </w:p>
    <w:p w14:paraId="5E2BA56A" w14:textId="77777777" w:rsidR="0066460B" w:rsidRPr="0066460B" w:rsidRDefault="0066460B" w:rsidP="0066460B">
      <w:pPr>
        <w:keepNext/>
        <w:tabs>
          <w:tab w:val="left" w:pos="720"/>
        </w:tabs>
        <w:spacing w:after="0"/>
        <w:rPr>
          <w:rFonts w:ascii="Arial" w:hAnsi="Arial" w:cs="Arial"/>
          <w:lang w:val="en"/>
        </w:rPr>
      </w:pPr>
      <w:r w:rsidRPr="0066460B">
        <w:rPr>
          <w:rFonts w:ascii="Arial" w:hAnsi="Arial" w:cs="Arial"/>
          <w:lang w:val="en"/>
        </w:rPr>
        <w:t xml:space="preserve">Macrogol 3350 </w:t>
      </w:r>
    </w:p>
    <w:p w14:paraId="4B75C5D9" w14:textId="01366105" w:rsidR="0066460B" w:rsidRDefault="0066460B" w:rsidP="0066460B">
      <w:pPr>
        <w:keepNext/>
        <w:tabs>
          <w:tab w:val="left" w:pos="720"/>
        </w:tabs>
        <w:rPr>
          <w:rFonts w:ascii="Arial" w:hAnsi="Arial" w:cs="Arial"/>
          <w:lang w:val="en"/>
        </w:rPr>
      </w:pPr>
      <w:r w:rsidRPr="0066460B">
        <w:rPr>
          <w:rFonts w:ascii="Arial" w:hAnsi="Arial" w:cs="Arial"/>
          <w:lang w:val="en"/>
        </w:rPr>
        <w:t>Water for injections</w:t>
      </w:r>
    </w:p>
    <w:p w14:paraId="6F61A439" w14:textId="1E10E36F" w:rsidR="00531158" w:rsidRPr="00D65787" w:rsidRDefault="00531158" w:rsidP="00531158">
      <w:pPr>
        <w:keepNext/>
        <w:tabs>
          <w:tab w:val="left" w:pos="720"/>
        </w:tabs>
        <w:rPr>
          <w:rFonts w:ascii="Arial" w:hAnsi="Arial" w:cs="Arial"/>
          <w:u w:val="single"/>
          <w:lang w:val="en"/>
        </w:rPr>
      </w:pPr>
      <w:r>
        <w:rPr>
          <w:rFonts w:ascii="Arial" w:hAnsi="Arial" w:cs="Arial"/>
          <w:u w:val="single"/>
          <w:lang w:val="en"/>
        </w:rPr>
        <w:t>Rilpivirine</w:t>
      </w:r>
      <w:r w:rsidRPr="00D65787">
        <w:rPr>
          <w:rFonts w:ascii="Arial" w:hAnsi="Arial" w:cs="Arial"/>
          <w:u w:val="single"/>
          <w:lang w:val="en"/>
        </w:rPr>
        <w:t xml:space="preserve"> </w:t>
      </w:r>
      <w:r>
        <w:rPr>
          <w:rFonts w:ascii="Arial" w:hAnsi="Arial" w:cs="Arial"/>
          <w:u w:val="single"/>
          <w:lang w:val="en"/>
        </w:rPr>
        <w:t>prolonged</w:t>
      </w:r>
      <w:r w:rsidR="00C001E0">
        <w:rPr>
          <w:rFonts w:ascii="Arial" w:hAnsi="Arial" w:cs="Arial"/>
          <w:u w:val="single"/>
          <w:lang w:val="en"/>
        </w:rPr>
        <w:t>-</w:t>
      </w:r>
      <w:r>
        <w:rPr>
          <w:rFonts w:ascii="Arial" w:hAnsi="Arial" w:cs="Arial"/>
          <w:u w:val="single"/>
          <w:lang w:val="en"/>
        </w:rPr>
        <w:t>release suspension for i</w:t>
      </w:r>
      <w:r w:rsidRPr="00D65787">
        <w:rPr>
          <w:rFonts w:ascii="Arial" w:hAnsi="Arial" w:cs="Arial"/>
          <w:u w:val="single"/>
          <w:lang w:val="en"/>
        </w:rPr>
        <w:t>njection</w:t>
      </w:r>
    </w:p>
    <w:p w14:paraId="2830A836" w14:textId="24C4C585" w:rsidR="00531158" w:rsidRPr="00531158" w:rsidRDefault="00531158" w:rsidP="00531158">
      <w:pPr>
        <w:keepNext/>
        <w:tabs>
          <w:tab w:val="left" w:pos="720"/>
        </w:tabs>
        <w:spacing w:after="0"/>
        <w:rPr>
          <w:rFonts w:ascii="Arial" w:hAnsi="Arial" w:cs="Arial"/>
          <w:lang w:val="en"/>
        </w:rPr>
      </w:pPr>
      <w:r>
        <w:rPr>
          <w:rFonts w:ascii="Arial" w:hAnsi="Arial" w:cs="Arial"/>
          <w:lang w:val="en"/>
        </w:rPr>
        <w:t>C</w:t>
      </w:r>
      <w:r w:rsidRPr="00531158">
        <w:rPr>
          <w:rFonts w:ascii="Arial" w:hAnsi="Arial" w:cs="Arial"/>
          <w:lang w:val="en"/>
        </w:rPr>
        <w:t>itric acid monohydrate</w:t>
      </w:r>
    </w:p>
    <w:p w14:paraId="6DB1F52F" w14:textId="6CF8261F" w:rsidR="00531158" w:rsidRPr="00531158" w:rsidRDefault="00531158" w:rsidP="00531158">
      <w:pPr>
        <w:keepNext/>
        <w:tabs>
          <w:tab w:val="left" w:pos="720"/>
        </w:tabs>
        <w:spacing w:after="0"/>
        <w:rPr>
          <w:rFonts w:ascii="Arial" w:hAnsi="Arial" w:cs="Arial"/>
          <w:lang w:val="en"/>
        </w:rPr>
      </w:pPr>
      <w:r>
        <w:rPr>
          <w:rFonts w:ascii="Arial" w:hAnsi="Arial" w:cs="Arial"/>
          <w:lang w:val="en"/>
        </w:rPr>
        <w:t>G</w:t>
      </w:r>
      <w:r w:rsidRPr="00531158">
        <w:rPr>
          <w:rFonts w:ascii="Arial" w:hAnsi="Arial" w:cs="Arial"/>
          <w:lang w:val="en"/>
        </w:rPr>
        <w:t>lucose monohydrate</w:t>
      </w:r>
    </w:p>
    <w:p w14:paraId="5F17F68C" w14:textId="2B6AF3AB" w:rsidR="00531158" w:rsidRPr="00531158" w:rsidRDefault="00531158" w:rsidP="00531158">
      <w:pPr>
        <w:keepNext/>
        <w:tabs>
          <w:tab w:val="left" w:pos="720"/>
        </w:tabs>
        <w:spacing w:after="0"/>
        <w:rPr>
          <w:rFonts w:ascii="Arial" w:hAnsi="Arial" w:cs="Arial"/>
          <w:lang w:val="en"/>
        </w:rPr>
      </w:pPr>
      <w:r>
        <w:rPr>
          <w:rFonts w:ascii="Arial" w:hAnsi="Arial" w:cs="Arial"/>
          <w:lang w:val="en"/>
        </w:rPr>
        <w:t>P</w:t>
      </w:r>
      <w:r w:rsidRPr="00531158">
        <w:rPr>
          <w:rFonts w:ascii="Arial" w:hAnsi="Arial" w:cs="Arial"/>
          <w:lang w:val="en"/>
        </w:rPr>
        <w:t>oloxamer</w:t>
      </w:r>
    </w:p>
    <w:p w14:paraId="355A370C" w14:textId="5ED3F97A" w:rsidR="00531158" w:rsidRPr="00531158" w:rsidRDefault="00FE2D09" w:rsidP="00531158">
      <w:pPr>
        <w:keepNext/>
        <w:tabs>
          <w:tab w:val="left" w:pos="720"/>
        </w:tabs>
        <w:spacing w:after="0"/>
        <w:rPr>
          <w:rFonts w:ascii="Arial" w:hAnsi="Arial" w:cs="Arial"/>
          <w:lang w:val="en"/>
        </w:rPr>
      </w:pPr>
      <w:r>
        <w:rPr>
          <w:rFonts w:ascii="Arial" w:hAnsi="Arial" w:cs="Arial"/>
          <w:lang w:val="en"/>
        </w:rPr>
        <w:t>Mono</w:t>
      </w:r>
      <w:r w:rsidR="00CD718D">
        <w:rPr>
          <w:rFonts w:ascii="Arial" w:hAnsi="Arial" w:cs="Arial"/>
          <w:lang w:val="en"/>
        </w:rPr>
        <w:t>basic s</w:t>
      </w:r>
      <w:r w:rsidR="00531158" w:rsidRPr="00531158">
        <w:rPr>
          <w:rFonts w:ascii="Arial" w:hAnsi="Arial" w:cs="Arial"/>
          <w:lang w:val="en"/>
        </w:rPr>
        <w:t>odium phosphate monohydrate</w:t>
      </w:r>
    </w:p>
    <w:p w14:paraId="60FE8732" w14:textId="264095A9" w:rsidR="00531158" w:rsidRPr="00531158" w:rsidRDefault="00531158" w:rsidP="00531158">
      <w:pPr>
        <w:keepNext/>
        <w:tabs>
          <w:tab w:val="left" w:pos="720"/>
        </w:tabs>
        <w:spacing w:after="0"/>
        <w:rPr>
          <w:rFonts w:ascii="Arial" w:hAnsi="Arial" w:cs="Arial"/>
          <w:lang w:val="en"/>
        </w:rPr>
      </w:pPr>
      <w:r>
        <w:rPr>
          <w:rFonts w:ascii="Arial" w:hAnsi="Arial" w:cs="Arial"/>
          <w:lang w:val="en"/>
        </w:rPr>
        <w:t>S</w:t>
      </w:r>
      <w:r w:rsidRPr="00531158">
        <w:rPr>
          <w:rFonts w:ascii="Arial" w:hAnsi="Arial" w:cs="Arial"/>
          <w:lang w:val="en"/>
        </w:rPr>
        <w:t xml:space="preserve">odium hydroxide </w:t>
      </w:r>
    </w:p>
    <w:p w14:paraId="1E34B384" w14:textId="017566B6" w:rsidR="00531158" w:rsidRPr="0066460B" w:rsidRDefault="00531158" w:rsidP="00531158">
      <w:pPr>
        <w:keepNext/>
        <w:tabs>
          <w:tab w:val="left" w:pos="720"/>
        </w:tabs>
        <w:rPr>
          <w:rFonts w:ascii="Arial" w:hAnsi="Arial" w:cs="Arial"/>
          <w:lang w:val="en"/>
        </w:rPr>
      </w:pPr>
      <w:r>
        <w:rPr>
          <w:rFonts w:ascii="Arial" w:hAnsi="Arial" w:cs="Arial"/>
          <w:lang w:val="en"/>
        </w:rPr>
        <w:t>W</w:t>
      </w:r>
      <w:r w:rsidRPr="00531158">
        <w:rPr>
          <w:rFonts w:ascii="Arial" w:hAnsi="Arial" w:cs="Arial"/>
          <w:lang w:val="en"/>
        </w:rPr>
        <w:t>ater for Injections</w:t>
      </w:r>
    </w:p>
    <w:bookmarkEnd w:id="40"/>
    <w:p w14:paraId="24846308" w14:textId="77777777" w:rsidR="005B2812" w:rsidRPr="00071855" w:rsidRDefault="00071855" w:rsidP="008E26DE">
      <w:pPr>
        <w:pStyle w:val="Heading2"/>
        <w:pageBreakBefore/>
        <w:numPr>
          <w:ilvl w:val="1"/>
          <w:numId w:val="35"/>
        </w:numPr>
        <w:spacing w:before="0" w:after="120"/>
        <w:ind w:left="578" w:hanging="578"/>
        <w:rPr>
          <w:rFonts w:ascii="Arial" w:hAnsi="Arial" w:cs="Arial"/>
          <w:smallCaps w:val="0"/>
        </w:rPr>
      </w:pPr>
      <w:r w:rsidRPr="00071855">
        <w:rPr>
          <w:rFonts w:ascii="Arial" w:hAnsi="Arial" w:cs="Arial"/>
          <w:smallCaps w:val="0"/>
        </w:rPr>
        <w:lastRenderedPageBreak/>
        <w:t xml:space="preserve">INCOMPATIBILITIES </w:t>
      </w:r>
    </w:p>
    <w:p w14:paraId="4A1A734F" w14:textId="1555CD70" w:rsidR="005B2812" w:rsidRPr="002E5A93" w:rsidRDefault="0066460B" w:rsidP="005B2812">
      <w:pPr>
        <w:rPr>
          <w:rFonts w:ascii="Arial" w:hAnsi="Arial" w:cs="Arial"/>
          <w:lang w:val="en"/>
        </w:rPr>
      </w:pPr>
      <w:r w:rsidRPr="002E5A93">
        <w:rPr>
          <w:rFonts w:ascii="Arial" w:hAnsi="Arial" w:cs="Arial"/>
          <w:lang w:val="en"/>
        </w:rPr>
        <w:t>In the absence</w:t>
      </w:r>
      <w:r w:rsidR="002E5A93" w:rsidRPr="002E5A93">
        <w:rPr>
          <w:rFonts w:ascii="Arial" w:hAnsi="Arial" w:cs="Arial"/>
          <w:lang w:val="en"/>
        </w:rPr>
        <w:t xml:space="preserve"> of compatibility studies cabotegravir</w:t>
      </w:r>
      <w:r w:rsidR="00531158">
        <w:rPr>
          <w:rFonts w:ascii="Arial" w:hAnsi="Arial" w:cs="Arial"/>
          <w:lang w:val="en"/>
        </w:rPr>
        <w:t xml:space="preserve"> </w:t>
      </w:r>
      <w:r w:rsidR="00CA57E3">
        <w:rPr>
          <w:rFonts w:ascii="Arial" w:hAnsi="Arial" w:cs="Arial"/>
          <w:lang w:val="en"/>
        </w:rPr>
        <w:t>and</w:t>
      </w:r>
      <w:r w:rsidR="00531158">
        <w:rPr>
          <w:rFonts w:ascii="Arial" w:hAnsi="Arial" w:cs="Arial"/>
          <w:lang w:val="en"/>
        </w:rPr>
        <w:t xml:space="preserve"> rilpivirine</w:t>
      </w:r>
      <w:r w:rsidR="002E5A93" w:rsidRPr="002E5A93">
        <w:rPr>
          <w:rFonts w:ascii="Arial" w:hAnsi="Arial" w:cs="Arial"/>
          <w:lang w:val="en"/>
        </w:rPr>
        <w:t xml:space="preserve"> injection</w:t>
      </w:r>
      <w:r w:rsidR="00531158">
        <w:rPr>
          <w:rFonts w:ascii="Arial" w:hAnsi="Arial" w:cs="Arial"/>
          <w:lang w:val="en"/>
        </w:rPr>
        <w:t>s</w:t>
      </w:r>
      <w:r w:rsidR="002E5A93" w:rsidRPr="002E5A93">
        <w:rPr>
          <w:rFonts w:ascii="Arial" w:hAnsi="Arial" w:cs="Arial"/>
          <w:lang w:val="en"/>
        </w:rPr>
        <w:t xml:space="preserve"> must not be mixed with other medicinal products</w:t>
      </w:r>
    </w:p>
    <w:p w14:paraId="73C68459" w14:textId="77777777" w:rsidR="005B2812" w:rsidRPr="00071855" w:rsidRDefault="00071855" w:rsidP="00923029">
      <w:pPr>
        <w:pStyle w:val="Heading2"/>
        <w:numPr>
          <w:ilvl w:val="1"/>
          <w:numId w:val="35"/>
        </w:numPr>
        <w:spacing w:before="0" w:after="120"/>
        <w:rPr>
          <w:rFonts w:ascii="Arial" w:hAnsi="Arial" w:cs="Arial"/>
          <w:smallCaps w:val="0"/>
        </w:rPr>
      </w:pPr>
      <w:r w:rsidRPr="00071855">
        <w:rPr>
          <w:rFonts w:ascii="Arial" w:hAnsi="Arial" w:cs="Arial"/>
          <w:smallCaps w:val="0"/>
        </w:rPr>
        <w:t xml:space="preserve">SHELF LIFE </w:t>
      </w:r>
    </w:p>
    <w:p w14:paraId="21D044B1" w14:textId="096D6998" w:rsidR="005B2812" w:rsidRDefault="005B2812" w:rsidP="005B2812">
      <w:pPr>
        <w:rPr>
          <w:rFonts w:ascii="Arial" w:hAnsi="Arial" w:cs="Arial"/>
          <w:lang w:val="en"/>
        </w:rPr>
      </w:pPr>
      <w:r w:rsidRPr="00071855">
        <w:rPr>
          <w:rFonts w:ascii="Arial" w:hAnsi="Arial" w:cs="Arial"/>
          <w:lang w:val="en"/>
        </w:rPr>
        <w:t xml:space="preserve">In Australia, information on the shelf life can be found on the public summary of the Australian Register of Therapeutic Goods (ARTG). The expiry date can be found on the packaging. </w:t>
      </w:r>
    </w:p>
    <w:p w14:paraId="65EFB6D2" w14:textId="426935D4" w:rsidR="00D92BE3" w:rsidRPr="00D92BE3" w:rsidRDefault="00D92BE3" w:rsidP="005B2812">
      <w:pPr>
        <w:rPr>
          <w:rFonts w:ascii="Arial" w:hAnsi="Arial" w:cs="Arial"/>
          <w:u w:val="single"/>
          <w:lang w:val="en"/>
        </w:rPr>
      </w:pPr>
      <w:r w:rsidRPr="00D92BE3">
        <w:rPr>
          <w:rFonts w:ascii="Arial" w:hAnsi="Arial" w:cs="Arial"/>
          <w:u w:val="single"/>
          <w:lang w:val="en"/>
        </w:rPr>
        <w:t xml:space="preserve">In use shelf life: </w:t>
      </w:r>
    </w:p>
    <w:p w14:paraId="40FC3747" w14:textId="079E7BC6" w:rsidR="00CA57E3" w:rsidRPr="0048090C" w:rsidRDefault="00CA57E3" w:rsidP="00CA57E3">
      <w:pPr>
        <w:widowControl w:val="0"/>
        <w:rPr>
          <w:rFonts w:ascii="Arial" w:hAnsi="Arial" w:cs="Arial"/>
          <w:lang w:val="en-CA"/>
        </w:rPr>
      </w:pPr>
      <w:r w:rsidRPr="00AD7B12">
        <w:rPr>
          <w:rFonts w:ascii="Arial" w:hAnsi="Arial" w:cs="Arial"/>
          <w:lang w:val="en-CA"/>
        </w:rPr>
        <w:t xml:space="preserve">Prior to administration, vials should be brought to room temperature (not to exceed </w:t>
      </w:r>
      <w:r>
        <w:rPr>
          <w:rFonts w:ascii="Arial" w:hAnsi="Arial" w:cs="Arial"/>
          <w:lang w:val="en-CA"/>
        </w:rPr>
        <w:t>25</w:t>
      </w:r>
      <w:r w:rsidRPr="00AD7B12">
        <w:rPr>
          <w:rFonts w:ascii="Arial" w:hAnsi="Arial" w:cs="Arial"/>
          <w:lang w:val="en-CA"/>
        </w:rPr>
        <w:t>°C). Vials may remain in the carton at room temperature for up to 6 hours. If not used after 6 hours, they must be discarded</w:t>
      </w:r>
      <w:r w:rsidRPr="0048090C">
        <w:rPr>
          <w:rFonts w:ascii="Arial" w:hAnsi="Arial" w:cs="Arial"/>
          <w:lang w:val="en-CA"/>
        </w:rPr>
        <w:t>.</w:t>
      </w:r>
    </w:p>
    <w:p w14:paraId="4578A59D" w14:textId="74150863" w:rsidR="00D92BE3" w:rsidRPr="00D92BE3" w:rsidRDefault="00D92BE3" w:rsidP="005B2812">
      <w:pPr>
        <w:rPr>
          <w:rFonts w:ascii="Arial" w:hAnsi="Arial" w:cs="Arial"/>
          <w:lang w:val="en"/>
        </w:rPr>
      </w:pPr>
      <w:r w:rsidRPr="00D92BE3">
        <w:rPr>
          <w:rFonts w:ascii="Arial" w:hAnsi="Arial" w:cs="Arial"/>
          <w:lang w:val="en"/>
        </w:rPr>
        <w:t>Once the suspension has been drawn into the syringe, the injection should be used as soon as possible, but may be stored for up to 2 hours. If 2 hours are exceeded, the medication, syringe and needle must be discarded.</w:t>
      </w:r>
    </w:p>
    <w:p w14:paraId="4DE8059A" w14:textId="77777777" w:rsidR="005B2812" w:rsidRPr="00071855" w:rsidRDefault="00071855" w:rsidP="00923029">
      <w:pPr>
        <w:pStyle w:val="Heading2"/>
        <w:numPr>
          <w:ilvl w:val="1"/>
          <w:numId w:val="35"/>
        </w:numPr>
        <w:spacing w:before="0" w:after="120"/>
        <w:rPr>
          <w:rFonts w:ascii="Arial" w:hAnsi="Arial" w:cs="Arial"/>
          <w:smallCaps w:val="0"/>
        </w:rPr>
      </w:pPr>
      <w:r w:rsidRPr="00071855">
        <w:rPr>
          <w:rFonts w:ascii="Arial" w:hAnsi="Arial" w:cs="Arial"/>
          <w:smallCaps w:val="0"/>
        </w:rPr>
        <w:t xml:space="preserve">SPECIAL PRECAUTIONS FOR STORAGE </w:t>
      </w:r>
    </w:p>
    <w:p w14:paraId="66996CE3" w14:textId="0F9EBA12" w:rsidR="003E7E6F" w:rsidRDefault="003E7E6F" w:rsidP="002E5A93">
      <w:pPr>
        <w:rPr>
          <w:rFonts w:ascii="Arial" w:hAnsi="Arial" w:cs="Arial"/>
          <w:lang w:val="en"/>
        </w:rPr>
      </w:pPr>
      <w:r>
        <w:rPr>
          <w:rFonts w:ascii="Arial" w:hAnsi="Arial" w:cs="Arial"/>
          <w:lang w:val="en"/>
        </w:rPr>
        <w:t xml:space="preserve">Store </w:t>
      </w:r>
      <w:r w:rsidR="00CA57E3">
        <w:rPr>
          <w:rFonts w:ascii="Arial" w:hAnsi="Arial" w:cs="Arial"/>
          <w:lang w:val="en"/>
        </w:rPr>
        <w:t>at 2</w:t>
      </w:r>
      <w:r>
        <w:rPr>
          <w:rFonts w:ascii="Arial" w:hAnsi="Arial" w:cs="Arial"/>
          <w:lang w:val="en"/>
        </w:rPr>
        <w:t>°C</w:t>
      </w:r>
      <w:r w:rsidR="00CA57E3">
        <w:rPr>
          <w:rFonts w:ascii="Arial" w:hAnsi="Arial" w:cs="Arial"/>
          <w:lang w:val="en"/>
        </w:rPr>
        <w:t xml:space="preserve"> to 8°C</w:t>
      </w:r>
      <w:r>
        <w:rPr>
          <w:rFonts w:ascii="Arial" w:hAnsi="Arial" w:cs="Arial"/>
          <w:lang w:val="en"/>
        </w:rPr>
        <w:t xml:space="preserve">. </w:t>
      </w:r>
    </w:p>
    <w:p w14:paraId="064566EF" w14:textId="0D4B8B42" w:rsidR="002E5A93" w:rsidRDefault="002E5A93" w:rsidP="002E5A93">
      <w:pPr>
        <w:rPr>
          <w:rFonts w:ascii="Arial" w:hAnsi="Arial" w:cs="Arial"/>
          <w:lang w:val="en"/>
        </w:rPr>
      </w:pPr>
      <w:r w:rsidRPr="002E5A93">
        <w:rPr>
          <w:rFonts w:ascii="Arial" w:hAnsi="Arial" w:cs="Arial"/>
          <w:lang w:val="en"/>
        </w:rPr>
        <w:t>Do not freeze.</w:t>
      </w:r>
    </w:p>
    <w:p w14:paraId="262A0A8A" w14:textId="6CD5B431" w:rsidR="00CA57E3" w:rsidRDefault="00CA57E3" w:rsidP="002E5A93">
      <w:pPr>
        <w:rPr>
          <w:rFonts w:ascii="Arial" w:hAnsi="Arial" w:cs="Arial"/>
          <w:lang w:val="en-CA"/>
        </w:rPr>
      </w:pPr>
      <w:r w:rsidRPr="00AD7B12">
        <w:rPr>
          <w:rFonts w:ascii="Arial" w:hAnsi="Arial" w:cs="Arial"/>
          <w:lang w:val="en-CA"/>
        </w:rPr>
        <w:t xml:space="preserve">Prior to administration, vials should be brought to room temperature (not to exceed </w:t>
      </w:r>
      <w:r w:rsidR="00F165E5">
        <w:rPr>
          <w:rFonts w:ascii="Arial" w:hAnsi="Arial" w:cs="Arial"/>
          <w:lang w:val="en-CA"/>
        </w:rPr>
        <w:t>25</w:t>
      </w:r>
      <w:r w:rsidRPr="00AD7B12">
        <w:rPr>
          <w:rFonts w:ascii="Arial" w:hAnsi="Arial" w:cs="Arial"/>
          <w:lang w:val="en-CA"/>
        </w:rPr>
        <w:t>°C).</w:t>
      </w:r>
    </w:p>
    <w:p w14:paraId="016AB25B" w14:textId="77777777" w:rsidR="005B2812" w:rsidRPr="00071855" w:rsidRDefault="00071855" w:rsidP="00923029">
      <w:pPr>
        <w:pStyle w:val="Heading2"/>
        <w:numPr>
          <w:ilvl w:val="1"/>
          <w:numId w:val="35"/>
        </w:numPr>
        <w:spacing w:before="0" w:after="120"/>
        <w:rPr>
          <w:rFonts w:ascii="Arial" w:hAnsi="Arial" w:cs="Arial"/>
          <w:smallCaps w:val="0"/>
        </w:rPr>
      </w:pPr>
      <w:r w:rsidRPr="00071855">
        <w:rPr>
          <w:rFonts w:ascii="Arial" w:hAnsi="Arial" w:cs="Arial"/>
          <w:smallCaps w:val="0"/>
        </w:rPr>
        <w:t xml:space="preserve">NATURE AND CONTENTS OF CONTAINER </w:t>
      </w:r>
    </w:p>
    <w:p w14:paraId="53B682B0" w14:textId="2794A8E2" w:rsidR="00CA57E3" w:rsidRPr="00CA57E3" w:rsidRDefault="00CA57E3" w:rsidP="00B44F48">
      <w:pPr>
        <w:keepNext/>
        <w:keepLines/>
        <w:widowControl w:val="0"/>
        <w:spacing w:after="0"/>
        <w:rPr>
          <w:rFonts w:ascii="Arial" w:hAnsi="Arial" w:cs="Arial"/>
          <w:u w:val="single"/>
          <w:lang w:val="en"/>
        </w:rPr>
      </w:pPr>
      <w:r w:rsidRPr="00CA57E3">
        <w:rPr>
          <w:rFonts w:ascii="Arial" w:hAnsi="Arial" w:cs="Arial"/>
          <w:u w:val="single"/>
          <w:lang w:val="en"/>
        </w:rPr>
        <w:t xml:space="preserve">2mL </w:t>
      </w:r>
      <w:r w:rsidR="00FB0F66">
        <w:rPr>
          <w:rFonts w:ascii="Arial" w:hAnsi="Arial" w:cs="Arial"/>
          <w:u w:val="single"/>
          <w:lang w:val="en"/>
        </w:rPr>
        <w:t>CABENUVA</w:t>
      </w:r>
      <w:r w:rsidRPr="00CA57E3">
        <w:rPr>
          <w:rFonts w:ascii="Arial" w:hAnsi="Arial" w:cs="Arial"/>
          <w:u w:val="single"/>
          <w:lang w:val="en"/>
        </w:rPr>
        <w:t xml:space="preserve"> contains</w:t>
      </w:r>
      <w:r w:rsidR="00FB0F66">
        <w:rPr>
          <w:rFonts w:ascii="Arial" w:hAnsi="Arial" w:cs="Arial"/>
          <w:u w:val="single"/>
          <w:lang w:val="en"/>
        </w:rPr>
        <w:t>:</w:t>
      </w:r>
    </w:p>
    <w:p w14:paraId="000E0005" w14:textId="5F33A88C" w:rsidR="00FB0F66" w:rsidRPr="00216F09" w:rsidRDefault="00FB0F66" w:rsidP="00B44F48">
      <w:pPr>
        <w:keepNext/>
        <w:keepLines/>
        <w:widowControl w:val="0"/>
        <w:numPr>
          <w:ilvl w:val="0"/>
          <w:numId w:val="33"/>
        </w:numPr>
        <w:spacing w:after="0"/>
        <w:contextualSpacing/>
        <w:rPr>
          <w:rFonts w:ascii="Arial" w:hAnsi="Arial" w:cs="Arial"/>
          <w:lang w:val="en-CA"/>
        </w:rPr>
      </w:pPr>
      <w:r w:rsidRPr="00216F09">
        <w:rPr>
          <w:rFonts w:ascii="Arial" w:hAnsi="Arial" w:cs="Arial"/>
          <w:lang w:val="en-CA"/>
        </w:rPr>
        <w:t>One 2 mL single-dose vial</w:t>
      </w:r>
      <w:r>
        <w:rPr>
          <w:rFonts w:ascii="Arial" w:hAnsi="Arial" w:cs="Arial"/>
          <w:lang w:val="en-CA"/>
        </w:rPr>
        <w:t xml:space="preserve"> of cabotegravir prolonged</w:t>
      </w:r>
      <w:r w:rsidR="00C001E0">
        <w:rPr>
          <w:rFonts w:ascii="Arial" w:hAnsi="Arial" w:cs="Arial"/>
          <w:lang w:val="en-CA"/>
        </w:rPr>
        <w:t>-</w:t>
      </w:r>
      <w:r>
        <w:rPr>
          <w:rFonts w:ascii="Arial" w:hAnsi="Arial" w:cs="Arial"/>
          <w:lang w:val="en-CA"/>
        </w:rPr>
        <w:t>release suspension</w:t>
      </w:r>
      <w:r w:rsidRPr="00216F09">
        <w:rPr>
          <w:rFonts w:ascii="Arial" w:hAnsi="Arial" w:cs="Arial"/>
          <w:lang w:val="en-CA"/>
        </w:rPr>
        <w:t xml:space="preserve"> </w:t>
      </w:r>
      <w:r>
        <w:rPr>
          <w:rFonts w:ascii="Arial" w:hAnsi="Arial" w:cs="Arial"/>
          <w:lang w:val="en-CA"/>
        </w:rPr>
        <w:t xml:space="preserve">for injection </w:t>
      </w:r>
      <w:r w:rsidRPr="00216F09">
        <w:rPr>
          <w:rFonts w:ascii="Arial" w:hAnsi="Arial" w:cs="Arial"/>
          <w:lang w:val="en-CA"/>
        </w:rPr>
        <w:t>containing 400 mg of cabotegravir.</w:t>
      </w:r>
    </w:p>
    <w:p w14:paraId="34236C7A" w14:textId="5BD5FD24" w:rsidR="00FB0F66" w:rsidRDefault="00FB0F66" w:rsidP="00B44F48">
      <w:pPr>
        <w:keepNext/>
        <w:keepLines/>
        <w:widowControl w:val="0"/>
        <w:numPr>
          <w:ilvl w:val="0"/>
          <w:numId w:val="33"/>
        </w:numPr>
        <w:spacing w:after="0"/>
        <w:contextualSpacing/>
        <w:rPr>
          <w:rFonts w:ascii="Arial" w:hAnsi="Arial" w:cs="Arial"/>
          <w:lang w:val="en-CA"/>
        </w:rPr>
      </w:pPr>
      <w:r w:rsidRPr="00216F09">
        <w:rPr>
          <w:rFonts w:ascii="Arial" w:hAnsi="Arial" w:cs="Arial"/>
          <w:lang w:val="en-CA"/>
        </w:rPr>
        <w:t>One 2 mL single-dose vial</w:t>
      </w:r>
      <w:r>
        <w:rPr>
          <w:rFonts w:ascii="Arial" w:hAnsi="Arial" w:cs="Arial"/>
          <w:lang w:val="en-CA"/>
        </w:rPr>
        <w:t xml:space="preserve"> of rilpivirine </w:t>
      </w:r>
      <w:r w:rsidR="003875C0">
        <w:rPr>
          <w:rFonts w:ascii="Arial" w:hAnsi="Arial" w:cs="Arial"/>
          <w:lang w:val="en-CA"/>
        </w:rPr>
        <w:t>prolonged</w:t>
      </w:r>
      <w:r w:rsidR="00C001E0">
        <w:rPr>
          <w:rFonts w:ascii="Arial" w:hAnsi="Arial" w:cs="Arial"/>
          <w:lang w:val="en-CA"/>
        </w:rPr>
        <w:t>-</w:t>
      </w:r>
      <w:r w:rsidR="003875C0">
        <w:rPr>
          <w:rFonts w:ascii="Arial" w:hAnsi="Arial" w:cs="Arial"/>
          <w:lang w:val="en-CA"/>
        </w:rPr>
        <w:t>release suspension</w:t>
      </w:r>
      <w:r w:rsidR="003875C0" w:rsidRPr="00216F09">
        <w:rPr>
          <w:rFonts w:ascii="Arial" w:hAnsi="Arial" w:cs="Arial"/>
          <w:lang w:val="en-CA"/>
        </w:rPr>
        <w:t xml:space="preserve"> </w:t>
      </w:r>
      <w:r w:rsidR="003875C0">
        <w:rPr>
          <w:rFonts w:ascii="Arial" w:hAnsi="Arial" w:cs="Arial"/>
          <w:lang w:val="en-CA"/>
        </w:rPr>
        <w:t xml:space="preserve">for injection </w:t>
      </w:r>
      <w:r w:rsidRPr="00216F09">
        <w:rPr>
          <w:rFonts w:ascii="Arial" w:hAnsi="Arial" w:cs="Arial"/>
          <w:lang w:val="en-CA"/>
        </w:rPr>
        <w:t>containing 600 mg of rilpivirine.</w:t>
      </w:r>
    </w:p>
    <w:p w14:paraId="3AB5DB59" w14:textId="0880AF37" w:rsidR="00FB0F66" w:rsidRDefault="00FB0F66" w:rsidP="00B44F48">
      <w:pPr>
        <w:keepNext/>
        <w:keepLines/>
        <w:widowControl w:val="0"/>
        <w:numPr>
          <w:ilvl w:val="0"/>
          <w:numId w:val="33"/>
        </w:numPr>
        <w:spacing w:after="0"/>
        <w:contextualSpacing/>
        <w:rPr>
          <w:rFonts w:ascii="Arial" w:hAnsi="Arial" w:cs="Arial"/>
          <w:lang w:val="en-CA"/>
        </w:rPr>
      </w:pPr>
      <w:r w:rsidRPr="00216F09">
        <w:rPr>
          <w:rFonts w:ascii="Arial" w:hAnsi="Arial" w:cs="Arial"/>
          <w:lang w:val="en-CA"/>
        </w:rPr>
        <w:t>2 syringes, 2 vial adaptors, and 2 needles (23-gauge, 1½ inch).</w:t>
      </w:r>
    </w:p>
    <w:p w14:paraId="3302D905" w14:textId="334CE25C" w:rsidR="00FB0F66" w:rsidRPr="00FB0F66" w:rsidRDefault="00FB0F66" w:rsidP="00B44F48">
      <w:pPr>
        <w:keepNext/>
        <w:keepLines/>
        <w:widowControl w:val="0"/>
        <w:contextualSpacing/>
        <w:rPr>
          <w:rFonts w:ascii="Arial" w:hAnsi="Arial" w:cs="Arial"/>
          <w:u w:val="single"/>
          <w:lang w:val="en-CA"/>
        </w:rPr>
      </w:pPr>
      <w:r w:rsidRPr="00FB0F66">
        <w:rPr>
          <w:rFonts w:ascii="Arial" w:hAnsi="Arial" w:cs="Arial"/>
          <w:u w:val="single"/>
          <w:lang w:val="en-CA"/>
        </w:rPr>
        <w:t>3 mL CABENUVA contains:</w:t>
      </w:r>
    </w:p>
    <w:p w14:paraId="0F4C72A1" w14:textId="3B5D38B4" w:rsidR="00FB0F66" w:rsidRPr="00216F09" w:rsidRDefault="00FB0F66" w:rsidP="00B44F48">
      <w:pPr>
        <w:keepNext/>
        <w:keepLines/>
        <w:widowControl w:val="0"/>
        <w:numPr>
          <w:ilvl w:val="0"/>
          <w:numId w:val="34"/>
        </w:numPr>
        <w:spacing w:after="0"/>
        <w:contextualSpacing/>
        <w:rPr>
          <w:rFonts w:ascii="Arial" w:hAnsi="Arial" w:cs="Arial"/>
          <w:lang w:val="en-CA"/>
        </w:rPr>
      </w:pPr>
      <w:r w:rsidRPr="00216F09">
        <w:rPr>
          <w:rFonts w:ascii="Arial" w:hAnsi="Arial" w:cs="Arial"/>
          <w:lang w:val="en-CA"/>
        </w:rPr>
        <w:t xml:space="preserve">One 3 mL single-dose vial </w:t>
      </w:r>
      <w:r>
        <w:rPr>
          <w:rFonts w:ascii="Arial" w:hAnsi="Arial" w:cs="Arial"/>
          <w:lang w:val="en-CA"/>
        </w:rPr>
        <w:t xml:space="preserve">of cabotegravir </w:t>
      </w:r>
      <w:r w:rsidR="003875C0">
        <w:rPr>
          <w:rFonts w:ascii="Arial" w:hAnsi="Arial" w:cs="Arial"/>
          <w:lang w:val="en-CA"/>
        </w:rPr>
        <w:t>prolonged</w:t>
      </w:r>
      <w:r w:rsidR="00C001E0">
        <w:rPr>
          <w:rFonts w:ascii="Arial" w:hAnsi="Arial" w:cs="Arial"/>
          <w:lang w:val="en-CA"/>
        </w:rPr>
        <w:t>-</w:t>
      </w:r>
      <w:r w:rsidR="003875C0">
        <w:rPr>
          <w:rFonts w:ascii="Arial" w:hAnsi="Arial" w:cs="Arial"/>
          <w:lang w:val="en-CA"/>
        </w:rPr>
        <w:t>release suspension</w:t>
      </w:r>
      <w:r w:rsidR="003875C0" w:rsidRPr="00216F09">
        <w:rPr>
          <w:rFonts w:ascii="Arial" w:hAnsi="Arial" w:cs="Arial"/>
          <w:lang w:val="en-CA"/>
        </w:rPr>
        <w:t xml:space="preserve"> </w:t>
      </w:r>
      <w:r w:rsidR="003875C0">
        <w:rPr>
          <w:rFonts w:ascii="Arial" w:hAnsi="Arial" w:cs="Arial"/>
          <w:lang w:val="en-CA"/>
        </w:rPr>
        <w:t xml:space="preserve">for injection </w:t>
      </w:r>
      <w:r w:rsidRPr="00216F09">
        <w:rPr>
          <w:rFonts w:ascii="Arial" w:hAnsi="Arial" w:cs="Arial"/>
          <w:lang w:val="en-CA"/>
        </w:rPr>
        <w:t>containing 600 mg of cabotegravir.</w:t>
      </w:r>
    </w:p>
    <w:p w14:paraId="02D64DDA" w14:textId="02551714" w:rsidR="00FB0F66" w:rsidRDefault="00FB0F66" w:rsidP="00B44F48">
      <w:pPr>
        <w:keepNext/>
        <w:keepLines/>
        <w:widowControl w:val="0"/>
        <w:numPr>
          <w:ilvl w:val="0"/>
          <w:numId w:val="34"/>
        </w:numPr>
        <w:spacing w:after="0"/>
        <w:contextualSpacing/>
        <w:rPr>
          <w:rFonts w:ascii="Arial" w:hAnsi="Arial" w:cs="Arial"/>
          <w:lang w:val="en-CA"/>
        </w:rPr>
      </w:pPr>
      <w:r w:rsidRPr="00216F09">
        <w:rPr>
          <w:rFonts w:ascii="Arial" w:hAnsi="Arial" w:cs="Arial"/>
          <w:lang w:val="en-CA"/>
        </w:rPr>
        <w:t>One 3 mL single-dose vial</w:t>
      </w:r>
      <w:r>
        <w:rPr>
          <w:rFonts w:ascii="Arial" w:hAnsi="Arial" w:cs="Arial"/>
          <w:lang w:val="en-CA"/>
        </w:rPr>
        <w:t xml:space="preserve"> of rilpivirine </w:t>
      </w:r>
      <w:r w:rsidR="003875C0">
        <w:rPr>
          <w:rFonts w:ascii="Arial" w:hAnsi="Arial" w:cs="Arial"/>
          <w:lang w:val="en-CA"/>
        </w:rPr>
        <w:t>prolonged</w:t>
      </w:r>
      <w:r w:rsidR="00C001E0">
        <w:rPr>
          <w:rFonts w:ascii="Arial" w:hAnsi="Arial" w:cs="Arial"/>
          <w:lang w:val="en-CA"/>
        </w:rPr>
        <w:t>-</w:t>
      </w:r>
      <w:r w:rsidR="003875C0">
        <w:rPr>
          <w:rFonts w:ascii="Arial" w:hAnsi="Arial" w:cs="Arial"/>
          <w:lang w:val="en-CA"/>
        </w:rPr>
        <w:t>release suspension</w:t>
      </w:r>
      <w:r w:rsidR="003875C0" w:rsidRPr="00216F09">
        <w:rPr>
          <w:rFonts w:ascii="Arial" w:hAnsi="Arial" w:cs="Arial"/>
          <w:lang w:val="en-CA"/>
        </w:rPr>
        <w:t xml:space="preserve"> </w:t>
      </w:r>
      <w:r w:rsidR="003875C0">
        <w:rPr>
          <w:rFonts w:ascii="Arial" w:hAnsi="Arial" w:cs="Arial"/>
          <w:lang w:val="en-CA"/>
        </w:rPr>
        <w:t xml:space="preserve">for injection </w:t>
      </w:r>
      <w:r w:rsidRPr="00216F09">
        <w:rPr>
          <w:rFonts w:ascii="Arial" w:hAnsi="Arial" w:cs="Arial"/>
          <w:lang w:val="en-CA"/>
        </w:rPr>
        <w:t>containing 900 mg of rilpivirine.</w:t>
      </w:r>
    </w:p>
    <w:p w14:paraId="39DB00EC" w14:textId="41FBF64B" w:rsidR="00FB0F66" w:rsidRDefault="00FB0F66" w:rsidP="00B44F48">
      <w:pPr>
        <w:widowControl w:val="0"/>
        <w:numPr>
          <w:ilvl w:val="0"/>
          <w:numId w:val="34"/>
        </w:numPr>
        <w:ind w:left="714" w:hanging="357"/>
        <w:contextualSpacing/>
        <w:rPr>
          <w:rFonts w:ascii="Arial" w:hAnsi="Arial" w:cs="Arial"/>
          <w:lang w:val="en-CA"/>
        </w:rPr>
      </w:pPr>
      <w:r w:rsidRPr="00216F09">
        <w:rPr>
          <w:rFonts w:ascii="Arial" w:hAnsi="Arial" w:cs="Arial"/>
          <w:lang w:val="en-CA"/>
        </w:rPr>
        <w:t>2 syringes, 2 vial adaptors, and 2 needles (23-gauge, 1½ inch).</w:t>
      </w:r>
    </w:p>
    <w:p w14:paraId="7A246BCA" w14:textId="77777777" w:rsidR="004A1D58" w:rsidRDefault="004A1D58" w:rsidP="00CA13F8">
      <w:pPr>
        <w:widowControl w:val="0"/>
        <w:ind w:left="714"/>
        <w:contextualSpacing/>
        <w:rPr>
          <w:rFonts w:ascii="Arial" w:hAnsi="Arial" w:cs="Arial"/>
          <w:lang w:val="en-CA"/>
        </w:rPr>
      </w:pPr>
    </w:p>
    <w:p w14:paraId="63C65B94" w14:textId="59CA8C85" w:rsidR="004A1D58" w:rsidRPr="00CA13F8" w:rsidRDefault="004A1D58" w:rsidP="004A1D58">
      <w:pPr>
        <w:autoSpaceDE w:val="0"/>
        <w:autoSpaceDN w:val="0"/>
        <w:adjustRightInd w:val="0"/>
        <w:spacing w:after="0" w:line="240" w:lineRule="auto"/>
        <w:rPr>
          <w:rFonts w:ascii="Arial" w:hAnsi="Arial" w:cs="Arial"/>
          <w:lang w:val="en"/>
        </w:rPr>
      </w:pPr>
      <w:bookmarkStart w:id="41" w:name="_Hlk45651186"/>
      <w:r w:rsidRPr="00CA13F8">
        <w:rPr>
          <w:rFonts w:ascii="Arial" w:hAnsi="Arial" w:cs="Arial"/>
          <w:lang w:val="en"/>
        </w:rPr>
        <w:t xml:space="preserve">The vials are Type I clear glass vials, sealed with </w:t>
      </w:r>
      <w:proofErr w:type="spellStart"/>
      <w:r w:rsidRPr="00CA13F8">
        <w:rPr>
          <w:rFonts w:ascii="Arial" w:hAnsi="Arial" w:cs="Arial"/>
          <w:lang w:val="en"/>
        </w:rPr>
        <w:t>bromobutyl</w:t>
      </w:r>
      <w:proofErr w:type="spellEnd"/>
      <w:r w:rsidRPr="00CA13F8">
        <w:rPr>
          <w:rFonts w:ascii="Arial" w:hAnsi="Arial" w:cs="Arial"/>
          <w:lang w:val="en"/>
        </w:rPr>
        <w:t xml:space="preserve"> rubber stoppers and an aluminum </w:t>
      </w:r>
      <w:proofErr w:type="spellStart"/>
      <w:r w:rsidRPr="00CA13F8">
        <w:rPr>
          <w:rFonts w:ascii="Arial" w:hAnsi="Arial" w:cs="Arial"/>
          <w:lang w:val="en"/>
        </w:rPr>
        <w:t>overseal</w:t>
      </w:r>
      <w:proofErr w:type="spellEnd"/>
      <w:r w:rsidRPr="00CA13F8">
        <w:rPr>
          <w:rFonts w:ascii="Arial" w:hAnsi="Arial" w:cs="Arial"/>
          <w:lang w:val="en"/>
        </w:rPr>
        <w:t xml:space="preserve"> with a </w:t>
      </w:r>
      <w:proofErr w:type="spellStart"/>
      <w:r w:rsidRPr="00CA13F8">
        <w:rPr>
          <w:rFonts w:ascii="Arial" w:hAnsi="Arial" w:cs="Arial"/>
          <w:lang w:val="en"/>
        </w:rPr>
        <w:t>removeable</w:t>
      </w:r>
      <w:proofErr w:type="spellEnd"/>
      <w:r w:rsidRPr="00CA13F8">
        <w:rPr>
          <w:rFonts w:ascii="Arial" w:hAnsi="Arial" w:cs="Arial"/>
          <w:lang w:val="en"/>
        </w:rPr>
        <w:t xml:space="preserve"> plastic cap.</w:t>
      </w:r>
    </w:p>
    <w:bookmarkEnd w:id="41"/>
    <w:p w14:paraId="1E169347" w14:textId="0B0DE243" w:rsidR="004A1D58" w:rsidRPr="00FB0F66" w:rsidRDefault="004A1D58" w:rsidP="004A1D58">
      <w:pPr>
        <w:widowControl w:val="0"/>
        <w:contextualSpacing/>
        <w:rPr>
          <w:rFonts w:ascii="Arial" w:hAnsi="Arial" w:cs="Arial"/>
          <w:lang w:val="en-CA"/>
        </w:rPr>
      </w:pPr>
    </w:p>
    <w:p w14:paraId="0B840682" w14:textId="331E5074" w:rsidR="00071855" w:rsidRPr="003E7E6F" w:rsidRDefault="006E595D" w:rsidP="00B44F48">
      <w:pPr>
        <w:jc w:val="both"/>
        <w:rPr>
          <w:rFonts w:ascii="Arial" w:hAnsi="Arial" w:cs="Arial"/>
        </w:rPr>
      </w:pPr>
      <w:r w:rsidRPr="003E7E6F">
        <w:rPr>
          <w:rFonts w:ascii="Arial" w:hAnsi="Arial" w:cs="Arial"/>
        </w:rPr>
        <w:t xml:space="preserve">Not all strengths may be distributed in Australia. </w:t>
      </w:r>
    </w:p>
    <w:p w14:paraId="62FA6218" w14:textId="77777777" w:rsidR="005B2812" w:rsidRPr="00071855" w:rsidRDefault="00071855" w:rsidP="008E26DE">
      <w:pPr>
        <w:pStyle w:val="Heading2"/>
        <w:pageBreakBefore/>
        <w:numPr>
          <w:ilvl w:val="1"/>
          <w:numId w:val="35"/>
        </w:numPr>
        <w:spacing w:before="0" w:after="120"/>
        <w:ind w:left="578" w:hanging="578"/>
        <w:rPr>
          <w:rFonts w:ascii="Arial" w:hAnsi="Arial" w:cs="Arial"/>
          <w:smallCaps w:val="0"/>
        </w:rPr>
      </w:pPr>
      <w:r w:rsidRPr="00071855">
        <w:rPr>
          <w:rFonts w:ascii="Arial" w:hAnsi="Arial" w:cs="Arial"/>
          <w:smallCaps w:val="0"/>
        </w:rPr>
        <w:lastRenderedPageBreak/>
        <w:t xml:space="preserve">SPECIAL PRECAUTIONS FOR DISPOSAL </w:t>
      </w:r>
    </w:p>
    <w:p w14:paraId="14F20255" w14:textId="533BBF5E" w:rsidR="005B2812" w:rsidRDefault="005B2812" w:rsidP="005B2812">
      <w:pPr>
        <w:rPr>
          <w:rFonts w:ascii="Arial" w:hAnsi="Arial" w:cs="Arial"/>
          <w:lang w:val="en"/>
        </w:rPr>
      </w:pPr>
      <w:r w:rsidRPr="00071855">
        <w:rPr>
          <w:rFonts w:ascii="Arial" w:hAnsi="Arial" w:cs="Arial"/>
          <w:lang w:val="en"/>
        </w:rPr>
        <w:t>In Australia, any unused medicine or waste material should be disposed of by taking to your local pharmacy</w:t>
      </w:r>
      <w:r w:rsidR="002E5A93">
        <w:rPr>
          <w:rFonts w:ascii="Arial" w:hAnsi="Arial" w:cs="Arial"/>
          <w:lang w:val="en"/>
        </w:rPr>
        <w:t>.</w:t>
      </w:r>
    </w:p>
    <w:p w14:paraId="36295F0D" w14:textId="4D60A1C6" w:rsidR="002E5A93" w:rsidRPr="002E5A93" w:rsidRDefault="002E5A93" w:rsidP="005B2812">
      <w:pPr>
        <w:rPr>
          <w:rFonts w:ascii="Arial" w:hAnsi="Arial" w:cs="Arial"/>
          <w:lang w:val="en"/>
        </w:rPr>
      </w:pPr>
      <w:r w:rsidRPr="002E5A93">
        <w:rPr>
          <w:rFonts w:ascii="Arial" w:hAnsi="Arial" w:cs="Arial"/>
          <w:lang w:val="en"/>
        </w:rPr>
        <w:t xml:space="preserve">Full instructions for use and handling of </w:t>
      </w:r>
      <w:r w:rsidR="00DC4D8B">
        <w:rPr>
          <w:rFonts w:ascii="Arial" w:hAnsi="Arial" w:cs="Arial"/>
          <w:lang w:val="en"/>
        </w:rPr>
        <w:t>CABENUVA</w:t>
      </w:r>
      <w:r w:rsidRPr="002E5A93">
        <w:rPr>
          <w:rFonts w:ascii="Arial" w:hAnsi="Arial" w:cs="Arial"/>
          <w:lang w:val="en"/>
        </w:rPr>
        <w:t xml:space="preserve"> </w:t>
      </w:r>
      <w:r w:rsidR="00BB0170">
        <w:rPr>
          <w:rFonts w:ascii="Arial" w:hAnsi="Arial" w:cs="Arial"/>
          <w:lang w:val="en"/>
        </w:rPr>
        <w:t>is</w:t>
      </w:r>
      <w:r w:rsidRPr="002E5A93">
        <w:rPr>
          <w:rFonts w:ascii="Arial" w:hAnsi="Arial" w:cs="Arial"/>
          <w:lang w:val="en"/>
        </w:rPr>
        <w:t xml:space="preserve"> provided in the Instructions for Use</w:t>
      </w:r>
      <w:r w:rsidR="00BB0170">
        <w:rPr>
          <w:rFonts w:ascii="Arial" w:hAnsi="Arial" w:cs="Arial"/>
          <w:lang w:val="en"/>
        </w:rPr>
        <w:t xml:space="preserve"> included as a package insert.</w:t>
      </w:r>
    </w:p>
    <w:p w14:paraId="235039B8" w14:textId="3DA2F8DC" w:rsidR="001A3992" w:rsidRDefault="00071855" w:rsidP="00923029">
      <w:pPr>
        <w:pStyle w:val="Heading2"/>
        <w:numPr>
          <w:ilvl w:val="1"/>
          <w:numId w:val="35"/>
        </w:numPr>
        <w:spacing w:before="0" w:after="120"/>
        <w:rPr>
          <w:rFonts w:ascii="Arial" w:hAnsi="Arial" w:cs="Arial"/>
          <w:smallCaps w:val="0"/>
        </w:rPr>
      </w:pPr>
      <w:r w:rsidRPr="00071855">
        <w:rPr>
          <w:rFonts w:ascii="Arial" w:hAnsi="Arial" w:cs="Arial"/>
          <w:smallCaps w:val="0"/>
        </w:rPr>
        <w:t>PHYSICOCHEMICAL PROPERTIES</w:t>
      </w:r>
    </w:p>
    <w:p w14:paraId="63D72826" w14:textId="6D4549DC" w:rsidR="00095967" w:rsidRPr="00095967" w:rsidRDefault="00095967" w:rsidP="00095967">
      <w:pPr>
        <w:pStyle w:val="Heading3"/>
        <w:spacing w:before="0" w:after="120"/>
        <w:rPr>
          <w:rFonts w:ascii="Arial" w:hAnsi="Arial" w:cs="Arial"/>
          <w:lang w:val="en-US"/>
        </w:rPr>
      </w:pPr>
      <w:r w:rsidRPr="00095967">
        <w:rPr>
          <w:rFonts w:ascii="Arial" w:hAnsi="Arial" w:cs="Arial"/>
          <w:lang w:val="en-US"/>
        </w:rPr>
        <w:t>Cabotegravir</w:t>
      </w:r>
      <w:r>
        <w:rPr>
          <w:rFonts w:ascii="Arial" w:hAnsi="Arial" w:cs="Arial"/>
          <w:lang w:val="en-US"/>
        </w:rPr>
        <w:t xml:space="preserve"> </w:t>
      </w:r>
    </w:p>
    <w:p w14:paraId="0DB99B39" w14:textId="77777777" w:rsidR="00D92BE3" w:rsidRPr="00BC19A4" w:rsidRDefault="00D92BE3" w:rsidP="00D92BE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rPr>
      </w:pPr>
      <w:r w:rsidRPr="00BC19A4">
        <w:rPr>
          <w:rFonts w:ascii="Arial" w:hAnsi="Arial" w:cs="Arial"/>
          <w:lang w:val="en-CA"/>
        </w:rPr>
        <w:t>Chemical name:</w:t>
      </w:r>
      <w:r>
        <w:rPr>
          <w:rFonts w:ascii="Arial" w:hAnsi="Arial" w:cs="Arial"/>
          <w:lang w:val="en-CA"/>
        </w:rPr>
        <w:t xml:space="preserve"> (</w:t>
      </w:r>
      <w:r w:rsidRPr="00142574">
        <w:rPr>
          <w:rFonts w:ascii="Arial" w:hAnsi="Arial" w:cs="Arial"/>
          <w:lang w:val="en-CA"/>
        </w:rPr>
        <w:t>3S,11aR)-N-[(2,4-Difluorophenyl)methyl]-6-hydroxy-3-methyl-5,7-dioxo-2,3,5,7,11,11a-hexahydro[1,3]oxazolo[3,2-a]pyrido[1,2-d]pyrazine-8-carboxamide</w:t>
      </w:r>
      <w:r w:rsidRPr="00BC19A4">
        <w:rPr>
          <w:rFonts w:ascii="Arial" w:hAnsi="Arial" w:cs="Arial"/>
          <w:lang w:val="en-CA"/>
        </w:rPr>
        <w:t xml:space="preserve">  </w:t>
      </w:r>
    </w:p>
    <w:p w14:paraId="0BD010C3" w14:textId="0500FBAB" w:rsidR="00D92BE3" w:rsidRPr="00950732" w:rsidRDefault="00D92BE3" w:rsidP="00D92BE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rPr>
      </w:pPr>
      <w:r w:rsidRPr="00BC19A4">
        <w:rPr>
          <w:rFonts w:ascii="Arial" w:hAnsi="Arial" w:cs="Arial"/>
          <w:lang w:val="en-CA"/>
        </w:rPr>
        <w:t>Molecular formula</w:t>
      </w:r>
      <w:r w:rsidRPr="00950732">
        <w:rPr>
          <w:rFonts w:ascii="Arial" w:hAnsi="Arial" w:cs="Arial"/>
          <w:lang w:val="en-CA"/>
        </w:rPr>
        <w:t>: C</w:t>
      </w:r>
      <w:r w:rsidRPr="00950732">
        <w:rPr>
          <w:rFonts w:ascii="Arial" w:hAnsi="Arial" w:cs="Arial"/>
          <w:vertAlign w:val="subscript"/>
          <w:lang w:val="en-CA"/>
        </w:rPr>
        <w:t>19</w:t>
      </w:r>
      <w:r w:rsidRPr="00950732">
        <w:rPr>
          <w:rFonts w:ascii="Arial" w:hAnsi="Arial" w:cs="Arial"/>
          <w:lang w:val="en-CA"/>
        </w:rPr>
        <w:t>H</w:t>
      </w:r>
      <w:r w:rsidRPr="00950732">
        <w:rPr>
          <w:rFonts w:ascii="Arial" w:hAnsi="Arial" w:cs="Arial"/>
          <w:vertAlign w:val="subscript"/>
          <w:lang w:val="en-CA"/>
        </w:rPr>
        <w:t>17</w:t>
      </w:r>
      <w:r w:rsidRPr="00950732">
        <w:rPr>
          <w:rFonts w:ascii="Arial" w:hAnsi="Arial" w:cs="Arial"/>
          <w:lang w:val="en-CA"/>
        </w:rPr>
        <w:t>F</w:t>
      </w:r>
      <w:r w:rsidRPr="00950732">
        <w:rPr>
          <w:rFonts w:ascii="Arial" w:hAnsi="Arial" w:cs="Arial"/>
          <w:vertAlign w:val="subscript"/>
          <w:lang w:val="en-CA"/>
        </w:rPr>
        <w:t>2</w:t>
      </w:r>
      <w:r w:rsidRPr="00950732">
        <w:rPr>
          <w:rFonts w:ascii="Arial" w:hAnsi="Arial" w:cs="Arial"/>
          <w:lang w:val="en-CA"/>
        </w:rPr>
        <w:t>N</w:t>
      </w:r>
      <w:r w:rsidRPr="00950732">
        <w:rPr>
          <w:rFonts w:ascii="Arial" w:hAnsi="Arial" w:cs="Arial"/>
          <w:vertAlign w:val="subscript"/>
          <w:lang w:val="en-CA"/>
        </w:rPr>
        <w:t>3</w:t>
      </w:r>
      <w:r w:rsidRPr="00950732">
        <w:rPr>
          <w:rFonts w:ascii="Arial" w:hAnsi="Arial" w:cs="Arial"/>
          <w:lang w:val="en-CA"/>
        </w:rPr>
        <w:t>O</w:t>
      </w:r>
      <w:r w:rsidRPr="00950732">
        <w:rPr>
          <w:rFonts w:ascii="Arial" w:hAnsi="Arial" w:cs="Arial"/>
          <w:vertAlign w:val="subscript"/>
          <w:lang w:val="en-CA"/>
        </w:rPr>
        <w:t>5</w:t>
      </w:r>
    </w:p>
    <w:p w14:paraId="481FBF76" w14:textId="777AA063" w:rsidR="00D92BE3" w:rsidRPr="00950732" w:rsidRDefault="00D92BE3" w:rsidP="00D92BE3">
      <w:pPr>
        <w:widowControl w:val="0"/>
        <w:tabs>
          <w:tab w:val="left" w:pos="-144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920"/>
          <w:tab w:val="left" w:pos="8640"/>
          <w:tab w:val="left" w:pos="9360"/>
          <w:tab w:val="left" w:pos="10080"/>
        </w:tabs>
        <w:rPr>
          <w:rFonts w:ascii="Arial" w:hAnsi="Arial" w:cs="Arial"/>
          <w:lang w:val="en-CA"/>
        </w:rPr>
      </w:pPr>
      <w:r>
        <w:rPr>
          <w:rFonts w:ascii="Arial" w:hAnsi="Arial" w:cs="Arial"/>
          <w:lang w:val="en-CA"/>
        </w:rPr>
        <w:t xml:space="preserve">Molecular weight: </w:t>
      </w:r>
      <w:r w:rsidRPr="00950732">
        <w:rPr>
          <w:rFonts w:ascii="Arial" w:hAnsi="Arial" w:cs="Arial"/>
          <w:lang w:val="en-CA"/>
        </w:rPr>
        <w:t>405.35 g/mol</w:t>
      </w:r>
    </w:p>
    <w:p w14:paraId="4A7042FE" w14:textId="77777777" w:rsidR="00D92BE3" w:rsidRPr="00095967" w:rsidRDefault="00D92BE3" w:rsidP="00D92BE3">
      <w:pPr>
        <w:rPr>
          <w:rFonts w:ascii="Arial" w:hAnsi="Arial" w:cs="Arial"/>
          <w:lang w:val="en"/>
        </w:rPr>
      </w:pPr>
      <w:r w:rsidRPr="00095967">
        <w:rPr>
          <w:rFonts w:ascii="Arial" w:hAnsi="Arial" w:cs="Arial"/>
          <w:lang w:val="en"/>
        </w:rPr>
        <w:t>Chemical structure</w:t>
      </w:r>
    </w:p>
    <w:p w14:paraId="490BC6D1" w14:textId="0C8CB33B" w:rsidR="00095967" w:rsidRDefault="00D92BE3" w:rsidP="00095967">
      <w:pPr>
        <w:rPr>
          <w:rFonts w:ascii="Arial" w:hAnsi="Arial" w:cs="Arial"/>
          <w:lang w:val="en"/>
        </w:rPr>
      </w:pPr>
      <w:r w:rsidRPr="00950732">
        <w:rPr>
          <w:noProof/>
          <w:lang w:eastAsia="en-AU"/>
        </w:rPr>
        <w:drawing>
          <wp:inline distT="0" distB="0" distL="0" distR="0" wp14:anchorId="72E3F1DF" wp14:editId="7987AFD1">
            <wp:extent cx="2352675" cy="876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2675" cy="876300"/>
                    </a:xfrm>
                    <a:prstGeom prst="rect">
                      <a:avLst/>
                    </a:prstGeom>
                    <a:noFill/>
                    <a:ln>
                      <a:noFill/>
                    </a:ln>
                  </pic:spPr>
                </pic:pic>
              </a:graphicData>
            </a:graphic>
          </wp:inline>
        </w:drawing>
      </w:r>
    </w:p>
    <w:p w14:paraId="0CC49762" w14:textId="15BA6BDD" w:rsidR="00D92BE3" w:rsidRDefault="00D92BE3" w:rsidP="00095967">
      <w:pPr>
        <w:rPr>
          <w:rFonts w:ascii="Arial" w:hAnsi="Arial" w:cs="Arial"/>
          <w:lang w:val="en"/>
        </w:rPr>
      </w:pPr>
      <w:r w:rsidRPr="00095967">
        <w:rPr>
          <w:rFonts w:ascii="Arial" w:hAnsi="Arial" w:cs="Arial"/>
          <w:lang w:val="en"/>
        </w:rPr>
        <w:t>CAS number</w:t>
      </w:r>
      <w:r>
        <w:rPr>
          <w:rFonts w:ascii="Arial" w:hAnsi="Arial" w:cs="Arial"/>
          <w:lang w:val="en"/>
        </w:rPr>
        <w:t xml:space="preserve">: </w:t>
      </w:r>
      <w:r w:rsidR="003E7E6F">
        <w:rPr>
          <w:rFonts w:ascii="Arial" w:hAnsi="Arial" w:cs="Arial"/>
          <w:lang w:val="en"/>
        </w:rPr>
        <w:t>1051375-10-0</w:t>
      </w:r>
    </w:p>
    <w:p w14:paraId="2BC8AAD8" w14:textId="35DFB59D" w:rsidR="00FE2D09" w:rsidRPr="00CA13F8" w:rsidRDefault="00FE2D09" w:rsidP="00095967">
      <w:pPr>
        <w:rPr>
          <w:rFonts w:ascii="Arial" w:hAnsi="Arial" w:cs="Arial"/>
        </w:rPr>
      </w:pPr>
      <w:r w:rsidRPr="00D669EB">
        <w:rPr>
          <w:rFonts w:ascii="Arial" w:hAnsi="Arial" w:cs="Arial"/>
        </w:rPr>
        <w:t>Cabotegravir is a white to almost white solid.</w:t>
      </w:r>
    </w:p>
    <w:p w14:paraId="7D7E271E" w14:textId="56473512" w:rsidR="00FB0F66" w:rsidRDefault="00FB0F66" w:rsidP="00FB0F66">
      <w:pPr>
        <w:pStyle w:val="Heading3"/>
        <w:spacing w:before="0" w:after="120"/>
        <w:rPr>
          <w:rFonts w:ascii="Arial" w:hAnsi="Arial" w:cs="Arial"/>
          <w:lang w:val="en-US"/>
        </w:rPr>
      </w:pPr>
      <w:r w:rsidRPr="00FB0F66">
        <w:rPr>
          <w:rFonts w:ascii="Arial" w:hAnsi="Arial" w:cs="Arial"/>
          <w:lang w:val="en-US"/>
        </w:rPr>
        <w:t>Rilpivirine</w:t>
      </w:r>
    </w:p>
    <w:p w14:paraId="1ED27072" w14:textId="77777777" w:rsidR="00FB0F66" w:rsidRPr="00BC19A4" w:rsidRDefault="00FB0F66" w:rsidP="00FB0F6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rPr>
      </w:pPr>
      <w:r w:rsidRPr="00BC19A4">
        <w:rPr>
          <w:rFonts w:ascii="Arial" w:hAnsi="Arial" w:cs="Arial"/>
          <w:lang w:val="en-CA"/>
        </w:rPr>
        <w:t>Chemical name:</w:t>
      </w:r>
      <w:r>
        <w:rPr>
          <w:rFonts w:ascii="Arial" w:hAnsi="Arial" w:cs="Arial"/>
          <w:lang w:val="en-CA"/>
        </w:rPr>
        <w:t xml:space="preserve"> </w:t>
      </w:r>
      <w:r w:rsidRPr="00142574">
        <w:rPr>
          <w:rFonts w:ascii="Arial" w:hAnsi="Arial" w:cs="Arial"/>
          <w:lang w:val="en-CA"/>
        </w:rPr>
        <w:t>4-[[4-[[4-[(E)-2-cyanoethenyl]-2,6-dimethylphenyl]amino]-2-pyrimidinyl]amino]benzonitrile</w:t>
      </w:r>
    </w:p>
    <w:p w14:paraId="04BC64E9" w14:textId="17C86734" w:rsidR="00FB0F66" w:rsidRPr="00681988" w:rsidRDefault="00FB0F66" w:rsidP="00FB0F6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rPr>
      </w:pPr>
      <w:r w:rsidRPr="00BC19A4">
        <w:rPr>
          <w:rFonts w:ascii="Arial" w:hAnsi="Arial" w:cs="Arial"/>
          <w:lang w:val="en-CA"/>
        </w:rPr>
        <w:t>Molecular formula</w:t>
      </w:r>
      <w:r>
        <w:rPr>
          <w:rFonts w:ascii="Arial" w:hAnsi="Arial" w:cs="Arial"/>
          <w:lang w:val="en-CA"/>
        </w:rPr>
        <w:t>:</w:t>
      </w:r>
      <w:r w:rsidRPr="00BC19A4">
        <w:rPr>
          <w:rFonts w:ascii="Arial" w:hAnsi="Arial" w:cs="Arial"/>
          <w:lang w:val="en-CA"/>
        </w:rPr>
        <w:t xml:space="preserve"> </w:t>
      </w:r>
      <w:r w:rsidRPr="00681988">
        <w:rPr>
          <w:rFonts w:ascii="Arial" w:hAnsi="Arial" w:cs="Arial"/>
          <w:lang w:val="en-CA"/>
        </w:rPr>
        <w:t>C</w:t>
      </w:r>
      <w:r w:rsidRPr="00681988">
        <w:rPr>
          <w:rFonts w:ascii="Arial" w:hAnsi="Arial" w:cs="Arial"/>
          <w:vertAlign w:val="subscript"/>
          <w:lang w:val="en-CA"/>
        </w:rPr>
        <w:t>22</w:t>
      </w:r>
      <w:r w:rsidRPr="00681988">
        <w:rPr>
          <w:rFonts w:ascii="Arial" w:hAnsi="Arial" w:cs="Arial"/>
          <w:lang w:val="en-CA"/>
        </w:rPr>
        <w:t>H</w:t>
      </w:r>
      <w:r w:rsidRPr="00681988">
        <w:rPr>
          <w:rFonts w:ascii="Arial" w:hAnsi="Arial" w:cs="Arial"/>
          <w:vertAlign w:val="subscript"/>
          <w:lang w:val="en-CA"/>
        </w:rPr>
        <w:t>18</w:t>
      </w:r>
      <w:r w:rsidRPr="00681988">
        <w:rPr>
          <w:rFonts w:ascii="Arial" w:hAnsi="Arial" w:cs="Arial"/>
          <w:lang w:val="en-CA"/>
        </w:rPr>
        <w:t>N</w:t>
      </w:r>
      <w:r w:rsidRPr="00681988">
        <w:rPr>
          <w:rFonts w:ascii="Arial" w:hAnsi="Arial" w:cs="Arial"/>
          <w:vertAlign w:val="subscript"/>
          <w:lang w:val="en-CA"/>
        </w:rPr>
        <w:t>6</w:t>
      </w:r>
      <w:r w:rsidRPr="00681988">
        <w:rPr>
          <w:rFonts w:ascii="Arial" w:hAnsi="Arial" w:cs="Arial"/>
          <w:lang w:val="en-CA"/>
        </w:rPr>
        <w:t xml:space="preserve"> </w:t>
      </w:r>
    </w:p>
    <w:p w14:paraId="4A7803A7" w14:textId="40525732" w:rsidR="00FB0F66" w:rsidRDefault="00FB0F66" w:rsidP="00FB0F66">
      <w:pPr>
        <w:widowControl w:val="0"/>
        <w:tabs>
          <w:tab w:val="left" w:pos="-144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920"/>
          <w:tab w:val="left" w:pos="8640"/>
          <w:tab w:val="left" w:pos="9360"/>
          <w:tab w:val="left" w:pos="10080"/>
        </w:tabs>
        <w:rPr>
          <w:rFonts w:ascii="Arial" w:hAnsi="Arial" w:cs="Arial"/>
          <w:lang w:val="en-CA"/>
        </w:rPr>
      </w:pPr>
      <w:r>
        <w:rPr>
          <w:rFonts w:ascii="Arial" w:hAnsi="Arial" w:cs="Arial"/>
          <w:lang w:val="en-CA"/>
        </w:rPr>
        <w:t xml:space="preserve">Molecular weight: </w:t>
      </w:r>
      <w:r w:rsidRPr="00681988">
        <w:rPr>
          <w:rFonts w:ascii="Arial" w:hAnsi="Arial" w:cs="Arial"/>
          <w:lang w:val="en-CA"/>
        </w:rPr>
        <w:t>366.42</w:t>
      </w:r>
      <w:r>
        <w:rPr>
          <w:rFonts w:ascii="Arial" w:hAnsi="Arial" w:cs="Arial"/>
          <w:lang w:val="en-CA"/>
        </w:rPr>
        <w:t xml:space="preserve"> </w:t>
      </w:r>
      <w:r w:rsidRPr="00681988">
        <w:rPr>
          <w:rFonts w:ascii="Arial" w:hAnsi="Arial" w:cs="Arial"/>
          <w:lang w:val="en-CA"/>
        </w:rPr>
        <w:t>g/mol</w:t>
      </w:r>
    </w:p>
    <w:p w14:paraId="2C5388AA" w14:textId="77777777" w:rsidR="00FB0F66" w:rsidRPr="00095967" w:rsidRDefault="00FB0F66" w:rsidP="00FB0F66">
      <w:pPr>
        <w:rPr>
          <w:rFonts w:ascii="Arial" w:hAnsi="Arial" w:cs="Arial"/>
          <w:lang w:val="en"/>
        </w:rPr>
      </w:pPr>
      <w:r w:rsidRPr="00095967">
        <w:rPr>
          <w:rFonts w:ascii="Arial" w:hAnsi="Arial" w:cs="Arial"/>
          <w:lang w:val="en"/>
        </w:rPr>
        <w:t>Chemical structure</w:t>
      </w:r>
    </w:p>
    <w:p w14:paraId="31E7FFF8" w14:textId="0E42DEFD" w:rsidR="00FB0F66" w:rsidRDefault="007C06F1" w:rsidP="00FB0F66">
      <w:pPr>
        <w:widowControl w:val="0"/>
        <w:tabs>
          <w:tab w:val="left" w:pos="-144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0"/>
          <w:lang w:val="en-US" w:eastAsia="en-CA"/>
        </w:rPr>
      </w:pPr>
      <w:r w:rsidRPr="007C06F1">
        <w:rPr>
          <w:rFonts w:ascii="Times New Roman" w:eastAsia="Times New Roman" w:hAnsi="Times New Roman" w:cs="Times New Roman"/>
          <w:sz w:val="24"/>
          <w:szCs w:val="20"/>
          <w:lang w:val="en-US" w:eastAsia="en-CA"/>
        </w:rPr>
        <w:object w:dxaOrig="3489" w:dyaOrig="949" w14:anchorId="5CB05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57.6pt" o:ole="">
            <v:imagedata r:id="rId15" o:title=""/>
          </v:shape>
          <o:OLEObject Type="Embed" ProgID="ChemDraw.Document.6.0" ShapeID="_x0000_i1025" DrawAspect="Content" ObjectID="_1682922835" r:id="rId16"/>
        </w:object>
      </w:r>
    </w:p>
    <w:p w14:paraId="57E51A3A" w14:textId="2A42610D" w:rsidR="007C06F1" w:rsidRDefault="007C06F1" w:rsidP="007C06F1">
      <w:pPr>
        <w:rPr>
          <w:rFonts w:ascii="Arial" w:hAnsi="Arial" w:cs="Arial"/>
          <w:lang w:val="en"/>
        </w:rPr>
      </w:pPr>
      <w:r w:rsidRPr="00095967">
        <w:rPr>
          <w:rFonts w:ascii="Arial" w:hAnsi="Arial" w:cs="Arial"/>
          <w:lang w:val="en"/>
        </w:rPr>
        <w:t>CAS number</w:t>
      </w:r>
      <w:r>
        <w:rPr>
          <w:rFonts w:ascii="Arial" w:hAnsi="Arial" w:cs="Arial"/>
          <w:lang w:val="en"/>
        </w:rPr>
        <w:t>: 500287-72-9</w:t>
      </w:r>
    </w:p>
    <w:p w14:paraId="3E82857E" w14:textId="77777777" w:rsidR="00FE2D09" w:rsidRPr="00D669EB" w:rsidRDefault="00FE2D09" w:rsidP="00FE2D09">
      <w:pPr>
        <w:rPr>
          <w:rFonts w:ascii="Arial" w:hAnsi="Arial" w:cs="Arial"/>
        </w:rPr>
      </w:pPr>
      <w:r>
        <w:rPr>
          <w:rFonts w:ascii="Arial" w:hAnsi="Arial" w:cs="Arial"/>
        </w:rPr>
        <w:t>Rilpivirine is a white to off white powder.</w:t>
      </w:r>
    </w:p>
    <w:p w14:paraId="4C6E7304" w14:textId="77777777" w:rsidR="001A3992" w:rsidRPr="00923029" w:rsidRDefault="001A3992" w:rsidP="00923029">
      <w:pPr>
        <w:pStyle w:val="Heading1"/>
        <w:numPr>
          <w:ilvl w:val="0"/>
          <w:numId w:val="35"/>
        </w:numPr>
        <w:spacing w:before="0" w:after="120"/>
        <w:ind w:left="426"/>
        <w:rPr>
          <w:rFonts w:ascii="Arial" w:hAnsi="Arial" w:cs="Arial"/>
        </w:rPr>
      </w:pPr>
      <w:r w:rsidRPr="00923029">
        <w:rPr>
          <w:rFonts w:ascii="Arial" w:hAnsi="Arial" w:cs="Arial"/>
        </w:rPr>
        <w:lastRenderedPageBreak/>
        <w:t>Medicine schedule (Poisons Standard)</w:t>
      </w:r>
    </w:p>
    <w:p w14:paraId="443F448F" w14:textId="51FECA47" w:rsidR="00071855" w:rsidRPr="006E595D" w:rsidRDefault="006E595D" w:rsidP="006E595D">
      <w:pPr>
        <w:spacing w:after="240"/>
        <w:jc w:val="both"/>
        <w:rPr>
          <w:rFonts w:ascii="Arial" w:hAnsi="Arial" w:cs="Arial"/>
          <w:color w:val="000000"/>
        </w:rPr>
      </w:pPr>
      <w:r w:rsidRPr="00571510">
        <w:rPr>
          <w:rFonts w:ascii="Arial" w:hAnsi="Arial" w:cs="Arial"/>
          <w:color w:val="000000"/>
        </w:rPr>
        <w:t>Schedule 4 – Prescription Only Medicine</w:t>
      </w:r>
      <w:r>
        <w:rPr>
          <w:rFonts w:ascii="Arial" w:hAnsi="Arial" w:cs="Arial"/>
          <w:color w:val="000000"/>
        </w:rPr>
        <w:t xml:space="preserve"> </w:t>
      </w:r>
    </w:p>
    <w:p w14:paraId="4A35EF33" w14:textId="77777777" w:rsidR="00285173" w:rsidRPr="00923029" w:rsidRDefault="001A3992" w:rsidP="00923029">
      <w:pPr>
        <w:pStyle w:val="Heading1"/>
        <w:numPr>
          <w:ilvl w:val="0"/>
          <w:numId w:val="35"/>
        </w:numPr>
        <w:spacing w:before="0" w:after="120"/>
        <w:ind w:left="426"/>
        <w:rPr>
          <w:rFonts w:ascii="Arial" w:hAnsi="Arial" w:cs="Arial"/>
        </w:rPr>
      </w:pPr>
      <w:r w:rsidRPr="00923029">
        <w:rPr>
          <w:rFonts w:ascii="Arial" w:hAnsi="Arial" w:cs="Arial"/>
        </w:rPr>
        <w:t>Sponsor</w:t>
      </w:r>
      <w:r w:rsidR="00285173" w:rsidRPr="00923029">
        <w:rPr>
          <w:rFonts w:ascii="Arial" w:hAnsi="Arial" w:cs="Arial"/>
        </w:rPr>
        <w:t xml:space="preserve"> </w:t>
      </w:r>
    </w:p>
    <w:p w14:paraId="206E7EBC" w14:textId="77777777" w:rsidR="00622066" w:rsidRPr="008F4ADC" w:rsidRDefault="00622066" w:rsidP="00622066">
      <w:pPr>
        <w:spacing w:after="120" w:line="240" w:lineRule="auto"/>
        <w:jc w:val="both"/>
        <w:rPr>
          <w:rFonts w:ascii="Arial" w:hAnsi="Arial" w:cs="Arial"/>
          <w:color w:val="000000"/>
        </w:rPr>
      </w:pPr>
      <w:r w:rsidRPr="008F4ADC">
        <w:rPr>
          <w:rFonts w:ascii="Arial" w:hAnsi="Arial" w:cs="Arial"/>
          <w:color w:val="000000"/>
        </w:rPr>
        <w:t>ViiV Healthcare Pty Ltd</w:t>
      </w:r>
    </w:p>
    <w:p w14:paraId="4A00A506" w14:textId="77777777" w:rsidR="00622066" w:rsidRPr="008F4ADC" w:rsidRDefault="00622066" w:rsidP="00622066">
      <w:pPr>
        <w:spacing w:after="120" w:line="240" w:lineRule="auto"/>
        <w:jc w:val="both"/>
        <w:rPr>
          <w:rFonts w:ascii="Arial" w:hAnsi="Arial" w:cs="Arial"/>
          <w:color w:val="000000"/>
        </w:rPr>
      </w:pPr>
      <w:r w:rsidRPr="008F4ADC">
        <w:rPr>
          <w:rFonts w:ascii="Arial" w:hAnsi="Arial" w:cs="Arial"/>
          <w:color w:val="000000"/>
        </w:rPr>
        <w:t xml:space="preserve">Level 4, 436 Johnston Street, </w:t>
      </w:r>
    </w:p>
    <w:p w14:paraId="15C7AFE6" w14:textId="77777777" w:rsidR="00622066" w:rsidRPr="008F4ADC" w:rsidRDefault="00622066" w:rsidP="00622066">
      <w:pPr>
        <w:spacing w:after="240"/>
        <w:jc w:val="both"/>
        <w:rPr>
          <w:rFonts w:ascii="Arial" w:hAnsi="Arial" w:cs="Arial"/>
          <w:color w:val="000000"/>
        </w:rPr>
      </w:pPr>
      <w:r w:rsidRPr="008F4ADC">
        <w:rPr>
          <w:rFonts w:ascii="Arial" w:hAnsi="Arial" w:cs="Arial"/>
          <w:color w:val="000000"/>
        </w:rPr>
        <w:t>Abbotsford, Victoria, 3067</w:t>
      </w:r>
    </w:p>
    <w:p w14:paraId="28B3C06E" w14:textId="77777777" w:rsidR="00285173" w:rsidRPr="00923029" w:rsidRDefault="00285173" w:rsidP="00923029">
      <w:pPr>
        <w:pStyle w:val="Heading1"/>
        <w:numPr>
          <w:ilvl w:val="0"/>
          <w:numId w:val="35"/>
        </w:numPr>
        <w:spacing w:before="0" w:after="120"/>
        <w:ind w:left="426"/>
        <w:rPr>
          <w:rFonts w:ascii="Arial" w:hAnsi="Arial" w:cs="Arial"/>
        </w:rPr>
      </w:pPr>
      <w:r w:rsidRPr="00923029">
        <w:rPr>
          <w:rFonts w:ascii="Arial" w:hAnsi="Arial" w:cs="Arial"/>
        </w:rPr>
        <w:t xml:space="preserve">Date of first approval  </w:t>
      </w:r>
    </w:p>
    <w:p w14:paraId="12EA0671" w14:textId="4AAAB8BA" w:rsidR="00071855" w:rsidRPr="00095967" w:rsidRDefault="00B20EC9" w:rsidP="00095967">
      <w:pPr>
        <w:spacing w:after="240"/>
        <w:jc w:val="both"/>
        <w:rPr>
          <w:rFonts w:ascii="Arial" w:hAnsi="Arial" w:cs="Arial"/>
          <w:color w:val="000000"/>
        </w:rPr>
      </w:pPr>
      <w:r>
        <w:rPr>
          <w:rFonts w:ascii="Arial" w:hAnsi="Arial" w:cs="Arial"/>
          <w:color w:val="000000"/>
        </w:rPr>
        <w:t>23 February 2021</w:t>
      </w:r>
    </w:p>
    <w:p w14:paraId="3705E5A8" w14:textId="77777777" w:rsidR="00285173" w:rsidRPr="00923029" w:rsidRDefault="00285173" w:rsidP="00923029">
      <w:pPr>
        <w:pStyle w:val="Heading1"/>
        <w:numPr>
          <w:ilvl w:val="0"/>
          <w:numId w:val="35"/>
        </w:numPr>
        <w:spacing w:before="0" w:after="120"/>
        <w:ind w:left="426"/>
        <w:rPr>
          <w:rFonts w:ascii="Arial" w:hAnsi="Arial" w:cs="Arial"/>
        </w:rPr>
      </w:pPr>
      <w:r w:rsidRPr="00923029">
        <w:rPr>
          <w:rFonts w:ascii="Arial" w:hAnsi="Arial" w:cs="Arial"/>
        </w:rPr>
        <w:t xml:space="preserve">Date of revision </w:t>
      </w:r>
    </w:p>
    <w:p w14:paraId="3F72A515" w14:textId="73E88FBD" w:rsidR="00C5247F" w:rsidRPr="00095967" w:rsidRDefault="00095967" w:rsidP="00095967">
      <w:pPr>
        <w:spacing w:after="240"/>
        <w:jc w:val="both"/>
        <w:rPr>
          <w:rFonts w:ascii="Arial" w:hAnsi="Arial" w:cs="Arial"/>
          <w:color w:val="000000"/>
        </w:rPr>
      </w:pPr>
      <w:r>
        <w:rPr>
          <w:rFonts w:ascii="Arial" w:hAnsi="Arial" w:cs="Arial"/>
          <w:color w:val="000000"/>
        </w:rPr>
        <w:t>Not applicable</w:t>
      </w:r>
    </w:p>
    <w:p w14:paraId="389E9204" w14:textId="3BDF34C8" w:rsidR="006E595D" w:rsidRPr="00095967" w:rsidRDefault="006E595D" w:rsidP="006E595D">
      <w:pPr>
        <w:spacing w:after="240"/>
        <w:jc w:val="both"/>
        <w:rPr>
          <w:rFonts w:ascii="Arial" w:hAnsi="Arial" w:cs="Arial"/>
        </w:rPr>
      </w:pPr>
      <w:r w:rsidRPr="00095967">
        <w:rPr>
          <w:rFonts w:ascii="Arial" w:hAnsi="Arial" w:cs="Arial"/>
        </w:rPr>
        <w:t xml:space="preserve">Version </w:t>
      </w:r>
      <w:r w:rsidR="00C5247F">
        <w:rPr>
          <w:rFonts w:ascii="Arial" w:hAnsi="Arial" w:cs="Arial"/>
        </w:rPr>
        <w:t>1</w:t>
      </w:r>
      <w:r w:rsidRPr="00095967">
        <w:rPr>
          <w:rFonts w:ascii="Arial" w:hAnsi="Arial" w:cs="Arial"/>
        </w:rPr>
        <w:t>.0</w:t>
      </w:r>
    </w:p>
    <w:p w14:paraId="36546D42" w14:textId="15E6ADFE" w:rsidR="006E595D" w:rsidRPr="00E116C7" w:rsidRDefault="00D6566C" w:rsidP="006E595D">
      <w:pPr>
        <w:spacing w:after="240"/>
        <w:jc w:val="both"/>
        <w:rPr>
          <w:rFonts w:ascii="Arial" w:hAnsi="Arial" w:cs="Arial"/>
        </w:rPr>
      </w:pPr>
      <w:r w:rsidRPr="00E116C7">
        <w:rPr>
          <w:rFonts w:ascii="Arial" w:hAnsi="Arial" w:cs="Arial"/>
        </w:rPr>
        <w:t>Trademarks</w:t>
      </w:r>
      <w:r w:rsidR="006E595D" w:rsidRPr="00E116C7">
        <w:rPr>
          <w:rFonts w:ascii="Arial" w:hAnsi="Arial" w:cs="Arial"/>
        </w:rPr>
        <w:t xml:space="preserve"> are owned by or licensed to the </w:t>
      </w:r>
      <w:r w:rsidR="006E595D">
        <w:rPr>
          <w:rFonts w:ascii="Arial" w:hAnsi="Arial" w:cs="Arial"/>
        </w:rPr>
        <w:t>ViiV</w:t>
      </w:r>
      <w:r w:rsidR="00EC1110">
        <w:rPr>
          <w:rFonts w:ascii="Arial" w:hAnsi="Arial" w:cs="Arial"/>
        </w:rPr>
        <w:t xml:space="preserve"> Healthcare</w:t>
      </w:r>
      <w:r w:rsidR="006E595D" w:rsidRPr="00E116C7">
        <w:rPr>
          <w:rFonts w:ascii="Arial" w:hAnsi="Arial" w:cs="Arial"/>
        </w:rPr>
        <w:t xml:space="preserve"> group of companies.</w:t>
      </w:r>
    </w:p>
    <w:p w14:paraId="5FF05398" w14:textId="68E62131" w:rsidR="006E595D" w:rsidRDefault="006E595D" w:rsidP="00622066">
      <w:pPr>
        <w:spacing w:after="240"/>
        <w:jc w:val="both"/>
        <w:rPr>
          <w:rFonts w:ascii="Arial" w:hAnsi="Arial" w:cs="Arial"/>
        </w:rPr>
      </w:pPr>
      <w:r w:rsidRPr="00095967">
        <w:rPr>
          <w:rFonts w:ascii="Arial" w:hAnsi="Arial" w:cs="Arial"/>
        </w:rPr>
        <w:t xml:space="preserve">© </w:t>
      </w:r>
      <w:r w:rsidR="00095967" w:rsidRPr="00095967">
        <w:rPr>
          <w:rFonts w:ascii="Arial" w:hAnsi="Arial" w:cs="Arial"/>
        </w:rPr>
        <w:t>20</w:t>
      </w:r>
      <w:r w:rsidR="00C5247F">
        <w:rPr>
          <w:rFonts w:ascii="Arial" w:hAnsi="Arial" w:cs="Arial"/>
        </w:rPr>
        <w:t>2</w:t>
      </w:r>
      <w:r w:rsidR="00D4064D">
        <w:rPr>
          <w:rFonts w:ascii="Arial" w:hAnsi="Arial" w:cs="Arial"/>
        </w:rPr>
        <w:t>1</w:t>
      </w:r>
      <w:r w:rsidR="00095967" w:rsidRPr="00095967">
        <w:rPr>
          <w:rFonts w:ascii="Arial" w:hAnsi="Arial" w:cs="Arial"/>
        </w:rPr>
        <w:t xml:space="preserve"> </w:t>
      </w:r>
      <w:r w:rsidRPr="00095967">
        <w:rPr>
          <w:rFonts w:ascii="Arial" w:hAnsi="Arial" w:cs="Arial"/>
        </w:rPr>
        <w:t>ViiV</w:t>
      </w:r>
      <w:r w:rsidR="00EC1110" w:rsidRPr="00095967">
        <w:rPr>
          <w:rFonts w:ascii="Arial" w:hAnsi="Arial" w:cs="Arial"/>
        </w:rPr>
        <w:t xml:space="preserve"> Healthcare</w:t>
      </w:r>
      <w:r w:rsidRPr="00095967">
        <w:rPr>
          <w:rFonts w:ascii="Arial" w:hAnsi="Arial" w:cs="Arial"/>
        </w:rPr>
        <w:t xml:space="preserve">  group of companies or its licensor.</w:t>
      </w:r>
    </w:p>
    <w:sectPr w:rsidR="006E595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52469" w14:textId="77777777" w:rsidR="00B93BAD" w:rsidRDefault="00B93BAD">
      <w:pPr>
        <w:spacing w:after="0" w:line="240" w:lineRule="auto"/>
      </w:pPr>
      <w:r>
        <w:separator/>
      </w:r>
    </w:p>
  </w:endnote>
  <w:endnote w:type="continuationSeparator" w:id="0">
    <w:p w14:paraId="028EBAD1" w14:textId="77777777" w:rsidR="00B93BAD" w:rsidRDefault="00B93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charset w:val="00"/>
    <w:family w:val="auto"/>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7A611" w14:textId="77777777" w:rsidR="00B93BAD" w:rsidRDefault="00B93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3430"/>
      <w:docPartObj>
        <w:docPartGallery w:val="Page Numbers (Bottom of Page)"/>
        <w:docPartUnique/>
      </w:docPartObj>
    </w:sdtPr>
    <w:sdtEndPr>
      <w:rPr>
        <w:rFonts w:ascii="Arial" w:hAnsi="Arial" w:cs="Arial"/>
        <w:noProof/>
        <w:sz w:val="20"/>
        <w:szCs w:val="20"/>
      </w:rPr>
    </w:sdtEndPr>
    <w:sdtContent>
      <w:p w14:paraId="0FB2EC43" w14:textId="48905B15" w:rsidR="00B93BAD" w:rsidRPr="008F4ADC" w:rsidRDefault="00B93BAD" w:rsidP="00B02CA3">
        <w:pPr>
          <w:pStyle w:val="Footer"/>
          <w:jc w:val="right"/>
          <w:rPr>
            <w:rFonts w:ascii="Arial" w:hAnsi="Arial" w:cs="Arial"/>
            <w:sz w:val="20"/>
            <w:szCs w:val="20"/>
          </w:rPr>
        </w:pPr>
        <w:r w:rsidRPr="008F4ADC">
          <w:rPr>
            <w:rFonts w:ascii="Arial" w:hAnsi="Arial" w:cs="Arial"/>
            <w:sz w:val="20"/>
            <w:szCs w:val="20"/>
          </w:rPr>
          <w:fldChar w:fldCharType="begin"/>
        </w:r>
        <w:r w:rsidRPr="008F4ADC">
          <w:rPr>
            <w:rFonts w:ascii="Arial" w:hAnsi="Arial" w:cs="Arial"/>
            <w:sz w:val="20"/>
            <w:szCs w:val="20"/>
          </w:rPr>
          <w:instrText xml:space="preserve"> PAGE   \* MERGEFORMAT </w:instrText>
        </w:r>
        <w:r w:rsidRPr="008F4ADC">
          <w:rPr>
            <w:rFonts w:ascii="Arial" w:hAnsi="Arial" w:cs="Arial"/>
            <w:sz w:val="20"/>
            <w:szCs w:val="20"/>
          </w:rPr>
          <w:fldChar w:fldCharType="separate"/>
        </w:r>
        <w:r w:rsidR="00912DDD">
          <w:rPr>
            <w:rFonts w:ascii="Arial" w:hAnsi="Arial" w:cs="Arial"/>
            <w:noProof/>
            <w:sz w:val="20"/>
            <w:szCs w:val="20"/>
          </w:rPr>
          <w:t>1</w:t>
        </w:r>
        <w:r w:rsidRPr="008F4ADC">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B9BA0" w14:textId="77777777" w:rsidR="00B93BAD" w:rsidRDefault="00B93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45521" w14:textId="77777777" w:rsidR="00B93BAD" w:rsidRDefault="00B93BAD">
      <w:pPr>
        <w:spacing w:after="0" w:line="240" w:lineRule="auto"/>
      </w:pPr>
      <w:r>
        <w:separator/>
      </w:r>
    </w:p>
  </w:footnote>
  <w:footnote w:type="continuationSeparator" w:id="0">
    <w:p w14:paraId="1E05AD25" w14:textId="77777777" w:rsidR="00B93BAD" w:rsidRDefault="00B93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50557" w14:textId="77777777" w:rsidR="00B93BAD" w:rsidRDefault="00B93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897"/>
    </w:tblGrid>
    <w:tr w:rsidR="00B93BAD" w:rsidRPr="000B2145" w14:paraId="1E134C08" w14:textId="77777777" w:rsidTr="00B93BAD">
      <w:trPr>
        <w:trHeight w:val="1012"/>
      </w:trPr>
      <w:tc>
        <w:tcPr>
          <w:tcW w:w="8897" w:type="dxa"/>
          <w:shd w:val="clear" w:color="auto" w:fill="E4F2E0"/>
        </w:tcPr>
        <w:p w14:paraId="62EC4B58" w14:textId="77777777" w:rsidR="00B93BAD" w:rsidRPr="000B2145" w:rsidRDefault="00B93BAD" w:rsidP="00B93BAD">
          <w:pPr>
            <w:pStyle w:val="Footer"/>
            <w:rPr>
              <w:b/>
              <w:sz w:val="18"/>
              <w:szCs w:val="18"/>
            </w:rPr>
          </w:pPr>
          <w:r w:rsidRPr="00EA0C3C">
            <w:rPr>
              <w:b/>
              <w:sz w:val="18"/>
              <w:szCs w:val="18"/>
            </w:rPr>
            <w:t>Attachment 1:</w:t>
          </w:r>
          <w:r>
            <w:t xml:space="preserve"> </w:t>
          </w:r>
          <w:r w:rsidRPr="00263B58">
            <w:rPr>
              <w:b/>
            </w:rPr>
            <w:t xml:space="preserve">AusPAR - </w:t>
          </w:r>
          <w:proofErr w:type="spellStart"/>
          <w:r w:rsidRPr="00263B58">
            <w:rPr>
              <w:b/>
            </w:rPr>
            <w:t>Vocabria</w:t>
          </w:r>
          <w:proofErr w:type="spellEnd"/>
          <w:r w:rsidRPr="00263B58">
            <w:rPr>
              <w:b/>
            </w:rPr>
            <w:t xml:space="preserve"> and </w:t>
          </w:r>
          <w:proofErr w:type="spellStart"/>
          <w:r w:rsidRPr="00263B58">
            <w:rPr>
              <w:b/>
            </w:rPr>
            <w:t>Cabenuva</w:t>
          </w:r>
          <w:proofErr w:type="spellEnd"/>
          <w:r w:rsidRPr="00263B58">
            <w:rPr>
              <w:b/>
            </w:rPr>
            <w:t xml:space="preserve"> - </w:t>
          </w:r>
          <w:proofErr w:type="spellStart"/>
          <w:r w:rsidRPr="00263B58">
            <w:rPr>
              <w:b/>
            </w:rPr>
            <w:t>cabotegravir</w:t>
          </w:r>
          <w:proofErr w:type="spellEnd"/>
          <w:r w:rsidRPr="00263B58">
            <w:rPr>
              <w:b/>
            </w:rPr>
            <w:t xml:space="preserve"> and </w:t>
          </w:r>
          <w:proofErr w:type="spellStart"/>
          <w:r w:rsidRPr="00263B58">
            <w:rPr>
              <w:b/>
            </w:rPr>
            <w:t>cabotegravir</w:t>
          </w:r>
          <w:proofErr w:type="spellEnd"/>
          <w:r w:rsidRPr="00263B58">
            <w:rPr>
              <w:b/>
            </w:rPr>
            <w:t>/</w:t>
          </w:r>
          <w:proofErr w:type="spellStart"/>
          <w:r w:rsidRPr="00263B58">
            <w:rPr>
              <w:b/>
            </w:rPr>
            <w:t>rilpivirine</w:t>
          </w:r>
          <w:proofErr w:type="spellEnd"/>
          <w:r w:rsidRPr="00263B58">
            <w:rPr>
              <w:b/>
            </w:rPr>
            <w:t xml:space="preserve"> - </w:t>
          </w:r>
          <w:proofErr w:type="spellStart"/>
          <w:r w:rsidRPr="00263B58">
            <w:rPr>
              <w:b/>
            </w:rPr>
            <w:t>ViiV</w:t>
          </w:r>
          <w:proofErr w:type="spellEnd"/>
          <w:r w:rsidRPr="00263B58">
            <w:rPr>
              <w:b/>
            </w:rPr>
            <w:t xml:space="preserve"> Healthcare Pty Ltd - PM-2019-04281-1-2 and PM-2019-04280-1-2</w:t>
          </w:r>
          <w:r>
            <w:rPr>
              <w:b/>
            </w:rPr>
            <w:t xml:space="preserve"> </w:t>
          </w:r>
          <w:r w:rsidRPr="00263B58">
            <w:rPr>
              <w:b/>
            </w:rPr>
            <w:t>FINAL 3 May 2021</w:t>
          </w:r>
          <w:r w:rsidRPr="00AF7991">
            <w:rPr>
              <w:b/>
              <w:sz w:val="18"/>
              <w:szCs w:val="18"/>
            </w:rPr>
            <w:t>.</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0BA29297" w14:textId="77777777" w:rsidR="00B93BAD" w:rsidRDefault="00B93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F51B7" w14:textId="77777777" w:rsidR="00B93BAD" w:rsidRDefault="00B93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BC088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7894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8490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FECF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8B0B2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AAEE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6250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900F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6EF006"/>
    <w:lvl w:ilvl="0">
      <w:start w:val="1"/>
      <w:numFmt w:val="decimal"/>
      <w:pStyle w:val="ListNumber"/>
      <w:lvlText w:val="%1."/>
      <w:lvlJc w:val="left"/>
      <w:pPr>
        <w:tabs>
          <w:tab w:val="num" w:pos="360"/>
        </w:tabs>
        <w:ind w:left="360" w:hanging="360"/>
      </w:pPr>
    </w:lvl>
  </w:abstractNum>
  <w:abstractNum w:abstractNumId="9" w15:restartNumberingAfterBreak="0">
    <w:nsid w:val="08531637"/>
    <w:multiLevelType w:val="hybridMultilevel"/>
    <w:tmpl w:val="D9DC6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A076927"/>
    <w:multiLevelType w:val="hybridMultilevel"/>
    <w:tmpl w:val="8A44E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DA76B3E"/>
    <w:multiLevelType w:val="hybridMultilevel"/>
    <w:tmpl w:val="F5DA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411B6"/>
    <w:multiLevelType w:val="hybridMultilevel"/>
    <w:tmpl w:val="459CD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5935D4"/>
    <w:multiLevelType w:val="hybridMultilevel"/>
    <w:tmpl w:val="E910CFD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39DB3964"/>
    <w:multiLevelType w:val="hybridMultilevel"/>
    <w:tmpl w:val="DAA2F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FE4B2A"/>
    <w:multiLevelType w:val="hybridMultilevel"/>
    <w:tmpl w:val="0D68D196"/>
    <w:lvl w:ilvl="0" w:tplc="E3F24EE2">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AC56F4"/>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E9213EE"/>
    <w:multiLevelType w:val="hybridMultilevel"/>
    <w:tmpl w:val="ABAC9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0332797"/>
    <w:multiLevelType w:val="multilevel"/>
    <w:tmpl w:val="0C090025"/>
    <w:lvl w:ilvl="0">
      <w:start w:val="1"/>
      <w:numFmt w:val="decimal"/>
      <w:lvlText w:val="%1"/>
      <w:lvlJc w:val="left"/>
      <w:pPr>
        <w:ind w:left="858"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2C1287B"/>
    <w:multiLevelType w:val="hybridMultilevel"/>
    <w:tmpl w:val="56E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7B3B10"/>
    <w:multiLevelType w:val="hybridMultilevel"/>
    <w:tmpl w:val="1ABE5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3"/>
  </w:num>
  <w:num w:numId="28">
    <w:abstractNumId w:val="17"/>
  </w:num>
  <w:num w:numId="29">
    <w:abstractNumId w:val="9"/>
  </w:num>
  <w:num w:numId="30">
    <w:abstractNumId w:val="20"/>
  </w:num>
  <w:num w:numId="31">
    <w:abstractNumId w:val="10"/>
  </w:num>
  <w:num w:numId="32">
    <w:abstractNumId w:val="15"/>
  </w:num>
  <w:num w:numId="33">
    <w:abstractNumId w:val="19"/>
  </w:num>
  <w:num w:numId="34">
    <w:abstractNumId w:val="11"/>
  </w:num>
  <w:num w:numId="35">
    <w:abstractNumId w:val="16"/>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92"/>
    <w:rsid w:val="000253F1"/>
    <w:rsid w:val="00042302"/>
    <w:rsid w:val="000657D3"/>
    <w:rsid w:val="00066179"/>
    <w:rsid w:val="00071855"/>
    <w:rsid w:val="00071973"/>
    <w:rsid w:val="00071E4D"/>
    <w:rsid w:val="000845BD"/>
    <w:rsid w:val="00091619"/>
    <w:rsid w:val="00094425"/>
    <w:rsid w:val="00094A0A"/>
    <w:rsid w:val="00095967"/>
    <w:rsid w:val="00096112"/>
    <w:rsid w:val="000A3CFF"/>
    <w:rsid w:val="000B19E6"/>
    <w:rsid w:val="000B63C8"/>
    <w:rsid w:val="000D5825"/>
    <w:rsid w:val="000D668F"/>
    <w:rsid w:val="00110F52"/>
    <w:rsid w:val="0011749B"/>
    <w:rsid w:val="001359F2"/>
    <w:rsid w:val="00150480"/>
    <w:rsid w:val="00165769"/>
    <w:rsid w:val="00175721"/>
    <w:rsid w:val="0017644E"/>
    <w:rsid w:val="001A3992"/>
    <w:rsid w:val="001A5DF6"/>
    <w:rsid w:val="001B3616"/>
    <w:rsid w:val="001C0CCC"/>
    <w:rsid w:val="001C1B56"/>
    <w:rsid w:val="001D4A64"/>
    <w:rsid w:val="001E3868"/>
    <w:rsid w:val="001F4904"/>
    <w:rsid w:val="00207C8B"/>
    <w:rsid w:val="0023341D"/>
    <w:rsid w:val="00242D8F"/>
    <w:rsid w:val="00243E3C"/>
    <w:rsid w:val="00251BBF"/>
    <w:rsid w:val="00275717"/>
    <w:rsid w:val="00285173"/>
    <w:rsid w:val="00292C3F"/>
    <w:rsid w:val="002A27F8"/>
    <w:rsid w:val="002A4CE1"/>
    <w:rsid w:val="002A5390"/>
    <w:rsid w:val="002C2865"/>
    <w:rsid w:val="002E277D"/>
    <w:rsid w:val="002E5A93"/>
    <w:rsid w:val="002F4803"/>
    <w:rsid w:val="003021E3"/>
    <w:rsid w:val="003143A6"/>
    <w:rsid w:val="00314C77"/>
    <w:rsid w:val="0032787A"/>
    <w:rsid w:val="00335E5C"/>
    <w:rsid w:val="00354E64"/>
    <w:rsid w:val="00372919"/>
    <w:rsid w:val="00373E85"/>
    <w:rsid w:val="00375DF3"/>
    <w:rsid w:val="003824E2"/>
    <w:rsid w:val="003875C0"/>
    <w:rsid w:val="00387F9E"/>
    <w:rsid w:val="00391BD0"/>
    <w:rsid w:val="00391F4A"/>
    <w:rsid w:val="0039498D"/>
    <w:rsid w:val="00396D39"/>
    <w:rsid w:val="003A1432"/>
    <w:rsid w:val="003A257B"/>
    <w:rsid w:val="003B10A4"/>
    <w:rsid w:val="003C1FEB"/>
    <w:rsid w:val="003D39DC"/>
    <w:rsid w:val="003E6706"/>
    <w:rsid w:val="003E7E6F"/>
    <w:rsid w:val="00410C1C"/>
    <w:rsid w:val="00416635"/>
    <w:rsid w:val="00417380"/>
    <w:rsid w:val="00417DBF"/>
    <w:rsid w:val="00431430"/>
    <w:rsid w:val="00431ACD"/>
    <w:rsid w:val="0045304F"/>
    <w:rsid w:val="00454BDD"/>
    <w:rsid w:val="0045565C"/>
    <w:rsid w:val="004558F2"/>
    <w:rsid w:val="00460C39"/>
    <w:rsid w:val="00465EE7"/>
    <w:rsid w:val="0048684D"/>
    <w:rsid w:val="004910FC"/>
    <w:rsid w:val="00492682"/>
    <w:rsid w:val="004A0455"/>
    <w:rsid w:val="004A1D58"/>
    <w:rsid w:val="004A4C33"/>
    <w:rsid w:val="004A53B8"/>
    <w:rsid w:val="004A6970"/>
    <w:rsid w:val="004B6A22"/>
    <w:rsid w:val="004B6B19"/>
    <w:rsid w:val="004C48DE"/>
    <w:rsid w:val="004C7193"/>
    <w:rsid w:val="004E264A"/>
    <w:rsid w:val="005017CB"/>
    <w:rsid w:val="005054E4"/>
    <w:rsid w:val="00514C05"/>
    <w:rsid w:val="00527773"/>
    <w:rsid w:val="00531158"/>
    <w:rsid w:val="005312E6"/>
    <w:rsid w:val="00531BB7"/>
    <w:rsid w:val="00551302"/>
    <w:rsid w:val="005617F2"/>
    <w:rsid w:val="00582D02"/>
    <w:rsid w:val="00586C0F"/>
    <w:rsid w:val="005919A2"/>
    <w:rsid w:val="005A0072"/>
    <w:rsid w:val="005B1108"/>
    <w:rsid w:val="005B1E8E"/>
    <w:rsid w:val="005B2812"/>
    <w:rsid w:val="005D0B1D"/>
    <w:rsid w:val="005D17F9"/>
    <w:rsid w:val="005E0884"/>
    <w:rsid w:val="005E1D1B"/>
    <w:rsid w:val="005E4124"/>
    <w:rsid w:val="005E62F7"/>
    <w:rsid w:val="005E6339"/>
    <w:rsid w:val="006018AE"/>
    <w:rsid w:val="00614781"/>
    <w:rsid w:val="00622066"/>
    <w:rsid w:val="006234BC"/>
    <w:rsid w:val="00624A8F"/>
    <w:rsid w:val="00632655"/>
    <w:rsid w:val="00636B40"/>
    <w:rsid w:val="006605DD"/>
    <w:rsid w:val="0066460B"/>
    <w:rsid w:val="00677CAF"/>
    <w:rsid w:val="00684164"/>
    <w:rsid w:val="0069596F"/>
    <w:rsid w:val="006B1BDC"/>
    <w:rsid w:val="006C7930"/>
    <w:rsid w:val="006E595D"/>
    <w:rsid w:val="006F61B6"/>
    <w:rsid w:val="00703724"/>
    <w:rsid w:val="00713854"/>
    <w:rsid w:val="00715A20"/>
    <w:rsid w:val="00720274"/>
    <w:rsid w:val="0072644A"/>
    <w:rsid w:val="007264C7"/>
    <w:rsid w:val="00751617"/>
    <w:rsid w:val="007610D5"/>
    <w:rsid w:val="00763708"/>
    <w:rsid w:val="00766549"/>
    <w:rsid w:val="00767165"/>
    <w:rsid w:val="00774CD0"/>
    <w:rsid w:val="00787A93"/>
    <w:rsid w:val="00795377"/>
    <w:rsid w:val="00795657"/>
    <w:rsid w:val="00796105"/>
    <w:rsid w:val="007969A9"/>
    <w:rsid w:val="007B5EA6"/>
    <w:rsid w:val="007B653A"/>
    <w:rsid w:val="007C06F1"/>
    <w:rsid w:val="007C66C8"/>
    <w:rsid w:val="007D4266"/>
    <w:rsid w:val="007D5D7E"/>
    <w:rsid w:val="00802652"/>
    <w:rsid w:val="00831A22"/>
    <w:rsid w:val="00844836"/>
    <w:rsid w:val="0089497A"/>
    <w:rsid w:val="008B27B3"/>
    <w:rsid w:val="008B2C3C"/>
    <w:rsid w:val="008D5698"/>
    <w:rsid w:val="008D6D88"/>
    <w:rsid w:val="008E26DE"/>
    <w:rsid w:val="008F4ADC"/>
    <w:rsid w:val="00905388"/>
    <w:rsid w:val="00905FE6"/>
    <w:rsid w:val="0091298E"/>
    <w:rsid w:val="00912DDD"/>
    <w:rsid w:val="00913D95"/>
    <w:rsid w:val="00923029"/>
    <w:rsid w:val="00933629"/>
    <w:rsid w:val="00936270"/>
    <w:rsid w:val="009436C7"/>
    <w:rsid w:val="00960CD0"/>
    <w:rsid w:val="00960CD5"/>
    <w:rsid w:val="009615A4"/>
    <w:rsid w:val="00973FE3"/>
    <w:rsid w:val="00983079"/>
    <w:rsid w:val="00992EF4"/>
    <w:rsid w:val="009C6AD4"/>
    <w:rsid w:val="009D14F2"/>
    <w:rsid w:val="009E0775"/>
    <w:rsid w:val="00A15C81"/>
    <w:rsid w:val="00A335B8"/>
    <w:rsid w:val="00A51746"/>
    <w:rsid w:val="00A64655"/>
    <w:rsid w:val="00A70652"/>
    <w:rsid w:val="00A73F7D"/>
    <w:rsid w:val="00AB30B1"/>
    <w:rsid w:val="00AB478F"/>
    <w:rsid w:val="00AB711D"/>
    <w:rsid w:val="00AF238D"/>
    <w:rsid w:val="00B02CA3"/>
    <w:rsid w:val="00B02F99"/>
    <w:rsid w:val="00B10956"/>
    <w:rsid w:val="00B20EC9"/>
    <w:rsid w:val="00B37CFB"/>
    <w:rsid w:val="00B44F48"/>
    <w:rsid w:val="00B45402"/>
    <w:rsid w:val="00B4564B"/>
    <w:rsid w:val="00B77D24"/>
    <w:rsid w:val="00B83353"/>
    <w:rsid w:val="00B9290E"/>
    <w:rsid w:val="00B93BAD"/>
    <w:rsid w:val="00B93EC2"/>
    <w:rsid w:val="00B94E03"/>
    <w:rsid w:val="00BA0080"/>
    <w:rsid w:val="00BA64CC"/>
    <w:rsid w:val="00BB0170"/>
    <w:rsid w:val="00BB01FF"/>
    <w:rsid w:val="00BC6108"/>
    <w:rsid w:val="00BD7237"/>
    <w:rsid w:val="00BE2A26"/>
    <w:rsid w:val="00BF5823"/>
    <w:rsid w:val="00C001E0"/>
    <w:rsid w:val="00C053ED"/>
    <w:rsid w:val="00C11DD0"/>
    <w:rsid w:val="00C23B17"/>
    <w:rsid w:val="00C2411D"/>
    <w:rsid w:val="00C327ED"/>
    <w:rsid w:val="00C44233"/>
    <w:rsid w:val="00C5247F"/>
    <w:rsid w:val="00C53615"/>
    <w:rsid w:val="00C560EF"/>
    <w:rsid w:val="00C6780E"/>
    <w:rsid w:val="00C763E6"/>
    <w:rsid w:val="00C77EF7"/>
    <w:rsid w:val="00C80A48"/>
    <w:rsid w:val="00CA13F8"/>
    <w:rsid w:val="00CA4C7E"/>
    <w:rsid w:val="00CA57E3"/>
    <w:rsid w:val="00CB65F7"/>
    <w:rsid w:val="00CC4457"/>
    <w:rsid w:val="00CC69A6"/>
    <w:rsid w:val="00CD22D6"/>
    <w:rsid w:val="00CD718D"/>
    <w:rsid w:val="00D006BF"/>
    <w:rsid w:val="00D13251"/>
    <w:rsid w:val="00D245B3"/>
    <w:rsid w:val="00D26973"/>
    <w:rsid w:val="00D4064D"/>
    <w:rsid w:val="00D46DDA"/>
    <w:rsid w:val="00D51286"/>
    <w:rsid w:val="00D62E21"/>
    <w:rsid w:val="00D63276"/>
    <w:rsid w:val="00D6566C"/>
    <w:rsid w:val="00D65787"/>
    <w:rsid w:val="00D66292"/>
    <w:rsid w:val="00D669EB"/>
    <w:rsid w:val="00D7523E"/>
    <w:rsid w:val="00D77A6A"/>
    <w:rsid w:val="00D82AE9"/>
    <w:rsid w:val="00D92BE3"/>
    <w:rsid w:val="00D958EC"/>
    <w:rsid w:val="00DB045B"/>
    <w:rsid w:val="00DC4D8B"/>
    <w:rsid w:val="00DD2F4B"/>
    <w:rsid w:val="00DF5A99"/>
    <w:rsid w:val="00E05CEF"/>
    <w:rsid w:val="00E1151C"/>
    <w:rsid w:val="00E42B91"/>
    <w:rsid w:val="00E728C5"/>
    <w:rsid w:val="00E74A56"/>
    <w:rsid w:val="00E80728"/>
    <w:rsid w:val="00E836FB"/>
    <w:rsid w:val="00EA3C45"/>
    <w:rsid w:val="00EB6AD6"/>
    <w:rsid w:val="00EC1110"/>
    <w:rsid w:val="00EC1C0B"/>
    <w:rsid w:val="00EE591B"/>
    <w:rsid w:val="00EF650F"/>
    <w:rsid w:val="00F15F51"/>
    <w:rsid w:val="00F165E5"/>
    <w:rsid w:val="00F20E8A"/>
    <w:rsid w:val="00F41672"/>
    <w:rsid w:val="00F423C5"/>
    <w:rsid w:val="00F42D86"/>
    <w:rsid w:val="00F47896"/>
    <w:rsid w:val="00F545E3"/>
    <w:rsid w:val="00F63DA7"/>
    <w:rsid w:val="00F76A21"/>
    <w:rsid w:val="00F8495D"/>
    <w:rsid w:val="00F86DC6"/>
    <w:rsid w:val="00F92D56"/>
    <w:rsid w:val="00FB0F66"/>
    <w:rsid w:val="00FB5E91"/>
    <w:rsid w:val="00FC1C5C"/>
    <w:rsid w:val="00FE2D09"/>
    <w:rsid w:val="00FE2D97"/>
    <w:rsid w:val="00FE3C58"/>
    <w:rsid w:val="00FE721E"/>
    <w:rsid w:val="00FF0782"/>
    <w:rsid w:val="00FF31B0"/>
    <w:rsid w:val="00FF4E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99305C"/>
  <w15:docId w15:val="{4B1AF6D6-D220-4564-A51A-1C28A0A0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A399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nhideWhenUsed/>
    <w:rsid w:val="001A3992"/>
    <w:rPr>
      <w:sz w:val="16"/>
      <w:szCs w:val="16"/>
    </w:rPr>
  </w:style>
  <w:style w:type="paragraph" w:styleId="CommentText">
    <w:name w:val="annotation text"/>
    <w:aliases w:val="Annotationtext"/>
    <w:basedOn w:val="Normal"/>
    <w:link w:val="CommentTextChar"/>
    <w:unhideWhenUsed/>
    <w:qFormat/>
    <w:rsid w:val="001A3992"/>
    <w:pPr>
      <w:spacing w:line="240" w:lineRule="auto"/>
    </w:pPr>
    <w:rPr>
      <w:rFonts w:ascii="Cambria" w:hAnsi="Cambria"/>
      <w:sz w:val="20"/>
      <w:szCs w:val="20"/>
    </w:rPr>
  </w:style>
  <w:style w:type="character" w:customStyle="1" w:styleId="CommentTextChar">
    <w:name w:val="Comment Text Char"/>
    <w:aliases w:val="Annotationtext Char"/>
    <w:basedOn w:val="DefaultParagraphFont"/>
    <w:link w:val="CommentTex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Bibliography">
    <w:name w:val="Bibliography"/>
    <w:basedOn w:val="Normal"/>
    <w:next w:val="Normal"/>
    <w:uiPriority w:val="37"/>
    <w:semiHidden/>
    <w:unhideWhenUsed/>
    <w:rsid w:val="00071855"/>
  </w:style>
  <w:style w:type="paragraph" w:styleId="BlockText">
    <w:name w:val="Block Text"/>
    <w:basedOn w:val="Normal"/>
    <w:uiPriority w:val="99"/>
    <w:semiHidden/>
    <w:unhideWhenUsed/>
    <w:rsid w:val="0007185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71855"/>
    <w:pPr>
      <w:spacing w:after="120"/>
    </w:pPr>
  </w:style>
  <w:style w:type="character" w:customStyle="1" w:styleId="BodyTextChar">
    <w:name w:val="Body Text Char"/>
    <w:basedOn w:val="DefaultParagraphFont"/>
    <w:link w:val="BodyText"/>
    <w:uiPriority w:val="99"/>
    <w:semiHidden/>
    <w:rsid w:val="00071855"/>
  </w:style>
  <w:style w:type="paragraph" w:styleId="BodyText2">
    <w:name w:val="Body Text 2"/>
    <w:basedOn w:val="Normal"/>
    <w:link w:val="BodyText2Char"/>
    <w:uiPriority w:val="99"/>
    <w:semiHidden/>
    <w:unhideWhenUsed/>
    <w:rsid w:val="00071855"/>
    <w:pPr>
      <w:spacing w:after="120" w:line="480" w:lineRule="auto"/>
    </w:pPr>
  </w:style>
  <w:style w:type="character" w:customStyle="1" w:styleId="BodyText2Char">
    <w:name w:val="Body Text 2 Char"/>
    <w:basedOn w:val="DefaultParagraphFont"/>
    <w:link w:val="BodyText2"/>
    <w:uiPriority w:val="99"/>
    <w:semiHidden/>
    <w:rsid w:val="00071855"/>
  </w:style>
  <w:style w:type="paragraph" w:styleId="BodyText3">
    <w:name w:val="Body Text 3"/>
    <w:basedOn w:val="Normal"/>
    <w:link w:val="BodyText3Char"/>
    <w:uiPriority w:val="99"/>
    <w:semiHidden/>
    <w:unhideWhenUsed/>
    <w:rsid w:val="00071855"/>
    <w:pPr>
      <w:spacing w:after="120"/>
    </w:pPr>
    <w:rPr>
      <w:sz w:val="16"/>
      <w:szCs w:val="16"/>
    </w:rPr>
  </w:style>
  <w:style w:type="character" w:customStyle="1" w:styleId="BodyText3Char">
    <w:name w:val="Body Text 3 Char"/>
    <w:basedOn w:val="DefaultParagraphFont"/>
    <w:link w:val="BodyText3"/>
    <w:uiPriority w:val="99"/>
    <w:semiHidden/>
    <w:rsid w:val="00071855"/>
    <w:rPr>
      <w:sz w:val="16"/>
      <w:szCs w:val="16"/>
    </w:rPr>
  </w:style>
  <w:style w:type="paragraph" w:styleId="BodyTextFirstIndent">
    <w:name w:val="Body Text First Indent"/>
    <w:basedOn w:val="BodyText"/>
    <w:link w:val="BodyTextFirstIndentChar"/>
    <w:uiPriority w:val="99"/>
    <w:semiHidden/>
    <w:unhideWhenUsed/>
    <w:rsid w:val="00071855"/>
    <w:pPr>
      <w:spacing w:after="200"/>
      <w:ind w:firstLine="360"/>
    </w:pPr>
  </w:style>
  <w:style w:type="character" w:customStyle="1" w:styleId="BodyTextFirstIndentChar">
    <w:name w:val="Body Text First Indent Char"/>
    <w:basedOn w:val="BodyTextChar"/>
    <w:link w:val="BodyTextFirstIndent"/>
    <w:uiPriority w:val="99"/>
    <w:semiHidden/>
    <w:rsid w:val="00071855"/>
  </w:style>
  <w:style w:type="paragraph" w:styleId="BodyTextIndent">
    <w:name w:val="Body Text Indent"/>
    <w:basedOn w:val="Normal"/>
    <w:link w:val="BodyTextIndentChar"/>
    <w:uiPriority w:val="99"/>
    <w:semiHidden/>
    <w:unhideWhenUsed/>
    <w:rsid w:val="00071855"/>
    <w:pPr>
      <w:spacing w:after="120"/>
      <w:ind w:left="283"/>
    </w:pPr>
  </w:style>
  <w:style w:type="character" w:customStyle="1" w:styleId="BodyTextIndentChar">
    <w:name w:val="Body Text Indent Char"/>
    <w:basedOn w:val="DefaultParagraphFont"/>
    <w:link w:val="BodyTextIndent"/>
    <w:uiPriority w:val="99"/>
    <w:semiHidden/>
    <w:rsid w:val="00071855"/>
  </w:style>
  <w:style w:type="paragraph" w:styleId="BodyTextFirstIndent2">
    <w:name w:val="Body Text First Indent 2"/>
    <w:basedOn w:val="BodyTextIndent"/>
    <w:link w:val="BodyTextFirstIndent2Char"/>
    <w:uiPriority w:val="99"/>
    <w:semiHidden/>
    <w:unhideWhenUsed/>
    <w:rsid w:val="0007185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71855"/>
  </w:style>
  <w:style w:type="paragraph" w:styleId="BodyTextIndent2">
    <w:name w:val="Body Text Indent 2"/>
    <w:basedOn w:val="Normal"/>
    <w:link w:val="BodyTextIndent2Char"/>
    <w:uiPriority w:val="99"/>
    <w:semiHidden/>
    <w:unhideWhenUsed/>
    <w:rsid w:val="00071855"/>
    <w:pPr>
      <w:spacing w:after="120" w:line="480" w:lineRule="auto"/>
      <w:ind w:left="283"/>
    </w:pPr>
  </w:style>
  <w:style w:type="character" w:customStyle="1" w:styleId="BodyTextIndent2Char">
    <w:name w:val="Body Text Indent 2 Char"/>
    <w:basedOn w:val="DefaultParagraphFont"/>
    <w:link w:val="BodyTextIndent2"/>
    <w:uiPriority w:val="99"/>
    <w:semiHidden/>
    <w:rsid w:val="00071855"/>
  </w:style>
  <w:style w:type="paragraph" w:styleId="BodyTextIndent3">
    <w:name w:val="Body Text Indent 3"/>
    <w:basedOn w:val="Normal"/>
    <w:link w:val="BodyTextIndent3Char"/>
    <w:uiPriority w:val="99"/>
    <w:semiHidden/>
    <w:unhideWhenUsed/>
    <w:rsid w:val="0007185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71855"/>
    <w:rPr>
      <w:sz w:val="16"/>
      <w:szCs w:val="16"/>
    </w:rPr>
  </w:style>
  <w:style w:type="paragraph" w:styleId="Caption">
    <w:name w:val="caption"/>
    <w:basedOn w:val="Normal"/>
    <w:next w:val="Normal"/>
    <w:uiPriority w:val="35"/>
    <w:semiHidden/>
    <w:unhideWhenUsed/>
    <w:qFormat/>
    <w:rsid w:val="00071855"/>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071855"/>
    <w:pPr>
      <w:spacing w:after="0" w:line="240" w:lineRule="auto"/>
      <w:ind w:left="4252"/>
    </w:pPr>
  </w:style>
  <w:style w:type="character" w:customStyle="1" w:styleId="ClosingChar">
    <w:name w:val="Closing Char"/>
    <w:basedOn w:val="DefaultParagraphFont"/>
    <w:link w:val="Closing"/>
    <w:uiPriority w:val="99"/>
    <w:semiHidden/>
    <w:rsid w:val="00071855"/>
  </w:style>
  <w:style w:type="paragraph" w:styleId="CommentSubject">
    <w:name w:val="annotation subject"/>
    <w:basedOn w:val="CommentText"/>
    <w:next w:val="CommentText"/>
    <w:link w:val="CommentSubjectChar"/>
    <w:uiPriority w:val="99"/>
    <w:semiHidden/>
    <w:unhideWhenUsed/>
    <w:rsid w:val="00071855"/>
    <w:rPr>
      <w:rFonts w:asciiTheme="minorHAnsi" w:hAnsiTheme="minorHAnsi"/>
      <w:b/>
      <w:bCs/>
    </w:rPr>
  </w:style>
  <w:style w:type="character" w:customStyle="1" w:styleId="CommentSubjectChar">
    <w:name w:val="Comment Subject Char"/>
    <w:basedOn w:val="CommentTextChar"/>
    <w:link w:val="CommentSubject"/>
    <w:uiPriority w:val="99"/>
    <w:semiHidden/>
    <w:rsid w:val="00071855"/>
    <w:rPr>
      <w:rFonts w:ascii="Cambria" w:hAnsi="Cambria"/>
      <w:b/>
      <w:bCs/>
      <w:sz w:val="20"/>
      <w:szCs w:val="20"/>
    </w:rPr>
  </w:style>
  <w:style w:type="paragraph" w:styleId="Date">
    <w:name w:val="Date"/>
    <w:basedOn w:val="Normal"/>
    <w:next w:val="Normal"/>
    <w:link w:val="DateChar"/>
    <w:uiPriority w:val="99"/>
    <w:semiHidden/>
    <w:unhideWhenUsed/>
    <w:rsid w:val="00071855"/>
  </w:style>
  <w:style w:type="character" w:customStyle="1" w:styleId="DateChar">
    <w:name w:val="Date Char"/>
    <w:basedOn w:val="DefaultParagraphFont"/>
    <w:link w:val="Date"/>
    <w:uiPriority w:val="99"/>
    <w:semiHidden/>
    <w:rsid w:val="00071855"/>
  </w:style>
  <w:style w:type="paragraph" w:styleId="DocumentMap">
    <w:name w:val="Document Map"/>
    <w:basedOn w:val="Normal"/>
    <w:link w:val="DocumentMapChar"/>
    <w:uiPriority w:val="99"/>
    <w:semiHidden/>
    <w:unhideWhenUsed/>
    <w:rsid w:val="0007185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71855"/>
    <w:rPr>
      <w:rFonts w:ascii="Segoe UI" w:hAnsi="Segoe UI" w:cs="Segoe UI"/>
      <w:sz w:val="16"/>
      <w:szCs w:val="16"/>
    </w:rPr>
  </w:style>
  <w:style w:type="paragraph" w:styleId="E-mailSignature">
    <w:name w:val="E-mail Signature"/>
    <w:basedOn w:val="Normal"/>
    <w:link w:val="E-mailSignatureChar"/>
    <w:uiPriority w:val="99"/>
    <w:semiHidden/>
    <w:unhideWhenUsed/>
    <w:rsid w:val="00071855"/>
    <w:pPr>
      <w:spacing w:after="0" w:line="240" w:lineRule="auto"/>
    </w:pPr>
  </w:style>
  <w:style w:type="character" w:customStyle="1" w:styleId="E-mailSignatureChar">
    <w:name w:val="E-mail Signature Char"/>
    <w:basedOn w:val="DefaultParagraphFont"/>
    <w:link w:val="E-mailSignature"/>
    <w:uiPriority w:val="99"/>
    <w:semiHidden/>
    <w:rsid w:val="00071855"/>
  </w:style>
  <w:style w:type="paragraph" w:styleId="EndnoteText">
    <w:name w:val="endnote text"/>
    <w:basedOn w:val="Normal"/>
    <w:link w:val="EndnoteTextChar"/>
    <w:uiPriority w:val="99"/>
    <w:unhideWhenUsed/>
    <w:rsid w:val="00071855"/>
    <w:pPr>
      <w:spacing w:after="0" w:line="240" w:lineRule="auto"/>
    </w:pPr>
    <w:rPr>
      <w:sz w:val="20"/>
      <w:szCs w:val="20"/>
    </w:rPr>
  </w:style>
  <w:style w:type="character" w:customStyle="1" w:styleId="EndnoteTextChar">
    <w:name w:val="Endnote Text Char"/>
    <w:basedOn w:val="DefaultParagraphFont"/>
    <w:link w:val="EndnoteText"/>
    <w:uiPriority w:val="99"/>
    <w:rsid w:val="00071855"/>
    <w:rPr>
      <w:sz w:val="20"/>
      <w:szCs w:val="20"/>
    </w:rPr>
  </w:style>
  <w:style w:type="paragraph" w:styleId="EnvelopeAddress">
    <w:name w:val="envelope address"/>
    <w:basedOn w:val="Normal"/>
    <w:uiPriority w:val="99"/>
    <w:semiHidden/>
    <w:unhideWhenUsed/>
    <w:rsid w:val="0007185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71855"/>
    <w:pPr>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071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855"/>
  </w:style>
  <w:style w:type="paragraph" w:styleId="HTMLAddress">
    <w:name w:val="HTML Address"/>
    <w:basedOn w:val="Normal"/>
    <w:link w:val="HTMLAddressChar"/>
    <w:uiPriority w:val="99"/>
    <w:semiHidden/>
    <w:unhideWhenUsed/>
    <w:rsid w:val="00071855"/>
    <w:pPr>
      <w:spacing w:after="0" w:line="240" w:lineRule="auto"/>
    </w:pPr>
    <w:rPr>
      <w:i/>
      <w:iCs/>
    </w:rPr>
  </w:style>
  <w:style w:type="character" w:customStyle="1" w:styleId="HTMLAddressChar">
    <w:name w:val="HTML Address Char"/>
    <w:basedOn w:val="DefaultParagraphFont"/>
    <w:link w:val="HTMLAddress"/>
    <w:uiPriority w:val="99"/>
    <w:semiHidden/>
    <w:rsid w:val="00071855"/>
    <w:rPr>
      <w:i/>
      <w:iCs/>
    </w:rPr>
  </w:style>
  <w:style w:type="paragraph" w:styleId="HTMLPreformatted">
    <w:name w:val="HTML Preformatted"/>
    <w:basedOn w:val="Normal"/>
    <w:link w:val="HTMLPreformattedChar"/>
    <w:uiPriority w:val="99"/>
    <w:semiHidden/>
    <w:unhideWhenUsed/>
    <w:rsid w:val="0007185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71855"/>
    <w:rPr>
      <w:rFonts w:ascii="Consolas" w:hAnsi="Consolas" w:cs="Consolas"/>
      <w:sz w:val="20"/>
      <w:szCs w:val="20"/>
    </w:rPr>
  </w:style>
  <w:style w:type="paragraph" w:styleId="Index1">
    <w:name w:val="index 1"/>
    <w:basedOn w:val="Normal"/>
    <w:next w:val="Normal"/>
    <w:autoRedefine/>
    <w:uiPriority w:val="99"/>
    <w:semiHidden/>
    <w:unhideWhenUsed/>
    <w:rsid w:val="00071855"/>
    <w:pPr>
      <w:spacing w:after="0" w:line="240" w:lineRule="auto"/>
      <w:ind w:left="220" w:hanging="220"/>
    </w:pPr>
  </w:style>
  <w:style w:type="paragraph" w:styleId="Index2">
    <w:name w:val="index 2"/>
    <w:basedOn w:val="Normal"/>
    <w:next w:val="Normal"/>
    <w:autoRedefine/>
    <w:uiPriority w:val="99"/>
    <w:semiHidden/>
    <w:unhideWhenUsed/>
    <w:rsid w:val="00071855"/>
    <w:pPr>
      <w:spacing w:after="0" w:line="240" w:lineRule="auto"/>
      <w:ind w:left="440" w:hanging="220"/>
    </w:pPr>
  </w:style>
  <w:style w:type="paragraph" w:styleId="Index3">
    <w:name w:val="index 3"/>
    <w:basedOn w:val="Normal"/>
    <w:next w:val="Normal"/>
    <w:autoRedefine/>
    <w:uiPriority w:val="99"/>
    <w:semiHidden/>
    <w:unhideWhenUsed/>
    <w:rsid w:val="00071855"/>
    <w:pPr>
      <w:spacing w:after="0" w:line="240" w:lineRule="auto"/>
      <w:ind w:left="660" w:hanging="220"/>
    </w:pPr>
  </w:style>
  <w:style w:type="paragraph" w:styleId="Index4">
    <w:name w:val="index 4"/>
    <w:basedOn w:val="Normal"/>
    <w:next w:val="Normal"/>
    <w:autoRedefine/>
    <w:uiPriority w:val="99"/>
    <w:semiHidden/>
    <w:unhideWhenUsed/>
    <w:rsid w:val="00071855"/>
    <w:pPr>
      <w:spacing w:after="0" w:line="240" w:lineRule="auto"/>
      <w:ind w:left="880" w:hanging="220"/>
    </w:pPr>
  </w:style>
  <w:style w:type="paragraph" w:styleId="Index5">
    <w:name w:val="index 5"/>
    <w:basedOn w:val="Normal"/>
    <w:next w:val="Normal"/>
    <w:autoRedefine/>
    <w:uiPriority w:val="99"/>
    <w:semiHidden/>
    <w:unhideWhenUsed/>
    <w:rsid w:val="00071855"/>
    <w:pPr>
      <w:spacing w:after="0" w:line="240" w:lineRule="auto"/>
      <w:ind w:left="1100" w:hanging="220"/>
    </w:pPr>
  </w:style>
  <w:style w:type="paragraph" w:styleId="Index6">
    <w:name w:val="index 6"/>
    <w:basedOn w:val="Normal"/>
    <w:next w:val="Normal"/>
    <w:autoRedefine/>
    <w:uiPriority w:val="99"/>
    <w:semiHidden/>
    <w:unhideWhenUsed/>
    <w:rsid w:val="00071855"/>
    <w:pPr>
      <w:spacing w:after="0" w:line="240" w:lineRule="auto"/>
      <w:ind w:left="1320" w:hanging="220"/>
    </w:pPr>
  </w:style>
  <w:style w:type="paragraph" w:styleId="Index7">
    <w:name w:val="index 7"/>
    <w:basedOn w:val="Normal"/>
    <w:next w:val="Normal"/>
    <w:autoRedefine/>
    <w:uiPriority w:val="99"/>
    <w:semiHidden/>
    <w:unhideWhenUsed/>
    <w:rsid w:val="00071855"/>
    <w:pPr>
      <w:spacing w:after="0" w:line="240" w:lineRule="auto"/>
      <w:ind w:left="1540" w:hanging="220"/>
    </w:pPr>
  </w:style>
  <w:style w:type="paragraph" w:styleId="Index8">
    <w:name w:val="index 8"/>
    <w:basedOn w:val="Normal"/>
    <w:next w:val="Normal"/>
    <w:autoRedefine/>
    <w:uiPriority w:val="99"/>
    <w:semiHidden/>
    <w:unhideWhenUsed/>
    <w:rsid w:val="00071855"/>
    <w:pPr>
      <w:spacing w:after="0" w:line="240" w:lineRule="auto"/>
      <w:ind w:left="1760" w:hanging="220"/>
    </w:pPr>
  </w:style>
  <w:style w:type="paragraph" w:styleId="Index9">
    <w:name w:val="index 9"/>
    <w:basedOn w:val="Normal"/>
    <w:next w:val="Normal"/>
    <w:autoRedefine/>
    <w:uiPriority w:val="99"/>
    <w:semiHidden/>
    <w:unhideWhenUsed/>
    <w:rsid w:val="00071855"/>
    <w:pPr>
      <w:spacing w:after="0" w:line="240" w:lineRule="auto"/>
      <w:ind w:left="1980" w:hanging="220"/>
    </w:pPr>
  </w:style>
  <w:style w:type="paragraph" w:styleId="IndexHeading">
    <w:name w:val="index heading"/>
    <w:basedOn w:val="Normal"/>
    <w:next w:val="Index1"/>
    <w:uiPriority w:val="99"/>
    <w:semiHidden/>
    <w:unhideWhenUsed/>
    <w:rsid w:val="0007185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7185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71855"/>
    <w:rPr>
      <w:i/>
      <w:iCs/>
      <w:color w:val="4F81BD" w:themeColor="accent1"/>
    </w:rPr>
  </w:style>
  <w:style w:type="paragraph" w:styleId="List">
    <w:name w:val="List"/>
    <w:basedOn w:val="Normal"/>
    <w:uiPriority w:val="99"/>
    <w:semiHidden/>
    <w:unhideWhenUsed/>
    <w:rsid w:val="00071855"/>
    <w:pPr>
      <w:ind w:left="283" w:hanging="283"/>
      <w:contextualSpacing/>
    </w:pPr>
  </w:style>
  <w:style w:type="paragraph" w:styleId="List2">
    <w:name w:val="List 2"/>
    <w:basedOn w:val="Normal"/>
    <w:uiPriority w:val="99"/>
    <w:semiHidden/>
    <w:unhideWhenUsed/>
    <w:rsid w:val="00071855"/>
    <w:pPr>
      <w:ind w:left="566" w:hanging="283"/>
      <w:contextualSpacing/>
    </w:pPr>
  </w:style>
  <w:style w:type="paragraph" w:styleId="List3">
    <w:name w:val="List 3"/>
    <w:basedOn w:val="Normal"/>
    <w:uiPriority w:val="99"/>
    <w:semiHidden/>
    <w:unhideWhenUsed/>
    <w:rsid w:val="00071855"/>
    <w:pPr>
      <w:ind w:left="849" w:hanging="283"/>
      <w:contextualSpacing/>
    </w:pPr>
  </w:style>
  <w:style w:type="paragraph" w:styleId="List4">
    <w:name w:val="List 4"/>
    <w:basedOn w:val="Normal"/>
    <w:uiPriority w:val="99"/>
    <w:semiHidden/>
    <w:unhideWhenUsed/>
    <w:rsid w:val="00071855"/>
    <w:pPr>
      <w:ind w:left="1132" w:hanging="283"/>
      <w:contextualSpacing/>
    </w:pPr>
  </w:style>
  <w:style w:type="paragraph" w:styleId="List5">
    <w:name w:val="List 5"/>
    <w:basedOn w:val="Normal"/>
    <w:uiPriority w:val="99"/>
    <w:semiHidden/>
    <w:unhideWhenUsed/>
    <w:rsid w:val="00071855"/>
    <w:pPr>
      <w:ind w:left="1415" w:hanging="283"/>
      <w:contextualSpacing/>
    </w:pPr>
  </w:style>
  <w:style w:type="paragraph" w:styleId="ListBullet2">
    <w:name w:val="List Bullet 2"/>
    <w:basedOn w:val="Normal"/>
    <w:uiPriority w:val="99"/>
    <w:semiHidden/>
    <w:unhideWhenUsed/>
    <w:rsid w:val="00071855"/>
    <w:pPr>
      <w:numPr>
        <w:numId w:val="2"/>
      </w:numPr>
      <w:contextualSpacing/>
    </w:pPr>
  </w:style>
  <w:style w:type="paragraph" w:styleId="ListBullet3">
    <w:name w:val="List Bullet 3"/>
    <w:basedOn w:val="Normal"/>
    <w:uiPriority w:val="99"/>
    <w:semiHidden/>
    <w:unhideWhenUsed/>
    <w:rsid w:val="00071855"/>
    <w:pPr>
      <w:numPr>
        <w:numId w:val="3"/>
      </w:numPr>
      <w:contextualSpacing/>
    </w:pPr>
  </w:style>
  <w:style w:type="paragraph" w:styleId="ListBullet4">
    <w:name w:val="List Bullet 4"/>
    <w:basedOn w:val="Normal"/>
    <w:uiPriority w:val="99"/>
    <w:semiHidden/>
    <w:unhideWhenUsed/>
    <w:rsid w:val="00071855"/>
    <w:pPr>
      <w:numPr>
        <w:numId w:val="4"/>
      </w:numPr>
      <w:contextualSpacing/>
    </w:pPr>
  </w:style>
  <w:style w:type="paragraph" w:styleId="ListBullet5">
    <w:name w:val="List Bullet 5"/>
    <w:basedOn w:val="Normal"/>
    <w:uiPriority w:val="99"/>
    <w:semiHidden/>
    <w:unhideWhenUsed/>
    <w:rsid w:val="00071855"/>
    <w:pPr>
      <w:numPr>
        <w:numId w:val="5"/>
      </w:numPr>
      <w:contextualSpacing/>
    </w:pPr>
  </w:style>
  <w:style w:type="paragraph" w:styleId="ListContinue">
    <w:name w:val="List Continue"/>
    <w:basedOn w:val="Normal"/>
    <w:uiPriority w:val="99"/>
    <w:semiHidden/>
    <w:unhideWhenUsed/>
    <w:rsid w:val="00071855"/>
    <w:pPr>
      <w:spacing w:after="120"/>
      <w:ind w:left="283"/>
      <w:contextualSpacing/>
    </w:pPr>
  </w:style>
  <w:style w:type="paragraph" w:styleId="ListContinue2">
    <w:name w:val="List Continue 2"/>
    <w:basedOn w:val="Normal"/>
    <w:uiPriority w:val="99"/>
    <w:semiHidden/>
    <w:unhideWhenUsed/>
    <w:rsid w:val="00071855"/>
    <w:pPr>
      <w:spacing w:after="120"/>
      <w:ind w:left="566"/>
      <w:contextualSpacing/>
    </w:pPr>
  </w:style>
  <w:style w:type="paragraph" w:styleId="ListContinue3">
    <w:name w:val="List Continue 3"/>
    <w:basedOn w:val="Normal"/>
    <w:uiPriority w:val="99"/>
    <w:semiHidden/>
    <w:unhideWhenUsed/>
    <w:rsid w:val="00071855"/>
    <w:pPr>
      <w:spacing w:after="120"/>
      <w:ind w:left="849"/>
      <w:contextualSpacing/>
    </w:pPr>
  </w:style>
  <w:style w:type="paragraph" w:styleId="ListContinue4">
    <w:name w:val="List Continue 4"/>
    <w:basedOn w:val="Normal"/>
    <w:uiPriority w:val="99"/>
    <w:semiHidden/>
    <w:unhideWhenUsed/>
    <w:rsid w:val="00071855"/>
    <w:pPr>
      <w:spacing w:after="120"/>
      <w:ind w:left="1132"/>
      <w:contextualSpacing/>
    </w:pPr>
  </w:style>
  <w:style w:type="paragraph" w:styleId="ListContinue5">
    <w:name w:val="List Continue 5"/>
    <w:basedOn w:val="Normal"/>
    <w:uiPriority w:val="99"/>
    <w:semiHidden/>
    <w:unhideWhenUsed/>
    <w:rsid w:val="00071855"/>
    <w:pPr>
      <w:spacing w:after="120"/>
      <w:ind w:left="1415"/>
      <w:contextualSpacing/>
    </w:pPr>
  </w:style>
  <w:style w:type="paragraph" w:styleId="ListNumber">
    <w:name w:val="List Number"/>
    <w:basedOn w:val="Normal"/>
    <w:uiPriority w:val="99"/>
    <w:semiHidden/>
    <w:unhideWhenUsed/>
    <w:rsid w:val="00071855"/>
    <w:pPr>
      <w:numPr>
        <w:numId w:val="6"/>
      </w:numPr>
      <w:contextualSpacing/>
    </w:pPr>
  </w:style>
  <w:style w:type="paragraph" w:styleId="ListNumber2">
    <w:name w:val="List Number 2"/>
    <w:basedOn w:val="Normal"/>
    <w:uiPriority w:val="99"/>
    <w:semiHidden/>
    <w:unhideWhenUsed/>
    <w:rsid w:val="00071855"/>
    <w:pPr>
      <w:numPr>
        <w:numId w:val="7"/>
      </w:numPr>
      <w:contextualSpacing/>
    </w:pPr>
  </w:style>
  <w:style w:type="paragraph" w:styleId="ListNumber3">
    <w:name w:val="List Number 3"/>
    <w:basedOn w:val="Normal"/>
    <w:uiPriority w:val="99"/>
    <w:semiHidden/>
    <w:unhideWhenUsed/>
    <w:rsid w:val="00071855"/>
    <w:pPr>
      <w:numPr>
        <w:numId w:val="8"/>
      </w:numPr>
      <w:contextualSpacing/>
    </w:pPr>
  </w:style>
  <w:style w:type="paragraph" w:styleId="ListNumber4">
    <w:name w:val="List Number 4"/>
    <w:basedOn w:val="Normal"/>
    <w:uiPriority w:val="99"/>
    <w:semiHidden/>
    <w:unhideWhenUsed/>
    <w:rsid w:val="00071855"/>
    <w:pPr>
      <w:numPr>
        <w:numId w:val="9"/>
      </w:numPr>
      <w:contextualSpacing/>
    </w:pPr>
  </w:style>
  <w:style w:type="paragraph" w:styleId="ListNumber5">
    <w:name w:val="List Number 5"/>
    <w:basedOn w:val="Normal"/>
    <w:uiPriority w:val="99"/>
    <w:semiHidden/>
    <w:unhideWhenUsed/>
    <w:rsid w:val="00071855"/>
    <w:pPr>
      <w:numPr>
        <w:numId w:val="10"/>
      </w:numPr>
      <w:contextualSpacing/>
    </w:pPr>
  </w:style>
  <w:style w:type="paragraph" w:styleId="MacroText">
    <w:name w:val="macro"/>
    <w:link w:val="MacroTextChar"/>
    <w:uiPriority w:val="99"/>
    <w:semiHidden/>
    <w:unhideWhenUsed/>
    <w:rsid w:val="0007185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71855"/>
    <w:rPr>
      <w:rFonts w:ascii="Consolas" w:hAnsi="Consolas" w:cs="Consolas"/>
      <w:sz w:val="20"/>
      <w:szCs w:val="20"/>
    </w:rPr>
  </w:style>
  <w:style w:type="paragraph" w:styleId="MessageHeader">
    <w:name w:val="Message Header"/>
    <w:basedOn w:val="Normal"/>
    <w:link w:val="MessageHeaderChar"/>
    <w:uiPriority w:val="99"/>
    <w:semiHidden/>
    <w:unhideWhenUsed/>
    <w:rsid w:val="0007185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71855"/>
    <w:rPr>
      <w:rFonts w:asciiTheme="majorHAnsi" w:eastAsiaTheme="majorEastAsia" w:hAnsiTheme="majorHAnsi" w:cstheme="majorBidi"/>
      <w:sz w:val="24"/>
      <w:szCs w:val="24"/>
      <w:shd w:val="pct20" w:color="auto" w:fill="auto"/>
    </w:rPr>
  </w:style>
  <w:style w:type="paragraph" w:styleId="NoSpacing">
    <w:name w:val="No Spacing"/>
    <w:uiPriority w:val="1"/>
    <w:qFormat/>
    <w:rsid w:val="00071855"/>
    <w:pPr>
      <w:spacing w:after="0" w:line="240" w:lineRule="auto"/>
    </w:pPr>
  </w:style>
  <w:style w:type="paragraph" w:styleId="NormalWeb">
    <w:name w:val="Normal (Web)"/>
    <w:basedOn w:val="Normal"/>
    <w:uiPriority w:val="99"/>
    <w:unhideWhenUsed/>
    <w:rsid w:val="00071855"/>
    <w:rPr>
      <w:rFonts w:ascii="Times New Roman" w:hAnsi="Times New Roman" w:cs="Times New Roman"/>
      <w:sz w:val="24"/>
      <w:szCs w:val="24"/>
    </w:rPr>
  </w:style>
  <w:style w:type="paragraph" w:styleId="NormalIndent">
    <w:name w:val="Normal Indent"/>
    <w:basedOn w:val="Normal"/>
    <w:uiPriority w:val="99"/>
    <w:semiHidden/>
    <w:unhideWhenUsed/>
    <w:rsid w:val="00071855"/>
    <w:pPr>
      <w:ind w:left="720"/>
    </w:pPr>
  </w:style>
  <w:style w:type="paragraph" w:styleId="NoteHeading">
    <w:name w:val="Note Heading"/>
    <w:basedOn w:val="Normal"/>
    <w:next w:val="Normal"/>
    <w:link w:val="NoteHeadingChar"/>
    <w:uiPriority w:val="99"/>
    <w:semiHidden/>
    <w:unhideWhenUsed/>
    <w:rsid w:val="00071855"/>
    <w:pPr>
      <w:spacing w:after="0" w:line="240" w:lineRule="auto"/>
    </w:pPr>
  </w:style>
  <w:style w:type="character" w:customStyle="1" w:styleId="NoteHeadingChar">
    <w:name w:val="Note Heading Char"/>
    <w:basedOn w:val="DefaultParagraphFont"/>
    <w:link w:val="NoteHeading"/>
    <w:uiPriority w:val="99"/>
    <w:semiHidden/>
    <w:rsid w:val="00071855"/>
  </w:style>
  <w:style w:type="paragraph" w:styleId="PlainText">
    <w:name w:val="Plain Text"/>
    <w:basedOn w:val="Normal"/>
    <w:link w:val="PlainTextChar"/>
    <w:uiPriority w:val="99"/>
    <w:semiHidden/>
    <w:unhideWhenUsed/>
    <w:rsid w:val="0007185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71855"/>
    <w:rPr>
      <w:rFonts w:ascii="Consolas" w:hAnsi="Consolas" w:cs="Consolas"/>
      <w:sz w:val="21"/>
      <w:szCs w:val="21"/>
    </w:rPr>
  </w:style>
  <w:style w:type="paragraph" w:styleId="Quote">
    <w:name w:val="Quote"/>
    <w:basedOn w:val="Normal"/>
    <w:next w:val="Normal"/>
    <w:link w:val="QuoteChar"/>
    <w:uiPriority w:val="29"/>
    <w:qFormat/>
    <w:rsid w:val="000718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1855"/>
    <w:rPr>
      <w:i/>
      <w:iCs/>
      <w:color w:val="404040" w:themeColor="text1" w:themeTint="BF"/>
    </w:rPr>
  </w:style>
  <w:style w:type="paragraph" w:styleId="Salutation">
    <w:name w:val="Salutation"/>
    <w:basedOn w:val="Normal"/>
    <w:next w:val="Normal"/>
    <w:link w:val="SalutationChar"/>
    <w:uiPriority w:val="99"/>
    <w:semiHidden/>
    <w:unhideWhenUsed/>
    <w:rsid w:val="00071855"/>
  </w:style>
  <w:style w:type="character" w:customStyle="1" w:styleId="SalutationChar">
    <w:name w:val="Salutation Char"/>
    <w:basedOn w:val="DefaultParagraphFont"/>
    <w:link w:val="Salutation"/>
    <w:uiPriority w:val="99"/>
    <w:semiHidden/>
    <w:rsid w:val="00071855"/>
  </w:style>
  <w:style w:type="paragraph" w:styleId="Signature">
    <w:name w:val="Signature"/>
    <w:basedOn w:val="Normal"/>
    <w:link w:val="SignatureChar"/>
    <w:uiPriority w:val="99"/>
    <w:semiHidden/>
    <w:unhideWhenUsed/>
    <w:rsid w:val="00071855"/>
    <w:pPr>
      <w:spacing w:after="0" w:line="240" w:lineRule="auto"/>
      <w:ind w:left="4252"/>
    </w:pPr>
  </w:style>
  <w:style w:type="character" w:customStyle="1" w:styleId="SignatureChar">
    <w:name w:val="Signature Char"/>
    <w:basedOn w:val="DefaultParagraphFont"/>
    <w:link w:val="Signature"/>
    <w:uiPriority w:val="99"/>
    <w:semiHidden/>
    <w:rsid w:val="00071855"/>
  </w:style>
  <w:style w:type="paragraph" w:styleId="Subtitle">
    <w:name w:val="Subtitle"/>
    <w:basedOn w:val="Normal"/>
    <w:next w:val="Normal"/>
    <w:link w:val="SubtitleChar"/>
    <w:uiPriority w:val="11"/>
    <w:qFormat/>
    <w:rsid w:val="0007185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185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71855"/>
    <w:pPr>
      <w:spacing w:after="0"/>
      <w:ind w:left="220" w:hanging="220"/>
    </w:pPr>
  </w:style>
  <w:style w:type="paragraph" w:styleId="TableofFigures">
    <w:name w:val="table of figures"/>
    <w:basedOn w:val="Normal"/>
    <w:next w:val="Normal"/>
    <w:uiPriority w:val="99"/>
    <w:semiHidden/>
    <w:unhideWhenUsed/>
    <w:rsid w:val="00071855"/>
    <w:pPr>
      <w:spacing w:after="0"/>
    </w:pPr>
  </w:style>
  <w:style w:type="paragraph" w:styleId="Title">
    <w:name w:val="Title"/>
    <w:basedOn w:val="Normal"/>
    <w:next w:val="Normal"/>
    <w:link w:val="TitleChar"/>
    <w:uiPriority w:val="10"/>
    <w:qFormat/>
    <w:rsid w:val="000718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85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7185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71855"/>
    <w:pPr>
      <w:spacing w:after="100"/>
    </w:pPr>
  </w:style>
  <w:style w:type="paragraph" w:styleId="TOC2">
    <w:name w:val="toc 2"/>
    <w:basedOn w:val="Normal"/>
    <w:next w:val="Normal"/>
    <w:autoRedefine/>
    <w:uiPriority w:val="39"/>
    <w:semiHidden/>
    <w:unhideWhenUsed/>
    <w:rsid w:val="00071855"/>
    <w:pPr>
      <w:spacing w:after="100"/>
      <w:ind w:left="220"/>
    </w:pPr>
  </w:style>
  <w:style w:type="paragraph" w:styleId="TOC3">
    <w:name w:val="toc 3"/>
    <w:basedOn w:val="Normal"/>
    <w:next w:val="Normal"/>
    <w:autoRedefine/>
    <w:uiPriority w:val="39"/>
    <w:semiHidden/>
    <w:unhideWhenUsed/>
    <w:rsid w:val="00071855"/>
    <w:pPr>
      <w:spacing w:after="100"/>
      <w:ind w:left="440"/>
    </w:pPr>
  </w:style>
  <w:style w:type="paragraph" w:styleId="TOC4">
    <w:name w:val="toc 4"/>
    <w:basedOn w:val="Normal"/>
    <w:next w:val="Normal"/>
    <w:autoRedefine/>
    <w:uiPriority w:val="39"/>
    <w:semiHidden/>
    <w:unhideWhenUsed/>
    <w:rsid w:val="00071855"/>
    <w:pPr>
      <w:spacing w:after="100"/>
      <w:ind w:left="660"/>
    </w:pPr>
  </w:style>
  <w:style w:type="paragraph" w:styleId="TOC5">
    <w:name w:val="toc 5"/>
    <w:basedOn w:val="Normal"/>
    <w:next w:val="Normal"/>
    <w:autoRedefine/>
    <w:uiPriority w:val="39"/>
    <w:semiHidden/>
    <w:unhideWhenUsed/>
    <w:rsid w:val="00071855"/>
    <w:pPr>
      <w:spacing w:after="100"/>
      <w:ind w:left="880"/>
    </w:pPr>
  </w:style>
  <w:style w:type="paragraph" w:styleId="TOC6">
    <w:name w:val="toc 6"/>
    <w:basedOn w:val="Normal"/>
    <w:next w:val="Normal"/>
    <w:autoRedefine/>
    <w:uiPriority w:val="39"/>
    <w:semiHidden/>
    <w:unhideWhenUsed/>
    <w:rsid w:val="00071855"/>
    <w:pPr>
      <w:spacing w:after="100"/>
      <w:ind w:left="1100"/>
    </w:pPr>
  </w:style>
  <w:style w:type="paragraph" w:styleId="TOC7">
    <w:name w:val="toc 7"/>
    <w:basedOn w:val="Normal"/>
    <w:next w:val="Normal"/>
    <w:autoRedefine/>
    <w:uiPriority w:val="39"/>
    <w:semiHidden/>
    <w:unhideWhenUsed/>
    <w:rsid w:val="00071855"/>
    <w:pPr>
      <w:spacing w:after="100"/>
      <w:ind w:left="1320"/>
    </w:pPr>
  </w:style>
  <w:style w:type="paragraph" w:styleId="TOC8">
    <w:name w:val="toc 8"/>
    <w:basedOn w:val="Normal"/>
    <w:next w:val="Normal"/>
    <w:autoRedefine/>
    <w:uiPriority w:val="39"/>
    <w:semiHidden/>
    <w:unhideWhenUsed/>
    <w:rsid w:val="00071855"/>
    <w:pPr>
      <w:spacing w:after="100"/>
      <w:ind w:left="1540"/>
    </w:pPr>
  </w:style>
  <w:style w:type="paragraph" w:styleId="TOC9">
    <w:name w:val="toc 9"/>
    <w:basedOn w:val="Normal"/>
    <w:next w:val="Normal"/>
    <w:autoRedefine/>
    <w:uiPriority w:val="39"/>
    <w:semiHidden/>
    <w:unhideWhenUsed/>
    <w:rsid w:val="00071855"/>
    <w:pPr>
      <w:spacing w:after="100"/>
      <w:ind w:left="1760"/>
    </w:pPr>
  </w:style>
  <w:style w:type="paragraph" w:styleId="TOCHeading">
    <w:name w:val="TOC Heading"/>
    <w:basedOn w:val="Heading1"/>
    <w:next w:val="Normal"/>
    <w:uiPriority w:val="39"/>
    <w:semiHidden/>
    <w:unhideWhenUsed/>
    <w:qFormat/>
    <w:rsid w:val="00071855"/>
    <w:pPr>
      <w:spacing w:before="240"/>
      <w:outlineLvl w:val="9"/>
    </w:pPr>
    <w:rPr>
      <w:b w:val="0"/>
      <w:bCs w:val="0"/>
      <w:caps w:val="0"/>
      <w:color w:val="365F91" w:themeColor="accent1" w:themeShade="BF"/>
      <w:sz w:val="32"/>
      <w:szCs w:val="32"/>
    </w:rPr>
  </w:style>
  <w:style w:type="character" w:styleId="HTMLTypewriter">
    <w:name w:val="HTML Typewriter"/>
    <w:basedOn w:val="DefaultParagraphFont"/>
    <w:uiPriority w:val="99"/>
    <w:semiHidden/>
    <w:unhideWhenUsed/>
    <w:rsid w:val="006E595D"/>
    <w:rPr>
      <w:rFonts w:ascii="Courier New" w:eastAsia="Calibri" w:hAnsi="Courier New" w:cs="Courier New" w:hint="default"/>
      <w:sz w:val="20"/>
      <w:szCs w:val="20"/>
    </w:rPr>
  </w:style>
  <w:style w:type="character" w:customStyle="1" w:styleId="CommentTextChar1">
    <w:name w:val="Comment Text Char1"/>
    <w:basedOn w:val="DefaultParagraphFont"/>
    <w:uiPriority w:val="99"/>
    <w:rsid w:val="008D6D88"/>
    <w:rPr>
      <w:rFonts w:ascii="Arial" w:eastAsia="Cambria" w:hAnsi="Arial" w:cs="Arial"/>
      <w:sz w:val="20"/>
      <w:szCs w:val="20"/>
    </w:rPr>
  </w:style>
  <w:style w:type="table" w:styleId="TableGrid">
    <w:name w:val="Table Grid"/>
    <w:basedOn w:val="TableNormal"/>
    <w:uiPriority w:val="59"/>
    <w:rsid w:val="00C76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Head4">
    <w:name w:val="NoNum:Head4"/>
    <w:basedOn w:val="Normal"/>
    <w:next w:val="Normal"/>
    <w:link w:val="NoNumHead4Char"/>
    <w:rsid w:val="00373E85"/>
    <w:pPr>
      <w:keepNext/>
      <w:spacing w:before="120" w:after="240" w:line="240" w:lineRule="auto"/>
      <w:outlineLvl w:val="0"/>
    </w:pPr>
    <w:rPr>
      <w:rFonts w:ascii="Arial" w:eastAsia="Times New Roman" w:hAnsi="Arial" w:cs="Times New Roman"/>
      <w:b/>
      <w:bCs/>
      <w:lang w:val="x-none" w:eastAsia="x-none"/>
    </w:rPr>
  </w:style>
  <w:style w:type="character" w:customStyle="1" w:styleId="NoNumHead4Char">
    <w:name w:val="NoNum:Head4 Char"/>
    <w:link w:val="NoNumHead4"/>
    <w:rsid w:val="00373E85"/>
    <w:rPr>
      <w:rFonts w:ascii="Arial" w:eastAsia="Times New Roman" w:hAnsi="Arial" w:cs="Times New Roman"/>
      <w:b/>
      <w:bCs/>
      <w:lang w:val="x-none" w:eastAsia="x-none"/>
    </w:rPr>
  </w:style>
  <w:style w:type="table" w:customStyle="1" w:styleId="TableGrid2">
    <w:name w:val="Table Grid2"/>
    <w:basedOn w:val="TableNormal"/>
    <w:next w:val="TableGrid"/>
    <w:uiPriority w:val="59"/>
    <w:rsid w:val="003E7E6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82AE9"/>
    <w:rPr>
      <w:color w:val="605E5C"/>
      <w:shd w:val="clear" w:color="auto" w:fill="E1DFDD"/>
    </w:rPr>
  </w:style>
  <w:style w:type="character" w:styleId="EndnoteReference">
    <w:name w:val="endnote reference"/>
    <w:unhideWhenUsed/>
    <w:rsid w:val="002A4CE1"/>
    <w:rPr>
      <w:vertAlign w:val="superscript"/>
    </w:rPr>
  </w:style>
  <w:style w:type="character" w:customStyle="1" w:styleId="commenttext0">
    <w:name w:val="commenttext"/>
    <w:basedOn w:val="DefaultParagraphFont"/>
    <w:rsid w:val="00094A0A"/>
  </w:style>
  <w:style w:type="paragraph" w:customStyle="1" w:styleId="TableParagraph">
    <w:name w:val="Table Paragraph"/>
    <w:basedOn w:val="Normal"/>
    <w:uiPriority w:val="1"/>
    <w:qFormat/>
    <w:rsid w:val="00354E64"/>
    <w:pPr>
      <w:widowControl w:val="0"/>
      <w:autoSpaceDE w:val="0"/>
      <w:autoSpaceDN w:val="0"/>
      <w:spacing w:after="0" w:line="213" w:lineRule="exact"/>
      <w:ind w:right="58"/>
      <w:jc w:val="right"/>
    </w:pPr>
    <w:rPr>
      <w:rFonts w:ascii="Courier New" w:eastAsia="Courier New" w:hAnsi="Courier New" w:cs="Courier New"/>
      <w:lang w:val="en-US"/>
    </w:rPr>
  </w:style>
  <w:style w:type="paragraph" w:customStyle="1" w:styleId="apphead1">
    <w:name w:val="app:head1"/>
    <w:basedOn w:val="Heading1"/>
    <w:next w:val="Normal"/>
    <w:rsid w:val="007264C7"/>
    <w:pPr>
      <w:keepLines w:val="0"/>
      <w:tabs>
        <w:tab w:val="left" w:pos="2160"/>
      </w:tabs>
      <w:spacing w:before="120" w:after="240" w:line="240" w:lineRule="auto"/>
      <w:ind w:left="2160" w:hanging="2160"/>
      <w:outlineLvl w:val="9"/>
    </w:pPr>
    <w:rPr>
      <w:rFonts w:ascii="Arial" w:eastAsia="Times New Roman" w:hAnsi="Arial" w:cs="Times New Roman"/>
      <w:lang w:val="x-none" w:eastAsia="x-none"/>
    </w:rPr>
  </w:style>
  <w:style w:type="character" w:customStyle="1" w:styleId="LBLLevel4">
    <w:name w:val="LBLLevel 4"/>
    <w:rsid w:val="007264C7"/>
    <w:rPr>
      <w:rFonts w:ascii="Arial" w:hAnsi="Arial" w:cs="Arial"/>
      <w:i/>
    </w:rPr>
  </w:style>
  <w:style w:type="paragraph" w:customStyle="1" w:styleId="NoNumHead3">
    <w:name w:val="NoNum:Head3"/>
    <w:basedOn w:val="Normal"/>
    <w:next w:val="Normal"/>
    <w:rsid w:val="00110F52"/>
    <w:pPr>
      <w:keepNext/>
      <w:spacing w:before="120" w:after="240" w:line="240" w:lineRule="auto"/>
      <w:outlineLvl w:val="0"/>
    </w:pPr>
    <w:rPr>
      <w:rFonts w:ascii="Arial" w:eastAsia="Times New Roman" w:hAnsi="Arial" w:cs="Times New Roman"/>
      <w:b/>
      <w:bCs/>
      <w:sz w:val="24"/>
      <w:szCs w:val="24"/>
      <w:lang w:val="x-none" w:eastAsia="x-none"/>
    </w:rPr>
  </w:style>
  <w:style w:type="character" w:customStyle="1" w:styleId="CSIchar">
    <w:name w:val="CSIchar"/>
    <w:qFormat/>
    <w:rsid w:val="004A6970"/>
    <w:rPr>
      <w:bdr w:val="none" w:sz="0" w:space="0" w:color="auto"/>
      <w:shd w:val="clear" w:color="auto" w:fill="CCCCCC"/>
    </w:rPr>
  </w:style>
  <w:style w:type="paragraph" w:customStyle="1" w:styleId="tabletextNS">
    <w:name w:val="table:textNS"/>
    <w:basedOn w:val="Normal"/>
    <w:link w:val="tabletextNSChar"/>
    <w:qFormat/>
    <w:rsid w:val="001D4A64"/>
    <w:pPr>
      <w:spacing w:after="0" w:line="240" w:lineRule="auto"/>
    </w:pPr>
    <w:rPr>
      <w:rFonts w:ascii="Arial Narrow" w:eastAsia="Times New Roman" w:hAnsi="Arial Narrow" w:cs="Arial Narrow"/>
      <w:sz w:val="24"/>
      <w:szCs w:val="20"/>
      <w:lang w:val="en-GB" w:eastAsia="en-GB"/>
    </w:rPr>
  </w:style>
  <w:style w:type="character" w:customStyle="1" w:styleId="tabletextNSChar">
    <w:name w:val="table:textNS Char"/>
    <w:link w:val="tabletextNS"/>
    <w:locked/>
    <w:rsid w:val="001D4A64"/>
    <w:rPr>
      <w:rFonts w:ascii="Arial Narrow" w:eastAsia="Times New Roman" w:hAnsi="Arial Narrow" w:cs="Arial Narrow"/>
      <w:sz w:val="24"/>
      <w:szCs w:val="20"/>
      <w:lang w:val="en-GB" w:eastAsia="en-GB"/>
    </w:rPr>
  </w:style>
  <w:style w:type="paragraph" w:customStyle="1" w:styleId="Default">
    <w:name w:val="Default"/>
    <w:rsid w:val="001D4A6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Revision">
    <w:name w:val="Revision"/>
    <w:hidden/>
    <w:uiPriority w:val="99"/>
    <w:semiHidden/>
    <w:rsid w:val="00D63276"/>
    <w:pPr>
      <w:spacing w:after="0" w:line="240" w:lineRule="auto"/>
    </w:pPr>
  </w:style>
  <w:style w:type="paragraph" w:customStyle="1" w:styleId="xmsonormal">
    <w:name w:val="x_msonormal"/>
    <w:basedOn w:val="Normal"/>
    <w:rsid w:val="00A70652"/>
    <w:pPr>
      <w:spacing w:after="0" w:line="260" w:lineRule="atLeast"/>
    </w:pPr>
    <w:rPr>
      <w:rFonts w:ascii="Times New Roman" w:eastAsia="Calibri" w:hAnsi="Times New Roman" w:cs="Times New Roman"/>
      <w:lang w:val="en-US" w:eastAsia="zh-CN"/>
    </w:rPr>
  </w:style>
  <w:style w:type="paragraph" w:customStyle="1" w:styleId="StyleDefaultJustified">
    <w:name w:val="Style Default + Justified"/>
    <w:basedOn w:val="Default"/>
    <w:rsid w:val="009E0775"/>
    <w:pPr>
      <w:spacing w:before="240" w:after="240"/>
      <w:jc w:val="both"/>
    </w:pPr>
    <w:rPr>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72948">
      <w:bodyDiv w:val="1"/>
      <w:marLeft w:val="0"/>
      <w:marRight w:val="0"/>
      <w:marTop w:val="0"/>
      <w:marBottom w:val="0"/>
      <w:divBdr>
        <w:top w:val="none" w:sz="0" w:space="0" w:color="auto"/>
        <w:left w:val="none" w:sz="0" w:space="0" w:color="auto"/>
        <w:bottom w:val="none" w:sz="0" w:space="0" w:color="auto"/>
        <w:right w:val="none" w:sz="0" w:space="0" w:color="auto"/>
      </w:divBdr>
    </w:div>
    <w:div w:id="261450141">
      <w:bodyDiv w:val="1"/>
      <w:marLeft w:val="0"/>
      <w:marRight w:val="0"/>
      <w:marTop w:val="0"/>
      <w:marBottom w:val="0"/>
      <w:divBdr>
        <w:top w:val="none" w:sz="0" w:space="0" w:color="auto"/>
        <w:left w:val="none" w:sz="0" w:space="0" w:color="auto"/>
        <w:bottom w:val="none" w:sz="0" w:space="0" w:color="auto"/>
        <w:right w:val="none" w:sz="0" w:space="0" w:color="auto"/>
      </w:divBdr>
    </w:div>
    <w:div w:id="740954862">
      <w:bodyDiv w:val="1"/>
      <w:marLeft w:val="0"/>
      <w:marRight w:val="0"/>
      <w:marTop w:val="0"/>
      <w:marBottom w:val="0"/>
      <w:divBdr>
        <w:top w:val="none" w:sz="0" w:space="0" w:color="auto"/>
        <w:left w:val="none" w:sz="0" w:space="0" w:color="auto"/>
        <w:bottom w:val="none" w:sz="0" w:space="0" w:color="auto"/>
        <w:right w:val="none" w:sz="0" w:space="0" w:color="auto"/>
      </w:divBdr>
      <w:divsChild>
        <w:div w:id="229200349">
          <w:marLeft w:val="0"/>
          <w:marRight w:val="0"/>
          <w:marTop w:val="0"/>
          <w:marBottom w:val="0"/>
          <w:divBdr>
            <w:top w:val="none" w:sz="0" w:space="0" w:color="auto"/>
            <w:left w:val="none" w:sz="0" w:space="0" w:color="auto"/>
            <w:bottom w:val="none" w:sz="0" w:space="0" w:color="auto"/>
            <w:right w:val="none" w:sz="0" w:space="0" w:color="auto"/>
          </w:divBdr>
          <w:divsChild>
            <w:div w:id="6402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96062">
      <w:bodyDiv w:val="1"/>
      <w:marLeft w:val="0"/>
      <w:marRight w:val="0"/>
      <w:marTop w:val="0"/>
      <w:marBottom w:val="0"/>
      <w:divBdr>
        <w:top w:val="none" w:sz="0" w:space="0" w:color="auto"/>
        <w:left w:val="none" w:sz="0" w:space="0" w:color="auto"/>
        <w:bottom w:val="none" w:sz="0" w:space="0" w:color="auto"/>
        <w:right w:val="none" w:sz="0" w:space="0" w:color="auto"/>
      </w:divBdr>
    </w:div>
    <w:div w:id="1380546191">
      <w:bodyDiv w:val="1"/>
      <w:marLeft w:val="0"/>
      <w:marRight w:val="0"/>
      <w:marTop w:val="0"/>
      <w:marBottom w:val="0"/>
      <w:divBdr>
        <w:top w:val="none" w:sz="0" w:space="0" w:color="auto"/>
        <w:left w:val="none" w:sz="0" w:space="0" w:color="auto"/>
        <w:bottom w:val="none" w:sz="0" w:space="0" w:color="auto"/>
        <w:right w:val="none" w:sz="0" w:space="0" w:color="auto"/>
      </w:divBdr>
    </w:div>
    <w:div w:id="1392658542">
      <w:bodyDiv w:val="1"/>
      <w:marLeft w:val="0"/>
      <w:marRight w:val="0"/>
      <w:marTop w:val="0"/>
      <w:marBottom w:val="0"/>
      <w:divBdr>
        <w:top w:val="none" w:sz="0" w:space="0" w:color="auto"/>
        <w:left w:val="none" w:sz="0" w:space="0" w:color="auto"/>
        <w:bottom w:val="none" w:sz="0" w:space="0" w:color="auto"/>
        <w:right w:val="none" w:sz="0" w:space="0" w:color="auto"/>
      </w:divBdr>
    </w:div>
    <w:div w:id="1467696999">
      <w:bodyDiv w:val="1"/>
      <w:marLeft w:val="0"/>
      <w:marRight w:val="0"/>
      <w:marTop w:val="0"/>
      <w:marBottom w:val="0"/>
      <w:divBdr>
        <w:top w:val="none" w:sz="0" w:space="0" w:color="auto"/>
        <w:left w:val="none" w:sz="0" w:space="0" w:color="auto"/>
        <w:bottom w:val="none" w:sz="0" w:space="0" w:color="auto"/>
        <w:right w:val="none" w:sz="0" w:space="0" w:color="auto"/>
      </w:divBdr>
    </w:div>
    <w:div w:id="1480876346">
      <w:bodyDiv w:val="1"/>
      <w:marLeft w:val="0"/>
      <w:marRight w:val="0"/>
      <w:marTop w:val="0"/>
      <w:marBottom w:val="0"/>
      <w:divBdr>
        <w:top w:val="none" w:sz="0" w:space="0" w:color="auto"/>
        <w:left w:val="none" w:sz="0" w:space="0" w:color="auto"/>
        <w:bottom w:val="none" w:sz="0" w:space="0" w:color="auto"/>
        <w:right w:val="none" w:sz="0" w:space="0" w:color="auto"/>
      </w:divBdr>
    </w:div>
    <w:div w:id="1553886629">
      <w:bodyDiv w:val="1"/>
      <w:marLeft w:val="0"/>
      <w:marRight w:val="0"/>
      <w:marTop w:val="0"/>
      <w:marBottom w:val="0"/>
      <w:divBdr>
        <w:top w:val="none" w:sz="0" w:space="0" w:color="auto"/>
        <w:left w:val="none" w:sz="0" w:space="0" w:color="auto"/>
        <w:bottom w:val="none" w:sz="0" w:space="0" w:color="auto"/>
        <w:right w:val="none" w:sz="0" w:space="0" w:color="auto"/>
      </w:divBdr>
    </w:div>
    <w:div w:id="1562399160">
      <w:bodyDiv w:val="1"/>
      <w:marLeft w:val="0"/>
      <w:marRight w:val="0"/>
      <w:marTop w:val="0"/>
      <w:marBottom w:val="0"/>
      <w:divBdr>
        <w:top w:val="none" w:sz="0" w:space="0" w:color="auto"/>
        <w:left w:val="none" w:sz="0" w:space="0" w:color="auto"/>
        <w:bottom w:val="none" w:sz="0" w:space="0" w:color="auto"/>
        <w:right w:val="none" w:sz="0" w:space="0" w:color="auto"/>
      </w:divBdr>
    </w:div>
    <w:div w:id="1677883118">
      <w:bodyDiv w:val="1"/>
      <w:marLeft w:val="0"/>
      <w:marRight w:val="0"/>
      <w:marTop w:val="0"/>
      <w:marBottom w:val="0"/>
      <w:divBdr>
        <w:top w:val="none" w:sz="0" w:space="0" w:color="auto"/>
        <w:left w:val="none" w:sz="0" w:space="0" w:color="auto"/>
        <w:bottom w:val="none" w:sz="0" w:space="0" w:color="auto"/>
        <w:right w:val="none" w:sz="0" w:space="0" w:color="auto"/>
      </w:divBdr>
    </w:div>
    <w:div w:id="1909462153">
      <w:bodyDiv w:val="1"/>
      <w:marLeft w:val="0"/>
      <w:marRight w:val="0"/>
      <w:marTop w:val="0"/>
      <w:marBottom w:val="0"/>
      <w:divBdr>
        <w:top w:val="none" w:sz="0" w:space="0" w:color="auto"/>
        <w:left w:val="none" w:sz="0" w:space="0" w:color="auto"/>
        <w:bottom w:val="none" w:sz="0" w:space="0" w:color="auto"/>
        <w:right w:val="none" w:sz="0" w:space="0" w:color="auto"/>
      </w:divBdr>
    </w:div>
    <w:div w:id="204513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ga.gov.au/reporting-proble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apregistry.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78B81AE596514F817D1F9194C6236E" ma:contentTypeVersion="7" ma:contentTypeDescription="Create a new document." ma:contentTypeScope="" ma:versionID="61ab323980363d2830450a5dcf4c6836">
  <xsd:schema xmlns:xsd="http://www.w3.org/2001/XMLSchema" xmlns:xs="http://www.w3.org/2001/XMLSchema" xmlns:p="http://schemas.microsoft.com/office/2006/metadata/properties" xmlns:ns3="50f2f5e2-4ff4-4b09-868e-f261324e3bcd" targetNamespace="http://schemas.microsoft.com/office/2006/metadata/properties" ma:root="true" ma:fieldsID="c2752281fd6ff20c956e245fb38bb644" ns3:_="">
    <xsd:import namespace="50f2f5e2-4ff4-4b09-868e-f261324e3b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2f5e2-4ff4-4b09-868e-f261324e3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9C3B8-68A2-40E3-9F25-21A6AF562E81}">
  <ds:schemaRefs>
    <ds:schemaRef ds:uri="http://schemas.microsoft.com/sharepoint/v3/contenttype/forms"/>
  </ds:schemaRefs>
</ds:datastoreItem>
</file>

<file path=customXml/itemProps2.xml><?xml version="1.0" encoding="utf-8"?>
<ds:datastoreItem xmlns:ds="http://schemas.openxmlformats.org/officeDocument/2006/customXml" ds:itemID="{C38054FD-CE93-41B3-89E3-67EF53FE1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2f5e2-4ff4-4b09-868e-f261324e3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BC9DA-A073-42E4-A4F4-749273DA1289}">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50f2f5e2-4ff4-4b09-868e-f261324e3bcd"/>
    <ds:schemaRef ds:uri="http://www.w3.org/XML/1998/namespace"/>
    <ds:schemaRef ds:uri="http://purl.org/dc/dcmitype/"/>
  </ds:schemaRefs>
</ds:datastoreItem>
</file>

<file path=customXml/itemProps4.xml><?xml version="1.0" encoding="utf-8"?>
<ds:datastoreItem xmlns:ds="http://schemas.openxmlformats.org/officeDocument/2006/customXml" ds:itemID="{85A61153-EBCC-4CF0-8A99-162324DB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38</Pages>
  <Words>12512</Words>
  <Characters>72699</Characters>
  <Application>Microsoft Office Word</Application>
  <DocSecurity>0</DocSecurity>
  <Lines>1913</Lines>
  <Paragraphs>1167</Paragraphs>
  <ScaleCrop>false</ScaleCrop>
  <HeadingPairs>
    <vt:vector size="2" baseType="variant">
      <vt:variant>
        <vt:lpstr>Title</vt:lpstr>
      </vt:variant>
      <vt:variant>
        <vt:i4>1</vt:i4>
      </vt:variant>
    </vt:vector>
  </HeadingPairs>
  <TitlesOfParts>
    <vt:vector size="1" baseType="lpstr">
      <vt:lpstr>Attachment 2: Product Information for Cabotegravir sodium and cabotegravir/rilpivirine</vt:lpstr>
    </vt:vector>
  </TitlesOfParts>
  <Company>ViiV Healthcare Pty Ltd</Company>
  <LinksUpToDate>false</LinksUpToDate>
  <CharactersWithSpaces>84044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Product Information for Cabotegravir sodium and cabotegravir/rilpivirine</dc:title>
  <dc:subject>prescription medicines</dc:subject>
  <dc:creator>ViiV Healthcare Pty Ltd</dc:creator>
  <cp:keywords/>
  <cp:lastPrinted>2017-11-13T05:13:00Z</cp:lastPrinted>
  <dcterms:created xsi:type="dcterms:W3CDTF">2021-05-18T22:49:00Z</dcterms:created>
  <dcterms:modified xsi:type="dcterms:W3CDTF">2021-05-18T23:47:00Z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0x0101008E78B81AE596514F817D1F9194C6236E</vt:lpwstr>
  </property>
</Properties>
</file>