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48D3D50" w14:textId="77777777" w:rsidTr="00BF1190">
        <w:trPr>
          <w:trHeight w:val="1863"/>
        </w:trPr>
        <w:tc>
          <w:tcPr>
            <w:tcW w:w="3652" w:type="dxa"/>
            <w:tcBorders>
              <w:top w:val="nil"/>
              <w:left w:val="nil"/>
              <w:bottom w:val="nil"/>
              <w:right w:val="nil"/>
            </w:tcBorders>
          </w:tcPr>
          <w:p w14:paraId="5038226B" w14:textId="36FB1781" w:rsidR="008E7846" w:rsidRPr="00096AA7" w:rsidRDefault="00A37E5F" w:rsidP="00096AA7">
            <w:pPr>
              <w:rPr>
                <w:rFonts w:ascii="Arial" w:hAnsi="Arial" w:cs="Arial"/>
                <w:b/>
                <w:color w:val="002C47"/>
                <w:sz w:val="36"/>
                <w:szCs w:val="36"/>
              </w:rPr>
            </w:pPr>
            <w:r>
              <w:rPr>
                <w:rFonts w:ascii="Arial" w:hAnsi="Arial" w:cs="Arial"/>
                <w:b/>
                <w:color w:val="002C47"/>
                <w:sz w:val="36"/>
                <w:szCs w:val="36"/>
              </w:rPr>
              <w:t>November</w:t>
            </w:r>
            <w:r w:rsidR="00647F9B">
              <w:rPr>
                <w:rFonts w:ascii="Arial" w:hAnsi="Arial" w:cs="Arial"/>
                <w:b/>
                <w:color w:val="002C47"/>
                <w:sz w:val="36"/>
                <w:szCs w:val="36"/>
              </w:rPr>
              <w:t xml:space="preserve"> </w:t>
            </w:r>
            <w:r w:rsidR="000051A7">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A88E4E7" w14:textId="77777777" w:rsidTr="0032583B">
        <w:trPr>
          <w:trHeight w:val="868"/>
        </w:trPr>
        <w:tc>
          <w:tcPr>
            <w:tcW w:w="9079" w:type="dxa"/>
          </w:tcPr>
          <w:p w14:paraId="0975E2C2" w14:textId="77777777" w:rsidR="0032583B" w:rsidRPr="00A964D1" w:rsidRDefault="0032583B" w:rsidP="00A964D1">
            <w:pPr>
              <w:pStyle w:val="Title"/>
              <w:rPr>
                <w:color w:val="FFFFFF" w:themeColor="background1"/>
              </w:rPr>
            </w:pPr>
            <w:r w:rsidRPr="00A964D1">
              <w:rPr>
                <w:color w:val="FFFFFF" w:themeColor="background1"/>
              </w:rPr>
              <w:t>Australian Pu</w:t>
            </w:r>
            <w:r w:rsidR="000051A7">
              <w:rPr>
                <w:color w:val="FFFFFF" w:themeColor="background1"/>
              </w:rPr>
              <w:t>blic Assessment Report for B</w:t>
            </w:r>
            <w:r w:rsidR="000051A7" w:rsidRPr="000051A7">
              <w:rPr>
                <w:color w:val="FFFFFF" w:themeColor="background1"/>
              </w:rPr>
              <w:t>uprenorphine</w:t>
            </w:r>
          </w:p>
        </w:tc>
      </w:tr>
      <w:tr w:rsidR="0032583B" w:rsidRPr="00B64760" w14:paraId="71D6D43C" w14:textId="77777777" w:rsidTr="0032583B">
        <w:tc>
          <w:tcPr>
            <w:tcW w:w="9079" w:type="dxa"/>
          </w:tcPr>
          <w:p w14:paraId="40C21CC7" w14:textId="77777777" w:rsidR="0032583B" w:rsidRPr="008E7846" w:rsidRDefault="0032583B" w:rsidP="000051A7">
            <w:pPr>
              <w:pStyle w:val="Subtitle"/>
              <w:rPr>
                <w:color w:val="FFFFFF" w:themeColor="background1"/>
              </w:rPr>
            </w:pPr>
            <w:r w:rsidRPr="008E7846">
              <w:rPr>
                <w:color w:val="FFFFFF" w:themeColor="background1"/>
              </w:rPr>
              <w:t xml:space="preserve">Proprietary Product Name: </w:t>
            </w:r>
            <w:proofErr w:type="spellStart"/>
            <w:r w:rsidR="000051A7">
              <w:rPr>
                <w:color w:val="FFFFFF" w:themeColor="background1"/>
              </w:rPr>
              <w:t>Buvidal</w:t>
            </w:r>
            <w:proofErr w:type="spellEnd"/>
          </w:p>
        </w:tc>
      </w:tr>
      <w:tr w:rsidR="0032583B" w:rsidRPr="00B64760" w14:paraId="5A25D767" w14:textId="77777777" w:rsidTr="0032583B">
        <w:trPr>
          <w:trHeight w:val="486"/>
        </w:trPr>
        <w:tc>
          <w:tcPr>
            <w:tcW w:w="9079" w:type="dxa"/>
          </w:tcPr>
          <w:p w14:paraId="5998E8BF" w14:textId="05EB535F" w:rsidR="0032583B" w:rsidRPr="008E7846" w:rsidRDefault="0032583B" w:rsidP="0032583B">
            <w:pPr>
              <w:pStyle w:val="Subtitle"/>
              <w:rPr>
                <w:color w:val="FFFFFF" w:themeColor="background1"/>
              </w:rPr>
            </w:pPr>
            <w:r w:rsidRPr="008E7846">
              <w:rPr>
                <w:color w:val="FFFFFF" w:themeColor="background1"/>
              </w:rPr>
              <w:t xml:space="preserve">Sponsor: </w:t>
            </w:r>
            <w:proofErr w:type="spellStart"/>
            <w:r w:rsidR="00BF0ED3">
              <w:rPr>
                <w:color w:val="FFFFFF" w:themeColor="background1"/>
              </w:rPr>
              <w:t>Camurus</w:t>
            </w:r>
            <w:proofErr w:type="spellEnd"/>
            <w:r w:rsidR="00BF0ED3" w:rsidRPr="000051A7">
              <w:rPr>
                <w:color w:val="FFFFFF" w:themeColor="background1"/>
              </w:rPr>
              <w:t xml:space="preserve"> </w:t>
            </w:r>
            <w:r w:rsidR="000051A7" w:rsidRPr="000051A7">
              <w:rPr>
                <w:color w:val="FFFFFF" w:themeColor="background1"/>
              </w:rPr>
              <w:t>Pty Ltd</w:t>
            </w:r>
          </w:p>
        </w:tc>
      </w:tr>
    </w:tbl>
    <w:p w14:paraId="78C57975" w14:textId="77777777" w:rsidR="008E7846" w:rsidRPr="0085156D" w:rsidRDefault="008E7846" w:rsidP="0085156D">
      <w:r w:rsidRPr="0085156D">
        <w:br w:type="page"/>
      </w:r>
    </w:p>
    <w:p w14:paraId="4AD1850D" w14:textId="77777777" w:rsidR="008E7846" w:rsidRPr="001F6CBA" w:rsidRDefault="008E7846" w:rsidP="008E7846">
      <w:pPr>
        <w:pStyle w:val="NonTOCHeading2"/>
      </w:pPr>
      <w:r w:rsidRPr="001F6CBA">
        <w:lastRenderedPageBreak/>
        <w:t>About the Therapeutic Goods Administration (TGA)</w:t>
      </w:r>
    </w:p>
    <w:p w14:paraId="62EA0DD3"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8214A25"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02635E6"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4EE84D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6AB5C6"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21CC30F7" w14:textId="77777777" w:rsidR="008E7846" w:rsidRDefault="008E7846" w:rsidP="00875A6B">
      <w:pPr>
        <w:pStyle w:val="NonTOCHeading2"/>
      </w:pPr>
      <w:r>
        <w:t>About AusPARs</w:t>
      </w:r>
    </w:p>
    <w:p w14:paraId="317F4AE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B68305D" w14:textId="77777777" w:rsidR="008E7846" w:rsidRDefault="008E7846" w:rsidP="008E7846">
      <w:pPr>
        <w:pStyle w:val="ListBullet"/>
        <w:numPr>
          <w:ilvl w:val="0"/>
          <w:numId w:val="3"/>
        </w:numPr>
        <w:ind w:left="357" w:hanging="357"/>
      </w:pPr>
      <w:r>
        <w:t>AusPARs are prepared and published by the TGA.</w:t>
      </w:r>
    </w:p>
    <w:p w14:paraId="67145A71"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2DE883B"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E1CF77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84EFE6E" w14:textId="77777777" w:rsidR="00924482" w:rsidRPr="00DF1D7F" w:rsidRDefault="00924482" w:rsidP="00F54B65">
      <w:pPr>
        <w:pStyle w:val="LegalSubheading"/>
        <w:spacing w:before="3120"/>
      </w:pPr>
      <w:r w:rsidRPr="00DF1D7F">
        <w:t>Copyright</w:t>
      </w:r>
    </w:p>
    <w:p w14:paraId="49838638"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55C0FE64"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7EC1951" w14:textId="77777777" w:rsidR="0089635C" w:rsidRPr="0089635C" w:rsidRDefault="0089635C" w:rsidP="0010788A">
          <w:pPr>
            <w:pStyle w:val="Contents"/>
          </w:pPr>
          <w:r w:rsidRPr="0010788A">
            <w:t>Cont</w:t>
          </w:r>
          <w:bookmarkStart w:id="2" w:name="_GoBack"/>
          <w:bookmarkEnd w:id="2"/>
          <w:r w:rsidRPr="0010788A">
            <w:t>ents</w:t>
          </w:r>
        </w:p>
        <w:p w14:paraId="44DCF359" w14:textId="7D5E5F4E" w:rsidR="008E1E4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4539908" w:history="1">
            <w:r w:rsidR="008E1E43" w:rsidRPr="00A94A54">
              <w:rPr>
                <w:rStyle w:val="Hyperlink"/>
                <w:noProof/>
              </w:rPr>
              <w:t>Common abbreviations</w:t>
            </w:r>
            <w:r w:rsidR="008E1E43">
              <w:rPr>
                <w:noProof/>
                <w:webHidden/>
              </w:rPr>
              <w:tab/>
            </w:r>
            <w:r w:rsidR="008E1E43">
              <w:rPr>
                <w:noProof/>
                <w:webHidden/>
              </w:rPr>
              <w:fldChar w:fldCharType="begin"/>
            </w:r>
            <w:r w:rsidR="008E1E43">
              <w:rPr>
                <w:noProof/>
                <w:webHidden/>
              </w:rPr>
              <w:instrText xml:space="preserve"> PAGEREF _Toc24539908 \h </w:instrText>
            </w:r>
            <w:r w:rsidR="008E1E43">
              <w:rPr>
                <w:noProof/>
                <w:webHidden/>
              </w:rPr>
            </w:r>
            <w:r w:rsidR="008E1E43">
              <w:rPr>
                <w:noProof/>
                <w:webHidden/>
              </w:rPr>
              <w:fldChar w:fldCharType="separate"/>
            </w:r>
            <w:r w:rsidR="008E1E43">
              <w:rPr>
                <w:noProof/>
                <w:webHidden/>
              </w:rPr>
              <w:t>5</w:t>
            </w:r>
            <w:r w:rsidR="008E1E43">
              <w:rPr>
                <w:noProof/>
                <w:webHidden/>
              </w:rPr>
              <w:fldChar w:fldCharType="end"/>
            </w:r>
          </w:hyperlink>
        </w:p>
        <w:p w14:paraId="6B707898" w14:textId="0407F840" w:rsidR="008E1E43" w:rsidRDefault="008E1E43">
          <w:pPr>
            <w:pStyle w:val="TOC2"/>
            <w:rPr>
              <w:rFonts w:asciiTheme="minorHAnsi" w:eastAsiaTheme="minorEastAsia" w:hAnsiTheme="minorHAnsi" w:cstheme="minorBidi"/>
              <w:b w:val="0"/>
              <w:noProof/>
              <w:sz w:val="22"/>
              <w:lang w:eastAsia="en-AU"/>
            </w:rPr>
          </w:pPr>
          <w:hyperlink w:anchor="_Toc24539909" w:history="1">
            <w:r w:rsidRPr="00A94A54">
              <w:rPr>
                <w:rStyle w:val="Hyperlink"/>
                <w:noProof/>
              </w:rPr>
              <w:t>I. Introduction to product submission</w:t>
            </w:r>
            <w:r>
              <w:rPr>
                <w:noProof/>
                <w:webHidden/>
              </w:rPr>
              <w:tab/>
            </w:r>
            <w:r>
              <w:rPr>
                <w:noProof/>
                <w:webHidden/>
              </w:rPr>
              <w:fldChar w:fldCharType="begin"/>
            </w:r>
            <w:r>
              <w:rPr>
                <w:noProof/>
                <w:webHidden/>
              </w:rPr>
              <w:instrText xml:space="preserve"> PAGEREF _Toc24539909 \h </w:instrText>
            </w:r>
            <w:r>
              <w:rPr>
                <w:noProof/>
                <w:webHidden/>
              </w:rPr>
            </w:r>
            <w:r>
              <w:rPr>
                <w:noProof/>
                <w:webHidden/>
              </w:rPr>
              <w:fldChar w:fldCharType="separate"/>
            </w:r>
            <w:r>
              <w:rPr>
                <w:noProof/>
                <w:webHidden/>
              </w:rPr>
              <w:t>9</w:t>
            </w:r>
            <w:r>
              <w:rPr>
                <w:noProof/>
                <w:webHidden/>
              </w:rPr>
              <w:fldChar w:fldCharType="end"/>
            </w:r>
          </w:hyperlink>
        </w:p>
        <w:p w14:paraId="54CF4233" w14:textId="387F817B" w:rsidR="008E1E43" w:rsidRDefault="008E1E43">
          <w:pPr>
            <w:pStyle w:val="TOC3"/>
            <w:rPr>
              <w:rFonts w:asciiTheme="minorHAnsi" w:eastAsiaTheme="minorEastAsia" w:hAnsiTheme="minorHAnsi" w:cstheme="minorBidi"/>
              <w:noProof/>
              <w:lang w:eastAsia="en-AU"/>
            </w:rPr>
          </w:pPr>
          <w:hyperlink w:anchor="_Toc24539910" w:history="1">
            <w:r w:rsidRPr="00A94A54">
              <w:rPr>
                <w:rStyle w:val="Hyperlink"/>
                <w:noProof/>
                <w:lang w:eastAsia="en-AU"/>
              </w:rPr>
              <w:t>Submission details</w:t>
            </w:r>
            <w:r>
              <w:rPr>
                <w:noProof/>
                <w:webHidden/>
              </w:rPr>
              <w:tab/>
            </w:r>
            <w:r>
              <w:rPr>
                <w:noProof/>
                <w:webHidden/>
              </w:rPr>
              <w:fldChar w:fldCharType="begin"/>
            </w:r>
            <w:r>
              <w:rPr>
                <w:noProof/>
                <w:webHidden/>
              </w:rPr>
              <w:instrText xml:space="preserve"> PAGEREF _Toc24539910 \h </w:instrText>
            </w:r>
            <w:r>
              <w:rPr>
                <w:noProof/>
                <w:webHidden/>
              </w:rPr>
            </w:r>
            <w:r>
              <w:rPr>
                <w:noProof/>
                <w:webHidden/>
              </w:rPr>
              <w:fldChar w:fldCharType="separate"/>
            </w:r>
            <w:r>
              <w:rPr>
                <w:noProof/>
                <w:webHidden/>
              </w:rPr>
              <w:t>9</w:t>
            </w:r>
            <w:r>
              <w:rPr>
                <w:noProof/>
                <w:webHidden/>
              </w:rPr>
              <w:fldChar w:fldCharType="end"/>
            </w:r>
          </w:hyperlink>
        </w:p>
        <w:p w14:paraId="2E2B766B" w14:textId="13C8033D" w:rsidR="008E1E43" w:rsidRDefault="008E1E43">
          <w:pPr>
            <w:pStyle w:val="TOC3"/>
            <w:rPr>
              <w:rFonts w:asciiTheme="minorHAnsi" w:eastAsiaTheme="minorEastAsia" w:hAnsiTheme="minorHAnsi" w:cstheme="minorBidi"/>
              <w:noProof/>
              <w:lang w:eastAsia="en-AU"/>
            </w:rPr>
          </w:pPr>
          <w:hyperlink w:anchor="_Toc24539911" w:history="1">
            <w:r w:rsidRPr="00A94A54">
              <w:rPr>
                <w:rStyle w:val="Hyperlink"/>
                <w:noProof/>
              </w:rPr>
              <w:t>Product background</w:t>
            </w:r>
            <w:r>
              <w:rPr>
                <w:noProof/>
                <w:webHidden/>
              </w:rPr>
              <w:tab/>
            </w:r>
            <w:r>
              <w:rPr>
                <w:noProof/>
                <w:webHidden/>
              </w:rPr>
              <w:fldChar w:fldCharType="begin"/>
            </w:r>
            <w:r>
              <w:rPr>
                <w:noProof/>
                <w:webHidden/>
              </w:rPr>
              <w:instrText xml:space="preserve"> PAGEREF _Toc24539911 \h </w:instrText>
            </w:r>
            <w:r>
              <w:rPr>
                <w:noProof/>
                <w:webHidden/>
              </w:rPr>
            </w:r>
            <w:r>
              <w:rPr>
                <w:noProof/>
                <w:webHidden/>
              </w:rPr>
              <w:fldChar w:fldCharType="separate"/>
            </w:r>
            <w:r>
              <w:rPr>
                <w:noProof/>
                <w:webHidden/>
              </w:rPr>
              <w:t>10</w:t>
            </w:r>
            <w:r>
              <w:rPr>
                <w:noProof/>
                <w:webHidden/>
              </w:rPr>
              <w:fldChar w:fldCharType="end"/>
            </w:r>
          </w:hyperlink>
        </w:p>
        <w:p w14:paraId="546AC32F" w14:textId="35F79A83" w:rsidR="008E1E43" w:rsidRDefault="008E1E43">
          <w:pPr>
            <w:pStyle w:val="TOC3"/>
            <w:rPr>
              <w:rFonts w:asciiTheme="minorHAnsi" w:eastAsiaTheme="minorEastAsia" w:hAnsiTheme="minorHAnsi" w:cstheme="minorBidi"/>
              <w:noProof/>
              <w:lang w:eastAsia="en-AU"/>
            </w:rPr>
          </w:pPr>
          <w:hyperlink w:anchor="_Toc24539912" w:history="1">
            <w:r w:rsidRPr="00A94A54">
              <w:rPr>
                <w:rStyle w:val="Hyperlink"/>
                <w:noProof/>
              </w:rPr>
              <w:t>Regulatory status</w:t>
            </w:r>
            <w:r>
              <w:rPr>
                <w:noProof/>
                <w:webHidden/>
              </w:rPr>
              <w:tab/>
            </w:r>
            <w:r>
              <w:rPr>
                <w:noProof/>
                <w:webHidden/>
              </w:rPr>
              <w:fldChar w:fldCharType="begin"/>
            </w:r>
            <w:r>
              <w:rPr>
                <w:noProof/>
                <w:webHidden/>
              </w:rPr>
              <w:instrText xml:space="preserve"> PAGEREF _Toc24539912 \h </w:instrText>
            </w:r>
            <w:r>
              <w:rPr>
                <w:noProof/>
                <w:webHidden/>
              </w:rPr>
            </w:r>
            <w:r>
              <w:rPr>
                <w:noProof/>
                <w:webHidden/>
              </w:rPr>
              <w:fldChar w:fldCharType="separate"/>
            </w:r>
            <w:r>
              <w:rPr>
                <w:noProof/>
                <w:webHidden/>
              </w:rPr>
              <w:t>10</w:t>
            </w:r>
            <w:r>
              <w:rPr>
                <w:noProof/>
                <w:webHidden/>
              </w:rPr>
              <w:fldChar w:fldCharType="end"/>
            </w:r>
          </w:hyperlink>
        </w:p>
        <w:p w14:paraId="1ECEB386" w14:textId="4819B1DF" w:rsidR="008E1E43" w:rsidRDefault="008E1E43">
          <w:pPr>
            <w:pStyle w:val="TOC3"/>
            <w:rPr>
              <w:rFonts w:asciiTheme="minorHAnsi" w:eastAsiaTheme="minorEastAsia" w:hAnsiTheme="minorHAnsi" w:cstheme="minorBidi"/>
              <w:noProof/>
              <w:lang w:eastAsia="en-AU"/>
            </w:rPr>
          </w:pPr>
          <w:hyperlink w:anchor="_Toc24539913" w:history="1">
            <w:r w:rsidRPr="00A94A54">
              <w:rPr>
                <w:rStyle w:val="Hyperlink"/>
                <w:noProof/>
              </w:rPr>
              <w:t>Product Information</w:t>
            </w:r>
            <w:r>
              <w:rPr>
                <w:noProof/>
                <w:webHidden/>
              </w:rPr>
              <w:tab/>
            </w:r>
            <w:r>
              <w:rPr>
                <w:noProof/>
                <w:webHidden/>
              </w:rPr>
              <w:fldChar w:fldCharType="begin"/>
            </w:r>
            <w:r>
              <w:rPr>
                <w:noProof/>
                <w:webHidden/>
              </w:rPr>
              <w:instrText xml:space="preserve"> PAGEREF _Toc24539913 \h </w:instrText>
            </w:r>
            <w:r>
              <w:rPr>
                <w:noProof/>
                <w:webHidden/>
              </w:rPr>
            </w:r>
            <w:r>
              <w:rPr>
                <w:noProof/>
                <w:webHidden/>
              </w:rPr>
              <w:fldChar w:fldCharType="separate"/>
            </w:r>
            <w:r>
              <w:rPr>
                <w:noProof/>
                <w:webHidden/>
              </w:rPr>
              <w:t>10</w:t>
            </w:r>
            <w:r>
              <w:rPr>
                <w:noProof/>
                <w:webHidden/>
              </w:rPr>
              <w:fldChar w:fldCharType="end"/>
            </w:r>
          </w:hyperlink>
        </w:p>
        <w:p w14:paraId="7AC9E029" w14:textId="13113D1F" w:rsidR="008E1E43" w:rsidRDefault="008E1E43">
          <w:pPr>
            <w:pStyle w:val="TOC2"/>
            <w:rPr>
              <w:rFonts w:asciiTheme="minorHAnsi" w:eastAsiaTheme="minorEastAsia" w:hAnsiTheme="minorHAnsi" w:cstheme="minorBidi"/>
              <w:b w:val="0"/>
              <w:noProof/>
              <w:sz w:val="22"/>
              <w:lang w:eastAsia="en-AU"/>
            </w:rPr>
          </w:pPr>
          <w:hyperlink w:anchor="_Toc24539914" w:history="1">
            <w:r w:rsidRPr="00A94A54">
              <w:rPr>
                <w:rStyle w:val="Hyperlink"/>
                <w:noProof/>
              </w:rPr>
              <w:t>II. Registration timeline</w:t>
            </w:r>
            <w:r>
              <w:rPr>
                <w:noProof/>
                <w:webHidden/>
              </w:rPr>
              <w:tab/>
            </w:r>
            <w:r>
              <w:rPr>
                <w:noProof/>
                <w:webHidden/>
              </w:rPr>
              <w:fldChar w:fldCharType="begin"/>
            </w:r>
            <w:r>
              <w:rPr>
                <w:noProof/>
                <w:webHidden/>
              </w:rPr>
              <w:instrText xml:space="preserve"> PAGEREF _Toc24539914 \h </w:instrText>
            </w:r>
            <w:r>
              <w:rPr>
                <w:noProof/>
                <w:webHidden/>
              </w:rPr>
            </w:r>
            <w:r>
              <w:rPr>
                <w:noProof/>
                <w:webHidden/>
              </w:rPr>
              <w:fldChar w:fldCharType="separate"/>
            </w:r>
            <w:r>
              <w:rPr>
                <w:noProof/>
                <w:webHidden/>
              </w:rPr>
              <w:t>10</w:t>
            </w:r>
            <w:r>
              <w:rPr>
                <w:noProof/>
                <w:webHidden/>
              </w:rPr>
              <w:fldChar w:fldCharType="end"/>
            </w:r>
          </w:hyperlink>
        </w:p>
        <w:p w14:paraId="2DA985D9" w14:textId="2311A638" w:rsidR="008E1E43" w:rsidRDefault="008E1E43">
          <w:pPr>
            <w:pStyle w:val="TOC2"/>
            <w:rPr>
              <w:rFonts w:asciiTheme="minorHAnsi" w:eastAsiaTheme="minorEastAsia" w:hAnsiTheme="minorHAnsi" w:cstheme="minorBidi"/>
              <w:b w:val="0"/>
              <w:noProof/>
              <w:sz w:val="22"/>
              <w:lang w:eastAsia="en-AU"/>
            </w:rPr>
          </w:pPr>
          <w:hyperlink w:anchor="_Toc24539915" w:history="1">
            <w:r w:rsidRPr="00A94A54">
              <w:rPr>
                <w:rStyle w:val="Hyperlink"/>
                <w:noProof/>
              </w:rPr>
              <w:t>III. Quality findings</w:t>
            </w:r>
            <w:r>
              <w:rPr>
                <w:noProof/>
                <w:webHidden/>
              </w:rPr>
              <w:tab/>
            </w:r>
            <w:r>
              <w:rPr>
                <w:noProof/>
                <w:webHidden/>
              </w:rPr>
              <w:fldChar w:fldCharType="begin"/>
            </w:r>
            <w:r>
              <w:rPr>
                <w:noProof/>
                <w:webHidden/>
              </w:rPr>
              <w:instrText xml:space="preserve"> PAGEREF _Toc24539915 \h </w:instrText>
            </w:r>
            <w:r>
              <w:rPr>
                <w:noProof/>
                <w:webHidden/>
              </w:rPr>
            </w:r>
            <w:r>
              <w:rPr>
                <w:noProof/>
                <w:webHidden/>
              </w:rPr>
              <w:fldChar w:fldCharType="separate"/>
            </w:r>
            <w:r>
              <w:rPr>
                <w:noProof/>
                <w:webHidden/>
              </w:rPr>
              <w:t>11</w:t>
            </w:r>
            <w:r>
              <w:rPr>
                <w:noProof/>
                <w:webHidden/>
              </w:rPr>
              <w:fldChar w:fldCharType="end"/>
            </w:r>
          </w:hyperlink>
        </w:p>
        <w:p w14:paraId="5B80A089" w14:textId="0D6D0E50" w:rsidR="008E1E43" w:rsidRDefault="008E1E43">
          <w:pPr>
            <w:pStyle w:val="TOC3"/>
            <w:rPr>
              <w:rFonts w:asciiTheme="minorHAnsi" w:eastAsiaTheme="minorEastAsia" w:hAnsiTheme="minorHAnsi" w:cstheme="minorBidi"/>
              <w:noProof/>
              <w:lang w:eastAsia="en-AU"/>
            </w:rPr>
          </w:pPr>
          <w:hyperlink w:anchor="_Toc24539916" w:history="1">
            <w:r w:rsidRPr="00A94A54">
              <w:rPr>
                <w:rStyle w:val="Hyperlink"/>
                <w:noProof/>
              </w:rPr>
              <w:t>Introduction</w:t>
            </w:r>
            <w:r>
              <w:rPr>
                <w:noProof/>
                <w:webHidden/>
              </w:rPr>
              <w:tab/>
            </w:r>
            <w:r>
              <w:rPr>
                <w:noProof/>
                <w:webHidden/>
              </w:rPr>
              <w:fldChar w:fldCharType="begin"/>
            </w:r>
            <w:r>
              <w:rPr>
                <w:noProof/>
                <w:webHidden/>
              </w:rPr>
              <w:instrText xml:space="preserve"> PAGEREF _Toc24539916 \h </w:instrText>
            </w:r>
            <w:r>
              <w:rPr>
                <w:noProof/>
                <w:webHidden/>
              </w:rPr>
            </w:r>
            <w:r>
              <w:rPr>
                <w:noProof/>
                <w:webHidden/>
              </w:rPr>
              <w:fldChar w:fldCharType="separate"/>
            </w:r>
            <w:r>
              <w:rPr>
                <w:noProof/>
                <w:webHidden/>
              </w:rPr>
              <w:t>11</w:t>
            </w:r>
            <w:r>
              <w:rPr>
                <w:noProof/>
                <w:webHidden/>
              </w:rPr>
              <w:fldChar w:fldCharType="end"/>
            </w:r>
          </w:hyperlink>
        </w:p>
        <w:p w14:paraId="709B8547" w14:textId="5BDDB684" w:rsidR="008E1E43" w:rsidRDefault="008E1E43">
          <w:pPr>
            <w:pStyle w:val="TOC3"/>
            <w:rPr>
              <w:rFonts w:asciiTheme="minorHAnsi" w:eastAsiaTheme="minorEastAsia" w:hAnsiTheme="minorHAnsi" w:cstheme="minorBidi"/>
              <w:noProof/>
              <w:lang w:eastAsia="en-AU"/>
            </w:rPr>
          </w:pPr>
          <w:hyperlink w:anchor="_Toc24539917" w:history="1">
            <w:r w:rsidRPr="00A94A54">
              <w:rPr>
                <w:rStyle w:val="Hyperlink"/>
                <w:noProof/>
              </w:rPr>
              <w:t>Drug substance (active ingredient)</w:t>
            </w:r>
            <w:r>
              <w:rPr>
                <w:noProof/>
                <w:webHidden/>
              </w:rPr>
              <w:tab/>
            </w:r>
            <w:r>
              <w:rPr>
                <w:noProof/>
                <w:webHidden/>
              </w:rPr>
              <w:fldChar w:fldCharType="begin"/>
            </w:r>
            <w:r>
              <w:rPr>
                <w:noProof/>
                <w:webHidden/>
              </w:rPr>
              <w:instrText xml:space="preserve"> PAGEREF _Toc24539917 \h </w:instrText>
            </w:r>
            <w:r>
              <w:rPr>
                <w:noProof/>
                <w:webHidden/>
              </w:rPr>
            </w:r>
            <w:r>
              <w:rPr>
                <w:noProof/>
                <w:webHidden/>
              </w:rPr>
              <w:fldChar w:fldCharType="separate"/>
            </w:r>
            <w:r>
              <w:rPr>
                <w:noProof/>
                <w:webHidden/>
              </w:rPr>
              <w:t>12</w:t>
            </w:r>
            <w:r>
              <w:rPr>
                <w:noProof/>
                <w:webHidden/>
              </w:rPr>
              <w:fldChar w:fldCharType="end"/>
            </w:r>
          </w:hyperlink>
        </w:p>
        <w:p w14:paraId="1954E902" w14:textId="6C2637D4" w:rsidR="008E1E43" w:rsidRDefault="008E1E43">
          <w:pPr>
            <w:pStyle w:val="TOC3"/>
            <w:rPr>
              <w:rFonts w:asciiTheme="minorHAnsi" w:eastAsiaTheme="minorEastAsia" w:hAnsiTheme="minorHAnsi" w:cstheme="minorBidi"/>
              <w:noProof/>
              <w:lang w:eastAsia="en-AU"/>
            </w:rPr>
          </w:pPr>
          <w:hyperlink w:anchor="_Toc24539918" w:history="1">
            <w:r w:rsidRPr="00A94A54">
              <w:rPr>
                <w:rStyle w:val="Hyperlink"/>
                <w:noProof/>
              </w:rPr>
              <w:t>Drug product</w:t>
            </w:r>
            <w:r>
              <w:rPr>
                <w:noProof/>
                <w:webHidden/>
              </w:rPr>
              <w:tab/>
            </w:r>
            <w:r>
              <w:rPr>
                <w:noProof/>
                <w:webHidden/>
              </w:rPr>
              <w:fldChar w:fldCharType="begin"/>
            </w:r>
            <w:r>
              <w:rPr>
                <w:noProof/>
                <w:webHidden/>
              </w:rPr>
              <w:instrText xml:space="preserve"> PAGEREF _Toc24539918 \h </w:instrText>
            </w:r>
            <w:r>
              <w:rPr>
                <w:noProof/>
                <w:webHidden/>
              </w:rPr>
            </w:r>
            <w:r>
              <w:rPr>
                <w:noProof/>
                <w:webHidden/>
              </w:rPr>
              <w:fldChar w:fldCharType="separate"/>
            </w:r>
            <w:r>
              <w:rPr>
                <w:noProof/>
                <w:webHidden/>
              </w:rPr>
              <w:t>12</w:t>
            </w:r>
            <w:r>
              <w:rPr>
                <w:noProof/>
                <w:webHidden/>
              </w:rPr>
              <w:fldChar w:fldCharType="end"/>
            </w:r>
          </w:hyperlink>
        </w:p>
        <w:p w14:paraId="697BC113" w14:textId="55B43FEF" w:rsidR="008E1E43" w:rsidRDefault="008E1E43">
          <w:pPr>
            <w:pStyle w:val="TOC3"/>
            <w:rPr>
              <w:rFonts w:asciiTheme="minorHAnsi" w:eastAsiaTheme="minorEastAsia" w:hAnsiTheme="minorHAnsi" w:cstheme="minorBidi"/>
              <w:noProof/>
              <w:lang w:eastAsia="en-AU"/>
            </w:rPr>
          </w:pPr>
          <w:hyperlink w:anchor="_Toc24539919" w:history="1">
            <w:r w:rsidRPr="00A94A54">
              <w:rPr>
                <w:rStyle w:val="Hyperlink"/>
                <w:noProof/>
              </w:rPr>
              <w:t>Quality summary and conclusions</w:t>
            </w:r>
            <w:r>
              <w:rPr>
                <w:noProof/>
                <w:webHidden/>
              </w:rPr>
              <w:tab/>
            </w:r>
            <w:r>
              <w:rPr>
                <w:noProof/>
                <w:webHidden/>
              </w:rPr>
              <w:fldChar w:fldCharType="begin"/>
            </w:r>
            <w:r>
              <w:rPr>
                <w:noProof/>
                <w:webHidden/>
              </w:rPr>
              <w:instrText xml:space="preserve"> PAGEREF _Toc24539919 \h </w:instrText>
            </w:r>
            <w:r>
              <w:rPr>
                <w:noProof/>
                <w:webHidden/>
              </w:rPr>
            </w:r>
            <w:r>
              <w:rPr>
                <w:noProof/>
                <w:webHidden/>
              </w:rPr>
              <w:fldChar w:fldCharType="separate"/>
            </w:r>
            <w:r>
              <w:rPr>
                <w:noProof/>
                <w:webHidden/>
              </w:rPr>
              <w:t>13</w:t>
            </w:r>
            <w:r>
              <w:rPr>
                <w:noProof/>
                <w:webHidden/>
              </w:rPr>
              <w:fldChar w:fldCharType="end"/>
            </w:r>
          </w:hyperlink>
        </w:p>
        <w:p w14:paraId="4BAADD74" w14:textId="62185CE3" w:rsidR="008E1E43" w:rsidRDefault="008E1E43">
          <w:pPr>
            <w:pStyle w:val="TOC2"/>
            <w:rPr>
              <w:rFonts w:asciiTheme="minorHAnsi" w:eastAsiaTheme="minorEastAsia" w:hAnsiTheme="minorHAnsi" w:cstheme="minorBidi"/>
              <w:b w:val="0"/>
              <w:noProof/>
              <w:sz w:val="22"/>
              <w:lang w:eastAsia="en-AU"/>
            </w:rPr>
          </w:pPr>
          <w:hyperlink w:anchor="_Toc24539920" w:history="1">
            <w:r w:rsidRPr="00A94A54">
              <w:rPr>
                <w:rStyle w:val="Hyperlink"/>
                <w:noProof/>
              </w:rPr>
              <w:t>IV. Nonclinical findings</w:t>
            </w:r>
            <w:r>
              <w:rPr>
                <w:noProof/>
                <w:webHidden/>
              </w:rPr>
              <w:tab/>
            </w:r>
            <w:r>
              <w:rPr>
                <w:noProof/>
                <w:webHidden/>
              </w:rPr>
              <w:fldChar w:fldCharType="begin"/>
            </w:r>
            <w:r>
              <w:rPr>
                <w:noProof/>
                <w:webHidden/>
              </w:rPr>
              <w:instrText xml:space="preserve"> PAGEREF _Toc24539920 \h </w:instrText>
            </w:r>
            <w:r>
              <w:rPr>
                <w:noProof/>
                <w:webHidden/>
              </w:rPr>
            </w:r>
            <w:r>
              <w:rPr>
                <w:noProof/>
                <w:webHidden/>
              </w:rPr>
              <w:fldChar w:fldCharType="separate"/>
            </w:r>
            <w:r>
              <w:rPr>
                <w:noProof/>
                <w:webHidden/>
              </w:rPr>
              <w:t>13</w:t>
            </w:r>
            <w:r>
              <w:rPr>
                <w:noProof/>
                <w:webHidden/>
              </w:rPr>
              <w:fldChar w:fldCharType="end"/>
            </w:r>
          </w:hyperlink>
        </w:p>
        <w:p w14:paraId="74FE8607" w14:textId="78B2D105" w:rsidR="008E1E43" w:rsidRDefault="008E1E43">
          <w:pPr>
            <w:pStyle w:val="TOC3"/>
            <w:rPr>
              <w:rFonts w:asciiTheme="minorHAnsi" w:eastAsiaTheme="minorEastAsia" w:hAnsiTheme="minorHAnsi" w:cstheme="minorBidi"/>
              <w:noProof/>
              <w:lang w:eastAsia="en-AU"/>
            </w:rPr>
          </w:pPr>
          <w:hyperlink w:anchor="_Toc24539921" w:history="1">
            <w:r w:rsidRPr="00A94A54">
              <w:rPr>
                <w:rStyle w:val="Hyperlink"/>
                <w:noProof/>
              </w:rPr>
              <w:t>Introduction</w:t>
            </w:r>
            <w:r>
              <w:rPr>
                <w:noProof/>
                <w:webHidden/>
              </w:rPr>
              <w:tab/>
            </w:r>
            <w:r>
              <w:rPr>
                <w:noProof/>
                <w:webHidden/>
              </w:rPr>
              <w:fldChar w:fldCharType="begin"/>
            </w:r>
            <w:r>
              <w:rPr>
                <w:noProof/>
                <w:webHidden/>
              </w:rPr>
              <w:instrText xml:space="preserve"> PAGEREF _Toc24539921 \h </w:instrText>
            </w:r>
            <w:r>
              <w:rPr>
                <w:noProof/>
                <w:webHidden/>
              </w:rPr>
            </w:r>
            <w:r>
              <w:rPr>
                <w:noProof/>
                <w:webHidden/>
              </w:rPr>
              <w:fldChar w:fldCharType="separate"/>
            </w:r>
            <w:r>
              <w:rPr>
                <w:noProof/>
                <w:webHidden/>
              </w:rPr>
              <w:t>13</w:t>
            </w:r>
            <w:r>
              <w:rPr>
                <w:noProof/>
                <w:webHidden/>
              </w:rPr>
              <w:fldChar w:fldCharType="end"/>
            </w:r>
          </w:hyperlink>
        </w:p>
        <w:p w14:paraId="6368A10B" w14:textId="11C06451" w:rsidR="008E1E43" w:rsidRDefault="008E1E43">
          <w:pPr>
            <w:pStyle w:val="TOC3"/>
            <w:rPr>
              <w:rFonts w:asciiTheme="minorHAnsi" w:eastAsiaTheme="minorEastAsia" w:hAnsiTheme="minorHAnsi" w:cstheme="minorBidi"/>
              <w:noProof/>
              <w:lang w:eastAsia="en-AU"/>
            </w:rPr>
          </w:pPr>
          <w:hyperlink w:anchor="_Toc24539922" w:history="1">
            <w:r w:rsidRPr="00A94A54">
              <w:rPr>
                <w:rStyle w:val="Hyperlink"/>
                <w:noProof/>
              </w:rPr>
              <w:t>Pharmacology</w:t>
            </w:r>
            <w:r>
              <w:rPr>
                <w:noProof/>
                <w:webHidden/>
              </w:rPr>
              <w:tab/>
            </w:r>
            <w:r>
              <w:rPr>
                <w:noProof/>
                <w:webHidden/>
              </w:rPr>
              <w:fldChar w:fldCharType="begin"/>
            </w:r>
            <w:r>
              <w:rPr>
                <w:noProof/>
                <w:webHidden/>
              </w:rPr>
              <w:instrText xml:space="preserve"> PAGEREF _Toc24539922 \h </w:instrText>
            </w:r>
            <w:r>
              <w:rPr>
                <w:noProof/>
                <w:webHidden/>
              </w:rPr>
            </w:r>
            <w:r>
              <w:rPr>
                <w:noProof/>
                <w:webHidden/>
              </w:rPr>
              <w:fldChar w:fldCharType="separate"/>
            </w:r>
            <w:r>
              <w:rPr>
                <w:noProof/>
                <w:webHidden/>
              </w:rPr>
              <w:t>14</w:t>
            </w:r>
            <w:r>
              <w:rPr>
                <w:noProof/>
                <w:webHidden/>
              </w:rPr>
              <w:fldChar w:fldCharType="end"/>
            </w:r>
          </w:hyperlink>
        </w:p>
        <w:p w14:paraId="3FF70F6B" w14:textId="09E6A8D1" w:rsidR="008E1E43" w:rsidRDefault="008E1E43">
          <w:pPr>
            <w:pStyle w:val="TOC3"/>
            <w:rPr>
              <w:rFonts w:asciiTheme="minorHAnsi" w:eastAsiaTheme="minorEastAsia" w:hAnsiTheme="minorHAnsi" w:cstheme="minorBidi"/>
              <w:noProof/>
              <w:lang w:eastAsia="en-AU"/>
            </w:rPr>
          </w:pPr>
          <w:hyperlink w:anchor="_Toc24539923" w:history="1">
            <w:r w:rsidRPr="00A94A54">
              <w:rPr>
                <w:rStyle w:val="Hyperlink"/>
                <w:noProof/>
              </w:rPr>
              <w:t>Pharmacokinetics</w:t>
            </w:r>
            <w:r>
              <w:rPr>
                <w:noProof/>
                <w:webHidden/>
              </w:rPr>
              <w:tab/>
            </w:r>
            <w:r>
              <w:rPr>
                <w:noProof/>
                <w:webHidden/>
              </w:rPr>
              <w:fldChar w:fldCharType="begin"/>
            </w:r>
            <w:r>
              <w:rPr>
                <w:noProof/>
                <w:webHidden/>
              </w:rPr>
              <w:instrText xml:space="preserve"> PAGEREF _Toc24539923 \h </w:instrText>
            </w:r>
            <w:r>
              <w:rPr>
                <w:noProof/>
                <w:webHidden/>
              </w:rPr>
            </w:r>
            <w:r>
              <w:rPr>
                <w:noProof/>
                <w:webHidden/>
              </w:rPr>
              <w:fldChar w:fldCharType="separate"/>
            </w:r>
            <w:r>
              <w:rPr>
                <w:noProof/>
                <w:webHidden/>
              </w:rPr>
              <w:t>14</w:t>
            </w:r>
            <w:r>
              <w:rPr>
                <w:noProof/>
                <w:webHidden/>
              </w:rPr>
              <w:fldChar w:fldCharType="end"/>
            </w:r>
          </w:hyperlink>
        </w:p>
        <w:p w14:paraId="04174F58" w14:textId="310648E3" w:rsidR="008E1E43" w:rsidRDefault="008E1E43">
          <w:pPr>
            <w:pStyle w:val="TOC3"/>
            <w:rPr>
              <w:rFonts w:asciiTheme="minorHAnsi" w:eastAsiaTheme="minorEastAsia" w:hAnsiTheme="minorHAnsi" w:cstheme="minorBidi"/>
              <w:noProof/>
              <w:lang w:eastAsia="en-AU"/>
            </w:rPr>
          </w:pPr>
          <w:hyperlink w:anchor="_Toc24539924" w:history="1">
            <w:r w:rsidRPr="00A94A54">
              <w:rPr>
                <w:rStyle w:val="Hyperlink"/>
                <w:noProof/>
              </w:rPr>
              <w:t>Toxicology</w:t>
            </w:r>
            <w:r>
              <w:rPr>
                <w:noProof/>
                <w:webHidden/>
              </w:rPr>
              <w:tab/>
            </w:r>
            <w:r>
              <w:rPr>
                <w:noProof/>
                <w:webHidden/>
              </w:rPr>
              <w:fldChar w:fldCharType="begin"/>
            </w:r>
            <w:r>
              <w:rPr>
                <w:noProof/>
                <w:webHidden/>
              </w:rPr>
              <w:instrText xml:space="preserve"> PAGEREF _Toc24539924 \h </w:instrText>
            </w:r>
            <w:r>
              <w:rPr>
                <w:noProof/>
                <w:webHidden/>
              </w:rPr>
            </w:r>
            <w:r>
              <w:rPr>
                <w:noProof/>
                <w:webHidden/>
              </w:rPr>
              <w:fldChar w:fldCharType="separate"/>
            </w:r>
            <w:r>
              <w:rPr>
                <w:noProof/>
                <w:webHidden/>
              </w:rPr>
              <w:t>16</w:t>
            </w:r>
            <w:r>
              <w:rPr>
                <w:noProof/>
                <w:webHidden/>
              </w:rPr>
              <w:fldChar w:fldCharType="end"/>
            </w:r>
          </w:hyperlink>
        </w:p>
        <w:p w14:paraId="0D4BA3C9" w14:textId="4B1293D6" w:rsidR="008E1E43" w:rsidRDefault="008E1E43">
          <w:pPr>
            <w:pStyle w:val="TOC3"/>
            <w:rPr>
              <w:rFonts w:asciiTheme="minorHAnsi" w:eastAsiaTheme="minorEastAsia" w:hAnsiTheme="minorHAnsi" w:cstheme="minorBidi"/>
              <w:noProof/>
              <w:lang w:eastAsia="en-AU"/>
            </w:rPr>
          </w:pPr>
          <w:hyperlink w:anchor="_Toc24539925" w:history="1">
            <w:r w:rsidRPr="00A94A54">
              <w:rPr>
                <w:rStyle w:val="Hyperlink"/>
                <w:noProof/>
              </w:rPr>
              <w:t>Nonclinical summary and conclusions</w:t>
            </w:r>
            <w:r>
              <w:rPr>
                <w:noProof/>
                <w:webHidden/>
              </w:rPr>
              <w:tab/>
            </w:r>
            <w:r>
              <w:rPr>
                <w:noProof/>
                <w:webHidden/>
              </w:rPr>
              <w:fldChar w:fldCharType="begin"/>
            </w:r>
            <w:r>
              <w:rPr>
                <w:noProof/>
                <w:webHidden/>
              </w:rPr>
              <w:instrText xml:space="preserve"> PAGEREF _Toc24539925 \h </w:instrText>
            </w:r>
            <w:r>
              <w:rPr>
                <w:noProof/>
                <w:webHidden/>
              </w:rPr>
            </w:r>
            <w:r>
              <w:rPr>
                <w:noProof/>
                <w:webHidden/>
              </w:rPr>
              <w:fldChar w:fldCharType="separate"/>
            </w:r>
            <w:r>
              <w:rPr>
                <w:noProof/>
                <w:webHidden/>
              </w:rPr>
              <w:t>19</w:t>
            </w:r>
            <w:r>
              <w:rPr>
                <w:noProof/>
                <w:webHidden/>
              </w:rPr>
              <w:fldChar w:fldCharType="end"/>
            </w:r>
          </w:hyperlink>
        </w:p>
        <w:p w14:paraId="29D70E11" w14:textId="42C9E3B3" w:rsidR="008E1E43" w:rsidRDefault="008E1E43">
          <w:pPr>
            <w:pStyle w:val="TOC2"/>
            <w:rPr>
              <w:rFonts w:asciiTheme="minorHAnsi" w:eastAsiaTheme="minorEastAsia" w:hAnsiTheme="minorHAnsi" w:cstheme="minorBidi"/>
              <w:b w:val="0"/>
              <w:noProof/>
              <w:sz w:val="22"/>
              <w:lang w:eastAsia="en-AU"/>
            </w:rPr>
          </w:pPr>
          <w:hyperlink w:anchor="_Toc24539926" w:history="1">
            <w:r w:rsidRPr="00A94A54">
              <w:rPr>
                <w:rStyle w:val="Hyperlink"/>
                <w:noProof/>
              </w:rPr>
              <w:t>V. Clinical findings</w:t>
            </w:r>
            <w:r>
              <w:rPr>
                <w:noProof/>
                <w:webHidden/>
              </w:rPr>
              <w:tab/>
            </w:r>
            <w:r>
              <w:rPr>
                <w:noProof/>
                <w:webHidden/>
              </w:rPr>
              <w:fldChar w:fldCharType="begin"/>
            </w:r>
            <w:r>
              <w:rPr>
                <w:noProof/>
                <w:webHidden/>
              </w:rPr>
              <w:instrText xml:space="preserve"> PAGEREF _Toc24539926 \h </w:instrText>
            </w:r>
            <w:r>
              <w:rPr>
                <w:noProof/>
                <w:webHidden/>
              </w:rPr>
            </w:r>
            <w:r>
              <w:rPr>
                <w:noProof/>
                <w:webHidden/>
              </w:rPr>
              <w:fldChar w:fldCharType="separate"/>
            </w:r>
            <w:r>
              <w:rPr>
                <w:noProof/>
                <w:webHidden/>
              </w:rPr>
              <w:t>21</w:t>
            </w:r>
            <w:r>
              <w:rPr>
                <w:noProof/>
                <w:webHidden/>
              </w:rPr>
              <w:fldChar w:fldCharType="end"/>
            </w:r>
          </w:hyperlink>
        </w:p>
        <w:p w14:paraId="3A4376EC" w14:textId="78BDB35A" w:rsidR="008E1E43" w:rsidRDefault="008E1E43">
          <w:pPr>
            <w:pStyle w:val="TOC3"/>
            <w:rPr>
              <w:rFonts w:asciiTheme="minorHAnsi" w:eastAsiaTheme="minorEastAsia" w:hAnsiTheme="minorHAnsi" w:cstheme="minorBidi"/>
              <w:noProof/>
              <w:lang w:eastAsia="en-AU"/>
            </w:rPr>
          </w:pPr>
          <w:hyperlink w:anchor="_Toc24539927" w:history="1">
            <w:r w:rsidRPr="00A94A54">
              <w:rPr>
                <w:rStyle w:val="Hyperlink"/>
                <w:noProof/>
              </w:rPr>
              <w:t>Introduction</w:t>
            </w:r>
            <w:r>
              <w:rPr>
                <w:noProof/>
                <w:webHidden/>
              </w:rPr>
              <w:tab/>
            </w:r>
            <w:r>
              <w:rPr>
                <w:noProof/>
                <w:webHidden/>
              </w:rPr>
              <w:fldChar w:fldCharType="begin"/>
            </w:r>
            <w:r>
              <w:rPr>
                <w:noProof/>
                <w:webHidden/>
              </w:rPr>
              <w:instrText xml:space="preserve"> PAGEREF _Toc24539927 \h </w:instrText>
            </w:r>
            <w:r>
              <w:rPr>
                <w:noProof/>
                <w:webHidden/>
              </w:rPr>
            </w:r>
            <w:r>
              <w:rPr>
                <w:noProof/>
                <w:webHidden/>
              </w:rPr>
              <w:fldChar w:fldCharType="separate"/>
            </w:r>
            <w:r>
              <w:rPr>
                <w:noProof/>
                <w:webHidden/>
              </w:rPr>
              <w:t>21</w:t>
            </w:r>
            <w:r>
              <w:rPr>
                <w:noProof/>
                <w:webHidden/>
              </w:rPr>
              <w:fldChar w:fldCharType="end"/>
            </w:r>
          </w:hyperlink>
        </w:p>
        <w:p w14:paraId="4935FFEB" w14:textId="23E1B3D9" w:rsidR="008E1E43" w:rsidRDefault="008E1E43">
          <w:pPr>
            <w:pStyle w:val="TOC3"/>
            <w:rPr>
              <w:rFonts w:asciiTheme="minorHAnsi" w:eastAsiaTheme="minorEastAsia" w:hAnsiTheme="minorHAnsi" w:cstheme="minorBidi"/>
              <w:noProof/>
              <w:lang w:eastAsia="en-AU"/>
            </w:rPr>
          </w:pPr>
          <w:hyperlink w:anchor="_Toc24539928" w:history="1">
            <w:r w:rsidRPr="00A94A54">
              <w:rPr>
                <w:rStyle w:val="Hyperlink"/>
                <w:noProof/>
              </w:rPr>
              <w:t>Pharmacokinetics</w:t>
            </w:r>
            <w:r>
              <w:rPr>
                <w:noProof/>
                <w:webHidden/>
              </w:rPr>
              <w:tab/>
            </w:r>
            <w:r>
              <w:rPr>
                <w:noProof/>
                <w:webHidden/>
              </w:rPr>
              <w:fldChar w:fldCharType="begin"/>
            </w:r>
            <w:r>
              <w:rPr>
                <w:noProof/>
                <w:webHidden/>
              </w:rPr>
              <w:instrText xml:space="preserve"> PAGEREF _Toc24539928 \h </w:instrText>
            </w:r>
            <w:r>
              <w:rPr>
                <w:noProof/>
                <w:webHidden/>
              </w:rPr>
            </w:r>
            <w:r>
              <w:rPr>
                <w:noProof/>
                <w:webHidden/>
              </w:rPr>
              <w:fldChar w:fldCharType="separate"/>
            </w:r>
            <w:r>
              <w:rPr>
                <w:noProof/>
                <w:webHidden/>
              </w:rPr>
              <w:t>23</w:t>
            </w:r>
            <w:r>
              <w:rPr>
                <w:noProof/>
                <w:webHidden/>
              </w:rPr>
              <w:fldChar w:fldCharType="end"/>
            </w:r>
          </w:hyperlink>
        </w:p>
        <w:p w14:paraId="37A7BF73" w14:textId="230C0086" w:rsidR="008E1E43" w:rsidRDefault="008E1E43">
          <w:pPr>
            <w:pStyle w:val="TOC3"/>
            <w:rPr>
              <w:rFonts w:asciiTheme="minorHAnsi" w:eastAsiaTheme="minorEastAsia" w:hAnsiTheme="minorHAnsi" w:cstheme="minorBidi"/>
              <w:noProof/>
              <w:lang w:eastAsia="en-AU"/>
            </w:rPr>
          </w:pPr>
          <w:hyperlink w:anchor="_Toc24539929" w:history="1">
            <w:r w:rsidRPr="00A94A54">
              <w:rPr>
                <w:rStyle w:val="Hyperlink"/>
                <w:noProof/>
              </w:rPr>
              <w:t>Pharmacodynamics</w:t>
            </w:r>
            <w:r>
              <w:rPr>
                <w:noProof/>
                <w:webHidden/>
              </w:rPr>
              <w:tab/>
            </w:r>
            <w:r>
              <w:rPr>
                <w:noProof/>
                <w:webHidden/>
              </w:rPr>
              <w:fldChar w:fldCharType="begin"/>
            </w:r>
            <w:r>
              <w:rPr>
                <w:noProof/>
                <w:webHidden/>
              </w:rPr>
              <w:instrText xml:space="preserve"> PAGEREF _Toc24539929 \h </w:instrText>
            </w:r>
            <w:r>
              <w:rPr>
                <w:noProof/>
                <w:webHidden/>
              </w:rPr>
            </w:r>
            <w:r>
              <w:rPr>
                <w:noProof/>
                <w:webHidden/>
              </w:rPr>
              <w:fldChar w:fldCharType="separate"/>
            </w:r>
            <w:r>
              <w:rPr>
                <w:noProof/>
                <w:webHidden/>
              </w:rPr>
              <w:t>27</w:t>
            </w:r>
            <w:r>
              <w:rPr>
                <w:noProof/>
                <w:webHidden/>
              </w:rPr>
              <w:fldChar w:fldCharType="end"/>
            </w:r>
          </w:hyperlink>
        </w:p>
        <w:p w14:paraId="396879E4" w14:textId="76EB9B7E" w:rsidR="008E1E43" w:rsidRDefault="008E1E43">
          <w:pPr>
            <w:pStyle w:val="TOC3"/>
            <w:rPr>
              <w:rFonts w:asciiTheme="minorHAnsi" w:eastAsiaTheme="minorEastAsia" w:hAnsiTheme="minorHAnsi" w:cstheme="minorBidi"/>
              <w:noProof/>
              <w:lang w:eastAsia="en-AU"/>
            </w:rPr>
          </w:pPr>
          <w:hyperlink w:anchor="_Toc24539930" w:history="1">
            <w:r w:rsidRPr="00A94A54">
              <w:rPr>
                <w:rStyle w:val="Hyperlink"/>
                <w:noProof/>
              </w:rPr>
              <w:t>Dosage selection for the pivotal studies</w:t>
            </w:r>
            <w:r>
              <w:rPr>
                <w:noProof/>
                <w:webHidden/>
              </w:rPr>
              <w:tab/>
            </w:r>
            <w:r>
              <w:rPr>
                <w:noProof/>
                <w:webHidden/>
              </w:rPr>
              <w:fldChar w:fldCharType="begin"/>
            </w:r>
            <w:r>
              <w:rPr>
                <w:noProof/>
                <w:webHidden/>
              </w:rPr>
              <w:instrText xml:space="preserve"> PAGEREF _Toc24539930 \h </w:instrText>
            </w:r>
            <w:r>
              <w:rPr>
                <w:noProof/>
                <w:webHidden/>
              </w:rPr>
            </w:r>
            <w:r>
              <w:rPr>
                <w:noProof/>
                <w:webHidden/>
              </w:rPr>
              <w:fldChar w:fldCharType="separate"/>
            </w:r>
            <w:r>
              <w:rPr>
                <w:noProof/>
                <w:webHidden/>
              </w:rPr>
              <w:t>28</w:t>
            </w:r>
            <w:r>
              <w:rPr>
                <w:noProof/>
                <w:webHidden/>
              </w:rPr>
              <w:fldChar w:fldCharType="end"/>
            </w:r>
          </w:hyperlink>
        </w:p>
        <w:p w14:paraId="7818F4DE" w14:textId="713C1892" w:rsidR="008E1E43" w:rsidRDefault="008E1E43">
          <w:pPr>
            <w:pStyle w:val="TOC3"/>
            <w:rPr>
              <w:rFonts w:asciiTheme="minorHAnsi" w:eastAsiaTheme="minorEastAsia" w:hAnsiTheme="minorHAnsi" w:cstheme="minorBidi"/>
              <w:noProof/>
              <w:lang w:eastAsia="en-AU"/>
            </w:rPr>
          </w:pPr>
          <w:hyperlink w:anchor="_Toc24539931" w:history="1">
            <w:r w:rsidRPr="00A94A54">
              <w:rPr>
                <w:rStyle w:val="Hyperlink"/>
                <w:noProof/>
              </w:rPr>
              <w:t>Efficacy</w:t>
            </w:r>
            <w:r>
              <w:rPr>
                <w:noProof/>
                <w:webHidden/>
              </w:rPr>
              <w:tab/>
            </w:r>
            <w:r>
              <w:rPr>
                <w:noProof/>
                <w:webHidden/>
              </w:rPr>
              <w:fldChar w:fldCharType="begin"/>
            </w:r>
            <w:r>
              <w:rPr>
                <w:noProof/>
                <w:webHidden/>
              </w:rPr>
              <w:instrText xml:space="preserve"> PAGEREF _Toc24539931 \h </w:instrText>
            </w:r>
            <w:r>
              <w:rPr>
                <w:noProof/>
                <w:webHidden/>
              </w:rPr>
            </w:r>
            <w:r>
              <w:rPr>
                <w:noProof/>
                <w:webHidden/>
              </w:rPr>
              <w:fldChar w:fldCharType="separate"/>
            </w:r>
            <w:r>
              <w:rPr>
                <w:noProof/>
                <w:webHidden/>
              </w:rPr>
              <w:t>29</w:t>
            </w:r>
            <w:r>
              <w:rPr>
                <w:noProof/>
                <w:webHidden/>
              </w:rPr>
              <w:fldChar w:fldCharType="end"/>
            </w:r>
          </w:hyperlink>
        </w:p>
        <w:p w14:paraId="7076EF11" w14:textId="16394F0B" w:rsidR="008E1E43" w:rsidRDefault="008E1E43">
          <w:pPr>
            <w:pStyle w:val="TOC3"/>
            <w:rPr>
              <w:rFonts w:asciiTheme="minorHAnsi" w:eastAsiaTheme="minorEastAsia" w:hAnsiTheme="minorHAnsi" w:cstheme="minorBidi"/>
              <w:noProof/>
              <w:lang w:eastAsia="en-AU"/>
            </w:rPr>
          </w:pPr>
          <w:hyperlink w:anchor="_Toc24539932" w:history="1">
            <w:r w:rsidRPr="00A94A54">
              <w:rPr>
                <w:rStyle w:val="Hyperlink"/>
                <w:noProof/>
              </w:rPr>
              <w:t>Safety</w:t>
            </w:r>
            <w:r>
              <w:rPr>
                <w:noProof/>
                <w:webHidden/>
              </w:rPr>
              <w:tab/>
            </w:r>
            <w:r>
              <w:rPr>
                <w:noProof/>
                <w:webHidden/>
              </w:rPr>
              <w:fldChar w:fldCharType="begin"/>
            </w:r>
            <w:r>
              <w:rPr>
                <w:noProof/>
                <w:webHidden/>
              </w:rPr>
              <w:instrText xml:space="preserve"> PAGEREF _Toc24539932 \h </w:instrText>
            </w:r>
            <w:r>
              <w:rPr>
                <w:noProof/>
                <w:webHidden/>
              </w:rPr>
            </w:r>
            <w:r>
              <w:rPr>
                <w:noProof/>
                <w:webHidden/>
              </w:rPr>
              <w:fldChar w:fldCharType="separate"/>
            </w:r>
            <w:r>
              <w:rPr>
                <w:noProof/>
                <w:webHidden/>
              </w:rPr>
              <w:t>30</w:t>
            </w:r>
            <w:r>
              <w:rPr>
                <w:noProof/>
                <w:webHidden/>
              </w:rPr>
              <w:fldChar w:fldCharType="end"/>
            </w:r>
          </w:hyperlink>
        </w:p>
        <w:p w14:paraId="1DBE5A49" w14:textId="5368ABD8" w:rsidR="008E1E43" w:rsidRDefault="008E1E43">
          <w:pPr>
            <w:pStyle w:val="TOC3"/>
            <w:rPr>
              <w:rFonts w:asciiTheme="minorHAnsi" w:eastAsiaTheme="minorEastAsia" w:hAnsiTheme="minorHAnsi" w:cstheme="minorBidi"/>
              <w:noProof/>
              <w:lang w:eastAsia="en-AU"/>
            </w:rPr>
          </w:pPr>
          <w:hyperlink w:anchor="_Toc24539933" w:history="1">
            <w:r w:rsidRPr="00A94A54">
              <w:rPr>
                <w:rStyle w:val="Hyperlink"/>
                <w:noProof/>
              </w:rPr>
              <w:t>First round benefit-risk assessment</w:t>
            </w:r>
            <w:r>
              <w:rPr>
                <w:noProof/>
                <w:webHidden/>
              </w:rPr>
              <w:tab/>
            </w:r>
            <w:r>
              <w:rPr>
                <w:noProof/>
                <w:webHidden/>
              </w:rPr>
              <w:fldChar w:fldCharType="begin"/>
            </w:r>
            <w:r>
              <w:rPr>
                <w:noProof/>
                <w:webHidden/>
              </w:rPr>
              <w:instrText xml:space="preserve"> PAGEREF _Toc24539933 \h </w:instrText>
            </w:r>
            <w:r>
              <w:rPr>
                <w:noProof/>
                <w:webHidden/>
              </w:rPr>
            </w:r>
            <w:r>
              <w:rPr>
                <w:noProof/>
                <w:webHidden/>
              </w:rPr>
              <w:fldChar w:fldCharType="separate"/>
            </w:r>
            <w:r>
              <w:rPr>
                <w:noProof/>
                <w:webHidden/>
              </w:rPr>
              <w:t>35</w:t>
            </w:r>
            <w:r>
              <w:rPr>
                <w:noProof/>
                <w:webHidden/>
              </w:rPr>
              <w:fldChar w:fldCharType="end"/>
            </w:r>
          </w:hyperlink>
        </w:p>
        <w:p w14:paraId="2A9A66C8" w14:textId="04A006E6" w:rsidR="008E1E43" w:rsidRDefault="008E1E43">
          <w:pPr>
            <w:pStyle w:val="TOC3"/>
            <w:rPr>
              <w:rFonts w:asciiTheme="minorHAnsi" w:eastAsiaTheme="minorEastAsia" w:hAnsiTheme="minorHAnsi" w:cstheme="minorBidi"/>
              <w:noProof/>
              <w:lang w:eastAsia="en-AU"/>
            </w:rPr>
          </w:pPr>
          <w:hyperlink w:anchor="_Toc24539934" w:history="1">
            <w:r w:rsidRPr="00A94A54">
              <w:rPr>
                <w:rStyle w:val="Hyperlink"/>
                <w:noProof/>
              </w:rPr>
              <w:t>First round recommendation regarding authorisation</w:t>
            </w:r>
            <w:r>
              <w:rPr>
                <w:noProof/>
                <w:webHidden/>
              </w:rPr>
              <w:tab/>
            </w:r>
            <w:r>
              <w:rPr>
                <w:noProof/>
                <w:webHidden/>
              </w:rPr>
              <w:fldChar w:fldCharType="begin"/>
            </w:r>
            <w:r>
              <w:rPr>
                <w:noProof/>
                <w:webHidden/>
              </w:rPr>
              <w:instrText xml:space="preserve"> PAGEREF _Toc24539934 \h </w:instrText>
            </w:r>
            <w:r>
              <w:rPr>
                <w:noProof/>
                <w:webHidden/>
              </w:rPr>
            </w:r>
            <w:r>
              <w:rPr>
                <w:noProof/>
                <w:webHidden/>
              </w:rPr>
              <w:fldChar w:fldCharType="separate"/>
            </w:r>
            <w:r>
              <w:rPr>
                <w:noProof/>
                <w:webHidden/>
              </w:rPr>
              <w:t>36</w:t>
            </w:r>
            <w:r>
              <w:rPr>
                <w:noProof/>
                <w:webHidden/>
              </w:rPr>
              <w:fldChar w:fldCharType="end"/>
            </w:r>
          </w:hyperlink>
        </w:p>
        <w:p w14:paraId="0065CC58" w14:textId="1A9D774A" w:rsidR="008E1E43" w:rsidRDefault="008E1E43">
          <w:pPr>
            <w:pStyle w:val="TOC3"/>
            <w:rPr>
              <w:rFonts w:asciiTheme="minorHAnsi" w:eastAsiaTheme="minorEastAsia" w:hAnsiTheme="minorHAnsi" w:cstheme="minorBidi"/>
              <w:noProof/>
              <w:lang w:eastAsia="en-AU"/>
            </w:rPr>
          </w:pPr>
          <w:hyperlink w:anchor="_Toc24539935" w:history="1">
            <w:r w:rsidRPr="00A94A54">
              <w:rPr>
                <w:rStyle w:val="Hyperlink"/>
                <w:noProof/>
              </w:rPr>
              <w:t>Clinical questions and second round evaluation</w:t>
            </w:r>
            <w:r>
              <w:rPr>
                <w:noProof/>
                <w:webHidden/>
              </w:rPr>
              <w:tab/>
            </w:r>
            <w:r>
              <w:rPr>
                <w:noProof/>
                <w:webHidden/>
              </w:rPr>
              <w:fldChar w:fldCharType="begin"/>
            </w:r>
            <w:r>
              <w:rPr>
                <w:noProof/>
                <w:webHidden/>
              </w:rPr>
              <w:instrText xml:space="preserve"> PAGEREF _Toc24539935 \h </w:instrText>
            </w:r>
            <w:r>
              <w:rPr>
                <w:noProof/>
                <w:webHidden/>
              </w:rPr>
            </w:r>
            <w:r>
              <w:rPr>
                <w:noProof/>
                <w:webHidden/>
              </w:rPr>
              <w:fldChar w:fldCharType="separate"/>
            </w:r>
            <w:r>
              <w:rPr>
                <w:noProof/>
                <w:webHidden/>
              </w:rPr>
              <w:t>37</w:t>
            </w:r>
            <w:r>
              <w:rPr>
                <w:noProof/>
                <w:webHidden/>
              </w:rPr>
              <w:fldChar w:fldCharType="end"/>
            </w:r>
          </w:hyperlink>
        </w:p>
        <w:p w14:paraId="5C5CFC99" w14:textId="42D436AF" w:rsidR="008E1E43" w:rsidRDefault="008E1E43">
          <w:pPr>
            <w:pStyle w:val="TOC3"/>
            <w:rPr>
              <w:rFonts w:asciiTheme="minorHAnsi" w:eastAsiaTheme="minorEastAsia" w:hAnsiTheme="minorHAnsi" w:cstheme="minorBidi"/>
              <w:noProof/>
              <w:lang w:eastAsia="en-AU"/>
            </w:rPr>
          </w:pPr>
          <w:hyperlink w:anchor="_Toc24539936" w:history="1">
            <w:r w:rsidRPr="00A94A54">
              <w:rPr>
                <w:rStyle w:val="Hyperlink"/>
                <w:noProof/>
              </w:rPr>
              <w:t>Second round benefit-risk assessment</w:t>
            </w:r>
            <w:r>
              <w:rPr>
                <w:noProof/>
                <w:webHidden/>
              </w:rPr>
              <w:tab/>
            </w:r>
            <w:r>
              <w:rPr>
                <w:noProof/>
                <w:webHidden/>
              </w:rPr>
              <w:fldChar w:fldCharType="begin"/>
            </w:r>
            <w:r>
              <w:rPr>
                <w:noProof/>
                <w:webHidden/>
              </w:rPr>
              <w:instrText xml:space="preserve"> PAGEREF _Toc24539936 \h </w:instrText>
            </w:r>
            <w:r>
              <w:rPr>
                <w:noProof/>
                <w:webHidden/>
              </w:rPr>
            </w:r>
            <w:r>
              <w:rPr>
                <w:noProof/>
                <w:webHidden/>
              </w:rPr>
              <w:fldChar w:fldCharType="separate"/>
            </w:r>
            <w:r>
              <w:rPr>
                <w:noProof/>
                <w:webHidden/>
              </w:rPr>
              <w:t>44</w:t>
            </w:r>
            <w:r>
              <w:rPr>
                <w:noProof/>
                <w:webHidden/>
              </w:rPr>
              <w:fldChar w:fldCharType="end"/>
            </w:r>
          </w:hyperlink>
        </w:p>
        <w:p w14:paraId="76534F00" w14:textId="64930CB4" w:rsidR="008E1E43" w:rsidRDefault="008E1E43">
          <w:pPr>
            <w:pStyle w:val="TOC2"/>
            <w:rPr>
              <w:rFonts w:asciiTheme="minorHAnsi" w:eastAsiaTheme="minorEastAsia" w:hAnsiTheme="minorHAnsi" w:cstheme="minorBidi"/>
              <w:b w:val="0"/>
              <w:noProof/>
              <w:sz w:val="22"/>
              <w:lang w:eastAsia="en-AU"/>
            </w:rPr>
          </w:pPr>
          <w:hyperlink w:anchor="_Toc24539937" w:history="1">
            <w:r w:rsidRPr="00A94A54">
              <w:rPr>
                <w:rStyle w:val="Hyperlink"/>
                <w:noProof/>
              </w:rPr>
              <w:t>VI. Pharmacovigilance findings</w:t>
            </w:r>
            <w:r>
              <w:rPr>
                <w:noProof/>
                <w:webHidden/>
              </w:rPr>
              <w:tab/>
            </w:r>
            <w:r>
              <w:rPr>
                <w:noProof/>
                <w:webHidden/>
              </w:rPr>
              <w:fldChar w:fldCharType="begin"/>
            </w:r>
            <w:r>
              <w:rPr>
                <w:noProof/>
                <w:webHidden/>
              </w:rPr>
              <w:instrText xml:space="preserve"> PAGEREF _Toc24539937 \h </w:instrText>
            </w:r>
            <w:r>
              <w:rPr>
                <w:noProof/>
                <w:webHidden/>
              </w:rPr>
            </w:r>
            <w:r>
              <w:rPr>
                <w:noProof/>
                <w:webHidden/>
              </w:rPr>
              <w:fldChar w:fldCharType="separate"/>
            </w:r>
            <w:r>
              <w:rPr>
                <w:noProof/>
                <w:webHidden/>
              </w:rPr>
              <w:t>44</w:t>
            </w:r>
            <w:r>
              <w:rPr>
                <w:noProof/>
                <w:webHidden/>
              </w:rPr>
              <w:fldChar w:fldCharType="end"/>
            </w:r>
          </w:hyperlink>
        </w:p>
        <w:p w14:paraId="750A9DEB" w14:textId="1B52A885" w:rsidR="008E1E43" w:rsidRDefault="008E1E43">
          <w:pPr>
            <w:pStyle w:val="TOC3"/>
            <w:rPr>
              <w:rFonts w:asciiTheme="minorHAnsi" w:eastAsiaTheme="minorEastAsia" w:hAnsiTheme="minorHAnsi" w:cstheme="minorBidi"/>
              <w:noProof/>
              <w:lang w:eastAsia="en-AU"/>
            </w:rPr>
          </w:pPr>
          <w:hyperlink w:anchor="_Toc24539938" w:history="1">
            <w:r w:rsidRPr="00A94A54">
              <w:rPr>
                <w:rStyle w:val="Hyperlink"/>
                <w:noProof/>
                <w:lang w:eastAsia="en-AU"/>
              </w:rPr>
              <w:t>Risk management plan</w:t>
            </w:r>
            <w:r>
              <w:rPr>
                <w:noProof/>
                <w:webHidden/>
              </w:rPr>
              <w:tab/>
            </w:r>
            <w:r>
              <w:rPr>
                <w:noProof/>
                <w:webHidden/>
              </w:rPr>
              <w:fldChar w:fldCharType="begin"/>
            </w:r>
            <w:r>
              <w:rPr>
                <w:noProof/>
                <w:webHidden/>
              </w:rPr>
              <w:instrText xml:space="preserve"> PAGEREF _Toc24539938 \h </w:instrText>
            </w:r>
            <w:r>
              <w:rPr>
                <w:noProof/>
                <w:webHidden/>
              </w:rPr>
            </w:r>
            <w:r>
              <w:rPr>
                <w:noProof/>
                <w:webHidden/>
              </w:rPr>
              <w:fldChar w:fldCharType="separate"/>
            </w:r>
            <w:r>
              <w:rPr>
                <w:noProof/>
                <w:webHidden/>
              </w:rPr>
              <w:t>44</w:t>
            </w:r>
            <w:r>
              <w:rPr>
                <w:noProof/>
                <w:webHidden/>
              </w:rPr>
              <w:fldChar w:fldCharType="end"/>
            </w:r>
          </w:hyperlink>
        </w:p>
        <w:p w14:paraId="3359485E" w14:textId="7B6FC78A" w:rsidR="008E1E43" w:rsidRDefault="008E1E43">
          <w:pPr>
            <w:pStyle w:val="TOC2"/>
            <w:rPr>
              <w:rFonts w:asciiTheme="minorHAnsi" w:eastAsiaTheme="minorEastAsia" w:hAnsiTheme="minorHAnsi" w:cstheme="minorBidi"/>
              <w:b w:val="0"/>
              <w:noProof/>
              <w:sz w:val="22"/>
              <w:lang w:eastAsia="en-AU"/>
            </w:rPr>
          </w:pPr>
          <w:hyperlink w:anchor="_Toc24539939" w:history="1">
            <w:r w:rsidRPr="00A94A54">
              <w:rPr>
                <w:rStyle w:val="Hyperlink"/>
                <w:noProof/>
              </w:rPr>
              <w:t>VII. Overall conclusion and risk/benefit assessment</w:t>
            </w:r>
            <w:r>
              <w:rPr>
                <w:noProof/>
                <w:webHidden/>
              </w:rPr>
              <w:tab/>
            </w:r>
            <w:r>
              <w:rPr>
                <w:noProof/>
                <w:webHidden/>
              </w:rPr>
              <w:fldChar w:fldCharType="begin"/>
            </w:r>
            <w:r>
              <w:rPr>
                <w:noProof/>
                <w:webHidden/>
              </w:rPr>
              <w:instrText xml:space="preserve"> PAGEREF _Toc24539939 \h </w:instrText>
            </w:r>
            <w:r>
              <w:rPr>
                <w:noProof/>
                <w:webHidden/>
              </w:rPr>
            </w:r>
            <w:r>
              <w:rPr>
                <w:noProof/>
                <w:webHidden/>
              </w:rPr>
              <w:fldChar w:fldCharType="separate"/>
            </w:r>
            <w:r>
              <w:rPr>
                <w:noProof/>
                <w:webHidden/>
              </w:rPr>
              <w:t>47</w:t>
            </w:r>
            <w:r>
              <w:rPr>
                <w:noProof/>
                <w:webHidden/>
              </w:rPr>
              <w:fldChar w:fldCharType="end"/>
            </w:r>
          </w:hyperlink>
        </w:p>
        <w:p w14:paraId="033A0BB4" w14:textId="0F786F45" w:rsidR="008E1E43" w:rsidRDefault="008E1E43">
          <w:pPr>
            <w:pStyle w:val="TOC3"/>
            <w:rPr>
              <w:rFonts w:asciiTheme="minorHAnsi" w:eastAsiaTheme="minorEastAsia" w:hAnsiTheme="minorHAnsi" w:cstheme="minorBidi"/>
              <w:noProof/>
              <w:lang w:eastAsia="en-AU"/>
            </w:rPr>
          </w:pPr>
          <w:hyperlink w:anchor="_Toc24539940" w:history="1">
            <w:r w:rsidRPr="00A94A54">
              <w:rPr>
                <w:rStyle w:val="Hyperlink"/>
                <w:noProof/>
              </w:rPr>
              <w:t>Background</w:t>
            </w:r>
            <w:r>
              <w:rPr>
                <w:noProof/>
                <w:webHidden/>
              </w:rPr>
              <w:tab/>
            </w:r>
            <w:r>
              <w:rPr>
                <w:noProof/>
                <w:webHidden/>
              </w:rPr>
              <w:fldChar w:fldCharType="begin"/>
            </w:r>
            <w:r>
              <w:rPr>
                <w:noProof/>
                <w:webHidden/>
              </w:rPr>
              <w:instrText xml:space="preserve"> PAGEREF _Toc24539940 \h </w:instrText>
            </w:r>
            <w:r>
              <w:rPr>
                <w:noProof/>
                <w:webHidden/>
              </w:rPr>
            </w:r>
            <w:r>
              <w:rPr>
                <w:noProof/>
                <w:webHidden/>
              </w:rPr>
              <w:fldChar w:fldCharType="separate"/>
            </w:r>
            <w:r>
              <w:rPr>
                <w:noProof/>
                <w:webHidden/>
              </w:rPr>
              <w:t>47</w:t>
            </w:r>
            <w:r>
              <w:rPr>
                <w:noProof/>
                <w:webHidden/>
              </w:rPr>
              <w:fldChar w:fldCharType="end"/>
            </w:r>
          </w:hyperlink>
        </w:p>
        <w:p w14:paraId="64DFABCA" w14:textId="55C3CAC9" w:rsidR="008E1E43" w:rsidRDefault="008E1E43">
          <w:pPr>
            <w:pStyle w:val="TOC3"/>
            <w:rPr>
              <w:rFonts w:asciiTheme="minorHAnsi" w:eastAsiaTheme="minorEastAsia" w:hAnsiTheme="minorHAnsi" w:cstheme="minorBidi"/>
              <w:noProof/>
              <w:lang w:eastAsia="en-AU"/>
            </w:rPr>
          </w:pPr>
          <w:hyperlink w:anchor="_Toc24539941" w:history="1">
            <w:r w:rsidRPr="00A94A54">
              <w:rPr>
                <w:rStyle w:val="Hyperlink"/>
                <w:noProof/>
              </w:rPr>
              <w:t>Quality</w:t>
            </w:r>
            <w:r>
              <w:rPr>
                <w:noProof/>
                <w:webHidden/>
              </w:rPr>
              <w:tab/>
            </w:r>
            <w:r>
              <w:rPr>
                <w:noProof/>
                <w:webHidden/>
              </w:rPr>
              <w:fldChar w:fldCharType="begin"/>
            </w:r>
            <w:r>
              <w:rPr>
                <w:noProof/>
                <w:webHidden/>
              </w:rPr>
              <w:instrText xml:space="preserve"> PAGEREF _Toc24539941 \h </w:instrText>
            </w:r>
            <w:r>
              <w:rPr>
                <w:noProof/>
                <w:webHidden/>
              </w:rPr>
            </w:r>
            <w:r>
              <w:rPr>
                <w:noProof/>
                <w:webHidden/>
              </w:rPr>
              <w:fldChar w:fldCharType="separate"/>
            </w:r>
            <w:r>
              <w:rPr>
                <w:noProof/>
                <w:webHidden/>
              </w:rPr>
              <w:t>48</w:t>
            </w:r>
            <w:r>
              <w:rPr>
                <w:noProof/>
                <w:webHidden/>
              </w:rPr>
              <w:fldChar w:fldCharType="end"/>
            </w:r>
          </w:hyperlink>
        </w:p>
        <w:p w14:paraId="73CE5573" w14:textId="012342E1" w:rsidR="008E1E43" w:rsidRDefault="008E1E43">
          <w:pPr>
            <w:pStyle w:val="TOC3"/>
            <w:rPr>
              <w:rFonts w:asciiTheme="minorHAnsi" w:eastAsiaTheme="minorEastAsia" w:hAnsiTheme="minorHAnsi" w:cstheme="minorBidi"/>
              <w:noProof/>
              <w:lang w:eastAsia="en-AU"/>
            </w:rPr>
          </w:pPr>
          <w:hyperlink w:anchor="_Toc24539942" w:history="1">
            <w:r w:rsidRPr="00A94A54">
              <w:rPr>
                <w:rStyle w:val="Hyperlink"/>
                <w:noProof/>
              </w:rPr>
              <w:t>Nonclinical</w:t>
            </w:r>
            <w:r>
              <w:rPr>
                <w:noProof/>
                <w:webHidden/>
              </w:rPr>
              <w:tab/>
            </w:r>
            <w:r>
              <w:rPr>
                <w:noProof/>
                <w:webHidden/>
              </w:rPr>
              <w:fldChar w:fldCharType="begin"/>
            </w:r>
            <w:r>
              <w:rPr>
                <w:noProof/>
                <w:webHidden/>
              </w:rPr>
              <w:instrText xml:space="preserve"> PAGEREF _Toc24539942 \h </w:instrText>
            </w:r>
            <w:r>
              <w:rPr>
                <w:noProof/>
                <w:webHidden/>
              </w:rPr>
            </w:r>
            <w:r>
              <w:rPr>
                <w:noProof/>
                <w:webHidden/>
              </w:rPr>
              <w:fldChar w:fldCharType="separate"/>
            </w:r>
            <w:r>
              <w:rPr>
                <w:noProof/>
                <w:webHidden/>
              </w:rPr>
              <w:t>48</w:t>
            </w:r>
            <w:r>
              <w:rPr>
                <w:noProof/>
                <w:webHidden/>
              </w:rPr>
              <w:fldChar w:fldCharType="end"/>
            </w:r>
          </w:hyperlink>
        </w:p>
        <w:p w14:paraId="4DB1114A" w14:textId="2719FA26" w:rsidR="008E1E43" w:rsidRDefault="008E1E43">
          <w:pPr>
            <w:pStyle w:val="TOC3"/>
            <w:rPr>
              <w:rFonts w:asciiTheme="minorHAnsi" w:eastAsiaTheme="minorEastAsia" w:hAnsiTheme="minorHAnsi" w:cstheme="minorBidi"/>
              <w:noProof/>
              <w:lang w:eastAsia="en-AU"/>
            </w:rPr>
          </w:pPr>
          <w:hyperlink w:anchor="_Toc24539943" w:history="1">
            <w:r w:rsidRPr="00A94A54">
              <w:rPr>
                <w:rStyle w:val="Hyperlink"/>
                <w:noProof/>
              </w:rPr>
              <w:t>Clinical</w:t>
            </w:r>
            <w:r>
              <w:rPr>
                <w:noProof/>
                <w:webHidden/>
              </w:rPr>
              <w:tab/>
            </w:r>
            <w:r>
              <w:rPr>
                <w:noProof/>
                <w:webHidden/>
              </w:rPr>
              <w:fldChar w:fldCharType="begin"/>
            </w:r>
            <w:r>
              <w:rPr>
                <w:noProof/>
                <w:webHidden/>
              </w:rPr>
              <w:instrText xml:space="preserve"> PAGEREF _Toc24539943 \h </w:instrText>
            </w:r>
            <w:r>
              <w:rPr>
                <w:noProof/>
                <w:webHidden/>
              </w:rPr>
            </w:r>
            <w:r>
              <w:rPr>
                <w:noProof/>
                <w:webHidden/>
              </w:rPr>
              <w:fldChar w:fldCharType="separate"/>
            </w:r>
            <w:r>
              <w:rPr>
                <w:noProof/>
                <w:webHidden/>
              </w:rPr>
              <w:t>48</w:t>
            </w:r>
            <w:r>
              <w:rPr>
                <w:noProof/>
                <w:webHidden/>
              </w:rPr>
              <w:fldChar w:fldCharType="end"/>
            </w:r>
          </w:hyperlink>
        </w:p>
        <w:p w14:paraId="1CF12F1C" w14:textId="55AFB2C0" w:rsidR="008E1E43" w:rsidRDefault="008E1E43">
          <w:pPr>
            <w:pStyle w:val="TOC3"/>
            <w:rPr>
              <w:rFonts w:asciiTheme="minorHAnsi" w:eastAsiaTheme="minorEastAsia" w:hAnsiTheme="minorHAnsi" w:cstheme="minorBidi"/>
              <w:noProof/>
              <w:lang w:eastAsia="en-AU"/>
            </w:rPr>
          </w:pPr>
          <w:hyperlink w:anchor="_Toc24539944" w:history="1">
            <w:r w:rsidRPr="00A94A54">
              <w:rPr>
                <w:rStyle w:val="Hyperlink"/>
                <w:noProof/>
                <w:lang w:eastAsia="en-AU"/>
              </w:rPr>
              <w:t>Risk management plan</w:t>
            </w:r>
            <w:r>
              <w:rPr>
                <w:noProof/>
                <w:webHidden/>
              </w:rPr>
              <w:tab/>
            </w:r>
            <w:r>
              <w:rPr>
                <w:noProof/>
                <w:webHidden/>
              </w:rPr>
              <w:fldChar w:fldCharType="begin"/>
            </w:r>
            <w:r>
              <w:rPr>
                <w:noProof/>
                <w:webHidden/>
              </w:rPr>
              <w:instrText xml:space="preserve"> PAGEREF _Toc24539944 \h </w:instrText>
            </w:r>
            <w:r>
              <w:rPr>
                <w:noProof/>
                <w:webHidden/>
              </w:rPr>
            </w:r>
            <w:r>
              <w:rPr>
                <w:noProof/>
                <w:webHidden/>
              </w:rPr>
              <w:fldChar w:fldCharType="separate"/>
            </w:r>
            <w:r>
              <w:rPr>
                <w:noProof/>
                <w:webHidden/>
              </w:rPr>
              <w:t>58</w:t>
            </w:r>
            <w:r>
              <w:rPr>
                <w:noProof/>
                <w:webHidden/>
              </w:rPr>
              <w:fldChar w:fldCharType="end"/>
            </w:r>
          </w:hyperlink>
        </w:p>
        <w:p w14:paraId="6BA8F5DF" w14:textId="2A33D2FE" w:rsidR="008E1E43" w:rsidRDefault="008E1E43">
          <w:pPr>
            <w:pStyle w:val="TOC3"/>
            <w:rPr>
              <w:rFonts w:asciiTheme="minorHAnsi" w:eastAsiaTheme="minorEastAsia" w:hAnsiTheme="minorHAnsi" w:cstheme="minorBidi"/>
              <w:noProof/>
              <w:lang w:eastAsia="en-AU"/>
            </w:rPr>
          </w:pPr>
          <w:hyperlink w:anchor="_Toc24539945" w:history="1">
            <w:r w:rsidRPr="00A94A54">
              <w:rPr>
                <w:rStyle w:val="Hyperlink"/>
                <w:noProof/>
              </w:rPr>
              <w:t>Risk-benefit analysis</w:t>
            </w:r>
            <w:r>
              <w:rPr>
                <w:noProof/>
                <w:webHidden/>
              </w:rPr>
              <w:tab/>
            </w:r>
            <w:r>
              <w:rPr>
                <w:noProof/>
                <w:webHidden/>
              </w:rPr>
              <w:fldChar w:fldCharType="begin"/>
            </w:r>
            <w:r>
              <w:rPr>
                <w:noProof/>
                <w:webHidden/>
              </w:rPr>
              <w:instrText xml:space="preserve"> PAGEREF _Toc24539945 \h </w:instrText>
            </w:r>
            <w:r>
              <w:rPr>
                <w:noProof/>
                <w:webHidden/>
              </w:rPr>
            </w:r>
            <w:r>
              <w:rPr>
                <w:noProof/>
                <w:webHidden/>
              </w:rPr>
              <w:fldChar w:fldCharType="separate"/>
            </w:r>
            <w:r>
              <w:rPr>
                <w:noProof/>
                <w:webHidden/>
              </w:rPr>
              <w:t>59</w:t>
            </w:r>
            <w:r>
              <w:rPr>
                <w:noProof/>
                <w:webHidden/>
              </w:rPr>
              <w:fldChar w:fldCharType="end"/>
            </w:r>
          </w:hyperlink>
        </w:p>
        <w:p w14:paraId="4BED6EC3" w14:textId="0D6F8027" w:rsidR="008E1E43" w:rsidRDefault="008E1E43">
          <w:pPr>
            <w:pStyle w:val="TOC3"/>
            <w:rPr>
              <w:rFonts w:asciiTheme="minorHAnsi" w:eastAsiaTheme="minorEastAsia" w:hAnsiTheme="minorHAnsi" w:cstheme="minorBidi"/>
              <w:noProof/>
              <w:lang w:eastAsia="en-AU"/>
            </w:rPr>
          </w:pPr>
          <w:hyperlink w:anchor="_Toc24539946" w:history="1">
            <w:r w:rsidRPr="00A94A54">
              <w:rPr>
                <w:rStyle w:val="Hyperlink"/>
                <w:noProof/>
              </w:rPr>
              <w:t>Outcome</w:t>
            </w:r>
            <w:r>
              <w:rPr>
                <w:noProof/>
                <w:webHidden/>
              </w:rPr>
              <w:tab/>
            </w:r>
            <w:r>
              <w:rPr>
                <w:noProof/>
                <w:webHidden/>
              </w:rPr>
              <w:fldChar w:fldCharType="begin"/>
            </w:r>
            <w:r>
              <w:rPr>
                <w:noProof/>
                <w:webHidden/>
              </w:rPr>
              <w:instrText xml:space="preserve"> PAGEREF _Toc24539946 \h </w:instrText>
            </w:r>
            <w:r>
              <w:rPr>
                <w:noProof/>
                <w:webHidden/>
              </w:rPr>
            </w:r>
            <w:r>
              <w:rPr>
                <w:noProof/>
                <w:webHidden/>
              </w:rPr>
              <w:fldChar w:fldCharType="separate"/>
            </w:r>
            <w:r>
              <w:rPr>
                <w:noProof/>
                <w:webHidden/>
              </w:rPr>
              <w:t>70</w:t>
            </w:r>
            <w:r>
              <w:rPr>
                <w:noProof/>
                <w:webHidden/>
              </w:rPr>
              <w:fldChar w:fldCharType="end"/>
            </w:r>
          </w:hyperlink>
        </w:p>
        <w:p w14:paraId="6EBF0754" w14:textId="046D9231" w:rsidR="008E1E43" w:rsidRDefault="008E1E43">
          <w:pPr>
            <w:pStyle w:val="TOC2"/>
            <w:rPr>
              <w:rFonts w:asciiTheme="minorHAnsi" w:eastAsiaTheme="minorEastAsia" w:hAnsiTheme="minorHAnsi" w:cstheme="minorBidi"/>
              <w:b w:val="0"/>
              <w:noProof/>
              <w:sz w:val="22"/>
              <w:lang w:eastAsia="en-AU"/>
            </w:rPr>
          </w:pPr>
          <w:hyperlink w:anchor="_Toc24539947" w:history="1">
            <w:r w:rsidRPr="00A94A54">
              <w:rPr>
                <w:rStyle w:val="Hyperlink"/>
                <w:noProof/>
              </w:rPr>
              <w:t>Attachments 1 and 2. Product Information</w:t>
            </w:r>
            <w:r>
              <w:rPr>
                <w:noProof/>
                <w:webHidden/>
              </w:rPr>
              <w:tab/>
            </w:r>
            <w:r>
              <w:rPr>
                <w:noProof/>
                <w:webHidden/>
              </w:rPr>
              <w:fldChar w:fldCharType="begin"/>
            </w:r>
            <w:r>
              <w:rPr>
                <w:noProof/>
                <w:webHidden/>
              </w:rPr>
              <w:instrText xml:space="preserve"> PAGEREF _Toc24539947 \h </w:instrText>
            </w:r>
            <w:r>
              <w:rPr>
                <w:noProof/>
                <w:webHidden/>
              </w:rPr>
            </w:r>
            <w:r>
              <w:rPr>
                <w:noProof/>
                <w:webHidden/>
              </w:rPr>
              <w:fldChar w:fldCharType="separate"/>
            </w:r>
            <w:r>
              <w:rPr>
                <w:noProof/>
                <w:webHidden/>
              </w:rPr>
              <w:t>71</w:t>
            </w:r>
            <w:r>
              <w:rPr>
                <w:noProof/>
                <w:webHidden/>
              </w:rPr>
              <w:fldChar w:fldCharType="end"/>
            </w:r>
          </w:hyperlink>
        </w:p>
        <w:p w14:paraId="1758BD68" w14:textId="50681AE7" w:rsidR="003A7F6C" w:rsidRPr="00B811C6" w:rsidRDefault="00DB6124" w:rsidP="00B811C6">
          <w:pPr>
            <w:pStyle w:val="TOC2"/>
          </w:pPr>
          <w:r>
            <w:fldChar w:fldCharType="end"/>
          </w:r>
        </w:p>
      </w:sdtContent>
    </w:sdt>
    <w:bookmarkStart w:id="3" w:name="_Toc314842482" w:displacedByCustomXml="prev"/>
    <w:p w14:paraId="42670870" w14:textId="77777777" w:rsidR="00FD119B" w:rsidRDefault="00FD119B">
      <w:pPr>
        <w:spacing w:before="0" w:after="200" w:line="0" w:lineRule="auto"/>
      </w:pPr>
      <w:r>
        <w:br w:type="page"/>
      </w:r>
    </w:p>
    <w:p w14:paraId="05BB795F" w14:textId="77777777" w:rsidR="00C52E24" w:rsidRPr="00C52E24" w:rsidRDefault="00441C3F" w:rsidP="00FF5845">
      <w:pPr>
        <w:pStyle w:val="Heading2"/>
      </w:pPr>
      <w:bookmarkStart w:id="4" w:name="_Toc351716269"/>
      <w:bookmarkStart w:id="5" w:name="_Toc351718881"/>
      <w:bookmarkStart w:id="6" w:name="_Toc355338616"/>
      <w:bookmarkStart w:id="7" w:name="_Toc356306144"/>
      <w:bookmarkStart w:id="8" w:name="_Toc2453990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368"/>
        <w:gridCol w:w="6352"/>
      </w:tblGrid>
      <w:tr w:rsidR="00F45C32" w:rsidRPr="00FD119B" w14:paraId="629DA959" w14:textId="77777777" w:rsidTr="00F45C32">
        <w:trPr>
          <w:cnfStyle w:val="100000000000" w:firstRow="1" w:lastRow="0" w:firstColumn="0" w:lastColumn="0" w:oddVBand="0" w:evenVBand="0" w:oddHBand="0" w:evenHBand="0" w:firstRowFirstColumn="0" w:firstRowLastColumn="0" w:lastRowFirstColumn="0" w:lastRowLastColumn="0"/>
        </w:trPr>
        <w:tc>
          <w:tcPr>
            <w:tcW w:w="2368" w:type="dxa"/>
          </w:tcPr>
          <w:p w14:paraId="4EB38437" w14:textId="77777777" w:rsidR="00F45C32" w:rsidRPr="00FD119B" w:rsidRDefault="00F45C32" w:rsidP="006516F7">
            <w:pPr>
              <w:keepNext w:val="0"/>
              <w:rPr>
                <w:szCs w:val="22"/>
                <w:lang w:eastAsia="en-US"/>
              </w:rPr>
            </w:pPr>
            <w:r w:rsidRPr="00FD119B">
              <w:rPr>
                <w:szCs w:val="22"/>
                <w:lang w:eastAsia="en-US"/>
              </w:rPr>
              <w:t>Abbreviation</w:t>
            </w:r>
          </w:p>
        </w:tc>
        <w:tc>
          <w:tcPr>
            <w:tcW w:w="6352" w:type="dxa"/>
          </w:tcPr>
          <w:p w14:paraId="57E40B98" w14:textId="77777777" w:rsidR="00F45C32" w:rsidRPr="00FD119B" w:rsidRDefault="00F45C32" w:rsidP="006516F7">
            <w:pPr>
              <w:keepNext w:val="0"/>
              <w:rPr>
                <w:szCs w:val="22"/>
                <w:lang w:eastAsia="en-US"/>
              </w:rPr>
            </w:pPr>
            <w:r w:rsidRPr="00FD119B">
              <w:rPr>
                <w:szCs w:val="22"/>
                <w:lang w:eastAsia="en-US"/>
              </w:rPr>
              <w:t>Meaning</w:t>
            </w:r>
          </w:p>
        </w:tc>
      </w:tr>
      <w:tr w:rsidR="00F45C32" w14:paraId="21A0ED0A" w14:textId="77777777" w:rsidTr="00F45C32">
        <w:tc>
          <w:tcPr>
            <w:tcW w:w="2368" w:type="dxa"/>
          </w:tcPr>
          <w:p w14:paraId="5576A115" w14:textId="77777777" w:rsidR="00F45C32" w:rsidRDefault="00F45C32" w:rsidP="006516F7">
            <w:r>
              <w:t>~</w:t>
            </w:r>
          </w:p>
        </w:tc>
        <w:tc>
          <w:tcPr>
            <w:tcW w:w="6352" w:type="dxa"/>
          </w:tcPr>
          <w:p w14:paraId="430E9618" w14:textId="77777777" w:rsidR="00F45C32" w:rsidRDefault="00F45C32" w:rsidP="006516F7">
            <w:r>
              <w:t>Approximately</w:t>
            </w:r>
          </w:p>
        </w:tc>
      </w:tr>
      <w:tr w:rsidR="00F45C32" w14:paraId="191BECDE" w14:textId="77777777" w:rsidTr="00F45C32">
        <w:tc>
          <w:tcPr>
            <w:tcW w:w="2368" w:type="dxa"/>
          </w:tcPr>
          <w:p w14:paraId="35B255B3" w14:textId="77777777" w:rsidR="00F45C32" w:rsidRDefault="00F45C32" w:rsidP="006516F7">
            <w:r>
              <w:t>ADR</w:t>
            </w:r>
          </w:p>
        </w:tc>
        <w:tc>
          <w:tcPr>
            <w:tcW w:w="6352" w:type="dxa"/>
          </w:tcPr>
          <w:p w14:paraId="158E8F4B" w14:textId="77777777" w:rsidR="00F45C32" w:rsidRDefault="00F45C32" w:rsidP="006516F7">
            <w:r>
              <w:t>Adverse drug reaction</w:t>
            </w:r>
          </w:p>
        </w:tc>
      </w:tr>
      <w:tr w:rsidR="00F45C32" w14:paraId="0D7A6EF4" w14:textId="77777777" w:rsidTr="00F45C32">
        <w:tc>
          <w:tcPr>
            <w:tcW w:w="2368" w:type="dxa"/>
          </w:tcPr>
          <w:p w14:paraId="5F5AB219" w14:textId="77777777" w:rsidR="00F45C32" w:rsidRDefault="00F45C32" w:rsidP="006516F7">
            <w:r>
              <w:t>AE</w:t>
            </w:r>
          </w:p>
        </w:tc>
        <w:tc>
          <w:tcPr>
            <w:tcW w:w="6352" w:type="dxa"/>
          </w:tcPr>
          <w:p w14:paraId="356F64CA" w14:textId="77777777" w:rsidR="00F45C32" w:rsidRDefault="00F45C32" w:rsidP="006516F7">
            <w:r>
              <w:t>Adverse event</w:t>
            </w:r>
          </w:p>
        </w:tc>
      </w:tr>
      <w:tr w:rsidR="00F45C32" w14:paraId="0A94E86A" w14:textId="77777777" w:rsidTr="00F45C32">
        <w:tc>
          <w:tcPr>
            <w:tcW w:w="2368" w:type="dxa"/>
          </w:tcPr>
          <w:p w14:paraId="458CB777" w14:textId="77777777" w:rsidR="00F45C32" w:rsidRDefault="00F45C32" w:rsidP="006516F7">
            <w:r>
              <w:t>ALT</w:t>
            </w:r>
          </w:p>
        </w:tc>
        <w:tc>
          <w:tcPr>
            <w:tcW w:w="6352" w:type="dxa"/>
          </w:tcPr>
          <w:p w14:paraId="426728CC" w14:textId="77777777" w:rsidR="00F45C32" w:rsidRDefault="00F45C32" w:rsidP="006516F7">
            <w:r>
              <w:t>Alanine aminotransferase</w:t>
            </w:r>
          </w:p>
        </w:tc>
      </w:tr>
      <w:tr w:rsidR="00F45C32" w14:paraId="630C981E" w14:textId="77777777" w:rsidTr="00F45C32">
        <w:tc>
          <w:tcPr>
            <w:tcW w:w="2368" w:type="dxa"/>
          </w:tcPr>
          <w:p w14:paraId="0DA4D6DE" w14:textId="77777777" w:rsidR="00F45C32" w:rsidRDefault="00F45C32" w:rsidP="006516F7">
            <w:r>
              <w:t>ANOVA</w:t>
            </w:r>
          </w:p>
        </w:tc>
        <w:tc>
          <w:tcPr>
            <w:tcW w:w="6352" w:type="dxa"/>
          </w:tcPr>
          <w:p w14:paraId="07D3CA82" w14:textId="77777777" w:rsidR="00F45C32" w:rsidRDefault="00F45C32" w:rsidP="006516F7">
            <w:r>
              <w:t>Analysis of variance</w:t>
            </w:r>
          </w:p>
        </w:tc>
      </w:tr>
      <w:tr w:rsidR="00F45C32" w14:paraId="1157B331" w14:textId="77777777" w:rsidTr="00F45C32">
        <w:tc>
          <w:tcPr>
            <w:tcW w:w="2368" w:type="dxa"/>
          </w:tcPr>
          <w:p w14:paraId="7534AE42" w14:textId="77777777" w:rsidR="00F45C32" w:rsidRDefault="00F45C32" w:rsidP="006516F7">
            <w:r>
              <w:t>ASA</w:t>
            </w:r>
          </w:p>
        </w:tc>
        <w:tc>
          <w:tcPr>
            <w:tcW w:w="6352" w:type="dxa"/>
          </w:tcPr>
          <w:p w14:paraId="010E0162" w14:textId="77777777" w:rsidR="00F45C32" w:rsidRDefault="00F45C32" w:rsidP="006516F7">
            <w:r>
              <w:t>Australian Specific Annex</w:t>
            </w:r>
          </w:p>
        </w:tc>
      </w:tr>
      <w:tr w:rsidR="00F45C32" w14:paraId="45E2F560" w14:textId="77777777" w:rsidTr="00F45C32">
        <w:tc>
          <w:tcPr>
            <w:tcW w:w="2368" w:type="dxa"/>
          </w:tcPr>
          <w:p w14:paraId="6C82272E" w14:textId="77777777" w:rsidR="00F45C32" w:rsidRDefault="00F45C32" w:rsidP="006516F7">
            <w:r>
              <w:t>AST</w:t>
            </w:r>
          </w:p>
        </w:tc>
        <w:tc>
          <w:tcPr>
            <w:tcW w:w="6352" w:type="dxa"/>
          </w:tcPr>
          <w:p w14:paraId="582606E2" w14:textId="77777777" w:rsidR="00F45C32" w:rsidRDefault="00F45C32" w:rsidP="006516F7">
            <w:r>
              <w:t>Aspartate aminotransferase</w:t>
            </w:r>
          </w:p>
        </w:tc>
      </w:tr>
      <w:tr w:rsidR="00F45C32" w14:paraId="704B8B13" w14:textId="77777777" w:rsidTr="00F45C32">
        <w:tc>
          <w:tcPr>
            <w:tcW w:w="2368" w:type="dxa"/>
          </w:tcPr>
          <w:p w14:paraId="2EEC4595" w14:textId="77777777" w:rsidR="00F45C32" w:rsidRDefault="00F45C32" w:rsidP="006516F7">
            <w:pPr>
              <w:rPr>
                <w:rFonts w:cstheme="minorHAnsi"/>
                <w:szCs w:val="22"/>
                <w:lang w:eastAsia="en-US"/>
              </w:rPr>
            </w:pPr>
            <w:r>
              <w:rPr>
                <w:rFonts w:cstheme="minorHAnsi"/>
              </w:rPr>
              <w:t>AUC</w:t>
            </w:r>
          </w:p>
        </w:tc>
        <w:tc>
          <w:tcPr>
            <w:tcW w:w="6352" w:type="dxa"/>
          </w:tcPr>
          <w:p w14:paraId="39363993" w14:textId="77777777" w:rsidR="00F45C32" w:rsidRDefault="00F45C32" w:rsidP="006516F7">
            <w:pPr>
              <w:rPr>
                <w:rFonts w:cstheme="minorHAnsi"/>
                <w:szCs w:val="22"/>
                <w:lang w:eastAsia="en-US"/>
              </w:rPr>
            </w:pPr>
            <w:r>
              <w:rPr>
                <w:rFonts w:cstheme="minorHAnsi"/>
              </w:rPr>
              <w:t>Area under the plasma concentration time curve</w:t>
            </w:r>
          </w:p>
        </w:tc>
      </w:tr>
      <w:tr w:rsidR="00F45C32" w14:paraId="670A14A7" w14:textId="77777777" w:rsidTr="00F45C32">
        <w:tc>
          <w:tcPr>
            <w:tcW w:w="2368" w:type="dxa"/>
          </w:tcPr>
          <w:p w14:paraId="00E5F93B" w14:textId="77777777" w:rsidR="00F45C32" w:rsidRDefault="00F45C32" w:rsidP="006516F7">
            <w:pPr>
              <w:rPr>
                <w:rFonts w:cstheme="minorHAnsi"/>
                <w:szCs w:val="22"/>
                <w:lang w:eastAsia="en-US"/>
              </w:rPr>
            </w:pPr>
            <w:r>
              <w:rPr>
                <w:rFonts w:cstheme="minorHAnsi"/>
              </w:rPr>
              <w:t>AUC</w:t>
            </w:r>
            <w:r>
              <w:rPr>
                <w:rFonts w:cstheme="minorHAnsi"/>
                <w:vertAlign w:val="subscript"/>
              </w:rPr>
              <w:t>0-t</w:t>
            </w:r>
          </w:p>
        </w:tc>
        <w:tc>
          <w:tcPr>
            <w:tcW w:w="6352" w:type="dxa"/>
          </w:tcPr>
          <w:p w14:paraId="1196F38D" w14:textId="77777777" w:rsidR="00F45C32" w:rsidRDefault="00F45C32" w:rsidP="006516F7">
            <w:pPr>
              <w:autoSpaceDE w:val="0"/>
              <w:autoSpaceDN w:val="0"/>
              <w:adjustRightInd w:val="0"/>
              <w:rPr>
                <w:rFonts w:cstheme="minorHAnsi"/>
                <w:szCs w:val="22"/>
                <w:lang w:eastAsia="en-US"/>
              </w:rPr>
            </w:pPr>
            <w:r>
              <w:rPr>
                <w:rFonts w:cstheme="minorHAnsi"/>
              </w:rPr>
              <w:t>AUC from time zero to time t</w:t>
            </w:r>
          </w:p>
        </w:tc>
      </w:tr>
      <w:tr w:rsidR="00F45C32" w14:paraId="60BE3951" w14:textId="77777777" w:rsidTr="00F45C32">
        <w:tc>
          <w:tcPr>
            <w:tcW w:w="2368" w:type="dxa"/>
          </w:tcPr>
          <w:p w14:paraId="08C74B5C" w14:textId="77777777" w:rsidR="00F45C32" w:rsidRDefault="00F45C32" w:rsidP="006516F7">
            <w:pPr>
              <w:rPr>
                <w:rFonts w:cstheme="minorHAnsi"/>
                <w:szCs w:val="22"/>
                <w:lang w:eastAsia="en-US"/>
              </w:rPr>
            </w:pPr>
            <w:proofErr w:type="spellStart"/>
            <w:r>
              <w:rPr>
                <w:rFonts w:cstheme="minorHAnsi"/>
              </w:rPr>
              <w:t>AUC</w:t>
            </w:r>
            <w:r w:rsidRPr="00E95B3A">
              <w:rPr>
                <w:rFonts w:cstheme="minorHAnsi"/>
                <w:vertAlign w:val="subscript"/>
              </w:rPr>
              <w:t>inf</w:t>
            </w:r>
            <w:proofErr w:type="spellEnd"/>
          </w:p>
        </w:tc>
        <w:tc>
          <w:tcPr>
            <w:tcW w:w="6352" w:type="dxa"/>
          </w:tcPr>
          <w:p w14:paraId="60A2CDCE" w14:textId="77777777" w:rsidR="00F45C32" w:rsidRDefault="00F45C32" w:rsidP="006516F7">
            <w:pPr>
              <w:rPr>
                <w:rFonts w:cstheme="minorHAnsi"/>
                <w:szCs w:val="22"/>
                <w:lang w:eastAsia="en-US"/>
              </w:rPr>
            </w:pPr>
            <w:r>
              <w:rPr>
                <w:rFonts w:cstheme="minorHAnsi"/>
              </w:rPr>
              <w:t>AUC extrapolated to infinity</w:t>
            </w:r>
          </w:p>
        </w:tc>
      </w:tr>
      <w:tr w:rsidR="00F45C32" w14:paraId="5F345219" w14:textId="77777777" w:rsidTr="00F45C32">
        <w:tc>
          <w:tcPr>
            <w:tcW w:w="2368" w:type="dxa"/>
          </w:tcPr>
          <w:p w14:paraId="09D02773" w14:textId="77777777" w:rsidR="00F45C32" w:rsidRDefault="00F45C32" w:rsidP="006516F7">
            <w:pPr>
              <w:rPr>
                <w:rFonts w:cstheme="minorHAnsi"/>
              </w:rPr>
            </w:pPr>
            <w:proofErr w:type="spellStart"/>
            <w:r>
              <w:t>AUC</w:t>
            </w:r>
            <w:r w:rsidRPr="00620F7A">
              <w:rPr>
                <w:vertAlign w:val="subscript"/>
              </w:rPr>
              <w:t>ss</w:t>
            </w:r>
            <w:proofErr w:type="spellEnd"/>
          </w:p>
        </w:tc>
        <w:tc>
          <w:tcPr>
            <w:tcW w:w="6352" w:type="dxa"/>
          </w:tcPr>
          <w:p w14:paraId="11861084" w14:textId="77777777" w:rsidR="00F45C32" w:rsidRDefault="00F45C32" w:rsidP="006516F7">
            <w:pPr>
              <w:autoSpaceDE w:val="0"/>
              <w:autoSpaceDN w:val="0"/>
              <w:adjustRightInd w:val="0"/>
              <w:rPr>
                <w:rFonts w:cstheme="minorHAnsi"/>
              </w:rPr>
            </w:pPr>
            <w:r>
              <w:t>A</w:t>
            </w:r>
            <w:r w:rsidRPr="00620F7A">
              <w:t xml:space="preserve">rea under the </w:t>
            </w:r>
            <w:r>
              <w:t xml:space="preserve">steady state plasma concentration </w:t>
            </w:r>
            <w:r w:rsidRPr="00620F7A">
              <w:t>time curve</w:t>
            </w:r>
          </w:p>
        </w:tc>
      </w:tr>
      <w:tr w:rsidR="00F45C32" w14:paraId="0C739E09" w14:textId="77777777" w:rsidTr="00F45C32">
        <w:tc>
          <w:tcPr>
            <w:tcW w:w="2368" w:type="dxa"/>
          </w:tcPr>
          <w:p w14:paraId="270FC529" w14:textId="77777777" w:rsidR="00F45C32" w:rsidRDefault="00F45C32" w:rsidP="006516F7">
            <w:pPr>
              <w:rPr>
                <w:rFonts w:cstheme="minorHAnsi"/>
                <w:szCs w:val="22"/>
                <w:lang w:eastAsia="en-US"/>
              </w:rPr>
            </w:pPr>
            <w:r>
              <w:rPr>
                <w:rFonts w:cstheme="minorHAnsi"/>
              </w:rPr>
              <w:t>BA</w:t>
            </w:r>
          </w:p>
        </w:tc>
        <w:tc>
          <w:tcPr>
            <w:tcW w:w="6352" w:type="dxa"/>
          </w:tcPr>
          <w:p w14:paraId="230B882B" w14:textId="77777777" w:rsidR="00F45C32" w:rsidRDefault="00F45C32" w:rsidP="006516F7">
            <w:pPr>
              <w:rPr>
                <w:rFonts w:cstheme="minorHAnsi"/>
                <w:szCs w:val="22"/>
                <w:lang w:eastAsia="en-US"/>
              </w:rPr>
            </w:pPr>
            <w:r>
              <w:rPr>
                <w:rFonts w:cstheme="minorHAnsi"/>
              </w:rPr>
              <w:t>Bioavailability</w:t>
            </w:r>
          </w:p>
        </w:tc>
      </w:tr>
      <w:tr w:rsidR="00F45C32" w14:paraId="3BA452EA" w14:textId="77777777" w:rsidTr="00F45C32">
        <w:tc>
          <w:tcPr>
            <w:tcW w:w="2368" w:type="dxa"/>
          </w:tcPr>
          <w:p w14:paraId="4A826C87" w14:textId="77777777" w:rsidR="00F45C32" w:rsidRDefault="00F45C32" w:rsidP="006516F7">
            <w:r>
              <w:t>BMI</w:t>
            </w:r>
          </w:p>
        </w:tc>
        <w:tc>
          <w:tcPr>
            <w:tcW w:w="6352" w:type="dxa"/>
          </w:tcPr>
          <w:p w14:paraId="088A45CC" w14:textId="77777777" w:rsidR="00F45C32" w:rsidRDefault="00F45C32" w:rsidP="006516F7">
            <w:r>
              <w:t>Body mass index</w:t>
            </w:r>
          </w:p>
        </w:tc>
      </w:tr>
      <w:tr w:rsidR="00F45C32" w14:paraId="280EC299" w14:textId="77777777" w:rsidTr="00F45C32">
        <w:tc>
          <w:tcPr>
            <w:tcW w:w="2368" w:type="dxa"/>
          </w:tcPr>
          <w:p w14:paraId="2A0DB081" w14:textId="77777777" w:rsidR="00F45C32" w:rsidRDefault="00F45C32" w:rsidP="006516F7">
            <w:r>
              <w:t>BP</w:t>
            </w:r>
          </w:p>
        </w:tc>
        <w:tc>
          <w:tcPr>
            <w:tcW w:w="6352" w:type="dxa"/>
          </w:tcPr>
          <w:p w14:paraId="6A390201" w14:textId="77777777" w:rsidR="00F45C32" w:rsidRDefault="00F45C32" w:rsidP="006516F7">
            <w:r>
              <w:t>British Pharmacopoeia</w:t>
            </w:r>
          </w:p>
        </w:tc>
      </w:tr>
      <w:tr w:rsidR="00F45C32" w14:paraId="1301C91F" w14:textId="77777777" w:rsidTr="00F45C32">
        <w:tc>
          <w:tcPr>
            <w:tcW w:w="2368" w:type="dxa"/>
          </w:tcPr>
          <w:p w14:paraId="1FD2C1BA" w14:textId="77777777" w:rsidR="00F45C32" w:rsidRDefault="00F45C32" w:rsidP="006516F7">
            <w:r>
              <w:t>CAM2038</w:t>
            </w:r>
          </w:p>
        </w:tc>
        <w:tc>
          <w:tcPr>
            <w:tcW w:w="6352" w:type="dxa"/>
          </w:tcPr>
          <w:p w14:paraId="735EB2E4" w14:textId="7B03C3CE" w:rsidR="00F45C32" w:rsidRDefault="00F45C32" w:rsidP="006516F7">
            <w:r>
              <w:t>Depot buprenorphine (</w:t>
            </w:r>
            <w:proofErr w:type="spellStart"/>
            <w:r>
              <w:t>Buvidal</w:t>
            </w:r>
            <w:proofErr w:type="spellEnd"/>
            <w:r>
              <w:t>)</w:t>
            </w:r>
          </w:p>
        </w:tc>
      </w:tr>
      <w:tr w:rsidR="00F45C32" w14:paraId="0CD6D485" w14:textId="77777777" w:rsidTr="00F45C32">
        <w:tc>
          <w:tcPr>
            <w:tcW w:w="2368" w:type="dxa"/>
          </w:tcPr>
          <w:p w14:paraId="468D5A24" w14:textId="77777777" w:rsidR="00F45C32" w:rsidRDefault="00F45C32" w:rsidP="006516F7">
            <w:pPr>
              <w:rPr>
                <w:rFonts w:cstheme="minorHAnsi"/>
                <w:szCs w:val="22"/>
                <w:lang w:eastAsia="en-US"/>
              </w:rPr>
            </w:pPr>
            <w:r>
              <w:rPr>
                <w:rFonts w:cstheme="minorHAnsi"/>
                <w:color w:val="000000"/>
              </w:rPr>
              <w:t>CAM2038 q1w</w:t>
            </w:r>
          </w:p>
        </w:tc>
        <w:tc>
          <w:tcPr>
            <w:tcW w:w="6352" w:type="dxa"/>
          </w:tcPr>
          <w:p w14:paraId="37C7F38A" w14:textId="0CE51905" w:rsidR="00F45C32" w:rsidRDefault="00446F48" w:rsidP="006516F7">
            <w:pPr>
              <w:rPr>
                <w:rFonts w:cstheme="minorHAnsi"/>
                <w:szCs w:val="22"/>
                <w:lang w:eastAsia="en-US"/>
              </w:rPr>
            </w:pPr>
            <w:r>
              <w:rPr>
                <w:rFonts w:cstheme="minorHAnsi"/>
                <w:color w:val="000000"/>
              </w:rPr>
              <w:t>B</w:t>
            </w:r>
            <w:r w:rsidR="00F45C32">
              <w:rPr>
                <w:rFonts w:cstheme="minorHAnsi"/>
                <w:color w:val="000000"/>
              </w:rPr>
              <w:t xml:space="preserve">uprenorphine </w:t>
            </w:r>
            <w:proofErr w:type="spellStart"/>
            <w:r w:rsidR="00F45C32">
              <w:rPr>
                <w:rFonts w:cstheme="minorHAnsi"/>
                <w:color w:val="000000"/>
              </w:rPr>
              <w:t>FluidCrystal</w:t>
            </w:r>
            <w:proofErr w:type="spellEnd"/>
            <w:r w:rsidR="00F45C32">
              <w:rPr>
                <w:rFonts w:cstheme="minorHAnsi"/>
                <w:color w:val="000000"/>
              </w:rPr>
              <w:t xml:space="preserve"> once weekly subcutaneous injection depot</w:t>
            </w:r>
          </w:p>
        </w:tc>
      </w:tr>
      <w:tr w:rsidR="00F45C32" w14:paraId="1F5BFD78" w14:textId="77777777" w:rsidTr="00F45C32">
        <w:tc>
          <w:tcPr>
            <w:tcW w:w="2368" w:type="dxa"/>
          </w:tcPr>
          <w:p w14:paraId="28A3AE8F" w14:textId="77777777" w:rsidR="00F45C32" w:rsidRDefault="00F45C32" w:rsidP="006516F7">
            <w:pPr>
              <w:rPr>
                <w:rFonts w:cstheme="minorHAnsi"/>
                <w:szCs w:val="22"/>
                <w:lang w:eastAsia="en-US"/>
              </w:rPr>
            </w:pPr>
            <w:r>
              <w:rPr>
                <w:rFonts w:cstheme="minorHAnsi"/>
                <w:color w:val="000000"/>
              </w:rPr>
              <w:t>CAM2038 q4w</w:t>
            </w:r>
          </w:p>
        </w:tc>
        <w:tc>
          <w:tcPr>
            <w:tcW w:w="6352" w:type="dxa"/>
          </w:tcPr>
          <w:p w14:paraId="2A6C7F4A" w14:textId="430C8CFC" w:rsidR="00F45C32" w:rsidRDefault="00446F48" w:rsidP="006516F7">
            <w:pPr>
              <w:rPr>
                <w:rFonts w:cstheme="minorHAnsi"/>
                <w:szCs w:val="22"/>
                <w:lang w:eastAsia="en-US"/>
              </w:rPr>
            </w:pPr>
            <w:r>
              <w:rPr>
                <w:rFonts w:cstheme="minorHAnsi"/>
                <w:color w:val="000000"/>
              </w:rPr>
              <w:t>B</w:t>
            </w:r>
            <w:r w:rsidR="00F45C32">
              <w:rPr>
                <w:rFonts w:cstheme="minorHAnsi"/>
                <w:color w:val="000000"/>
              </w:rPr>
              <w:t xml:space="preserve">uprenorphine </w:t>
            </w:r>
            <w:proofErr w:type="spellStart"/>
            <w:r w:rsidR="00F45C32">
              <w:rPr>
                <w:rFonts w:cstheme="minorHAnsi"/>
                <w:color w:val="000000"/>
              </w:rPr>
              <w:t>FluidCrystal</w:t>
            </w:r>
            <w:proofErr w:type="spellEnd"/>
            <w:r w:rsidR="00F45C32">
              <w:rPr>
                <w:rFonts w:cstheme="minorHAnsi"/>
                <w:color w:val="000000"/>
              </w:rPr>
              <w:t xml:space="preserve"> once monthly subcutaneous injection depot, 356 mg/mL</w:t>
            </w:r>
          </w:p>
        </w:tc>
      </w:tr>
      <w:tr w:rsidR="00F45C32" w14:paraId="6E1D2B76" w14:textId="77777777" w:rsidTr="00F45C32">
        <w:tc>
          <w:tcPr>
            <w:tcW w:w="2368" w:type="dxa"/>
          </w:tcPr>
          <w:p w14:paraId="1978A999" w14:textId="77777777" w:rsidR="00F45C32" w:rsidRDefault="00F45C32" w:rsidP="006516F7">
            <w:pPr>
              <w:rPr>
                <w:rFonts w:cstheme="minorHAnsi"/>
              </w:rPr>
            </w:pPr>
            <w:r w:rsidRPr="00A51F27">
              <w:t>CDF</w:t>
            </w:r>
          </w:p>
        </w:tc>
        <w:tc>
          <w:tcPr>
            <w:tcW w:w="6352" w:type="dxa"/>
          </w:tcPr>
          <w:p w14:paraId="450F1172" w14:textId="77777777" w:rsidR="00F45C32" w:rsidRDefault="00F45C32" w:rsidP="006516F7">
            <w:pPr>
              <w:autoSpaceDE w:val="0"/>
              <w:autoSpaceDN w:val="0"/>
              <w:adjustRightInd w:val="0"/>
              <w:rPr>
                <w:rFonts w:cstheme="minorHAnsi"/>
              </w:rPr>
            </w:pPr>
            <w:r w:rsidRPr="00A51F27">
              <w:t>Cu</w:t>
            </w:r>
            <w:r>
              <w:t>mulative Distribution Function</w:t>
            </w:r>
          </w:p>
        </w:tc>
      </w:tr>
      <w:tr w:rsidR="00F45C32" w14:paraId="2DEB09FA" w14:textId="77777777" w:rsidTr="00F45C32">
        <w:tc>
          <w:tcPr>
            <w:tcW w:w="2368" w:type="dxa"/>
          </w:tcPr>
          <w:p w14:paraId="70194108" w14:textId="77777777" w:rsidR="00F45C32" w:rsidRDefault="00F45C32" w:rsidP="006516F7">
            <w:r>
              <w:t>CHMP</w:t>
            </w:r>
          </w:p>
        </w:tc>
        <w:tc>
          <w:tcPr>
            <w:tcW w:w="6352" w:type="dxa"/>
          </w:tcPr>
          <w:p w14:paraId="13E0B0CB" w14:textId="77777777" w:rsidR="00F45C32" w:rsidRDefault="00F45C32" w:rsidP="006516F7">
            <w:r>
              <w:t>Committee for Medicinal Products for Human Use</w:t>
            </w:r>
          </w:p>
        </w:tc>
      </w:tr>
      <w:tr w:rsidR="00F45C32" w14:paraId="30C62185" w14:textId="77777777" w:rsidTr="00F45C32">
        <w:tc>
          <w:tcPr>
            <w:tcW w:w="2368" w:type="dxa"/>
          </w:tcPr>
          <w:p w14:paraId="2CEA986F" w14:textId="77777777" w:rsidR="00F45C32" w:rsidRDefault="00F45C32" w:rsidP="006516F7">
            <w:r>
              <w:t>CI</w:t>
            </w:r>
          </w:p>
        </w:tc>
        <w:tc>
          <w:tcPr>
            <w:tcW w:w="6352" w:type="dxa"/>
          </w:tcPr>
          <w:p w14:paraId="3EE6A148" w14:textId="77777777" w:rsidR="00F45C32" w:rsidRDefault="00F45C32" w:rsidP="006516F7">
            <w:r>
              <w:t>Confidence interval</w:t>
            </w:r>
          </w:p>
        </w:tc>
      </w:tr>
      <w:tr w:rsidR="00F45C32" w14:paraId="51164A00" w14:textId="77777777" w:rsidTr="00F45C32">
        <w:tc>
          <w:tcPr>
            <w:tcW w:w="2368" w:type="dxa"/>
          </w:tcPr>
          <w:p w14:paraId="3C00C767" w14:textId="77777777" w:rsidR="00F45C32" w:rsidRDefault="00F45C32" w:rsidP="006516F7">
            <w:pPr>
              <w:rPr>
                <w:rFonts w:cstheme="minorHAnsi"/>
                <w:szCs w:val="22"/>
                <w:lang w:eastAsia="en-US"/>
              </w:rPr>
            </w:pPr>
            <w:r>
              <w:rPr>
                <w:rFonts w:cstheme="minorHAnsi"/>
              </w:rPr>
              <w:t>CL</w:t>
            </w:r>
          </w:p>
        </w:tc>
        <w:tc>
          <w:tcPr>
            <w:tcW w:w="6352" w:type="dxa"/>
          </w:tcPr>
          <w:p w14:paraId="04EE9D54" w14:textId="77777777" w:rsidR="00F45C32" w:rsidRDefault="00F45C32" w:rsidP="006516F7">
            <w:pPr>
              <w:rPr>
                <w:rFonts w:cstheme="minorHAnsi"/>
                <w:szCs w:val="22"/>
                <w:lang w:eastAsia="en-US"/>
              </w:rPr>
            </w:pPr>
            <w:r>
              <w:rPr>
                <w:rFonts w:cstheme="minorHAnsi"/>
              </w:rPr>
              <w:t>Total plasma clearance</w:t>
            </w:r>
          </w:p>
        </w:tc>
      </w:tr>
      <w:tr w:rsidR="00F45C32" w14:paraId="2007B23B" w14:textId="77777777" w:rsidTr="00F45C32">
        <w:tc>
          <w:tcPr>
            <w:tcW w:w="2368" w:type="dxa"/>
          </w:tcPr>
          <w:p w14:paraId="5F21BB76" w14:textId="77777777" w:rsidR="00F45C32" w:rsidRDefault="00F45C32" w:rsidP="006516F7">
            <w:pPr>
              <w:rPr>
                <w:rFonts w:cstheme="minorHAnsi"/>
                <w:szCs w:val="22"/>
                <w:lang w:eastAsia="en-US"/>
              </w:rPr>
            </w:pPr>
            <w:proofErr w:type="spellStart"/>
            <w:r>
              <w:rPr>
                <w:rFonts w:cstheme="minorHAnsi"/>
              </w:rPr>
              <w:t>C</w:t>
            </w:r>
            <w:r w:rsidRPr="00246DC3">
              <w:rPr>
                <w:rFonts w:cstheme="minorHAnsi"/>
                <w:vertAlign w:val="subscript"/>
              </w:rPr>
              <w:t>max</w:t>
            </w:r>
            <w:proofErr w:type="spellEnd"/>
          </w:p>
        </w:tc>
        <w:tc>
          <w:tcPr>
            <w:tcW w:w="6352" w:type="dxa"/>
          </w:tcPr>
          <w:p w14:paraId="2C21996D" w14:textId="77777777" w:rsidR="00F45C32" w:rsidRDefault="00F45C32" w:rsidP="006516F7">
            <w:pPr>
              <w:rPr>
                <w:rFonts w:cstheme="minorHAnsi"/>
                <w:szCs w:val="22"/>
                <w:lang w:eastAsia="en-US"/>
              </w:rPr>
            </w:pPr>
            <w:r>
              <w:rPr>
                <w:rFonts w:cstheme="minorHAnsi"/>
              </w:rPr>
              <w:t>Maximum observed plasma concentration</w:t>
            </w:r>
          </w:p>
        </w:tc>
      </w:tr>
      <w:tr w:rsidR="00F45C32" w14:paraId="0EAB7085" w14:textId="77777777" w:rsidTr="00F45C32">
        <w:tc>
          <w:tcPr>
            <w:tcW w:w="2368" w:type="dxa"/>
          </w:tcPr>
          <w:p w14:paraId="624D4DC9" w14:textId="77777777" w:rsidR="00F45C32" w:rsidRDefault="00F45C32" w:rsidP="006516F7">
            <w:pPr>
              <w:rPr>
                <w:rFonts w:cstheme="minorHAnsi"/>
                <w:szCs w:val="22"/>
                <w:lang w:eastAsia="en-US"/>
              </w:rPr>
            </w:pPr>
            <w:proofErr w:type="spellStart"/>
            <w:r>
              <w:rPr>
                <w:rFonts w:cstheme="minorHAnsi"/>
              </w:rPr>
              <w:t>C</w:t>
            </w:r>
            <w:r w:rsidRPr="002E3F6A">
              <w:rPr>
                <w:rFonts w:cstheme="minorHAnsi"/>
                <w:vertAlign w:val="subscript"/>
              </w:rPr>
              <w:t>min</w:t>
            </w:r>
            <w:proofErr w:type="spellEnd"/>
          </w:p>
        </w:tc>
        <w:tc>
          <w:tcPr>
            <w:tcW w:w="6352" w:type="dxa"/>
          </w:tcPr>
          <w:p w14:paraId="4AADF561" w14:textId="77777777" w:rsidR="00F45C32" w:rsidRDefault="00F45C32" w:rsidP="006516F7">
            <w:pPr>
              <w:rPr>
                <w:rFonts w:cstheme="minorHAnsi"/>
                <w:szCs w:val="22"/>
                <w:lang w:eastAsia="en-US"/>
              </w:rPr>
            </w:pPr>
            <w:r>
              <w:rPr>
                <w:rFonts w:cstheme="minorHAnsi"/>
              </w:rPr>
              <w:t>Minimum plasma concentration during a dosage interval</w:t>
            </w:r>
          </w:p>
        </w:tc>
      </w:tr>
      <w:tr w:rsidR="00F45C32" w14:paraId="15ADD1A7" w14:textId="77777777" w:rsidTr="00F45C32">
        <w:tc>
          <w:tcPr>
            <w:tcW w:w="2368" w:type="dxa"/>
          </w:tcPr>
          <w:p w14:paraId="62084F78" w14:textId="77777777" w:rsidR="00F45C32" w:rsidRDefault="00F45C32" w:rsidP="006516F7">
            <w:r>
              <w:t>CNS</w:t>
            </w:r>
          </w:p>
        </w:tc>
        <w:tc>
          <w:tcPr>
            <w:tcW w:w="6352" w:type="dxa"/>
          </w:tcPr>
          <w:p w14:paraId="73DD8E6D" w14:textId="77777777" w:rsidR="00F45C32" w:rsidRDefault="00F45C32" w:rsidP="006516F7">
            <w:r>
              <w:t>Central nervous system</w:t>
            </w:r>
          </w:p>
        </w:tc>
      </w:tr>
      <w:tr w:rsidR="00F45C32" w14:paraId="76457B9E" w14:textId="77777777" w:rsidTr="00F45C32">
        <w:tc>
          <w:tcPr>
            <w:tcW w:w="2368" w:type="dxa"/>
          </w:tcPr>
          <w:p w14:paraId="4850B66E" w14:textId="77777777" w:rsidR="00F45C32" w:rsidRDefault="00F45C32" w:rsidP="006516F7">
            <w:r>
              <w:lastRenderedPageBreak/>
              <w:t>COWS</w:t>
            </w:r>
          </w:p>
        </w:tc>
        <w:tc>
          <w:tcPr>
            <w:tcW w:w="6352" w:type="dxa"/>
          </w:tcPr>
          <w:p w14:paraId="5B736DBB" w14:textId="77777777" w:rsidR="00F45C32" w:rsidRDefault="00F45C32" w:rsidP="006516F7">
            <w:r>
              <w:t>Clinical Opiate Withdrawal Scale</w:t>
            </w:r>
          </w:p>
        </w:tc>
      </w:tr>
      <w:tr w:rsidR="00F45C32" w14:paraId="3C692F2C" w14:textId="77777777" w:rsidTr="00F45C32">
        <w:tc>
          <w:tcPr>
            <w:tcW w:w="2368" w:type="dxa"/>
          </w:tcPr>
          <w:p w14:paraId="62A450AF" w14:textId="77777777" w:rsidR="00F45C32" w:rsidRDefault="00F45C32" w:rsidP="006516F7">
            <w:r>
              <w:t>CPMP</w:t>
            </w:r>
          </w:p>
        </w:tc>
        <w:tc>
          <w:tcPr>
            <w:tcW w:w="6352" w:type="dxa"/>
          </w:tcPr>
          <w:p w14:paraId="54B8462E" w14:textId="77777777" w:rsidR="00F45C32" w:rsidRDefault="00F45C32" w:rsidP="006516F7">
            <w:r w:rsidRPr="002E3F6A">
              <w:t>Committee for Proprietary Medicinal Products</w:t>
            </w:r>
          </w:p>
        </w:tc>
      </w:tr>
      <w:tr w:rsidR="00F45C32" w14:paraId="49AB812F" w14:textId="77777777" w:rsidTr="00F45C32">
        <w:tc>
          <w:tcPr>
            <w:tcW w:w="2368" w:type="dxa"/>
          </w:tcPr>
          <w:p w14:paraId="3B3BDACD" w14:textId="77777777" w:rsidR="00F45C32" w:rsidRDefault="00F45C32" w:rsidP="006516F7">
            <w:pPr>
              <w:rPr>
                <w:szCs w:val="22"/>
                <w:lang w:eastAsia="en-US"/>
              </w:rPr>
            </w:pPr>
            <w:proofErr w:type="spellStart"/>
            <w:r>
              <w:rPr>
                <w:rFonts w:eastAsia="TimesNewRoman" w:cstheme="minorHAnsi"/>
              </w:rPr>
              <w:t>C</w:t>
            </w:r>
            <w:r w:rsidRPr="00151A28">
              <w:rPr>
                <w:rFonts w:eastAsia="TimesNewRoman" w:cstheme="minorHAnsi"/>
                <w:vertAlign w:val="subscript"/>
              </w:rPr>
              <w:t>ss,av</w:t>
            </w:r>
            <w:proofErr w:type="spellEnd"/>
          </w:p>
        </w:tc>
        <w:tc>
          <w:tcPr>
            <w:tcW w:w="6352" w:type="dxa"/>
          </w:tcPr>
          <w:p w14:paraId="0245C537" w14:textId="3CA7E6EA" w:rsidR="00F45C32" w:rsidRDefault="00446F48" w:rsidP="006516F7">
            <w:pPr>
              <w:rPr>
                <w:szCs w:val="22"/>
                <w:lang w:eastAsia="en-US"/>
              </w:rPr>
            </w:pPr>
            <w:r w:rsidRPr="00446F48">
              <w:rPr>
                <w:rFonts w:eastAsia="TimesNewRoman" w:cstheme="minorHAnsi"/>
              </w:rPr>
              <w:t>Average plasma drug concentration</w:t>
            </w:r>
            <w:r w:rsidR="004D4774">
              <w:rPr>
                <w:rFonts w:eastAsia="TimesNewRoman" w:cstheme="minorHAnsi"/>
              </w:rPr>
              <w:t xml:space="preserve"> </w:t>
            </w:r>
            <w:r w:rsidR="00F45C32">
              <w:rPr>
                <w:rFonts w:eastAsia="TimesNewRoman" w:cstheme="minorHAnsi"/>
              </w:rPr>
              <w:t>at steady state</w:t>
            </w:r>
          </w:p>
        </w:tc>
      </w:tr>
      <w:tr w:rsidR="00F45C32" w14:paraId="124254BD" w14:textId="77777777" w:rsidTr="00F45C32">
        <w:tc>
          <w:tcPr>
            <w:tcW w:w="2368" w:type="dxa"/>
          </w:tcPr>
          <w:p w14:paraId="5387B660" w14:textId="77777777" w:rsidR="00F45C32" w:rsidRDefault="00F45C32" w:rsidP="006516F7">
            <w:pPr>
              <w:rPr>
                <w:rFonts w:cstheme="minorHAnsi"/>
              </w:rPr>
            </w:pPr>
            <w:proofErr w:type="spellStart"/>
            <w:r>
              <w:t>C</w:t>
            </w:r>
            <w:r w:rsidRPr="00620F7A">
              <w:rPr>
                <w:vertAlign w:val="subscript"/>
              </w:rPr>
              <w:t>ss,max</w:t>
            </w:r>
            <w:proofErr w:type="spellEnd"/>
          </w:p>
        </w:tc>
        <w:tc>
          <w:tcPr>
            <w:tcW w:w="6352" w:type="dxa"/>
          </w:tcPr>
          <w:p w14:paraId="186C6A9A" w14:textId="77777777" w:rsidR="00F45C32" w:rsidRDefault="00F45C32" w:rsidP="006516F7">
            <w:pPr>
              <w:rPr>
                <w:rFonts w:cstheme="minorHAnsi"/>
              </w:rPr>
            </w:pPr>
            <w:r>
              <w:t>Maximum steady state plasma drug concentration</w:t>
            </w:r>
          </w:p>
        </w:tc>
      </w:tr>
      <w:tr w:rsidR="00F45C32" w14:paraId="00DC5955" w14:textId="77777777" w:rsidTr="00F45C32">
        <w:tc>
          <w:tcPr>
            <w:tcW w:w="2368" w:type="dxa"/>
          </w:tcPr>
          <w:p w14:paraId="15B99262" w14:textId="77777777" w:rsidR="00F45C32" w:rsidRDefault="00F45C32" w:rsidP="006516F7">
            <w:proofErr w:type="spellStart"/>
            <w:r>
              <w:t>C</w:t>
            </w:r>
            <w:r w:rsidRPr="00620F7A">
              <w:rPr>
                <w:vertAlign w:val="subscript"/>
              </w:rPr>
              <w:t>ss,trough</w:t>
            </w:r>
            <w:proofErr w:type="spellEnd"/>
          </w:p>
        </w:tc>
        <w:tc>
          <w:tcPr>
            <w:tcW w:w="6352" w:type="dxa"/>
          </w:tcPr>
          <w:p w14:paraId="0B31642A" w14:textId="77777777" w:rsidR="00F45C32" w:rsidRDefault="00F45C32" w:rsidP="006516F7">
            <w:r>
              <w:t>Trough plasma concentration at the end of a dosing interval at steady state</w:t>
            </w:r>
          </w:p>
        </w:tc>
      </w:tr>
      <w:tr w:rsidR="00F45C32" w14:paraId="68FBC7CF" w14:textId="77777777" w:rsidTr="00F45C32">
        <w:tc>
          <w:tcPr>
            <w:tcW w:w="2368" w:type="dxa"/>
          </w:tcPr>
          <w:p w14:paraId="57950C67" w14:textId="77777777" w:rsidR="00F45C32" w:rsidRDefault="00F45C32" w:rsidP="006516F7">
            <w:r>
              <w:t>CYP3A4</w:t>
            </w:r>
          </w:p>
        </w:tc>
        <w:tc>
          <w:tcPr>
            <w:tcW w:w="6352" w:type="dxa"/>
          </w:tcPr>
          <w:p w14:paraId="0C09A496" w14:textId="77777777" w:rsidR="00F45C32" w:rsidRDefault="00F45C32" w:rsidP="006516F7">
            <w:r>
              <w:t>Cytochrome P450 3A4</w:t>
            </w:r>
          </w:p>
        </w:tc>
      </w:tr>
      <w:tr w:rsidR="00F45C32" w14:paraId="7DAE98F0" w14:textId="77777777" w:rsidTr="00F45C32">
        <w:tc>
          <w:tcPr>
            <w:tcW w:w="2368" w:type="dxa"/>
          </w:tcPr>
          <w:p w14:paraId="49E96009" w14:textId="77777777" w:rsidR="00F45C32" w:rsidRDefault="00F45C32" w:rsidP="006516F7">
            <w:pPr>
              <w:rPr>
                <w:rFonts w:cstheme="minorHAnsi"/>
              </w:rPr>
            </w:pPr>
            <w:r>
              <w:rPr>
                <w:rFonts w:cstheme="minorHAnsi"/>
              </w:rPr>
              <w:t>DDIs</w:t>
            </w:r>
          </w:p>
        </w:tc>
        <w:tc>
          <w:tcPr>
            <w:tcW w:w="6352" w:type="dxa"/>
          </w:tcPr>
          <w:p w14:paraId="19160AF2" w14:textId="77777777" w:rsidR="00F45C32" w:rsidRDefault="00F45C32" w:rsidP="006516F7">
            <w:pPr>
              <w:rPr>
                <w:rFonts w:cstheme="minorHAnsi"/>
              </w:rPr>
            </w:pPr>
            <w:r>
              <w:rPr>
                <w:rFonts w:cstheme="minorHAnsi"/>
              </w:rPr>
              <w:t>Drug-drug interactions</w:t>
            </w:r>
          </w:p>
        </w:tc>
      </w:tr>
      <w:tr w:rsidR="00F45C32" w14:paraId="3C0E7956" w14:textId="77777777" w:rsidTr="00F45C32">
        <w:tc>
          <w:tcPr>
            <w:tcW w:w="2368" w:type="dxa"/>
          </w:tcPr>
          <w:p w14:paraId="2E2E23C7" w14:textId="77777777" w:rsidR="00F45C32" w:rsidRDefault="00F45C32" w:rsidP="006516F7">
            <w:pPr>
              <w:rPr>
                <w:rFonts w:cstheme="minorHAnsi"/>
                <w:szCs w:val="22"/>
                <w:lang w:eastAsia="en-US"/>
              </w:rPr>
            </w:pPr>
            <w:r>
              <w:rPr>
                <w:rFonts w:cstheme="minorHAnsi"/>
              </w:rPr>
              <w:t>DSM-5</w:t>
            </w:r>
          </w:p>
        </w:tc>
        <w:tc>
          <w:tcPr>
            <w:tcW w:w="6352" w:type="dxa"/>
          </w:tcPr>
          <w:p w14:paraId="3B1F550C" w14:textId="77777777" w:rsidR="00F45C32" w:rsidRDefault="00F45C32" w:rsidP="006516F7">
            <w:pPr>
              <w:rPr>
                <w:rFonts w:cstheme="minorHAnsi"/>
                <w:szCs w:val="22"/>
                <w:lang w:eastAsia="en-US"/>
              </w:rPr>
            </w:pPr>
            <w:r>
              <w:rPr>
                <w:rFonts w:eastAsia="TimesNewRomanPSMT" w:cstheme="minorHAnsi"/>
              </w:rPr>
              <w:t>Diagnostic and Statistical Manual of Mental Disorders, Fifth Edition</w:t>
            </w:r>
          </w:p>
        </w:tc>
      </w:tr>
      <w:tr w:rsidR="00F45C32" w14:paraId="4CF8C215" w14:textId="77777777" w:rsidTr="00F45C32">
        <w:tc>
          <w:tcPr>
            <w:tcW w:w="2368" w:type="dxa"/>
          </w:tcPr>
          <w:p w14:paraId="1251B921" w14:textId="77777777" w:rsidR="00F45C32" w:rsidRDefault="00F45C32" w:rsidP="006516F7">
            <w:r>
              <w:t>ECG</w:t>
            </w:r>
          </w:p>
        </w:tc>
        <w:tc>
          <w:tcPr>
            <w:tcW w:w="6352" w:type="dxa"/>
          </w:tcPr>
          <w:p w14:paraId="6437D524" w14:textId="77777777" w:rsidR="00F45C32" w:rsidRDefault="00F45C32" w:rsidP="006516F7">
            <w:r>
              <w:t>Electrocardiogram</w:t>
            </w:r>
          </w:p>
        </w:tc>
      </w:tr>
      <w:tr w:rsidR="00F45C32" w14:paraId="4697CFBA" w14:textId="77777777" w:rsidTr="00F45C32">
        <w:tc>
          <w:tcPr>
            <w:tcW w:w="2368" w:type="dxa"/>
          </w:tcPr>
          <w:p w14:paraId="7E3A9111" w14:textId="77777777" w:rsidR="00F45C32" w:rsidRDefault="00F45C32" w:rsidP="006516F7">
            <w:r>
              <w:t>EMA</w:t>
            </w:r>
          </w:p>
        </w:tc>
        <w:tc>
          <w:tcPr>
            <w:tcW w:w="6352" w:type="dxa"/>
          </w:tcPr>
          <w:p w14:paraId="27DC3988" w14:textId="77777777" w:rsidR="00F45C32" w:rsidRDefault="00F45C32" w:rsidP="006516F7">
            <w:r>
              <w:t>European Medicines Agency</w:t>
            </w:r>
          </w:p>
        </w:tc>
      </w:tr>
      <w:tr w:rsidR="00F45C32" w14:paraId="4B632CD4" w14:textId="77777777" w:rsidTr="00F45C32">
        <w:tc>
          <w:tcPr>
            <w:tcW w:w="2368" w:type="dxa"/>
          </w:tcPr>
          <w:p w14:paraId="4908EAB0" w14:textId="77777777" w:rsidR="00F45C32" w:rsidRDefault="00F45C32" w:rsidP="006516F7">
            <w:r>
              <w:t>EOT</w:t>
            </w:r>
          </w:p>
        </w:tc>
        <w:tc>
          <w:tcPr>
            <w:tcW w:w="6352" w:type="dxa"/>
          </w:tcPr>
          <w:p w14:paraId="76202CCA" w14:textId="77777777" w:rsidR="00F45C32" w:rsidRDefault="00F45C32" w:rsidP="006516F7">
            <w:r>
              <w:t>End of treatment</w:t>
            </w:r>
          </w:p>
        </w:tc>
      </w:tr>
      <w:tr w:rsidR="00F45C32" w14:paraId="14EACA9C" w14:textId="77777777" w:rsidTr="00F45C32">
        <w:tc>
          <w:tcPr>
            <w:tcW w:w="2368" w:type="dxa"/>
          </w:tcPr>
          <w:p w14:paraId="39853D78" w14:textId="77777777" w:rsidR="00F45C32" w:rsidRDefault="00F45C32" w:rsidP="006516F7">
            <w:r>
              <w:t>FDA</w:t>
            </w:r>
          </w:p>
        </w:tc>
        <w:tc>
          <w:tcPr>
            <w:tcW w:w="6352" w:type="dxa"/>
          </w:tcPr>
          <w:p w14:paraId="47940759" w14:textId="77777777" w:rsidR="00F45C32" w:rsidRDefault="00F45C32" w:rsidP="006516F7">
            <w:r>
              <w:t>Food and Drug Administration</w:t>
            </w:r>
          </w:p>
        </w:tc>
      </w:tr>
      <w:tr w:rsidR="00F45C32" w14:paraId="1DA9CD3B" w14:textId="77777777" w:rsidTr="00F45C32">
        <w:tc>
          <w:tcPr>
            <w:tcW w:w="2368" w:type="dxa"/>
          </w:tcPr>
          <w:p w14:paraId="0E6B7E05" w14:textId="77777777" w:rsidR="00F45C32" w:rsidRDefault="00F45C32" w:rsidP="006516F7">
            <w:r>
              <w:t>GCP</w:t>
            </w:r>
          </w:p>
        </w:tc>
        <w:tc>
          <w:tcPr>
            <w:tcW w:w="6352" w:type="dxa"/>
          </w:tcPr>
          <w:p w14:paraId="4CCE33E6" w14:textId="77777777" w:rsidR="00F45C32" w:rsidRDefault="00F45C32" w:rsidP="006516F7">
            <w:r>
              <w:t>Good clinical practice</w:t>
            </w:r>
          </w:p>
        </w:tc>
      </w:tr>
      <w:tr w:rsidR="00F45C32" w14:paraId="56A06318" w14:textId="77777777" w:rsidTr="00F45C32">
        <w:tc>
          <w:tcPr>
            <w:tcW w:w="2368" w:type="dxa"/>
          </w:tcPr>
          <w:p w14:paraId="0991422E" w14:textId="77777777" w:rsidR="00F45C32" w:rsidRDefault="00F45C32" w:rsidP="006516F7">
            <w:pPr>
              <w:rPr>
                <w:rFonts w:cstheme="minorHAnsi"/>
              </w:rPr>
            </w:pPr>
            <w:r>
              <w:t>GLP</w:t>
            </w:r>
          </w:p>
        </w:tc>
        <w:tc>
          <w:tcPr>
            <w:tcW w:w="6352" w:type="dxa"/>
          </w:tcPr>
          <w:p w14:paraId="24A48573" w14:textId="77777777" w:rsidR="00F45C32" w:rsidRDefault="00F45C32" w:rsidP="006516F7">
            <w:pPr>
              <w:rPr>
                <w:rFonts w:cstheme="minorHAnsi"/>
                <w:color w:val="000000"/>
              </w:rPr>
            </w:pPr>
            <w:r>
              <w:t>Good laboratory practice</w:t>
            </w:r>
          </w:p>
        </w:tc>
      </w:tr>
      <w:tr w:rsidR="00F45C32" w14:paraId="38B1F328" w14:textId="77777777" w:rsidTr="00F45C32">
        <w:tc>
          <w:tcPr>
            <w:tcW w:w="2368" w:type="dxa"/>
          </w:tcPr>
          <w:p w14:paraId="62067326" w14:textId="77777777" w:rsidR="00F45C32" w:rsidRDefault="00F45C32" w:rsidP="006516F7">
            <w:pPr>
              <w:rPr>
                <w:rFonts w:cstheme="minorHAnsi"/>
                <w:szCs w:val="22"/>
                <w:lang w:eastAsia="en-US"/>
              </w:rPr>
            </w:pPr>
            <w:r>
              <w:rPr>
                <w:rFonts w:cstheme="minorHAnsi"/>
              </w:rPr>
              <w:t>GM</w:t>
            </w:r>
          </w:p>
        </w:tc>
        <w:tc>
          <w:tcPr>
            <w:tcW w:w="6352" w:type="dxa"/>
          </w:tcPr>
          <w:p w14:paraId="2C7C5412" w14:textId="77777777" w:rsidR="00F45C32" w:rsidRDefault="00F45C32" w:rsidP="006516F7">
            <w:pPr>
              <w:rPr>
                <w:rFonts w:cstheme="minorHAnsi"/>
                <w:szCs w:val="22"/>
                <w:lang w:eastAsia="en-US"/>
              </w:rPr>
            </w:pPr>
            <w:r>
              <w:rPr>
                <w:rFonts w:cstheme="minorHAnsi"/>
              </w:rPr>
              <w:t>Geometric mean</w:t>
            </w:r>
          </w:p>
        </w:tc>
      </w:tr>
      <w:tr w:rsidR="00F45C32" w14:paraId="1424266B" w14:textId="77777777" w:rsidTr="00F45C32">
        <w:tc>
          <w:tcPr>
            <w:tcW w:w="2368" w:type="dxa"/>
          </w:tcPr>
          <w:p w14:paraId="1DCA1D5A" w14:textId="77777777" w:rsidR="00F45C32" w:rsidRDefault="00F45C32" w:rsidP="006516F7">
            <w:pPr>
              <w:rPr>
                <w:rFonts w:cstheme="minorHAnsi"/>
                <w:szCs w:val="22"/>
                <w:lang w:eastAsia="en-US"/>
              </w:rPr>
            </w:pPr>
            <w:r>
              <w:rPr>
                <w:rFonts w:cstheme="minorHAnsi"/>
              </w:rPr>
              <w:t>GMR</w:t>
            </w:r>
          </w:p>
        </w:tc>
        <w:tc>
          <w:tcPr>
            <w:tcW w:w="6352" w:type="dxa"/>
          </w:tcPr>
          <w:p w14:paraId="6DD4B4AC" w14:textId="77777777" w:rsidR="00F45C32" w:rsidRDefault="00F45C32" w:rsidP="006516F7">
            <w:pPr>
              <w:rPr>
                <w:rFonts w:cstheme="minorHAnsi"/>
                <w:szCs w:val="22"/>
                <w:lang w:eastAsia="en-US"/>
              </w:rPr>
            </w:pPr>
            <w:r>
              <w:rPr>
                <w:rFonts w:cstheme="minorHAnsi"/>
              </w:rPr>
              <w:t>Geometric mean ratio</w:t>
            </w:r>
          </w:p>
        </w:tc>
      </w:tr>
      <w:tr w:rsidR="00F45C32" w14:paraId="0BDA8944" w14:textId="77777777" w:rsidTr="00F45C32">
        <w:tc>
          <w:tcPr>
            <w:tcW w:w="2368" w:type="dxa"/>
          </w:tcPr>
          <w:p w14:paraId="49E29B21" w14:textId="77777777" w:rsidR="00F45C32" w:rsidRDefault="00F45C32" w:rsidP="006516F7">
            <w:pPr>
              <w:rPr>
                <w:rFonts w:cstheme="minorHAnsi"/>
                <w:szCs w:val="22"/>
                <w:lang w:eastAsia="en-US"/>
              </w:rPr>
            </w:pPr>
            <w:r>
              <w:rPr>
                <w:rFonts w:cstheme="minorHAnsi"/>
              </w:rPr>
              <w:t>h</w:t>
            </w:r>
          </w:p>
        </w:tc>
        <w:tc>
          <w:tcPr>
            <w:tcW w:w="6352" w:type="dxa"/>
          </w:tcPr>
          <w:p w14:paraId="15662D0A" w14:textId="77777777" w:rsidR="00F45C32" w:rsidRDefault="00F45C32" w:rsidP="006516F7">
            <w:pPr>
              <w:rPr>
                <w:rFonts w:cstheme="minorHAnsi"/>
                <w:szCs w:val="22"/>
                <w:lang w:eastAsia="en-US"/>
              </w:rPr>
            </w:pPr>
            <w:r>
              <w:rPr>
                <w:rFonts w:cstheme="minorHAnsi"/>
              </w:rPr>
              <w:t>Hour/s</w:t>
            </w:r>
          </w:p>
        </w:tc>
      </w:tr>
      <w:tr w:rsidR="00F45C32" w14:paraId="1CA7F072" w14:textId="77777777" w:rsidTr="00F45C32">
        <w:tc>
          <w:tcPr>
            <w:tcW w:w="2368" w:type="dxa"/>
          </w:tcPr>
          <w:p w14:paraId="59D0A4C2" w14:textId="77777777" w:rsidR="00F45C32" w:rsidRDefault="00F45C32" w:rsidP="006516F7">
            <w:pPr>
              <w:rPr>
                <w:rFonts w:cstheme="minorHAnsi"/>
              </w:rPr>
            </w:pPr>
            <w:r>
              <w:rPr>
                <w:lang w:eastAsia="ja-JP"/>
              </w:rPr>
              <w:t>HBV</w:t>
            </w:r>
          </w:p>
        </w:tc>
        <w:tc>
          <w:tcPr>
            <w:tcW w:w="6352" w:type="dxa"/>
          </w:tcPr>
          <w:p w14:paraId="344D8304" w14:textId="77777777" w:rsidR="00F45C32" w:rsidRDefault="00F45C32" w:rsidP="006516F7">
            <w:pPr>
              <w:rPr>
                <w:rFonts w:cstheme="minorHAnsi"/>
              </w:rPr>
            </w:pPr>
            <w:r>
              <w:rPr>
                <w:lang w:eastAsia="ja-JP"/>
              </w:rPr>
              <w:t>Hepatitis B</w:t>
            </w:r>
          </w:p>
        </w:tc>
      </w:tr>
      <w:tr w:rsidR="00F45C32" w14:paraId="3B78F11C" w14:textId="77777777" w:rsidTr="00F45C32">
        <w:tc>
          <w:tcPr>
            <w:tcW w:w="2368" w:type="dxa"/>
          </w:tcPr>
          <w:p w14:paraId="71BFFD88" w14:textId="77777777" w:rsidR="00F45C32" w:rsidRDefault="00F45C32" w:rsidP="006516F7">
            <w:pPr>
              <w:rPr>
                <w:rFonts w:cstheme="minorHAnsi"/>
              </w:rPr>
            </w:pPr>
            <w:r>
              <w:rPr>
                <w:lang w:eastAsia="ja-JP"/>
              </w:rPr>
              <w:t>HCV</w:t>
            </w:r>
          </w:p>
        </w:tc>
        <w:tc>
          <w:tcPr>
            <w:tcW w:w="6352" w:type="dxa"/>
          </w:tcPr>
          <w:p w14:paraId="6D6E4C7B" w14:textId="77777777" w:rsidR="00F45C32" w:rsidRDefault="00F45C32" w:rsidP="006516F7">
            <w:pPr>
              <w:rPr>
                <w:rFonts w:cstheme="minorHAnsi"/>
              </w:rPr>
            </w:pPr>
            <w:r>
              <w:rPr>
                <w:lang w:eastAsia="ja-JP"/>
              </w:rPr>
              <w:t>Hepatitis C</w:t>
            </w:r>
          </w:p>
        </w:tc>
      </w:tr>
      <w:tr w:rsidR="00F45C32" w14:paraId="2CDF6E2D" w14:textId="77777777" w:rsidTr="00F45C32">
        <w:tc>
          <w:tcPr>
            <w:tcW w:w="2368" w:type="dxa"/>
          </w:tcPr>
          <w:p w14:paraId="29C6A4B4" w14:textId="77777777" w:rsidR="00F45C32" w:rsidRDefault="00F45C32" w:rsidP="006516F7">
            <w:pPr>
              <w:rPr>
                <w:lang w:eastAsia="ja-JP"/>
              </w:rPr>
            </w:pPr>
            <w:proofErr w:type="spellStart"/>
            <w:r>
              <w:t>hERG</w:t>
            </w:r>
            <w:proofErr w:type="spellEnd"/>
          </w:p>
        </w:tc>
        <w:tc>
          <w:tcPr>
            <w:tcW w:w="6352" w:type="dxa"/>
          </w:tcPr>
          <w:p w14:paraId="44A94596" w14:textId="77777777" w:rsidR="00F45C32" w:rsidRDefault="00F45C32" w:rsidP="006516F7">
            <w:pPr>
              <w:rPr>
                <w:lang w:eastAsia="ja-JP"/>
              </w:rPr>
            </w:pPr>
            <w:r>
              <w:t>H</w:t>
            </w:r>
            <w:r w:rsidRPr="009A43B9">
              <w:t>uman ether-a-go-go related gene</w:t>
            </w:r>
          </w:p>
        </w:tc>
      </w:tr>
      <w:tr w:rsidR="00F45C32" w14:paraId="43F09630" w14:textId="77777777" w:rsidTr="00F45C32">
        <w:tc>
          <w:tcPr>
            <w:tcW w:w="2368" w:type="dxa"/>
          </w:tcPr>
          <w:p w14:paraId="1292704B" w14:textId="77777777" w:rsidR="00F45C32" w:rsidRDefault="00F45C32" w:rsidP="006516F7">
            <w:r>
              <w:t>HIV</w:t>
            </w:r>
          </w:p>
        </w:tc>
        <w:tc>
          <w:tcPr>
            <w:tcW w:w="6352" w:type="dxa"/>
          </w:tcPr>
          <w:p w14:paraId="16EAACB7" w14:textId="77777777" w:rsidR="00F45C32" w:rsidRDefault="00F45C32" w:rsidP="006516F7">
            <w:r>
              <w:t>Human immunodeficiency virus</w:t>
            </w:r>
          </w:p>
        </w:tc>
      </w:tr>
      <w:tr w:rsidR="00F45C32" w14:paraId="2CB28FC6" w14:textId="77777777" w:rsidTr="00F45C32">
        <w:tc>
          <w:tcPr>
            <w:tcW w:w="2368" w:type="dxa"/>
          </w:tcPr>
          <w:p w14:paraId="7FBE81A1" w14:textId="77777777" w:rsidR="00F45C32" w:rsidRDefault="00F45C32" w:rsidP="006516F7">
            <w:r>
              <w:t>IC</w:t>
            </w:r>
            <w:r w:rsidRPr="009A43B9">
              <w:rPr>
                <w:vertAlign w:val="subscript"/>
              </w:rPr>
              <w:t>50</w:t>
            </w:r>
          </w:p>
        </w:tc>
        <w:tc>
          <w:tcPr>
            <w:tcW w:w="6352" w:type="dxa"/>
          </w:tcPr>
          <w:p w14:paraId="4A8007A8" w14:textId="77777777" w:rsidR="00F45C32" w:rsidRDefault="00F45C32" w:rsidP="006516F7">
            <w:r>
              <w:t>Half maximal inhibitory concentration</w:t>
            </w:r>
          </w:p>
        </w:tc>
      </w:tr>
      <w:tr w:rsidR="00F45C32" w14:paraId="0A148748" w14:textId="77777777" w:rsidTr="00F45C32">
        <w:tc>
          <w:tcPr>
            <w:tcW w:w="2368" w:type="dxa"/>
          </w:tcPr>
          <w:p w14:paraId="59426D4E" w14:textId="77777777" w:rsidR="00F45C32" w:rsidRDefault="00F45C32" w:rsidP="006516F7">
            <w:r>
              <w:t xml:space="preserve">ICH </w:t>
            </w:r>
          </w:p>
        </w:tc>
        <w:tc>
          <w:tcPr>
            <w:tcW w:w="6352" w:type="dxa"/>
          </w:tcPr>
          <w:p w14:paraId="64682306" w14:textId="77777777" w:rsidR="00F45C32" w:rsidRDefault="00F45C32" w:rsidP="006516F7">
            <w:r>
              <w:t>International Conference on Harmonisation</w:t>
            </w:r>
          </w:p>
        </w:tc>
      </w:tr>
      <w:tr w:rsidR="00F45C32" w14:paraId="6EB69940" w14:textId="77777777" w:rsidTr="00F45C32">
        <w:tc>
          <w:tcPr>
            <w:tcW w:w="2368" w:type="dxa"/>
          </w:tcPr>
          <w:p w14:paraId="10630BDB" w14:textId="77777777" w:rsidR="00F45C32" w:rsidRDefault="00F45C32" w:rsidP="006516F7">
            <w:pPr>
              <w:rPr>
                <w:rFonts w:cstheme="minorHAnsi"/>
                <w:szCs w:val="22"/>
                <w:lang w:eastAsia="en-US"/>
              </w:rPr>
            </w:pPr>
            <w:r>
              <w:rPr>
                <w:rFonts w:cstheme="minorHAnsi"/>
              </w:rPr>
              <w:t>IM</w:t>
            </w:r>
          </w:p>
        </w:tc>
        <w:tc>
          <w:tcPr>
            <w:tcW w:w="6352" w:type="dxa"/>
          </w:tcPr>
          <w:p w14:paraId="42CA8755" w14:textId="77777777" w:rsidR="00F45C32" w:rsidRDefault="00F45C32" w:rsidP="006516F7">
            <w:pPr>
              <w:rPr>
                <w:rFonts w:cstheme="minorHAnsi"/>
                <w:szCs w:val="22"/>
                <w:lang w:eastAsia="en-US"/>
              </w:rPr>
            </w:pPr>
            <w:r>
              <w:rPr>
                <w:rFonts w:cstheme="minorHAnsi"/>
              </w:rPr>
              <w:t>Intramuscular</w:t>
            </w:r>
          </w:p>
        </w:tc>
      </w:tr>
      <w:tr w:rsidR="00F45C32" w14:paraId="24119D3B" w14:textId="77777777" w:rsidTr="00F45C32">
        <w:tc>
          <w:tcPr>
            <w:tcW w:w="2368" w:type="dxa"/>
          </w:tcPr>
          <w:p w14:paraId="6E221020" w14:textId="77777777" w:rsidR="00F45C32" w:rsidRDefault="00F45C32" w:rsidP="006516F7">
            <w:r>
              <w:t>ITT</w:t>
            </w:r>
          </w:p>
        </w:tc>
        <w:tc>
          <w:tcPr>
            <w:tcW w:w="6352" w:type="dxa"/>
          </w:tcPr>
          <w:p w14:paraId="2BD1A0C6" w14:textId="77777777" w:rsidR="00F45C32" w:rsidRDefault="00F45C32" w:rsidP="006516F7">
            <w:r>
              <w:t>Intent-to-treat</w:t>
            </w:r>
          </w:p>
        </w:tc>
      </w:tr>
      <w:tr w:rsidR="00F45C32" w14:paraId="396AA955" w14:textId="77777777" w:rsidTr="00F45C32">
        <w:tc>
          <w:tcPr>
            <w:tcW w:w="2368" w:type="dxa"/>
          </w:tcPr>
          <w:p w14:paraId="52C996FB" w14:textId="77777777" w:rsidR="00F45C32" w:rsidRDefault="00F45C32" w:rsidP="006516F7">
            <w:pPr>
              <w:rPr>
                <w:rFonts w:cstheme="minorHAnsi"/>
                <w:szCs w:val="22"/>
                <w:lang w:eastAsia="en-US"/>
              </w:rPr>
            </w:pPr>
            <w:r>
              <w:rPr>
                <w:rFonts w:cstheme="minorHAnsi"/>
              </w:rPr>
              <w:lastRenderedPageBreak/>
              <w:t>IV</w:t>
            </w:r>
          </w:p>
        </w:tc>
        <w:tc>
          <w:tcPr>
            <w:tcW w:w="6352" w:type="dxa"/>
          </w:tcPr>
          <w:p w14:paraId="1AB1FE04" w14:textId="77777777" w:rsidR="00F45C32" w:rsidRDefault="00F45C32" w:rsidP="006516F7">
            <w:pPr>
              <w:rPr>
                <w:rFonts w:cstheme="minorHAnsi"/>
                <w:szCs w:val="22"/>
                <w:lang w:eastAsia="en-US"/>
              </w:rPr>
            </w:pPr>
            <w:r>
              <w:rPr>
                <w:rFonts w:cstheme="minorHAnsi"/>
              </w:rPr>
              <w:t>Intravenous</w:t>
            </w:r>
          </w:p>
        </w:tc>
      </w:tr>
      <w:tr w:rsidR="00F45C32" w14:paraId="5457B6E0" w14:textId="77777777" w:rsidTr="00F45C32">
        <w:tc>
          <w:tcPr>
            <w:tcW w:w="2368" w:type="dxa"/>
          </w:tcPr>
          <w:p w14:paraId="4BEEFF77" w14:textId="77777777" w:rsidR="00F45C32" w:rsidRDefault="00F45C32" w:rsidP="006516F7">
            <w:pPr>
              <w:rPr>
                <w:rFonts w:cstheme="minorHAnsi"/>
              </w:rPr>
            </w:pPr>
            <w:r>
              <w:rPr>
                <w:rFonts w:cstheme="minorHAnsi"/>
              </w:rPr>
              <w:t>K</w:t>
            </w:r>
            <w:r w:rsidRPr="009A43B9">
              <w:rPr>
                <w:rFonts w:cstheme="minorHAnsi"/>
                <w:vertAlign w:val="superscript"/>
              </w:rPr>
              <w:t>+</w:t>
            </w:r>
          </w:p>
        </w:tc>
        <w:tc>
          <w:tcPr>
            <w:tcW w:w="6352" w:type="dxa"/>
          </w:tcPr>
          <w:p w14:paraId="2ACB4D0D" w14:textId="77777777" w:rsidR="00F45C32" w:rsidRDefault="00F45C32" w:rsidP="006516F7">
            <w:pPr>
              <w:rPr>
                <w:rFonts w:cstheme="minorHAnsi"/>
              </w:rPr>
            </w:pPr>
            <w:r>
              <w:rPr>
                <w:rFonts w:cstheme="minorHAnsi"/>
              </w:rPr>
              <w:t>Potassium</w:t>
            </w:r>
          </w:p>
        </w:tc>
      </w:tr>
      <w:tr w:rsidR="00F45C32" w14:paraId="1D7F2FAC" w14:textId="77777777" w:rsidTr="00F45C32">
        <w:tc>
          <w:tcPr>
            <w:tcW w:w="2368" w:type="dxa"/>
          </w:tcPr>
          <w:p w14:paraId="440F9055" w14:textId="77777777" w:rsidR="00F45C32" w:rsidRDefault="00F45C32" w:rsidP="006516F7">
            <w:pPr>
              <w:rPr>
                <w:rFonts w:cstheme="minorHAnsi"/>
                <w:szCs w:val="22"/>
                <w:lang w:eastAsia="en-US"/>
              </w:rPr>
            </w:pPr>
            <w:proofErr w:type="spellStart"/>
            <w:r>
              <w:rPr>
                <w:rFonts w:cstheme="minorHAnsi"/>
              </w:rPr>
              <w:t>ka</w:t>
            </w:r>
            <w:proofErr w:type="spellEnd"/>
          </w:p>
        </w:tc>
        <w:tc>
          <w:tcPr>
            <w:tcW w:w="6352" w:type="dxa"/>
          </w:tcPr>
          <w:p w14:paraId="2420E85E" w14:textId="5EE27B6C" w:rsidR="00F45C32" w:rsidRDefault="00446F48" w:rsidP="006516F7">
            <w:pPr>
              <w:rPr>
                <w:rFonts w:cstheme="minorHAnsi"/>
                <w:szCs w:val="22"/>
                <w:lang w:eastAsia="en-US"/>
              </w:rPr>
            </w:pPr>
            <w:r>
              <w:rPr>
                <w:rFonts w:eastAsia="TimesNewRomanPSMT" w:cstheme="minorHAnsi"/>
                <w:color w:val="000000"/>
              </w:rPr>
              <w:t>Absorption</w:t>
            </w:r>
            <w:r w:rsidR="00F45C32">
              <w:rPr>
                <w:rFonts w:eastAsia="TimesNewRomanPSMT" w:cstheme="minorHAnsi"/>
                <w:color w:val="000000"/>
              </w:rPr>
              <w:t xml:space="preserve"> rate constant</w:t>
            </w:r>
          </w:p>
        </w:tc>
      </w:tr>
      <w:tr w:rsidR="00F45C32" w14:paraId="60D73508" w14:textId="77777777" w:rsidTr="00F45C32">
        <w:tc>
          <w:tcPr>
            <w:tcW w:w="2368" w:type="dxa"/>
          </w:tcPr>
          <w:p w14:paraId="3354A4F0" w14:textId="77777777" w:rsidR="00F45C32" w:rsidRDefault="00F45C32" w:rsidP="006516F7">
            <w:pPr>
              <w:rPr>
                <w:rFonts w:cstheme="minorHAnsi"/>
              </w:rPr>
            </w:pPr>
            <w:proofErr w:type="spellStart"/>
            <w:r>
              <w:rPr>
                <w:rFonts w:cstheme="minorHAnsi"/>
              </w:rPr>
              <w:t>ki</w:t>
            </w:r>
            <w:proofErr w:type="spellEnd"/>
          </w:p>
        </w:tc>
        <w:tc>
          <w:tcPr>
            <w:tcW w:w="6352" w:type="dxa"/>
          </w:tcPr>
          <w:p w14:paraId="514861A7" w14:textId="77777777" w:rsidR="00F45C32" w:rsidRDefault="00F45C32" w:rsidP="006516F7">
            <w:pPr>
              <w:rPr>
                <w:rFonts w:eastAsia="TimesNewRomanPSMT" w:cstheme="minorHAnsi"/>
                <w:color w:val="000000"/>
              </w:rPr>
            </w:pPr>
            <w:r>
              <w:rPr>
                <w:rFonts w:eastAsia="TimesNewRomanPSMT" w:cstheme="minorHAnsi"/>
                <w:color w:val="000000"/>
              </w:rPr>
              <w:t>Inhibitory constant</w:t>
            </w:r>
          </w:p>
        </w:tc>
      </w:tr>
      <w:tr w:rsidR="00F45C32" w14:paraId="6142936E" w14:textId="77777777" w:rsidTr="00F45C32">
        <w:tc>
          <w:tcPr>
            <w:tcW w:w="2368" w:type="dxa"/>
          </w:tcPr>
          <w:p w14:paraId="51772622" w14:textId="77777777" w:rsidR="00F45C32" w:rsidRDefault="00F45C32" w:rsidP="006516F7">
            <w:r>
              <w:t>LS</w:t>
            </w:r>
          </w:p>
        </w:tc>
        <w:tc>
          <w:tcPr>
            <w:tcW w:w="6352" w:type="dxa"/>
          </w:tcPr>
          <w:p w14:paraId="62FEBA6B" w14:textId="77777777" w:rsidR="00F45C32" w:rsidRDefault="00F45C32" w:rsidP="006516F7">
            <w:r>
              <w:t>Least squares</w:t>
            </w:r>
          </w:p>
        </w:tc>
      </w:tr>
      <w:tr w:rsidR="00F45C32" w14:paraId="29E2264A" w14:textId="77777777" w:rsidTr="00F45C32">
        <w:tc>
          <w:tcPr>
            <w:tcW w:w="2368" w:type="dxa"/>
          </w:tcPr>
          <w:p w14:paraId="521EC6C4" w14:textId="77777777" w:rsidR="00F45C32" w:rsidRDefault="00F45C32" w:rsidP="006516F7">
            <w:r>
              <w:t>MAT</w:t>
            </w:r>
          </w:p>
        </w:tc>
        <w:tc>
          <w:tcPr>
            <w:tcW w:w="6352" w:type="dxa"/>
          </w:tcPr>
          <w:p w14:paraId="01BC24F3" w14:textId="77777777" w:rsidR="00F45C32" w:rsidRDefault="00F45C32" w:rsidP="006516F7">
            <w:r>
              <w:t>Medication-assisted treatment</w:t>
            </w:r>
          </w:p>
        </w:tc>
      </w:tr>
      <w:tr w:rsidR="00F45C32" w14:paraId="776085A4" w14:textId="77777777" w:rsidTr="00F45C32">
        <w:tc>
          <w:tcPr>
            <w:tcW w:w="2368" w:type="dxa"/>
          </w:tcPr>
          <w:p w14:paraId="63E3BE93" w14:textId="77777777" w:rsidR="00F45C32" w:rsidRDefault="00F45C32" w:rsidP="006516F7">
            <w:r w:rsidRPr="00A940B9">
              <w:t>MATOD</w:t>
            </w:r>
          </w:p>
        </w:tc>
        <w:tc>
          <w:tcPr>
            <w:tcW w:w="6352" w:type="dxa"/>
          </w:tcPr>
          <w:p w14:paraId="3312E824" w14:textId="77777777" w:rsidR="00F45C32" w:rsidRDefault="00F45C32" w:rsidP="006516F7">
            <w:r>
              <w:t>M</w:t>
            </w:r>
            <w:r w:rsidRPr="00A940B9">
              <w:t>edication assisted t</w:t>
            </w:r>
            <w:r>
              <w:t>reatment for opioid dependence</w:t>
            </w:r>
          </w:p>
        </w:tc>
      </w:tr>
      <w:tr w:rsidR="00F45C32" w14:paraId="783639EF" w14:textId="77777777" w:rsidTr="00F45C32">
        <w:tc>
          <w:tcPr>
            <w:tcW w:w="2368" w:type="dxa"/>
          </w:tcPr>
          <w:p w14:paraId="44E31E2C" w14:textId="77777777" w:rsidR="00F45C32" w:rsidRDefault="00F45C32" w:rsidP="006516F7">
            <w:pPr>
              <w:rPr>
                <w:rFonts w:cstheme="minorHAnsi"/>
                <w:szCs w:val="22"/>
                <w:lang w:eastAsia="en-US"/>
              </w:rPr>
            </w:pPr>
            <w:r>
              <w:rPr>
                <w:rFonts w:cstheme="minorHAnsi"/>
              </w:rPr>
              <w:t>min</w:t>
            </w:r>
          </w:p>
        </w:tc>
        <w:tc>
          <w:tcPr>
            <w:tcW w:w="6352" w:type="dxa"/>
          </w:tcPr>
          <w:p w14:paraId="58094F5B" w14:textId="77777777" w:rsidR="00F45C32" w:rsidRDefault="00F45C32" w:rsidP="006516F7">
            <w:pPr>
              <w:rPr>
                <w:rFonts w:cstheme="minorHAnsi"/>
                <w:szCs w:val="22"/>
                <w:lang w:eastAsia="en-US"/>
              </w:rPr>
            </w:pPr>
            <w:r>
              <w:rPr>
                <w:rFonts w:cstheme="minorHAnsi"/>
              </w:rPr>
              <w:t>Minute/s</w:t>
            </w:r>
          </w:p>
        </w:tc>
      </w:tr>
      <w:tr w:rsidR="00F45C32" w14:paraId="076335E9" w14:textId="77777777" w:rsidTr="00F45C32">
        <w:tc>
          <w:tcPr>
            <w:tcW w:w="2368" w:type="dxa"/>
          </w:tcPr>
          <w:p w14:paraId="09C7AEEC" w14:textId="77777777" w:rsidR="00F45C32" w:rsidRDefault="00F45C32" w:rsidP="006516F7">
            <w:pPr>
              <w:rPr>
                <w:rFonts w:cstheme="minorHAnsi"/>
                <w:szCs w:val="22"/>
                <w:lang w:eastAsia="en-US"/>
              </w:rPr>
            </w:pPr>
            <w:r>
              <w:rPr>
                <w:rFonts w:cstheme="minorHAnsi"/>
              </w:rPr>
              <w:t>NMP</w:t>
            </w:r>
          </w:p>
        </w:tc>
        <w:tc>
          <w:tcPr>
            <w:tcW w:w="6352" w:type="dxa"/>
          </w:tcPr>
          <w:p w14:paraId="4C8E3A66" w14:textId="77777777" w:rsidR="00F45C32" w:rsidRDefault="00F45C32" w:rsidP="006516F7">
            <w:pPr>
              <w:rPr>
                <w:rFonts w:cstheme="minorHAnsi"/>
                <w:szCs w:val="22"/>
                <w:lang w:eastAsia="en-US"/>
              </w:rPr>
            </w:pPr>
            <w:r>
              <w:rPr>
                <w:rFonts w:cstheme="minorHAnsi"/>
                <w:color w:val="000000"/>
              </w:rPr>
              <w:t>N-methyl-2-pyrrolidone</w:t>
            </w:r>
          </w:p>
        </w:tc>
      </w:tr>
      <w:tr w:rsidR="00F45C32" w14:paraId="74D89BC1" w14:textId="77777777" w:rsidTr="00F45C32">
        <w:tc>
          <w:tcPr>
            <w:tcW w:w="2368" w:type="dxa"/>
          </w:tcPr>
          <w:p w14:paraId="0417D529" w14:textId="77777777" w:rsidR="00F45C32" w:rsidRDefault="00F45C32" w:rsidP="006516F7">
            <w:pPr>
              <w:rPr>
                <w:rFonts w:cstheme="minorHAnsi"/>
              </w:rPr>
            </w:pPr>
            <w:r>
              <w:rPr>
                <w:rFonts w:cstheme="minorHAnsi"/>
              </w:rPr>
              <w:t>NOAEL</w:t>
            </w:r>
          </w:p>
        </w:tc>
        <w:tc>
          <w:tcPr>
            <w:tcW w:w="6352" w:type="dxa"/>
          </w:tcPr>
          <w:p w14:paraId="21592B23" w14:textId="77777777" w:rsidR="00F45C32" w:rsidRDefault="00F45C32" w:rsidP="006516F7">
            <w:pPr>
              <w:rPr>
                <w:rFonts w:cstheme="minorHAnsi"/>
                <w:color w:val="000000"/>
              </w:rPr>
            </w:pPr>
            <w:r>
              <w:rPr>
                <w:rFonts w:cstheme="minorHAnsi"/>
                <w:color w:val="000000"/>
              </w:rPr>
              <w:t xml:space="preserve">No observed adverse effect </w:t>
            </w:r>
            <w:r w:rsidRPr="00A62D19">
              <w:rPr>
                <w:rFonts w:cstheme="minorHAnsi"/>
                <w:color w:val="000000"/>
              </w:rPr>
              <w:t>level</w:t>
            </w:r>
          </w:p>
        </w:tc>
      </w:tr>
      <w:tr w:rsidR="00F45C32" w14:paraId="5B6B33E5" w14:textId="77777777" w:rsidTr="00F45C32">
        <w:tc>
          <w:tcPr>
            <w:tcW w:w="2368" w:type="dxa"/>
          </w:tcPr>
          <w:p w14:paraId="3D2EC6E9" w14:textId="77777777" w:rsidR="00F45C32" w:rsidRDefault="00F45C32" w:rsidP="006516F7">
            <w:r>
              <w:t>ODT</w:t>
            </w:r>
          </w:p>
        </w:tc>
        <w:tc>
          <w:tcPr>
            <w:tcW w:w="6352" w:type="dxa"/>
          </w:tcPr>
          <w:p w14:paraId="46919E1A" w14:textId="77777777" w:rsidR="00F45C32" w:rsidRDefault="00F45C32" w:rsidP="006516F7">
            <w:r>
              <w:t>Opioid dependence therapy</w:t>
            </w:r>
          </w:p>
        </w:tc>
      </w:tr>
      <w:tr w:rsidR="00F45C32" w14:paraId="7EB21590" w14:textId="77777777" w:rsidTr="00F45C32">
        <w:tc>
          <w:tcPr>
            <w:tcW w:w="2368" w:type="dxa"/>
          </w:tcPr>
          <w:p w14:paraId="3AB2B9F9" w14:textId="77777777" w:rsidR="00F45C32" w:rsidRDefault="00F45C32" w:rsidP="006516F7">
            <w:r>
              <w:t>OSP</w:t>
            </w:r>
          </w:p>
        </w:tc>
        <w:tc>
          <w:tcPr>
            <w:tcW w:w="6352" w:type="dxa"/>
          </w:tcPr>
          <w:p w14:paraId="759560DE" w14:textId="77777777" w:rsidR="00F45C32" w:rsidRDefault="00F45C32" w:rsidP="006516F7">
            <w:r>
              <w:t>Overall safety population</w:t>
            </w:r>
          </w:p>
        </w:tc>
      </w:tr>
      <w:tr w:rsidR="00F45C32" w14:paraId="6199A441" w14:textId="77777777" w:rsidTr="00F45C32">
        <w:tc>
          <w:tcPr>
            <w:tcW w:w="2368" w:type="dxa"/>
          </w:tcPr>
          <w:p w14:paraId="10F22B54" w14:textId="77777777" w:rsidR="00F45C32" w:rsidRDefault="00F45C32" w:rsidP="006516F7">
            <w:pPr>
              <w:rPr>
                <w:rFonts w:cstheme="minorHAnsi"/>
                <w:szCs w:val="22"/>
                <w:lang w:eastAsia="en-US"/>
              </w:rPr>
            </w:pPr>
            <w:r>
              <w:rPr>
                <w:rFonts w:cstheme="minorHAnsi"/>
              </w:rPr>
              <w:t>PD</w:t>
            </w:r>
          </w:p>
        </w:tc>
        <w:tc>
          <w:tcPr>
            <w:tcW w:w="6352" w:type="dxa"/>
          </w:tcPr>
          <w:p w14:paraId="3574EC4A" w14:textId="77777777" w:rsidR="00F45C32" w:rsidRDefault="00F45C32" w:rsidP="006516F7">
            <w:pPr>
              <w:rPr>
                <w:rFonts w:cstheme="minorHAnsi"/>
                <w:szCs w:val="22"/>
                <w:lang w:eastAsia="en-US"/>
              </w:rPr>
            </w:pPr>
            <w:proofErr w:type="spellStart"/>
            <w:r>
              <w:rPr>
                <w:rFonts w:cstheme="minorHAnsi"/>
              </w:rPr>
              <w:t>Pharmacodynamic</w:t>
            </w:r>
            <w:proofErr w:type="spellEnd"/>
          </w:p>
        </w:tc>
      </w:tr>
      <w:tr w:rsidR="00F45C32" w14:paraId="60E9BC4D" w14:textId="77777777" w:rsidTr="00F45C32">
        <w:tc>
          <w:tcPr>
            <w:tcW w:w="2368" w:type="dxa"/>
          </w:tcPr>
          <w:p w14:paraId="5E3F357E" w14:textId="77777777" w:rsidR="00F45C32" w:rsidRDefault="00F45C32" w:rsidP="006516F7">
            <w:r>
              <w:t>PI</w:t>
            </w:r>
          </w:p>
        </w:tc>
        <w:tc>
          <w:tcPr>
            <w:tcW w:w="6352" w:type="dxa"/>
          </w:tcPr>
          <w:p w14:paraId="39F4017C" w14:textId="3539FC1E" w:rsidR="00F45C32" w:rsidRDefault="00F45C32" w:rsidP="006516F7">
            <w:r>
              <w:t>Product information</w:t>
            </w:r>
          </w:p>
        </w:tc>
      </w:tr>
      <w:tr w:rsidR="00F45C32" w14:paraId="641F64DC" w14:textId="77777777" w:rsidTr="00F45C32">
        <w:tc>
          <w:tcPr>
            <w:tcW w:w="2368" w:type="dxa"/>
          </w:tcPr>
          <w:p w14:paraId="01E9B00A" w14:textId="77777777" w:rsidR="00F45C32" w:rsidRDefault="00F45C32" w:rsidP="006516F7">
            <w:pPr>
              <w:rPr>
                <w:rFonts w:cstheme="minorHAnsi"/>
                <w:szCs w:val="22"/>
                <w:lang w:eastAsia="en-US"/>
              </w:rPr>
            </w:pPr>
            <w:r>
              <w:rPr>
                <w:rFonts w:cstheme="minorHAnsi"/>
              </w:rPr>
              <w:t>PK</w:t>
            </w:r>
          </w:p>
        </w:tc>
        <w:tc>
          <w:tcPr>
            <w:tcW w:w="6352" w:type="dxa"/>
          </w:tcPr>
          <w:p w14:paraId="7D132FD8" w14:textId="77777777" w:rsidR="00F45C32" w:rsidRDefault="00F45C32" w:rsidP="006516F7">
            <w:pPr>
              <w:rPr>
                <w:rFonts w:cstheme="minorHAnsi"/>
                <w:szCs w:val="22"/>
                <w:lang w:eastAsia="en-US"/>
              </w:rPr>
            </w:pPr>
            <w:r>
              <w:rPr>
                <w:rFonts w:cstheme="minorHAnsi"/>
              </w:rPr>
              <w:t>Pharmacokinetic</w:t>
            </w:r>
          </w:p>
        </w:tc>
      </w:tr>
      <w:tr w:rsidR="00F45C32" w14:paraId="084DF11A" w14:textId="77777777" w:rsidTr="00F45C32">
        <w:tc>
          <w:tcPr>
            <w:tcW w:w="2368" w:type="dxa"/>
          </w:tcPr>
          <w:p w14:paraId="1817423D" w14:textId="77777777" w:rsidR="00F45C32" w:rsidRDefault="00F45C32" w:rsidP="006516F7">
            <w:r>
              <w:t>PP</w:t>
            </w:r>
          </w:p>
        </w:tc>
        <w:tc>
          <w:tcPr>
            <w:tcW w:w="6352" w:type="dxa"/>
          </w:tcPr>
          <w:p w14:paraId="4F54EE7C" w14:textId="77777777" w:rsidR="00F45C32" w:rsidRDefault="00F45C32" w:rsidP="006516F7">
            <w:r>
              <w:t>Per protocol</w:t>
            </w:r>
          </w:p>
        </w:tc>
      </w:tr>
      <w:tr w:rsidR="00F45C32" w14:paraId="3F341D16" w14:textId="77777777" w:rsidTr="00F45C32">
        <w:tc>
          <w:tcPr>
            <w:tcW w:w="2368" w:type="dxa"/>
          </w:tcPr>
          <w:p w14:paraId="3127350F" w14:textId="77777777" w:rsidR="00F45C32" w:rsidRDefault="00F45C32" w:rsidP="006516F7">
            <w:r>
              <w:t>PT</w:t>
            </w:r>
          </w:p>
        </w:tc>
        <w:tc>
          <w:tcPr>
            <w:tcW w:w="6352" w:type="dxa"/>
          </w:tcPr>
          <w:p w14:paraId="482B4648" w14:textId="77777777" w:rsidR="00F45C32" w:rsidRDefault="00F45C32" w:rsidP="006516F7">
            <w:r>
              <w:t>Preferred Term</w:t>
            </w:r>
          </w:p>
        </w:tc>
      </w:tr>
      <w:tr w:rsidR="00F45C32" w14:paraId="718C2B96" w14:textId="77777777" w:rsidTr="00F45C32">
        <w:tc>
          <w:tcPr>
            <w:tcW w:w="2368" w:type="dxa"/>
          </w:tcPr>
          <w:p w14:paraId="4D4CA22B" w14:textId="77777777" w:rsidR="00F45C32" w:rsidRDefault="00F45C32" w:rsidP="006516F7">
            <w:r>
              <w:t>q1w</w:t>
            </w:r>
          </w:p>
        </w:tc>
        <w:tc>
          <w:tcPr>
            <w:tcW w:w="6352" w:type="dxa"/>
          </w:tcPr>
          <w:p w14:paraId="0FF628E9" w14:textId="77777777" w:rsidR="00F45C32" w:rsidRDefault="00F45C32" w:rsidP="006516F7">
            <w:r>
              <w:t>Once weekly</w:t>
            </w:r>
          </w:p>
        </w:tc>
      </w:tr>
      <w:tr w:rsidR="00F45C32" w14:paraId="5C04F0E0" w14:textId="77777777" w:rsidTr="00F45C32">
        <w:tc>
          <w:tcPr>
            <w:tcW w:w="2368" w:type="dxa"/>
          </w:tcPr>
          <w:p w14:paraId="29711B7F" w14:textId="77777777" w:rsidR="00F45C32" w:rsidRDefault="00F45C32" w:rsidP="006516F7">
            <w:pPr>
              <w:rPr>
                <w:rFonts w:cstheme="minorHAnsi"/>
                <w:szCs w:val="22"/>
                <w:lang w:eastAsia="en-US"/>
              </w:rPr>
            </w:pPr>
            <w:r>
              <w:rPr>
                <w:rFonts w:cstheme="minorHAnsi"/>
              </w:rPr>
              <w:t>Q3</w:t>
            </w:r>
          </w:p>
        </w:tc>
        <w:tc>
          <w:tcPr>
            <w:tcW w:w="6352" w:type="dxa"/>
          </w:tcPr>
          <w:p w14:paraId="7338904E" w14:textId="6F6B32A1" w:rsidR="00F45C32" w:rsidRDefault="00446F48" w:rsidP="006516F7">
            <w:pPr>
              <w:rPr>
                <w:rFonts w:cstheme="minorHAnsi"/>
                <w:szCs w:val="22"/>
                <w:lang w:eastAsia="en-US"/>
              </w:rPr>
            </w:pPr>
            <w:r>
              <w:rPr>
                <w:rFonts w:eastAsia="TimesNewRomanPSMT" w:cstheme="minorHAnsi"/>
                <w:color w:val="000000"/>
              </w:rPr>
              <w:t>I</w:t>
            </w:r>
            <w:r w:rsidR="00F45C32">
              <w:rPr>
                <w:rFonts w:eastAsia="TimesNewRomanPSMT" w:cstheme="minorHAnsi"/>
                <w:color w:val="000000"/>
              </w:rPr>
              <w:t>nter-compartmental clearance to the third compartment</w:t>
            </w:r>
          </w:p>
        </w:tc>
      </w:tr>
      <w:tr w:rsidR="00F45C32" w14:paraId="1FAF67B3" w14:textId="77777777" w:rsidTr="00F45C32">
        <w:tc>
          <w:tcPr>
            <w:tcW w:w="2368" w:type="dxa"/>
          </w:tcPr>
          <w:p w14:paraId="4499BAFC" w14:textId="77777777" w:rsidR="00F45C32" w:rsidRDefault="00F45C32" w:rsidP="006516F7">
            <w:r>
              <w:t>q4w</w:t>
            </w:r>
          </w:p>
        </w:tc>
        <w:tc>
          <w:tcPr>
            <w:tcW w:w="6352" w:type="dxa"/>
          </w:tcPr>
          <w:p w14:paraId="58A727D1" w14:textId="77777777" w:rsidR="00F45C32" w:rsidRDefault="00F45C32" w:rsidP="006516F7">
            <w:r>
              <w:t>Once monthly</w:t>
            </w:r>
          </w:p>
        </w:tc>
      </w:tr>
      <w:tr w:rsidR="00F45C32" w14:paraId="0D4DDB42" w14:textId="77777777" w:rsidTr="00F45C32">
        <w:tc>
          <w:tcPr>
            <w:tcW w:w="2368" w:type="dxa"/>
          </w:tcPr>
          <w:p w14:paraId="272A11A6" w14:textId="77777777" w:rsidR="00F45C32" w:rsidRDefault="00F45C32" w:rsidP="006516F7">
            <w:proofErr w:type="spellStart"/>
            <w:r>
              <w:t>QTc</w:t>
            </w:r>
            <w:proofErr w:type="spellEnd"/>
          </w:p>
        </w:tc>
        <w:tc>
          <w:tcPr>
            <w:tcW w:w="6352" w:type="dxa"/>
          </w:tcPr>
          <w:p w14:paraId="13F3DC0F" w14:textId="77777777" w:rsidR="00F45C32" w:rsidRDefault="00F45C32" w:rsidP="006516F7">
            <w:r>
              <w:t>Corrected QT interval</w:t>
            </w:r>
          </w:p>
        </w:tc>
      </w:tr>
      <w:tr w:rsidR="00F45C32" w14:paraId="5BB695D2" w14:textId="77777777" w:rsidTr="00F45C32">
        <w:tc>
          <w:tcPr>
            <w:tcW w:w="2368" w:type="dxa"/>
          </w:tcPr>
          <w:p w14:paraId="18EF701C" w14:textId="77777777" w:rsidR="00F45C32" w:rsidRDefault="00F45C32" w:rsidP="006516F7">
            <w:r>
              <w:t>RR</w:t>
            </w:r>
          </w:p>
        </w:tc>
        <w:tc>
          <w:tcPr>
            <w:tcW w:w="6352" w:type="dxa"/>
          </w:tcPr>
          <w:p w14:paraId="34AC9400" w14:textId="77777777" w:rsidR="00F45C32" w:rsidRDefault="00F45C32" w:rsidP="006516F7">
            <w:r>
              <w:t>Response rate</w:t>
            </w:r>
          </w:p>
        </w:tc>
      </w:tr>
      <w:tr w:rsidR="00F45C32" w14:paraId="175DC31B" w14:textId="77777777" w:rsidTr="00F45C32">
        <w:tc>
          <w:tcPr>
            <w:tcW w:w="2368" w:type="dxa"/>
          </w:tcPr>
          <w:p w14:paraId="069E809E" w14:textId="77777777" w:rsidR="00F45C32" w:rsidRDefault="00F45C32" w:rsidP="006516F7">
            <w:r>
              <w:t>SAE</w:t>
            </w:r>
          </w:p>
        </w:tc>
        <w:tc>
          <w:tcPr>
            <w:tcW w:w="6352" w:type="dxa"/>
          </w:tcPr>
          <w:p w14:paraId="09B8F363" w14:textId="77777777" w:rsidR="00F45C32" w:rsidRDefault="00F45C32" w:rsidP="006516F7">
            <w:r>
              <w:t>Serious adverse event</w:t>
            </w:r>
          </w:p>
        </w:tc>
      </w:tr>
      <w:tr w:rsidR="00F45C32" w14:paraId="63EDD1B7" w14:textId="77777777" w:rsidTr="00F45C32">
        <w:tc>
          <w:tcPr>
            <w:tcW w:w="2368" w:type="dxa"/>
          </w:tcPr>
          <w:p w14:paraId="0312A7BF" w14:textId="77777777" w:rsidR="00F45C32" w:rsidRDefault="00F45C32" w:rsidP="006516F7">
            <w:r>
              <w:t>SC</w:t>
            </w:r>
          </w:p>
        </w:tc>
        <w:tc>
          <w:tcPr>
            <w:tcW w:w="6352" w:type="dxa"/>
          </w:tcPr>
          <w:p w14:paraId="7DBA020E" w14:textId="77777777" w:rsidR="00F45C32" w:rsidRDefault="00F45C32" w:rsidP="006516F7">
            <w:r>
              <w:t>Subcutaneous</w:t>
            </w:r>
          </w:p>
        </w:tc>
      </w:tr>
      <w:tr w:rsidR="00F45C32" w14:paraId="57C5F04D" w14:textId="77777777" w:rsidTr="00F45C32">
        <w:tc>
          <w:tcPr>
            <w:tcW w:w="2368" w:type="dxa"/>
          </w:tcPr>
          <w:p w14:paraId="505F67E4" w14:textId="77777777" w:rsidR="00F45C32" w:rsidRDefault="00F45C32" w:rsidP="006516F7">
            <w:r>
              <w:t>SL</w:t>
            </w:r>
          </w:p>
        </w:tc>
        <w:tc>
          <w:tcPr>
            <w:tcW w:w="6352" w:type="dxa"/>
          </w:tcPr>
          <w:p w14:paraId="772168FF" w14:textId="77777777" w:rsidR="00F45C32" w:rsidRDefault="00F45C32" w:rsidP="006516F7">
            <w:r>
              <w:t>Sublingual</w:t>
            </w:r>
          </w:p>
        </w:tc>
      </w:tr>
      <w:tr w:rsidR="00F45C32" w14:paraId="49C9D05A" w14:textId="77777777" w:rsidTr="00F45C32">
        <w:tc>
          <w:tcPr>
            <w:tcW w:w="2368" w:type="dxa"/>
          </w:tcPr>
          <w:p w14:paraId="5FA0A8F1" w14:textId="77777777" w:rsidR="00F45C32" w:rsidRDefault="00F45C32" w:rsidP="006516F7">
            <w:r>
              <w:t>SOC</w:t>
            </w:r>
          </w:p>
        </w:tc>
        <w:tc>
          <w:tcPr>
            <w:tcW w:w="6352" w:type="dxa"/>
          </w:tcPr>
          <w:p w14:paraId="317DFFC4" w14:textId="77777777" w:rsidR="00F45C32" w:rsidRDefault="00F45C32" w:rsidP="006516F7">
            <w:r>
              <w:t>System Organ Class</w:t>
            </w:r>
          </w:p>
        </w:tc>
      </w:tr>
      <w:tr w:rsidR="00F45C32" w14:paraId="5997402F" w14:textId="77777777" w:rsidTr="00F45C32">
        <w:tc>
          <w:tcPr>
            <w:tcW w:w="2368" w:type="dxa"/>
          </w:tcPr>
          <w:p w14:paraId="5E4AF7D7" w14:textId="77777777" w:rsidR="00F45C32" w:rsidRDefault="00F45C32" w:rsidP="006516F7">
            <w:r>
              <w:lastRenderedPageBreak/>
              <w:t>SOWS</w:t>
            </w:r>
          </w:p>
        </w:tc>
        <w:tc>
          <w:tcPr>
            <w:tcW w:w="6352" w:type="dxa"/>
          </w:tcPr>
          <w:p w14:paraId="7D12E990" w14:textId="77777777" w:rsidR="00F45C32" w:rsidRDefault="00F45C32" w:rsidP="006516F7">
            <w:r>
              <w:t>Subjective Opiate Withdrawal Scale</w:t>
            </w:r>
          </w:p>
        </w:tc>
      </w:tr>
      <w:tr w:rsidR="00F45C32" w14:paraId="78645D39" w14:textId="77777777" w:rsidTr="00F45C32">
        <w:tc>
          <w:tcPr>
            <w:tcW w:w="2368" w:type="dxa"/>
          </w:tcPr>
          <w:p w14:paraId="1A86231E" w14:textId="77777777" w:rsidR="00F45C32" w:rsidRDefault="00F45C32" w:rsidP="006516F7">
            <w:r>
              <w:t>SP</w:t>
            </w:r>
          </w:p>
        </w:tc>
        <w:tc>
          <w:tcPr>
            <w:tcW w:w="6352" w:type="dxa"/>
          </w:tcPr>
          <w:p w14:paraId="26FDF9C9" w14:textId="77777777" w:rsidR="00F45C32" w:rsidRDefault="00F45C32" w:rsidP="006516F7">
            <w:r>
              <w:t>Safety population</w:t>
            </w:r>
          </w:p>
        </w:tc>
      </w:tr>
      <w:tr w:rsidR="00F45C32" w14:paraId="261DB3E3" w14:textId="77777777" w:rsidTr="00F45C32">
        <w:tc>
          <w:tcPr>
            <w:tcW w:w="2368" w:type="dxa"/>
          </w:tcPr>
          <w:p w14:paraId="3D593F4E" w14:textId="77777777" w:rsidR="00F45C32" w:rsidRDefault="00F45C32" w:rsidP="006516F7">
            <w:pPr>
              <w:rPr>
                <w:rFonts w:cstheme="minorHAnsi"/>
                <w:szCs w:val="22"/>
                <w:lang w:eastAsia="en-US"/>
              </w:rPr>
            </w:pPr>
            <w:r>
              <w:rPr>
                <w:rFonts w:cstheme="minorHAnsi"/>
              </w:rPr>
              <w:t>SPC</w:t>
            </w:r>
          </w:p>
        </w:tc>
        <w:tc>
          <w:tcPr>
            <w:tcW w:w="6352" w:type="dxa"/>
          </w:tcPr>
          <w:p w14:paraId="23DE66E2" w14:textId="77777777" w:rsidR="00F45C32" w:rsidRDefault="00F45C32" w:rsidP="006516F7">
            <w:pPr>
              <w:autoSpaceDE w:val="0"/>
              <w:autoSpaceDN w:val="0"/>
              <w:adjustRightInd w:val="0"/>
              <w:rPr>
                <w:rFonts w:cstheme="minorHAnsi"/>
                <w:szCs w:val="22"/>
                <w:lang w:eastAsia="en-US"/>
              </w:rPr>
            </w:pPr>
            <w:r>
              <w:t>Summary of product characteristics</w:t>
            </w:r>
          </w:p>
        </w:tc>
      </w:tr>
      <w:tr w:rsidR="00F45C32" w14:paraId="2E31E071" w14:textId="77777777" w:rsidTr="00F45C32">
        <w:tc>
          <w:tcPr>
            <w:tcW w:w="2368" w:type="dxa"/>
          </w:tcPr>
          <w:p w14:paraId="5C8ABF64" w14:textId="0B4E04CC" w:rsidR="00F45C32" w:rsidRDefault="00C80D9E" w:rsidP="006516F7">
            <w:pPr>
              <w:rPr>
                <w:rFonts w:cstheme="minorHAnsi"/>
                <w:szCs w:val="22"/>
                <w:lang w:eastAsia="en-US"/>
              </w:rPr>
            </w:pPr>
            <w:r>
              <w:rPr>
                <w:rFonts w:cstheme="minorHAnsi"/>
              </w:rPr>
              <w:t>T</w:t>
            </w:r>
            <w:r w:rsidR="00F45C32" w:rsidRPr="00D94E33">
              <w:rPr>
                <w:rFonts w:cstheme="minorHAnsi"/>
                <w:vertAlign w:val="subscript"/>
              </w:rPr>
              <w:t>1/2</w:t>
            </w:r>
          </w:p>
        </w:tc>
        <w:tc>
          <w:tcPr>
            <w:tcW w:w="6352" w:type="dxa"/>
          </w:tcPr>
          <w:p w14:paraId="51DD3472" w14:textId="48BBE5FA" w:rsidR="00F45C32" w:rsidRDefault="00446F48" w:rsidP="006516F7">
            <w:pPr>
              <w:autoSpaceDE w:val="0"/>
              <w:autoSpaceDN w:val="0"/>
              <w:adjustRightInd w:val="0"/>
              <w:rPr>
                <w:rFonts w:cstheme="minorHAnsi"/>
                <w:szCs w:val="22"/>
                <w:lang w:eastAsia="en-US"/>
              </w:rPr>
            </w:pPr>
            <w:r>
              <w:t>H</w:t>
            </w:r>
            <w:r w:rsidR="00F45C32">
              <w:t>alf-life</w:t>
            </w:r>
          </w:p>
        </w:tc>
      </w:tr>
      <w:tr w:rsidR="00F45C32" w14:paraId="7688A715" w14:textId="77777777" w:rsidTr="00F45C32">
        <w:tc>
          <w:tcPr>
            <w:tcW w:w="2368" w:type="dxa"/>
          </w:tcPr>
          <w:p w14:paraId="287E7335" w14:textId="77777777" w:rsidR="00F45C32" w:rsidRDefault="00F45C32" w:rsidP="006516F7">
            <w:pPr>
              <w:rPr>
                <w:rFonts w:cstheme="minorHAnsi"/>
                <w:szCs w:val="22"/>
                <w:lang w:eastAsia="en-US"/>
              </w:rPr>
            </w:pPr>
            <w:proofErr w:type="spellStart"/>
            <w:r>
              <w:rPr>
                <w:rFonts w:cstheme="minorHAnsi"/>
              </w:rPr>
              <w:t>T</w:t>
            </w:r>
            <w:r w:rsidRPr="00D94E33">
              <w:rPr>
                <w:rFonts w:cstheme="minorHAnsi"/>
                <w:vertAlign w:val="subscript"/>
              </w:rPr>
              <w:t>max</w:t>
            </w:r>
            <w:proofErr w:type="spellEnd"/>
          </w:p>
        </w:tc>
        <w:tc>
          <w:tcPr>
            <w:tcW w:w="6352" w:type="dxa"/>
          </w:tcPr>
          <w:p w14:paraId="161674B9" w14:textId="77777777" w:rsidR="00F45C32" w:rsidRDefault="00F45C32" w:rsidP="006516F7">
            <w:pPr>
              <w:autoSpaceDE w:val="0"/>
              <w:autoSpaceDN w:val="0"/>
              <w:adjustRightInd w:val="0"/>
              <w:rPr>
                <w:rFonts w:cstheme="minorHAnsi"/>
                <w:szCs w:val="22"/>
                <w:lang w:eastAsia="en-US"/>
              </w:rPr>
            </w:pPr>
            <w:r>
              <w:rPr>
                <w:rFonts w:cstheme="minorHAnsi"/>
              </w:rPr>
              <w:t>Time of maximum plasma concentration</w:t>
            </w:r>
          </w:p>
        </w:tc>
      </w:tr>
      <w:tr w:rsidR="00F45C32" w14:paraId="7E562159" w14:textId="77777777" w:rsidTr="00F45C32">
        <w:tc>
          <w:tcPr>
            <w:tcW w:w="2368" w:type="dxa"/>
          </w:tcPr>
          <w:p w14:paraId="10A01F0C" w14:textId="77777777" w:rsidR="00F45C32" w:rsidRDefault="00F45C32" w:rsidP="006516F7">
            <w:r>
              <w:t>ULN</w:t>
            </w:r>
          </w:p>
        </w:tc>
        <w:tc>
          <w:tcPr>
            <w:tcW w:w="6352" w:type="dxa"/>
          </w:tcPr>
          <w:p w14:paraId="69D3D318" w14:textId="77777777" w:rsidR="00F45C32" w:rsidRDefault="00F45C32" w:rsidP="006516F7">
            <w:r>
              <w:t>Upper limit of normal</w:t>
            </w:r>
          </w:p>
        </w:tc>
      </w:tr>
      <w:tr w:rsidR="00F45C32" w14:paraId="2DB6C839" w14:textId="77777777" w:rsidTr="00F45C32">
        <w:tc>
          <w:tcPr>
            <w:tcW w:w="2368" w:type="dxa"/>
          </w:tcPr>
          <w:p w14:paraId="494A472C" w14:textId="77777777" w:rsidR="00F45C32" w:rsidRDefault="00F45C32" w:rsidP="006516F7">
            <w:pPr>
              <w:autoSpaceDE w:val="0"/>
              <w:autoSpaceDN w:val="0"/>
              <w:adjustRightInd w:val="0"/>
              <w:rPr>
                <w:rFonts w:cstheme="minorHAnsi"/>
              </w:rPr>
            </w:pPr>
            <w:r>
              <w:t>USPI</w:t>
            </w:r>
          </w:p>
        </w:tc>
        <w:tc>
          <w:tcPr>
            <w:tcW w:w="6352" w:type="dxa"/>
          </w:tcPr>
          <w:p w14:paraId="419935EE" w14:textId="77777777" w:rsidR="00F45C32" w:rsidRDefault="00F45C32" w:rsidP="006516F7">
            <w:pPr>
              <w:rPr>
                <w:rFonts w:cstheme="minorHAnsi"/>
              </w:rPr>
            </w:pPr>
            <w:r>
              <w:t>United States Prescribing Information</w:t>
            </w:r>
          </w:p>
        </w:tc>
      </w:tr>
      <w:tr w:rsidR="00F45C32" w14:paraId="3FFA7603" w14:textId="77777777" w:rsidTr="00F45C32">
        <w:tc>
          <w:tcPr>
            <w:tcW w:w="2368" w:type="dxa"/>
          </w:tcPr>
          <w:p w14:paraId="582C079A" w14:textId="77777777" w:rsidR="00F45C32" w:rsidRDefault="00F45C32" w:rsidP="006516F7">
            <w:pPr>
              <w:rPr>
                <w:rFonts w:cstheme="minorHAnsi"/>
                <w:szCs w:val="22"/>
                <w:lang w:eastAsia="en-US"/>
              </w:rPr>
            </w:pPr>
            <w:r>
              <w:rPr>
                <w:rFonts w:cstheme="minorHAnsi"/>
              </w:rPr>
              <w:t>V</w:t>
            </w:r>
          </w:p>
        </w:tc>
        <w:tc>
          <w:tcPr>
            <w:tcW w:w="6352" w:type="dxa"/>
          </w:tcPr>
          <w:p w14:paraId="2C2C7111" w14:textId="77777777" w:rsidR="00F45C32" w:rsidRDefault="00F45C32" w:rsidP="006516F7">
            <w:pPr>
              <w:rPr>
                <w:rFonts w:cstheme="minorHAnsi"/>
                <w:szCs w:val="22"/>
                <w:lang w:eastAsia="en-US"/>
              </w:rPr>
            </w:pPr>
            <w:r>
              <w:rPr>
                <w:rFonts w:cstheme="minorHAnsi"/>
              </w:rPr>
              <w:t>Apparent volume of distribution</w:t>
            </w:r>
          </w:p>
        </w:tc>
      </w:tr>
      <w:tr w:rsidR="00F45C32" w14:paraId="402522CA" w14:textId="77777777" w:rsidTr="00F45C32">
        <w:tc>
          <w:tcPr>
            <w:tcW w:w="2368" w:type="dxa"/>
          </w:tcPr>
          <w:p w14:paraId="068E2CF5" w14:textId="77777777" w:rsidR="00F45C32" w:rsidRDefault="00F45C32" w:rsidP="006516F7">
            <w:pPr>
              <w:rPr>
                <w:rFonts w:cstheme="minorHAnsi"/>
                <w:szCs w:val="22"/>
                <w:lang w:eastAsia="en-US"/>
              </w:rPr>
            </w:pPr>
            <w:r>
              <w:rPr>
                <w:rFonts w:cstheme="minorHAnsi"/>
              </w:rPr>
              <w:t>V3</w:t>
            </w:r>
          </w:p>
        </w:tc>
        <w:tc>
          <w:tcPr>
            <w:tcW w:w="6352" w:type="dxa"/>
          </w:tcPr>
          <w:p w14:paraId="175F5AA5" w14:textId="77777777" w:rsidR="00F45C32" w:rsidRDefault="00F45C32" w:rsidP="006516F7">
            <w:pPr>
              <w:rPr>
                <w:rFonts w:cstheme="minorHAnsi"/>
                <w:szCs w:val="22"/>
                <w:lang w:eastAsia="en-US"/>
              </w:rPr>
            </w:pPr>
            <w:r>
              <w:rPr>
                <w:rFonts w:cstheme="minorHAnsi"/>
              </w:rPr>
              <w:t>Volume of the third compartment</w:t>
            </w:r>
          </w:p>
        </w:tc>
      </w:tr>
      <w:tr w:rsidR="00F45C32" w14:paraId="58CF710D" w14:textId="77777777" w:rsidTr="00F45C32">
        <w:tc>
          <w:tcPr>
            <w:tcW w:w="2368" w:type="dxa"/>
          </w:tcPr>
          <w:p w14:paraId="43729D66" w14:textId="77777777" w:rsidR="00F45C32" w:rsidRDefault="00F45C32" w:rsidP="006516F7">
            <w:pPr>
              <w:rPr>
                <w:rFonts w:cstheme="minorHAnsi"/>
                <w:szCs w:val="22"/>
                <w:lang w:eastAsia="en-US"/>
              </w:rPr>
            </w:pPr>
            <w:proofErr w:type="spellStart"/>
            <w:r>
              <w:rPr>
                <w:rFonts w:cstheme="minorHAnsi"/>
              </w:rPr>
              <w:t>V</w:t>
            </w:r>
            <w:r w:rsidRPr="00151A28">
              <w:rPr>
                <w:rFonts w:cstheme="minorHAnsi"/>
                <w:vertAlign w:val="subscript"/>
              </w:rPr>
              <w:t>c</w:t>
            </w:r>
            <w:proofErr w:type="spellEnd"/>
          </w:p>
        </w:tc>
        <w:tc>
          <w:tcPr>
            <w:tcW w:w="6352" w:type="dxa"/>
          </w:tcPr>
          <w:p w14:paraId="1F0D35A3" w14:textId="77777777" w:rsidR="00F45C32" w:rsidRDefault="00F45C32" w:rsidP="006516F7">
            <w:pPr>
              <w:rPr>
                <w:rFonts w:cstheme="minorHAnsi"/>
                <w:szCs w:val="22"/>
                <w:lang w:eastAsia="en-US"/>
              </w:rPr>
            </w:pPr>
            <w:r>
              <w:rPr>
                <w:rFonts w:cstheme="minorHAnsi"/>
              </w:rPr>
              <w:t>Central volume of distribution</w:t>
            </w:r>
          </w:p>
        </w:tc>
      </w:tr>
      <w:tr w:rsidR="00F45C32" w14:paraId="0B8BA5A1" w14:textId="77777777" w:rsidTr="00F45C32">
        <w:tc>
          <w:tcPr>
            <w:tcW w:w="2368" w:type="dxa"/>
          </w:tcPr>
          <w:p w14:paraId="2930DA76" w14:textId="77777777" w:rsidR="00F45C32" w:rsidRDefault="00F45C32" w:rsidP="006516F7">
            <w:pPr>
              <w:rPr>
                <w:rFonts w:cstheme="minorHAnsi"/>
              </w:rPr>
            </w:pPr>
            <w:proofErr w:type="spellStart"/>
            <w:r>
              <w:t>V</w:t>
            </w:r>
            <w:r w:rsidRPr="002C122B">
              <w:rPr>
                <w:vertAlign w:val="subscript"/>
              </w:rPr>
              <w:t>d</w:t>
            </w:r>
            <w:proofErr w:type="spellEnd"/>
          </w:p>
        </w:tc>
        <w:tc>
          <w:tcPr>
            <w:tcW w:w="6352" w:type="dxa"/>
          </w:tcPr>
          <w:p w14:paraId="5239B96F" w14:textId="77777777" w:rsidR="00F45C32" w:rsidRDefault="00F45C32" w:rsidP="006516F7">
            <w:pPr>
              <w:rPr>
                <w:rFonts w:cstheme="minorHAnsi"/>
              </w:rPr>
            </w:pPr>
            <w:r>
              <w:t>Volume of distribution</w:t>
            </w:r>
          </w:p>
        </w:tc>
      </w:tr>
    </w:tbl>
    <w:p w14:paraId="5EE91F14" w14:textId="77777777" w:rsidR="00FD119B" w:rsidRDefault="00FD119B" w:rsidP="00FD119B"/>
    <w:p w14:paraId="305A1CD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C11C831" w14:textId="77777777" w:rsidR="008E7846" w:rsidRDefault="00F53C07" w:rsidP="008E7846">
      <w:pPr>
        <w:pStyle w:val="Heading2"/>
      </w:pPr>
      <w:bookmarkStart w:id="9" w:name="_Toc24539909"/>
      <w:r>
        <w:lastRenderedPageBreak/>
        <w:t>I.</w:t>
      </w:r>
      <w:r w:rsidR="008E7846">
        <w:t xml:space="preserve"> Introduction to product submission</w:t>
      </w:r>
      <w:bookmarkEnd w:id="0"/>
      <w:bookmarkEnd w:id="3"/>
      <w:bookmarkEnd w:id="9"/>
    </w:p>
    <w:p w14:paraId="2139AFFB" w14:textId="77777777" w:rsidR="008E7846" w:rsidRDefault="008E7846" w:rsidP="008E7846">
      <w:pPr>
        <w:pStyle w:val="Heading3"/>
        <w:rPr>
          <w:lang w:eastAsia="en-AU"/>
        </w:rPr>
      </w:pPr>
      <w:bookmarkStart w:id="10" w:name="_Toc247691502"/>
      <w:bookmarkStart w:id="11" w:name="_Toc314842483"/>
      <w:bookmarkStart w:id="12" w:name="_Toc2453991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6C46B11" w14:textId="77777777" w:rsidTr="003735BC">
        <w:tc>
          <w:tcPr>
            <w:tcW w:w="2907" w:type="dxa"/>
          </w:tcPr>
          <w:p w14:paraId="3D21022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65C876F" w14:textId="77777777" w:rsidR="008E7846" w:rsidRPr="003D1E62" w:rsidRDefault="000051A7" w:rsidP="001B5C90">
            <w:r>
              <w:t>M</w:t>
            </w:r>
            <w:r w:rsidR="008E7846" w:rsidRPr="003D1E62">
              <w:t xml:space="preserve">ajor </w:t>
            </w:r>
            <w:r w:rsidR="001B5C90">
              <w:t>v</w:t>
            </w:r>
            <w:r w:rsidR="008E7846" w:rsidRPr="003D1E62">
              <w:t>ariation (</w:t>
            </w:r>
            <w:r w:rsidR="001B5C90">
              <w:t>n</w:t>
            </w:r>
            <w:r w:rsidR="008E7846" w:rsidRPr="003D1E62">
              <w:t xml:space="preserve">ew </w:t>
            </w:r>
            <w:r>
              <w:t xml:space="preserve">dose form and new dose </w:t>
            </w:r>
            <w:r w:rsidR="001B5C90">
              <w:t>s</w:t>
            </w:r>
            <w:r w:rsidR="008E7846" w:rsidRPr="003D1E62">
              <w:t>trength</w:t>
            </w:r>
            <w:r>
              <w:t>s</w:t>
            </w:r>
            <w:r w:rsidR="008E7846" w:rsidRPr="003D1E62">
              <w:t>)</w:t>
            </w:r>
          </w:p>
        </w:tc>
      </w:tr>
      <w:tr w:rsidR="008E7846" w:rsidRPr="003D1E62" w14:paraId="5C713362" w14:textId="77777777" w:rsidTr="003735BC">
        <w:tc>
          <w:tcPr>
            <w:tcW w:w="2907" w:type="dxa"/>
          </w:tcPr>
          <w:p w14:paraId="084C386E" w14:textId="77777777" w:rsidR="008E7846" w:rsidRPr="003D1E62" w:rsidRDefault="008E7846" w:rsidP="003D1E62">
            <w:r w:rsidRPr="003D1E62">
              <w:rPr>
                <w:i/>
              </w:rPr>
              <w:t>Decision</w:t>
            </w:r>
            <w:r w:rsidRPr="003D1E62">
              <w:t>:</w:t>
            </w:r>
          </w:p>
        </w:tc>
        <w:tc>
          <w:tcPr>
            <w:tcW w:w="6307" w:type="dxa"/>
          </w:tcPr>
          <w:p w14:paraId="6F1D91D9" w14:textId="77777777" w:rsidR="008E7846" w:rsidRPr="003D1E62" w:rsidRDefault="000051A7" w:rsidP="000051A7">
            <w:r>
              <w:t>Approved</w:t>
            </w:r>
          </w:p>
        </w:tc>
      </w:tr>
      <w:tr w:rsidR="008E7846" w:rsidRPr="003D1E62" w14:paraId="66894B50" w14:textId="77777777" w:rsidTr="003735BC">
        <w:tc>
          <w:tcPr>
            <w:tcW w:w="2907" w:type="dxa"/>
          </w:tcPr>
          <w:p w14:paraId="7DCD12A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F52CCD8" w14:textId="77777777" w:rsidR="008E7846" w:rsidRPr="003D1E62" w:rsidRDefault="004B6019" w:rsidP="001B5C90">
            <w:r>
              <w:t>22 November 2018</w:t>
            </w:r>
          </w:p>
        </w:tc>
      </w:tr>
      <w:tr w:rsidR="00ED2922" w:rsidRPr="003D1E62" w14:paraId="461100D0" w14:textId="77777777" w:rsidTr="003735BC">
        <w:tc>
          <w:tcPr>
            <w:tcW w:w="2907" w:type="dxa"/>
          </w:tcPr>
          <w:p w14:paraId="3C1B3BE4" w14:textId="77777777" w:rsidR="00ED2922" w:rsidRPr="00441C3F" w:rsidRDefault="00ED2922" w:rsidP="001B5C90">
            <w:pPr>
              <w:rPr>
                <w:i/>
              </w:rPr>
            </w:pPr>
            <w:r w:rsidRPr="00441C3F">
              <w:rPr>
                <w:i/>
              </w:rPr>
              <w:t>Date of entry onto ARTG</w:t>
            </w:r>
            <w:r w:rsidR="00500337">
              <w:rPr>
                <w:i/>
              </w:rPr>
              <w:t>:</w:t>
            </w:r>
          </w:p>
        </w:tc>
        <w:tc>
          <w:tcPr>
            <w:tcW w:w="6307" w:type="dxa"/>
          </w:tcPr>
          <w:p w14:paraId="7BD56F05" w14:textId="77777777" w:rsidR="00ED2922" w:rsidRPr="00441C3F" w:rsidRDefault="004B6019" w:rsidP="00D153D8">
            <w:pPr>
              <w:rPr>
                <w:i/>
              </w:rPr>
            </w:pPr>
            <w:r>
              <w:t>28 November 2018</w:t>
            </w:r>
          </w:p>
        </w:tc>
      </w:tr>
      <w:tr w:rsidR="00500337" w:rsidRPr="003D1E62" w14:paraId="530D616D" w14:textId="77777777" w:rsidTr="003735BC">
        <w:tc>
          <w:tcPr>
            <w:tcW w:w="2907" w:type="dxa"/>
          </w:tcPr>
          <w:p w14:paraId="1558F7EB" w14:textId="34378B56" w:rsidR="00500337" w:rsidRPr="00441C3F" w:rsidRDefault="00E95B3A" w:rsidP="001B5C90">
            <w:pPr>
              <w:rPr>
                <w:i/>
              </w:rPr>
            </w:pPr>
            <w:r>
              <w:rPr>
                <w:i/>
              </w:rPr>
              <w:t>ARTG numbers</w:t>
            </w:r>
            <w:r w:rsidR="00500337">
              <w:rPr>
                <w:i/>
              </w:rPr>
              <w:t>:</w:t>
            </w:r>
          </w:p>
        </w:tc>
        <w:tc>
          <w:tcPr>
            <w:tcW w:w="6307" w:type="dxa"/>
          </w:tcPr>
          <w:p w14:paraId="112BA95F" w14:textId="26840A39" w:rsidR="00500337" w:rsidRPr="00441C3F" w:rsidRDefault="004B6019" w:rsidP="00EC463D">
            <w:r>
              <w:t>294997, 295051, 295048,</w:t>
            </w:r>
            <w:r w:rsidR="007534C6">
              <w:t xml:space="preserve"> 295010, 295042, 295045, 295013</w:t>
            </w:r>
          </w:p>
        </w:tc>
      </w:tr>
      <w:tr w:rsidR="003735BC" w:rsidRPr="003D1E62" w14:paraId="6DD42380" w14:textId="77777777" w:rsidTr="003735BC">
        <w:tc>
          <w:tcPr>
            <w:tcW w:w="2907" w:type="dxa"/>
          </w:tcPr>
          <w:p w14:paraId="435F6A1D"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6BD88E33" w14:textId="70F1CFC3" w:rsidR="003735BC" w:rsidRPr="00487162" w:rsidRDefault="004B6019" w:rsidP="00593965">
            <w:r>
              <w:t>No</w:t>
            </w:r>
          </w:p>
        </w:tc>
      </w:tr>
      <w:tr w:rsidR="008E7846" w:rsidRPr="00487162" w14:paraId="55EA4BF1" w14:textId="77777777" w:rsidTr="00BF1190">
        <w:tc>
          <w:tcPr>
            <w:tcW w:w="2907" w:type="dxa"/>
          </w:tcPr>
          <w:p w14:paraId="30165E8A" w14:textId="77777777" w:rsidR="008E7846" w:rsidRPr="00487162" w:rsidRDefault="004B6019" w:rsidP="00E45619">
            <w:pPr>
              <w:rPr>
                <w:i/>
              </w:rPr>
            </w:pPr>
            <w:r>
              <w:rPr>
                <w:i/>
              </w:rPr>
              <w:t>Active ingredient</w:t>
            </w:r>
            <w:r w:rsidR="001B5C90">
              <w:rPr>
                <w:i/>
              </w:rPr>
              <w:t>:</w:t>
            </w:r>
          </w:p>
        </w:tc>
        <w:tc>
          <w:tcPr>
            <w:tcW w:w="6307" w:type="dxa"/>
          </w:tcPr>
          <w:p w14:paraId="6535A43B" w14:textId="77777777" w:rsidR="008E7846" w:rsidRPr="00487162" w:rsidRDefault="004B6019" w:rsidP="00E55CB0">
            <w:r>
              <w:t>B</w:t>
            </w:r>
            <w:r w:rsidRPr="004B6019">
              <w:t>uprenorphine</w:t>
            </w:r>
          </w:p>
        </w:tc>
      </w:tr>
      <w:tr w:rsidR="008E7846" w:rsidRPr="00487162" w14:paraId="10192804" w14:textId="77777777" w:rsidTr="00BF1190">
        <w:tc>
          <w:tcPr>
            <w:tcW w:w="2907" w:type="dxa"/>
          </w:tcPr>
          <w:p w14:paraId="18703498" w14:textId="77777777" w:rsidR="008E7846" w:rsidRPr="00487162" w:rsidRDefault="008E7846" w:rsidP="001B5C90">
            <w:pPr>
              <w:rPr>
                <w:i/>
              </w:rPr>
            </w:pPr>
            <w:r w:rsidRPr="00487162">
              <w:rPr>
                <w:i/>
              </w:rPr>
              <w:t>Product</w:t>
            </w:r>
            <w:r w:rsidR="004B6019">
              <w:rPr>
                <w:i/>
              </w:rPr>
              <w:t xml:space="preserve"> names</w:t>
            </w:r>
            <w:r w:rsidR="001B5C90">
              <w:rPr>
                <w:i/>
              </w:rPr>
              <w:t>:</w:t>
            </w:r>
          </w:p>
        </w:tc>
        <w:tc>
          <w:tcPr>
            <w:tcW w:w="6307" w:type="dxa"/>
          </w:tcPr>
          <w:p w14:paraId="239E6F1B" w14:textId="77777777" w:rsidR="008E7846" w:rsidRPr="00487162" w:rsidRDefault="004B6019" w:rsidP="00E45619">
            <w:proofErr w:type="spellStart"/>
            <w:r>
              <w:t>Buvidal</w:t>
            </w:r>
            <w:proofErr w:type="spellEnd"/>
            <w:r>
              <w:t xml:space="preserve"> Weekly and </w:t>
            </w:r>
            <w:proofErr w:type="spellStart"/>
            <w:r>
              <w:t>Buvidal</w:t>
            </w:r>
            <w:proofErr w:type="spellEnd"/>
            <w:r>
              <w:t xml:space="preserve"> Monthly</w:t>
            </w:r>
          </w:p>
        </w:tc>
      </w:tr>
      <w:tr w:rsidR="008E7846" w:rsidRPr="00487162" w14:paraId="287B0946" w14:textId="77777777" w:rsidTr="00BF1190">
        <w:tc>
          <w:tcPr>
            <w:tcW w:w="2907" w:type="dxa"/>
          </w:tcPr>
          <w:p w14:paraId="3020E6B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93EC17B" w14:textId="36A0EC5D" w:rsidR="008E7846" w:rsidRPr="004D4774" w:rsidRDefault="00BF0ED3" w:rsidP="00E45619">
            <w:pPr>
              <w:rPr>
                <w:lang w:val="en-US"/>
              </w:rPr>
            </w:pPr>
            <w:proofErr w:type="spellStart"/>
            <w:r w:rsidRPr="004D4774">
              <w:rPr>
                <w:lang w:val="en-US"/>
              </w:rPr>
              <w:t>Camurus</w:t>
            </w:r>
            <w:proofErr w:type="spellEnd"/>
            <w:r w:rsidRPr="004D4774">
              <w:rPr>
                <w:lang w:val="en-US"/>
              </w:rPr>
              <w:t xml:space="preserve"> </w:t>
            </w:r>
            <w:r w:rsidR="004B6019" w:rsidRPr="004D4774">
              <w:rPr>
                <w:lang w:val="en-US"/>
              </w:rPr>
              <w:t>Pty Ltd</w:t>
            </w:r>
          </w:p>
          <w:p w14:paraId="5BD20137" w14:textId="77777777" w:rsidR="00D05BBC" w:rsidRPr="004D4774" w:rsidRDefault="00D05BBC" w:rsidP="00D05BBC">
            <w:pPr>
              <w:rPr>
                <w:lang w:val="en-US"/>
              </w:rPr>
            </w:pPr>
            <w:r w:rsidRPr="004D4774">
              <w:rPr>
                <w:lang w:val="en-US"/>
              </w:rPr>
              <w:t>CCASA, Level 21</w:t>
            </w:r>
          </w:p>
          <w:p w14:paraId="228578B8" w14:textId="77777777" w:rsidR="00D05BBC" w:rsidRDefault="00D05BBC" w:rsidP="00D05BBC">
            <w:r>
              <w:t>20 Bond Street</w:t>
            </w:r>
          </w:p>
          <w:p w14:paraId="22FB9475" w14:textId="04D15CE4" w:rsidR="00BF0ED3" w:rsidRPr="00487162" w:rsidRDefault="00D05BBC" w:rsidP="00E45619">
            <w:r>
              <w:t>Sydney NSW 2000</w:t>
            </w:r>
          </w:p>
        </w:tc>
      </w:tr>
      <w:tr w:rsidR="008E7846" w:rsidRPr="00487162" w14:paraId="11682CA6" w14:textId="77777777" w:rsidTr="00BF1190">
        <w:tc>
          <w:tcPr>
            <w:tcW w:w="2907" w:type="dxa"/>
          </w:tcPr>
          <w:p w14:paraId="131F81D2" w14:textId="77777777" w:rsidR="008E7846" w:rsidRPr="00487162" w:rsidRDefault="003271CD" w:rsidP="00E45619">
            <w:pPr>
              <w:rPr>
                <w:i/>
              </w:rPr>
            </w:pPr>
            <w:r>
              <w:rPr>
                <w:i/>
              </w:rPr>
              <w:t>Dose form</w:t>
            </w:r>
            <w:r w:rsidR="001B5C90">
              <w:rPr>
                <w:i/>
              </w:rPr>
              <w:t>:</w:t>
            </w:r>
          </w:p>
        </w:tc>
        <w:tc>
          <w:tcPr>
            <w:tcW w:w="6307" w:type="dxa"/>
          </w:tcPr>
          <w:p w14:paraId="3AC42264" w14:textId="77777777" w:rsidR="008E7846" w:rsidRPr="00487162" w:rsidRDefault="003271CD" w:rsidP="00E45619">
            <w:r>
              <w:t>Solution for injection</w:t>
            </w:r>
          </w:p>
        </w:tc>
      </w:tr>
      <w:tr w:rsidR="008E7846" w:rsidRPr="00487162" w14:paraId="2D1D6489" w14:textId="77777777" w:rsidTr="00BF1190">
        <w:tc>
          <w:tcPr>
            <w:tcW w:w="2907" w:type="dxa"/>
          </w:tcPr>
          <w:p w14:paraId="6485995F" w14:textId="77777777" w:rsidR="008E7846" w:rsidRPr="00487162" w:rsidRDefault="003271CD" w:rsidP="00E45619">
            <w:pPr>
              <w:rPr>
                <w:i/>
              </w:rPr>
            </w:pPr>
            <w:r>
              <w:rPr>
                <w:i/>
              </w:rPr>
              <w:t>Strengths</w:t>
            </w:r>
            <w:r w:rsidR="008E7846" w:rsidRPr="00487162">
              <w:rPr>
                <w:i/>
              </w:rPr>
              <w:t xml:space="preserve">: </w:t>
            </w:r>
          </w:p>
        </w:tc>
        <w:tc>
          <w:tcPr>
            <w:tcW w:w="6307" w:type="dxa"/>
          </w:tcPr>
          <w:p w14:paraId="7459ACC6" w14:textId="77777777" w:rsidR="008E7846" w:rsidRDefault="004B6019" w:rsidP="00E45619">
            <w:proofErr w:type="spellStart"/>
            <w:r>
              <w:t>Buvidal</w:t>
            </w:r>
            <w:proofErr w:type="spellEnd"/>
            <w:r>
              <w:t xml:space="preserve"> Weekly: </w:t>
            </w:r>
            <w:r w:rsidR="006F5A89">
              <w:t>8 mg/0.16 mL, 16 mg/0.32 mL, 24 mg/0.48 mL and 32 mg/0.64 mL</w:t>
            </w:r>
          </w:p>
          <w:p w14:paraId="2F460AE9" w14:textId="77777777" w:rsidR="006F5A89" w:rsidRPr="00487162" w:rsidRDefault="006F5A89" w:rsidP="00E45619">
            <w:proofErr w:type="spellStart"/>
            <w:r>
              <w:t>Buvidal</w:t>
            </w:r>
            <w:proofErr w:type="spellEnd"/>
            <w:r>
              <w:t xml:space="preserve"> Monthly: 64 mg/0.18 mL, 96 mg/0.27 mL, 128 mg/0.36 mL</w:t>
            </w:r>
          </w:p>
        </w:tc>
      </w:tr>
      <w:tr w:rsidR="008E7846" w:rsidRPr="00487162" w14:paraId="2244F6C1" w14:textId="77777777" w:rsidTr="00BF1190">
        <w:tc>
          <w:tcPr>
            <w:tcW w:w="2907" w:type="dxa"/>
          </w:tcPr>
          <w:p w14:paraId="5BA6B814" w14:textId="5C15BD23" w:rsidR="008E7846" w:rsidRPr="00487162" w:rsidRDefault="00E95B3A" w:rsidP="00E45619">
            <w:pPr>
              <w:rPr>
                <w:i/>
              </w:rPr>
            </w:pPr>
            <w:r>
              <w:rPr>
                <w:i/>
              </w:rPr>
              <w:t>Container</w:t>
            </w:r>
            <w:r w:rsidR="008E7846" w:rsidRPr="00487162">
              <w:rPr>
                <w:i/>
              </w:rPr>
              <w:t>:</w:t>
            </w:r>
          </w:p>
        </w:tc>
        <w:tc>
          <w:tcPr>
            <w:tcW w:w="6307" w:type="dxa"/>
          </w:tcPr>
          <w:p w14:paraId="25F0CF14" w14:textId="77777777" w:rsidR="008E7846" w:rsidRPr="00487162" w:rsidRDefault="003271CD" w:rsidP="00E45619">
            <w:r>
              <w:t>Prefilled syringe</w:t>
            </w:r>
          </w:p>
        </w:tc>
      </w:tr>
      <w:tr w:rsidR="008E7846" w:rsidRPr="00487162" w14:paraId="05474658" w14:textId="77777777" w:rsidTr="00BF1190">
        <w:tc>
          <w:tcPr>
            <w:tcW w:w="2907" w:type="dxa"/>
          </w:tcPr>
          <w:p w14:paraId="4ABAFE57" w14:textId="45B93203" w:rsidR="008E7846" w:rsidRPr="00487162" w:rsidRDefault="00E95B3A" w:rsidP="00E45619">
            <w:pPr>
              <w:rPr>
                <w:i/>
              </w:rPr>
            </w:pPr>
            <w:r>
              <w:rPr>
                <w:i/>
              </w:rPr>
              <w:t>Pack size</w:t>
            </w:r>
            <w:r w:rsidR="008E7846" w:rsidRPr="00487162">
              <w:rPr>
                <w:i/>
              </w:rPr>
              <w:t>:</w:t>
            </w:r>
          </w:p>
        </w:tc>
        <w:tc>
          <w:tcPr>
            <w:tcW w:w="6307" w:type="dxa"/>
          </w:tcPr>
          <w:p w14:paraId="02BC1A3D" w14:textId="77777777" w:rsidR="008E7846" w:rsidRPr="003271CD" w:rsidRDefault="003271CD" w:rsidP="003271CD">
            <w:r>
              <w:t>1</w:t>
            </w:r>
          </w:p>
        </w:tc>
      </w:tr>
      <w:tr w:rsidR="008E7846" w:rsidRPr="00487162" w14:paraId="790B88AD" w14:textId="77777777" w:rsidTr="00BF1190">
        <w:tc>
          <w:tcPr>
            <w:tcW w:w="2907" w:type="dxa"/>
          </w:tcPr>
          <w:p w14:paraId="1A62499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7AD98A9" w14:textId="77777777" w:rsidR="008E7846" w:rsidRPr="004B6019" w:rsidRDefault="004B6019" w:rsidP="004B6019">
            <w:pPr>
              <w:rPr>
                <w:i/>
              </w:rPr>
            </w:pPr>
            <w:proofErr w:type="spellStart"/>
            <w:r w:rsidRPr="004B6019">
              <w:rPr>
                <w:i/>
              </w:rPr>
              <w:t>Buvidal</w:t>
            </w:r>
            <w:proofErr w:type="spellEnd"/>
            <w:r w:rsidRPr="004B6019">
              <w:rPr>
                <w:i/>
              </w:rPr>
              <w:t xml:space="preserve"> Weekly is indicated for maintenance treatment of opioid dependence within a framework of medical, social and psychological support.</w:t>
            </w:r>
          </w:p>
          <w:p w14:paraId="69C6572F" w14:textId="77777777" w:rsidR="004B6019" w:rsidRPr="00487162" w:rsidRDefault="004B6019" w:rsidP="004B6019">
            <w:pPr>
              <w:rPr>
                <w:rFonts w:eastAsia="MS Mincho"/>
                <w:lang w:eastAsia="ja-JP"/>
              </w:rPr>
            </w:pPr>
            <w:proofErr w:type="spellStart"/>
            <w:r w:rsidRPr="004B6019">
              <w:rPr>
                <w:rFonts w:eastAsia="MS Mincho"/>
                <w:i/>
                <w:lang w:eastAsia="ja-JP"/>
              </w:rPr>
              <w:t>Buvidal</w:t>
            </w:r>
            <w:proofErr w:type="spellEnd"/>
            <w:r w:rsidRPr="004B6019">
              <w:rPr>
                <w:rFonts w:eastAsia="MS Mincho"/>
                <w:i/>
                <w:lang w:eastAsia="ja-JP"/>
              </w:rPr>
              <w:t xml:space="preserve"> Monthly is indicated for maintenance treatment of opioid dependence within a framework of medical, social and psychological support.</w:t>
            </w:r>
          </w:p>
        </w:tc>
      </w:tr>
      <w:tr w:rsidR="008E7846" w:rsidRPr="00487162" w14:paraId="171712C5" w14:textId="77777777" w:rsidTr="00BF1190">
        <w:tc>
          <w:tcPr>
            <w:tcW w:w="2907" w:type="dxa"/>
          </w:tcPr>
          <w:p w14:paraId="4A87568C" w14:textId="77777777" w:rsidR="008E7846" w:rsidRPr="00487162" w:rsidRDefault="00F92FE0" w:rsidP="00E45619">
            <w:pPr>
              <w:rPr>
                <w:i/>
              </w:rPr>
            </w:pPr>
            <w:r>
              <w:rPr>
                <w:i/>
              </w:rPr>
              <w:t>Route</w:t>
            </w:r>
            <w:r w:rsidR="008E7846" w:rsidRPr="00487162">
              <w:rPr>
                <w:i/>
              </w:rPr>
              <w:t xml:space="preserve"> of administration:</w:t>
            </w:r>
          </w:p>
        </w:tc>
        <w:tc>
          <w:tcPr>
            <w:tcW w:w="6307" w:type="dxa"/>
          </w:tcPr>
          <w:p w14:paraId="451022E2" w14:textId="77777777" w:rsidR="008E7846" w:rsidRPr="00487162" w:rsidRDefault="003271CD" w:rsidP="00E45619">
            <w:r>
              <w:t>Subcutaneous</w:t>
            </w:r>
          </w:p>
        </w:tc>
      </w:tr>
      <w:tr w:rsidR="008E7846" w:rsidRPr="00487162" w14:paraId="59EB2C82" w14:textId="77777777" w:rsidTr="00BF1190">
        <w:tc>
          <w:tcPr>
            <w:tcW w:w="2907" w:type="dxa"/>
          </w:tcPr>
          <w:p w14:paraId="6B37BACC" w14:textId="77777777" w:rsidR="008E7846" w:rsidRPr="00487162" w:rsidRDefault="008E7846" w:rsidP="00E45619">
            <w:pPr>
              <w:rPr>
                <w:i/>
              </w:rPr>
            </w:pPr>
            <w:r w:rsidRPr="00487162">
              <w:rPr>
                <w:i/>
              </w:rPr>
              <w:t>Dosage:</w:t>
            </w:r>
          </w:p>
        </w:tc>
        <w:tc>
          <w:tcPr>
            <w:tcW w:w="6307" w:type="dxa"/>
          </w:tcPr>
          <w:p w14:paraId="54061CE5" w14:textId="77777777" w:rsidR="008E7846" w:rsidRDefault="00F92FE0" w:rsidP="00E45619">
            <w:r w:rsidRPr="00F92FE0">
              <w:t xml:space="preserve">Administration of </w:t>
            </w:r>
            <w:proofErr w:type="spellStart"/>
            <w:r w:rsidRPr="00F92FE0">
              <w:t>Buvidal</w:t>
            </w:r>
            <w:proofErr w:type="spellEnd"/>
            <w:r w:rsidRPr="00F92FE0">
              <w:t xml:space="preserve"> Weekly </w:t>
            </w:r>
            <w:r>
              <w:t xml:space="preserve">and </w:t>
            </w:r>
            <w:proofErr w:type="spellStart"/>
            <w:r>
              <w:t>Buvidal</w:t>
            </w:r>
            <w:proofErr w:type="spellEnd"/>
            <w:r>
              <w:t xml:space="preserve"> Monthly </w:t>
            </w:r>
            <w:r w:rsidRPr="00F92FE0">
              <w:t>is restricted to healthcare professionals.</w:t>
            </w:r>
            <w:r>
              <w:t xml:space="preserve"> </w:t>
            </w:r>
            <w:proofErr w:type="spellStart"/>
            <w:r w:rsidRPr="00F92FE0">
              <w:t>Buvidal</w:t>
            </w:r>
            <w:proofErr w:type="spellEnd"/>
            <w:r w:rsidRPr="00F92FE0">
              <w:t xml:space="preserve"> Weekly </w:t>
            </w:r>
            <w:r>
              <w:t xml:space="preserve">and </w:t>
            </w:r>
            <w:proofErr w:type="spellStart"/>
            <w:r>
              <w:t>Buvidal</w:t>
            </w:r>
            <w:proofErr w:type="spellEnd"/>
            <w:r>
              <w:t xml:space="preserve"> Monthly are</w:t>
            </w:r>
            <w:r w:rsidRPr="00F92FE0">
              <w:t xml:space="preserve"> indicated for individualised therapy following stabilisation on sublingual buprenorphine or buprenorphine/naloxone for at least 7 days</w:t>
            </w:r>
            <w:r>
              <w:t>.</w:t>
            </w:r>
          </w:p>
          <w:p w14:paraId="098F4F8B" w14:textId="77777777" w:rsidR="00F92FE0" w:rsidRPr="00487162" w:rsidRDefault="00F92FE0" w:rsidP="00E45619">
            <w:r>
              <w:t>For further information refer to the Product Information.</w:t>
            </w:r>
          </w:p>
        </w:tc>
      </w:tr>
    </w:tbl>
    <w:p w14:paraId="2E176D17" w14:textId="77777777" w:rsidR="008E7846" w:rsidRDefault="008E7846" w:rsidP="008E7846">
      <w:pPr>
        <w:pStyle w:val="Heading3"/>
      </w:pPr>
      <w:bookmarkStart w:id="13" w:name="_Toc247691503"/>
      <w:bookmarkStart w:id="14" w:name="_Toc314842484"/>
      <w:bookmarkStart w:id="15" w:name="_Toc24539911"/>
      <w:r>
        <w:lastRenderedPageBreak/>
        <w:t>Product background</w:t>
      </w:r>
      <w:bookmarkEnd w:id="13"/>
      <w:bookmarkEnd w:id="14"/>
      <w:bookmarkEnd w:id="15"/>
    </w:p>
    <w:p w14:paraId="53C0DA7B" w14:textId="1EDD204B" w:rsidR="008E7846" w:rsidRDefault="00940A89" w:rsidP="00940A89">
      <w:r w:rsidRPr="00940A89">
        <w:t>This AusPAR describes the applicat</w:t>
      </w:r>
      <w:r w:rsidR="006F5A89">
        <w:t xml:space="preserve">ion by </w:t>
      </w:r>
      <w:proofErr w:type="spellStart"/>
      <w:r w:rsidR="00505F32">
        <w:t>Camurus</w:t>
      </w:r>
      <w:proofErr w:type="spellEnd"/>
      <w:r w:rsidR="00885CE7">
        <w:t xml:space="preserve"> Pty Ltd (</w:t>
      </w:r>
      <w:r w:rsidR="006F5A89">
        <w:t>the sponsor</w:t>
      </w:r>
      <w:r w:rsidR="00885CE7">
        <w:t>)</w:t>
      </w:r>
      <w:r w:rsidR="006F5A89">
        <w:t xml:space="preserve"> to register </w:t>
      </w:r>
      <w:proofErr w:type="spellStart"/>
      <w:r w:rsidR="00E65195">
        <w:t>Buvidal</w:t>
      </w:r>
      <w:proofErr w:type="spellEnd"/>
      <w:r w:rsidRPr="00940A89">
        <w:t xml:space="preserve"> </w:t>
      </w:r>
      <w:r w:rsidR="006F5A89">
        <w:t>(buprenorphine)</w:t>
      </w:r>
      <w:r w:rsidR="00BA5504">
        <w:t xml:space="preserve"> solution for injection</w:t>
      </w:r>
      <w:r w:rsidR="006F5A89">
        <w:t xml:space="preserve"> </w:t>
      </w:r>
      <w:r w:rsidRPr="00940A89">
        <w:t>f</w:t>
      </w:r>
      <w:r w:rsidR="006F5A89">
        <w:t>or the following indication:</w:t>
      </w:r>
    </w:p>
    <w:p w14:paraId="288A7355" w14:textId="77777777" w:rsidR="006F5A89" w:rsidRPr="006F5A89" w:rsidRDefault="006F5A89" w:rsidP="006F5A89">
      <w:pPr>
        <w:ind w:left="720"/>
        <w:rPr>
          <w:i/>
        </w:rPr>
      </w:pPr>
      <w:r w:rsidRPr="006F5A89">
        <w:rPr>
          <w:i/>
        </w:rPr>
        <w:t>…for the treatment of opioid dependence within a framework of medical, social and psychological treatment.</w:t>
      </w:r>
    </w:p>
    <w:p w14:paraId="627744C4" w14:textId="77777777" w:rsidR="00E65195" w:rsidRDefault="00E65195" w:rsidP="00E65195">
      <w:r>
        <w:t>O</w:t>
      </w:r>
      <w:r w:rsidRPr="003A6C1A">
        <w:t>pioid dependence is characterised by cravings and compulsive use of opioids despite the negative consequences.</w:t>
      </w:r>
      <w:r>
        <w:t xml:space="preserve"> </w:t>
      </w:r>
      <w:r>
        <w:rPr>
          <w:lang w:eastAsia="ja-JP"/>
        </w:rPr>
        <w:t xml:space="preserve">In Australia, less than 1% of adolescents and adults habitually use illicit opioids (most commonly heroin) but the economic, social and medical costs are high. Fatal overdoses, criminal activity, family disruption, transmission of </w:t>
      </w:r>
      <w:r w:rsidR="00BA5504">
        <w:rPr>
          <w:lang w:eastAsia="ja-JP"/>
        </w:rPr>
        <w:t>h</w:t>
      </w:r>
      <w:r w:rsidR="00BA5504" w:rsidRPr="00BA5504">
        <w:rPr>
          <w:lang w:eastAsia="ja-JP"/>
        </w:rPr>
        <w:t xml:space="preserve">uman immunodeficiency virus </w:t>
      </w:r>
      <w:r w:rsidR="00BA5504">
        <w:rPr>
          <w:lang w:eastAsia="ja-JP"/>
        </w:rPr>
        <w:t>(</w:t>
      </w:r>
      <w:r>
        <w:rPr>
          <w:lang w:eastAsia="ja-JP"/>
        </w:rPr>
        <w:t>HIV</w:t>
      </w:r>
      <w:r w:rsidR="00BA5504">
        <w:rPr>
          <w:lang w:eastAsia="ja-JP"/>
        </w:rPr>
        <w:t>)</w:t>
      </w:r>
      <w:r>
        <w:rPr>
          <w:lang w:eastAsia="ja-JP"/>
        </w:rPr>
        <w:t xml:space="preserve">, </w:t>
      </w:r>
      <w:r w:rsidR="00BA5504">
        <w:rPr>
          <w:lang w:eastAsia="ja-JP"/>
        </w:rPr>
        <w:t>h</w:t>
      </w:r>
      <w:r w:rsidR="001D4A93">
        <w:rPr>
          <w:lang w:eastAsia="ja-JP"/>
        </w:rPr>
        <w:t>epatitis B (</w:t>
      </w:r>
      <w:r>
        <w:rPr>
          <w:lang w:eastAsia="ja-JP"/>
        </w:rPr>
        <w:t>HBV</w:t>
      </w:r>
      <w:r w:rsidR="001D4A93">
        <w:rPr>
          <w:lang w:eastAsia="ja-JP"/>
        </w:rPr>
        <w:t>)</w:t>
      </w:r>
      <w:r>
        <w:rPr>
          <w:lang w:eastAsia="ja-JP"/>
        </w:rPr>
        <w:t xml:space="preserve"> and </w:t>
      </w:r>
      <w:r w:rsidR="001D4A93">
        <w:rPr>
          <w:lang w:eastAsia="ja-JP"/>
        </w:rPr>
        <w:t>hepatitis C (</w:t>
      </w:r>
      <w:r>
        <w:rPr>
          <w:lang w:eastAsia="ja-JP"/>
        </w:rPr>
        <w:t>HCV</w:t>
      </w:r>
      <w:r w:rsidR="001D4A93">
        <w:rPr>
          <w:lang w:eastAsia="ja-JP"/>
        </w:rPr>
        <w:t>)</w:t>
      </w:r>
      <w:r>
        <w:rPr>
          <w:lang w:eastAsia="ja-JP"/>
        </w:rPr>
        <w:t xml:space="preserve"> are all commonly associated with dependence.</w:t>
      </w:r>
    </w:p>
    <w:p w14:paraId="1495F896" w14:textId="77777777" w:rsidR="00E65195" w:rsidRDefault="00E65195" w:rsidP="00E65195">
      <w:r>
        <w:t>Buprenorphine and methadone are approved as opioid replacement therapy for the management of opioid dependence. The successful treatment of opioid dependence requires psychological, social support and medical management. As part of this multifaceted approach, replacement pharmacotherapy is routinely used to reduce compulsion, cravings and physical adaption to chronic drug abuse.</w:t>
      </w:r>
    </w:p>
    <w:p w14:paraId="586E3CC0" w14:textId="08E5D533" w:rsidR="00E65195" w:rsidRDefault="00E65195" w:rsidP="00AF17DB">
      <w:pPr>
        <w:rPr>
          <w:lang w:eastAsia="ja-JP"/>
        </w:rPr>
      </w:pPr>
      <w:r>
        <w:t xml:space="preserve">Buprenorphine is a semi-synthetic opioid derived from the natural opium alkaloid </w:t>
      </w:r>
      <w:proofErr w:type="spellStart"/>
      <w:r w:rsidRPr="00E65195">
        <w:t>thebaine</w:t>
      </w:r>
      <w:proofErr w:type="spellEnd"/>
      <w:r w:rsidRPr="00E65195">
        <w:t>. It is structurally similar to morphine.</w:t>
      </w:r>
      <w:r w:rsidR="00885CE7" w:rsidRPr="00885CE7">
        <w:t xml:space="preserve"> </w:t>
      </w:r>
      <w:r w:rsidR="00885CE7" w:rsidRPr="00E65195">
        <w:t xml:space="preserve">It is indicated for the treatment of chronic and acute pain. It is also commonly used as a pharmacological </w:t>
      </w:r>
      <w:r w:rsidR="00885CE7">
        <w:rPr>
          <w:lang w:eastAsia="ja-JP"/>
        </w:rPr>
        <w:t>replacement in the management of morphine, heroin, and methadone addiction.</w:t>
      </w:r>
      <w:r w:rsidRPr="00E65195">
        <w:t xml:space="preserve"> It is a parti</w:t>
      </w:r>
      <w:r w:rsidR="00E95B3A">
        <w:t xml:space="preserve">al agonist opioid acting at the </w:t>
      </w:r>
      <w:r w:rsidRPr="00E65195">
        <w:t xml:space="preserve">µ receptor, and an antagonist acting at the </w:t>
      </w:r>
      <w:r w:rsidR="008F46E5">
        <w:t>kappa (</w:t>
      </w:r>
      <w:r w:rsidRPr="00E65195">
        <w:t>ĸ</w:t>
      </w:r>
      <w:r w:rsidR="008F46E5">
        <w:t>)</w:t>
      </w:r>
      <w:r w:rsidRPr="00E65195">
        <w:t xml:space="preserve"> receptor. </w:t>
      </w:r>
      <w:r w:rsidR="001D4A93">
        <w:rPr>
          <w:lang w:eastAsia="ja-JP"/>
        </w:rPr>
        <w:t xml:space="preserve">Because it has a higher affinity for </w:t>
      </w:r>
      <w:r w:rsidR="008F46E5">
        <w:rPr>
          <w:lang w:eastAsia="ja-JP"/>
        </w:rPr>
        <w:t>mu (</w:t>
      </w:r>
      <w:r w:rsidR="001D4A93">
        <w:rPr>
          <w:lang w:eastAsia="ja-JP"/>
        </w:rPr>
        <w:t>µ</w:t>
      </w:r>
      <w:r w:rsidR="008F46E5">
        <w:rPr>
          <w:lang w:eastAsia="ja-JP"/>
        </w:rPr>
        <w:t>)</w:t>
      </w:r>
      <w:r w:rsidR="001D4A93">
        <w:rPr>
          <w:lang w:eastAsia="ja-JP"/>
        </w:rPr>
        <w:t xml:space="preserve"> receptors than full opioid agonists, it can block the effects of µ</w:t>
      </w:r>
      <w:r w:rsidR="008F46E5">
        <w:rPr>
          <w:lang w:eastAsia="ja-JP"/>
        </w:rPr>
        <w:t> </w:t>
      </w:r>
      <w:r w:rsidR="001D4A93">
        <w:rPr>
          <w:lang w:eastAsia="ja-JP"/>
        </w:rPr>
        <w:t xml:space="preserve">receptor agonists such as heroin in a dose dependent manner. </w:t>
      </w:r>
      <w:proofErr w:type="spellStart"/>
      <w:r w:rsidR="00AF17DB">
        <w:rPr>
          <w:lang w:eastAsia="ja-JP"/>
        </w:rPr>
        <w:t>Buvidal</w:t>
      </w:r>
      <w:proofErr w:type="spellEnd"/>
      <w:r w:rsidR="00AF17DB">
        <w:rPr>
          <w:lang w:eastAsia="ja-JP"/>
        </w:rPr>
        <w:t xml:space="preserve"> is a novel, prolonged release subcutaneous formulation of </w:t>
      </w:r>
      <w:r w:rsidR="00AF17DB">
        <w:t>buprenorphine</w:t>
      </w:r>
      <w:r w:rsidR="00AF17DB">
        <w:rPr>
          <w:lang w:eastAsia="ja-JP"/>
        </w:rPr>
        <w:t xml:space="preserve"> proposed for the treatment of opioid dependence.</w:t>
      </w:r>
    </w:p>
    <w:p w14:paraId="181D7CAD" w14:textId="77777777" w:rsidR="008E7846" w:rsidRPr="003F31A2" w:rsidRDefault="00386150" w:rsidP="008E7846">
      <w:pPr>
        <w:pStyle w:val="Heading3"/>
      </w:pPr>
      <w:bookmarkStart w:id="16" w:name="_Toc314842485"/>
      <w:bookmarkStart w:id="17" w:name="_Toc247691504"/>
      <w:bookmarkStart w:id="18" w:name="_Toc24539912"/>
      <w:r>
        <w:t>Regulatory s</w:t>
      </w:r>
      <w:r w:rsidR="008E7846">
        <w:t>tatus</w:t>
      </w:r>
      <w:bookmarkEnd w:id="16"/>
      <w:bookmarkEnd w:id="17"/>
      <w:bookmarkEnd w:id="18"/>
    </w:p>
    <w:p w14:paraId="3E44B40B" w14:textId="77777777" w:rsidR="00F30D88" w:rsidRDefault="00F30D88" w:rsidP="00940A89">
      <w:bookmarkStart w:id="19" w:name="_Toc247691505"/>
      <w:bookmarkStart w:id="20" w:name="_Toc314842486"/>
      <w:r>
        <w:rPr>
          <w:lang w:eastAsia="ja-JP"/>
        </w:rPr>
        <w:t>Buprenorphine has been used for over 50 years, and it is available in Australia in various formulations for the treatm</w:t>
      </w:r>
      <w:r w:rsidR="00885CE7">
        <w:rPr>
          <w:lang w:eastAsia="ja-JP"/>
        </w:rPr>
        <w:t>ent of moderate to severe pain.</w:t>
      </w:r>
    </w:p>
    <w:p w14:paraId="6CBBD080" w14:textId="1538A38D" w:rsidR="00940A89" w:rsidRDefault="00940A89" w:rsidP="00940A89">
      <w:r w:rsidRPr="00940A89">
        <w:t>At the time the TGA considered this application, a similar application was under co</w:t>
      </w:r>
      <w:r w:rsidR="00AF17DB">
        <w:t xml:space="preserve">nsideration in </w:t>
      </w:r>
      <w:r w:rsidR="008F46E5">
        <w:t xml:space="preserve">the </w:t>
      </w:r>
      <w:r w:rsidR="00AF17DB">
        <w:t xml:space="preserve">European Union (EU) </w:t>
      </w:r>
      <w:r w:rsidR="008F46E5">
        <w:t>under the European Medicine Agency’s (EMA) C</w:t>
      </w:r>
      <w:r w:rsidR="00AF17DB">
        <w:t xml:space="preserve">entralised </w:t>
      </w:r>
      <w:r w:rsidR="008F46E5">
        <w:t>P</w:t>
      </w:r>
      <w:r w:rsidR="00AF17DB">
        <w:t>rocedure (</w:t>
      </w:r>
      <w:r w:rsidR="008F46E5">
        <w:t xml:space="preserve">submitted on </w:t>
      </w:r>
      <w:r w:rsidR="00AF17DB">
        <w:t xml:space="preserve">26 June 2017) and the United States of America (USA; </w:t>
      </w:r>
      <w:r w:rsidR="008F46E5">
        <w:t xml:space="preserve">submitted on </w:t>
      </w:r>
      <w:r w:rsidR="00AF17DB">
        <w:t>19</w:t>
      </w:r>
      <w:r w:rsidR="00AF17DB">
        <w:rPr>
          <w:vertAlign w:val="superscript"/>
        </w:rPr>
        <w:t xml:space="preserve"> </w:t>
      </w:r>
      <w:r w:rsidR="00326876">
        <w:t>July 2017</w:t>
      </w:r>
      <w:r w:rsidR="00AF17DB">
        <w:t>)</w:t>
      </w:r>
      <w:r>
        <w:t>.</w:t>
      </w:r>
    </w:p>
    <w:p w14:paraId="7C3ABBC7" w14:textId="77777777" w:rsidR="008E7846" w:rsidRDefault="008E7846" w:rsidP="00940A89">
      <w:pPr>
        <w:pStyle w:val="Heading3"/>
      </w:pPr>
      <w:bookmarkStart w:id="21" w:name="_Toc24539913"/>
      <w:r>
        <w:t>Product Information</w:t>
      </w:r>
      <w:bookmarkEnd w:id="19"/>
      <w:bookmarkEnd w:id="20"/>
      <w:bookmarkEnd w:id="21"/>
    </w:p>
    <w:p w14:paraId="7442B61A" w14:textId="32B6DDD9" w:rsidR="00940A89" w:rsidRDefault="006136D7" w:rsidP="00940A89">
      <w:bookmarkStart w:id="22" w:name="_Toc247691506"/>
      <w:bookmarkStart w:id="23" w:name="_Toc314842487"/>
      <w:r w:rsidRPr="00940A89">
        <w:t xml:space="preserve">The Product Information (PI) </w:t>
      </w:r>
      <w:r w:rsidR="00E7054F">
        <w:t xml:space="preserve">documents </w:t>
      </w:r>
      <w:r>
        <w:t xml:space="preserve">approved with the submission which is described in </w:t>
      </w:r>
      <w:r w:rsidRPr="00940A89">
        <w:t>this AusPAR can be found as Attachment</w:t>
      </w:r>
      <w:r w:rsidR="00E7054F">
        <w:t>s</w:t>
      </w:r>
      <w:r w:rsidRPr="00940A89">
        <w:t xml:space="preserve"> 1</w:t>
      </w:r>
      <w:r w:rsidR="00E7054F">
        <w:t xml:space="preserve"> and 2</w:t>
      </w:r>
      <w:r w:rsidRPr="00940A89">
        <w:t>.</w:t>
      </w:r>
      <w:r w:rsidR="009221F5">
        <w:rPr>
          <w:rStyle w:val="FootnoteReference"/>
        </w:rPr>
        <w:footnoteReference w:id="2"/>
      </w:r>
      <w:r w:rsidRPr="00940A89">
        <w:t xml:space="preserve">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3E510A8B" w14:textId="3C3B757D" w:rsidR="00500337" w:rsidRDefault="00500337" w:rsidP="00500337">
      <w:pPr>
        <w:pStyle w:val="Heading2"/>
      </w:pPr>
      <w:bookmarkStart w:id="24" w:name="_Toc504480011"/>
      <w:bookmarkStart w:id="25" w:name="_Toc24539914"/>
      <w:r>
        <w:t>II. Registration timeline</w:t>
      </w:r>
      <w:bookmarkEnd w:id="24"/>
      <w:bookmarkEnd w:id="25"/>
    </w:p>
    <w:p w14:paraId="460E3D27" w14:textId="77777777" w:rsidR="00500337" w:rsidRDefault="00885CE7" w:rsidP="00500337">
      <w:r>
        <w:fldChar w:fldCharType="begin"/>
      </w:r>
      <w:r>
        <w:instrText xml:space="preserve"> REF _Ref18394299 \h </w:instrText>
      </w:r>
      <w:r>
        <w:fldChar w:fldCharType="separate"/>
      </w:r>
      <w:r>
        <w:t xml:space="preserve">Table </w:t>
      </w:r>
      <w:r>
        <w:rPr>
          <w:noProof/>
        </w:rPr>
        <w:t>1</w:t>
      </w:r>
      <w:r>
        <w:fldChar w:fldCharType="end"/>
      </w:r>
      <w:r>
        <w:t xml:space="preserve"> </w:t>
      </w:r>
      <w:r w:rsidR="00500337">
        <w:t>captures the key steps and dates for this application and which are detai</w:t>
      </w:r>
      <w:r>
        <w:t>led and discussed in this AusPAR</w:t>
      </w:r>
      <w:r w:rsidR="00500337">
        <w:t>.</w:t>
      </w:r>
    </w:p>
    <w:p w14:paraId="2B4CE606" w14:textId="766C1748" w:rsidR="00500337" w:rsidRPr="00377BD4" w:rsidRDefault="00885CE7" w:rsidP="00885CE7">
      <w:pPr>
        <w:pStyle w:val="TableTitle"/>
      </w:pPr>
      <w:bookmarkStart w:id="26" w:name="_Ref18394299"/>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w:t>
      </w:r>
      <w:r w:rsidR="00553795">
        <w:rPr>
          <w:noProof/>
        </w:rPr>
        <w:fldChar w:fldCharType="end"/>
      </w:r>
      <w:bookmarkEnd w:id="26"/>
      <w:r w:rsidR="00F92FE0">
        <w:t xml:space="preserve">: </w:t>
      </w:r>
      <w:r w:rsidR="006A58A8" w:rsidRPr="006A58A8">
        <w:t>Timeline f</w:t>
      </w:r>
      <w:r w:rsidR="00F92FE0">
        <w:t>or Submission PM-2017-02926-1-1</w:t>
      </w:r>
    </w:p>
    <w:tbl>
      <w:tblPr>
        <w:tblStyle w:val="TableTGAblue"/>
        <w:tblW w:w="0" w:type="auto"/>
        <w:tblLook w:val="04A0" w:firstRow="1" w:lastRow="0" w:firstColumn="1" w:lastColumn="0" w:noHBand="0" w:noVBand="1"/>
      </w:tblPr>
      <w:tblGrid>
        <w:gridCol w:w="4360"/>
        <w:gridCol w:w="4360"/>
      </w:tblGrid>
      <w:tr w:rsidR="00500337" w14:paraId="393F2072"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0213A63" w14:textId="77777777" w:rsidR="00500337" w:rsidRDefault="00500337" w:rsidP="00500337">
            <w:pPr>
              <w:ind w:left="0" w:right="0"/>
            </w:pPr>
            <w:r>
              <w:t>Description</w:t>
            </w:r>
          </w:p>
        </w:tc>
        <w:tc>
          <w:tcPr>
            <w:tcW w:w="4360" w:type="dxa"/>
          </w:tcPr>
          <w:p w14:paraId="55C9C95F" w14:textId="77777777" w:rsidR="00500337" w:rsidRDefault="00500337" w:rsidP="00500337">
            <w:pPr>
              <w:ind w:left="0" w:right="0"/>
            </w:pPr>
            <w:r>
              <w:t>Date</w:t>
            </w:r>
          </w:p>
        </w:tc>
      </w:tr>
      <w:tr w:rsidR="00500337" w14:paraId="653A6225" w14:textId="77777777" w:rsidTr="00500337">
        <w:tc>
          <w:tcPr>
            <w:tcW w:w="4360" w:type="dxa"/>
          </w:tcPr>
          <w:p w14:paraId="45CC9493" w14:textId="77777777" w:rsidR="00500337" w:rsidRDefault="00500337" w:rsidP="00500337">
            <w:pPr>
              <w:ind w:left="0" w:right="0"/>
            </w:pPr>
            <w:r>
              <w:t>Submission dossier accepted and first round evaluation commenced</w:t>
            </w:r>
          </w:p>
        </w:tc>
        <w:tc>
          <w:tcPr>
            <w:tcW w:w="4360" w:type="dxa"/>
          </w:tcPr>
          <w:p w14:paraId="546C991A" w14:textId="77777777" w:rsidR="00500337" w:rsidRDefault="00F92FE0" w:rsidP="00500337">
            <w:pPr>
              <w:ind w:left="0" w:right="0"/>
            </w:pPr>
            <w:r>
              <w:t>31 October 2017</w:t>
            </w:r>
          </w:p>
        </w:tc>
      </w:tr>
      <w:tr w:rsidR="00500337" w14:paraId="287ADE8A" w14:textId="77777777" w:rsidTr="00500337">
        <w:tc>
          <w:tcPr>
            <w:tcW w:w="4360" w:type="dxa"/>
          </w:tcPr>
          <w:p w14:paraId="0BD40E45" w14:textId="77777777" w:rsidR="00500337" w:rsidRDefault="00500337" w:rsidP="00500337">
            <w:pPr>
              <w:ind w:left="0" w:right="0"/>
            </w:pPr>
            <w:r>
              <w:t>First round evaluation completed</w:t>
            </w:r>
          </w:p>
        </w:tc>
        <w:tc>
          <w:tcPr>
            <w:tcW w:w="4360" w:type="dxa"/>
          </w:tcPr>
          <w:p w14:paraId="613424F6" w14:textId="77777777" w:rsidR="00500337" w:rsidRDefault="00F92FE0" w:rsidP="00500337">
            <w:pPr>
              <w:ind w:left="0" w:right="0"/>
            </w:pPr>
            <w:r>
              <w:t>31 May 2018</w:t>
            </w:r>
          </w:p>
        </w:tc>
      </w:tr>
      <w:tr w:rsidR="00500337" w14:paraId="5AEC6FF3" w14:textId="77777777" w:rsidTr="00500337">
        <w:tc>
          <w:tcPr>
            <w:tcW w:w="4360" w:type="dxa"/>
          </w:tcPr>
          <w:p w14:paraId="0CB82090" w14:textId="77777777" w:rsidR="00500337" w:rsidRDefault="00500337" w:rsidP="00500337">
            <w:pPr>
              <w:ind w:left="0" w:right="0"/>
            </w:pPr>
            <w:r>
              <w:t>Sponsor provides responses on questions raised in first round evaluation</w:t>
            </w:r>
          </w:p>
        </w:tc>
        <w:tc>
          <w:tcPr>
            <w:tcW w:w="4360" w:type="dxa"/>
          </w:tcPr>
          <w:p w14:paraId="0EC5F248" w14:textId="77777777" w:rsidR="00500337" w:rsidRDefault="00F92FE0" w:rsidP="00500337">
            <w:pPr>
              <w:ind w:left="0" w:right="0"/>
            </w:pPr>
            <w:r>
              <w:t>10 July 2018</w:t>
            </w:r>
          </w:p>
        </w:tc>
      </w:tr>
      <w:tr w:rsidR="00500337" w14:paraId="3E5E9846" w14:textId="77777777" w:rsidTr="00500337">
        <w:tc>
          <w:tcPr>
            <w:tcW w:w="4360" w:type="dxa"/>
          </w:tcPr>
          <w:p w14:paraId="3B8F952B" w14:textId="77777777" w:rsidR="00500337" w:rsidRDefault="00500337" w:rsidP="00500337">
            <w:pPr>
              <w:ind w:left="0" w:right="0"/>
            </w:pPr>
            <w:r>
              <w:t>Second round evaluation completed</w:t>
            </w:r>
          </w:p>
        </w:tc>
        <w:tc>
          <w:tcPr>
            <w:tcW w:w="4360" w:type="dxa"/>
          </w:tcPr>
          <w:p w14:paraId="0E5A6EF0" w14:textId="77777777" w:rsidR="00500337" w:rsidRDefault="00F92FE0" w:rsidP="00500337">
            <w:pPr>
              <w:ind w:left="0" w:right="0"/>
            </w:pPr>
            <w:r>
              <w:t>5 September 2018</w:t>
            </w:r>
          </w:p>
        </w:tc>
      </w:tr>
      <w:tr w:rsidR="00500337" w14:paraId="6E461835" w14:textId="77777777" w:rsidTr="00500337">
        <w:tc>
          <w:tcPr>
            <w:tcW w:w="4360" w:type="dxa"/>
          </w:tcPr>
          <w:p w14:paraId="4E0479EA" w14:textId="77777777" w:rsidR="00500337" w:rsidRDefault="00500337" w:rsidP="00500337">
            <w:pPr>
              <w:ind w:left="0" w:right="0"/>
            </w:pPr>
            <w:r>
              <w:t>Delegate’s Overall benefit-risk assessment and request for Advisory Committee advice</w:t>
            </w:r>
          </w:p>
        </w:tc>
        <w:tc>
          <w:tcPr>
            <w:tcW w:w="4360" w:type="dxa"/>
          </w:tcPr>
          <w:p w14:paraId="1CC5E099" w14:textId="77777777" w:rsidR="00500337" w:rsidRDefault="00F92FE0" w:rsidP="00500337">
            <w:pPr>
              <w:ind w:left="0" w:right="0"/>
            </w:pPr>
            <w:r>
              <w:t>4 September 2018</w:t>
            </w:r>
          </w:p>
        </w:tc>
      </w:tr>
      <w:tr w:rsidR="00500337" w14:paraId="3CDBA76B" w14:textId="77777777" w:rsidTr="00500337">
        <w:tc>
          <w:tcPr>
            <w:tcW w:w="4360" w:type="dxa"/>
          </w:tcPr>
          <w:p w14:paraId="121BA62A" w14:textId="77777777" w:rsidR="00500337" w:rsidRDefault="00500337" w:rsidP="00500337">
            <w:pPr>
              <w:ind w:left="0" w:right="0"/>
            </w:pPr>
            <w:r>
              <w:t>Sponsor’s pre-Advisory Committee response</w:t>
            </w:r>
          </w:p>
        </w:tc>
        <w:tc>
          <w:tcPr>
            <w:tcW w:w="4360" w:type="dxa"/>
          </w:tcPr>
          <w:p w14:paraId="49C244F1" w14:textId="77777777" w:rsidR="00500337" w:rsidRDefault="00F92FE0" w:rsidP="00500337">
            <w:pPr>
              <w:ind w:left="0" w:right="0"/>
            </w:pPr>
            <w:r>
              <w:t>15 September 2018</w:t>
            </w:r>
          </w:p>
        </w:tc>
      </w:tr>
      <w:tr w:rsidR="00500337" w14:paraId="68FD19CE" w14:textId="77777777" w:rsidTr="00500337">
        <w:tc>
          <w:tcPr>
            <w:tcW w:w="4360" w:type="dxa"/>
          </w:tcPr>
          <w:p w14:paraId="51B293DA" w14:textId="77777777" w:rsidR="00500337" w:rsidRDefault="00500337" w:rsidP="00500337">
            <w:pPr>
              <w:ind w:left="0" w:right="0"/>
            </w:pPr>
            <w:r>
              <w:t>Advisory Committee meeting</w:t>
            </w:r>
          </w:p>
        </w:tc>
        <w:tc>
          <w:tcPr>
            <w:tcW w:w="4360" w:type="dxa"/>
          </w:tcPr>
          <w:p w14:paraId="4ADF062F" w14:textId="77777777" w:rsidR="00500337" w:rsidRDefault="00ED0409" w:rsidP="00500337">
            <w:pPr>
              <w:ind w:left="0" w:right="0"/>
            </w:pPr>
            <w:r>
              <w:t>4 October 2018</w:t>
            </w:r>
          </w:p>
        </w:tc>
      </w:tr>
      <w:tr w:rsidR="00500337" w14:paraId="58303CD3" w14:textId="77777777" w:rsidTr="00500337">
        <w:tc>
          <w:tcPr>
            <w:tcW w:w="4360" w:type="dxa"/>
          </w:tcPr>
          <w:p w14:paraId="50D3E0C8" w14:textId="77777777" w:rsidR="00500337" w:rsidRDefault="00500337" w:rsidP="00500337">
            <w:pPr>
              <w:ind w:left="0" w:right="0"/>
            </w:pPr>
            <w:r>
              <w:t>Registration decision (Outcome)</w:t>
            </w:r>
          </w:p>
        </w:tc>
        <w:tc>
          <w:tcPr>
            <w:tcW w:w="4360" w:type="dxa"/>
          </w:tcPr>
          <w:p w14:paraId="6B63368A" w14:textId="77777777" w:rsidR="00500337" w:rsidRDefault="00ED0409" w:rsidP="00500337">
            <w:pPr>
              <w:ind w:left="0" w:right="0"/>
            </w:pPr>
            <w:r>
              <w:t>22 November 2018</w:t>
            </w:r>
          </w:p>
        </w:tc>
      </w:tr>
      <w:tr w:rsidR="00500337" w14:paraId="12EF0F4F" w14:textId="77777777" w:rsidTr="00500337">
        <w:tc>
          <w:tcPr>
            <w:tcW w:w="4360" w:type="dxa"/>
          </w:tcPr>
          <w:p w14:paraId="4D9A4BAF" w14:textId="77777777" w:rsidR="00500337" w:rsidRDefault="00500337" w:rsidP="00500337">
            <w:pPr>
              <w:ind w:left="0" w:right="0"/>
            </w:pPr>
            <w:r>
              <w:t>Completion of administrative activities and registration on ARTG</w:t>
            </w:r>
          </w:p>
        </w:tc>
        <w:tc>
          <w:tcPr>
            <w:tcW w:w="4360" w:type="dxa"/>
          </w:tcPr>
          <w:p w14:paraId="33565B08" w14:textId="77777777" w:rsidR="00500337" w:rsidRDefault="00F92FE0" w:rsidP="00500337">
            <w:pPr>
              <w:ind w:left="0" w:right="0"/>
            </w:pPr>
            <w:r>
              <w:t>28 November 2018</w:t>
            </w:r>
          </w:p>
        </w:tc>
      </w:tr>
      <w:tr w:rsidR="00500337" w14:paraId="3176FCBF" w14:textId="77777777" w:rsidTr="00500337">
        <w:tc>
          <w:tcPr>
            <w:tcW w:w="4360" w:type="dxa"/>
          </w:tcPr>
          <w:p w14:paraId="782B1586" w14:textId="77777777" w:rsidR="00500337" w:rsidRDefault="00500337" w:rsidP="00500337">
            <w:pPr>
              <w:ind w:left="0" w:right="0"/>
            </w:pPr>
            <w:r>
              <w:t>Number of working days from submission dossier acceptance to registration decision*</w:t>
            </w:r>
          </w:p>
        </w:tc>
        <w:tc>
          <w:tcPr>
            <w:tcW w:w="4360" w:type="dxa"/>
          </w:tcPr>
          <w:p w14:paraId="27E5AEFE" w14:textId="77777777" w:rsidR="00500337" w:rsidRDefault="00F92FE0" w:rsidP="00500337">
            <w:pPr>
              <w:ind w:left="0" w:right="0"/>
            </w:pPr>
            <w:r>
              <w:t>242</w:t>
            </w:r>
          </w:p>
        </w:tc>
      </w:tr>
    </w:tbl>
    <w:p w14:paraId="3CCB0740"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3E1F040" w14:textId="77777777" w:rsidR="00500337" w:rsidRDefault="00500337" w:rsidP="00500337">
      <w:r>
        <w:t>Evaluations included under Quality findings and Nonclinical findings incorporate both the first and second round evaluations.</w:t>
      </w:r>
    </w:p>
    <w:p w14:paraId="1DCAA477" w14:textId="77777777" w:rsidR="00500337" w:rsidRDefault="00500337" w:rsidP="00500337">
      <w:r w:rsidRPr="00F92FE0">
        <w:t>TGA guidance at pre-submission meetings is nonbinding and without prejudice.</w:t>
      </w:r>
    </w:p>
    <w:p w14:paraId="02141B36" w14:textId="77777777" w:rsidR="008E7846" w:rsidRPr="003602A9" w:rsidRDefault="00500337" w:rsidP="008E7846">
      <w:pPr>
        <w:pStyle w:val="Heading2"/>
        <w:ind w:left="-11"/>
      </w:pPr>
      <w:bookmarkStart w:id="27" w:name="_Toc24539915"/>
      <w:r>
        <w:t>I</w:t>
      </w:r>
      <w:r w:rsidR="008E7846">
        <w:t>II. Quality</w:t>
      </w:r>
      <w:bookmarkEnd w:id="1"/>
      <w:r w:rsidR="008E7846">
        <w:t xml:space="preserve"> findings</w:t>
      </w:r>
      <w:bookmarkEnd w:id="22"/>
      <w:bookmarkEnd w:id="23"/>
      <w:bookmarkEnd w:id="27"/>
    </w:p>
    <w:p w14:paraId="5864A003" w14:textId="77777777" w:rsidR="00940A89" w:rsidRDefault="00940A89" w:rsidP="00940A89">
      <w:pPr>
        <w:pStyle w:val="Heading3"/>
      </w:pPr>
      <w:bookmarkStart w:id="28" w:name="_Toc247691507"/>
      <w:bookmarkStart w:id="29" w:name="_Toc314842488"/>
      <w:bookmarkStart w:id="30" w:name="_Toc24539916"/>
      <w:r w:rsidRPr="00940A89">
        <w:t>Introduction</w:t>
      </w:r>
      <w:bookmarkEnd w:id="30"/>
    </w:p>
    <w:p w14:paraId="275B722E" w14:textId="59973D06" w:rsidR="00F30D88" w:rsidRDefault="00F30D88" w:rsidP="00F30D88">
      <w:r>
        <w:t xml:space="preserve">Currently, there are several buprenorphine products from various sponsors which are formulated as sublingual </w:t>
      </w:r>
      <w:r w:rsidR="00E95B3A">
        <w:t xml:space="preserve">(SL) </w:t>
      </w:r>
      <w:r>
        <w:t xml:space="preserve">tablets (containing buprenorphine </w:t>
      </w:r>
      <w:r w:rsidR="00E95B3A">
        <w:t>hydrochloride (</w:t>
      </w:r>
      <w:proofErr w:type="spellStart"/>
      <w:r w:rsidR="00885CE7">
        <w:t>HCl</w:t>
      </w:r>
      <w:proofErr w:type="spellEnd"/>
      <w:r w:rsidR="00E95B3A">
        <w:t>)</w:t>
      </w:r>
      <w:r w:rsidR="00885CE7">
        <w:t>), solution for injection 30 </w:t>
      </w:r>
      <w:r w:rsidR="004D4774">
        <w:t>µ</w:t>
      </w:r>
      <w:r>
        <w:t>g/1 mL or transdermal patch.</w:t>
      </w:r>
    </w:p>
    <w:p w14:paraId="7A380614" w14:textId="603505AA" w:rsidR="00F30D88" w:rsidRDefault="00F30D88" w:rsidP="00F30D88">
      <w:r>
        <w:t xml:space="preserve">The sponsor has submitted a Type </w:t>
      </w:r>
      <w:proofErr w:type="spellStart"/>
      <w:r>
        <w:t>F</w:t>
      </w:r>
      <w:proofErr w:type="spellEnd"/>
      <w:r>
        <w:t xml:space="preserve"> application</w:t>
      </w:r>
      <w:r w:rsidR="00AD7756">
        <w:rPr>
          <w:rStyle w:val="FootnoteReference"/>
        </w:rPr>
        <w:footnoteReference w:id="3"/>
      </w:r>
      <w:r w:rsidR="00AD5E80">
        <w:t>;</w:t>
      </w:r>
      <w:r>
        <w:t xml:space="preserve"> to register a new dosage form of buprenorphine which is formulated as a modified (prolonged) release solut</w:t>
      </w:r>
      <w:r w:rsidR="00885CE7">
        <w:t>ion for subcutaneous injection.</w:t>
      </w:r>
    </w:p>
    <w:p w14:paraId="524E3662" w14:textId="77777777" w:rsidR="00F30D88" w:rsidRDefault="00F30D88" w:rsidP="00AD5E80">
      <w:pPr>
        <w:pageBreakBefore/>
      </w:pPr>
      <w:r>
        <w:lastRenderedPageBreak/>
        <w:t>Two formulations are proposed:</w:t>
      </w:r>
    </w:p>
    <w:p w14:paraId="1D893707" w14:textId="0BD63D47" w:rsidR="00F30D88" w:rsidRDefault="00885CE7" w:rsidP="00F30D88">
      <w:pPr>
        <w:pStyle w:val="ListBullet"/>
      </w:pPr>
      <w:r>
        <w:t xml:space="preserve">Once weekly </w:t>
      </w:r>
      <w:r w:rsidR="00AD7756">
        <w:t xml:space="preserve">(q1w) </w:t>
      </w:r>
      <w:r>
        <w:t xml:space="preserve">product </w:t>
      </w:r>
      <w:r w:rsidR="00F30D88">
        <w:t>in the following stre</w:t>
      </w:r>
      <w:r>
        <w:t>ngths: 8 mg/0.16 mL, 16 mg/0.32 </w:t>
      </w:r>
      <w:r w:rsidR="00F30D88">
        <w:t xml:space="preserve">mL, 24 mg/0.48 </w:t>
      </w:r>
      <w:r w:rsidR="00230E29">
        <w:t xml:space="preserve">mL </w:t>
      </w:r>
      <w:r w:rsidR="00F30D88">
        <w:t xml:space="preserve">and 32 mg/0.64 </w:t>
      </w:r>
      <w:proofErr w:type="spellStart"/>
      <w:r w:rsidR="00F30D88">
        <w:t>mL.</w:t>
      </w:r>
      <w:proofErr w:type="spellEnd"/>
    </w:p>
    <w:p w14:paraId="3410D0D3" w14:textId="41A0B57B" w:rsidR="00F30D88" w:rsidRDefault="00F30D88" w:rsidP="00F30D88">
      <w:pPr>
        <w:pStyle w:val="ListBullet"/>
      </w:pPr>
      <w:r>
        <w:t>Once m</w:t>
      </w:r>
      <w:r w:rsidR="00885CE7">
        <w:t xml:space="preserve">onthly </w:t>
      </w:r>
      <w:r w:rsidR="00AD7756">
        <w:t xml:space="preserve">(q4w) </w:t>
      </w:r>
      <w:r w:rsidR="00885CE7">
        <w:t xml:space="preserve">product </w:t>
      </w:r>
      <w:r>
        <w:t>in the following stren</w:t>
      </w:r>
      <w:r w:rsidR="00885CE7">
        <w:t>gths: 64 mg/0.18 mL, 96 mg/0.27 </w:t>
      </w:r>
      <w:r>
        <w:t xml:space="preserve">mL, 128 mg/0.36 </w:t>
      </w:r>
      <w:proofErr w:type="spellStart"/>
      <w:r>
        <w:t>mL.</w:t>
      </w:r>
      <w:proofErr w:type="spellEnd"/>
    </w:p>
    <w:p w14:paraId="0427FADC" w14:textId="64FF9077" w:rsidR="00F30D88" w:rsidRDefault="00F30D88" w:rsidP="00F30D88">
      <w:r>
        <w:t>All products ab</w:t>
      </w:r>
      <w:r w:rsidR="00885CE7">
        <w:t xml:space="preserve">ove are to be packaged in ready to </w:t>
      </w:r>
      <w:r>
        <w:t xml:space="preserve">use prefilled </w:t>
      </w:r>
      <w:r w:rsidR="00AD7756">
        <w:t>t</w:t>
      </w:r>
      <w:r>
        <w:t>ype 1 glass syringes equipped with a needle, a stopper, a needle shield, a needle prevention device and a plunger rod.</w:t>
      </w:r>
    </w:p>
    <w:p w14:paraId="0CCF72FC" w14:textId="77777777" w:rsidR="00F30D88" w:rsidRPr="00F30D88" w:rsidRDefault="00F30D88" w:rsidP="00F30D88">
      <w:r>
        <w:t>This product is indicated for the treatment of opioid dependence.</w:t>
      </w:r>
    </w:p>
    <w:p w14:paraId="0D7AF5B5" w14:textId="77777777" w:rsidR="008E7846" w:rsidRDefault="008E7846" w:rsidP="00940A89">
      <w:pPr>
        <w:pStyle w:val="Heading3"/>
      </w:pPr>
      <w:bookmarkStart w:id="31" w:name="_Toc24539917"/>
      <w:r w:rsidRPr="008751DC">
        <w:t xml:space="preserve">Drug </w:t>
      </w:r>
      <w:r>
        <w:t>s</w:t>
      </w:r>
      <w:r w:rsidRPr="008751DC">
        <w:t>ubstance</w:t>
      </w:r>
      <w:r>
        <w:t xml:space="preserve"> (active ingredient)</w:t>
      </w:r>
      <w:bookmarkEnd w:id="28"/>
      <w:bookmarkEnd w:id="29"/>
      <w:bookmarkEnd w:id="31"/>
    </w:p>
    <w:p w14:paraId="4130D128" w14:textId="77777777" w:rsidR="00F30D88" w:rsidRDefault="00F30D88" w:rsidP="00F30D88">
      <w:r w:rsidRPr="002D62A2">
        <w:t xml:space="preserve">The drug substance buprenorphine </w:t>
      </w:r>
      <w:r>
        <w:t>(</w:t>
      </w:r>
      <w:r w:rsidR="00885CE7">
        <w:fldChar w:fldCharType="begin"/>
      </w:r>
      <w:r w:rsidR="00885CE7">
        <w:instrText xml:space="preserve"> REF _Ref18394573 \h </w:instrText>
      </w:r>
      <w:r w:rsidR="00885CE7">
        <w:fldChar w:fldCharType="separate"/>
      </w:r>
      <w:r w:rsidR="00885CE7" w:rsidRPr="00885CE7">
        <w:t>Figure 1</w:t>
      </w:r>
      <w:r w:rsidR="00885CE7">
        <w:fldChar w:fldCharType="end"/>
      </w:r>
      <w:r>
        <w:t xml:space="preserve">) </w:t>
      </w:r>
      <w:r w:rsidRPr="002D62A2">
        <w:t>is a semi-synthetic opio</w:t>
      </w:r>
      <w:r>
        <w:t>i</w:t>
      </w:r>
      <w:r w:rsidRPr="002D62A2">
        <w:t xml:space="preserve">d derived from </w:t>
      </w:r>
      <w:r>
        <w:t xml:space="preserve">the </w:t>
      </w:r>
      <w:r w:rsidRPr="002D62A2">
        <w:t xml:space="preserve">natural opium alkaloid </w:t>
      </w:r>
      <w:proofErr w:type="spellStart"/>
      <w:r w:rsidRPr="002D62A2">
        <w:t>thebaine</w:t>
      </w:r>
      <w:proofErr w:type="spellEnd"/>
      <w:r w:rsidRPr="002D62A2">
        <w:t>.</w:t>
      </w:r>
      <w:r>
        <w:t xml:space="preserve"> It is a potent opioid µ agonist at low doses but has limited effect at higher doses. If used regularly, buprenorphine can block the effects of µ receptor agonists such as heroin. The symptoms of opioid withdrawal are significantly less when managed with buprenorphine.</w:t>
      </w:r>
    </w:p>
    <w:p w14:paraId="08D4D269" w14:textId="11B2DA3B" w:rsidR="00885CE7" w:rsidRPr="00885CE7" w:rsidRDefault="00885CE7" w:rsidP="00AD5E80">
      <w:pPr>
        <w:pStyle w:val="FigureTitle"/>
      </w:pPr>
      <w:bookmarkStart w:id="32" w:name="_Ref18394573"/>
      <w:r w:rsidRPr="00885CE7">
        <w:t xml:space="preserve">Figure </w:t>
      </w:r>
      <w:r w:rsidR="00553795">
        <w:rPr>
          <w:noProof/>
        </w:rPr>
        <w:fldChar w:fldCharType="begin"/>
      </w:r>
      <w:r w:rsidR="00553795">
        <w:rPr>
          <w:noProof/>
        </w:rPr>
        <w:instrText xml:space="preserve"> SEQ Figure \* ARABIC </w:instrText>
      </w:r>
      <w:r w:rsidR="00553795">
        <w:rPr>
          <w:noProof/>
        </w:rPr>
        <w:fldChar w:fldCharType="separate"/>
      </w:r>
      <w:r w:rsidR="00C05DDC">
        <w:rPr>
          <w:noProof/>
        </w:rPr>
        <w:t>1</w:t>
      </w:r>
      <w:r w:rsidR="00553795">
        <w:rPr>
          <w:noProof/>
        </w:rPr>
        <w:fldChar w:fldCharType="end"/>
      </w:r>
      <w:bookmarkEnd w:id="32"/>
      <w:r w:rsidRPr="00885CE7">
        <w:t xml:space="preserve">: </w:t>
      </w:r>
      <w:r>
        <w:t>Chemical structure of b</w:t>
      </w:r>
      <w:r w:rsidRPr="00885CE7">
        <w:t>uprenorphine</w:t>
      </w:r>
    </w:p>
    <w:p w14:paraId="6B57A070" w14:textId="77777777" w:rsidR="00F30D88" w:rsidRPr="002D62A2" w:rsidRDefault="00F30D88" w:rsidP="00F30D88">
      <w:pPr>
        <w:jc w:val="both"/>
        <w:rPr>
          <w:noProof/>
          <w:lang w:eastAsia="en-AU"/>
        </w:rPr>
      </w:pPr>
      <w:r w:rsidRPr="002D62A2">
        <w:rPr>
          <w:noProof/>
          <w:lang w:eastAsia="en-AU"/>
        </w:rPr>
        <w:drawing>
          <wp:inline distT="0" distB="0" distL="0" distR="0" wp14:anchorId="16D43F72" wp14:editId="6792BA0D">
            <wp:extent cx="2779776" cy="2669841"/>
            <wp:effectExtent l="0" t="0" r="1905" b="0"/>
            <wp:docPr id="1" name="Picture 1" descr="Chemical structure of bupren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5687" cy="2675518"/>
                    </a:xfrm>
                    <a:prstGeom prst="rect">
                      <a:avLst/>
                    </a:prstGeom>
                    <a:noFill/>
                    <a:ln>
                      <a:noFill/>
                    </a:ln>
                  </pic:spPr>
                </pic:pic>
              </a:graphicData>
            </a:graphic>
          </wp:inline>
        </w:drawing>
      </w:r>
    </w:p>
    <w:p w14:paraId="1BB2D1BD" w14:textId="77777777" w:rsidR="00F30D88" w:rsidRDefault="00F30D88" w:rsidP="00F30D88">
      <w:pPr>
        <w:jc w:val="both"/>
      </w:pPr>
      <w:r>
        <w:t>Buprenorphine is manufactured by chemical synt</w:t>
      </w:r>
      <w:r w:rsidR="00082AB0">
        <w:t>hesis.</w:t>
      </w:r>
    </w:p>
    <w:p w14:paraId="36250C9D" w14:textId="2527F680" w:rsidR="008E7846" w:rsidRDefault="00F30D88" w:rsidP="00940A89">
      <w:r>
        <w:t xml:space="preserve">It is a white crystalline powder and soluble in both methanol and ethanol. The drug substance is controlled for compliance with all parameters of the </w:t>
      </w:r>
      <w:r w:rsidR="00E95B3A" w:rsidRPr="00E95B3A">
        <w:t xml:space="preserve">British Pharmacopoeia </w:t>
      </w:r>
      <w:r w:rsidR="00E95B3A">
        <w:t>(</w:t>
      </w:r>
      <w:r>
        <w:t>BP</w:t>
      </w:r>
      <w:r w:rsidR="00E95B3A">
        <w:t>)</w:t>
      </w:r>
      <w:r>
        <w:t xml:space="preserve"> monograph plus additional in-house parameters for </w:t>
      </w:r>
      <w:r w:rsidR="00885CE7">
        <w:t>bacterial endotoxin, total aerobic microbial count and total yeast and mould count</w:t>
      </w:r>
      <w:r w:rsidR="00082AB0">
        <w:t>.</w:t>
      </w:r>
    </w:p>
    <w:p w14:paraId="4661AB6A" w14:textId="77777777" w:rsidR="008E7846" w:rsidRDefault="008E7846" w:rsidP="008E7846">
      <w:pPr>
        <w:pStyle w:val="Heading3"/>
      </w:pPr>
      <w:bookmarkStart w:id="33" w:name="_Toc247691508"/>
      <w:bookmarkStart w:id="34" w:name="_Toc314842490"/>
      <w:bookmarkStart w:id="35" w:name="_Toc24539918"/>
      <w:r w:rsidRPr="008751DC">
        <w:t xml:space="preserve">Drug </w:t>
      </w:r>
      <w:r>
        <w:t>p</w:t>
      </w:r>
      <w:r w:rsidRPr="008751DC">
        <w:t>roduct</w:t>
      </w:r>
      <w:bookmarkEnd w:id="33"/>
      <w:bookmarkEnd w:id="34"/>
      <w:bookmarkEnd w:id="35"/>
    </w:p>
    <w:p w14:paraId="2BF9ED2E" w14:textId="24907D72" w:rsidR="00885CE7" w:rsidRDefault="00885CE7" w:rsidP="00DD5884">
      <w:r>
        <w:t xml:space="preserve">The </w:t>
      </w:r>
      <w:r w:rsidR="00E95B3A">
        <w:t>q1w</w:t>
      </w:r>
      <w:r>
        <w:t xml:space="preserve"> product and the </w:t>
      </w:r>
      <w:r w:rsidR="00E95B3A">
        <w:t>q4w</w:t>
      </w:r>
      <w:r>
        <w:t xml:space="preserve"> product are formulated as a lipid </w:t>
      </w:r>
      <w:r w:rsidR="00DD5884">
        <w:t>based, low viscosity liquid (</w:t>
      </w:r>
      <w:r>
        <w:t>approximately (</w:t>
      </w:r>
      <w:r w:rsidR="00DD5884">
        <w:t>~</w:t>
      </w:r>
      <w:r>
        <w:t xml:space="preserve">) 100 to </w:t>
      </w:r>
      <w:r w:rsidR="00DD5884">
        <w:t xml:space="preserve">500 </w:t>
      </w:r>
      <w:proofErr w:type="spellStart"/>
      <w:r w:rsidR="00AD7756">
        <w:t>millipascal</w:t>
      </w:r>
      <w:proofErr w:type="spellEnd"/>
      <w:r w:rsidR="00AD7756">
        <w:t xml:space="preserve"> seconds (</w:t>
      </w:r>
      <w:proofErr w:type="spellStart"/>
      <w:r w:rsidR="00DD5884">
        <w:t>mPas</w:t>
      </w:r>
      <w:proofErr w:type="spellEnd"/>
      <w:r w:rsidR="00DD5884">
        <w:t>)</w:t>
      </w:r>
      <w:r w:rsidR="00AD7756">
        <w:t>)</w:t>
      </w:r>
      <w:r w:rsidR="00DD5884">
        <w:t xml:space="preserve"> containing dissolved buprenorphine</w:t>
      </w:r>
      <w:r>
        <w:t>.</w:t>
      </w:r>
    </w:p>
    <w:p w14:paraId="2E0CD83A" w14:textId="77777777" w:rsidR="00DD5884" w:rsidRDefault="00DD5884" w:rsidP="00DD5884">
      <w:r>
        <w:t>When either formulation is injected into subcutaneous (SC) or intramuscular (IM) tissue it is transformed into a highly viscous liquid crystal with buprenorphine encapsulated in the matrix. Buprenorphine is released by a combination of simple diffusion and biodegradation of the lipid matrix in the SC or IM tissue.</w:t>
      </w:r>
    </w:p>
    <w:p w14:paraId="3DCFECBB" w14:textId="228A4D7A" w:rsidR="00885CE7" w:rsidRDefault="00DD5884" w:rsidP="00DD5884">
      <w:r>
        <w:lastRenderedPageBreak/>
        <w:t xml:space="preserve">Different </w:t>
      </w:r>
      <w:r w:rsidR="009A43B9">
        <w:t>compositions</w:t>
      </w:r>
      <w:r>
        <w:t xml:space="preserve"> of </w:t>
      </w:r>
      <w:proofErr w:type="spellStart"/>
      <w:r>
        <w:t>phosphatidyl</w:t>
      </w:r>
      <w:proofErr w:type="spellEnd"/>
      <w:r>
        <w:t xml:space="preserve"> choline and glycerol </w:t>
      </w:r>
      <w:proofErr w:type="spellStart"/>
      <w:r>
        <w:t>dioleate</w:t>
      </w:r>
      <w:proofErr w:type="spellEnd"/>
      <w:r>
        <w:t xml:space="preserve"> were invest</w:t>
      </w:r>
      <w:r w:rsidR="0022179C">
        <w:t xml:space="preserve">igated to afford the optimal </w:t>
      </w:r>
      <w:r w:rsidR="0022179C" w:rsidRPr="0022179C">
        <w:rPr>
          <w:i/>
        </w:rPr>
        <w:t xml:space="preserve">in </w:t>
      </w:r>
      <w:r w:rsidRPr="0022179C">
        <w:rPr>
          <w:i/>
        </w:rPr>
        <w:t>vitro</w:t>
      </w:r>
      <w:r>
        <w:t xml:space="preserve"> release profiles that are suitable for extend</w:t>
      </w:r>
      <w:r w:rsidR="009A43B9">
        <w:t xml:space="preserve">ed release of the </w:t>
      </w:r>
      <w:r w:rsidR="00E95B3A">
        <w:t>q1w</w:t>
      </w:r>
      <w:r>
        <w:t xml:space="preserve"> product and the </w:t>
      </w:r>
      <w:r w:rsidR="00E95B3A">
        <w:t>q4w</w:t>
      </w:r>
      <w:r w:rsidR="009A43B9">
        <w:t xml:space="preserve"> product</w:t>
      </w:r>
      <w:r w:rsidR="00885CE7">
        <w:t>.</w:t>
      </w:r>
    </w:p>
    <w:p w14:paraId="6CB99C98" w14:textId="00639BDF" w:rsidR="00940A89" w:rsidRDefault="009A43B9" w:rsidP="00DD5884">
      <w:r>
        <w:t xml:space="preserve">The </w:t>
      </w:r>
      <w:r w:rsidR="00E95B3A">
        <w:t>q1w</w:t>
      </w:r>
      <w:r>
        <w:t xml:space="preserve"> product contains ‘ethanol absolute’</w:t>
      </w:r>
      <w:r w:rsidR="00DD5884">
        <w:t xml:space="preserve"> as the viscosity modifier, wh</w:t>
      </w:r>
      <w:r>
        <w:t xml:space="preserve">ereas the </w:t>
      </w:r>
      <w:r w:rsidR="00E95B3A">
        <w:t>q4w</w:t>
      </w:r>
      <w:r>
        <w:t xml:space="preserve"> product contains ‘N-methyl </w:t>
      </w:r>
      <w:proofErr w:type="spellStart"/>
      <w:r>
        <w:t>pyrrolidone</w:t>
      </w:r>
      <w:proofErr w:type="spellEnd"/>
      <w:r>
        <w:t>’.</w:t>
      </w:r>
      <w:r w:rsidR="00DD5884">
        <w:t xml:space="preserve"> The proposed concentrations of these solvents in the respective formulation have been evaluated and are considered acceptable from a toxicological perspective.</w:t>
      </w:r>
    </w:p>
    <w:p w14:paraId="27B96B2E" w14:textId="77777777" w:rsidR="00DD5884" w:rsidRPr="00DD5884" w:rsidRDefault="00DD5884" w:rsidP="00DD5884">
      <w:r w:rsidRPr="00DD5884">
        <w:t>Acceptable stability data has been gener</w:t>
      </w:r>
      <w:r w:rsidR="009A43B9">
        <w:t xml:space="preserve">ated under accelerated and long </w:t>
      </w:r>
      <w:r w:rsidRPr="00DD5884">
        <w:t>term conditions to supp</w:t>
      </w:r>
      <w:r w:rsidR="009A43B9">
        <w:t xml:space="preserve">ort the proposed shelf </w:t>
      </w:r>
      <w:r>
        <w:t>life of ‘</w:t>
      </w:r>
      <w:r w:rsidRPr="00DD5884">
        <w:t xml:space="preserve">24 months when stored below 25°C, do </w:t>
      </w:r>
      <w:r>
        <w:t>not refrigerate, do not freeze’</w:t>
      </w:r>
      <w:r w:rsidRPr="00DD5884">
        <w:t>.</w:t>
      </w:r>
    </w:p>
    <w:p w14:paraId="0F519636" w14:textId="77777777" w:rsidR="008E7846" w:rsidRPr="008751DC" w:rsidRDefault="008E7846" w:rsidP="008E7846">
      <w:pPr>
        <w:pStyle w:val="Heading3"/>
      </w:pPr>
      <w:bookmarkStart w:id="36" w:name="_Toc247691509"/>
      <w:bookmarkStart w:id="37" w:name="_Toc314842493"/>
      <w:bookmarkStart w:id="38" w:name="_Toc24539919"/>
      <w:r>
        <w:t>Quality s</w:t>
      </w:r>
      <w:r w:rsidRPr="008751DC">
        <w:t>ummary</w:t>
      </w:r>
      <w:r>
        <w:t xml:space="preserve"> and conclusions</w:t>
      </w:r>
      <w:bookmarkEnd w:id="36"/>
      <w:bookmarkEnd w:id="37"/>
      <w:bookmarkEnd w:id="38"/>
    </w:p>
    <w:p w14:paraId="47FC4891" w14:textId="77777777" w:rsidR="00082AB0" w:rsidRDefault="00DD5884" w:rsidP="00082AB0">
      <w:r>
        <w:t>P</w:t>
      </w:r>
      <w:r w:rsidR="00082AB0">
        <w:t>har</w:t>
      </w:r>
      <w:r>
        <w:t>maceutical chemistry issues relating to carton labels and finish product specification were resolved during the course of the evaluation.</w:t>
      </w:r>
    </w:p>
    <w:p w14:paraId="3478D04C" w14:textId="77777777" w:rsidR="008E7846" w:rsidRPr="00082AB0" w:rsidRDefault="00082AB0" w:rsidP="00082AB0">
      <w:r w:rsidRPr="00082AB0">
        <w:t>Approval is recommended for registration of the proposed product from a pharmaceutical chemistry perspective.</w:t>
      </w:r>
    </w:p>
    <w:p w14:paraId="19DBC37C" w14:textId="77777777" w:rsidR="008E7846" w:rsidRDefault="008E7846" w:rsidP="008E7846">
      <w:pPr>
        <w:pStyle w:val="Heading2"/>
      </w:pPr>
      <w:bookmarkStart w:id="39" w:name="_Toc196046439"/>
      <w:bookmarkStart w:id="40" w:name="_Toc247691510"/>
      <w:bookmarkStart w:id="41" w:name="_Toc314842494"/>
      <w:bookmarkStart w:id="42" w:name="_Toc24539920"/>
      <w:r>
        <w:t>I</w:t>
      </w:r>
      <w:r w:rsidR="00500337">
        <w:t>V</w:t>
      </w:r>
      <w:r>
        <w:t>. Nonclinical</w:t>
      </w:r>
      <w:bookmarkEnd w:id="39"/>
      <w:r>
        <w:t xml:space="preserve"> findings</w:t>
      </w:r>
      <w:bookmarkEnd w:id="40"/>
      <w:bookmarkEnd w:id="41"/>
      <w:bookmarkEnd w:id="42"/>
    </w:p>
    <w:p w14:paraId="1EE737A7" w14:textId="77777777" w:rsidR="008E7846" w:rsidRDefault="008E7846" w:rsidP="00940A89">
      <w:pPr>
        <w:pStyle w:val="Heading3"/>
      </w:pPr>
      <w:bookmarkStart w:id="43" w:name="_Toc247691511"/>
      <w:bookmarkStart w:id="44" w:name="_Toc314842495"/>
      <w:bookmarkStart w:id="45" w:name="_Toc24539921"/>
      <w:r>
        <w:t>Introduction</w:t>
      </w:r>
      <w:bookmarkEnd w:id="43"/>
      <w:bookmarkEnd w:id="44"/>
      <w:bookmarkEnd w:id="45"/>
    </w:p>
    <w:p w14:paraId="274EBFB6" w14:textId="77777777" w:rsidR="00DD5884" w:rsidRDefault="00DD5884" w:rsidP="00DD5884">
      <w:r w:rsidRPr="00DD5884">
        <w:t>For the treatment</w:t>
      </w:r>
      <w:r w:rsidR="009A43B9">
        <w:t xml:space="preserve"> of opioid addiction, sustained </w:t>
      </w:r>
      <w:r w:rsidRPr="00DD5884">
        <w:t xml:space="preserve">release drug formulations have </w:t>
      </w:r>
      <w:r w:rsidR="009A43B9">
        <w:t xml:space="preserve">various potential advantages compared with immediate </w:t>
      </w:r>
      <w:r w:rsidRPr="00DD5884">
        <w:t xml:space="preserve">release formulations. These advantages include the maintenance of more consistent circulating drug concentrations, thus avoiding possible toxicity associated with maximum drug concentrations and the loss </w:t>
      </w:r>
      <w:r w:rsidR="009A43B9">
        <w:t xml:space="preserve">of efficacy associated with sub </w:t>
      </w:r>
      <w:r w:rsidRPr="00DD5884">
        <w:t>therapeutic drug concentrations. The consequent decreases in adverse effects, combined with the increase in interval between doses, are likely to improve patient compliance with drug treatment.</w:t>
      </w:r>
    </w:p>
    <w:p w14:paraId="131D6BE2" w14:textId="565FE3CE" w:rsidR="00DD5884" w:rsidRDefault="00DD5884" w:rsidP="00DD5884">
      <w:r>
        <w:t>An approach to obtaining sustained release is to incorporate the drug of interest into an appropriate matrix. Accordingly, the sponsor has developed a novel mix of amphiphilic lipids that can incorporate buprenorphine and, in t</w:t>
      </w:r>
      <w:r w:rsidR="009A43B9">
        <w:t xml:space="preserve">he presence of water (for example, from bodily fluids), self </w:t>
      </w:r>
      <w:r>
        <w:t xml:space="preserve">assembles into a liquid crystalline </w:t>
      </w:r>
      <w:r w:rsidR="00900CAB">
        <w:t>matrix</w:t>
      </w:r>
      <w:r w:rsidR="00AD7756">
        <w:t xml:space="preserve"> </w:t>
      </w:r>
      <w:r>
        <w:t>structure.</w:t>
      </w:r>
    </w:p>
    <w:p w14:paraId="6AC06A81" w14:textId="46F461FB" w:rsidR="009A43B9" w:rsidRDefault="00DD5884" w:rsidP="00DD5884">
      <w:r>
        <w:t xml:space="preserve">Most of the studies in the sponsor’s </w:t>
      </w:r>
      <w:r w:rsidR="009A43B9">
        <w:t>nonclinical</w:t>
      </w:r>
      <w:r>
        <w:t xml:space="preserve"> dossier were focussed on the pharmacokinetics </w:t>
      </w:r>
      <w:r w:rsidR="009A43B9">
        <w:t xml:space="preserve">and toxicology of the sustained </w:t>
      </w:r>
      <w:r>
        <w:t xml:space="preserve">release formulation of buprenorphine and of two of its components, glycerol </w:t>
      </w:r>
      <w:proofErr w:type="spellStart"/>
      <w:r>
        <w:t>dioleate</w:t>
      </w:r>
      <w:proofErr w:type="spellEnd"/>
      <w:r>
        <w:t xml:space="preserve"> and N-</w:t>
      </w:r>
      <w:proofErr w:type="spellStart"/>
      <w:r>
        <w:t>methylpyrrolidone</w:t>
      </w:r>
      <w:proofErr w:type="spellEnd"/>
      <w:r>
        <w:t>. Pharmacokinetics is a critical concern because it needs to be established</w:t>
      </w:r>
      <w:r w:rsidR="0022179C">
        <w:t xml:space="preserve"> that the sustained </w:t>
      </w:r>
      <w:r>
        <w:t>rele</w:t>
      </w:r>
      <w:r w:rsidR="009A43B9">
        <w:t xml:space="preserve">ase matrix (termed </w:t>
      </w:r>
      <w:proofErr w:type="spellStart"/>
      <w:r w:rsidR="009A43B9">
        <w:t>FluidCrystal</w:t>
      </w:r>
      <w:proofErr w:type="spellEnd"/>
      <w:r>
        <w:t xml:space="preserve">; comprising appropriate portions of glycerol </w:t>
      </w:r>
      <w:proofErr w:type="spellStart"/>
      <w:r>
        <w:t>dioleate</w:t>
      </w:r>
      <w:proofErr w:type="spellEnd"/>
      <w:r>
        <w:t xml:space="preserve">, soybean phosphatidylcholine, and a solvent), developed by </w:t>
      </w:r>
      <w:r w:rsidR="00AD7756">
        <w:t>the sponsor</w:t>
      </w:r>
      <w:r>
        <w:t xml:space="preserve"> (</w:t>
      </w:r>
      <w:r w:rsidR="00AD7756">
        <w:t xml:space="preserve">in </w:t>
      </w:r>
      <w:r>
        <w:t>Sweden), shows the following properties:</w:t>
      </w:r>
    </w:p>
    <w:p w14:paraId="72C2D9E9" w14:textId="124B82FD" w:rsidR="009A43B9" w:rsidRDefault="004D4774" w:rsidP="009A43B9">
      <w:pPr>
        <w:pStyle w:val="Numberbullet0"/>
      </w:pPr>
      <w:r>
        <w:t>R</w:t>
      </w:r>
      <w:r w:rsidR="00DD5884">
        <w:t>apid onset</w:t>
      </w:r>
      <w:r w:rsidR="009A43B9">
        <w:t xml:space="preserve"> of buprenorphine release</w:t>
      </w:r>
      <w:r w:rsidR="00AD7756">
        <w:t>;</w:t>
      </w:r>
    </w:p>
    <w:p w14:paraId="382EB3EF" w14:textId="26FEF83E" w:rsidR="009A43B9" w:rsidRDefault="004D4774" w:rsidP="009A43B9">
      <w:pPr>
        <w:pStyle w:val="Numberbullet0"/>
      </w:pPr>
      <w:r>
        <w:t>N</w:t>
      </w:r>
      <w:r w:rsidR="00AD7756">
        <w:t xml:space="preserve">o </w:t>
      </w:r>
      <w:r w:rsidR="009A43B9">
        <w:t>dose dumping,</w:t>
      </w:r>
      <w:r w:rsidR="00AD7756">
        <w:t xml:space="preserve"> and</w:t>
      </w:r>
    </w:p>
    <w:p w14:paraId="72B9AE10" w14:textId="3CBE7AB1" w:rsidR="009A43B9" w:rsidRDefault="004D4774" w:rsidP="009A43B9">
      <w:pPr>
        <w:pStyle w:val="Numberbullet0"/>
      </w:pPr>
      <w:r>
        <w:t>C</w:t>
      </w:r>
      <w:r w:rsidR="00AD7756">
        <w:t xml:space="preserve">ontrolled </w:t>
      </w:r>
      <w:r w:rsidR="00DD5884">
        <w:t>and sustained release of buprenorphine, within the therapeutic w</w:t>
      </w:r>
      <w:r w:rsidR="009A43B9">
        <w:t>indow, for a reproducible time.</w:t>
      </w:r>
    </w:p>
    <w:p w14:paraId="58579EA3" w14:textId="77777777" w:rsidR="00DD5884" w:rsidRDefault="00DD5884" w:rsidP="00DD5884">
      <w:r>
        <w:t xml:space="preserve">The components glycerol </w:t>
      </w:r>
      <w:proofErr w:type="spellStart"/>
      <w:r>
        <w:t>dioleate</w:t>
      </w:r>
      <w:proofErr w:type="spellEnd"/>
      <w:r>
        <w:t xml:space="preserve"> and N-</w:t>
      </w:r>
      <w:proofErr w:type="spellStart"/>
      <w:r>
        <w:t>methylpyrrolidone</w:t>
      </w:r>
      <w:proofErr w:type="spellEnd"/>
      <w:r>
        <w:t xml:space="preserve"> warrant special attention because glycerol </w:t>
      </w:r>
      <w:proofErr w:type="spellStart"/>
      <w:r>
        <w:t>dioleate</w:t>
      </w:r>
      <w:proofErr w:type="spellEnd"/>
      <w:r>
        <w:t xml:space="preserve"> has not t</w:t>
      </w:r>
      <w:r w:rsidR="009A43B9">
        <w:t xml:space="preserve">ypically been used in sustained </w:t>
      </w:r>
      <w:r>
        <w:t>release matrices and because it is proposed to use N-</w:t>
      </w:r>
      <w:proofErr w:type="spellStart"/>
      <w:r>
        <w:t>methylpyrrolidone</w:t>
      </w:r>
      <w:proofErr w:type="spellEnd"/>
      <w:r>
        <w:t xml:space="preserve"> (a</w:t>
      </w:r>
      <w:r w:rsidR="009A43B9">
        <w:t xml:space="preserve"> critical component of the four week sustained </w:t>
      </w:r>
      <w:r>
        <w:t>release matrix) at levels that could result in toxicological risks to patients.</w:t>
      </w:r>
    </w:p>
    <w:p w14:paraId="346DB2C0" w14:textId="0A168BEC" w:rsidR="004334C7" w:rsidRDefault="00DD5884" w:rsidP="00DD5884">
      <w:r>
        <w:lastRenderedPageBreak/>
        <w:t>The submitted studies were uniformly of high quality.</w:t>
      </w:r>
    </w:p>
    <w:p w14:paraId="1E029409" w14:textId="26CDEB59" w:rsidR="0022179C" w:rsidRPr="004334C7" w:rsidRDefault="0022179C" w:rsidP="0022179C">
      <w:r>
        <w:t xml:space="preserve">Both the q1w and q4w formulations of depot buprenorphine proposed for registration were referred to as </w:t>
      </w:r>
      <w:r w:rsidRPr="00B6160C">
        <w:t>CAM2038</w:t>
      </w:r>
      <w:r>
        <w:t xml:space="preserve"> in the submission</w:t>
      </w:r>
    </w:p>
    <w:p w14:paraId="6F6F39ED" w14:textId="77777777" w:rsidR="008E7846" w:rsidRDefault="008E7846" w:rsidP="008E7846">
      <w:pPr>
        <w:pStyle w:val="Heading3"/>
      </w:pPr>
      <w:bookmarkStart w:id="46" w:name="_Toc247691512"/>
      <w:bookmarkStart w:id="47" w:name="_Toc314842496"/>
      <w:bookmarkStart w:id="48" w:name="_Toc24539922"/>
      <w:r w:rsidRPr="00020030">
        <w:t>Pharmacology</w:t>
      </w:r>
      <w:bookmarkEnd w:id="46"/>
      <w:bookmarkEnd w:id="47"/>
      <w:bookmarkEnd w:id="48"/>
    </w:p>
    <w:p w14:paraId="190E328F" w14:textId="77777777" w:rsidR="00DD5884" w:rsidRDefault="009A43B9" w:rsidP="00DD5884">
      <w:r>
        <w:t>Buprenorphine is a well-established</w:t>
      </w:r>
      <w:r w:rsidR="00DD5884">
        <w:t xml:space="preserve"> drug in clinical practice, having been widely used as an analgesic since the 1980s, and various dos</w:t>
      </w:r>
      <w:r>
        <w:t>age forms (tablets, patches, et cetera</w:t>
      </w:r>
      <w:r w:rsidR="00DD5884">
        <w:t>) have been registered by the TGA for many years. There is extensive data in the literature regarding the pharmacological properties and safety issues associated with this drug and these have been the subject of previous TGA assessments. Accordingly, it is reasonable that the sponsor has done little research in this area.</w:t>
      </w:r>
    </w:p>
    <w:p w14:paraId="50B65C5C" w14:textId="77777777" w:rsidR="00DD5884" w:rsidRDefault="00DD5884" w:rsidP="00DD5884">
      <w:pPr>
        <w:pStyle w:val="Heading4"/>
      </w:pPr>
      <w:r>
        <w:t>Primary pharmacology</w:t>
      </w:r>
    </w:p>
    <w:p w14:paraId="7F02090A" w14:textId="7586BBA7" w:rsidR="00DD5884" w:rsidRDefault="00DD5884" w:rsidP="00DD5884">
      <w:r>
        <w:t>B</w:t>
      </w:r>
      <w:r w:rsidR="009A43B9">
        <w:t xml:space="preserve">uprenorphine is a high </w:t>
      </w:r>
      <w:r>
        <w:t>affinity partial agonist at the human µ opioid receptor (</w:t>
      </w:r>
      <w:r w:rsidR="009A43B9">
        <w:rPr>
          <w:rFonts w:eastAsia="TimesNewRomanPSMT" w:cstheme="minorHAnsi"/>
          <w:color w:val="000000"/>
        </w:rPr>
        <w:t>inhibitory constant</w:t>
      </w:r>
      <w:r w:rsidR="009A43B9">
        <w:t xml:space="preserve"> (</w:t>
      </w:r>
      <w:r>
        <w:t>Ki</w:t>
      </w:r>
      <w:r w:rsidR="009A43B9">
        <w:t xml:space="preserve">) = 1.5 </w:t>
      </w:r>
      <w:proofErr w:type="spellStart"/>
      <w:r w:rsidR="009A43B9">
        <w:t>nM</w:t>
      </w:r>
      <w:proofErr w:type="spellEnd"/>
      <w:r w:rsidR="009A43B9">
        <w:t xml:space="preserve">) and is a high </w:t>
      </w:r>
      <w:r>
        <w:t xml:space="preserve">affinity antagonist at the </w:t>
      </w:r>
      <w:r w:rsidR="00AD7756">
        <w:t>sigma (</w:t>
      </w:r>
      <w:r>
        <w:t>δ</w:t>
      </w:r>
      <w:r w:rsidR="00AD7756">
        <w:t>) opioid receptor</w:t>
      </w:r>
      <w:r>
        <w:t xml:space="preserve"> (Ki</w:t>
      </w:r>
      <w:r w:rsidR="00AD7756">
        <w:t> </w:t>
      </w:r>
      <w:r>
        <w:t xml:space="preserve">= 6.1 </w:t>
      </w:r>
      <w:proofErr w:type="spellStart"/>
      <w:r>
        <w:t>nM</w:t>
      </w:r>
      <w:proofErr w:type="spellEnd"/>
      <w:r>
        <w:t xml:space="preserve">) and κ (Ki = 2.5 </w:t>
      </w:r>
      <w:proofErr w:type="spellStart"/>
      <w:r>
        <w:t>nM</w:t>
      </w:r>
      <w:proofErr w:type="spellEnd"/>
      <w:r>
        <w:t>) opioid recepto</w:t>
      </w:r>
      <w:r w:rsidR="009A43B9">
        <w:t xml:space="preserve">r, as well as being a moderate </w:t>
      </w:r>
      <w:r>
        <w:t xml:space="preserve">affinity partial agonist for </w:t>
      </w:r>
      <w:proofErr w:type="spellStart"/>
      <w:r>
        <w:t>nociceptin</w:t>
      </w:r>
      <w:proofErr w:type="spellEnd"/>
      <w:r>
        <w:t xml:space="preserve"> opioid receptors (Ki = 77.4 </w:t>
      </w:r>
      <w:proofErr w:type="spellStart"/>
      <w:r>
        <w:t>nM</w:t>
      </w:r>
      <w:proofErr w:type="spellEnd"/>
      <w:r>
        <w:t>). The high affinity but low intrinsic activity at µ opioid receptors may explain the ability of buprenorphine to reduce cravings for commonly abused opioid drugs. No new studies in this general area were presented by the sponsor.</w:t>
      </w:r>
    </w:p>
    <w:p w14:paraId="0C21B9C0" w14:textId="77777777" w:rsidR="00DD5884" w:rsidRDefault="00DD5884" w:rsidP="00DD5884">
      <w:pPr>
        <w:pStyle w:val="Heading4"/>
      </w:pPr>
      <w:r>
        <w:t>Secondary pharmacodynamics and safety pharmacology</w:t>
      </w:r>
    </w:p>
    <w:p w14:paraId="04DFAAA2" w14:textId="77777777" w:rsidR="00DD5884" w:rsidRDefault="00DD5884" w:rsidP="00DD5884">
      <w:r>
        <w:t>No secondary pharmacodynamics studies were presented by the sponsor.</w:t>
      </w:r>
    </w:p>
    <w:p w14:paraId="13A1BEF4" w14:textId="24A98A32" w:rsidR="00DD5884" w:rsidRDefault="00DD5884" w:rsidP="00DD5884">
      <w:r>
        <w:t xml:space="preserve">An </w:t>
      </w:r>
      <w:r w:rsidRPr="009A43B9">
        <w:rPr>
          <w:i/>
        </w:rPr>
        <w:t>in vitro</w:t>
      </w:r>
      <w:r>
        <w:t xml:space="preserve"> study examined the sensitivity of </w:t>
      </w:r>
      <w:r w:rsidR="009A43B9" w:rsidRPr="009A43B9">
        <w:t>human ether-</w:t>
      </w:r>
      <w:r w:rsidR="003179AE">
        <w:t>à</w:t>
      </w:r>
      <w:r w:rsidR="009A43B9" w:rsidRPr="009A43B9">
        <w:t>-go-go related gene</w:t>
      </w:r>
      <w:r w:rsidR="009A43B9">
        <w:t xml:space="preserve"> (</w:t>
      </w:r>
      <w:proofErr w:type="spellStart"/>
      <w:r>
        <w:t>hERG</w:t>
      </w:r>
      <w:proofErr w:type="spellEnd"/>
      <w:r w:rsidR="009A43B9">
        <w:t>) potassium (</w:t>
      </w:r>
      <w:r>
        <w:t>K</w:t>
      </w:r>
      <w:r w:rsidRPr="009A43B9">
        <w:rPr>
          <w:vertAlign w:val="superscript"/>
        </w:rPr>
        <w:t>+</w:t>
      </w:r>
      <w:r w:rsidR="009A43B9">
        <w:t>)</w:t>
      </w:r>
      <w:r>
        <w:t xml:space="preserve"> channels, expressed in human HEK293 cells, to inhibition by buprenorphine and its major metabolite </w:t>
      </w:r>
      <w:proofErr w:type="spellStart"/>
      <w:r>
        <w:t>norbuprenorphine</w:t>
      </w:r>
      <w:proofErr w:type="spellEnd"/>
      <w:r>
        <w:t xml:space="preserve"> and obtained </w:t>
      </w:r>
      <w:r w:rsidR="009A43B9">
        <w:t>half maximal inhibitory concentration (</w:t>
      </w:r>
      <w:r>
        <w:t>IC</w:t>
      </w:r>
      <w:r w:rsidRPr="009A43B9">
        <w:rPr>
          <w:vertAlign w:val="subscript"/>
        </w:rPr>
        <w:t>50</w:t>
      </w:r>
      <w:r w:rsidR="009A43B9">
        <w:t>)</w:t>
      </w:r>
      <w:r>
        <w:t xml:space="preserve"> values of 11 </w:t>
      </w:r>
      <w:r w:rsidR="003179AE">
        <w:t>µ</w:t>
      </w:r>
      <w:r>
        <w:t xml:space="preserve">M and 70 </w:t>
      </w:r>
      <w:r w:rsidR="003179AE">
        <w:t>µ</w:t>
      </w:r>
      <w:r>
        <w:t>M, respectively. According</w:t>
      </w:r>
      <w:r w:rsidR="009A43B9">
        <w:t xml:space="preserve"> to the s</w:t>
      </w:r>
      <w:r>
        <w:t xml:space="preserve">ponsor’s dossier, the mean </w:t>
      </w:r>
      <w:r w:rsidR="00246DC3">
        <w:rPr>
          <w:rFonts w:cstheme="minorHAnsi"/>
        </w:rPr>
        <w:t>maximum observed plasma concentration</w:t>
      </w:r>
      <w:r w:rsidR="00246DC3">
        <w:t xml:space="preserve"> (</w:t>
      </w:r>
      <w:proofErr w:type="spellStart"/>
      <w:r>
        <w:t>C</w:t>
      </w:r>
      <w:r w:rsidRPr="009A43B9">
        <w:rPr>
          <w:vertAlign w:val="subscript"/>
        </w:rPr>
        <w:t>max</w:t>
      </w:r>
      <w:proofErr w:type="spellEnd"/>
      <w:r w:rsidR="00246DC3">
        <w:t>)</w:t>
      </w:r>
      <w:r>
        <w:t xml:space="preserve"> for buprenorphine, in patients dosed with </w:t>
      </w:r>
      <w:r w:rsidR="00246DC3">
        <w:rPr>
          <w:rFonts w:cstheme="minorHAnsi"/>
          <w:color w:val="000000"/>
        </w:rPr>
        <w:t xml:space="preserve">buprenorphine </w:t>
      </w:r>
      <w:proofErr w:type="spellStart"/>
      <w:r w:rsidR="00246DC3">
        <w:rPr>
          <w:rFonts w:cstheme="minorHAnsi"/>
          <w:color w:val="000000"/>
        </w:rPr>
        <w:t>FluidCrystal</w:t>
      </w:r>
      <w:proofErr w:type="spellEnd"/>
      <w:r w:rsidR="00246DC3">
        <w:rPr>
          <w:rFonts w:cstheme="minorHAnsi"/>
          <w:color w:val="000000"/>
        </w:rPr>
        <w:t xml:space="preserve"> once monthly subcutaneous injection depot</w:t>
      </w:r>
      <w:r w:rsidR="00246DC3">
        <w:t xml:space="preserve"> (</w:t>
      </w:r>
      <w:r>
        <w:t>CAM2038</w:t>
      </w:r>
      <w:r w:rsidR="00246DC3">
        <w:t>)</w:t>
      </w:r>
      <w:r>
        <w:t xml:space="preserve"> q4w containing 160 mg of buprenorphine, is 17.3 ng/mL (37 </w:t>
      </w:r>
      <w:proofErr w:type="spellStart"/>
      <w:r>
        <w:t>nM</w:t>
      </w:r>
      <w:proofErr w:type="spellEnd"/>
      <w:r>
        <w:t>). This represents a safety margin (IC</w:t>
      </w:r>
      <w:r w:rsidRPr="00246DC3">
        <w:rPr>
          <w:vertAlign w:val="subscript"/>
        </w:rPr>
        <w:t>50</w:t>
      </w:r>
      <w:r>
        <w:t>/</w:t>
      </w:r>
      <w:proofErr w:type="spellStart"/>
      <w:r>
        <w:t>C</w:t>
      </w:r>
      <w:r w:rsidRPr="00246DC3">
        <w:rPr>
          <w:vertAlign w:val="subscript"/>
        </w:rPr>
        <w:t>max</w:t>
      </w:r>
      <w:proofErr w:type="spellEnd"/>
      <w:r>
        <w:t>) of ~</w:t>
      </w:r>
      <w:r w:rsidR="00246DC3">
        <w:t xml:space="preserve"> </w:t>
      </w:r>
      <w:r>
        <w:t>300 (and &gt;</w:t>
      </w:r>
      <w:r w:rsidR="00246DC3">
        <w:t xml:space="preserve"> </w:t>
      </w:r>
      <w:r>
        <w:t xml:space="preserve">1000 for </w:t>
      </w:r>
      <w:proofErr w:type="spellStart"/>
      <w:r>
        <w:t>norbuprenorphine</w:t>
      </w:r>
      <w:proofErr w:type="spellEnd"/>
      <w:r>
        <w:t xml:space="preserve">) and suggests that the buprenorphine released from CAM2038 has low potential to cause </w:t>
      </w:r>
      <w:proofErr w:type="spellStart"/>
      <w:r>
        <w:t>hERG</w:t>
      </w:r>
      <w:proofErr w:type="spellEnd"/>
      <w:r>
        <w:t xml:space="preserve"> inhibition.</w:t>
      </w:r>
    </w:p>
    <w:p w14:paraId="3F274FA9" w14:textId="5618997F" w:rsidR="004334C7" w:rsidRPr="004334C7" w:rsidRDefault="00DD5884" w:rsidP="00DD5884">
      <w:r>
        <w:t xml:space="preserve">No specific safety pharmacology studies were performed, although a mild increase of </w:t>
      </w:r>
      <w:r w:rsidR="00246DC3">
        <w:t>corrected QT interval (</w:t>
      </w:r>
      <w:proofErr w:type="spellStart"/>
      <w:r>
        <w:t>QTc</w:t>
      </w:r>
      <w:proofErr w:type="spellEnd"/>
      <w:r w:rsidR="00246DC3">
        <w:t>)</w:t>
      </w:r>
      <w:r>
        <w:t xml:space="preserve"> was noted after the first, but not the last, dose of CAM2038 q1w or CAM2038 q4w during repeat dosing </w:t>
      </w:r>
      <w:r w:rsidR="00230E29">
        <w:t xml:space="preserve">for up to 9 months in </w:t>
      </w:r>
      <w:r>
        <w:t xml:space="preserve">dogs. The basis for this finding was not explored. Lengthening of </w:t>
      </w:r>
      <w:proofErr w:type="spellStart"/>
      <w:r>
        <w:t>QTc</w:t>
      </w:r>
      <w:proofErr w:type="spellEnd"/>
      <w:r>
        <w:t xml:space="preserve"> by buprenorphine has also been reported in humans.</w:t>
      </w:r>
    </w:p>
    <w:p w14:paraId="6227E900" w14:textId="77777777" w:rsidR="008E7846" w:rsidRDefault="008E7846" w:rsidP="008E7846">
      <w:pPr>
        <w:pStyle w:val="Heading3"/>
      </w:pPr>
      <w:bookmarkStart w:id="49" w:name="_Toc247691513"/>
      <w:bookmarkStart w:id="50" w:name="_Toc314842497"/>
      <w:bookmarkStart w:id="51" w:name="_Toc24539923"/>
      <w:r>
        <w:t>Pharmacokinetics</w:t>
      </w:r>
      <w:bookmarkEnd w:id="49"/>
      <w:bookmarkEnd w:id="50"/>
      <w:bookmarkEnd w:id="51"/>
    </w:p>
    <w:p w14:paraId="30228057" w14:textId="77777777" w:rsidR="004B3557" w:rsidRDefault="004B3557" w:rsidP="004B3557">
      <w:pPr>
        <w:pStyle w:val="Heading4"/>
      </w:pPr>
      <w:bookmarkStart w:id="52" w:name="_Toc247691514"/>
      <w:bookmarkStart w:id="53" w:name="_Toc314842498"/>
      <w:r>
        <w:t>Buprenorphine</w:t>
      </w:r>
    </w:p>
    <w:p w14:paraId="36A24D31" w14:textId="77777777" w:rsidR="004B3557" w:rsidRDefault="00246DC3" w:rsidP="004B3557">
      <w:r>
        <w:t xml:space="preserve">Single </w:t>
      </w:r>
      <w:r w:rsidR="004B3557">
        <w:t>dose studies examined the pharmacokinetics of buprenorphine release from weekly and monthly sustained-release dosage formulations (comparable</w:t>
      </w:r>
      <w:r>
        <w:t xml:space="preserve"> with the clinical formulations</w:t>
      </w:r>
      <w:r w:rsidR="004B3557">
        <w:t xml:space="preserve">) following SC injection into rats, dogs, or pigs. The monthly formulation differs from the weekly formulation in having a markedly higher concentration of buprenorphine, which necessitates a lower content of glycerol </w:t>
      </w:r>
      <w:proofErr w:type="spellStart"/>
      <w:r w:rsidR="004B3557">
        <w:t>dioleate</w:t>
      </w:r>
      <w:proofErr w:type="spellEnd"/>
      <w:r w:rsidR="004B3557">
        <w:t xml:space="preserve"> and phosphatidylcholine and the use of N-</w:t>
      </w:r>
      <w:proofErr w:type="spellStart"/>
      <w:r w:rsidR="004B3557">
        <w:t>methylpyrrolidone</w:t>
      </w:r>
      <w:proofErr w:type="spellEnd"/>
      <w:r w:rsidR="004B3557">
        <w:t xml:space="preserve"> (rather than ethanol) as the </w:t>
      </w:r>
      <w:r w:rsidR="004B3557">
        <w:lastRenderedPageBreak/>
        <w:t>solvent. Studies in rats suggested that buprenorphine had very high bioavailability when administered SC in sustained-release form.</w:t>
      </w:r>
    </w:p>
    <w:p w14:paraId="0B782480" w14:textId="2972D1FA" w:rsidR="004B3557" w:rsidRDefault="00D94E33" w:rsidP="004B3557">
      <w:r>
        <w:t xml:space="preserve">Administration of weekly </w:t>
      </w:r>
      <w:r w:rsidR="004B3557">
        <w:t xml:space="preserve">type formulations to all three test species produced </w:t>
      </w:r>
      <w:r>
        <w:rPr>
          <w:rFonts w:cstheme="minorHAnsi"/>
        </w:rPr>
        <w:t>time of maximum plasma concentration</w:t>
      </w:r>
      <w:r>
        <w:t xml:space="preserve"> (</w:t>
      </w:r>
      <w:proofErr w:type="spellStart"/>
      <w:r w:rsidR="004B3557">
        <w:t>T</w:t>
      </w:r>
      <w:r w:rsidR="004B3557" w:rsidRPr="00D94E33">
        <w:rPr>
          <w:vertAlign w:val="subscript"/>
        </w:rPr>
        <w:t>max</w:t>
      </w:r>
      <w:proofErr w:type="spellEnd"/>
      <w:r>
        <w:t>)</w:t>
      </w:r>
      <w:r w:rsidR="004B3557">
        <w:t xml:space="preserve"> values for plasma buprenorphine of around one day after SC dosing. The buprenorphine concentration in rats and dogs then declined slowly with </w:t>
      </w:r>
      <w:r>
        <w:t>biological half-life (</w:t>
      </w:r>
      <w:r w:rsidR="00213ADE">
        <w:t>T</w:t>
      </w:r>
      <w:r w:rsidR="00213ADE" w:rsidRPr="00C80D9E">
        <w:rPr>
          <w:vertAlign w:val="subscript"/>
        </w:rPr>
        <w:t>1/2</w:t>
      </w:r>
      <w:r>
        <w:t xml:space="preserve">) values of around 3 to </w:t>
      </w:r>
      <w:r w:rsidR="004B3557">
        <w:t>5 days. In contras</w:t>
      </w:r>
      <w:r>
        <w:t xml:space="preserve">t, SC administration of monthly </w:t>
      </w:r>
      <w:r w:rsidR="004B3557">
        <w:t xml:space="preserve">type formulations to rats produced </w:t>
      </w:r>
      <w:proofErr w:type="spellStart"/>
      <w:r w:rsidR="004B3557">
        <w:t>T</w:t>
      </w:r>
      <w:r w:rsidR="004B3557" w:rsidRPr="00D94E33">
        <w:rPr>
          <w:vertAlign w:val="subscript"/>
        </w:rPr>
        <w:t>max</w:t>
      </w:r>
      <w:proofErr w:type="spellEnd"/>
      <w:r w:rsidR="004B3557">
        <w:t xml:space="preserve"> values for plasma buprenorphine of between 1 and 2 weeks after dosing and </w:t>
      </w:r>
      <w:r w:rsidR="00213ADE">
        <w:t>T</w:t>
      </w:r>
      <w:r w:rsidR="00213ADE" w:rsidRPr="00AB273A">
        <w:rPr>
          <w:vertAlign w:val="subscript"/>
        </w:rPr>
        <w:t>1/2</w:t>
      </w:r>
      <w:r w:rsidR="004B3557">
        <w:t xml:space="preserve"> values of around 10</w:t>
      </w:r>
      <w:r w:rsidR="00213ADE">
        <w:t> </w:t>
      </w:r>
      <w:r w:rsidR="004B3557">
        <w:t xml:space="preserve">days. Rat and dog studies suggested that </w:t>
      </w:r>
      <w:r>
        <w:t xml:space="preserve">the </w:t>
      </w:r>
      <w:r>
        <w:rPr>
          <w:rFonts w:cstheme="minorHAnsi"/>
        </w:rPr>
        <w:t>area under the plasma concentration time curve</w:t>
      </w:r>
      <w:r>
        <w:t xml:space="preserve"> (</w:t>
      </w:r>
      <w:r w:rsidR="004B3557">
        <w:t>AUC</w:t>
      </w:r>
      <w:r>
        <w:t>)</w:t>
      </w:r>
      <w:r w:rsidR="004B3557">
        <w:t xml:space="preserve"> for buprenorphine could increase in propor</w:t>
      </w:r>
      <w:r>
        <w:t xml:space="preserve">tion with the dose of sustained </w:t>
      </w:r>
      <w:r w:rsidR="004B3557">
        <w:t>release formulation.</w:t>
      </w:r>
    </w:p>
    <w:p w14:paraId="1B1CF1DB" w14:textId="77777777" w:rsidR="004B3557" w:rsidRDefault="004B3557" w:rsidP="004B3557">
      <w:r>
        <w:t xml:space="preserve">There was no evidence for dose dumping in any of these studies, and data from dogs suggested that </w:t>
      </w:r>
      <w:proofErr w:type="spellStart"/>
      <w:r>
        <w:t>C</w:t>
      </w:r>
      <w:r w:rsidRPr="00D94E33">
        <w:rPr>
          <w:vertAlign w:val="subscript"/>
        </w:rPr>
        <w:t>max</w:t>
      </w:r>
      <w:proofErr w:type="spellEnd"/>
      <w:r>
        <w:t xml:space="preserve"> increased as a function of th</w:t>
      </w:r>
      <w:r w:rsidR="00D94E33">
        <w:t xml:space="preserve">e surface area of the sustained </w:t>
      </w:r>
      <w:r>
        <w:t>release drug depot. Furthermore, it was shown that the pharmacokinetics of buprenorphine release in rats from SC weekly or monthly s</w:t>
      </w:r>
      <w:r w:rsidR="00D94E33">
        <w:t xml:space="preserve">ustained </w:t>
      </w:r>
      <w:r>
        <w:t>release drug depots was not significantly influenced by mechanical challenge (squeezing and rubbing) of the drug depots or by storage of the formulations at room temperature for at least 2 years prior to administration.</w:t>
      </w:r>
    </w:p>
    <w:p w14:paraId="4077309B" w14:textId="4C71F698" w:rsidR="004B3557" w:rsidRDefault="004B3557" w:rsidP="004B3557">
      <w:r>
        <w:t>Comparison of the animal pharmaco</w:t>
      </w:r>
      <w:r w:rsidR="00D94E33">
        <w:t>kinetic results with human data;</w:t>
      </w:r>
      <w:bookmarkStart w:id="54" w:name="_Ref18396568"/>
      <w:r w:rsidR="00D94E33">
        <w:rPr>
          <w:rStyle w:val="FootnoteReference"/>
        </w:rPr>
        <w:footnoteReference w:id="4"/>
      </w:r>
      <w:bookmarkEnd w:id="54"/>
      <w:r>
        <w:t xml:space="preserve"> suggests both similarities and differences: AUC for buprenorphine can increase in propor</w:t>
      </w:r>
      <w:r w:rsidR="0022179C">
        <w:t xml:space="preserve">tion with the dose of sustained </w:t>
      </w:r>
      <w:r>
        <w:t xml:space="preserve">release formulation for both animals and humans; </w:t>
      </w:r>
      <w:proofErr w:type="spellStart"/>
      <w:r>
        <w:t>T</w:t>
      </w:r>
      <w:r w:rsidRPr="00D94E33">
        <w:rPr>
          <w:vertAlign w:val="subscript"/>
        </w:rPr>
        <w:t>max</w:t>
      </w:r>
      <w:proofErr w:type="spellEnd"/>
      <w:r>
        <w:t xml:space="preserve"> after dosing with a weekly formulation occurred at around 24 h</w:t>
      </w:r>
      <w:r w:rsidR="00D94E33">
        <w:t>ours</w:t>
      </w:r>
      <w:r>
        <w:t xml:space="preserve"> for both animals and humans, although </w:t>
      </w:r>
      <w:proofErr w:type="spellStart"/>
      <w:r>
        <w:t>T</w:t>
      </w:r>
      <w:r w:rsidRPr="00D94E33">
        <w:rPr>
          <w:vertAlign w:val="subscript"/>
        </w:rPr>
        <w:t>max</w:t>
      </w:r>
      <w:proofErr w:type="spellEnd"/>
      <w:r>
        <w:t xml:space="preserve"> was ≤</w:t>
      </w:r>
      <w:r w:rsidR="00D94E33">
        <w:t xml:space="preserve"> </w:t>
      </w:r>
      <w:r>
        <w:t>10 h</w:t>
      </w:r>
      <w:r w:rsidR="00D94E33">
        <w:t>ours</w:t>
      </w:r>
      <w:r>
        <w:t xml:space="preserve"> for monthly formulation in humans; and </w:t>
      </w:r>
      <w:r w:rsidR="00213ADE">
        <w:t>T</w:t>
      </w:r>
      <w:r w:rsidR="00213ADE" w:rsidRPr="00AB273A">
        <w:rPr>
          <w:vertAlign w:val="subscript"/>
        </w:rPr>
        <w:t>1/2</w:t>
      </w:r>
      <w:r>
        <w:t xml:space="preserve"> for monthly formulation in humans was around 3 weeks, which is somewhat longer than rat values of around 10 days. Overall, the animal results appear reasonably comparable with those from humans.</w:t>
      </w:r>
    </w:p>
    <w:p w14:paraId="3790802D" w14:textId="60AA18C0" w:rsidR="004B3557" w:rsidRDefault="004B3557" w:rsidP="004B3557">
      <w:r>
        <w:t>The pharmacokinetics associated with repeat SC dosing w</w:t>
      </w:r>
      <w:r w:rsidR="00D94E33">
        <w:t xml:space="preserve">ith weekly or monthly sustained </w:t>
      </w:r>
      <w:r>
        <w:t>release formulations were exami</w:t>
      </w:r>
      <w:r w:rsidR="00D94E33">
        <w:t xml:space="preserve">ned using dogs. For once </w:t>
      </w:r>
      <w:r>
        <w:t xml:space="preserve">weekly dosing, steady state was achieved after the second dose containing 7.5 mg of buprenorphine, whilst there was some accumulation of buprenorphine </w:t>
      </w:r>
      <w:r w:rsidR="00230E29">
        <w:t xml:space="preserve">after four weeks </w:t>
      </w:r>
      <w:r>
        <w:t>when dosing was at 60 mg. Comparison of single administration of 60 mg of bupr</w:t>
      </w:r>
      <w:r w:rsidR="00D94E33">
        <w:t xml:space="preserve">enorphine, as monthly sustained </w:t>
      </w:r>
      <w:r>
        <w:t>release formulation, with</w:t>
      </w:r>
      <w:r w:rsidR="00D94E33">
        <w:t xml:space="preserve"> 4 times</w:t>
      </w:r>
      <w:r>
        <w:t xml:space="preserve"> 15 mg doses of buprenorphine, as weekly sustained-release formulation, showed comparable exposure (AUC) </w:t>
      </w:r>
      <w:r w:rsidR="00D94E33">
        <w:t xml:space="preserve">for both. By comparison, steady </w:t>
      </w:r>
      <w:r>
        <w:t>state conditions for humans receiving 16 mg of buprenorphine per week as CAM2038 q1w were achieved after the fourth dose.</w:t>
      </w:r>
      <w:r w:rsidR="00D94E33">
        <w:fldChar w:fldCharType="begin"/>
      </w:r>
      <w:r w:rsidR="00D94E33">
        <w:instrText xml:space="preserve"> NOTEREF _Ref18396568 \f \h </w:instrText>
      </w:r>
      <w:r w:rsidR="00D94E33">
        <w:fldChar w:fldCharType="separate"/>
      </w:r>
      <w:r w:rsidR="00D94E33" w:rsidRPr="00D94E33">
        <w:rPr>
          <w:rStyle w:val="FootnoteReference"/>
        </w:rPr>
        <w:t>1</w:t>
      </w:r>
      <w:r w:rsidR="00D94E33">
        <w:fldChar w:fldCharType="end"/>
      </w:r>
    </w:p>
    <w:p w14:paraId="3D921E55" w14:textId="77777777" w:rsidR="004B3557" w:rsidRDefault="004B3557" w:rsidP="004B3557">
      <w:pPr>
        <w:pStyle w:val="Heading4"/>
      </w:pPr>
      <w:r>
        <w:t xml:space="preserve">Glycerol </w:t>
      </w:r>
      <w:proofErr w:type="spellStart"/>
      <w:r>
        <w:t>dioleate</w:t>
      </w:r>
      <w:proofErr w:type="spellEnd"/>
      <w:r>
        <w:t xml:space="preserve"> and </w:t>
      </w:r>
      <w:r w:rsidRPr="001A504D">
        <w:rPr>
          <w:i/>
        </w:rPr>
        <w:t>N</w:t>
      </w:r>
      <w:r>
        <w:t>-</w:t>
      </w:r>
      <w:proofErr w:type="spellStart"/>
      <w:r>
        <w:t>methylpyrrolidone</w:t>
      </w:r>
      <w:proofErr w:type="spellEnd"/>
    </w:p>
    <w:p w14:paraId="29A27082" w14:textId="77777777" w:rsidR="004B3557" w:rsidRDefault="00D94E33" w:rsidP="004B3557">
      <w:r>
        <w:t xml:space="preserve">The effect of sustained </w:t>
      </w:r>
      <w:r w:rsidR="004B3557">
        <w:t xml:space="preserve">release formulation on circulating levels of glycerol </w:t>
      </w:r>
      <w:proofErr w:type="spellStart"/>
      <w:r w:rsidR="004B3557">
        <w:t>dioleate</w:t>
      </w:r>
      <w:proofErr w:type="spellEnd"/>
      <w:r w:rsidR="004B3557">
        <w:t xml:space="preserve"> was tested by giving rats a SC dose of pure glycerol</w:t>
      </w:r>
      <w:r>
        <w:t xml:space="preserve"> </w:t>
      </w:r>
      <w:proofErr w:type="spellStart"/>
      <w:r>
        <w:t>dioleate</w:t>
      </w:r>
      <w:proofErr w:type="spellEnd"/>
      <w:r>
        <w:t xml:space="preserve"> or placebo for weekly </w:t>
      </w:r>
      <w:r w:rsidR="004B3557">
        <w:t xml:space="preserve">type CAM2038 </w:t>
      </w:r>
      <w:r>
        <w:t>formulation (that is,</w:t>
      </w:r>
      <w:r w:rsidR="004B3557">
        <w:t xml:space="preserve"> lacking buprenorphine) at 960 mg/kg., Neither </w:t>
      </w:r>
      <w:proofErr w:type="spellStart"/>
      <w:r w:rsidR="004B3557">
        <w:t>injectate</w:t>
      </w:r>
      <w:proofErr w:type="spellEnd"/>
      <w:r w:rsidR="004B3557">
        <w:t xml:space="preserve"> produced an increase in plasma glycerol </w:t>
      </w:r>
      <w:proofErr w:type="spellStart"/>
      <w:r w:rsidR="004B3557">
        <w:t>dioleate</w:t>
      </w:r>
      <w:proofErr w:type="spellEnd"/>
      <w:r w:rsidR="004B3557">
        <w:t xml:space="preserve"> concentrations (measured up to 70 days after dosing), suggesting that subcutaneous glycerol </w:t>
      </w:r>
      <w:proofErr w:type="spellStart"/>
      <w:r w:rsidR="004B3557">
        <w:t>dioleate</w:t>
      </w:r>
      <w:proofErr w:type="spellEnd"/>
      <w:r w:rsidR="004B3557">
        <w:t xml:space="preserve"> is metabolised locally and does not enter the circulation.</w:t>
      </w:r>
    </w:p>
    <w:p w14:paraId="57C2E598" w14:textId="55CA0771" w:rsidR="00885CE7" w:rsidRDefault="004B3557" w:rsidP="004B3557">
      <w:r>
        <w:t xml:space="preserve">The pharmacokinetics of </w:t>
      </w:r>
      <w:r w:rsidRPr="001A504D">
        <w:rPr>
          <w:i/>
        </w:rPr>
        <w:t>N</w:t>
      </w:r>
      <w:r>
        <w:t>-</w:t>
      </w:r>
      <w:proofErr w:type="spellStart"/>
      <w:r>
        <w:t>methylpyrrolidone</w:t>
      </w:r>
      <w:proofErr w:type="spellEnd"/>
      <w:r>
        <w:t xml:space="preserve"> were examined following SC injection into rats and rabbits. For rats dosed at 100, 250, or 500 mg/kg, AUC and </w:t>
      </w:r>
      <w:proofErr w:type="spellStart"/>
      <w:r>
        <w:t>C</w:t>
      </w:r>
      <w:r w:rsidRPr="00D94E33">
        <w:rPr>
          <w:vertAlign w:val="subscript"/>
        </w:rPr>
        <w:t>max</w:t>
      </w:r>
      <w:proofErr w:type="spellEnd"/>
      <w:r>
        <w:t xml:space="preserve"> increased with dose, </w:t>
      </w:r>
      <w:proofErr w:type="spellStart"/>
      <w:r>
        <w:t>T</w:t>
      </w:r>
      <w:r w:rsidRPr="00D94E33">
        <w:rPr>
          <w:vertAlign w:val="subscript"/>
        </w:rPr>
        <w:t>max</w:t>
      </w:r>
      <w:proofErr w:type="spellEnd"/>
      <w:r>
        <w:t xml:space="preserve"> was at 0.3 h</w:t>
      </w:r>
      <w:r w:rsidR="00D94E33">
        <w:t>ours</w:t>
      </w:r>
      <w:r w:rsidR="008C2B63">
        <w:t xml:space="preserve"> for the low dose</w:t>
      </w:r>
      <w:r w:rsidR="00F45C32">
        <w:t xml:space="preserve"> and at 1 hour</w:t>
      </w:r>
      <w:r w:rsidR="001A504D">
        <w:t xml:space="preserve"> for the higher doses, and T</w:t>
      </w:r>
      <w:r w:rsidR="001A504D">
        <w:rPr>
          <w:vertAlign w:val="subscript"/>
        </w:rPr>
        <w:t>1/2</w:t>
      </w:r>
      <w:r w:rsidR="008C2B63">
        <w:t xml:space="preserve"> was 1 to </w:t>
      </w:r>
      <w:r>
        <w:t>2 h</w:t>
      </w:r>
      <w:r w:rsidR="008C2B63">
        <w:t>ours</w:t>
      </w:r>
      <w:r>
        <w:t xml:space="preserve">. For rabbits dosed at 50, 150, or 250 mg/kg, </w:t>
      </w:r>
      <w:proofErr w:type="spellStart"/>
      <w:r>
        <w:t>C</w:t>
      </w:r>
      <w:r w:rsidRPr="008C2B63">
        <w:rPr>
          <w:vertAlign w:val="subscript"/>
        </w:rPr>
        <w:t>max</w:t>
      </w:r>
      <w:proofErr w:type="spellEnd"/>
      <w:r>
        <w:t xml:space="preserve"> increased in proportion </w:t>
      </w:r>
      <w:r>
        <w:lastRenderedPageBreak/>
        <w:t xml:space="preserve">with dose, AUC increased more than dose proportionally, </w:t>
      </w:r>
      <w:proofErr w:type="spellStart"/>
      <w:r>
        <w:t>T</w:t>
      </w:r>
      <w:r w:rsidRPr="008C2B63">
        <w:rPr>
          <w:vertAlign w:val="subscript"/>
        </w:rPr>
        <w:t>max</w:t>
      </w:r>
      <w:proofErr w:type="spellEnd"/>
      <w:r>
        <w:t xml:space="preserve"> was at around 1 h</w:t>
      </w:r>
      <w:r w:rsidR="008C2B63">
        <w:t>our</w:t>
      </w:r>
      <w:r>
        <w:t>, and t</w:t>
      </w:r>
      <w:r w:rsidRPr="008C2B63">
        <w:rPr>
          <w:vertAlign w:val="subscript"/>
        </w:rPr>
        <w:t>½</w:t>
      </w:r>
      <w:r>
        <w:t xml:space="preserve"> increased from around 1 h</w:t>
      </w:r>
      <w:r w:rsidR="008C2B63">
        <w:t>our</w:t>
      </w:r>
      <w:r>
        <w:t xml:space="preserve"> for the </w:t>
      </w:r>
      <w:r w:rsidR="008C2B63">
        <w:t>low dose and middle dose</w:t>
      </w:r>
      <w:r>
        <w:t xml:space="preserve"> to around 2 h</w:t>
      </w:r>
      <w:r w:rsidR="008C2B63">
        <w:t>ours at the high dose</w:t>
      </w:r>
      <w:r w:rsidR="00885CE7">
        <w:t>.</w:t>
      </w:r>
    </w:p>
    <w:p w14:paraId="6AEEE52A" w14:textId="0F2626CF" w:rsidR="004B3557" w:rsidRDefault="00230E29" w:rsidP="004B3557">
      <w:r>
        <w:t xml:space="preserve">Exposure of </w:t>
      </w:r>
      <w:r w:rsidRPr="001A504D">
        <w:rPr>
          <w:i/>
        </w:rPr>
        <w:t>N</w:t>
      </w:r>
      <w:r>
        <w:t>-</w:t>
      </w:r>
      <w:proofErr w:type="spellStart"/>
      <w:r>
        <w:t>methylpyrrolidone</w:t>
      </w:r>
      <w:proofErr w:type="spellEnd"/>
      <w:r>
        <w:t xml:space="preserve"> to humans</w:t>
      </w:r>
      <w:r w:rsidR="004B3557">
        <w:t xml:space="preserve"> were determined using plasma samples from healthy subjects given a single subcutaneous dose of 96 or 192 mg of CAM2038 q4w (the latter dose exceeds the suggested maximum), corresponding to doses of 85 and 170 mg of </w:t>
      </w:r>
      <w:r w:rsidR="004B3557" w:rsidRPr="001A504D">
        <w:rPr>
          <w:i/>
        </w:rPr>
        <w:t>N</w:t>
      </w:r>
      <w:r w:rsidR="004B3557">
        <w:t>-</w:t>
      </w:r>
      <w:proofErr w:type="spellStart"/>
      <w:r w:rsidR="004B3557">
        <w:t>methylpyrrolidone</w:t>
      </w:r>
      <w:proofErr w:type="spellEnd"/>
      <w:r w:rsidR="004B3557">
        <w:t xml:space="preserve">, respectively. AUC and </w:t>
      </w:r>
      <w:proofErr w:type="spellStart"/>
      <w:r w:rsidR="004B3557">
        <w:t>C</w:t>
      </w:r>
      <w:r w:rsidR="004B3557" w:rsidRPr="008C2B63">
        <w:rPr>
          <w:vertAlign w:val="subscript"/>
        </w:rPr>
        <w:t>max</w:t>
      </w:r>
      <w:proofErr w:type="spellEnd"/>
      <w:r w:rsidR="004B3557">
        <w:t xml:space="preserve"> increased with dose, </w:t>
      </w:r>
      <w:proofErr w:type="spellStart"/>
      <w:r w:rsidR="004B3557">
        <w:t>T</w:t>
      </w:r>
      <w:r w:rsidR="004B3557" w:rsidRPr="008C2B63">
        <w:rPr>
          <w:vertAlign w:val="subscript"/>
        </w:rPr>
        <w:t>max</w:t>
      </w:r>
      <w:proofErr w:type="spellEnd"/>
      <w:r w:rsidR="004B3557">
        <w:t xml:space="preserve"> was at around 0.7 h</w:t>
      </w:r>
      <w:r w:rsidR="008C2B63">
        <w:t>ours</w:t>
      </w:r>
      <w:r w:rsidR="004B3557">
        <w:t xml:space="preserve">, and </w:t>
      </w:r>
      <w:r w:rsidR="00213ADE">
        <w:t>T</w:t>
      </w:r>
      <w:r w:rsidR="00213ADE" w:rsidRPr="00AB273A">
        <w:rPr>
          <w:vertAlign w:val="subscript"/>
        </w:rPr>
        <w:t>1/2</w:t>
      </w:r>
      <w:r w:rsidR="004B3557">
        <w:t xml:space="preserve"> was around 1.5 h</w:t>
      </w:r>
      <w:r w:rsidR="008C2B63">
        <w:t>ours</w:t>
      </w:r>
      <w:r w:rsidR="004B3557">
        <w:t xml:space="preserve">. This similarity suggests that rats and rabbits are reasonable models for extrapolation of the effects of </w:t>
      </w:r>
      <w:r w:rsidR="004B3557" w:rsidRPr="001A504D">
        <w:rPr>
          <w:i/>
        </w:rPr>
        <w:t>N</w:t>
      </w:r>
      <w:r w:rsidR="00213ADE">
        <w:noBreakHyphen/>
      </w:r>
      <w:proofErr w:type="spellStart"/>
      <w:r w:rsidR="004B3557">
        <w:t>methylpyrrolidone</w:t>
      </w:r>
      <w:proofErr w:type="spellEnd"/>
      <w:r w:rsidR="004B3557">
        <w:t xml:space="preserve"> to humans. Human subjects receiving doses of 85 and 170 mg of </w:t>
      </w:r>
      <w:r w:rsidR="004B3557" w:rsidRPr="001A504D">
        <w:rPr>
          <w:i/>
        </w:rPr>
        <w:t>N</w:t>
      </w:r>
      <w:r w:rsidR="00213ADE">
        <w:noBreakHyphen/>
      </w:r>
      <w:proofErr w:type="spellStart"/>
      <w:r w:rsidR="004B3557">
        <w:t>methylpyrrolidone</w:t>
      </w:r>
      <w:proofErr w:type="spellEnd"/>
      <w:r w:rsidR="004B3557">
        <w:t xml:space="preserve"> showed mean </w:t>
      </w:r>
      <w:proofErr w:type="spellStart"/>
      <w:r w:rsidR="004B3557">
        <w:t>C</w:t>
      </w:r>
      <w:r w:rsidR="004B3557" w:rsidRPr="008C2B63">
        <w:rPr>
          <w:vertAlign w:val="subscript"/>
        </w:rPr>
        <w:t>max</w:t>
      </w:r>
      <w:proofErr w:type="spellEnd"/>
      <w:r w:rsidR="004B3557">
        <w:t xml:space="preserve"> values of 1300 and 2400 ng/mL, respectively, and mean AUC</w:t>
      </w:r>
      <w:r w:rsidR="004B3557" w:rsidRPr="008C2B63">
        <w:rPr>
          <w:vertAlign w:val="subscript"/>
        </w:rPr>
        <w:t>0–∞</w:t>
      </w:r>
      <w:r w:rsidR="004B3557">
        <w:t xml:space="preserve"> values of 5330 and 9170 </w:t>
      </w:r>
      <w:proofErr w:type="spellStart"/>
      <w:r w:rsidR="004B3557">
        <w:t>ng.h</w:t>
      </w:r>
      <w:proofErr w:type="spellEnd"/>
      <w:r w:rsidR="004B3557">
        <w:t xml:space="preserve">/mL, respectively. For both dose groups, plasma levels of </w:t>
      </w:r>
      <w:r w:rsidR="004B3557" w:rsidRPr="001A504D">
        <w:rPr>
          <w:i/>
        </w:rPr>
        <w:t>N</w:t>
      </w:r>
      <w:r w:rsidR="004B3557">
        <w:t>-</w:t>
      </w:r>
      <w:proofErr w:type="spellStart"/>
      <w:r w:rsidR="004B3557">
        <w:t>methylpyrrolidone</w:t>
      </w:r>
      <w:proofErr w:type="spellEnd"/>
      <w:r w:rsidR="004B3557">
        <w:t xml:space="preserve"> had returned to near baseline by around 10 h</w:t>
      </w:r>
      <w:r w:rsidR="008C2B63">
        <w:t>ours</w:t>
      </w:r>
      <w:r w:rsidR="004B3557">
        <w:t xml:space="preserve"> after injection of CAM2038 q4w. Aroun</w:t>
      </w:r>
      <w:r w:rsidR="008C2B63">
        <w:t xml:space="preserve">d 85% of </w:t>
      </w:r>
      <w:r w:rsidR="008C2B63" w:rsidRPr="001A504D">
        <w:rPr>
          <w:i/>
        </w:rPr>
        <w:t>N</w:t>
      </w:r>
      <w:r w:rsidR="008C2B63">
        <w:noBreakHyphen/>
      </w:r>
      <w:proofErr w:type="spellStart"/>
      <w:r w:rsidR="004B3557">
        <w:t>methylpyrrolidone</w:t>
      </w:r>
      <w:proofErr w:type="spellEnd"/>
      <w:r w:rsidR="004B3557">
        <w:t xml:space="preserve"> is released from CAM2038 q4w within 24 h</w:t>
      </w:r>
      <w:r w:rsidR="008C2B63">
        <w:t>ours</w:t>
      </w:r>
      <w:r w:rsidR="004B3557">
        <w:t>, with the remainder slowly released over the following days.</w:t>
      </w:r>
    </w:p>
    <w:p w14:paraId="69DA5A24" w14:textId="77777777" w:rsidR="004B3557" w:rsidRDefault="004B3557" w:rsidP="004B3557">
      <w:pPr>
        <w:pStyle w:val="Heading4"/>
      </w:pPr>
      <w:r>
        <w:t>Pharmacokinetic drug interactions</w:t>
      </w:r>
    </w:p>
    <w:p w14:paraId="78C107D8" w14:textId="77777777" w:rsidR="004334C7" w:rsidRDefault="004B3557" w:rsidP="004B3557">
      <w:r>
        <w:t>No studies were performed. This is acceptable as buprenorphine is a well-established drug.</w:t>
      </w:r>
    </w:p>
    <w:p w14:paraId="2056D179" w14:textId="77777777" w:rsidR="001B5C90" w:rsidRDefault="008E7846" w:rsidP="001B5C90">
      <w:pPr>
        <w:pStyle w:val="Heading3"/>
      </w:pPr>
      <w:bookmarkStart w:id="55" w:name="_Toc24539924"/>
      <w:r>
        <w:t>Toxicology</w:t>
      </w:r>
      <w:bookmarkEnd w:id="52"/>
      <w:bookmarkEnd w:id="53"/>
      <w:bookmarkEnd w:id="55"/>
    </w:p>
    <w:p w14:paraId="3DAEC6EE" w14:textId="77777777" w:rsidR="004B3557" w:rsidRPr="00EB69F1" w:rsidRDefault="004B3557" w:rsidP="004B3557">
      <w:pPr>
        <w:pStyle w:val="Heading4"/>
      </w:pPr>
      <w:bookmarkStart w:id="56" w:name="_Toc294861727"/>
      <w:r w:rsidRPr="00EB69F1">
        <w:t>Acute toxicity</w:t>
      </w:r>
      <w:bookmarkEnd w:id="56"/>
    </w:p>
    <w:p w14:paraId="7512663C" w14:textId="77777777" w:rsidR="004B3557" w:rsidRPr="004B0391" w:rsidRDefault="004B3557" w:rsidP="004B3557">
      <w:pPr>
        <w:pStyle w:val="Heading5"/>
      </w:pPr>
      <w:r w:rsidRPr="004B0391">
        <w:t>CAM2038</w:t>
      </w:r>
    </w:p>
    <w:p w14:paraId="5DE8FA77" w14:textId="77777777" w:rsidR="004B3557" w:rsidRPr="00E6510E" w:rsidRDefault="008C2B63" w:rsidP="004B3557">
      <w:r>
        <w:t xml:space="preserve">Single </w:t>
      </w:r>
      <w:r w:rsidR="004B3557">
        <w:t>dose studies using SC administration</w:t>
      </w:r>
      <w:r>
        <w:t xml:space="preserve"> of weekly or monthly sustained </w:t>
      </w:r>
      <w:r w:rsidR="004B3557">
        <w:t>release formulations to rats, dogs, or pigs gav</w:t>
      </w:r>
      <w:r>
        <w:t xml:space="preserve">e no indication of test article </w:t>
      </w:r>
      <w:r w:rsidR="004B3557">
        <w:t>related effects/toxicity other th</w:t>
      </w:r>
      <w:r>
        <w:t xml:space="preserve">an those expected of the opioid </w:t>
      </w:r>
      <w:r w:rsidR="004B3557">
        <w:t>like actions of buprenorphine.</w:t>
      </w:r>
    </w:p>
    <w:p w14:paraId="4DDD8C02" w14:textId="77777777" w:rsidR="004B3557" w:rsidRDefault="004B3557" w:rsidP="004B3557">
      <w:r>
        <w:t>Microscopic examination of injection sites, several weeks after dose administration, showed evidence of granulomatous inflammation and cystic spaces</w:t>
      </w:r>
      <w:r w:rsidRPr="002147A9">
        <w:t xml:space="preserve"> </w:t>
      </w:r>
      <w:r>
        <w:t xml:space="preserve">surrounded by fibrosis. These changes appeared to be a response to the </w:t>
      </w:r>
      <w:proofErr w:type="spellStart"/>
      <w:r>
        <w:t>injectate</w:t>
      </w:r>
      <w:proofErr w:type="spellEnd"/>
      <w:r>
        <w:t xml:space="preserve"> and were generally comparable for CAM2038 and placebo (</w:t>
      </w:r>
      <w:r w:rsidR="008C2B63" w:rsidRPr="008C2B63">
        <w:t>that is,</w:t>
      </w:r>
      <w:r>
        <w:t xml:space="preserve"> lacking buprenorphine).</w:t>
      </w:r>
    </w:p>
    <w:p w14:paraId="47510E54" w14:textId="77777777" w:rsidR="004B3557" w:rsidRDefault="004B3557" w:rsidP="004B3557">
      <w:pPr>
        <w:pStyle w:val="Heading5"/>
      </w:pPr>
      <w:r>
        <w:t>G</w:t>
      </w:r>
      <w:r w:rsidRPr="005D38D0">
        <w:t xml:space="preserve">lycerol </w:t>
      </w:r>
      <w:proofErr w:type="spellStart"/>
      <w:r w:rsidRPr="005D38D0">
        <w:t>dioleate</w:t>
      </w:r>
      <w:proofErr w:type="spellEnd"/>
    </w:p>
    <w:p w14:paraId="0B9F920C" w14:textId="77777777" w:rsidR="004B3557" w:rsidRDefault="004B3557" w:rsidP="004B3557">
      <w:r>
        <w:t xml:space="preserve">SC administration of glycerol </w:t>
      </w:r>
      <w:proofErr w:type="spellStart"/>
      <w:r>
        <w:t>dioleate</w:t>
      </w:r>
      <w:proofErr w:type="spellEnd"/>
      <w:r>
        <w:t xml:space="preserve"> to rats produced similar injection site changes to those described above for CAM2038.</w:t>
      </w:r>
    </w:p>
    <w:p w14:paraId="03B28E8F" w14:textId="77777777" w:rsidR="004B3557" w:rsidRPr="00DD019D" w:rsidRDefault="004B3557" w:rsidP="004B3557">
      <w:pPr>
        <w:pStyle w:val="Heading5"/>
      </w:pPr>
      <w:r w:rsidRPr="00DD019D">
        <w:t>N-</w:t>
      </w:r>
      <w:proofErr w:type="spellStart"/>
      <w:r w:rsidRPr="00DD019D">
        <w:t>methylpyrrolidone</w:t>
      </w:r>
      <w:proofErr w:type="spellEnd"/>
    </w:p>
    <w:p w14:paraId="7413C043" w14:textId="3F57DF1E" w:rsidR="004B3557" w:rsidRDefault="004B3557" w:rsidP="004B3557">
      <w:r w:rsidRPr="00DD019D">
        <w:t xml:space="preserve">The </w:t>
      </w:r>
      <w:r w:rsidR="00213ADE">
        <w:t>International Conference on Harmonisation (</w:t>
      </w:r>
      <w:r w:rsidRPr="00DD019D">
        <w:t>ICH</w:t>
      </w:r>
      <w:r w:rsidR="00213ADE">
        <w:t>)</w:t>
      </w:r>
      <w:r w:rsidRPr="00DD019D">
        <w:t xml:space="preserve"> guideline Q3C (R6)</w:t>
      </w:r>
      <w:r w:rsidR="008C2B63" w:rsidRPr="00DD019D">
        <w:t>;</w:t>
      </w:r>
      <w:r w:rsidR="008C2B63" w:rsidRPr="00DD019D">
        <w:rPr>
          <w:rStyle w:val="FootnoteReference"/>
        </w:rPr>
        <w:footnoteReference w:id="5"/>
      </w:r>
      <w:r w:rsidRPr="00DD019D">
        <w:t xml:space="preserve"> lists ethanol as a class 3 solvent (</w:t>
      </w:r>
      <w:r w:rsidR="008C2B63" w:rsidRPr="00DD019D">
        <w:t>‘</w:t>
      </w:r>
      <w:r w:rsidRPr="00DD019D">
        <w:t>low toxic potential</w:t>
      </w:r>
      <w:r w:rsidR="008C2B63" w:rsidRPr="00DD019D">
        <w:t>’</w:t>
      </w:r>
      <w:r w:rsidRPr="00DD019D">
        <w:t xml:space="preserve">), whereas </w:t>
      </w:r>
      <w:r w:rsidRPr="00DD019D">
        <w:rPr>
          <w:i/>
        </w:rPr>
        <w:t>N</w:t>
      </w:r>
      <w:r w:rsidRPr="00DD019D">
        <w:t>-</w:t>
      </w:r>
      <w:proofErr w:type="spellStart"/>
      <w:r w:rsidRPr="00DD019D">
        <w:t>methylpyrrolidone</w:t>
      </w:r>
      <w:proofErr w:type="spellEnd"/>
      <w:r w:rsidRPr="00DD019D">
        <w:t xml:space="preserve"> is listed as a class 2 solvent (</w:t>
      </w:r>
      <w:r w:rsidR="008C2B63" w:rsidRPr="00DD019D">
        <w:t>‘</w:t>
      </w:r>
      <w:r w:rsidRPr="00DD019D">
        <w:t>to be limited</w:t>
      </w:r>
      <w:r w:rsidR="008C2B63" w:rsidRPr="00DD019D">
        <w:t>’</w:t>
      </w:r>
      <w:r w:rsidRPr="00DD019D">
        <w:t xml:space="preserve">) with a permitted daily exposure of 5.3 mg. The quantities of </w:t>
      </w:r>
      <w:r w:rsidRPr="00DD019D">
        <w:rPr>
          <w:i/>
        </w:rPr>
        <w:t>N</w:t>
      </w:r>
      <w:r w:rsidR="001A504D">
        <w:noBreakHyphen/>
      </w:r>
      <w:proofErr w:type="spellStart"/>
      <w:r w:rsidRPr="00DD019D">
        <w:t>methylpyrrolidone</w:t>
      </w:r>
      <w:proofErr w:type="spellEnd"/>
      <w:r w:rsidRPr="00DD019D">
        <w:t xml:space="preserve"> in the different dose forms of CAM20</w:t>
      </w:r>
      <w:r w:rsidR="001A504D">
        <w:t>38 q4w range from 57 to 142 </w:t>
      </w:r>
      <w:r w:rsidR="008C2B63" w:rsidRPr="00DD019D">
        <w:t>mg</w:t>
      </w:r>
      <w:r w:rsidRPr="00DD019D">
        <w:t>. Acco</w:t>
      </w:r>
      <w:r w:rsidR="008C2B63" w:rsidRPr="00DD019D">
        <w:t>rdingly, the daily limit of 5.3 </w:t>
      </w:r>
      <w:r w:rsidRPr="00DD019D">
        <w:t xml:space="preserve">mg is likely to be exceeded following administration of CAM2038 q4w. The possible toxicological risks to humans prompted the sponsor to examine the plasma pharmacokinetics of </w:t>
      </w:r>
      <w:r w:rsidRPr="00DD019D">
        <w:rPr>
          <w:i/>
        </w:rPr>
        <w:t>N</w:t>
      </w:r>
      <w:r w:rsidRPr="00DD019D">
        <w:t>-</w:t>
      </w:r>
      <w:proofErr w:type="spellStart"/>
      <w:r w:rsidRPr="00DD019D">
        <w:t>methylpyrrolidone</w:t>
      </w:r>
      <w:proofErr w:type="spellEnd"/>
      <w:r w:rsidRPr="00DD019D">
        <w:t xml:space="preserve"> in animals and humans and its release from CAM2038 q4w in humans (see above). The latter results </w:t>
      </w:r>
      <w:r w:rsidRPr="00DD019D">
        <w:lastRenderedPageBreak/>
        <w:t xml:space="preserve">suggest a rapid increase in circulating levels of </w:t>
      </w:r>
      <w:r w:rsidRPr="00DD019D">
        <w:rPr>
          <w:i/>
        </w:rPr>
        <w:t>N</w:t>
      </w:r>
      <w:r w:rsidRPr="00DD019D">
        <w:t>-</w:t>
      </w:r>
      <w:proofErr w:type="spellStart"/>
      <w:r w:rsidRPr="00DD019D">
        <w:t>methylpyrrolidone</w:t>
      </w:r>
      <w:proofErr w:type="spellEnd"/>
      <w:r w:rsidRPr="00DD019D">
        <w:t xml:space="preserve"> following injection of CAM2038 q4w, followed by fairly rapid removal.</w:t>
      </w:r>
    </w:p>
    <w:p w14:paraId="34C3D303" w14:textId="5B8DB885" w:rsidR="004B3557" w:rsidRPr="004B3557" w:rsidRDefault="004B3557" w:rsidP="004B3557">
      <w:r>
        <w:t>The effects of a single SC dose of</w:t>
      </w:r>
      <w:r w:rsidRPr="009465D8">
        <w:rPr>
          <w:i/>
        </w:rPr>
        <w:t xml:space="preserve"> </w:t>
      </w:r>
      <w:r>
        <w:rPr>
          <w:i/>
        </w:rPr>
        <w:t>N</w:t>
      </w:r>
      <w:r>
        <w:t>-</w:t>
      </w:r>
      <w:proofErr w:type="spellStart"/>
      <w:r>
        <w:t>methylpyrrolidone</w:t>
      </w:r>
      <w:proofErr w:type="spellEnd"/>
      <w:r>
        <w:t xml:space="preserve"> were tested using rats, dosed at 100, 250, or 500 mg/kg, and rabbits, dosed at 50, 150, or 2</w:t>
      </w:r>
      <w:r w:rsidR="008C2B63">
        <w:t xml:space="preserve">50 mg/kg. The effects were dose </w:t>
      </w:r>
      <w:r>
        <w:t xml:space="preserve">dependent. The injection site of </w:t>
      </w:r>
      <w:r w:rsidR="008C2B63">
        <w:t>moderate dose and high dose</w:t>
      </w:r>
      <w:r>
        <w:t xml:space="preserve"> rats showed minimal to moderate inflammatory responses, whilst </w:t>
      </w:r>
      <w:r w:rsidR="008C2B63">
        <w:t>moderate dose and high dose</w:t>
      </w:r>
      <w:r>
        <w:t xml:space="preserve"> rabbits showed moderate to marked erythema and</w:t>
      </w:r>
      <w:r w:rsidR="00A62D19">
        <w:t xml:space="preserve"> ulceration. Accordingly, the low dose</w:t>
      </w:r>
      <w:r>
        <w:t xml:space="preserve"> was used as the </w:t>
      </w:r>
      <w:r w:rsidR="00A62D19">
        <w:rPr>
          <w:rFonts w:cstheme="minorHAnsi"/>
          <w:color w:val="000000"/>
        </w:rPr>
        <w:t xml:space="preserve">no observed adverse effect </w:t>
      </w:r>
      <w:r w:rsidR="00A62D19" w:rsidRPr="00A62D19">
        <w:rPr>
          <w:rFonts w:cstheme="minorHAnsi"/>
          <w:color w:val="000000"/>
        </w:rPr>
        <w:t>level</w:t>
      </w:r>
      <w:r w:rsidR="00A62D19">
        <w:t xml:space="preserve"> (</w:t>
      </w:r>
      <w:r>
        <w:t>NOAEL</w:t>
      </w:r>
      <w:r w:rsidR="00A62D19">
        <w:t>)</w:t>
      </w:r>
      <w:r>
        <w:t xml:space="preserve"> for both species. Comparison of mean </w:t>
      </w:r>
      <w:r w:rsidR="00213ADE">
        <w:t>area under the drug concentration-plasma time curve from dosing (time zero) to infinity (</w:t>
      </w:r>
      <w:r>
        <w:t>AUC</w:t>
      </w:r>
      <w:r>
        <w:rPr>
          <w:vertAlign w:val="subscript"/>
        </w:rPr>
        <w:t>0–∞</w:t>
      </w:r>
      <w:r w:rsidR="00213ADE">
        <w:t xml:space="preserve">) </w:t>
      </w:r>
      <w:r>
        <w:t>values at the NOAELs for rats and rabbits (572 and 185 µ</w:t>
      </w:r>
      <w:proofErr w:type="spellStart"/>
      <w:r>
        <w:t>g.h</w:t>
      </w:r>
      <w:proofErr w:type="spellEnd"/>
      <w:r>
        <w:t>/mL, respectively) with the mean AUC</w:t>
      </w:r>
      <w:r>
        <w:rPr>
          <w:vertAlign w:val="subscript"/>
        </w:rPr>
        <w:t>0–∞</w:t>
      </w:r>
      <w:r>
        <w:t xml:space="preserve"> value for humans given a subcutaneous dose of 170 mg of </w:t>
      </w:r>
      <w:r>
        <w:rPr>
          <w:i/>
        </w:rPr>
        <w:t>N</w:t>
      </w:r>
      <w:r w:rsidR="00A62D19">
        <w:noBreakHyphen/>
      </w:r>
      <w:proofErr w:type="spellStart"/>
      <w:r>
        <w:t>methylpyrrolidone</w:t>
      </w:r>
      <w:proofErr w:type="spellEnd"/>
      <w:r>
        <w:t xml:space="preserve"> (9170 </w:t>
      </w:r>
      <w:proofErr w:type="spellStart"/>
      <w:r>
        <w:t>ng.h</w:t>
      </w:r>
      <w:proofErr w:type="spellEnd"/>
      <w:r>
        <w:t>/mL) indicates exposure ratios of around 60 and 20, respectively.</w:t>
      </w:r>
    </w:p>
    <w:p w14:paraId="5782D98E" w14:textId="77777777" w:rsidR="004B3557" w:rsidRDefault="004B3557" w:rsidP="004B3557">
      <w:pPr>
        <w:pStyle w:val="Heading4"/>
      </w:pPr>
      <w:bookmarkStart w:id="57" w:name="_Toc294861728"/>
      <w:r w:rsidRPr="00EB69F1">
        <w:t>Repeat-dose toxicity</w:t>
      </w:r>
      <w:bookmarkEnd w:id="57"/>
    </w:p>
    <w:p w14:paraId="51E0F0A8" w14:textId="77777777" w:rsidR="004B3557" w:rsidRDefault="004B3557" w:rsidP="004B3557">
      <w:pPr>
        <w:pStyle w:val="Heading5"/>
      </w:pPr>
      <w:r>
        <w:t>CAM2038</w:t>
      </w:r>
    </w:p>
    <w:p w14:paraId="3D7D2F3A" w14:textId="6AD2E763" w:rsidR="004B3557" w:rsidRDefault="00A62D19" w:rsidP="004B3557">
      <w:r>
        <w:t xml:space="preserve">Repeat </w:t>
      </w:r>
      <w:r w:rsidR="004B3557">
        <w:t>dose studies were performed with dogs given SC doses of CAM2038 q1w or CAM2038 q4w or placebo (</w:t>
      </w:r>
      <w:r w:rsidRPr="00A62D19">
        <w:t>that is,</w:t>
      </w:r>
      <w:r w:rsidR="004B3557">
        <w:t xml:space="preserve"> sustained-release formulation without buprenorphine) for periods of up to 9 months. These studies were broadly consistent with the </w:t>
      </w:r>
      <w:r>
        <w:t>European Medicines Agency (</w:t>
      </w:r>
      <w:r w:rsidR="004B3557">
        <w:t>EMA</w:t>
      </w:r>
      <w:r>
        <w:t>)</w:t>
      </w:r>
      <w:r w:rsidR="004B3557">
        <w:t xml:space="preserve"> guideline on repeated dose toxicity</w:t>
      </w:r>
      <w:r w:rsidR="00DD019D">
        <w:t>.</w:t>
      </w:r>
      <w:r w:rsidR="004B3557">
        <w:rPr>
          <w:rStyle w:val="FootnoteReference"/>
        </w:rPr>
        <w:footnoteReference w:id="6"/>
      </w:r>
    </w:p>
    <w:p w14:paraId="0689A7E1" w14:textId="77777777" w:rsidR="00885CE7" w:rsidRDefault="004B3557" w:rsidP="00DD019D">
      <w:r>
        <w:t>Five studies were performed, ranging from 4 injections over 3 weeks to weekly or monthly injections over 9 months, and the findings summarised as follows</w:t>
      </w:r>
      <w:r w:rsidR="00885CE7">
        <w:t>:</w:t>
      </w:r>
    </w:p>
    <w:p w14:paraId="69FA141D" w14:textId="77777777" w:rsidR="004B3557" w:rsidRDefault="004B3557" w:rsidP="004B3557">
      <w:pPr>
        <w:pStyle w:val="ListBullet"/>
      </w:pPr>
      <w:r>
        <w:t>No clinical signs other than those expected after buprenorphine administration;</w:t>
      </w:r>
    </w:p>
    <w:p w14:paraId="39E29146" w14:textId="77777777" w:rsidR="004B3557" w:rsidRDefault="004B3557" w:rsidP="004B3557">
      <w:pPr>
        <w:pStyle w:val="ListBullet"/>
      </w:pPr>
      <w:r>
        <w:t>No consistent changes in haematology (except sometimes for neutrophils), urinalysis, organ weights, or pathology (except at injection sites), suggesting no induction of systemic toxicity;</w:t>
      </w:r>
    </w:p>
    <w:p w14:paraId="43EC041E" w14:textId="0EBA174F" w:rsidR="004B3557" w:rsidRDefault="004B3557" w:rsidP="004B3557">
      <w:pPr>
        <w:pStyle w:val="ListBullet"/>
      </w:pPr>
      <w:r>
        <w:t>Microscopic changes, indicative of inflammation, were found at sites injected with CAM2038 q1w, CAM2038 q4w, or placebo and were not exacerbated by buprenorphine, suggesting that they</w:t>
      </w:r>
      <w:r w:rsidR="00DD019D">
        <w:t xml:space="preserve"> were produced by the sustained </w:t>
      </w:r>
      <w:r>
        <w:t>release formulation;</w:t>
      </w:r>
    </w:p>
    <w:p w14:paraId="5066DCFF" w14:textId="3DC2A6F1" w:rsidR="004B3557" w:rsidRDefault="004B3557" w:rsidP="004B3557">
      <w:pPr>
        <w:pStyle w:val="ListBullet"/>
      </w:pPr>
      <w:r>
        <w:t>Repeated injections at the same site showed no indication of enhancing the inflammatory response f</w:t>
      </w:r>
      <w:r w:rsidR="00DD019D">
        <w:t>rom a previous injection;</w:t>
      </w:r>
    </w:p>
    <w:p w14:paraId="15390445" w14:textId="3A87CD15" w:rsidR="004B3557" w:rsidRDefault="004B3557" w:rsidP="004B3557">
      <w:pPr>
        <w:pStyle w:val="ListBullet"/>
      </w:pPr>
      <w:r>
        <w:t>The severity of inflammatory responses decreased with ti</w:t>
      </w:r>
      <w:r w:rsidR="00DD019D">
        <w:t xml:space="preserve">me after injection of sustained </w:t>
      </w:r>
      <w:r>
        <w:t>release formulation.</w:t>
      </w:r>
    </w:p>
    <w:p w14:paraId="4765988B" w14:textId="698D6E70" w:rsidR="004B3557" w:rsidRDefault="004B3557" w:rsidP="004B3557">
      <w:r>
        <w:t>SC i</w:t>
      </w:r>
      <w:r w:rsidR="00DD019D">
        <w:t xml:space="preserve">njection of dogs with sustained </w:t>
      </w:r>
      <w:r>
        <w:t>release formulation produced a sequence of responses that is characteristic of a foreign body reaction. The first responses were haemorrhage and acute inflammation (oedema and infiltration, predominantly by neutrophils), which were noted on the day following dosing. These were followed (8 and 15 days after injection) by fibrotic encapsulation of the</w:t>
      </w:r>
      <w:r w:rsidR="00893F5B">
        <w:t xml:space="preserve"> </w:t>
      </w:r>
      <w:r w:rsidR="00900CAB">
        <w:t>‘</w:t>
      </w:r>
      <w:r w:rsidR="00893F5B">
        <w:t>cavity</w:t>
      </w:r>
      <w:r w:rsidR="00900CAB">
        <w:t>’;</w:t>
      </w:r>
      <w:bookmarkStart w:id="58" w:name="_Ref22109827"/>
      <w:r w:rsidR="00900CAB">
        <w:rPr>
          <w:rStyle w:val="FootnoteReference"/>
        </w:rPr>
        <w:footnoteReference w:id="7"/>
      </w:r>
      <w:bookmarkEnd w:id="58"/>
      <w:r>
        <w:t xml:space="preserve"> and chronic, granulomatous inflammation associated with giant cell formation. The incidence and/or severity of these responses subsided following a recovery period. </w:t>
      </w:r>
      <w:r w:rsidR="00900CAB">
        <w:t>‘</w:t>
      </w:r>
      <w:r w:rsidR="000E60FD">
        <w:t>Cavity</w:t>
      </w:r>
      <w:r w:rsidR="00900CAB">
        <w:t>’</w:t>
      </w:r>
      <w:r w:rsidR="000E60FD">
        <w:t xml:space="preserve"> formation occurred at most injection sites and also </w:t>
      </w:r>
      <w:r w:rsidR="000E60FD">
        <w:lastRenderedPageBreak/>
        <w:t>resolved during the recovery period.</w:t>
      </w:r>
      <w:r w:rsidR="000E60FD" w:rsidDel="000E60FD">
        <w:rPr>
          <w:rStyle w:val="CommentReference"/>
        </w:rPr>
        <w:t xml:space="preserve"> </w:t>
      </w:r>
      <w:r>
        <w:t>The responses to foreign body injection and the recovery process appeared comparable in both sexes.</w:t>
      </w:r>
    </w:p>
    <w:p w14:paraId="1F99DF4B" w14:textId="77777777" w:rsidR="004B3557" w:rsidRDefault="004B3557" w:rsidP="004B3557">
      <w:pPr>
        <w:pStyle w:val="Heading5"/>
      </w:pPr>
      <w:r>
        <w:t>G</w:t>
      </w:r>
      <w:r w:rsidRPr="00880507">
        <w:t xml:space="preserve">lycerol </w:t>
      </w:r>
      <w:proofErr w:type="spellStart"/>
      <w:r w:rsidRPr="00880507">
        <w:t>dioleate</w:t>
      </w:r>
      <w:proofErr w:type="spellEnd"/>
    </w:p>
    <w:p w14:paraId="6D180F11" w14:textId="0731DC85" w:rsidR="004B3557" w:rsidRDefault="00DD019D" w:rsidP="004B3557">
      <w:r>
        <w:t xml:space="preserve">Repeat </w:t>
      </w:r>
      <w:r w:rsidR="004B3557">
        <w:t xml:space="preserve">dose studies used rats given SC doses of glycerol </w:t>
      </w:r>
      <w:proofErr w:type="spellStart"/>
      <w:r>
        <w:t>dioleate</w:t>
      </w:r>
      <w:proofErr w:type="spellEnd"/>
      <w:r>
        <w:t xml:space="preserve"> for periods of up to 6 </w:t>
      </w:r>
      <w:r w:rsidR="004B3557">
        <w:t xml:space="preserve">months at a daily dose of up to 1 g/kg with injections rotated between 6 sites and each site typically receiving 30 injections. Such treatment produced increases in monocyte and neutrophil counts (approximate doublings), but there was no evidence for systemic toxicity. The </w:t>
      </w:r>
      <w:proofErr w:type="spellStart"/>
      <w:r w:rsidR="004B3557">
        <w:t>injectate</w:t>
      </w:r>
      <w:proofErr w:type="spellEnd"/>
      <w:r w:rsidR="004B3557">
        <w:t xml:space="preserve"> produced an inflammatory response simil</w:t>
      </w:r>
      <w:r>
        <w:t xml:space="preserve">ar to that induced by sustained </w:t>
      </w:r>
      <w:r w:rsidR="004B3557">
        <w:t>release formulation.</w:t>
      </w:r>
    </w:p>
    <w:p w14:paraId="4F0702AD" w14:textId="77777777" w:rsidR="004B3557" w:rsidRDefault="004B3557" w:rsidP="004B3557">
      <w:pPr>
        <w:pStyle w:val="Heading5"/>
      </w:pPr>
      <w:r w:rsidRPr="004B30EC">
        <w:t>N-</w:t>
      </w:r>
      <w:proofErr w:type="spellStart"/>
      <w:r w:rsidRPr="004B30EC">
        <w:t>methylpyrrolidone</w:t>
      </w:r>
      <w:proofErr w:type="spellEnd"/>
    </w:p>
    <w:p w14:paraId="5AFE784B" w14:textId="77777777" w:rsidR="004B3557" w:rsidRPr="007F3FD5" w:rsidRDefault="004B3557" w:rsidP="004B3557">
      <w:r>
        <w:t>No repeat-dose studies were performed.</w:t>
      </w:r>
    </w:p>
    <w:p w14:paraId="6F59C017" w14:textId="77777777" w:rsidR="004B3557" w:rsidRPr="00EB69F1" w:rsidRDefault="004B3557" w:rsidP="004B3557">
      <w:pPr>
        <w:pStyle w:val="Heading4"/>
      </w:pPr>
      <w:bookmarkStart w:id="59" w:name="_Toc294861729"/>
      <w:proofErr w:type="spellStart"/>
      <w:r w:rsidRPr="00EB69F1">
        <w:t>Genotoxicity</w:t>
      </w:r>
      <w:bookmarkEnd w:id="59"/>
      <w:proofErr w:type="spellEnd"/>
    </w:p>
    <w:p w14:paraId="612B334E" w14:textId="1551EB6C" w:rsidR="004B3557" w:rsidRPr="003C728F" w:rsidRDefault="004B3557" w:rsidP="004B3557">
      <w:r w:rsidRPr="003C728F">
        <w:t xml:space="preserve">Various studies in the literature have shown that buprenorphine gives negative results in mutagenicity and </w:t>
      </w:r>
      <w:proofErr w:type="spellStart"/>
      <w:r w:rsidRPr="003C728F">
        <w:t>clastogenicity</w:t>
      </w:r>
      <w:proofErr w:type="spellEnd"/>
      <w:r w:rsidRPr="003C728F">
        <w:t xml:space="preserve"> assays. Similarly, literature studies have generally shown that ethanol is negative for mutagenicity and </w:t>
      </w:r>
      <w:proofErr w:type="spellStart"/>
      <w:r w:rsidRPr="003C728F">
        <w:t>clastogenicity</w:t>
      </w:r>
      <w:proofErr w:type="spellEnd"/>
      <w:r w:rsidRPr="003C728F">
        <w:t>.</w:t>
      </w:r>
      <w:r w:rsidR="003C728F">
        <w:rPr>
          <w:rStyle w:val="FootnoteReference"/>
        </w:rPr>
        <w:footnoteReference w:id="8"/>
      </w:r>
      <w:r w:rsidRPr="003C728F">
        <w:t xml:space="preserve"> The opinion of the European Commission’s Scientific Committee on Consumer Safety is that </w:t>
      </w:r>
      <w:r w:rsidRPr="00A37E5F">
        <w:rPr>
          <w:i/>
        </w:rPr>
        <w:t>N</w:t>
      </w:r>
      <w:r w:rsidRPr="003C728F">
        <w:t>-</w:t>
      </w:r>
      <w:proofErr w:type="spellStart"/>
      <w:r w:rsidRPr="003C728F">
        <w:t>methylpyrrolidone</w:t>
      </w:r>
      <w:proofErr w:type="spellEnd"/>
      <w:r w:rsidRPr="003C728F">
        <w:t xml:space="preserve"> is negative in </w:t>
      </w:r>
      <w:r w:rsidRPr="0022179C">
        <w:rPr>
          <w:i/>
        </w:rPr>
        <w:t>in vitro</w:t>
      </w:r>
      <w:r w:rsidRPr="003C728F">
        <w:t xml:space="preserve"> and </w:t>
      </w:r>
      <w:r w:rsidRPr="0022179C">
        <w:rPr>
          <w:i/>
        </w:rPr>
        <w:t>in vivo</w:t>
      </w:r>
      <w:r w:rsidRPr="003C728F">
        <w:t xml:space="preserve"> assays for </w:t>
      </w:r>
      <w:proofErr w:type="spellStart"/>
      <w:r w:rsidRPr="003C728F">
        <w:t>genotoxicity</w:t>
      </w:r>
      <w:proofErr w:type="spellEnd"/>
      <w:r w:rsidRPr="003C728F">
        <w:t>.</w:t>
      </w:r>
      <w:r w:rsidR="003C728F">
        <w:rPr>
          <w:rStyle w:val="FootnoteReference"/>
        </w:rPr>
        <w:footnoteReference w:id="9"/>
      </w:r>
      <w:r w:rsidRPr="003C728F">
        <w:t xml:space="preserve"> Soybean phosphatidylcholine (also known as lecithin) is a foodstuff that is categorised by the </w:t>
      </w:r>
      <w:r w:rsidR="00213ADE">
        <w:t xml:space="preserve">US </w:t>
      </w:r>
      <w:r w:rsidR="002E3F6A">
        <w:t>Food and Drug Administration (</w:t>
      </w:r>
      <w:r w:rsidRPr="003C728F">
        <w:t>FDA</w:t>
      </w:r>
      <w:r w:rsidR="002E3F6A">
        <w:t>)</w:t>
      </w:r>
      <w:r w:rsidRPr="003C728F">
        <w:t xml:space="preserve"> as </w:t>
      </w:r>
      <w:r w:rsidR="008C2B63" w:rsidRPr="003C728F">
        <w:t>‘</w:t>
      </w:r>
      <w:r w:rsidRPr="003C728F">
        <w:t>generally recognised as safe</w:t>
      </w:r>
      <w:r w:rsidR="008C2B63" w:rsidRPr="003C728F">
        <w:t>’</w:t>
      </w:r>
      <w:r w:rsidRPr="003C728F">
        <w:t>.</w:t>
      </w:r>
      <w:r w:rsidR="003C728F">
        <w:rPr>
          <w:rStyle w:val="FootnoteReference"/>
        </w:rPr>
        <w:footnoteReference w:id="10"/>
      </w:r>
      <w:r w:rsidRPr="003C728F">
        <w:t xml:space="preserve"> And, in studies performed for the sponsor, glycerol </w:t>
      </w:r>
      <w:proofErr w:type="spellStart"/>
      <w:r w:rsidRPr="003C728F">
        <w:t>dioleate</w:t>
      </w:r>
      <w:proofErr w:type="spellEnd"/>
      <w:r w:rsidRPr="003C728F">
        <w:t xml:space="preserve"> at up to 5 mg/plate was not mutagenic, in both the presence and absence of metabolic activation, towards standard </w:t>
      </w:r>
      <w:r w:rsidRPr="003E62D4">
        <w:rPr>
          <w:i/>
        </w:rPr>
        <w:t xml:space="preserve">Salmonella </w:t>
      </w:r>
      <w:proofErr w:type="spellStart"/>
      <w:r w:rsidRPr="003E62D4">
        <w:rPr>
          <w:i/>
        </w:rPr>
        <w:t>typhimurium</w:t>
      </w:r>
      <w:proofErr w:type="spellEnd"/>
      <w:r w:rsidRPr="003C728F">
        <w:t xml:space="preserve"> strains. It was also negative in a mutagenicity assay using a mouse lymphoma cell line. Under </w:t>
      </w:r>
      <w:r w:rsidRPr="003E62D4">
        <w:rPr>
          <w:i/>
        </w:rPr>
        <w:t>in vivo</w:t>
      </w:r>
      <w:r w:rsidRPr="003C728F">
        <w:t xml:space="preserve"> conditions (rat bone marrow micronucleus test), glycerol </w:t>
      </w:r>
      <w:proofErr w:type="spellStart"/>
      <w:r w:rsidRPr="003C728F">
        <w:t>dioleate</w:t>
      </w:r>
      <w:proofErr w:type="spellEnd"/>
      <w:r w:rsidRPr="003C728F">
        <w:t xml:space="preserve"> was negative for induction of micronuclei. The assays used and the conditions employed were consistent with the relevant EMA guideline (CPMP/ICH/141/95).</w:t>
      </w:r>
      <w:r w:rsidR="003E62D4">
        <w:rPr>
          <w:rStyle w:val="FootnoteReference"/>
        </w:rPr>
        <w:footnoteReference w:id="11"/>
      </w:r>
    </w:p>
    <w:p w14:paraId="515C2867" w14:textId="1147E84C" w:rsidR="004B3557" w:rsidRPr="004B3557" w:rsidRDefault="004B3557" w:rsidP="004B3557">
      <w:pPr>
        <w:rPr>
          <w:kern w:val="2"/>
          <w:szCs w:val="20"/>
        </w:rPr>
      </w:pPr>
      <w:r w:rsidRPr="003C728F">
        <w:rPr>
          <w:kern w:val="2"/>
          <w:szCs w:val="20"/>
        </w:rPr>
        <w:t xml:space="preserve">Hence, the individual components of </w:t>
      </w:r>
      <w:r w:rsidR="0022179C">
        <w:t xml:space="preserve">weekly and monthly sustained </w:t>
      </w:r>
      <w:r w:rsidRPr="003C728F">
        <w:t xml:space="preserve">release formulations of CAM2038 show no evidence for significant </w:t>
      </w:r>
      <w:proofErr w:type="spellStart"/>
      <w:r w:rsidRPr="003C728F">
        <w:t>genotoxicity</w:t>
      </w:r>
      <w:proofErr w:type="spellEnd"/>
      <w:r w:rsidRPr="003C728F">
        <w:t xml:space="preserve">. There are, however, apparently no studies examining whether CAM2038 </w:t>
      </w:r>
      <w:r w:rsidRPr="003C728F">
        <w:rPr>
          <w:i/>
        </w:rPr>
        <w:t xml:space="preserve">per se </w:t>
      </w:r>
      <w:r w:rsidRPr="003C728F">
        <w:t xml:space="preserve">can induce </w:t>
      </w:r>
      <w:proofErr w:type="spellStart"/>
      <w:r w:rsidRPr="003C728F">
        <w:t>genotoxicity</w:t>
      </w:r>
      <w:proofErr w:type="spellEnd"/>
      <w:r w:rsidRPr="003C728F">
        <w:t>.</w:t>
      </w:r>
    </w:p>
    <w:p w14:paraId="5786D4ED" w14:textId="77777777" w:rsidR="004B3557" w:rsidRPr="00EB69F1" w:rsidRDefault="004B3557" w:rsidP="004B3557">
      <w:pPr>
        <w:pStyle w:val="Heading4"/>
      </w:pPr>
      <w:bookmarkStart w:id="60" w:name="_Toc294861730"/>
      <w:r w:rsidRPr="00EB69F1">
        <w:t>Carcinogenicity</w:t>
      </w:r>
      <w:bookmarkEnd w:id="60"/>
    </w:p>
    <w:p w14:paraId="6AA37C4F" w14:textId="204D98A4" w:rsidR="004B3557" w:rsidRDefault="004B3557" w:rsidP="004B3557">
      <w:r>
        <w:rPr>
          <w:kern w:val="2"/>
          <w:szCs w:val="20"/>
        </w:rPr>
        <w:t xml:space="preserve">Literature studies reported that </w:t>
      </w:r>
      <w:r>
        <w:t xml:space="preserve">buprenorphine gave negative results in mice but induced </w:t>
      </w:r>
      <w:proofErr w:type="spellStart"/>
      <w:r>
        <w:t>Leydig</w:t>
      </w:r>
      <w:proofErr w:type="spellEnd"/>
      <w:r>
        <w:t xml:space="preserve"> cell adenomas in rats.</w:t>
      </w:r>
      <w:r w:rsidR="0022179C">
        <w:t xml:space="preserve"> The latter is considered a rat </w:t>
      </w:r>
      <w:r>
        <w:t xml:space="preserve">specific outcome that is not relevant to induction of cancer in humans. Similarly, </w:t>
      </w:r>
      <w:r>
        <w:rPr>
          <w:rFonts w:asciiTheme="minorHAnsi" w:hAnsiTheme="minorHAnsi"/>
          <w:kern w:val="2"/>
        </w:rPr>
        <w:t xml:space="preserve">the European Commission’s monograph suggests that </w:t>
      </w:r>
      <w:r>
        <w:rPr>
          <w:i/>
          <w:kern w:val="2"/>
        </w:rPr>
        <w:t>N</w:t>
      </w:r>
      <w:r>
        <w:rPr>
          <w:kern w:val="2"/>
        </w:rPr>
        <w:t>-</w:t>
      </w:r>
      <w:proofErr w:type="spellStart"/>
      <w:r>
        <w:rPr>
          <w:kern w:val="2"/>
        </w:rPr>
        <w:t>methylpyrrolidone</w:t>
      </w:r>
      <w:proofErr w:type="spellEnd"/>
      <w:r>
        <w:rPr>
          <w:kern w:val="2"/>
        </w:rPr>
        <w:t xml:space="preserve"> is not of carcinogenic concern to humans.</w:t>
      </w:r>
    </w:p>
    <w:p w14:paraId="1CE4D857" w14:textId="77777777" w:rsidR="004B3557" w:rsidRPr="00EB69F1" w:rsidRDefault="004B3557" w:rsidP="004B3557">
      <w:pPr>
        <w:pStyle w:val="Heading4"/>
      </w:pPr>
      <w:r w:rsidRPr="00EB69F1">
        <w:t>Reproductive toxicity</w:t>
      </w:r>
    </w:p>
    <w:p w14:paraId="124C3BD4" w14:textId="77777777" w:rsidR="004B3557" w:rsidRPr="00384A85" w:rsidRDefault="004B3557" w:rsidP="004B3557">
      <w:pPr>
        <w:rPr>
          <w:kern w:val="2"/>
          <w:szCs w:val="20"/>
        </w:rPr>
      </w:pPr>
      <w:r>
        <w:rPr>
          <w:kern w:val="2"/>
          <w:szCs w:val="20"/>
        </w:rPr>
        <w:t xml:space="preserve">Results from the scientific literature suggest that </w:t>
      </w:r>
      <w:r>
        <w:t xml:space="preserve">buprenorphine can be </w:t>
      </w:r>
      <w:proofErr w:type="spellStart"/>
      <w:r>
        <w:t>fetotoxic</w:t>
      </w:r>
      <w:proofErr w:type="spellEnd"/>
      <w:r>
        <w:t xml:space="preserve"> but not teratogenic in rats.</w:t>
      </w:r>
    </w:p>
    <w:p w14:paraId="119FECAA" w14:textId="4CD8A9D8" w:rsidR="004B3557" w:rsidRDefault="004B3557" w:rsidP="004B3557">
      <w:r>
        <w:rPr>
          <w:kern w:val="2"/>
          <w:szCs w:val="20"/>
        </w:rPr>
        <w:lastRenderedPageBreak/>
        <w:t>The sponsor commissioned a study examining the effect on pregnant rats of daily SC</w:t>
      </w:r>
      <w:r w:rsidRPr="004303FA">
        <w:rPr>
          <w:kern w:val="2"/>
          <w:szCs w:val="20"/>
        </w:rPr>
        <w:t xml:space="preserve"> injection</w:t>
      </w:r>
      <w:r w:rsidR="003E62D4">
        <w:rPr>
          <w:kern w:val="2"/>
          <w:szCs w:val="20"/>
        </w:rPr>
        <w:t xml:space="preserve"> f</w:t>
      </w:r>
      <w:r w:rsidR="0022179C">
        <w:rPr>
          <w:kern w:val="2"/>
          <w:szCs w:val="20"/>
        </w:rPr>
        <w:t>rom gestational day 6 till post</w:t>
      </w:r>
      <w:r w:rsidR="003E62D4">
        <w:rPr>
          <w:kern w:val="2"/>
          <w:szCs w:val="20"/>
        </w:rPr>
        <w:t>natal day 20 (37 to 39 injections, rotated around 6 </w:t>
      </w:r>
      <w:r>
        <w:rPr>
          <w:kern w:val="2"/>
          <w:szCs w:val="20"/>
        </w:rPr>
        <w:t xml:space="preserve">sites) of </w:t>
      </w:r>
      <w:r w:rsidRPr="004303FA">
        <w:rPr>
          <w:kern w:val="2"/>
          <w:szCs w:val="20"/>
        </w:rPr>
        <w:t xml:space="preserve">glycerol </w:t>
      </w:r>
      <w:proofErr w:type="spellStart"/>
      <w:r w:rsidRPr="004303FA">
        <w:rPr>
          <w:kern w:val="2"/>
          <w:szCs w:val="20"/>
        </w:rPr>
        <w:t>dioleate</w:t>
      </w:r>
      <w:proofErr w:type="spellEnd"/>
      <w:r>
        <w:rPr>
          <w:kern w:val="2"/>
          <w:szCs w:val="20"/>
        </w:rPr>
        <w:t xml:space="preserve"> at doses up to 1000 mg/kg/day. Consistent with previous results, SC</w:t>
      </w:r>
      <w:r w:rsidRPr="00675F61">
        <w:rPr>
          <w:kern w:val="2"/>
          <w:szCs w:val="20"/>
        </w:rPr>
        <w:t xml:space="preserve"> injection</w:t>
      </w:r>
      <w:r>
        <w:rPr>
          <w:kern w:val="2"/>
          <w:szCs w:val="20"/>
        </w:rPr>
        <w:t xml:space="preserve"> of pregnant rats with </w:t>
      </w:r>
      <w:r w:rsidRPr="00675F61">
        <w:rPr>
          <w:kern w:val="2"/>
          <w:szCs w:val="20"/>
        </w:rPr>
        <w:t xml:space="preserve">glycerol </w:t>
      </w:r>
      <w:proofErr w:type="spellStart"/>
      <w:r w:rsidRPr="00675F61">
        <w:rPr>
          <w:kern w:val="2"/>
          <w:szCs w:val="20"/>
        </w:rPr>
        <w:t>dioleate</w:t>
      </w:r>
      <w:proofErr w:type="spellEnd"/>
      <w:r>
        <w:rPr>
          <w:kern w:val="2"/>
          <w:szCs w:val="20"/>
        </w:rPr>
        <w:t xml:space="preserve"> produced no increase in circulating levels of </w:t>
      </w:r>
      <w:r>
        <w:t xml:space="preserve">glycerol </w:t>
      </w:r>
      <w:proofErr w:type="spellStart"/>
      <w:r>
        <w:t>dioleate</w:t>
      </w:r>
      <w:proofErr w:type="spellEnd"/>
      <w:r>
        <w:t xml:space="preserve">. Glycerol </w:t>
      </w:r>
      <w:proofErr w:type="spellStart"/>
      <w:r>
        <w:t>dioleate</w:t>
      </w:r>
      <w:proofErr w:type="spellEnd"/>
      <w:r>
        <w:t xml:space="preserve"> appeared to have no significant effects on maternal and f</w:t>
      </w:r>
      <w:r w:rsidR="0022179C">
        <w:t>o</w:t>
      </w:r>
      <w:r>
        <w:t>etal parameters or on subsequent pup development. This study was consistent with relevant guidelines.</w:t>
      </w:r>
    </w:p>
    <w:p w14:paraId="3F46F586" w14:textId="7FD06E3F" w:rsidR="004B3557" w:rsidRDefault="004B3557" w:rsidP="004B3557">
      <w:r w:rsidRPr="005C4777">
        <w:rPr>
          <w:kern w:val="2"/>
        </w:rPr>
        <w:t>While</w:t>
      </w:r>
      <w:r>
        <w:rPr>
          <w:i/>
          <w:kern w:val="2"/>
        </w:rPr>
        <w:t xml:space="preserve"> N</w:t>
      </w:r>
      <w:r>
        <w:rPr>
          <w:kern w:val="2"/>
        </w:rPr>
        <w:t>-</w:t>
      </w:r>
      <w:proofErr w:type="spellStart"/>
      <w:r>
        <w:rPr>
          <w:kern w:val="2"/>
        </w:rPr>
        <w:t>methylpyrrolidone</w:t>
      </w:r>
      <w:proofErr w:type="spellEnd"/>
      <w:r>
        <w:t xml:space="preserve"> has been shown to have </w:t>
      </w:r>
      <w:proofErr w:type="spellStart"/>
      <w:r>
        <w:t>fetotoxic</w:t>
      </w:r>
      <w:proofErr w:type="spellEnd"/>
      <w:r>
        <w:t xml:space="preserve"> and teratogenic effects in animal studies</w:t>
      </w:r>
      <w:r w:rsidR="003E62D4">
        <w:t>,</w:t>
      </w:r>
      <w:r>
        <w:rPr>
          <w:rStyle w:val="FootnoteReference"/>
        </w:rPr>
        <w:footnoteReference w:id="12"/>
      </w:r>
      <w:r>
        <w:rPr>
          <w:kern w:val="2"/>
        </w:rPr>
        <w:t xml:space="preserve"> the doses at which these effects were found are markedly higher than those produced by injection of </w:t>
      </w:r>
      <w:r>
        <w:t>CAM2038 q4w.</w:t>
      </w:r>
    </w:p>
    <w:p w14:paraId="2045DF43" w14:textId="77777777" w:rsidR="004B3557" w:rsidRPr="00EB69F1" w:rsidRDefault="004B3557" w:rsidP="004B3557">
      <w:pPr>
        <w:pStyle w:val="Heading5"/>
      </w:pPr>
      <w:r w:rsidRPr="00EB69F1">
        <w:t>Pregnancy classification</w:t>
      </w:r>
    </w:p>
    <w:p w14:paraId="3392CF0E" w14:textId="262953DA" w:rsidR="004B3557" w:rsidRPr="004B3557" w:rsidRDefault="004B3557" w:rsidP="004B3557">
      <w:r w:rsidRPr="00835116">
        <w:t xml:space="preserve">The sponsor has proposed Pregnancy Category </w:t>
      </w:r>
      <w:r>
        <w:t>C</w:t>
      </w:r>
      <w:r w:rsidRPr="00835116">
        <w:t>.</w:t>
      </w:r>
      <w:bookmarkStart w:id="61" w:name="_Ref18483144"/>
      <w:r w:rsidR="003E62D4">
        <w:rPr>
          <w:rStyle w:val="FootnoteReference"/>
        </w:rPr>
        <w:footnoteReference w:id="13"/>
      </w:r>
      <w:bookmarkEnd w:id="61"/>
      <w:r w:rsidRPr="00835116">
        <w:t xml:space="preserve"> </w:t>
      </w:r>
      <w:r>
        <w:t>T</w:t>
      </w:r>
      <w:r w:rsidRPr="00835116">
        <w:t xml:space="preserve">his category </w:t>
      </w:r>
      <w:r>
        <w:t xml:space="preserve">is considered </w:t>
      </w:r>
      <w:r w:rsidRPr="00835116">
        <w:t>appropriate based on animal findings</w:t>
      </w:r>
      <w:r>
        <w:t>.</w:t>
      </w:r>
    </w:p>
    <w:p w14:paraId="221E0B07" w14:textId="7447CADB" w:rsidR="004B3557" w:rsidRDefault="003E62D4" w:rsidP="004B3557">
      <w:pPr>
        <w:pStyle w:val="Heading4"/>
      </w:pPr>
      <w:r>
        <w:t>Local tolerance</w:t>
      </w:r>
    </w:p>
    <w:p w14:paraId="7599D532" w14:textId="4393F017" w:rsidR="004B3557" w:rsidRDefault="004B3557" w:rsidP="004B3557">
      <w:r>
        <w:t>Following</w:t>
      </w:r>
      <w:r w:rsidR="003E62D4">
        <w:t xml:space="preserve"> SC administration of sustained </w:t>
      </w:r>
      <w:r>
        <w:t xml:space="preserve">release formulation to dogs, some injection sites showed very slight oedema, suggesting that the </w:t>
      </w:r>
      <w:proofErr w:type="spellStart"/>
      <w:r>
        <w:t>injectate</w:t>
      </w:r>
      <w:proofErr w:type="spellEnd"/>
      <w:r>
        <w:t xml:space="preserve"> is well tolerated.</w:t>
      </w:r>
    </w:p>
    <w:p w14:paraId="2994CE36" w14:textId="296C77DE" w:rsidR="004B3557" w:rsidRDefault="004B3557" w:rsidP="004B3557">
      <w:r>
        <w:t>Intramuscular injection of t</w:t>
      </w:r>
      <w:r w:rsidR="00C27830">
        <w:t xml:space="preserve">he weekly and monthly sustained </w:t>
      </w:r>
      <w:r>
        <w:t>release dosage formulations into the hind</w:t>
      </w:r>
      <w:r w:rsidR="00C27830">
        <w:t xml:space="preserve"> </w:t>
      </w:r>
      <w:r>
        <w:t>limbs of dogs produced neither macroscopic irritation at the injection site nor clinical findings (other than those induced by buprenorphine). Microscopic inspection of the injection sites showed (as for subcutaneous administration) evidence of inflammation. Hence, inadvertent intramuscular injection of CAM2038 would not be expected to produce any additional adverse events.</w:t>
      </w:r>
    </w:p>
    <w:p w14:paraId="4CB7A896" w14:textId="77777777" w:rsidR="004B3557" w:rsidRDefault="004B3557" w:rsidP="004B3557">
      <w:pPr>
        <w:pStyle w:val="Heading4"/>
      </w:pPr>
      <w:proofErr w:type="spellStart"/>
      <w:r>
        <w:t>I</w:t>
      </w:r>
      <w:r w:rsidRPr="00EB69F1">
        <w:t>mmunotoxicity</w:t>
      </w:r>
      <w:proofErr w:type="spellEnd"/>
    </w:p>
    <w:p w14:paraId="3CCB5A75" w14:textId="4CFA544C" w:rsidR="00C9747E" w:rsidRPr="004B3557" w:rsidRDefault="004B3557" w:rsidP="004B3557">
      <w:pPr>
        <w:rPr>
          <w:kern w:val="2"/>
          <w:szCs w:val="20"/>
        </w:rPr>
      </w:pPr>
      <w:r w:rsidRPr="00421B22">
        <w:rPr>
          <w:kern w:val="2"/>
          <w:szCs w:val="20"/>
        </w:rPr>
        <w:t>As endogenous chemicals,</w:t>
      </w:r>
      <w:r>
        <w:rPr>
          <w:kern w:val="2"/>
          <w:szCs w:val="20"/>
        </w:rPr>
        <w:t xml:space="preserve"> </w:t>
      </w:r>
      <w:r>
        <w:t xml:space="preserve">glycerol </w:t>
      </w:r>
      <w:proofErr w:type="spellStart"/>
      <w:r>
        <w:t>dioleate</w:t>
      </w:r>
      <w:proofErr w:type="spellEnd"/>
      <w:r>
        <w:t xml:space="preserve"> and </w:t>
      </w:r>
      <w:r w:rsidRPr="00BB7CFB">
        <w:t>phosphatidylcholine</w:t>
      </w:r>
      <w:r>
        <w:t xml:space="preserve"> would not be expected to show </w:t>
      </w:r>
      <w:proofErr w:type="spellStart"/>
      <w:r>
        <w:t>immunotoxicity</w:t>
      </w:r>
      <w:proofErr w:type="spellEnd"/>
      <w:r>
        <w:t xml:space="preserve">. Buprenorphine has been reported to have a slight </w:t>
      </w:r>
      <w:proofErr w:type="spellStart"/>
      <w:r>
        <w:t>immunostimulatory</w:t>
      </w:r>
      <w:proofErr w:type="spellEnd"/>
      <w:r>
        <w:t xml:space="preserve"> effect in rats, whilst there appears to be no information available on immune system effects of </w:t>
      </w:r>
      <w:r>
        <w:rPr>
          <w:i/>
          <w:kern w:val="2"/>
        </w:rPr>
        <w:t>N</w:t>
      </w:r>
      <w:r>
        <w:rPr>
          <w:kern w:val="2"/>
        </w:rPr>
        <w:t>-</w:t>
      </w:r>
      <w:proofErr w:type="spellStart"/>
      <w:r>
        <w:rPr>
          <w:kern w:val="2"/>
        </w:rPr>
        <w:t>methylpyrrolidone</w:t>
      </w:r>
      <w:proofErr w:type="spellEnd"/>
      <w:r>
        <w:rPr>
          <w:kern w:val="2"/>
        </w:rPr>
        <w:t>.</w:t>
      </w:r>
    </w:p>
    <w:p w14:paraId="605A1DC8" w14:textId="77777777" w:rsidR="008E7846" w:rsidRDefault="008E7846" w:rsidP="008E7846">
      <w:pPr>
        <w:pStyle w:val="Heading3"/>
      </w:pPr>
      <w:bookmarkStart w:id="62" w:name="_Toc247691515"/>
      <w:bookmarkStart w:id="63" w:name="_Toc314842499"/>
      <w:bookmarkStart w:id="64" w:name="_Toc24539925"/>
      <w:r>
        <w:t>Nonclinical summary and conclusions</w:t>
      </w:r>
      <w:bookmarkEnd w:id="62"/>
      <w:bookmarkEnd w:id="63"/>
      <w:bookmarkEnd w:id="64"/>
    </w:p>
    <w:p w14:paraId="7C357558" w14:textId="77777777" w:rsidR="004B3557" w:rsidRPr="004B3557" w:rsidRDefault="004B3557" w:rsidP="004B3557">
      <w:pPr>
        <w:pStyle w:val="Heading4"/>
      </w:pPr>
      <w:r>
        <w:t>Summary</w:t>
      </w:r>
    </w:p>
    <w:p w14:paraId="29E39C31" w14:textId="6C7A2850" w:rsidR="004B3557" w:rsidRDefault="00EC2A6C" w:rsidP="004B3557">
      <w:pPr>
        <w:pStyle w:val="ListBullet"/>
      </w:pPr>
      <w:proofErr w:type="spellStart"/>
      <w:r>
        <w:t>Buvidal</w:t>
      </w:r>
      <w:proofErr w:type="spellEnd"/>
      <w:r>
        <w:t xml:space="preserve"> </w:t>
      </w:r>
      <w:r w:rsidR="0022179C">
        <w:t xml:space="preserve">(CAM2038) </w:t>
      </w:r>
      <w:r w:rsidR="004B3557">
        <w:t xml:space="preserve">comprises a mix of the amphiphilic lipids glycerol </w:t>
      </w:r>
      <w:proofErr w:type="spellStart"/>
      <w:r w:rsidR="004B3557">
        <w:t>dioleate</w:t>
      </w:r>
      <w:proofErr w:type="spellEnd"/>
      <w:r w:rsidR="004B3557">
        <w:t xml:space="preserve"> and soybean phosphatidylcholine, along with the active pharmaceutical ingredient (buprenorphine) and a solvent (ethanol for the weekly or </w:t>
      </w:r>
      <w:r w:rsidR="004B3557" w:rsidRPr="00A37E5F">
        <w:rPr>
          <w:i/>
        </w:rPr>
        <w:t>N</w:t>
      </w:r>
      <w:r w:rsidR="00213ADE">
        <w:noBreakHyphen/>
      </w:r>
      <w:proofErr w:type="spellStart"/>
      <w:r w:rsidR="004B3557">
        <w:t>methylpyrrolidone</w:t>
      </w:r>
      <w:proofErr w:type="spellEnd"/>
      <w:r w:rsidR="004B3557">
        <w:t xml:space="preserve"> for the monthly dosage form</w:t>
      </w:r>
      <w:r w:rsidR="00C27830">
        <w:t>). In the presence of water (for example,</w:t>
      </w:r>
      <w:r w:rsidR="004B3557">
        <w:t xml:space="preserve"> from bo</w:t>
      </w:r>
      <w:r w:rsidR="0022179C">
        <w:t xml:space="preserve">dily fluids), this mixture self </w:t>
      </w:r>
      <w:r w:rsidR="004B3557">
        <w:t>assembles into a liquid crystalline micellar struct</w:t>
      </w:r>
      <w:r w:rsidR="00C27830">
        <w:t xml:space="preserve">ure that can act as a sustained </w:t>
      </w:r>
      <w:r w:rsidR="004B3557">
        <w:t>release drug depot.</w:t>
      </w:r>
    </w:p>
    <w:p w14:paraId="1BEBDAF2" w14:textId="74B7FDB3" w:rsidR="004B3557" w:rsidRDefault="00C27830" w:rsidP="004B3557">
      <w:pPr>
        <w:pStyle w:val="ListBullet"/>
      </w:pPr>
      <w:r>
        <w:t>The nonclinical</w:t>
      </w:r>
      <w:r w:rsidR="004B3557">
        <w:t xml:space="preserve"> studies focussed on the pharmacokinetics </w:t>
      </w:r>
      <w:r w:rsidR="0022179C">
        <w:t xml:space="preserve">and toxicology of the sustained </w:t>
      </w:r>
      <w:r w:rsidR="004B3557">
        <w:t xml:space="preserve">release formulation of buprenorphine and of two of its components, glycerol </w:t>
      </w:r>
      <w:proofErr w:type="spellStart"/>
      <w:r w:rsidR="004B3557">
        <w:t>dioleate</w:t>
      </w:r>
      <w:proofErr w:type="spellEnd"/>
      <w:r w:rsidR="004B3557">
        <w:t xml:space="preserve"> and </w:t>
      </w:r>
      <w:r w:rsidR="004B3557" w:rsidRPr="00A37E5F">
        <w:rPr>
          <w:i/>
        </w:rPr>
        <w:t>N</w:t>
      </w:r>
      <w:r w:rsidR="004B3557">
        <w:t>-</w:t>
      </w:r>
      <w:proofErr w:type="spellStart"/>
      <w:r w:rsidR="004B3557">
        <w:t>methylpyrrolidone</w:t>
      </w:r>
      <w:proofErr w:type="spellEnd"/>
      <w:r w:rsidR="004B3557">
        <w:t xml:space="preserve">. Glycerol </w:t>
      </w:r>
      <w:proofErr w:type="spellStart"/>
      <w:r w:rsidR="004B3557">
        <w:t>dioleate</w:t>
      </w:r>
      <w:proofErr w:type="spellEnd"/>
      <w:r w:rsidR="004B3557">
        <w:t xml:space="preserve"> and </w:t>
      </w:r>
      <w:r w:rsidR="004B3557" w:rsidRPr="00A37E5F">
        <w:rPr>
          <w:i/>
        </w:rPr>
        <w:t>N</w:t>
      </w:r>
      <w:r w:rsidR="004B3557">
        <w:t>-</w:t>
      </w:r>
      <w:proofErr w:type="spellStart"/>
      <w:r w:rsidR="004B3557">
        <w:t>methylpyrrolidone</w:t>
      </w:r>
      <w:proofErr w:type="spellEnd"/>
      <w:r w:rsidR="004B3557">
        <w:t xml:space="preserve"> warrant special attention because the former has not t</w:t>
      </w:r>
      <w:r w:rsidR="0022179C">
        <w:t>ypically been used in sustained </w:t>
      </w:r>
      <w:r w:rsidR="004B3557">
        <w:t xml:space="preserve">release </w:t>
      </w:r>
      <w:r w:rsidR="004B3557">
        <w:lastRenderedPageBreak/>
        <w:t xml:space="preserve">matrices and because the latter is proposed for use at levels that could result in toxicological risks to patients. The overall quality of the nonclinical dossier was high and all pivotal safety-related studies were </w:t>
      </w:r>
      <w:r w:rsidR="00213ADE">
        <w:t xml:space="preserve">Good Laboratory Practice </w:t>
      </w:r>
      <w:r>
        <w:t>(</w:t>
      </w:r>
      <w:r w:rsidR="004B3557">
        <w:t>GLP</w:t>
      </w:r>
      <w:r>
        <w:t>)</w:t>
      </w:r>
      <w:r w:rsidR="004B3557">
        <w:t xml:space="preserve"> compliant.</w:t>
      </w:r>
    </w:p>
    <w:p w14:paraId="423B32E8" w14:textId="77777777" w:rsidR="00885CE7" w:rsidRDefault="004B3557" w:rsidP="004B3557">
      <w:pPr>
        <w:pStyle w:val="ListBullet"/>
      </w:pPr>
      <w:r>
        <w:t>Buprenorphine has been widely used as an analgesic since the 1980s. Accordingly, there is extensive evidence in the literature regarding the pharmacological and other properties of this drug. It is therefore acceptable that no specific safety pharmacology studies were performed by the sponsor</w:t>
      </w:r>
      <w:r w:rsidR="00885CE7">
        <w:t>.</w:t>
      </w:r>
    </w:p>
    <w:p w14:paraId="741CC293" w14:textId="4B7362CA" w:rsidR="004B3557" w:rsidRDefault="004B3557" w:rsidP="004B3557">
      <w:pPr>
        <w:pStyle w:val="ListBullet"/>
      </w:pPr>
      <w:r>
        <w:t>The pharmacokinetics of buprenorphine release from weekly and month</w:t>
      </w:r>
      <w:r w:rsidR="00C27830">
        <w:t xml:space="preserve">ly sustained </w:t>
      </w:r>
      <w:r>
        <w:t xml:space="preserve">release formulations were examined following SC injection into rats, dogs, and pigs. The results demonstrated appropriate differences in </w:t>
      </w:r>
      <w:proofErr w:type="spellStart"/>
      <w:r>
        <w:t>T</w:t>
      </w:r>
      <w:r w:rsidRPr="00C27830">
        <w:rPr>
          <w:vertAlign w:val="subscript"/>
        </w:rPr>
        <w:t>max</w:t>
      </w:r>
      <w:proofErr w:type="spellEnd"/>
      <w:r>
        <w:t xml:space="preserve"> between the two types of formulation, no dose dumping from either type of formulation, and controlled and sustained release of buprenorphine, within the therapeutic window, for appropriate time periods, from both formulations. Comparison with human pharmacokinetic results showed reasonable similarity suggesting that the animal species chosen are potentially useful models of </w:t>
      </w:r>
      <w:proofErr w:type="spellStart"/>
      <w:r w:rsidR="00EC2A6C">
        <w:t>Buvidal</w:t>
      </w:r>
      <w:proofErr w:type="spellEnd"/>
      <w:r w:rsidR="00EC2A6C">
        <w:t xml:space="preserve"> </w:t>
      </w:r>
      <w:r>
        <w:t xml:space="preserve">action in humans. SC administered glycerol </w:t>
      </w:r>
      <w:proofErr w:type="spellStart"/>
      <w:r>
        <w:t>dioleate</w:t>
      </w:r>
      <w:proofErr w:type="spellEnd"/>
      <w:r>
        <w:t xml:space="preserve"> or glycerol </w:t>
      </w:r>
      <w:proofErr w:type="spellStart"/>
      <w:r>
        <w:t>dioleate</w:t>
      </w:r>
      <w:proofErr w:type="spellEnd"/>
      <w:r>
        <w:t xml:space="preserve">/phosphatidylcholine mixture did not produce an increase in plasma glycerol </w:t>
      </w:r>
      <w:proofErr w:type="spellStart"/>
      <w:r>
        <w:t>dioleate</w:t>
      </w:r>
      <w:proofErr w:type="spellEnd"/>
      <w:r>
        <w:t xml:space="preserve"> concentrations, suggesting that SC glycerol </w:t>
      </w:r>
      <w:proofErr w:type="spellStart"/>
      <w:r>
        <w:t>dioleate</w:t>
      </w:r>
      <w:proofErr w:type="spellEnd"/>
      <w:r>
        <w:t xml:space="preserve"> is metabolised locally and does not enter the circulation.</w:t>
      </w:r>
    </w:p>
    <w:p w14:paraId="0E616882" w14:textId="74297864" w:rsidR="004B3557" w:rsidRDefault="00C27830" w:rsidP="004B3557">
      <w:pPr>
        <w:pStyle w:val="ListBullet"/>
      </w:pPr>
      <w:r>
        <w:t xml:space="preserve">Single </w:t>
      </w:r>
      <w:r w:rsidR="004B3557">
        <w:t>dose studies used SC administration</w:t>
      </w:r>
      <w:r>
        <w:t xml:space="preserve"> of weekly or monthly sustained </w:t>
      </w:r>
      <w:r w:rsidR="004B3557">
        <w:t xml:space="preserve">release formulations to rats, dogs, and pigs and showed no evidence of systemic toxicity. Microscopic examination of injection sites, several weeks after dose administration, showed evidence of inflammatory responses. SC administration of glycerol </w:t>
      </w:r>
      <w:proofErr w:type="spellStart"/>
      <w:r w:rsidR="004B3557">
        <w:t>dioleate</w:t>
      </w:r>
      <w:proofErr w:type="spellEnd"/>
      <w:r w:rsidR="004B3557">
        <w:t xml:space="preserve"> to rats produced similar inflammatory responses at injection sites.</w:t>
      </w:r>
    </w:p>
    <w:p w14:paraId="49F2F44E" w14:textId="1240908E" w:rsidR="004B3557" w:rsidRDefault="004B3557" w:rsidP="004B3557">
      <w:pPr>
        <w:pStyle w:val="ListBullet"/>
      </w:pPr>
      <w:r>
        <w:t>An exposure comparison at the NOAEL for rats and rabbits given a single</w:t>
      </w:r>
      <w:r w:rsidR="00C27830">
        <w:t xml:space="preserve"> SC dose of </w:t>
      </w:r>
      <w:r w:rsidR="00C27830" w:rsidRPr="00A37E5F">
        <w:rPr>
          <w:i/>
        </w:rPr>
        <w:t>N</w:t>
      </w:r>
      <w:r w:rsidR="00C27830">
        <w:noBreakHyphen/>
      </w:r>
      <w:proofErr w:type="spellStart"/>
      <w:r>
        <w:t>methylpyrrolidone</w:t>
      </w:r>
      <w:proofErr w:type="spellEnd"/>
      <w:r>
        <w:t xml:space="preserve"> against the maximum human exposure to </w:t>
      </w:r>
      <w:r w:rsidRPr="00A37E5F">
        <w:rPr>
          <w:i/>
        </w:rPr>
        <w:t>N</w:t>
      </w:r>
      <w:r>
        <w:t>-</w:t>
      </w:r>
      <w:proofErr w:type="spellStart"/>
      <w:r>
        <w:t>methylpyrrolidone</w:t>
      </w:r>
      <w:proofErr w:type="spellEnd"/>
      <w:r>
        <w:t xml:space="preserve"> </w:t>
      </w:r>
      <w:r w:rsidR="00F7517C">
        <w:t xml:space="preserve">by administration of </w:t>
      </w:r>
      <w:proofErr w:type="spellStart"/>
      <w:r w:rsidR="00F7517C">
        <w:t>Buvidal</w:t>
      </w:r>
      <w:proofErr w:type="spellEnd"/>
      <w:r w:rsidR="00F7517C">
        <w:t xml:space="preserve"> Monthly </w:t>
      </w:r>
      <w:r>
        <w:t xml:space="preserve">gave exposure ratios of around 60 and 20, respectively, suggesting no safety concerns for </w:t>
      </w:r>
      <w:r w:rsidRPr="00A37E5F">
        <w:rPr>
          <w:i/>
        </w:rPr>
        <w:t>N</w:t>
      </w:r>
      <w:r>
        <w:t>-</w:t>
      </w:r>
      <w:proofErr w:type="spellStart"/>
      <w:r>
        <w:t>methylpyrrolidone</w:t>
      </w:r>
      <w:proofErr w:type="spellEnd"/>
      <w:r>
        <w:t xml:space="preserve"> in patients.</w:t>
      </w:r>
    </w:p>
    <w:p w14:paraId="08932D34" w14:textId="77309AF7" w:rsidR="004B3557" w:rsidRDefault="00C27830" w:rsidP="004B3557">
      <w:pPr>
        <w:pStyle w:val="ListBullet"/>
      </w:pPr>
      <w:r>
        <w:t xml:space="preserve">Repeat </w:t>
      </w:r>
      <w:r w:rsidR="004B3557">
        <w:t xml:space="preserve">dose toxicity studies of weekly and </w:t>
      </w:r>
      <w:r>
        <w:t xml:space="preserve">monthly sustained </w:t>
      </w:r>
      <w:r w:rsidR="004B3557">
        <w:t>release formulation were performed by the SC route in dogs for periods up to 9 months.</w:t>
      </w:r>
      <w:r>
        <w:t xml:space="preserve"> There was no systemic toxicity,</w:t>
      </w:r>
      <w:r w:rsidR="004B3557">
        <w:t xml:space="preserve"> but microscopic inspection of injection </w:t>
      </w:r>
      <w:r>
        <w:t xml:space="preserve">sites showed that the sustained </w:t>
      </w:r>
      <w:r w:rsidR="004B3557">
        <w:t xml:space="preserve">release formulation produced a sequence of responses that is characteristic of a foreign body reaction: haemorrhage and acute inflammation (oedema and infiltration, predominantly by neutrophils), followed by fibrotic encapsulation of the </w:t>
      </w:r>
      <w:r w:rsidR="00900CAB">
        <w:t>‘</w:t>
      </w:r>
      <w:r w:rsidR="00893F5B">
        <w:t>cavity</w:t>
      </w:r>
      <w:r w:rsidR="00900CAB">
        <w:t>’</w:t>
      </w:r>
      <w:r w:rsidR="00213ADE">
        <w:t>;</w:t>
      </w:r>
      <w:r w:rsidR="00900CAB">
        <w:fldChar w:fldCharType="begin"/>
      </w:r>
      <w:r w:rsidR="00900CAB">
        <w:instrText xml:space="preserve"> NOTEREF _Ref22109827 \f \h </w:instrText>
      </w:r>
      <w:r w:rsidR="00900CAB">
        <w:fldChar w:fldCharType="separate"/>
      </w:r>
      <w:r w:rsidR="00900CAB" w:rsidRPr="00A37E5F">
        <w:rPr>
          <w:rStyle w:val="FootnoteReference"/>
        </w:rPr>
        <w:t>5</w:t>
      </w:r>
      <w:r w:rsidR="00900CAB">
        <w:fldChar w:fldCharType="end"/>
      </w:r>
      <w:r w:rsidR="00893F5B">
        <w:t xml:space="preserve"> </w:t>
      </w:r>
      <w:r w:rsidR="004B3557">
        <w:t>and chronic, granulomatous inflammation associated with giant cell formation. The incidence and/or severity of these responses subsided foll</w:t>
      </w:r>
      <w:r>
        <w:t xml:space="preserve">owing a recovery period. Repeat </w:t>
      </w:r>
      <w:r w:rsidR="004B3557">
        <w:t xml:space="preserve">dose studies in rats given daily SC doses </w:t>
      </w:r>
      <w:r>
        <w:t xml:space="preserve">of glycerol </w:t>
      </w:r>
      <w:proofErr w:type="spellStart"/>
      <w:r>
        <w:t>dioleate</w:t>
      </w:r>
      <w:proofErr w:type="spellEnd"/>
      <w:r>
        <w:t xml:space="preserve"> of up to 1 </w:t>
      </w:r>
      <w:r w:rsidR="004B3557">
        <w:t xml:space="preserve">g/kg for periods of up to 9 months showed no evidence for systemic toxicity by glycerol </w:t>
      </w:r>
      <w:proofErr w:type="spellStart"/>
      <w:r w:rsidR="004B3557">
        <w:t>dioleate</w:t>
      </w:r>
      <w:proofErr w:type="spellEnd"/>
      <w:r w:rsidR="004B3557">
        <w:t xml:space="preserve">, although the </w:t>
      </w:r>
      <w:proofErr w:type="spellStart"/>
      <w:r w:rsidR="004B3557">
        <w:t>injectate</w:t>
      </w:r>
      <w:proofErr w:type="spellEnd"/>
      <w:r w:rsidR="004B3557">
        <w:t xml:space="preserve"> produced an inflammatory response similar to that induced by sustained</w:t>
      </w:r>
      <w:r>
        <w:t xml:space="preserve">-release formulation. No repeat </w:t>
      </w:r>
      <w:r w:rsidR="004B3557">
        <w:t xml:space="preserve">dose studies were performed using </w:t>
      </w:r>
      <w:r w:rsidR="004B3557" w:rsidRPr="00A37E5F">
        <w:rPr>
          <w:i/>
        </w:rPr>
        <w:t>N</w:t>
      </w:r>
      <w:r w:rsidR="004B3557">
        <w:t>-</w:t>
      </w:r>
      <w:proofErr w:type="spellStart"/>
      <w:r w:rsidR="004B3557">
        <w:t>methylpyrrolidone</w:t>
      </w:r>
      <w:proofErr w:type="spellEnd"/>
      <w:r w:rsidR="004B3557">
        <w:t>.</w:t>
      </w:r>
    </w:p>
    <w:p w14:paraId="1139E7B4" w14:textId="2A738B73" w:rsidR="004B3557" w:rsidRDefault="004B3557" w:rsidP="004B3557">
      <w:pPr>
        <w:pStyle w:val="ListBullet"/>
      </w:pPr>
      <w:r>
        <w:t xml:space="preserve">No </w:t>
      </w:r>
      <w:proofErr w:type="spellStart"/>
      <w:r>
        <w:t>genotoxicity</w:t>
      </w:r>
      <w:proofErr w:type="spellEnd"/>
      <w:r>
        <w:t xml:space="preserve"> studies were performed with </w:t>
      </w:r>
      <w:proofErr w:type="spellStart"/>
      <w:r w:rsidR="00EC2A6C">
        <w:t>Buvidal</w:t>
      </w:r>
      <w:proofErr w:type="spellEnd"/>
      <w:r>
        <w:t>. Data from the literature indicate</w:t>
      </w:r>
      <w:r w:rsidR="00C27830">
        <w:t>s</w:t>
      </w:r>
      <w:r>
        <w:t xml:space="preserve"> that buprenorphine, ethanol, and </w:t>
      </w:r>
      <w:r w:rsidRPr="00A37E5F">
        <w:rPr>
          <w:i/>
        </w:rPr>
        <w:t>N</w:t>
      </w:r>
      <w:r>
        <w:t>-</w:t>
      </w:r>
      <w:proofErr w:type="spellStart"/>
      <w:r>
        <w:t>methylpyrrolidone</w:t>
      </w:r>
      <w:proofErr w:type="spellEnd"/>
      <w:r>
        <w:t xml:space="preserve"> are not genotoxic, whilst soybean phosphatidylcholine is </w:t>
      </w:r>
      <w:r w:rsidR="008C2B63">
        <w:t>‘</w:t>
      </w:r>
      <w:r>
        <w:t>generally recognised as safe</w:t>
      </w:r>
      <w:r w:rsidR="008C2B63">
        <w:t>’</w:t>
      </w:r>
      <w:r>
        <w:t xml:space="preserve">. Studies performed by the sponsor showed that glycerol </w:t>
      </w:r>
      <w:proofErr w:type="spellStart"/>
      <w:r>
        <w:t>dioleate</w:t>
      </w:r>
      <w:proofErr w:type="spellEnd"/>
      <w:r>
        <w:t xml:space="preserve"> was non-mutagenic in bacterial and mammalian cell mutation assays and non-</w:t>
      </w:r>
      <w:proofErr w:type="spellStart"/>
      <w:r>
        <w:t>clastogenic</w:t>
      </w:r>
      <w:proofErr w:type="spellEnd"/>
      <w:r>
        <w:t xml:space="preserve"> in the rat bone marrow micronucleus test.</w:t>
      </w:r>
    </w:p>
    <w:p w14:paraId="757AA6A0" w14:textId="3737BBC4" w:rsidR="004B3557" w:rsidRDefault="004B3557" w:rsidP="004B3557">
      <w:pPr>
        <w:pStyle w:val="ListBullet"/>
      </w:pPr>
      <w:r>
        <w:t xml:space="preserve">No carcinogenicity studies were performed with </w:t>
      </w:r>
      <w:proofErr w:type="spellStart"/>
      <w:r w:rsidR="00EC2A6C">
        <w:t>Buvidal</w:t>
      </w:r>
      <w:proofErr w:type="spellEnd"/>
      <w:r>
        <w:t xml:space="preserve">. Literature studies suggest that buprenorphine and </w:t>
      </w:r>
      <w:r w:rsidRPr="00A37E5F">
        <w:rPr>
          <w:i/>
        </w:rPr>
        <w:t>N</w:t>
      </w:r>
      <w:r>
        <w:t>-</w:t>
      </w:r>
      <w:proofErr w:type="spellStart"/>
      <w:r>
        <w:t>methylpyrrolidone</w:t>
      </w:r>
      <w:proofErr w:type="spellEnd"/>
      <w:r>
        <w:t xml:space="preserve"> are not of carcinogenic concern to humans. Moreover, there is no basis for suspecting that ubiquitous, endogenously occurring lipids like glycerol </w:t>
      </w:r>
      <w:proofErr w:type="spellStart"/>
      <w:r>
        <w:t>dioleate</w:t>
      </w:r>
      <w:proofErr w:type="spellEnd"/>
      <w:r>
        <w:t xml:space="preserve"> and phosphatidylcholine are carcinogenic.</w:t>
      </w:r>
    </w:p>
    <w:p w14:paraId="7D5737D7" w14:textId="6905B69A" w:rsidR="004B3557" w:rsidRDefault="004B3557" w:rsidP="004B3557">
      <w:pPr>
        <w:pStyle w:val="ListBullet"/>
      </w:pPr>
      <w:r>
        <w:lastRenderedPageBreak/>
        <w:t xml:space="preserve">Results from the scientific literature suggest that buprenorphine can be </w:t>
      </w:r>
      <w:proofErr w:type="spellStart"/>
      <w:r>
        <w:t>fetotoxic</w:t>
      </w:r>
      <w:proofErr w:type="spellEnd"/>
      <w:r>
        <w:t xml:space="preserve"> but not teratogenic in rats. </w:t>
      </w:r>
      <w:r w:rsidRPr="00A37E5F">
        <w:rPr>
          <w:i/>
        </w:rPr>
        <w:t>N</w:t>
      </w:r>
      <w:r>
        <w:t>-</w:t>
      </w:r>
      <w:proofErr w:type="spellStart"/>
      <w:r>
        <w:t>methylpyrrolidone</w:t>
      </w:r>
      <w:proofErr w:type="spellEnd"/>
      <w:r>
        <w:t xml:space="preserve"> has been shown to have </w:t>
      </w:r>
      <w:proofErr w:type="spellStart"/>
      <w:r>
        <w:t>fetotoxic</w:t>
      </w:r>
      <w:proofErr w:type="spellEnd"/>
      <w:r>
        <w:t xml:space="preserve"> and teratogenic effects in animal studies, albeit at markedly higher doses than those produced by injection of </w:t>
      </w:r>
      <w:proofErr w:type="spellStart"/>
      <w:r w:rsidR="00EC2A6C">
        <w:t>Buvidal</w:t>
      </w:r>
      <w:proofErr w:type="spellEnd"/>
      <w:r>
        <w:t xml:space="preserve">. No significant effects on maternal and </w:t>
      </w:r>
      <w:proofErr w:type="spellStart"/>
      <w:r>
        <w:t>fetal</w:t>
      </w:r>
      <w:proofErr w:type="spellEnd"/>
      <w:r>
        <w:t xml:space="preserve"> parameters or on subsequent pup development were noted when pregnant rats rece</w:t>
      </w:r>
      <w:r w:rsidR="00C27830">
        <w:t>ived daily SC injections f</w:t>
      </w:r>
      <w:r w:rsidR="008E61F9">
        <w:t xml:space="preserve">rom gestational </w:t>
      </w:r>
      <w:r w:rsidR="00213ADE">
        <w:t>D</w:t>
      </w:r>
      <w:r w:rsidR="008E61F9">
        <w:t>ay 6 till post</w:t>
      </w:r>
      <w:r w:rsidR="00C27830">
        <w:t xml:space="preserve">natal </w:t>
      </w:r>
      <w:r w:rsidR="00213ADE">
        <w:t>D</w:t>
      </w:r>
      <w:r w:rsidR="00C27830">
        <w:t xml:space="preserve">ay 20 (37 to </w:t>
      </w:r>
      <w:r>
        <w:t>39</w:t>
      </w:r>
      <w:r w:rsidR="00213ADE">
        <w:t> </w:t>
      </w:r>
      <w:r>
        <w:t>injections, rotated around 6 sites) of glycer</w:t>
      </w:r>
      <w:r w:rsidR="00827533">
        <w:t xml:space="preserve">ol </w:t>
      </w:r>
      <w:proofErr w:type="spellStart"/>
      <w:r w:rsidR="00827533">
        <w:t>dioleate</w:t>
      </w:r>
      <w:proofErr w:type="spellEnd"/>
      <w:r w:rsidR="00827533">
        <w:t xml:space="preserve"> at doses up to 1000 </w:t>
      </w:r>
      <w:r>
        <w:t>mg/kg/day.</w:t>
      </w:r>
    </w:p>
    <w:p w14:paraId="16062CB8" w14:textId="77777777" w:rsidR="004B3557" w:rsidRDefault="004B3557" w:rsidP="004B3557">
      <w:pPr>
        <w:pStyle w:val="Heading4"/>
      </w:pPr>
      <w:r>
        <w:t>Conclusions and recommendation</w:t>
      </w:r>
    </w:p>
    <w:p w14:paraId="05EE3AD5" w14:textId="44B3AAB1" w:rsidR="004B3557" w:rsidRPr="00C27830" w:rsidRDefault="004B3557" w:rsidP="00C27830">
      <w:pPr>
        <w:pStyle w:val="ListBullet"/>
      </w:pPr>
      <w:r w:rsidRPr="00C27830">
        <w:t xml:space="preserve">The pharmacokinetics results from animal models support the clinical use of weekly or monthly sustained release forms of </w:t>
      </w:r>
      <w:proofErr w:type="spellStart"/>
      <w:r w:rsidR="00EC2A6C">
        <w:t>Buvidal</w:t>
      </w:r>
      <w:proofErr w:type="spellEnd"/>
      <w:r w:rsidRPr="00C27830">
        <w:t>.</w:t>
      </w:r>
    </w:p>
    <w:p w14:paraId="1F53A265" w14:textId="183C716A" w:rsidR="004B3557" w:rsidRPr="00C27830" w:rsidRDefault="00C27830" w:rsidP="00C27830">
      <w:pPr>
        <w:pStyle w:val="ListBullet"/>
      </w:pPr>
      <w:r>
        <w:t xml:space="preserve">The repeat </w:t>
      </w:r>
      <w:r w:rsidR="004B3557" w:rsidRPr="00C27830">
        <w:t xml:space="preserve">dose toxicity studies in dogs gave no indication that </w:t>
      </w:r>
      <w:proofErr w:type="spellStart"/>
      <w:r w:rsidR="00EC2A6C">
        <w:t>Buvidal</w:t>
      </w:r>
      <w:proofErr w:type="spellEnd"/>
      <w:r w:rsidR="00EC2A6C" w:rsidRPr="00C27830">
        <w:t xml:space="preserve"> </w:t>
      </w:r>
      <w:r w:rsidR="004B3557" w:rsidRPr="00C27830">
        <w:t>could induce systemic toxicity in patients.</w:t>
      </w:r>
    </w:p>
    <w:p w14:paraId="6689CC30" w14:textId="5830C7A5" w:rsidR="004B3557" w:rsidRPr="00C27830" w:rsidRDefault="004B3557" w:rsidP="00C27830">
      <w:pPr>
        <w:pStyle w:val="ListBullet"/>
      </w:pPr>
      <w:r w:rsidRPr="00C27830">
        <w:t xml:space="preserve">The proposed placement of </w:t>
      </w:r>
      <w:proofErr w:type="spellStart"/>
      <w:r w:rsidR="00EC2A6C">
        <w:t>Buvidal</w:t>
      </w:r>
      <w:proofErr w:type="spellEnd"/>
      <w:r w:rsidR="00EC2A6C">
        <w:t xml:space="preserve"> </w:t>
      </w:r>
      <w:r w:rsidR="00C27830">
        <w:t>in Pregnancy Category C,</w:t>
      </w:r>
      <w:r w:rsidR="00C27830">
        <w:fldChar w:fldCharType="begin"/>
      </w:r>
      <w:r w:rsidR="00C27830">
        <w:instrText xml:space="preserve"> NOTEREF _Ref18483144 \f \h </w:instrText>
      </w:r>
      <w:r w:rsidR="00C27830">
        <w:fldChar w:fldCharType="separate"/>
      </w:r>
      <w:r w:rsidR="00C27830" w:rsidRPr="00C27830">
        <w:rPr>
          <w:rStyle w:val="FootnoteReference"/>
        </w:rPr>
        <w:t>9</w:t>
      </w:r>
      <w:r w:rsidR="00C27830">
        <w:fldChar w:fldCharType="end"/>
      </w:r>
      <w:r w:rsidR="00C27830">
        <w:t xml:space="preserve"> </w:t>
      </w:r>
      <w:r w:rsidRPr="00C27830">
        <w:t>is considered appropriate.</w:t>
      </w:r>
    </w:p>
    <w:p w14:paraId="4F6B42ED" w14:textId="4B61EEE2" w:rsidR="004B3557" w:rsidRPr="00C27830" w:rsidRDefault="004B3557" w:rsidP="00C27830">
      <w:pPr>
        <w:pStyle w:val="ListBullet"/>
      </w:pPr>
      <w:r w:rsidRPr="00C27830">
        <w:t xml:space="preserve">There are no nonclinical objections to the registration of </w:t>
      </w:r>
      <w:proofErr w:type="spellStart"/>
      <w:r w:rsidR="00EC2A6C">
        <w:t>Buvidal</w:t>
      </w:r>
      <w:proofErr w:type="spellEnd"/>
      <w:r w:rsidRPr="00C27830">
        <w:t>.</w:t>
      </w:r>
    </w:p>
    <w:p w14:paraId="60F350BE" w14:textId="77777777" w:rsidR="004B3557" w:rsidRPr="00C27830" w:rsidRDefault="004B3557" w:rsidP="00C27830">
      <w:pPr>
        <w:pStyle w:val="ListBullet"/>
      </w:pPr>
      <w:r w:rsidRPr="00C27830">
        <w:t>The draft Product Information should be amended as directed.</w:t>
      </w:r>
    </w:p>
    <w:p w14:paraId="716D7046" w14:textId="77777777" w:rsidR="008E7846" w:rsidRPr="00254787" w:rsidRDefault="008E7846" w:rsidP="008E7846">
      <w:pPr>
        <w:pStyle w:val="Heading2"/>
      </w:pPr>
      <w:bookmarkStart w:id="65" w:name="_Toc196046462"/>
      <w:bookmarkStart w:id="66" w:name="_Toc247691516"/>
      <w:bookmarkStart w:id="67" w:name="_Toc314842500"/>
      <w:bookmarkStart w:id="68" w:name="_Toc163441353"/>
      <w:bookmarkStart w:id="69" w:name="_Toc163441348"/>
      <w:bookmarkStart w:id="70" w:name="_Toc24539926"/>
      <w:r>
        <w:t xml:space="preserve">V. </w:t>
      </w:r>
      <w:r w:rsidRPr="00254787">
        <w:t>Clinical</w:t>
      </w:r>
      <w:bookmarkEnd w:id="65"/>
      <w:r>
        <w:t xml:space="preserve"> </w:t>
      </w:r>
      <w:r w:rsidR="003A7F6C">
        <w:t>f</w:t>
      </w:r>
      <w:r>
        <w:t>indings</w:t>
      </w:r>
      <w:bookmarkEnd w:id="66"/>
      <w:bookmarkEnd w:id="67"/>
      <w:bookmarkEnd w:id="70"/>
    </w:p>
    <w:p w14:paraId="0E7912D0" w14:textId="77777777" w:rsidR="00C80137" w:rsidRDefault="00C80137" w:rsidP="00D425BB">
      <w:bookmarkStart w:id="71" w:name="_Toc196046463"/>
      <w:r>
        <w:t xml:space="preserve">A summary of the </w:t>
      </w:r>
      <w:r w:rsidRPr="00FD70B8">
        <w:t>clinical findings is presented in this section.</w:t>
      </w:r>
    </w:p>
    <w:p w14:paraId="55D35FE5" w14:textId="77777777" w:rsidR="008E7846" w:rsidRDefault="008E7846" w:rsidP="008E7846">
      <w:pPr>
        <w:pStyle w:val="Heading3"/>
      </w:pPr>
      <w:bookmarkStart w:id="72" w:name="_Toc247691517"/>
      <w:bookmarkStart w:id="73" w:name="_Toc314842501"/>
      <w:bookmarkStart w:id="74" w:name="_Toc24539927"/>
      <w:r w:rsidRPr="00254787">
        <w:t>Introduction</w:t>
      </w:r>
      <w:bookmarkEnd w:id="71"/>
      <w:bookmarkEnd w:id="72"/>
      <w:bookmarkEnd w:id="73"/>
      <w:bookmarkEnd w:id="74"/>
    </w:p>
    <w:p w14:paraId="2912C616" w14:textId="77777777" w:rsidR="00086444" w:rsidRPr="00086444" w:rsidRDefault="00086444" w:rsidP="00086444">
      <w:pPr>
        <w:pStyle w:val="Heading4"/>
      </w:pPr>
      <w:bookmarkStart w:id="75" w:name="_Toc196046464"/>
      <w:bookmarkStart w:id="76" w:name="_Toc247691518"/>
      <w:bookmarkStart w:id="77" w:name="_Toc314842502"/>
      <w:r w:rsidRPr="00086444">
        <w:t>Information on the condition being treated</w:t>
      </w:r>
    </w:p>
    <w:p w14:paraId="5045F110" w14:textId="622D2A3D" w:rsidR="00086444" w:rsidRDefault="00086444" w:rsidP="00086444">
      <w:r>
        <w:t xml:space="preserve">Opioid dependence is characterised by cravings and compulsive use of opioids despite the negative consequences. In Australia, less than 1% of adolescents and adults habitually use illicit opioids (most commonly heroin) but the economic, social and medical costs are high. Fatal overdoses, criminal activity, family disruption, transmission of HIV, HBV and HCV are all commonly associated with dependence. The majority of opioid dependent subjects </w:t>
      </w:r>
      <w:r w:rsidR="00C27830">
        <w:t xml:space="preserve">are male in the age range of 30 to </w:t>
      </w:r>
      <w:r>
        <w:t>49 years, but 22% of the population are aged &gt;</w:t>
      </w:r>
      <w:r w:rsidR="00C27830">
        <w:t xml:space="preserve"> </w:t>
      </w:r>
      <w:r>
        <w:t>50 years. Approximately 10% of the dependent population are indigenous.</w:t>
      </w:r>
    </w:p>
    <w:p w14:paraId="263DE00F" w14:textId="77777777" w:rsidR="00086444" w:rsidRDefault="00086444" w:rsidP="00086444">
      <w:r>
        <w:t>In Australia in 2015, there were 2,031 drug related deaths, of which 1,489 deaths were from accidental overdose, most commonly due to illicit and licit opioids. Abuse of prescription opioids is a growing concern. In 2015, it was estimated that 23% of all abuse was associated with IV injection of prescription opioids, most commonly slow release morphine capsules. In Australia, there are approximately 800 deaths per year due to prescription pain killers. In Victoria in 2015, there were 453 overdose deaths, of which 199 were related to oral or IV opioid abuse, most commonly oxycodone, codeine, and methadone.</w:t>
      </w:r>
    </w:p>
    <w:p w14:paraId="2EC972D9" w14:textId="77777777" w:rsidR="00086444" w:rsidRDefault="00086444" w:rsidP="00086444">
      <w:pPr>
        <w:pStyle w:val="Heading4"/>
      </w:pPr>
      <w:r>
        <w:lastRenderedPageBreak/>
        <w:t>Current treatment options</w:t>
      </w:r>
    </w:p>
    <w:p w14:paraId="0147A8AE" w14:textId="0EDDE909" w:rsidR="00086444" w:rsidRDefault="00086444" w:rsidP="00086444">
      <w:r>
        <w:t>The successful treatment of opioid dependence requires psychological, social support and medical management.</w:t>
      </w:r>
      <w:bookmarkStart w:id="78" w:name="_Ref18500477"/>
      <w:r w:rsidR="00C27830">
        <w:rPr>
          <w:rStyle w:val="FootnoteReference"/>
        </w:rPr>
        <w:footnoteReference w:id="14"/>
      </w:r>
      <w:bookmarkEnd w:id="78"/>
      <w:r>
        <w:t xml:space="preserve"> As part of this multifaceted approach, replacement pharmacotherapy is routinely used to red</w:t>
      </w:r>
      <w:hyperlink w:anchor="_bookmark13" w:history="1">
        <w:r>
          <w:t>u</w:t>
        </w:r>
      </w:hyperlink>
      <w:r>
        <w:t xml:space="preserve">ce compulsion, cravings and physical adaption to chronic drug abuse. The Australian guideline for substitution treatment recommends methadone and </w:t>
      </w:r>
      <w:r w:rsidR="00246DC3">
        <w:t>buprenorphine</w:t>
      </w:r>
      <w:r>
        <w:t xml:space="preserve"> as safe and effective treatments. In Australia in 2015, approximately 48,000 people were in methadone and </w:t>
      </w:r>
      <w:r w:rsidR="00246DC3">
        <w:t>buprenorphine</w:t>
      </w:r>
      <w:r>
        <w:t xml:space="preserve"> treatment programs, representing approximately 50% of the target population. Methadone is used in approximately two thirds of subjects given pharmacotherapy. However, methadone use is associated with a higher risk of respiratory depression and overdose than </w:t>
      </w:r>
      <w:r w:rsidR="00246DC3">
        <w:t>buprenorphine</w:t>
      </w:r>
      <w:r>
        <w:t>. The choice of medication often depends on the subject’s preference, taking into account factors such as ease of use, sedating effects of methadone, risk of unintentional overdose and drug interactions.</w:t>
      </w:r>
    </w:p>
    <w:p w14:paraId="351ED761" w14:textId="6BE5A202" w:rsidR="00086444" w:rsidRDefault="002E3F6A" w:rsidP="00086444">
      <w:r>
        <w:t>B</w:t>
      </w:r>
      <w:r w:rsidR="00246DC3">
        <w:t>uprenorphine</w:t>
      </w:r>
      <w:r w:rsidR="00086444">
        <w:t xml:space="preserve"> has been used for over 50 years, and it is available in Australia in various formulations for the treatment of moderate to severe pain. There are three medicines registered in Australia for the long-term management of opioid dependence:</w:t>
      </w:r>
    </w:p>
    <w:p w14:paraId="7B39789B" w14:textId="3252DD31" w:rsidR="00086444" w:rsidRPr="002E3F6A" w:rsidRDefault="00A37E5F" w:rsidP="002E3F6A">
      <w:pPr>
        <w:pStyle w:val="ListBullet"/>
      </w:pPr>
      <w:r>
        <w:t>M</w:t>
      </w:r>
      <w:r w:rsidR="00213ADE" w:rsidRPr="002E3F6A">
        <w:t>ethadone</w:t>
      </w:r>
      <w:r w:rsidR="00213ADE">
        <w:t>;</w:t>
      </w:r>
    </w:p>
    <w:p w14:paraId="66D4CBE1" w14:textId="5B791B47" w:rsidR="00086444" w:rsidRPr="002E3F6A" w:rsidRDefault="00A37E5F" w:rsidP="002E3F6A">
      <w:pPr>
        <w:pStyle w:val="ListBullet"/>
      </w:pPr>
      <w:r>
        <w:t>B</w:t>
      </w:r>
      <w:r w:rsidR="00213ADE" w:rsidRPr="002E3F6A">
        <w:t xml:space="preserve">uprenorphine </w:t>
      </w:r>
      <w:r w:rsidR="002E3F6A" w:rsidRPr="002E3F6A">
        <w:t>sublingual (</w:t>
      </w:r>
      <w:r w:rsidR="00086444" w:rsidRPr="002E3F6A">
        <w:t>SL</w:t>
      </w:r>
      <w:r w:rsidR="002E3F6A" w:rsidRPr="002E3F6A">
        <w:t>)</w:t>
      </w:r>
      <w:r w:rsidR="00086444" w:rsidRPr="002E3F6A">
        <w:t xml:space="preserve"> tablets </w:t>
      </w:r>
      <w:r w:rsidR="002E3F6A" w:rsidRPr="002E3F6A">
        <w:t>(</w:t>
      </w:r>
      <w:proofErr w:type="spellStart"/>
      <w:r w:rsidR="002E3F6A" w:rsidRPr="002E3F6A">
        <w:t>Subutex</w:t>
      </w:r>
      <w:proofErr w:type="spellEnd"/>
      <w:r w:rsidR="00086444" w:rsidRPr="002E3F6A">
        <w:t>)</w:t>
      </w:r>
      <w:r w:rsidR="00213ADE">
        <w:t>; and</w:t>
      </w:r>
    </w:p>
    <w:p w14:paraId="0C9E58D3" w14:textId="51378AAC" w:rsidR="00086444" w:rsidRPr="002E3F6A" w:rsidRDefault="00A37E5F" w:rsidP="002E3F6A">
      <w:pPr>
        <w:pStyle w:val="ListBullet"/>
      </w:pPr>
      <w:r>
        <w:t>B</w:t>
      </w:r>
      <w:r w:rsidR="00213ADE" w:rsidRPr="002E3F6A">
        <w:t>uprenorphine</w:t>
      </w:r>
      <w:r w:rsidR="00086444" w:rsidRPr="002E3F6A">
        <w:t>/</w:t>
      </w:r>
      <w:r w:rsidR="008E61F9">
        <w:t>naloxone</w:t>
      </w:r>
      <w:r w:rsidR="00086444" w:rsidRPr="002E3F6A">
        <w:t xml:space="preserve"> SL tablets and film </w:t>
      </w:r>
      <w:r w:rsidR="002E3F6A">
        <w:t>(</w:t>
      </w:r>
      <w:proofErr w:type="spellStart"/>
      <w:r w:rsidR="002E3F6A">
        <w:t>Suboxone</w:t>
      </w:r>
      <w:proofErr w:type="spellEnd"/>
      <w:r w:rsidR="00086444" w:rsidRPr="002E3F6A">
        <w:t>)</w:t>
      </w:r>
      <w:hyperlink w:anchor="_bookmark14" w:history="1">
        <w:r w:rsidR="002E3F6A">
          <w:t>.</w:t>
        </w:r>
        <w:r w:rsidR="002E3F6A">
          <w:rPr>
            <w:rStyle w:val="FootnoteReference"/>
          </w:rPr>
          <w:footnoteReference w:id="15"/>
        </w:r>
      </w:hyperlink>
    </w:p>
    <w:p w14:paraId="31C24136" w14:textId="40122EDF" w:rsidR="00086444" w:rsidRPr="00086444" w:rsidRDefault="00086444" w:rsidP="00086444">
      <w:r>
        <w:t xml:space="preserve">In Australia, approximately 66% of subjects are treated with methadone, while the remainder receive SL </w:t>
      </w:r>
      <w:r w:rsidR="00246DC3">
        <w:t>buprenorphine</w:t>
      </w:r>
      <w:r>
        <w:t xml:space="preserve"> or SL </w:t>
      </w:r>
      <w:r w:rsidR="00246DC3">
        <w:t>buprenorphine</w:t>
      </w:r>
      <w:r w:rsidR="008E61F9">
        <w:t>/naloxone</w:t>
      </w:r>
      <w:r>
        <w:t xml:space="preserve"> in approximately similar proportions. They are usually given daily in structured medication-assisted treatment </w:t>
      </w:r>
      <w:r w:rsidR="00F059E0">
        <w:t xml:space="preserve">(MAT) </w:t>
      </w:r>
      <w:r>
        <w:t>program</w:t>
      </w:r>
      <w:r w:rsidR="00F059E0">
        <w:t>s</w:t>
      </w:r>
      <w:r>
        <w:t>. The disadvantages of current MATs inclu</w:t>
      </w:r>
      <w:hyperlink w:anchor="_bookmark15" w:history="1">
        <w:r>
          <w:t xml:space="preserve">de </w:t>
        </w:r>
      </w:hyperlink>
      <w:r>
        <w:t>the need for daily dosing; poor compliance; misuse, abuse and diversion; and risk of overdose.</w:t>
      </w:r>
    </w:p>
    <w:p w14:paraId="044C950E" w14:textId="77777777" w:rsidR="00605AD4" w:rsidRDefault="00605AD4" w:rsidP="00605AD4">
      <w:pPr>
        <w:pStyle w:val="Heading4"/>
      </w:pPr>
      <w:r w:rsidRPr="00605AD4">
        <w:t xml:space="preserve">Clinical </w:t>
      </w:r>
      <w:r w:rsidR="00EF59DC">
        <w:t>r</w:t>
      </w:r>
      <w:r w:rsidRPr="00605AD4">
        <w:t>ationale</w:t>
      </w:r>
    </w:p>
    <w:p w14:paraId="0B494F84" w14:textId="017AD3B2" w:rsidR="002E3F6A" w:rsidRDefault="002E3F6A" w:rsidP="002E3F6A">
      <w:r>
        <w:t>B</w:t>
      </w:r>
      <w:r w:rsidR="00246DC3">
        <w:t>uprenorphine</w:t>
      </w:r>
      <w:r w:rsidR="00086444" w:rsidRPr="00086444">
        <w:t xml:space="preserve"> is a potent opioid µ agonist at low doses, but the agonist effect is limited and does not increase with higher doses (often described as a ceiling effect). Because it has a higher affinity for µ receptors than full opioid agonists, it can block the effects of µ receptor agonists such as heroin in a dose dependent manner. Used regularly, </w:t>
      </w:r>
      <w:r w:rsidR="00246DC3">
        <w:t>buprenorphine</w:t>
      </w:r>
      <w:r w:rsidR="00086444" w:rsidRPr="00086444">
        <w:t xml:space="preserve"> reduces the need for illicit drugs such as heroin, and reduces dependence on prescription pain killers such as codeine and oxycodone. </w:t>
      </w:r>
      <w:r>
        <w:t>B</w:t>
      </w:r>
      <w:r w:rsidR="00246DC3">
        <w:t>uprenorphine</w:t>
      </w:r>
      <w:r w:rsidR="00086444" w:rsidRPr="00086444">
        <w:t xml:space="preserve"> is highly effective when taken sublingually, and its long </w:t>
      </w:r>
      <w:r w:rsidRPr="00086444">
        <w:t>half-life</w:t>
      </w:r>
      <w:r w:rsidR="00086444" w:rsidRPr="00086444">
        <w:t xml:space="preserve"> permits once daily dosing. The symptoms of opioid withdrawal are significantly less when managed with </w:t>
      </w:r>
      <w:r w:rsidR="00246DC3">
        <w:t>buprenorphine</w:t>
      </w:r>
      <w:r w:rsidR="00086444" w:rsidRPr="00086444">
        <w:t xml:space="preserve">, and successful withdrawal is more likely. </w:t>
      </w:r>
      <w:proofErr w:type="spellStart"/>
      <w:r w:rsidR="00EC2A6C">
        <w:t>Buvidal</w:t>
      </w:r>
      <w:proofErr w:type="spellEnd"/>
      <w:r w:rsidR="00EC2A6C" w:rsidRPr="00086444">
        <w:t xml:space="preserve"> </w:t>
      </w:r>
      <w:r w:rsidR="00086444" w:rsidRPr="00086444">
        <w:t xml:space="preserve">(CAM2038) is a novel prolonged release solution of </w:t>
      </w:r>
      <w:r w:rsidR="00246DC3">
        <w:t>buprenorphine</w:t>
      </w:r>
      <w:r w:rsidR="00086444" w:rsidRPr="00086444">
        <w:t xml:space="preserve"> for </w:t>
      </w:r>
      <w:r w:rsidR="00F059E0">
        <w:t>SC</w:t>
      </w:r>
      <w:r w:rsidR="00F059E0" w:rsidRPr="00086444">
        <w:t xml:space="preserve"> </w:t>
      </w:r>
      <w:r w:rsidR="00086444" w:rsidRPr="00086444">
        <w:t xml:space="preserve">injection. Presented as two formulations, it offers therapeutic levels of </w:t>
      </w:r>
      <w:r w:rsidR="00246DC3">
        <w:t>buprenorphine</w:t>
      </w:r>
      <w:r w:rsidR="00086444" w:rsidRPr="00086444">
        <w:t xml:space="preserve"> for either one week or one month. It</w:t>
      </w:r>
      <w:r>
        <w:t xml:space="preserve"> is presented as a pre </w:t>
      </w:r>
      <w:r w:rsidR="00086444" w:rsidRPr="00086444">
        <w:t>filled syringe with a needle stick prevention d</w:t>
      </w:r>
      <w:r>
        <w:t xml:space="preserve">evice, and with no need for pre </w:t>
      </w:r>
      <w:r w:rsidR="00086444" w:rsidRPr="00086444">
        <w:t>mixing. The injection volumes are low</w:t>
      </w:r>
      <w:r>
        <w:t xml:space="preserve"> and the needle is fine gauge. It is hoped that the pre filled syringe will increase satisfaction levels with medical management, remove the need for daily supervised dosing, improve compliance, and reduce the risk of misuse, diversion, and accidental overdose.</w:t>
      </w:r>
    </w:p>
    <w:p w14:paraId="08FEE4CC" w14:textId="0B48843B" w:rsidR="00500337" w:rsidRPr="00500337" w:rsidRDefault="002E3F6A" w:rsidP="002E3F6A">
      <w:r>
        <w:t xml:space="preserve">The clinical rationale for buprenorphine therapy is acceptable and in line with current guidelines for opioid substitution treatment. Substitution therapy to control withdrawal </w:t>
      </w:r>
      <w:r>
        <w:lastRenderedPageBreak/>
        <w:t>symptoms is indefinite in duration but nearly always long term. A long acting formulation of buprenorphine appears appropriate.</w:t>
      </w:r>
    </w:p>
    <w:p w14:paraId="359C2E1E" w14:textId="77777777" w:rsidR="00605AD4" w:rsidRDefault="00605AD4" w:rsidP="00605AD4">
      <w:pPr>
        <w:pStyle w:val="Heading4"/>
      </w:pPr>
      <w:r w:rsidRPr="00605AD4">
        <w:t>Guidance</w:t>
      </w:r>
    </w:p>
    <w:p w14:paraId="43A1FDBB" w14:textId="77777777" w:rsidR="00086444" w:rsidRDefault="00086444" w:rsidP="00086444">
      <w:r>
        <w:t>A pre-submission meeting with the TGA was held on 29 June 2017. An updated literature search was recommended and provided.</w:t>
      </w:r>
    </w:p>
    <w:p w14:paraId="388FB7B1" w14:textId="104E6B7F" w:rsidR="00500337" w:rsidRPr="00500337" w:rsidRDefault="00086444" w:rsidP="00086444">
      <w:r>
        <w:t xml:space="preserve">A scientific advice meeting was held with the </w:t>
      </w:r>
      <w:r w:rsidR="00F059E0">
        <w:t xml:space="preserve">EMA’s </w:t>
      </w:r>
      <w:r w:rsidR="002E3F6A">
        <w:t>Committee for Medicinal Products for Human Use (</w:t>
      </w:r>
      <w:r>
        <w:t>CHMP</w:t>
      </w:r>
      <w:r w:rsidR="002E3F6A">
        <w:t>)</w:t>
      </w:r>
      <w:r>
        <w:t xml:space="preserve"> on 6 October 2015, and meetings with the US FDA were held throughout the product development program. The CHMP and FDA recommended different primary efficacy analyses and these were incorporated via protocol am</w:t>
      </w:r>
      <w:r w:rsidR="002E3F6A">
        <w:t>endment into the pivotal Phase III</w:t>
      </w:r>
      <w:r>
        <w:t xml:space="preserve"> efficacy study. Other issues agreed included analysis populations; the handling of missing data by imputation; and choice of active comparator.</w:t>
      </w:r>
    </w:p>
    <w:p w14:paraId="7C86C316" w14:textId="77777777" w:rsidR="00605AD4" w:rsidRDefault="00605AD4" w:rsidP="00605AD4">
      <w:pPr>
        <w:pStyle w:val="Heading4"/>
      </w:pPr>
      <w:r w:rsidRPr="00605AD4">
        <w:t>Contents of the clinical dossier</w:t>
      </w:r>
    </w:p>
    <w:p w14:paraId="58F70F43" w14:textId="0ADFBD5C" w:rsidR="00086444" w:rsidRDefault="00086444" w:rsidP="00086444">
      <w:r>
        <w:t>The curre</w:t>
      </w:r>
      <w:r w:rsidR="00E919C8">
        <w:t>nt submission includes 5 Phase I and Phase II</w:t>
      </w:r>
      <w:r>
        <w:t xml:space="preserve"> studies, which contain </w:t>
      </w:r>
      <w:r w:rsidR="00E919C8">
        <w:t>pharmacokinetic (</w:t>
      </w:r>
      <w:r>
        <w:t>PK</w:t>
      </w:r>
      <w:r w:rsidR="00E919C8">
        <w:t>)</w:t>
      </w:r>
      <w:r>
        <w:t xml:space="preserve"> data. Two of these studies also contain </w:t>
      </w:r>
      <w:proofErr w:type="spellStart"/>
      <w:r w:rsidR="008E61F9">
        <w:t>pharmacodynamic</w:t>
      </w:r>
      <w:proofErr w:type="spellEnd"/>
      <w:r w:rsidR="00E919C8">
        <w:t xml:space="preserve"> (</w:t>
      </w:r>
      <w:r>
        <w:t>PD</w:t>
      </w:r>
      <w:r w:rsidR="00E919C8">
        <w:t>)</w:t>
      </w:r>
      <w:r>
        <w:t xml:space="preserve"> data. In addition, a single </w:t>
      </w:r>
      <w:r w:rsidR="00E919C8">
        <w:t xml:space="preserve">population PK </w:t>
      </w:r>
      <w:r>
        <w:t xml:space="preserve">study has been submitted, which examines </w:t>
      </w:r>
      <w:r w:rsidR="00246DC3">
        <w:t>buprenorphine</w:t>
      </w:r>
      <w:r>
        <w:t xml:space="preserve"> PKs following administration of CAM2038 in a pooled dataset containing results from healthy subjects and the target population.</w:t>
      </w:r>
    </w:p>
    <w:p w14:paraId="19116950" w14:textId="77777777" w:rsidR="00086444" w:rsidRDefault="00086444" w:rsidP="00086444">
      <w:r>
        <w:t>The following clinical studies have been submitted:</w:t>
      </w:r>
    </w:p>
    <w:p w14:paraId="4C01F216" w14:textId="2B7EA302" w:rsidR="00086444" w:rsidRDefault="00E919C8" w:rsidP="00E919C8">
      <w:pPr>
        <w:pStyle w:val="ListBullet"/>
      </w:pPr>
      <w:r>
        <w:t>Two Phase I</w:t>
      </w:r>
      <w:r w:rsidR="00086444">
        <w:t xml:space="preserve"> </w:t>
      </w:r>
      <w:r w:rsidR="008E61F9">
        <w:t>naltrexone</w:t>
      </w:r>
      <w:r w:rsidR="00086444">
        <w:t xml:space="preserve"> blockade studies in healthy subjects (</w:t>
      </w:r>
      <w:r w:rsidR="00F059E0">
        <w:t xml:space="preserve">Studies </w:t>
      </w:r>
      <w:r w:rsidR="00086444">
        <w:t>HS-11-426 and HS-13-487)</w:t>
      </w:r>
      <w:r>
        <w:t>,</w:t>
      </w:r>
    </w:p>
    <w:p w14:paraId="01B10F89" w14:textId="4C8B0F59" w:rsidR="00086444" w:rsidRDefault="00E919C8" w:rsidP="00E919C8">
      <w:pPr>
        <w:pStyle w:val="ListBullet"/>
      </w:pPr>
      <w:r>
        <w:t>Three Phase I/II</w:t>
      </w:r>
      <w:r w:rsidR="00086444">
        <w:t xml:space="preserve"> studies in subjects with opioid dependence (</w:t>
      </w:r>
      <w:r w:rsidR="00F059E0">
        <w:t xml:space="preserve">Studies </w:t>
      </w:r>
      <w:r w:rsidR="00086444">
        <w:t>HS-07-307, HS</w:t>
      </w:r>
      <w:r w:rsidR="00F059E0">
        <w:noBreakHyphen/>
      </w:r>
      <w:r w:rsidR="00086444">
        <w:t>15-549, and HS- 13-478)</w:t>
      </w:r>
      <w:r>
        <w:t>,</w:t>
      </w:r>
    </w:p>
    <w:p w14:paraId="00ADB092" w14:textId="441374BC" w:rsidR="00500337" w:rsidRDefault="00E919C8" w:rsidP="00E919C8">
      <w:pPr>
        <w:pStyle w:val="ListBullet"/>
      </w:pPr>
      <w:r>
        <w:t>Two Phase III</w:t>
      </w:r>
      <w:r w:rsidR="00086444">
        <w:t xml:space="preserve"> studies:</w:t>
      </w:r>
    </w:p>
    <w:p w14:paraId="225B948E" w14:textId="584856CF" w:rsidR="00086444" w:rsidRDefault="00F059E0" w:rsidP="00E919C8">
      <w:pPr>
        <w:pStyle w:val="ListBullet2"/>
      </w:pPr>
      <w:r>
        <w:t>Study H</w:t>
      </w:r>
      <w:r w:rsidR="00E919C8">
        <w:t xml:space="preserve">S-11-421: </w:t>
      </w:r>
      <w:r>
        <w:t>a</w:t>
      </w:r>
      <w:r w:rsidR="00E919C8">
        <w:t xml:space="preserve"> randomised, active </w:t>
      </w:r>
      <w:r w:rsidR="00086444">
        <w:t>controlled 6 month trial of efficacy and safety in subjects with opioid dependence</w:t>
      </w:r>
      <w:r>
        <w:t>; and</w:t>
      </w:r>
    </w:p>
    <w:p w14:paraId="2E5EC8F3" w14:textId="73760178" w:rsidR="00086444" w:rsidRPr="00500337" w:rsidRDefault="00F059E0" w:rsidP="00E919C8">
      <w:pPr>
        <w:pStyle w:val="ListBullet2"/>
      </w:pPr>
      <w:r>
        <w:t xml:space="preserve">Study </w:t>
      </w:r>
      <w:r w:rsidR="00E919C8">
        <w:t xml:space="preserve">HS-14-499: </w:t>
      </w:r>
      <w:r>
        <w:t>a</w:t>
      </w:r>
      <w:r w:rsidR="00E919C8">
        <w:t xml:space="preserve">n open </w:t>
      </w:r>
      <w:r w:rsidR="00086444">
        <w:t>label, 12 month study of efficacy and safety in subjects with opioid dependence.</w:t>
      </w:r>
    </w:p>
    <w:p w14:paraId="054FCFE9" w14:textId="77777777" w:rsidR="00605AD4" w:rsidRDefault="00605AD4" w:rsidP="00605AD4">
      <w:pPr>
        <w:pStyle w:val="Heading4"/>
      </w:pPr>
      <w:r w:rsidRPr="00605AD4">
        <w:t>Paediatric data</w:t>
      </w:r>
    </w:p>
    <w:p w14:paraId="61E7CD42" w14:textId="77777777" w:rsidR="00500337" w:rsidRPr="00500337" w:rsidRDefault="00086444" w:rsidP="00500337">
      <w:r w:rsidRPr="00086444">
        <w:t>No paediatric data have been submitted.</w:t>
      </w:r>
    </w:p>
    <w:p w14:paraId="14BA5A99" w14:textId="77777777" w:rsidR="00605AD4" w:rsidRDefault="00605AD4" w:rsidP="00605AD4">
      <w:pPr>
        <w:pStyle w:val="Heading4"/>
      </w:pPr>
      <w:r w:rsidRPr="00605AD4">
        <w:t>Good clinical practice</w:t>
      </w:r>
    </w:p>
    <w:p w14:paraId="4C3253E2" w14:textId="32849532" w:rsidR="00500337" w:rsidRPr="00500337" w:rsidRDefault="00086444" w:rsidP="00500337">
      <w:r w:rsidRPr="00086444">
        <w:t>All studies were conducted according to the principles of ICH GCP.</w:t>
      </w:r>
    </w:p>
    <w:p w14:paraId="41C8D6B3" w14:textId="77777777" w:rsidR="008E7846" w:rsidRDefault="008E7846" w:rsidP="00605AD4">
      <w:pPr>
        <w:pStyle w:val="Heading3"/>
      </w:pPr>
      <w:bookmarkStart w:id="79" w:name="_Toc24539928"/>
      <w:r w:rsidRPr="00254787">
        <w:t>Pharmacokinetics</w:t>
      </w:r>
      <w:bookmarkEnd w:id="68"/>
      <w:bookmarkEnd w:id="75"/>
      <w:bookmarkEnd w:id="76"/>
      <w:bookmarkEnd w:id="77"/>
      <w:bookmarkEnd w:id="79"/>
    </w:p>
    <w:p w14:paraId="2F1E6801" w14:textId="77777777" w:rsidR="00605AD4" w:rsidRDefault="00605AD4" w:rsidP="00605AD4">
      <w:pPr>
        <w:pStyle w:val="Heading4"/>
      </w:pPr>
      <w:r>
        <w:t>Studies</w:t>
      </w:r>
      <w:r w:rsidR="00500337">
        <w:t xml:space="preserve"> providing pharmacokinetic data</w:t>
      </w:r>
    </w:p>
    <w:p w14:paraId="55116D38" w14:textId="0F02ACEC" w:rsidR="00E919C8" w:rsidRDefault="00E919C8" w:rsidP="006A0AD4">
      <w:r>
        <w:t xml:space="preserve">See </w:t>
      </w:r>
      <w:r>
        <w:fldChar w:fldCharType="begin"/>
      </w:r>
      <w:r>
        <w:instrText xml:space="preserve"> REF _Ref18484284 \h </w:instrText>
      </w:r>
      <w:r>
        <w:fldChar w:fldCharType="separate"/>
      </w:r>
      <w:r>
        <w:t xml:space="preserve">Table </w:t>
      </w:r>
      <w:r>
        <w:rPr>
          <w:noProof/>
        </w:rPr>
        <w:t>2</w:t>
      </w:r>
      <w:r>
        <w:fldChar w:fldCharType="end"/>
      </w:r>
      <w:r>
        <w:t xml:space="preserve"> for the list of studies providing pharmacokinetic</w:t>
      </w:r>
      <w:r w:rsidR="00F059E0">
        <w:t xml:space="preserve"> (PK)</w:t>
      </w:r>
      <w:r>
        <w:t xml:space="preserve"> data.</w:t>
      </w:r>
    </w:p>
    <w:p w14:paraId="3C88BE03" w14:textId="4719CEF0" w:rsidR="006A0AD4" w:rsidRPr="006A0AD4" w:rsidRDefault="00E919C8" w:rsidP="00E919C8">
      <w:pPr>
        <w:pStyle w:val="TableTitle"/>
      </w:pPr>
      <w:bookmarkStart w:id="80" w:name="_Ref18484284"/>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827533">
        <w:rPr>
          <w:noProof/>
        </w:rPr>
        <w:t>2</w:t>
      </w:r>
      <w:r w:rsidR="00553795">
        <w:rPr>
          <w:noProof/>
        </w:rPr>
        <w:fldChar w:fldCharType="end"/>
      </w:r>
      <w:bookmarkEnd w:id="80"/>
      <w:r>
        <w:t>: Studies providing pharmacokinetic data</w:t>
      </w:r>
    </w:p>
    <w:tbl>
      <w:tblPr>
        <w:tblStyle w:val="TableTGAblue"/>
        <w:tblW w:w="8727" w:type="dxa"/>
        <w:tblLayout w:type="fixed"/>
        <w:tblLook w:val="01E0" w:firstRow="1" w:lastRow="1" w:firstColumn="1" w:lastColumn="1" w:noHBand="0" w:noVBand="0"/>
      </w:tblPr>
      <w:tblGrid>
        <w:gridCol w:w="1526"/>
        <w:gridCol w:w="1701"/>
        <w:gridCol w:w="1417"/>
        <w:gridCol w:w="4083"/>
      </w:tblGrid>
      <w:tr w:rsidR="006A0AD4" w:rsidRPr="00AD5E80" w14:paraId="2C07F1DF" w14:textId="77777777" w:rsidTr="006A0AD4">
        <w:trPr>
          <w:cnfStyle w:val="100000000000" w:firstRow="1" w:lastRow="0" w:firstColumn="0" w:lastColumn="0" w:oddVBand="0" w:evenVBand="0" w:oddHBand="0" w:evenHBand="0" w:firstRowFirstColumn="0" w:firstRowLastColumn="0" w:lastRowFirstColumn="0" w:lastRowLastColumn="0"/>
          <w:trHeight w:val="230"/>
        </w:trPr>
        <w:tc>
          <w:tcPr>
            <w:tcW w:w="1526" w:type="dxa"/>
          </w:tcPr>
          <w:p w14:paraId="64EE5626" w14:textId="77777777" w:rsidR="006A0AD4" w:rsidRPr="00AD5E80" w:rsidRDefault="006A0AD4" w:rsidP="00AD5E80">
            <w:pPr>
              <w:ind w:left="0"/>
              <w:rPr>
                <w:b w:val="0"/>
                <w:sz w:val="19"/>
                <w:szCs w:val="19"/>
              </w:rPr>
            </w:pPr>
            <w:r w:rsidRPr="00AD5E80">
              <w:rPr>
                <w:sz w:val="19"/>
                <w:szCs w:val="19"/>
              </w:rPr>
              <w:t>PK topic</w:t>
            </w:r>
          </w:p>
        </w:tc>
        <w:tc>
          <w:tcPr>
            <w:tcW w:w="1701" w:type="dxa"/>
          </w:tcPr>
          <w:p w14:paraId="266BE093" w14:textId="77777777" w:rsidR="006A0AD4" w:rsidRPr="00AD5E80" w:rsidRDefault="006A0AD4" w:rsidP="00AD5E80">
            <w:pPr>
              <w:ind w:left="0"/>
              <w:rPr>
                <w:b w:val="0"/>
                <w:sz w:val="19"/>
                <w:szCs w:val="19"/>
              </w:rPr>
            </w:pPr>
            <w:r w:rsidRPr="00AD5E80">
              <w:rPr>
                <w:sz w:val="19"/>
                <w:szCs w:val="19"/>
              </w:rPr>
              <w:t>Subtopic</w:t>
            </w:r>
          </w:p>
        </w:tc>
        <w:tc>
          <w:tcPr>
            <w:tcW w:w="1417" w:type="dxa"/>
          </w:tcPr>
          <w:p w14:paraId="1393290B" w14:textId="77777777" w:rsidR="006A0AD4" w:rsidRPr="00AD5E80" w:rsidRDefault="006A0AD4" w:rsidP="00AD5E80">
            <w:pPr>
              <w:ind w:left="31"/>
              <w:rPr>
                <w:b w:val="0"/>
                <w:sz w:val="19"/>
                <w:szCs w:val="19"/>
              </w:rPr>
            </w:pPr>
            <w:r w:rsidRPr="00AD5E80">
              <w:rPr>
                <w:sz w:val="19"/>
                <w:szCs w:val="19"/>
              </w:rPr>
              <w:t>Study ID</w:t>
            </w:r>
          </w:p>
        </w:tc>
        <w:tc>
          <w:tcPr>
            <w:tcW w:w="4083" w:type="dxa"/>
          </w:tcPr>
          <w:p w14:paraId="0F9A42F9" w14:textId="77777777" w:rsidR="006A0AD4" w:rsidRPr="00AD5E80" w:rsidRDefault="006A0AD4" w:rsidP="00AD5E80">
            <w:pPr>
              <w:ind w:left="33"/>
              <w:rPr>
                <w:b w:val="0"/>
                <w:sz w:val="19"/>
                <w:szCs w:val="19"/>
              </w:rPr>
            </w:pPr>
            <w:r w:rsidRPr="00AD5E80">
              <w:rPr>
                <w:sz w:val="19"/>
                <w:szCs w:val="19"/>
              </w:rPr>
              <w:t>*</w:t>
            </w:r>
          </w:p>
        </w:tc>
      </w:tr>
      <w:tr w:rsidR="006A0AD4" w:rsidRPr="00AD5E80" w14:paraId="700B2BB7" w14:textId="77777777" w:rsidTr="006A0AD4">
        <w:trPr>
          <w:trHeight w:val="919"/>
        </w:trPr>
        <w:tc>
          <w:tcPr>
            <w:tcW w:w="1526" w:type="dxa"/>
            <w:vMerge w:val="restart"/>
          </w:tcPr>
          <w:p w14:paraId="47D6C051" w14:textId="77777777" w:rsidR="006A0AD4" w:rsidRPr="00AD5E80" w:rsidRDefault="006A0AD4" w:rsidP="00AD5E80">
            <w:pPr>
              <w:ind w:left="0"/>
              <w:rPr>
                <w:sz w:val="19"/>
                <w:szCs w:val="19"/>
              </w:rPr>
            </w:pPr>
            <w:r w:rsidRPr="00AD5E80">
              <w:rPr>
                <w:sz w:val="19"/>
                <w:szCs w:val="19"/>
              </w:rPr>
              <w:t>PK in healthy adults</w:t>
            </w:r>
          </w:p>
        </w:tc>
        <w:tc>
          <w:tcPr>
            <w:tcW w:w="1701" w:type="dxa"/>
            <w:vMerge w:val="restart"/>
          </w:tcPr>
          <w:p w14:paraId="149CC822" w14:textId="77777777" w:rsidR="006A0AD4" w:rsidRPr="00AD5E80" w:rsidRDefault="006A0AD4" w:rsidP="00AD5E80">
            <w:pPr>
              <w:ind w:left="0"/>
              <w:rPr>
                <w:sz w:val="19"/>
                <w:szCs w:val="19"/>
              </w:rPr>
            </w:pPr>
            <w:r w:rsidRPr="00AD5E80">
              <w:rPr>
                <w:sz w:val="19"/>
                <w:szCs w:val="19"/>
              </w:rPr>
              <w:t>Bioavailability</w:t>
            </w:r>
          </w:p>
        </w:tc>
        <w:tc>
          <w:tcPr>
            <w:tcW w:w="1417" w:type="dxa"/>
          </w:tcPr>
          <w:p w14:paraId="5DB6789F" w14:textId="77777777" w:rsidR="006A0AD4" w:rsidRPr="00AD5E80" w:rsidRDefault="006A0AD4" w:rsidP="00AD5E80">
            <w:pPr>
              <w:ind w:left="31"/>
              <w:rPr>
                <w:sz w:val="19"/>
                <w:szCs w:val="19"/>
              </w:rPr>
            </w:pPr>
            <w:r w:rsidRPr="00AD5E80">
              <w:rPr>
                <w:sz w:val="19"/>
                <w:szCs w:val="19"/>
              </w:rPr>
              <w:t>HS-11-426</w:t>
            </w:r>
          </w:p>
        </w:tc>
        <w:tc>
          <w:tcPr>
            <w:tcW w:w="4083" w:type="dxa"/>
          </w:tcPr>
          <w:p w14:paraId="3E5F7B54" w14:textId="010B8A62" w:rsidR="006A0AD4" w:rsidRPr="00AD5E80" w:rsidRDefault="006A0AD4" w:rsidP="00AD5E80">
            <w:pPr>
              <w:ind w:left="33"/>
              <w:rPr>
                <w:sz w:val="19"/>
                <w:szCs w:val="19"/>
              </w:rPr>
            </w:pPr>
            <w:r w:rsidRPr="00AD5E80">
              <w:rPr>
                <w:sz w:val="19"/>
                <w:szCs w:val="19"/>
              </w:rPr>
              <w:t xml:space="preserve">PKs and </w:t>
            </w:r>
            <w:r w:rsidR="00E919C8" w:rsidRPr="00AD5E80">
              <w:rPr>
                <w:sz w:val="19"/>
                <w:szCs w:val="19"/>
              </w:rPr>
              <w:t>bioavailability (</w:t>
            </w:r>
            <w:r w:rsidRPr="00AD5E80">
              <w:rPr>
                <w:sz w:val="19"/>
                <w:szCs w:val="19"/>
              </w:rPr>
              <w:t>BA</w:t>
            </w:r>
            <w:r w:rsidR="00E919C8" w:rsidRPr="00AD5E80">
              <w:rPr>
                <w:sz w:val="19"/>
                <w:szCs w:val="19"/>
              </w:rPr>
              <w:t>)</w:t>
            </w:r>
            <w:r w:rsidRPr="00AD5E80">
              <w:rPr>
                <w:sz w:val="19"/>
                <w:szCs w:val="19"/>
              </w:rPr>
              <w:t xml:space="preserve"> of SC CAM2038 q1w 8 mg, 16 mg and 32 mg versus IV and SL </w:t>
            </w:r>
            <w:r w:rsidR="00246DC3" w:rsidRPr="00AD5E80">
              <w:rPr>
                <w:sz w:val="19"/>
                <w:szCs w:val="19"/>
              </w:rPr>
              <w:t>buprenorphine</w:t>
            </w:r>
            <w:r w:rsidR="00E919C8" w:rsidRPr="00AD5E80">
              <w:rPr>
                <w:sz w:val="19"/>
                <w:szCs w:val="19"/>
              </w:rPr>
              <w:t xml:space="preserve"> under naltrexone </w:t>
            </w:r>
            <w:r w:rsidRPr="00AD5E80">
              <w:rPr>
                <w:sz w:val="19"/>
                <w:szCs w:val="19"/>
              </w:rPr>
              <w:t>blockage</w:t>
            </w:r>
          </w:p>
        </w:tc>
      </w:tr>
      <w:tr w:rsidR="006A0AD4" w:rsidRPr="00AD5E80" w14:paraId="52FCC8EE" w14:textId="77777777" w:rsidTr="006A0AD4">
        <w:trPr>
          <w:trHeight w:val="1381"/>
        </w:trPr>
        <w:tc>
          <w:tcPr>
            <w:tcW w:w="1526" w:type="dxa"/>
            <w:vMerge/>
          </w:tcPr>
          <w:p w14:paraId="77990263" w14:textId="77777777" w:rsidR="006A0AD4" w:rsidRPr="00AD5E80" w:rsidRDefault="006A0AD4" w:rsidP="00AD5E80">
            <w:pPr>
              <w:ind w:left="0"/>
              <w:rPr>
                <w:sz w:val="19"/>
                <w:szCs w:val="19"/>
              </w:rPr>
            </w:pPr>
          </w:p>
        </w:tc>
        <w:tc>
          <w:tcPr>
            <w:tcW w:w="1701" w:type="dxa"/>
            <w:vMerge/>
          </w:tcPr>
          <w:p w14:paraId="43FD9A5C" w14:textId="77777777" w:rsidR="006A0AD4" w:rsidRPr="00AD5E80" w:rsidRDefault="006A0AD4" w:rsidP="00AD5E80">
            <w:pPr>
              <w:ind w:left="0"/>
              <w:rPr>
                <w:sz w:val="19"/>
                <w:szCs w:val="19"/>
              </w:rPr>
            </w:pPr>
          </w:p>
        </w:tc>
        <w:tc>
          <w:tcPr>
            <w:tcW w:w="1417" w:type="dxa"/>
          </w:tcPr>
          <w:p w14:paraId="731781C7" w14:textId="77777777" w:rsidR="006A0AD4" w:rsidRPr="00AD5E80" w:rsidRDefault="006A0AD4" w:rsidP="00AD5E80">
            <w:pPr>
              <w:ind w:left="31"/>
              <w:rPr>
                <w:sz w:val="19"/>
                <w:szCs w:val="19"/>
              </w:rPr>
            </w:pPr>
            <w:r w:rsidRPr="00AD5E80">
              <w:rPr>
                <w:sz w:val="19"/>
                <w:szCs w:val="19"/>
              </w:rPr>
              <w:t>HS-13-487</w:t>
            </w:r>
          </w:p>
        </w:tc>
        <w:tc>
          <w:tcPr>
            <w:tcW w:w="4083" w:type="dxa"/>
          </w:tcPr>
          <w:p w14:paraId="4904AA0E" w14:textId="3D5AD83F" w:rsidR="006A0AD4" w:rsidRPr="00AD5E80" w:rsidRDefault="006A0AD4" w:rsidP="00AD5E80">
            <w:pPr>
              <w:ind w:left="33"/>
              <w:rPr>
                <w:sz w:val="19"/>
                <w:szCs w:val="19"/>
              </w:rPr>
            </w:pPr>
            <w:r w:rsidRPr="00AD5E80">
              <w:rPr>
                <w:sz w:val="19"/>
                <w:szCs w:val="19"/>
              </w:rPr>
              <w:t xml:space="preserve">PKs and BA of single doses of CAM2038 q4w at 4 dose levels and of repeated doses of CAM2038 q1w at one dose level versus IV and SL </w:t>
            </w:r>
            <w:r w:rsidR="00246DC3" w:rsidRPr="00AD5E80">
              <w:rPr>
                <w:sz w:val="19"/>
                <w:szCs w:val="19"/>
              </w:rPr>
              <w:t>buprenorphine</w:t>
            </w:r>
            <w:r w:rsidR="00E919C8" w:rsidRPr="00AD5E80">
              <w:rPr>
                <w:sz w:val="19"/>
                <w:szCs w:val="19"/>
              </w:rPr>
              <w:t xml:space="preserve"> under naltrexone </w:t>
            </w:r>
            <w:r w:rsidRPr="00AD5E80">
              <w:rPr>
                <w:sz w:val="19"/>
                <w:szCs w:val="19"/>
              </w:rPr>
              <w:t>blockage.</w:t>
            </w:r>
          </w:p>
        </w:tc>
      </w:tr>
      <w:tr w:rsidR="006A0AD4" w:rsidRPr="00AD5E80" w14:paraId="59598251" w14:textId="77777777" w:rsidTr="006A0AD4">
        <w:trPr>
          <w:trHeight w:val="920"/>
        </w:trPr>
        <w:tc>
          <w:tcPr>
            <w:tcW w:w="1526" w:type="dxa"/>
            <w:vMerge w:val="restart"/>
          </w:tcPr>
          <w:p w14:paraId="311504C4" w14:textId="26F6FF2E" w:rsidR="006A0AD4" w:rsidRPr="00AD5E80" w:rsidRDefault="00E919C8" w:rsidP="00AD5E80">
            <w:pPr>
              <w:ind w:left="0"/>
              <w:rPr>
                <w:sz w:val="19"/>
                <w:szCs w:val="19"/>
              </w:rPr>
            </w:pPr>
            <w:r w:rsidRPr="00AD5E80">
              <w:rPr>
                <w:sz w:val="19"/>
                <w:szCs w:val="19"/>
              </w:rPr>
              <w:t xml:space="preserve">PK in the target population </w:t>
            </w:r>
            <w:r w:rsidR="006A0AD4" w:rsidRPr="00AD5E80">
              <w:rPr>
                <w:rFonts w:hAnsi="Calibri"/>
                <w:sz w:val="19"/>
                <w:szCs w:val="19"/>
              </w:rPr>
              <w:t>§</w:t>
            </w:r>
          </w:p>
        </w:tc>
        <w:tc>
          <w:tcPr>
            <w:tcW w:w="1701" w:type="dxa"/>
          </w:tcPr>
          <w:p w14:paraId="0E64925F" w14:textId="77777777" w:rsidR="006A0AD4" w:rsidRPr="00AD5E80" w:rsidRDefault="006A0AD4" w:rsidP="00AD5E80">
            <w:pPr>
              <w:ind w:left="0"/>
              <w:rPr>
                <w:sz w:val="19"/>
                <w:szCs w:val="19"/>
              </w:rPr>
            </w:pPr>
            <w:r w:rsidRPr="00AD5E80">
              <w:rPr>
                <w:sz w:val="19"/>
                <w:szCs w:val="19"/>
              </w:rPr>
              <w:t>Single dose</w:t>
            </w:r>
          </w:p>
        </w:tc>
        <w:tc>
          <w:tcPr>
            <w:tcW w:w="1417" w:type="dxa"/>
          </w:tcPr>
          <w:p w14:paraId="434FFEB5" w14:textId="77777777" w:rsidR="006A0AD4" w:rsidRPr="00AD5E80" w:rsidRDefault="006A0AD4" w:rsidP="00AD5E80">
            <w:pPr>
              <w:ind w:left="31"/>
              <w:rPr>
                <w:sz w:val="19"/>
                <w:szCs w:val="19"/>
              </w:rPr>
            </w:pPr>
            <w:r w:rsidRPr="00AD5E80">
              <w:rPr>
                <w:sz w:val="19"/>
                <w:szCs w:val="19"/>
              </w:rPr>
              <w:t>HS-07-307</w:t>
            </w:r>
          </w:p>
        </w:tc>
        <w:tc>
          <w:tcPr>
            <w:tcW w:w="4083" w:type="dxa"/>
          </w:tcPr>
          <w:p w14:paraId="5346ACA1" w14:textId="7BD5AD20" w:rsidR="006A0AD4" w:rsidRPr="00AD5E80" w:rsidRDefault="006A0AD4" w:rsidP="00AD5E80">
            <w:pPr>
              <w:ind w:left="33"/>
              <w:rPr>
                <w:sz w:val="19"/>
                <w:szCs w:val="19"/>
              </w:rPr>
            </w:pPr>
            <w:r w:rsidRPr="00AD5E80">
              <w:rPr>
                <w:sz w:val="19"/>
                <w:szCs w:val="19"/>
              </w:rPr>
              <w:t xml:space="preserve">PK/PD profiles of </w:t>
            </w:r>
            <w:r w:rsidR="00246DC3" w:rsidRPr="00AD5E80">
              <w:rPr>
                <w:sz w:val="19"/>
                <w:szCs w:val="19"/>
              </w:rPr>
              <w:t>buprenorphine</w:t>
            </w:r>
            <w:r w:rsidRPr="00AD5E80">
              <w:rPr>
                <w:sz w:val="19"/>
                <w:szCs w:val="19"/>
              </w:rPr>
              <w:t xml:space="preserve"> and </w:t>
            </w:r>
            <w:proofErr w:type="spellStart"/>
            <w:r w:rsidRPr="00AD5E80">
              <w:rPr>
                <w:sz w:val="19"/>
                <w:szCs w:val="19"/>
              </w:rPr>
              <w:t>nor</w:t>
            </w:r>
            <w:r w:rsidR="00246DC3" w:rsidRPr="00AD5E80">
              <w:rPr>
                <w:sz w:val="19"/>
                <w:szCs w:val="19"/>
              </w:rPr>
              <w:t>buprenorphine</w:t>
            </w:r>
            <w:proofErr w:type="spellEnd"/>
            <w:r w:rsidRPr="00AD5E80">
              <w:rPr>
                <w:sz w:val="19"/>
                <w:szCs w:val="19"/>
              </w:rPr>
              <w:t xml:space="preserve"> following 4 different doses </w:t>
            </w:r>
            <w:r w:rsidR="00E919C8" w:rsidRPr="00AD5E80">
              <w:rPr>
                <w:sz w:val="19"/>
                <w:szCs w:val="19"/>
              </w:rPr>
              <w:t xml:space="preserve">of CAM2038 q1w in patients with </w:t>
            </w:r>
            <w:r w:rsidRPr="00AD5E80">
              <w:rPr>
                <w:sz w:val="19"/>
                <w:szCs w:val="19"/>
              </w:rPr>
              <w:t>opioid dependence</w:t>
            </w:r>
          </w:p>
        </w:tc>
      </w:tr>
      <w:tr w:rsidR="006A0AD4" w:rsidRPr="00AD5E80" w14:paraId="6C4FFD89" w14:textId="77777777" w:rsidTr="006A0AD4">
        <w:trPr>
          <w:trHeight w:val="1381"/>
        </w:trPr>
        <w:tc>
          <w:tcPr>
            <w:tcW w:w="1526" w:type="dxa"/>
            <w:vMerge/>
          </w:tcPr>
          <w:p w14:paraId="59E9317E" w14:textId="77777777" w:rsidR="006A0AD4" w:rsidRPr="00AD5E80" w:rsidRDefault="006A0AD4" w:rsidP="00AD5E80">
            <w:pPr>
              <w:ind w:left="0"/>
              <w:rPr>
                <w:sz w:val="19"/>
                <w:szCs w:val="19"/>
              </w:rPr>
            </w:pPr>
          </w:p>
        </w:tc>
        <w:tc>
          <w:tcPr>
            <w:tcW w:w="1701" w:type="dxa"/>
            <w:vMerge w:val="restart"/>
          </w:tcPr>
          <w:p w14:paraId="621CA755" w14:textId="6F27ACB0" w:rsidR="006A0AD4" w:rsidRPr="00AD5E80" w:rsidRDefault="00E919C8" w:rsidP="00AD5E80">
            <w:pPr>
              <w:ind w:left="0"/>
              <w:rPr>
                <w:sz w:val="19"/>
                <w:szCs w:val="19"/>
              </w:rPr>
            </w:pPr>
            <w:r w:rsidRPr="00AD5E80">
              <w:rPr>
                <w:sz w:val="19"/>
                <w:szCs w:val="19"/>
              </w:rPr>
              <w:t xml:space="preserve">Multi </w:t>
            </w:r>
            <w:r w:rsidR="006A0AD4" w:rsidRPr="00AD5E80">
              <w:rPr>
                <w:sz w:val="19"/>
                <w:szCs w:val="19"/>
              </w:rPr>
              <w:t>dose</w:t>
            </w:r>
          </w:p>
        </w:tc>
        <w:tc>
          <w:tcPr>
            <w:tcW w:w="1417" w:type="dxa"/>
          </w:tcPr>
          <w:p w14:paraId="004C4BB0" w14:textId="77777777" w:rsidR="006A0AD4" w:rsidRPr="00AD5E80" w:rsidRDefault="006A0AD4" w:rsidP="00AD5E80">
            <w:pPr>
              <w:ind w:left="31"/>
              <w:rPr>
                <w:sz w:val="19"/>
                <w:szCs w:val="19"/>
              </w:rPr>
            </w:pPr>
            <w:r w:rsidRPr="00AD5E80">
              <w:rPr>
                <w:sz w:val="19"/>
                <w:szCs w:val="19"/>
              </w:rPr>
              <w:t>HS-15-549</w:t>
            </w:r>
          </w:p>
        </w:tc>
        <w:tc>
          <w:tcPr>
            <w:tcW w:w="4083" w:type="dxa"/>
          </w:tcPr>
          <w:p w14:paraId="491601CD" w14:textId="59FE8E6B" w:rsidR="006A0AD4" w:rsidRPr="00AD5E80" w:rsidRDefault="00E919C8" w:rsidP="00AD5E80">
            <w:pPr>
              <w:ind w:left="33"/>
              <w:rPr>
                <w:sz w:val="19"/>
                <w:szCs w:val="19"/>
              </w:rPr>
            </w:pPr>
            <w:r w:rsidRPr="00AD5E80">
              <w:rPr>
                <w:sz w:val="19"/>
                <w:szCs w:val="19"/>
              </w:rPr>
              <w:t>B</w:t>
            </w:r>
            <w:r w:rsidR="00246DC3" w:rsidRPr="00AD5E80">
              <w:rPr>
                <w:sz w:val="19"/>
                <w:szCs w:val="19"/>
              </w:rPr>
              <w:t>uprenorphine</w:t>
            </w:r>
            <w:r w:rsidR="006A0AD4" w:rsidRPr="00AD5E80">
              <w:rPr>
                <w:sz w:val="19"/>
                <w:szCs w:val="19"/>
              </w:rPr>
              <w:t xml:space="preserve"> and </w:t>
            </w:r>
            <w:proofErr w:type="spellStart"/>
            <w:r w:rsidR="006A0AD4" w:rsidRPr="00AD5E80">
              <w:rPr>
                <w:sz w:val="19"/>
                <w:szCs w:val="19"/>
              </w:rPr>
              <w:t>nor</w:t>
            </w:r>
            <w:r w:rsidR="00246DC3" w:rsidRPr="00AD5E80">
              <w:rPr>
                <w:sz w:val="19"/>
                <w:szCs w:val="19"/>
              </w:rPr>
              <w:t>buprenorphine</w:t>
            </w:r>
            <w:proofErr w:type="spellEnd"/>
            <w:r w:rsidR="006A0AD4" w:rsidRPr="00AD5E80">
              <w:rPr>
                <w:sz w:val="19"/>
                <w:szCs w:val="19"/>
              </w:rPr>
              <w:t xml:space="preserve"> PKs following repeated SC administration of CAM2038 q1w at 4 different injection sites</w:t>
            </w:r>
            <w:r w:rsidR="00F7517C" w:rsidRPr="00AD5E80">
              <w:rPr>
                <w:sz w:val="19"/>
                <w:szCs w:val="19"/>
              </w:rPr>
              <w:t xml:space="preserve"> and following 4 repeated SC administration of CAM2038 q4w</w:t>
            </w:r>
            <w:r w:rsidR="006A0AD4" w:rsidRPr="00AD5E80">
              <w:rPr>
                <w:sz w:val="19"/>
                <w:szCs w:val="19"/>
              </w:rPr>
              <w:t xml:space="preserve"> in patients wit</w:t>
            </w:r>
            <w:r w:rsidRPr="00AD5E80">
              <w:rPr>
                <w:sz w:val="19"/>
                <w:szCs w:val="19"/>
              </w:rPr>
              <w:t xml:space="preserve">h opioid dependence and chronic </w:t>
            </w:r>
            <w:r w:rsidR="006A0AD4" w:rsidRPr="00AD5E80">
              <w:rPr>
                <w:sz w:val="19"/>
                <w:szCs w:val="19"/>
              </w:rPr>
              <w:t>non-cancer pain.</w:t>
            </w:r>
          </w:p>
        </w:tc>
      </w:tr>
      <w:tr w:rsidR="006A0AD4" w:rsidRPr="00AD5E80" w14:paraId="5580134B" w14:textId="77777777" w:rsidTr="006A0AD4">
        <w:trPr>
          <w:trHeight w:val="1150"/>
        </w:trPr>
        <w:tc>
          <w:tcPr>
            <w:tcW w:w="1526" w:type="dxa"/>
            <w:vMerge/>
          </w:tcPr>
          <w:p w14:paraId="53BE6D26" w14:textId="77777777" w:rsidR="006A0AD4" w:rsidRPr="00AD5E80" w:rsidRDefault="006A0AD4" w:rsidP="00AD5E80">
            <w:pPr>
              <w:ind w:left="0"/>
              <w:rPr>
                <w:sz w:val="19"/>
                <w:szCs w:val="19"/>
              </w:rPr>
            </w:pPr>
          </w:p>
        </w:tc>
        <w:tc>
          <w:tcPr>
            <w:tcW w:w="1701" w:type="dxa"/>
            <w:vMerge/>
          </w:tcPr>
          <w:p w14:paraId="4B6E38B9" w14:textId="77777777" w:rsidR="006A0AD4" w:rsidRPr="00AD5E80" w:rsidRDefault="006A0AD4" w:rsidP="00AD5E80">
            <w:pPr>
              <w:ind w:left="0"/>
              <w:rPr>
                <w:sz w:val="19"/>
                <w:szCs w:val="19"/>
              </w:rPr>
            </w:pPr>
          </w:p>
        </w:tc>
        <w:tc>
          <w:tcPr>
            <w:tcW w:w="1417" w:type="dxa"/>
          </w:tcPr>
          <w:p w14:paraId="5E82FCF4" w14:textId="77777777" w:rsidR="006A0AD4" w:rsidRPr="00AD5E80" w:rsidRDefault="006A0AD4" w:rsidP="00AD5E80">
            <w:pPr>
              <w:ind w:left="31"/>
              <w:rPr>
                <w:sz w:val="19"/>
                <w:szCs w:val="19"/>
              </w:rPr>
            </w:pPr>
            <w:r w:rsidRPr="00AD5E80">
              <w:rPr>
                <w:sz w:val="19"/>
                <w:szCs w:val="19"/>
              </w:rPr>
              <w:t>HS-13-478</w:t>
            </w:r>
          </w:p>
        </w:tc>
        <w:tc>
          <w:tcPr>
            <w:tcW w:w="4083" w:type="dxa"/>
          </w:tcPr>
          <w:p w14:paraId="3FD7D12A" w14:textId="758E06A4" w:rsidR="006A0AD4" w:rsidRPr="00AD5E80" w:rsidRDefault="00E919C8" w:rsidP="00AD5E80">
            <w:pPr>
              <w:ind w:left="33"/>
              <w:rPr>
                <w:sz w:val="19"/>
                <w:szCs w:val="19"/>
              </w:rPr>
            </w:pPr>
            <w:r w:rsidRPr="00AD5E80">
              <w:rPr>
                <w:sz w:val="19"/>
                <w:szCs w:val="19"/>
              </w:rPr>
              <w:t>Multiple dose opioid challenge study to assess blockade of subjective opioid effects</w:t>
            </w:r>
            <w:r w:rsidR="006A0AD4" w:rsidRPr="00AD5E80">
              <w:rPr>
                <w:sz w:val="19"/>
                <w:szCs w:val="19"/>
              </w:rPr>
              <w:t xml:space="preserve"> of CAM2038 q1w in </w:t>
            </w:r>
            <w:r w:rsidRPr="00AD5E80">
              <w:rPr>
                <w:sz w:val="19"/>
                <w:szCs w:val="19"/>
              </w:rPr>
              <w:t>adults with opioid use disorder.</w:t>
            </w:r>
          </w:p>
        </w:tc>
      </w:tr>
      <w:tr w:rsidR="006A0AD4" w:rsidRPr="00AD5E80" w14:paraId="21822F3A" w14:textId="77777777" w:rsidTr="006A0AD4">
        <w:trPr>
          <w:trHeight w:val="921"/>
        </w:trPr>
        <w:tc>
          <w:tcPr>
            <w:tcW w:w="1526" w:type="dxa"/>
          </w:tcPr>
          <w:p w14:paraId="2D7118B0" w14:textId="000350B3" w:rsidR="006A0AD4" w:rsidRPr="00AD5E80" w:rsidRDefault="00E919C8" w:rsidP="00AD5E80">
            <w:pPr>
              <w:ind w:left="0"/>
              <w:rPr>
                <w:sz w:val="19"/>
                <w:szCs w:val="19"/>
              </w:rPr>
            </w:pPr>
            <w:r w:rsidRPr="00AD5E80">
              <w:rPr>
                <w:sz w:val="19"/>
                <w:szCs w:val="19"/>
              </w:rPr>
              <w:t xml:space="preserve">Population </w:t>
            </w:r>
            <w:r w:rsidR="006A0AD4" w:rsidRPr="00AD5E80">
              <w:rPr>
                <w:sz w:val="19"/>
                <w:szCs w:val="19"/>
              </w:rPr>
              <w:t>PK analyses</w:t>
            </w:r>
          </w:p>
        </w:tc>
        <w:tc>
          <w:tcPr>
            <w:tcW w:w="1701" w:type="dxa"/>
          </w:tcPr>
          <w:p w14:paraId="66CCD5C0" w14:textId="77777777" w:rsidR="006A0AD4" w:rsidRPr="00AD5E80" w:rsidRDefault="006A0AD4" w:rsidP="00AD5E80">
            <w:pPr>
              <w:ind w:left="0"/>
              <w:rPr>
                <w:sz w:val="19"/>
                <w:szCs w:val="19"/>
              </w:rPr>
            </w:pPr>
            <w:r w:rsidRPr="00AD5E80">
              <w:rPr>
                <w:sz w:val="19"/>
                <w:szCs w:val="19"/>
              </w:rPr>
              <w:t>Target population</w:t>
            </w:r>
          </w:p>
        </w:tc>
        <w:tc>
          <w:tcPr>
            <w:tcW w:w="1417" w:type="dxa"/>
          </w:tcPr>
          <w:p w14:paraId="06D89A04" w14:textId="7846A84D" w:rsidR="006A0AD4" w:rsidRPr="00AD5E80" w:rsidRDefault="00E919C8" w:rsidP="00AD5E80">
            <w:pPr>
              <w:ind w:left="31"/>
              <w:rPr>
                <w:sz w:val="19"/>
                <w:szCs w:val="19"/>
              </w:rPr>
            </w:pPr>
            <w:r w:rsidRPr="00AD5E80">
              <w:rPr>
                <w:sz w:val="19"/>
                <w:szCs w:val="19"/>
              </w:rPr>
              <w:t>REP-2-CAM- 2038-PMX-</w:t>
            </w:r>
            <w:r w:rsidR="006A0AD4" w:rsidRPr="00AD5E80">
              <w:rPr>
                <w:sz w:val="19"/>
                <w:szCs w:val="19"/>
              </w:rPr>
              <w:t>1</w:t>
            </w:r>
          </w:p>
        </w:tc>
        <w:tc>
          <w:tcPr>
            <w:tcW w:w="4083" w:type="dxa"/>
          </w:tcPr>
          <w:p w14:paraId="18521F29" w14:textId="3DA63906" w:rsidR="006A0AD4" w:rsidRPr="00AD5E80" w:rsidRDefault="00F7517C" w:rsidP="00AD5E80">
            <w:pPr>
              <w:ind w:left="33"/>
              <w:rPr>
                <w:sz w:val="19"/>
                <w:szCs w:val="19"/>
              </w:rPr>
            </w:pPr>
            <w:r w:rsidRPr="00AD5E80">
              <w:rPr>
                <w:sz w:val="19"/>
                <w:szCs w:val="19"/>
              </w:rPr>
              <w:t xml:space="preserve">Population </w:t>
            </w:r>
            <w:r w:rsidR="006A0AD4" w:rsidRPr="00AD5E80">
              <w:rPr>
                <w:sz w:val="19"/>
                <w:szCs w:val="19"/>
              </w:rPr>
              <w:t xml:space="preserve">PK analysis of </w:t>
            </w:r>
            <w:r w:rsidR="00246DC3" w:rsidRPr="00AD5E80">
              <w:rPr>
                <w:sz w:val="19"/>
                <w:szCs w:val="19"/>
              </w:rPr>
              <w:t>buprenorphine</w:t>
            </w:r>
            <w:r w:rsidR="006A0AD4" w:rsidRPr="00AD5E80">
              <w:rPr>
                <w:sz w:val="19"/>
                <w:szCs w:val="19"/>
              </w:rPr>
              <w:t xml:space="preserve"> after CAM20</w:t>
            </w:r>
            <w:r w:rsidR="00E919C8" w:rsidRPr="00AD5E80">
              <w:rPr>
                <w:sz w:val="19"/>
                <w:szCs w:val="19"/>
              </w:rPr>
              <w:t>38 administration in Studies HS</w:t>
            </w:r>
            <w:r w:rsidR="00E919C8" w:rsidRPr="00AD5E80">
              <w:rPr>
                <w:sz w:val="19"/>
                <w:szCs w:val="19"/>
              </w:rPr>
              <w:noBreakHyphen/>
            </w:r>
            <w:r w:rsidR="006A0AD4" w:rsidRPr="00AD5E80">
              <w:rPr>
                <w:sz w:val="19"/>
                <w:szCs w:val="19"/>
              </w:rPr>
              <w:t>11-</w:t>
            </w:r>
            <w:r w:rsidR="00E919C8" w:rsidRPr="00AD5E80">
              <w:rPr>
                <w:sz w:val="19"/>
                <w:szCs w:val="19"/>
              </w:rPr>
              <w:t xml:space="preserve"> 426, HS-13-487, HS-13-478, and </w:t>
            </w:r>
            <w:r w:rsidR="006A0AD4" w:rsidRPr="00AD5E80">
              <w:rPr>
                <w:sz w:val="19"/>
                <w:szCs w:val="19"/>
              </w:rPr>
              <w:t>HS-15-549</w:t>
            </w:r>
          </w:p>
        </w:tc>
      </w:tr>
    </w:tbl>
    <w:p w14:paraId="1A5A9AEA" w14:textId="4AB24009" w:rsidR="00500337" w:rsidRPr="00E919C8" w:rsidRDefault="006A0AD4" w:rsidP="00E919C8">
      <w:pPr>
        <w:pStyle w:val="TableDescription"/>
      </w:pPr>
      <w:r w:rsidRPr="00E919C8">
        <w:t>* Indicates t</w:t>
      </w:r>
      <w:r w:rsidR="00827533">
        <w:t>he primary PK aim of the study.</w:t>
      </w:r>
      <w:r w:rsidR="008E61F9">
        <w:t xml:space="preserve"> </w:t>
      </w:r>
      <w:r w:rsidRPr="00E919C8">
        <w:t>§ Subjects who would be eligible to receive the drug if approv</w:t>
      </w:r>
      <w:r w:rsidR="00E919C8" w:rsidRPr="00E919C8">
        <w:t>ed for the proposed indication.</w:t>
      </w:r>
    </w:p>
    <w:p w14:paraId="20F5CA7E" w14:textId="77777777" w:rsidR="00605AD4" w:rsidRDefault="00605AD4" w:rsidP="00605AD4">
      <w:pPr>
        <w:pStyle w:val="Heading4"/>
      </w:pPr>
      <w:r>
        <w:t>Evaluator’s conclusions on pharmacokinetics</w:t>
      </w:r>
    </w:p>
    <w:p w14:paraId="10660231" w14:textId="42391F8D" w:rsidR="006A0AD4" w:rsidRDefault="006A0AD4" w:rsidP="00115C41">
      <w:pPr>
        <w:pStyle w:val="ListBullet"/>
      </w:pPr>
      <w:r>
        <w:t>Five new studies, 2 undertaken in healthy subjects and 3 in the target population, which included PK data, have been provided in support of the present</w:t>
      </w:r>
      <w:r w:rsidR="00E919C8">
        <w:t xml:space="preserve"> application. In addition, the s</w:t>
      </w:r>
      <w:r>
        <w:t>ponsor provided a single pop</w:t>
      </w:r>
      <w:r w:rsidR="00E919C8">
        <w:t xml:space="preserve">ulation </w:t>
      </w:r>
      <w:r>
        <w:t>PK analysis. The conduct of all of these supporting trials was satisfactory, the data analyses undertaken were appropriate and the analytical methods used to measure exposure levels were validated.</w:t>
      </w:r>
    </w:p>
    <w:p w14:paraId="346ED10B" w14:textId="48C1F799" w:rsidR="006A0AD4" w:rsidRDefault="00EC2A6C" w:rsidP="00115C41">
      <w:pPr>
        <w:pStyle w:val="ListBullet"/>
      </w:pPr>
      <w:proofErr w:type="spellStart"/>
      <w:r>
        <w:t>Buv</w:t>
      </w:r>
      <w:r w:rsidR="00B9071E">
        <w:t>idal</w:t>
      </w:r>
      <w:proofErr w:type="spellEnd"/>
      <w:r>
        <w:t xml:space="preserve"> </w:t>
      </w:r>
      <w:r w:rsidR="006A0AD4">
        <w:t>is to be administered via SC injection into the buttock, thigh, abdomen or upper arm.</w:t>
      </w:r>
    </w:p>
    <w:p w14:paraId="1A56522A" w14:textId="77777777" w:rsidR="006A0AD4" w:rsidRDefault="006A0AD4" w:rsidP="006A0AD4">
      <w:pPr>
        <w:pStyle w:val="Heading5"/>
      </w:pPr>
      <w:r>
        <w:t>CAM2038 q1w</w:t>
      </w:r>
    </w:p>
    <w:p w14:paraId="7C9ACD73" w14:textId="3A829190" w:rsidR="006A0AD4" w:rsidRDefault="006A0AD4" w:rsidP="00115C41">
      <w:pPr>
        <w:pStyle w:val="ListBullet"/>
      </w:pPr>
      <w:r>
        <w:t xml:space="preserve">Following single administrations of 8 mg, 16 mg or 32 mg CAM2038 q1w, </w:t>
      </w:r>
      <w:r w:rsidR="00246DC3">
        <w:t>buprenorphine</w:t>
      </w:r>
      <w:r>
        <w:t xml:space="preserve"> </w:t>
      </w:r>
      <w:proofErr w:type="spellStart"/>
      <w:r>
        <w:t>T</w:t>
      </w:r>
      <w:r w:rsidRPr="00E919C8">
        <w:rPr>
          <w:vertAlign w:val="subscript"/>
        </w:rPr>
        <w:t>max</w:t>
      </w:r>
      <w:proofErr w:type="spellEnd"/>
      <w:r>
        <w:t xml:space="preserve"> values occurred approximately 23 h</w:t>
      </w:r>
      <w:r w:rsidR="00E919C8">
        <w:t>ours</w:t>
      </w:r>
      <w:r>
        <w:t xml:space="preserve"> following dosing, </w:t>
      </w:r>
      <w:r w:rsidR="00246DC3">
        <w:t>buprenorphine</w:t>
      </w:r>
      <w:r>
        <w:t xml:space="preserve"> </w:t>
      </w:r>
      <w:proofErr w:type="spellStart"/>
      <w:r>
        <w:t>C</w:t>
      </w:r>
      <w:r w:rsidRPr="00E919C8">
        <w:rPr>
          <w:vertAlign w:val="subscript"/>
        </w:rPr>
        <w:t>max</w:t>
      </w:r>
      <w:proofErr w:type="spellEnd"/>
      <w:r>
        <w:t xml:space="preserve"> and </w:t>
      </w:r>
      <w:proofErr w:type="spellStart"/>
      <w:r>
        <w:t>AUC</w:t>
      </w:r>
      <w:r w:rsidRPr="00E919C8">
        <w:rPr>
          <w:vertAlign w:val="subscript"/>
        </w:rPr>
        <w:t>inf</w:t>
      </w:r>
      <w:proofErr w:type="spellEnd"/>
      <w:r>
        <w:t xml:space="preserve"> increased in a dose proportional manner and the absolute </w:t>
      </w:r>
      <w:r w:rsidR="00F059E0">
        <w:t>bioavailability (</w:t>
      </w:r>
      <w:r>
        <w:t>BA</w:t>
      </w:r>
      <w:r w:rsidR="00F059E0">
        <w:t>)</w:t>
      </w:r>
      <w:r>
        <w:t xml:space="preserve"> values compared to an IV </w:t>
      </w:r>
      <w:r w:rsidR="00246DC3">
        <w:t>buprenorphine</w:t>
      </w:r>
      <w:r>
        <w:t xml:space="preserve"> injection of </w:t>
      </w:r>
      <w:r>
        <w:lastRenderedPageBreak/>
        <w:t>0.6</w:t>
      </w:r>
      <w:r w:rsidR="00F059E0">
        <w:t> </w:t>
      </w:r>
      <w:r>
        <w:t xml:space="preserve">mg were 165%, </w:t>
      </w:r>
      <w:r w:rsidR="002C122B">
        <w:t xml:space="preserve">171% and 163%, respectively (24 </w:t>
      </w:r>
      <w:r>
        <w:t xml:space="preserve">hour plasma sampling for IV </w:t>
      </w:r>
      <w:r w:rsidR="00246DC3">
        <w:t>buprenorphine</w:t>
      </w:r>
      <w:r>
        <w:t>).</w:t>
      </w:r>
    </w:p>
    <w:p w14:paraId="59C8BDD2" w14:textId="5CA9F10A" w:rsidR="006A0AD4" w:rsidRDefault="006A0AD4" w:rsidP="00115C41">
      <w:pPr>
        <w:pStyle w:val="ListBullet"/>
      </w:pPr>
      <w:r>
        <w:t xml:space="preserve">Following a single dose of 8mg CAM2038 q1w or 7 days </w:t>
      </w:r>
      <w:r w:rsidR="00F7517C">
        <w:t xml:space="preserve">(steady state) </w:t>
      </w:r>
      <w:r w:rsidR="00827533">
        <w:t>dosing with 8 </w:t>
      </w:r>
      <w:r>
        <w:t xml:space="preserve">mg </w:t>
      </w:r>
      <w:r w:rsidR="00246DC3">
        <w:t>buprenorphine</w:t>
      </w:r>
      <w:r w:rsidR="002C122B">
        <w:t xml:space="preserve"> SL once daily,</w:t>
      </w:r>
      <w:r>
        <w:t xml:space="preserve"> the relative BA of CAM2038 q1w w</w:t>
      </w:r>
      <w:r w:rsidR="002C122B">
        <w:t>as 611% and</w:t>
      </w:r>
      <w:r w:rsidR="001C6867">
        <w:t xml:space="preserve"> for the 16 mg SC versus 16 mg SL comparison was 872%.</w:t>
      </w:r>
    </w:p>
    <w:p w14:paraId="052703AC" w14:textId="0814DC40" w:rsidR="006A0AD4" w:rsidRDefault="006A0AD4" w:rsidP="00115C41">
      <w:pPr>
        <w:pStyle w:val="ListBullet"/>
      </w:pPr>
      <w:r>
        <w:t xml:space="preserve">The accumulation ratios for </w:t>
      </w:r>
      <w:proofErr w:type="spellStart"/>
      <w:r>
        <w:t>C</w:t>
      </w:r>
      <w:r w:rsidRPr="002C122B">
        <w:rPr>
          <w:vertAlign w:val="subscript"/>
        </w:rPr>
        <w:t>max</w:t>
      </w:r>
      <w:proofErr w:type="spellEnd"/>
      <w:r>
        <w:t xml:space="preserve"> and </w:t>
      </w:r>
      <w:r w:rsidR="00F059E0">
        <w:t>the area under the plasma drug concentration time curve from dosing (time zero) to 7 days (</w:t>
      </w:r>
      <w:r>
        <w:t>AUC</w:t>
      </w:r>
      <w:r w:rsidRPr="002C122B">
        <w:rPr>
          <w:vertAlign w:val="subscript"/>
        </w:rPr>
        <w:t>0-7d</w:t>
      </w:r>
      <w:r w:rsidR="00F059E0">
        <w:t xml:space="preserve">) </w:t>
      </w:r>
      <w:r>
        <w:t>following 4 doses of 16 mg CAM2038 q1w was 1.4 and steady state con</w:t>
      </w:r>
      <w:r w:rsidR="002C122B">
        <w:t>ditions were achieved by the fourth</w:t>
      </w:r>
      <w:r>
        <w:t xml:space="preserve"> dose of 16 mg CAM2038 q1w.</w:t>
      </w:r>
    </w:p>
    <w:p w14:paraId="44C4A3EB" w14:textId="49F98A2F" w:rsidR="00500337" w:rsidRDefault="006A0AD4" w:rsidP="00115C41">
      <w:pPr>
        <w:pStyle w:val="ListBullet"/>
      </w:pPr>
      <w:r>
        <w:t xml:space="preserve">Following single and multiple doses of CAM2038 q1w, </w:t>
      </w:r>
      <w:r w:rsidR="00246DC3">
        <w:t>buprenorphine</w:t>
      </w:r>
      <w:r w:rsidR="002C122B">
        <w:t xml:space="preserve"> plasma concentration </w:t>
      </w:r>
      <w:r>
        <w:t>time curves were uniform and consistent, indicating there was no dose dumping.</w:t>
      </w:r>
    </w:p>
    <w:p w14:paraId="46D13E52" w14:textId="44362F97" w:rsidR="006A0AD4" w:rsidRDefault="006A0AD4" w:rsidP="00115C41">
      <w:pPr>
        <w:pStyle w:val="ListBullet"/>
      </w:pPr>
      <w:r w:rsidRPr="006A0AD4">
        <w:t xml:space="preserve">Following single SC doses of CAM2038 q1w, </w:t>
      </w:r>
      <w:proofErr w:type="spellStart"/>
      <w:r w:rsidRPr="006A0AD4">
        <w:t>nor</w:t>
      </w:r>
      <w:r w:rsidR="00246DC3">
        <w:t>buprenorphine</w:t>
      </w:r>
      <w:proofErr w:type="spellEnd"/>
      <w:r w:rsidRPr="006A0AD4">
        <w:t xml:space="preserve"> levels increased in a less than dose proportional manner. Baseline adjusted </w:t>
      </w:r>
      <w:proofErr w:type="spellStart"/>
      <w:r w:rsidRPr="006A0AD4">
        <w:t>nor</w:t>
      </w:r>
      <w:r w:rsidR="00246DC3">
        <w:t>buprenorphine</w:t>
      </w:r>
      <w:proofErr w:type="spellEnd"/>
      <w:r w:rsidR="002C122B">
        <w:t xml:space="preserve"> geometric mean</w:t>
      </w:r>
      <w:r w:rsidRPr="006A0AD4">
        <w:t xml:space="preserve"> </w:t>
      </w:r>
      <w:proofErr w:type="spellStart"/>
      <w:r w:rsidRPr="006A0AD4">
        <w:t>C</w:t>
      </w:r>
      <w:r w:rsidRPr="002C122B">
        <w:rPr>
          <w:vertAlign w:val="subscript"/>
        </w:rPr>
        <w:t>max</w:t>
      </w:r>
      <w:proofErr w:type="spellEnd"/>
      <w:r w:rsidRPr="006A0AD4">
        <w:t xml:space="preserve"> and </w:t>
      </w:r>
      <w:r w:rsidRPr="00F059E0">
        <w:t>AUC</w:t>
      </w:r>
      <w:r w:rsidR="00F059E0">
        <w:rPr>
          <w:vertAlign w:val="subscript"/>
        </w:rPr>
        <w:t>0-</w:t>
      </w:r>
      <w:r w:rsidRPr="00F059E0">
        <w:rPr>
          <w:vertAlign w:val="subscript"/>
        </w:rPr>
        <w:t>inf</w:t>
      </w:r>
      <w:r w:rsidR="002C122B">
        <w:t xml:space="preserve"> values were approximately 2.5 to 5 </w:t>
      </w:r>
      <w:r w:rsidRPr="006A0AD4">
        <w:t xml:space="preserve">fold lower than </w:t>
      </w:r>
      <w:r w:rsidR="00246DC3">
        <w:t>buprenorphine</w:t>
      </w:r>
      <w:r w:rsidRPr="006A0AD4">
        <w:t xml:space="preserve"> </w:t>
      </w:r>
      <w:proofErr w:type="spellStart"/>
      <w:r w:rsidRPr="006A0AD4">
        <w:t>C</w:t>
      </w:r>
      <w:r w:rsidRPr="002C122B">
        <w:rPr>
          <w:vertAlign w:val="subscript"/>
        </w:rPr>
        <w:t>max</w:t>
      </w:r>
      <w:proofErr w:type="spellEnd"/>
      <w:r w:rsidRPr="006A0AD4">
        <w:t xml:space="preserve"> and </w:t>
      </w:r>
      <w:proofErr w:type="spellStart"/>
      <w:r w:rsidRPr="006A0AD4">
        <w:t>AUC</w:t>
      </w:r>
      <w:r w:rsidRPr="002C122B">
        <w:rPr>
          <w:vertAlign w:val="subscript"/>
        </w:rPr>
        <w:t>inf</w:t>
      </w:r>
      <w:proofErr w:type="spellEnd"/>
      <w:r w:rsidR="002C122B">
        <w:t xml:space="preserve"> and the geometric mean</w:t>
      </w:r>
      <w:r w:rsidRPr="006A0AD4">
        <w:t xml:space="preserve"> </w:t>
      </w:r>
      <w:r w:rsidR="00F059E0">
        <w:t>T</w:t>
      </w:r>
      <w:r w:rsidR="00F059E0" w:rsidRPr="002C122B">
        <w:rPr>
          <w:vertAlign w:val="subscript"/>
        </w:rPr>
        <w:t>1</w:t>
      </w:r>
      <w:r w:rsidRPr="002C122B">
        <w:rPr>
          <w:vertAlign w:val="subscript"/>
        </w:rPr>
        <w:t xml:space="preserve">/2 </w:t>
      </w:r>
      <w:r w:rsidRPr="006A0AD4">
        <w:t>ranged between 84</w:t>
      </w:r>
      <w:r w:rsidR="00F059E0">
        <w:t> </w:t>
      </w:r>
      <w:r w:rsidRPr="006A0AD4">
        <w:t>h</w:t>
      </w:r>
      <w:r w:rsidR="002C122B">
        <w:t>ours</w:t>
      </w:r>
      <w:r w:rsidRPr="006A0AD4">
        <w:t xml:space="preserve"> and 97 h</w:t>
      </w:r>
      <w:r w:rsidR="002C122B">
        <w:t>ours</w:t>
      </w:r>
      <w:r w:rsidRPr="006A0AD4">
        <w:t>.</w:t>
      </w:r>
    </w:p>
    <w:p w14:paraId="6450A25C" w14:textId="77777777" w:rsidR="006A0AD4" w:rsidRDefault="006A0AD4" w:rsidP="006A0AD4">
      <w:pPr>
        <w:pStyle w:val="Heading5"/>
      </w:pPr>
      <w:r>
        <w:t>CAM2038 q4w</w:t>
      </w:r>
    </w:p>
    <w:p w14:paraId="047183B5" w14:textId="67D26A90" w:rsidR="006A0AD4" w:rsidRDefault="006A0AD4" w:rsidP="00115C41">
      <w:pPr>
        <w:pStyle w:val="ListBullet"/>
      </w:pPr>
      <w:r>
        <w:t xml:space="preserve">Following single administrations of 64 mg, 96 mg, 128 mg or 192 mg CAM2038 q4w, </w:t>
      </w:r>
      <w:r w:rsidR="00246DC3">
        <w:t>buprenorphine</w:t>
      </w:r>
      <w:r>
        <w:t xml:space="preserve"> </w:t>
      </w:r>
      <w:proofErr w:type="spellStart"/>
      <w:r>
        <w:t>T</w:t>
      </w:r>
      <w:r w:rsidRPr="002C122B">
        <w:rPr>
          <w:vertAlign w:val="subscript"/>
        </w:rPr>
        <w:t>max</w:t>
      </w:r>
      <w:proofErr w:type="spellEnd"/>
      <w:r>
        <w:t xml:space="preserve"> values ranged from approximately 4 h</w:t>
      </w:r>
      <w:r w:rsidR="002C122B">
        <w:t>ours</w:t>
      </w:r>
      <w:r>
        <w:t xml:space="preserve"> to 10 h</w:t>
      </w:r>
      <w:r w:rsidR="002C122B">
        <w:t>ours</w:t>
      </w:r>
      <w:r>
        <w:t xml:space="preserve">, </w:t>
      </w:r>
      <w:r w:rsidR="00246DC3">
        <w:t>buprenorphine</w:t>
      </w:r>
      <w:r>
        <w:t xml:space="preserve"> </w:t>
      </w:r>
      <w:r w:rsidRPr="00F059E0">
        <w:t>AUC</w:t>
      </w:r>
      <w:r w:rsidR="00F059E0">
        <w:rPr>
          <w:vertAlign w:val="subscript"/>
        </w:rPr>
        <w:t>0-</w:t>
      </w:r>
      <w:r w:rsidRPr="00F059E0">
        <w:rPr>
          <w:vertAlign w:val="subscript"/>
        </w:rPr>
        <w:t>inf</w:t>
      </w:r>
      <w:r>
        <w:t xml:space="preserve"> increased proportionally with dose and the absolute BA values compared to an IV </w:t>
      </w:r>
      <w:r w:rsidR="00246DC3">
        <w:t>buprenorphine</w:t>
      </w:r>
      <w:r>
        <w:t xml:space="preserve"> injection of 0.6 mg were 165%, 151%, </w:t>
      </w:r>
      <w:r w:rsidR="002C122B">
        <w:t xml:space="preserve">154% and 129%, respectively (24 </w:t>
      </w:r>
      <w:r>
        <w:t xml:space="preserve">hour plasma sampling for IV </w:t>
      </w:r>
      <w:r w:rsidR="00246DC3">
        <w:t>buprenorphine</w:t>
      </w:r>
      <w:r w:rsidR="002C122B">
        <w:t xml:space="preserve">). For 48 </w:t>
      </w:r>
      <w:r>
        <w:t xml:space="preserve">hour IV </w:t>
      </w:r>
      <w:r w:rsidR="00246DC3">
        <w:t>buprenorphine</w:t>
      </w:r>
      <w:r>
        <w:t xml:space="preserve"> plasma sampling, the absolute BA values were 130% and 114% for 96 and 192 mg CAM2038 q4w, respectively.</w:t>
      </w:r>
    </w:p>
    <w:p w14:paraId="11D679E5" w14:textId="3C9362C8" w:rsidR="006A0AD4" w:rsidRDefault="006A0AD4" w:rsidP="00115C41">
      <w:pPr>
        <w:pStyle w:val="ListBullet"/>
      </w:pPr>
      <w:r>
        <w:t xml:space="preserve">Following a single dose of 64mg CAM2038 q1w or 7 days </w:t>
      </w:r>
      <w:r w:rsidR="005F5AFA">
        <w:t xml:space="preserve">(steady state) </w:t>
      </w:r>
      <w:r>
        <w:t>dosing with 8</w:t>
      </w:r>
      <w:r w:rsidR="00F059E0">
        <w:t> </w:t>
      </w:r>
      <w:r>
        <w:t xml:space="preserve">mg </w:t>
      </w:r>
      <w:r w:rsidR="00246DC3">
        <w:t>buprenorphine</w:t>
      </w:r>
      <w:r w:rsidR="002C122B">
        <w:t xml:space="preserve"> SL once daily,</w:t>
      </w:r>
      <w:r>
        <w:t xml:space="preserve"> the relative BA of CAM</w:t>
      </w:r>
      <w:r w:rsidR="002C122B">
        <w:t xml:space="preserve">2038 was </w:t>
      </w:r>
      <w:r w:rsidR="0005111D">
        <w:t>570.3% and for the 128 mg SC versus the seventh dose of 24 mg SL comparison was 746.7%</w:t>
      </w:r>
    </w:p>
    <w:p w14:paraId="6C0EF013" w14:textId="1D045724" w:rsidR="006A0AD4" w:rsidRDefault="006A0AD4" w:rsidP="00115C41">
      <w:pPr>
        <w:pStyle w:val="ListBullet"/>
      </w:pPr>
      <w:r>
        <w:t>Following a single dose</w:t>
      </w:r>
      <w:r w:rsidR="002C122B">
        <w:t xml:space="preserve"> of 64 mg CAM2038 q4w </w:t>
      </w:r>
      <w:r w:rsidR="00BE3AD4">
        <w:t xml:space="preserve">versus </w:t>
      </w:r>
      <w:r w:rsidR="002C122B">
        <w:t>the fourth</w:t>
      </w:r>
      <w:r>
        <w:t xml:space="preserve"> dose of CAM2038 q1w 16 mg</w:t>
      </w:r>
      <w:r w:rsidR="00BE3AD4">
        <w:t>,</w:t>
      </w:r>
      <w:r>
        <w:t xml:space="preserve"> the relative BA was 96.9%. </w:t>
      </w:r>
      <w:r w:rsidR="0005111D" w:rsidRPr="0005111D">
        <w:t xml:space="preserve"> </w:t>
      </w:r>
      <w:r w:rsidR="0005111D">
        <w:t xml:space="preserve">At higher doses, however, the bioequivalence between the two forms of CAM2038 decreased; however, the </w:t>
      </w:r>
      <w:r>
        <w:t>differences in the BA of the various dose strengths of CAM2038 q4w compared to the q1w formulation were relatively small and unlikely to be clinically relevant.</w:t>
      </w:r>
    </w:p>
    <w:p w14:paraId="141CF75A" w14:textId="06D868E7" w:rsidR="006A0AD4" w:rsidRDefault="006A0AD4" w:rsidP="00151A28">
      <w:pPr>
        <w:pStyle w:val="ListBullet"/>
      </w:pPr>
      <w:r>
        <w:t xml:space="preserve">Previously submitted studies indicate that the </w:t>
      </w:r>
      <w:r w:rsidR="002C122B">
        <w:t>volume of distribution (</w:t>
      </w:r>
      <w:proofErr w:type="spellStart"/>
      <w:r>
        <w:t>V</w:t>
      </w:r>
      <w:r w:rsidRPr="002C122B">
        <w:rPr>
          <w:vertAlign w:val="subscript"/>
        </w:rPr>
        <w:t>d</w:t>
      </w:r>
      <w:proofErr w:type="spellEnd"/>
      <w:r w:rsidR="002C122B">
        <w:t>)</w:t>
      </w:r>
      <w:r>
        <w:t xml:space="preserve"> following a single IV dose of </w:t>
      </w:r>
      <w:r w:rsidR="00246DC3">
        <w:t>buprenorphine</w:t>
      </w:r>
      <w:r>
        <w:t xml:space="preserve"> 0.6 mg ranged from 1040 L to 1240 L and at therapeutic doses it is highly protein bound. </w:t>
      </w:r>
      <w:r w:rsidR="002C122B">
        <w:t>B</w:t>
      </w:r>
      <w:r w:rsidR="00246DC3">
        <w:t>uprenorphine</w:t>
      </w:r>
      <w:r>
        <w:t xml:space="preserve"> is predominantly metabolised in the liver via </w:t>
      </w:r>
      <w:r w:rsidR="00151A28">
        <w:t>c</w:t>
      </w:r>
      <w:r w:rsidR="00151A28" w:rsidRPr="00151A28">
        <w:t>ytochrome P450</w:t>
      </w:r>
      <w:r w:rsidR="00F059E0">
        <w:t xml:space="preserve"> enzyme</w:t>
      </w:r>
      <w:r w:rsidR="00151A28" w:rsidRPr="00151A28">
        <w:t xml:space="preserve"> 3A4 </w:t>
      </w:r>
      <w:r w:rsidR="00151A28">
        <w:t>(</w:t>
      </w:r>
      <w:r>
        <w:t>CYP3A4</w:t>
      </w:r>
      <w:r w:rsidR="00151A28">
        <w:t>)</w:t>
      </w:r>
      <w:r>
        <w:t xml:space="preserve">, with the principal metabolites being the </w:t>
      </w:r>
      <w:r w:rsidR="00151A28">
        <w:t xml:space="preserve">active </w:t>
      </w:r>
      <w:proofErr w:type="spellStart"/>
      <w:r w:rsidR="00151A28">
        <w:t>n</w:t>
      </w:r>
      <w:r>
        <w:t>or</w:t>
      </w:r>
      <w:r w:rsidR="00246DC3">
        <w:t>buprenorphine</w:t>
      </w:r>
      <w:proofErr w:type="spellEnd"/>
      <w:r>
        <w:t xml:space="preserve"> and its glucuronide, together with glucuronides of the parent drug. </w:t>
      </w:r>
      <w:r w:rsidR="00151A28">
        <w:t>B</w:t>
      </w:r>
      <w:r w:rsidR="00246DC3">
        <w:t>uprenorphine</w:t>
      </w:r>
      <w:r>
        <w:t xml:space="preserve"> excretion is primarily via the biliary route with some evidence for enterohepatic cycling following intestinal </w:t>
      </w:r>
      <w:proofErr w:type="spellStart"/>
      <w:r>
        <w:t>deconjugation</w:t>
      </w:r>
      <w:proofErr w:type="spellEnd"/>
      <w:r>
        <w:t xml:space="preserve">. Following IM administration of </w:t>
      </w:r>
      <w:r w:rsidR="00A51F27">
        <w:t>(</w:t>
      </w:r>
      <w:r w:rsidRPr="00151A28">
        <w:rPr>
          <w:vertAlign w:val="superscript"/>
        </w:rPr>
        <w:t>3</w:t>
      </w:r>
      <w:r>
        <w:t>H</w:t>
      </w:r>
      <w:r w:rsidR="00A51F27">
        <w:t>)</w:t>
      </w:r>
      <w:r>
        <w:t>-buprenorphine to one volunteer, 68% of the radioactivity was recovered in the faeces and 27% in the urine.</w:t>
      </w:r>
    </w:p>
    <w:p w14:paraId="3649E148" w14:textId="77777777" w:rsidR="006A0AD4" w:rsidRDefault="006A0AD4" w:rsidP="006A0AD4">
      <w:pPr>
        <w:pStyle w:val="Heading5"/>
      </w:pPr>
      <w:bookmarkStart w:id="81" w:name="_Hlk21091819"/>
      <w:r>
        <w:t>Intra-subject variability</w:t>
      </w:r>
    </w:p>
    <w:p w14:paraId="4B5459BA" w14:textId="618797B2" w:rsidR="006A0AD4" w:rsidRDefault="006A0AD4" w:rsidP="00115C41">
      <w:r>
        <w:t xml:space="preserve">The </w:t>
      </w:r>
      <w:r w:rsidR="00151A28">
        <w:rPr>
          <w:rFonts w:cstheme="minorHAnsi"/>
        </w:rPr>
        <w:t>coefficients of variation</w:t>
      </w:r>
      <w:r w:rsidR="00151A28">
        <w:t xml:space="preserve"> (</w:t>
      </w:r>
      <w:r>
        <w:t>CV</w:t>
      </w:r>
      <w:r w:rsidR="00151A28">
        <w:t>)</w:t>
      </w:r>
      <w:r>
        <w:t xml:space="preserve"> for intra-subject variability on </w:t>
      </w:r>
      <w:r w:rsidR="00151A28">
        <w:rPr>
          <w:rFonts w:cstheme="minorHAnsi"/>
        </w:rPr>
        <w:t>total plasma clearance</w:t>
      </w:r>
      <w:r w:rsidR="00151A28">
        <w:t xml:space="preserve"> (</w:t>
      </w:r>
      <w:r>
        <w:t>CL</w:t>
      </w:r>
      <w:r w:rsidR="00151A28">
        <w:t>)</w:t>
      </w:r>
      <w:r>
        <w:t xml:space="preserve">, </w:t>
      </w:r>
      <w:r w:rsidR="00151A28">
        <w:rPr>
          <w:rFonts w:cstheme="minorHAnsi"/>
        </w:rPr>
        <w:t>central volume of distribution</w:t>
      </w:r>
      <w:r w:rsidR="00151A28">
        <w:t xml:space="preserve"> (</w:t>
      </w:r>
      <w:proofErr w:type="spellStart"/>
      <w:r>
        <w:t>V</w:t>
      </w:r>
      <w:r w:rsidRPr="00151A28">
        <w:rPr>
          <w:vertAlign w:val="subscript"/>
        </w:rPr>
        <w:t>c</w:t>
      </w:r>
      <w:proofErr w:type="spellEnd"/>
      <w:r w:rsidR="00151A28">
        <w:t>)</w:t>
      </w:r>
      <w:r>
        <w:t xml:space="preserve">, </w:t>
      </w:r>
      <w:r w:rsidR="00151A28">
        <w:rPr>
          <w:rFonts w:eastAsia="TimesNewRomanPSMT" w:cstheme="minorHAnsi"/>
          <w:color w:val="000000"/>
        </w:rPr>
        <w:t>inter-compartmental clearance to the third compartment</w:t>
      </w:r>
      <w:r w:rsidR="00151A28">
        <w:t xml:space="preserve"> (</w:t>
      </w:r>
      <w:r>
        <w:t>Q3</w:t>
      </w:r>
      <w:r w:rsidR="00151A28">
        <w:t>)</w:t>
      </w:r>
      <w:r>
        <w:t xml:space="preserve"> and </w:t>
      </w:r>
      <w:r w:rsidR="00151A28">
        <w:rPr>
          <w:rFonts w:cstheme="minorHAnsi"/>
        </w:rPr>
        <w:t>volume of the third compartment</w:t>
      </w:r>
      <w:r w:rsidR="00151A28">
        <w:t xml:space="preserve"> (</w:t>
      </w:r>
      <w:r>
        <w:t>V3</w:t>
      </w:r>
      <w:r w:rsidR="00151A28">
        <w:t>)</w:t>
      </w:r>
      <w:r>
        <w:t xml:space="preserve"> were 0.21, 0.79, 0.38 and 0.30, respectively. </w:t>
      </w:r>
      <w:r w:rsidR="00C96D43">
        <w:t xml:space="preserve">For </w:t>
      </w:r>
      <w:r w:rsidR="007C0A8F">
        <w:rPr>
          <w:rFonts w:eastAsia="TimesNewRomanPSMT" w:cstheme="minorHAnsi"/>
          <w:color w:val="000000"/>
        </w:rPr>
        <w:t>absorption</w:t>
      </w:r>
      <w:r w:rsidR="00C96D43">
        <w:rPr>
          <w:rFonts w:eastAsia="TimesNewRomanPSMT" w:cstheme="minorHAnsi"/>
          <w:color w:val="000000"/>
        </w:rPr>
        <w:t xml:space="preserve"> rate constant</w:t>
      </w:r>
      <w:r w:rsidR="00C96D43">
        <w:t xml:space="preserve"> (</w:t>
      </w:r>
      <w:proofErr w:type="spellStart"/>
      <w:r w:rsidR="00C96D43">
        <w:t>k</w:t>
      </w:r>
      <w:r w:rsidR="00C96D43" w:rsidRPr="00151A28">
        <w:t>a</w:t>
      </w:r>
      <w:proofErr w:type="spellEnd"/>
      <w:r w:rsidR="00C96D43">
        <w:t xml:space="preserve">) and BA the CVs ranged from 0.40 to 0.86 and was 0.31, respectively. </w:t>
      </w:r>
      <w:r>
        <w:t>The residual unexplained error was 0.28.</w:t>
      </w:r>
      <w:bookmarkEnd w:id="81"/>
    </w:p>
    <w:p w14:paraId="7E0314DA" w14:textId="77777777" w:rsidR="006A0AD4" w:rsidRDefault="006A0AD4" w:rsidP="006A0AD4">
      <w:pPr>
        <w:pStyle w:val="Heading5"/>
      </w:pPr>
      <w:r>
        <w:lastRenderedPageBreak/>
        <w:t>PKs in the target population</w:t>
      </w:r>
    </w:p>
    <w:p w14:paraId="5743D8B1" w14:textId="7551217A" w:rsidR="006A0AD4" w:rsidRDefault="006A0AD4" w:rsidP="00115C41">
      <w:pPr>
        <w:pStyle w:val="ListBullet"/>
      </w:pPr>
      <w:r>
        <w:t xml:space="preserve">Following a single dose of CAM2038 q1w ranging from 7.5 mg to 30 mg via deep SC buttock injection, </w:t>
      </w:r>
      <w:r w:rsidR="00246DC3">
        <w:t>buprenorphine</w:t>
      </w:r>
      <w:r>
        <w:t xml:space="preserve"> </w:t>
      </w:r>
      <w:proofErr w:type="spellStart"/>
      <w:r>
        <w:t>C</w:t>
      </w:r>
      <w:r w:rsidRPr="00151A28">
        <w:rPr>
          <w:vertAlign w:val="subscript"/>
        </w:rPr>
        <w:t>max</w:t>
      </w:r>
      <w:proofErr w:type="spellEnd"/>
      <w:r>
        <w:t xml:space="preserve"> and AUC</w:t>
      </w:r>
      <w:r w:rsidRPr="00151A28">
        <w:rPr>
          <w:vertAlign w:val="subscript"/>
        </w:rPr>
        <w:t xml:space="preserve">0-7d </w:t>
      </w:r>
      <w:r>
        <w:t>increased proportio</w:t>
      </w:r>
      <w:r w:rsidR="00151A28">
        <w:t xml:space="preserve">nally with dose, whereas, dose </w:t>
      </w:r>
      <w:r>
        <w:t>proportionality could not be concluded for AUC</w:t>
      </w:r>
      <w:r w:rsidRPr="00151A28">
        <w:rPr>
          <w:vertAlign w:val="subscript"/>
        </w:rPr>
        <w:t xml:space="preserve">0-inf </w:t>
      </w:r>
      <w:r>
        <w:t>or AUC</w:t>
      </w:r>
      <w:r w:rsidRPr="00151A28">
        <w:rPr>
          <w:vertAlign w:val="subscript"/>
        </w:rPr>
        <w:t>0-last</w:t>
      </w:r>
      <w:r>
        <w:t xml:space="preserve">. </w:t>
      </w:r>
      <w:proofErr w:type="spellStart"/>
      <w:r>
        <w:t>T</w:t>
      </w:r>
      <w:r w:rsidRPr="00151A28">
        <w:rPr>
          <w:vertAlign w:val="subscript"/>
        </w:rPr>
        <w:t>max</w:t>
      </w:r>
      <w:proofErr w:type="spellEnd"/>
      <w:r>
        <w:t xml:space="preserve"> was attained approximately 20 h</w:t>
      </w:r>
      <w:r w:rsidR="00151A28">
        <w:t>ours</w:t>
      </w:r>
      <w:r>
        <w:t xml:space="preserve"> after dosing and the t</w:t>
      </w:r>
      <w:r w:rsidRPr="00151A28">
        <w:rPr>
          <w:vertAlign w:val="subscript"/>
        </w:rPr>
        <w:t xml:space="preserve">1/2 </w:t>
      </w:r>
      <w:r>
        <w:t xml:space="preserve">was approximately 3.5 days. </w:t>
      </w:r>
      <w:proofErr w:type="spellStart"/>
      <w:r>
        <w:t>Nor</w:t>
      </w:r>
      <w:r w:rsidR="00246DC3">
        <w:t>buprenorphine</w:t>
      </w:r>
      <w:proofErr w:type="spellEnd"/>
      <w:r>
        <w:t xml:space="preserve"> </w:t>
      </w:r>
      <w:proofErr w:type="spellStart"/>
      <w:r>
        <w:t>T</w:t>
      </w:r>
      <w:r w:rsidRPr="00151A28">
        <w:rPr>
          <w:vertAlign w:val="subscript"/>
        </w:rPr>
        <w:t>max</w:t>
      </w:r>
      <w:proofErr w:type="spellEnd"/>
      <w:r>
        <w:t xml:space="preserve"> was attained approximately 50 to 70 h</w:t>
      </w:r>
      <w:r w:rsidR="00151A28">
        <w:t>ours</w:t>
      </w:r>
      <w:r>
        <w:t xml:space="preserve"> after dosing and </w:t>
      </w:r>
      <w:r w:rsidR="00F059E0">
        <w:t>T</w:t>
      </w:r>
      <w:r w:rsidR="00F059E0" w:rsidRPr="00151A28">
        <w:rPr>
          <w:vertAlign w:val="subscript"/>
        </w:rPr>
        <w:t>1</w:t>
      </w:r>
      <w:r w:rsidRPr="00151A28">
        <w:rPr>
          <w:vertAlign w:val="subscript"/>
        </w:rPr>
        <w:t xml:space="preserve">/2 </w:t>
      </w:r>
      <w:r>
        <w:t>values were between 74 h</w:t>
      </w:r>
      <w:r w:rsidR="00151A28">
        <w:t>ours</w:t>
      </w:r>
      <w:r>
        <w:t xml:space="preserve"> and 97 h</w:t>
      </w:r>
      <w:r w:rsidR="00151A28">
        <w:t>ours</w:t>
      </w:r>
      <w:r>
        <w:t>.</w:t>
      </w:r>
    </w:p>
    <w:p w14:paraId="60DCF4E9" w14:textId="6A5CE0C3" w:rsidR="006A0AD4" w:rsidRDefault="006A0AD4" w:rsidP="00115C41">
      <w:pPr>
        <w:pStyle w:val="ListBullet"/>
      </w:pPr>
      <w:r>
        <w:t>Following weekly SC administration of 32 mg CAM2038 q1w at 4 di</w:t>
      </w:r>
      <w:r w:rsidR="00151A28">
        <w:t xml:space="preserve">fferent injection sites, steady </w:t>
      </w:r>
      <w:r>
        <w:t xml:space="preserve">state </w:t>
      </w:r>
      <w:r w:rsidR="00246DC3">
        <w:t>buprenorphine</w:t>
      </w:r>
      <w:r>
        <w:t xml:space="preserve"> plasm</w:t>
      </w:r>
      <w:r w:rsidR="00151A28">
        <w:t>a levels were reached by the fourth</w:t>
      </w:r>
      <w:r>
        <w:t xml:space="preserve"> dose. Similarly, stea</w:t>
      </w:r>
      <w:r w:rsidR="00151A28">
        <w:t>dy state was achieved at the fourth</w:t>
      </w:r>
      <w:r>
        <w:t xml:space="preserve"> repeated monthly dose of 128 mg and 160 mg CAM2038 q4w.</w:t>
      </w:r>
    </w:p>
    <w:p w14:paraId="17AC7D17" w14:textId="01578175" w:rsidR="006A0AD4" w:rsidRDefault="00151A28" w:rsidP="00620F7A">
      <w:pPr>
        <w:pStyle w:val="ListBullet"/>
      </w:pPr>
      <w:r>
        <w:t xml:space="preserve">At steady </w:t>
      </w:r>
      <w:r w:rsidR="006A0AD4">
        <w:t xml:space="preserve">state, following administration of 32 mg SC CAM2038 q1w in the buttock, abdomen, thigh or upper arm, similar </w:t>
      </w:r>
      <w:r w:rsidR="00246DC3">
        <w:t>buprenorphine</w:t>
      </w:r>
      <w:r>
        <w:t xml:space="preserve"> plasma concentration </w:t>
      </w:r>
      <w:r w:rsidR="006A0AD4">
        <w:t xml:space="preserve">time profiles and </w:t>
      </w:r>
      <w:r w:rsidR="00246DC3">
        <w:t>buprenorphine</w:t>
      </w:r>
      <w:r w:rsidR="006A0AD4">
        <w:t xml:space="preserve"> </w:t>
      </w:r>
      <w:r w:rsidR="00620F7A">
        <w:t>maximum steady state plasma drug concentration (</w:t>
      </w:r>
      <w:proofErr w:type="spellStart"/>
      <w:r w:rsidR="006A0AD4">
        <w:t>C</w:t>
      </w:r>
      <w:r w:rsidR="006A0AD4" w:rsidRPr="00620F7A">
        <w:rPr>
          <w:vertAlign w:val="subscript"/>
        </w:rPr>
        <w:t>ss,max</w:t>
      </w:r>
      <w:proofErr w:type="spellEnd"/>
      <w:r w:rsidR="00620F7A">
        <w:t>)</w:t>
      </w:r>
      <w:r w:rsidR="006A0AD4">
        <w:t xml:space="preserve">, </w:t>
      </w:r>
      <w:r w:rsidR="00620F7A">
        <w:t>a</w:t>
      </w:r>
      <w:r w:rsidR="00620F7A" w:rsidRPr="00620F7A">
        <w:t xml:space="preserve">rea under the </w:t>
      </w:r>
      <w:r w:rsidR="00620F7A">
        <w:t xml:space="preserve">steady state plasma concentration </w:t>
      </w:r>
      <w:r w:rsidR="00620F7A" w:rsidRPr="00620F7A">
        <w:t xml:space="preserve">time curve </w:t>
      </w:r>
      <w:r w:rsidR="00620F7A">
        <w:t>(</w:t>
      </w:r>
      <w:proofErr w:type="spellStart"/>
      <w:r w:rsidR="006A0AD4">
        <w:t>AUC</w:t>
      </w:r>
      <w:r w:rsidR="006A0AD4" w:rsidRPr="00620F7A">
        <w:rPr>
          <w:vertAlign w:val="subscript"/>
        </w:rPr>
        <w:t>ss</w:t>
      </w:r>
      <w:proofErr w:type="spellEnd"/>
      <w:r w:rsidR="00620F7A">
        <w:t>)</w:t>
      </w:r>
      <w:r w:rsidR="006A0AD4">
        <w:t xml:space="preserve">, and </w:t>
      </w:r>
      <w:r w:rsidR="00620F7A">
        <w:t>trough plasma concentration at the end of a dosing interval at steady state (</w:t>
      </w:r>
      <w:proofErr w:type="spellStart"/>
      <w:r w:rsidR="006A0AD4">
        <w:t>C</w:t>
      </w:r>
      <w:r w:rsidR="006A0AD4" w:rsidRPr="00620F7A">
        <w:rPr>
          <w:vertAlign w:val="subscript"/>
        </w:rPr>
        <w:t>ss,trough</w:t>
      </w:r>
      <w:proofErr w:type="spellEnd"/>
      <w:r w:rsidR="00620F7A">
        <w:t>)</w:t>
      </w:r>
      <w:r w:rsidR="006A0AD4" w:rsidRPr="00620F7A">
        <w:t xml:space="preserve"> </w:t>
      </w:r>
      <w:r w:rsidR="006A0AD4">
        <w:t>values, were observed for all administration sites.</w:t>
      </w:r>
    </w:p>
    <w:p w14:paraId="4F47AB27" w14:textId="31E64920" w:rsidR="006A0AD4" w:rsidRDefault="00151A28" w:rsidP="00115C41">
      <w:pPr>
        <w:pStyle w:val="ListBullet"/>
      </w:pPr>
      <w:r>
        <w:t>B</w:t>
      </w:r>
      <w:r w:rsidR="00246DC3">
        <w:t>uprenorphine</w:t>
      </w:r>
      <w:r w:rsidR="006A0AD4">
        <w:t xml:space="preserve"> </w:t>
      </w:r>
      <w:proofErr w:type="spellStart"/>
      <w:r w:rsidR="006A0AD4">
        <w:t>C</w:t>
      </w:r>
      <w:r w:rsidR="006A0AD4" w:rsidRPr="00620F7A">
        <w:rPr>
          <w:vertAlign w:val="subscript"/>
        </w:rPr>
        <w:t>ss,max</w:t>
      </w:r>
      <w:proofErr w:type="spellEnd"/>
      <w:r w:rsidR="006A0AD4" w:rsidRPr="00620F7A">
        <w:rPr>
          <w:vertAlign w:val="subscript"/>
        </w:rPr>
        <w:t xml:space="preserve"> </w:t>
      </w:r>
      <w:r w:rsidR="006A0AD4">
        <w:t>was reached at approximately 24 h</w:t>
      </w:r>
      <w:r w:rsidR="00620F7A">
        <w:t>ours</w:t>
      </w:r>
      <w:r w:rsidR="006A0AD4">
        <w:t xml:space="preserve"> after administration of 32 mg CAM2038 q1w and at approximately 10 h</w:t>
      </w:r>
      <w:r w:rsidR="00620F7A">
        <w:t>ours</w:t>
      </w:r>
      <w:r w:rsidR="006A0AD4">
        <w:t xml:space="preserve"> and 24 h</w:t>
      </w:r>
      <w:r w:rsidR="00620F7A">
        <w:t>ours</w:t>
      </w:r>
      <w:r w:rsidR="006A0AD4">
        <w:t xml:space="preserve"> after administration of 128 mg and 160 mg CAM2038 q4w, respectively.</w:t>
      </w:r>
    </w:p>
    <w:p w14:paraId="0B7DE22B" w14:textId="1D18A5F9" w:rsidR="006A0AD4" w:rsidRDefault="006A0AD4" w:rsidP="00115C41">
      <w:pPr>
        <w:pStyle w:val="ListBullet"/>
      </w:pPr>
      <w:r>
        <w:t xml:space="preserve">The </w:t>
      </w:r>
      <w:r w:rsidR="00246DC3">
        <w:t>buprenorphine</w:t>
      </w:r>
      <w:r>
        <w:t xml:space="preserve"> </w:t>
      </w:r>
      <w:r w:rsidR="00620F7A">
        <w:rPr>
          <w:rFonts w:eastAsia="TimesNewRoman" w:cstheme="minorHAnsi"/>
        </w:rPr>
        <w:t>overall systemic exposure at steady state</w:t>
      </w:r>
      <w:r w:rsidR="00620F7A">
        <w:t xml:space="preserve"> (</w:t>
      </w:r>
      <w:proofErr w:type="spellStart"/>
      <w:r>
        <w:t>C</w:t>
      </w:r>
      <w:r w:rsidRPr="00620F7A">
        <w:rPr>
          <w:vertAlign w:val="subscript"/>
        </w:rPr>
        <w:t>ss,av</w:t>
      </w:r>
      <w:proofErr w:type="spellEnd"/>
      <w:r w:rsidR="00620F7A">
        <w:t>)</w:t>
      </w:r>
      <w:r w:rsidRPr="00620F7A">
        <w:t xml:space="preserve"> </w:t>
      </w:r>
      <w:r>
        <w:t xml:space="preserve">for 32 mg CAM2038 q1w was 4.17 ng/mL and was comparable </w:t>
      </w:r>
      <w:r w:rsidR="00246DC3">
        <w:t>buprenorphine</w:t>
      </w:r>
      <w:r>
        <w:t xml:space="preserve"> </w:t>
      </w:r>
      <w:proofErr w:type="spellStart"/>
      <w:r>
        <w:t>C</w:t>
      </w:r>
      <w:r w:rsidRPr="00620F7A">
        <w:rPr>
          <w:vertAlign w:val="subscript"/>
        </w:rPr>
        <w:t>ss,av</w:t>
      </w:r>
      <w:proofErr w:type="spellEnd"/>
      <w:r w:rsidRPr="00620F7A">
        <w:rPr>
          <w:vertAlign w:val="subscript"/>
        </w:rPr>
        <w:t xml:space="preserve"> </w:t>
      </w:r>
      <w:r>
        <w:t xml:space="preserve">for 128 mg CAM2038 q4w (3.89 ng/mL). The </w:t>
      </w:r>
      <w:r w:rsidR="00246DC3">
        <w:t>buprenorphine</w:t>
      </w:r>
      <w:r>
        <w:t xml:space="preserve"> </w:t>
      </w:r>
      <w:proofErr w:type="spellStart"/>
      <w:r>
        <w:t>C</w:t>
      </w:r>
      <w:r w:rsidRPr="00620F7A">
        <w:rPr>
          <w:vertAlign w:val="subscript"/>
        </w:rPr>
        <w:t>ss,av</w:t>
      </w:r>
      <w:proofErr w:type="spellEnd"/>
      <w:r w:rsidRPr="00620F7A">
        <w:rPr>
          <w:vertAlign w:val="subscript"/>
        </w:rPr>
        <w:t xml:space="preserve"> </w:t>
      </w:r>
      <w:r>
        <w:t>increased approximately proportional to dose, when the monthly dose increased from 128 mg to 160 mg CAM2038 q4w.</w:t>
      </w:r>
    </w:p>
    <w:p w14:paraId="775A4DC8" w14:textId="402D62CE" w:rsidR="006A0AD4" w:rsidRDefault="006A0AD4" w:rsidP="00115C41">
      <w:pPr>
        <w:pStyle w:val="ListBullet"/>
      </w:pPr>
      <w:r>
        <w:t xml:space="preserve">Low </w:t>
      </w:r>
      <w:r w:rsidR="00620F7A">
        <w:t xml:space="preserve">and stable plasma concentration </w:t>
      </w:r>
      <w:r>
        <w:t xml:space="preserve">time profiles of </w:t>
      </w:r>
      <w:proofErr w:type="spellStart"/>
      <w:r>
        <w:t>nor</w:t>
      </w:r>
      <w:r w:rsidR="00246DC3">
        <w:t>buprenorphine</w:t>
      </w:r>
      <w:proofErr w:type="spellEnd"/>
      <w:r>
        <w:t xml:space="preserve"> were observed after SC injection of 32 mg CAM2038 q1w in the buttock, abdomen, thigh and upper arm at steady state and similar </w:t>
      </w:r>
      <w:proofErr w:type="spellStart"/>
      <w:r>
        <w:t>nor</w:t>
      </w:r>
      <w:r w:rsidR="00246DC3">
        <w:t>buprenorphine</w:t>
      </w:r>
      <w:proofErr w:type="spellEnd"/>
      <w:r w:rsidR="00620F7A">
        <w:t xml:space="preserve"> steady </w:t>
      </w:r>
      <w:r>
        <w:t>state plasma concentrations were observed across the monthly dosing interval for the 128 mg and 160 mg CAM2038 q4w doses.</w:t>
      </w:r>
    </w:p>
    <w:p w14:paraId="5E66DA68" w14:textId="1133F5BA" w:rsidR="006A0AD4" w:rsidRDefault="006A0AD4" w:rsidP="00115C41">
      <w:pPr>
        <w:pStyle w:val="ListBullet"/>
      </w:pPr>
      <w:proofErr w:type="spellStart"/>
      <w:r>
        <w:t>Nor</w:t>
      </w:r>
      <w:r w:rsidR="00246DC3">
        <w:t>buprenorphine</w:t>
      </w:r>
      <w:proofErr w:type="spellEnd"/>
      <w:r>
        <w:t xml:space="preserve"> </w:t>
      </w:r>
      <w:proofErr w:type="spellStart"/>
      <w:r>
        <w:t>C</w:t>
      </w:r>
      <w:r w:rsidRPr="00620F7A">
        <w:rPr>
          <w:vertAlign w:val="subscript"/>
        </w:rPr>
        <w:t>ss,max</w:t>
      </w:r>
      <w:proofErr w:type="spellEnd"/>
      <w:r w:rsidRPr="00620F7A">
        <w:rPr>
          <w:vertAlign w:val="subscript"/>
        </w:rPr>
        <w:t xml:space="preserve"> </w:t>
      </w:r>
      <w:r>
        <w:t xml:space="preserve">and </w:t>
      </w:r>
      <w:proofErr w:type="spellStart"/>
      <w:r>
        <w:t>AUC</w:t>
      </w:r>
      <w:r w:rsidRPr="00620F7A">
        <w:rPr>
          <w:vertAlign w:val="subscript"/>
        </w:rPr>
        <w:t>ss</w:t>
      </w:r>
      <w:proofErr w:type="spellEnd"/>
      <w:r w:rsidR="00620F7A">
        <w:t xml:space="preserve"> values were 2 to </w:t>
      </w:r>
      <w:r>
        <w:t xml:space="preserve">5 times lower than corresponding </w:t>
      </w:r>
      <w:r w:rsidR="00246DC3">
        <w:t>buprenorphine</w:t>
      </w:r>
      <w:r>
        <w:t xml:space="preserve"> values after administration of CAM2038 q1w and CAM2038 q4w.</w:t>
      </w:r>
    </w:p>
    <w:p w14:paraId="2AD59F39" w14:textId="77777777" w:rsidR="006A0AD4" w:rsidRDefault="006A0AD4" w:rsidP="006A0AD4">
      <w:pPr>
        <w:pStyle w:val="Heading5"/>
      </w:pPr>
      <w:r>
        <w:t>Hepatic function</w:t>
      </w:r>
    </w:p>
    <w:p w14:paraId="604A2692" w14:textId="77777777" w:rsidR="006A0AD4" w:rsidRDefault="006A0AD4" w:rsidP="00115C41">
      <w:r>
        <w:t xml:space="preserve">Previous studies indicate that plasma </w:t>
      </w:r>
      <w:r w:rsidR="00246DC3">
        <w:t>buprenorphine</w:t>
      </w:r>
      <w:r>
        <w:t xml:space="preserve"> levels were elevated in patients with moderate to severe hepatic impairment.</w:t>
      </w:r>
    </w:p>
    <w:p w14:paraId="17B69937" w14:textId="68F75B73" w:rsidR="006A0AD4" w:rsidRDefault="006A0AD4" w:rsidP="006A0AD4">
      <w:pPr>
        <w:pStyle w:val="Heading5"/>
      </w:pPr>
      <w:r>
        <w:t>Pop</w:t>
      </w:r>
      <w:r w:rsidR="00620F7A">
        <w:t xml:space="preserve">ulation </w:t>
      </w:r>
      <w:r>
        <w:t>PK analysis</w:t>
      </w:r>
    </w:p>
    <w:p w14:paraId="53209537" w14:textId="5268A26F" w:rsidR="006A0AD4" w:rsidRDefault="00620F7A" w:rsidP="00115C41">
      <w:pPr>
        <w:pStyle w:val="ListBullet"/>
      </w:pPr>
      <w:r>
        <w:t xml:space="preserve">A three compartment model with first </w:t>
      </w:r>
      <w:r w:rsidR="006A0AD4">
        <w:t xml:space="preserve">order elimination described the disposition of </w:t>
      </w:r>
      <w:r w:rsidR="00246DC3">
        <w:t>buprenorphine</w:t>
      </w:r>
      <w:r w:rsidR="006A0AD4">
        <w:t xml:space="preserve">. The absorption of SL </w:t>
      </w:r>
      <w:r w:rsidR="00246DC3">
        <w:t>buprenorphine</w:t>
      </w:r>
      <w:r w:rsidR="006A0AD4">
        <w:t xml:space="preserve"> was described by two parallel absorption pat</w:t>
      </w:r>
      <w:r>
        <w:t>hways; one with sequential zero</w:t>
      </w:r>
      <w:r w:rsidR="006A0AD4">
        <w:t xml:space="preserve"> and fi</w:t>
      </w:r>
      <w:r>
        <w:t xml:space="preserve">rst order absorption with a lag </w:t>
      </w:r>
      <w:r w:rsidR="006A0AD4">
        <w:t>time, and one with first order absorption. The absorption of SC CAM2038 q1w was described by two parallel absorption pat</w:t>
      </w:r>
      <w:r>
        <w:t>hways; one with sequential zero</w:t>
      </w:r>
      <w:r w:rsidR="006A0AD4">
        <w:t xml:space="preserve"> and first order absorption, and one with first order absorption. The absorption of SC CAM2038 q4w was described by two parallel absorption pathways with first order absorption. Overall, the model predicted that </w:t>
      </w:r>
      <w:r w:rsidR="00246DC3">
        <w:t>buprenorphine</w:t>
      </w:r>
      <w:r w:rsidR="006A0AD4">
        <w:t xml:space="preserve"> clearance increased with body weight and decreased with age. In addition, patients with opioid dependence had a higher central volume of distribution than healthy volunteers. In addition, the fraction of dose going into the faster of the two absorption pathways for CAM2038 q1w was higher in females than in males, and higher in healthy volunteers than in patients with opioid dependence.</w:t>
      </w:r>
    </w:p>
    <w:p w14:paraId="24094EB3" w14:textId="2773A125" w:rsidR="006A0AD4" w:rsidRDefault="0005111D" w:rsidP="00115C41">
      <w:pPr>
        <w:pStyle w:val="ListBullet"/>
      </w:pPr>
      <w:r>
        <w:lastRenderedPageBreak/>
        <w:t xml:space="preserve">Body weight, sex, age, race, population </w:t>
      </w:r>
      <w:r w:rsidR="006A0AD4">
        <w:t>and creatinine clearance had no effect on the model parameters.</w:t>
      </w:r>
    </w:p>
    <w:p w14:paraId="141CFC33" w14:textId="49042256" w:rsidR="006A0AD4" w:rsidRDefault="00777700" w:rsidP="006A0AD4">
      <w:pPr>
        <w:pStyle w:val="Heading5"/>
      </w:pPr>
      <w:r>
        <w:t>Drug-</w:t>
      </w:r>
      <w:r w:rsidR="00620F7A">
        <w:t>drug interactions</w:t>
      </w:r>
    </w:p>
    <w:p w14:paraId="3703FBD5" w14:textId="3EFE7F16" w:rsidR="006A0AD4" w:rsidRDefault="006A0AD4" w:rsidP="00115C41">
      <w:r>
        <w:t xml:space="preserve">Previous studies have identified that adverse </w:t>
      </w:r>
      <w:r w:rsidR="00F059E0">
        <w:t>drug-drug interactions (</w:t>
      </w:r>
      <w:r>
        <w:t>DDI</w:t>
      </w:r>
      <w:r w:rsidR="00F059E0">
        <w:t>)</w:t>
      </w:r>
      <w:r>
        <w:t xml:space="preserve"> exist between </w:t>
      </w:r>
      <w:r w:rsidR="00246DC3">
        <w:t>buprenorphine</w:t>
      </w:r>
      <w:r>
        <w:t xml:space="preserve"> and the following drugs when co-administered: benzodiazepines, alcohol, central nervous system depressants, naltrexone, other opioid analgesics, CYP3A4 inhibitors and inducers, monoamine oxidase inhibitors. In addition, </w:t>
      </w:r>
      <w:r w:rsidR="00246DC3">
        <w:t>buprenorphine</w:t>
      </w:r>
      <w:r>
        <w:t xml:space="preserve"> has been shown to reverse the effects of peri-operatively administered opioids and may precipitate withdrawal symptoms in opioid dependent patients.</w:t>
      </w:r>
    </w:p>
    <w:p w14:paraId="4A236E25" w14:textId="1244C481" w:rsidR="00507951" w:rsidRDefault="006A0AD4" w:rsidP="00A37E5F">
      <w:pPr>
        <w:pStyle w:val="Heading5"/>
      </w:pPr>
      <w:r>
        <w:t>Limitations of PK studies</w:t>
      </w:r>
    </w:p>
    <w:p w14:paraId="0500181A" w14:textId="0C361AC5" w:rsidR="006A0AD4" w:rsidRPr="00500337" w:rsidRDefault="00A920F8" w:rsidP="00777700">
      <w:pPr>
        <w:pStyle w:val="ListBullet"/>
      </w:pPr>
      <w:r>
        <w:t xml:space="preserve">The PKs of the proposed 160 mg dose of CAM2038 q4w were not examined in healthy subjects and no explanation or justification is provided for the use of the 160 mg dose of CAM2038 q4w in Study HS-15-549. </w:t>
      </w:r>
      <w:r w:rsidR="006A0AD4">
        <w:t>No clinical trials have examin</w:t>
      </w:r>
      <w:r w:rsidR="00777700">
        <w:t>ed CAM2038 DDIs and its use in special populations.</w:t>
      </w:r>
    </w:p>
    <w:p w14:paraId="6FA961DA" w14:textId="77777777" w:rsidR="008E7846" w:rsidRDefault="008E7846" w:rsidP="008E7846">
      <w:pPr>
        <w:pStyle w:val="Heading3"/>
      </w:pPr>
      <w:bookmarkStart w:id="82" w:name="_Toc196046481"/>
      <w:bookmarkStart w:id="83" w:name="_Toc247691520"/>
      <w:bookmarkStart w:id="84" w:name="_Toc314842503"/>
      <w:bookmarkStart w:id="85" w:name="_Toc24539929"/>
      <w:r w:rsidRPr="00254787">
        <w:t>Pharmacodynamics</w:t>
      </w:r>
      <w:bookmarkEnd w:id="69"/>
      <w:bookmarkEnd w:id="82"/>
      <w:bookmarkEnd w:id="83"/>
      <w:bookmarkEnd w:id="84"/>
      <w:bookmarkEnd w:id="85"/>
    </w:p>
    <w:p w14:paraId="501BE22E" w14:textId="77777777" w:rsidR="00605AD4" w:rsidRDefault="00605AD4" w:rsidP="00605AD4">
      <w:pPr>
        <w:pStyle w:val="Heading4"/>
      </w:pPr>
      <w:r>
        <w:t xml:space="preserve">Studies providing </w:t>
      </w:r>
      <w:proofErr w:type="spellStart"/>
      <w:r>
        <w:t>pharmacodynamic</w:t>
      </w:r>
      <w:proofErr w:type="spellEnd"/>
      <w:r>
        <w:t xml:space="preserve"> data</w:t>
      </w:r>
    </w:p>
    <w:p w14:paraId="58C0CD76" w14:textId="1678CF09" w:rsidR="00500337" w:rsidRPr="00500337" w:rsidRDefault="00115C41" w:rsidP="00500337">
      <w:r w:rsidRPr="00115C41">
        <w:t>All of the PD studies presented in support of the current application also contain PK data and are therefore summarised in</w:t>
      </w:r>
      <w:r w:rsidR="00777700">
        <w:t xml:space="preserve"> </w:t>
      </w:r>
      <w:r w:rsidR="00777700">
        <w:fldChar w:fldCharType="begin"/>
      </w:r>
      <w:r w:rsidR="00777700">
        <w:instrText xml:space="preserve"> REF _Ref18484284 \h </w:instrText>
      </w:r>
      <w:r w:rsidR="00777700">
        <w:fldChar w:fldCharType="separate"/>
      </w:r>
      <w:r w:rsidR="00777700">
        <w:t xml:space="preserve">Table </w:t>
      </w:r>
      <w:r w:rsidR="00777700">
        <w:rPr>
          <w:noProof/>
        </w:rPr>
        <w:t>2</w:t>
      </w:r>
      <w:r w:rsidR="00777700">
        <w:fldChar w:fldCharType="end"/>
      </w:r>
      <w:r w:rsidRPr="00115C41">
        <w:t>.</w:t>
      </w:r>
    </w:p>
    <w:p w14:paraId="7796FE08" w14:textId="77777777" w:rsidR="00605AD4" w:rsidRDefault="00605AD4" w:rsidP="00605AD4">
      <w:pPr>
        <w:pStyle w:val="Heading4"/>
      </w:pPr>
      <w:r>
        <w:t>Evaluator’s conclusions on pharmacodynamics</w:t>
      </w:r>
    </w:p>
    <w:p w14:paraId="769C74C2" w14:textId="0EEBB2C8" w:rsidR="00115C41" w:rsidRDefault="00B9071E" w:rsidP="00115C41">
      <w:proofErr w:type="spellStart"/>
      <w:r>
        <w:t>Buvidal</w:t>
      </w:r>
      <w:proofErr w:type="spellEnd"/>
      <w:r>
        <w:t xml:space="preserve"> </w:t>
      </w:r>
      <w:r w:rsidR="00115C41">
        <w:t>is an opioid partial agonist/antagonist that binds to the μ and ƙ opioid receptors of the brain. It act</w:t>
      </w:r>
      <w:r w:rsidR="00777700">
        <w:t xml:space="preserve">s as a partial agonist at the μ </w:t>
      </w:r>
      <w:r w:rsidR="00115C41">
        <w:t>opiate receptor with high affinity to this receptor type</w:t>
      </w:r>
      <w:r w:rsidR="00777700">
        <w:t xml:space="preserve"> and as an antagonist at the ƙ </w:t>
      </w:r>
      <w:r w:rsidR="00115C41">
        <w:t>receptor.</w:t>
      </w:r>
    </w:p>
    <w:p w14:paraId="6B38406B" w14:textId="77777777" w:rsidR="00115C41" w:rsidRDefault="00115C41" w:rsidP="00115C41">
      <w:pPr>
        <w:pStyle w:val="Heading5"/>
      </w:pPr>
      <w:r>
        <w:t>Primary PD effects</w:t>
      </w:r>
    </w:p>
    <w:p w14:paraId="680C3225" w14:textId="11DC84FA" w:rsidR="00115C41" w:rsidRDefault="00115C41" w:rsidP="00115C41">
      <w:pPr>
        <w:pStyle w:val="ListBullet"/>
      </w:pPr>
      <w:r>
        <w:t xml:space="preserve">Following administration of 7.5 mg to 30 mg CAM2038 q1w to patients with opioid dependence, Baseline, median </w:t>
      </w:r>
      <w:r w:rsidR="00777700">
        <w:t>Subjective Opiate Withdrawal Scale (</w:t>
      </w:r>
      <w:r>
        <w:t>SOWS</w:t>
      </w:r>
      <w:r w:rsidR="00777700">
        <w:t>)</w:t>
      </w:r>
      <w:r>
        <w:t xml:space="preserve"> total scores, which ranged between 6.0 and 7.5, fell to a median of 1.0 at all doses. On Day 1 and Day 2 following dosing, median SOWS total scores were 0.0 for patients who had received either 7.5 mg, 22.5 mg or 30 mg </w:t>
      </w:r>
      <w:r w:rsidR="00246DC3">
        <w:t>buprenorphine</w:t>
      </w:r>
      <w:r>
        <w:t xml:space="preserve"> and were 0.5 for patients who received 15 mg </w:t>
      </w:r>
      <w:r w:rsidR="00246DC3">
        <w:t>buprenorphine</w:t>
      </w:r>
      <w:r>
        <w:t>. Median decreases from Baseline in SOWS total scores were still observed until Day 7 in patients who</w:t>
      </w:r>
      <w:r w:rsidR="00777700">
        <w:t xml:space="preserve"> received 7.5 mg, 15 mg or 22.5 </w:t>
      </w:r>
      <w:r>
        <w:t>mg.</w:t>
      </w:r>
    </w:p>
    <w:p w14:paraId="36EC9739" w14:textId="21255F4E" w:rsidR="00885CE7" w:rsidRDefault="00115C41" w:rsidP="00115C41">
      <w:pPr>
        <w:pStyle w:val="ListBullet"/>
      </w:pPr>
      <w:r>
        <w:t xml:space="preserve">Following administration of 7.5 mg to 30 mg CAM2038 q1w to patients with opioid dependence, Baseline, median </w:t>
      </w:r>
      <w:r w:rsidR="00777700">
        <w:t>Clinical Opiate Withdrawal Scale (</w:t>
      </w:r>
      <w:r>
        <w:t>COWS</w:t>
      </w:r>
      <w:r w:rsidR="00777700">
        <w:t>)</w:t>
      </w:r>
      <w:r>
        <w:t xml:space="preserve"> total scores, which ranged between 2.0 and 2.5, fell to a median of 0.0 in patients who received either 7.5 mg, 22.5 mg or 30 mg </w:t>
      </w:r>
      <w:r w:rsidR="00246DC3">
        <w:t>buprenorphine</w:t>
      </w:r>
      <w:r>
        <w:t xml:space="preserve"> and </w:t>
      </w:r>
      <w:r w:rsidR="00777700">
        <w:t>0.5 in patients administered 15 </w:t>
      </w:r>
      <w:r>
        <w:t>mg. Median COWS total scores did not rise above 1.5 up to and including Day 7</w:t>
      </w:r>
      <w:r w:rsidR="00885CE7">
        <w:t>.</w:t>
      </w:r>
    </w:p>
    <w:p w14:paraId="2D72411F" w14:textId="18FBEEE9" w:rsidR="00115C41" w:rsidRDefault="00115C41" w:rsidP="00115C41">
      <w:pPr>
        <w:pStyle w:val="ListBullet"/>
      </w:pPr>
      <w:r>
        <w:t xml:space="preserve">The most frequent time from dosing with trial medication to first intake of </w:t>
      </w:r>
      <w:r w:rsidR="00246DC3">
        <w:t>buprenorphine</w:t>
      </w:r>
      <w:r w:rsidR="00777700">
        <w:t xml:space="preserve"> rescue medication </w:t>
      </w:r>
      <w:r>
        <w:t>was 10 days, ranging from 4 days. Codeine was taken by 16 patients (38.1%) overall on Day 1, falling to 3 patients overall on Day 2. Less than half of the patients took codeine rescue medication before Day 8.</w:t>
      </w:r>
    </w:p>
    <w:p w14:paraId="13390CD2" w14:textId="77777777" w:rsidR="00115C41" w:rsidRDefault="00115C41" w:rsidP="00115C41">
      <w:pPr>
        <w:pStyle w:val="Heading5"/>
      </w:pPr>
      <w:r>
        <w:t>Secondary PD effects</w:t>
      </w:r>
    </w:p>
    <w:p w14:paraId="0EAD7D81" w14:textId="34747808" w:rsidR="00115C41" w:rsidRDefault="00115C41" w:rsidP="00115C41">
      <w:r>
        <w:t xml:space="preserve">Previously submitted studies indicate that </w:t>
      </w:r>
      <w:r w:rsidR="00246DC3">
        <w:t>buprenorphine</w:t>
      </w:r>
      <w:r>
        <w:t xml:space="preserve"> has low physical dependence liability compared to other opioids, it produces only mild signs of </w:t>
      </w:r>
      <w:r w:rsidR="00777700">
        <w:t>central nervous system (</w:t>
      </w:r>
      <w:r>
        <w:t>CNS</w:t>
      </w:r>
      <w:r w:rsidR="00777700">
        <w:t>)</w:t>
      </w:r>
      <w:r>
        <w:t xml:space="preserve"> depression in primates and doses of up to 7mg IV (equivalent to 200</w:t>
      </w:r>
      <w:r w:rsidR="00777700">
        <w:t xml:space="preserve"> </w:t>
      </w:r>
      <w:r>
        <w:t xml:space="preserve">mg morphine) </w:t>
      </w:r>
      <w:r>
        <w:lastRenderedPageBreak/>
        <w:t xml:space="preserve">have no clinically significant respiratory effects. In addition, IV </w:t>
      </w:r>
      <w:r w:rsidR="00246DC3">
        <w:t>buprenorphine</w:t>
      </w:r>
      <w:r>
        <w:t xml:space="preserve"> did not affect systemic or pulmonary arterial blood pressure or heart rate in patients with myocardial infarction and had no effect on cardiac output, mean arterial pressure or peripheral resistance following open heart surgery.</w:t>
      </w:r>
    </w:p>
    <w:p w14:paraId="30B46D98" w14:textId="77777777" w:rsidR="00115C41" w:rsidRDefault="00115C41" w:rsidP="00115C41">
      <w:pPr>
        <w:pStyle w:val="Heading5"/>
      </w:pPr>
      <w:r>
        <w:t>Relationship between PK/PD</w:t>
      </w:r>
    </w:p>
    <w:p w14:paraId="14DD2EBF" w14:textId="03A80438" w:rsidR="00885CE7" w:rsidRDefault="00115C41" w:rsidP="00115C41">
      <w:r>
        <w:t xml:space="preserve">On average, </w:t>
      </w:r>
      <w:r w:rsidR="00246DC3">
        <w:t>buprenorphine</w:t>
      </w:r>
      <w:r>
        <w:t xml:space="preserve"> concentrations as low as ~</w:t>
      </w:r>
      <w:r w:rsidR="00777700">
        <w:t xml:space="preserve"> </w:t>
      </w:r>
      <w:r>
        <w:t xml:space="preserve">1.20 ng/mL were sufficient to block the subjective effects of 18 mg hydromorphone and higher plasma </w:t>
      </w:r>
      <w:r w:rsidR="00246DC3">
        <w:t>buprenorphine</w:t>
      </w:r>
      <w:r>
        <w:t xml:space="preserve"> concentrations were not associated with appreciable increases in blockade </w:t>
      </w:r>
      <w:r w:rsidR="00507951" w:rsidRPr="00507951">
        <w:t>after treatment of 24 or 32 mg CAM2038 q1w</w:t>
      </w:r>
      <w:r w:rsidR="00885CE7">
        <w:t>.</w:t>
      </w:r>
    </w:p>
    <w:p w14:paraId="045716A7" w14:textId="77777777" w:rsidR="00115C41" w:rsidRDefault="00115C41" w:rsidP="00115C41">
      <w:pPr>
        <w:pStyle w:val="Heading5"/>
      </w:pPr>
      <w:r>
        <w:t>Limitations of the PD studies</w:t>
      </w:r>
    </w:p>
    <w:p w14:paraId="1C0CC02A" w14:textId="02D5C214" w:rsidR="00500337" w:rsidRPr="00500337" w:rsidRDefault="00115C41" w:rsidP="00115C41">
      <w:r>
        <w:t xml:space="preserve">No new studies examined </w:t>
      </w:r>
      <w:r w:rsidR="00DA472D">
        <w:t xml:space="preserve">the secondary PD effects of CAM2038 </w:t>
      </w:r>
      <w:r>
        <w:t>or the interaction of CAM2038 with other drugs.</w:t>
      </w:r>
    </w:p>
    <w:p w14:paraId="3034C747" w14:textId="77777777" w:rsidR="008E7846" w:rsidRDefault="00605AD4" w:rsidP="00605AD4">
      <w:pPr>
        <w:pStyle w:val="Heading3"/>
      </w:pPr>
      <w:bookmarkStart w:id="86" w:name="_Toc24539930"/>
      <w:r>
        <w:t>Dosage selection for the pivotal studies</w:t>
      </w:r>
      <w:bookmarkEnd w:id="86"/>
    </w:p>
    <w:p w14:paraId="73CDB539" w14:textId="77777777" w:rsidR="00115C41" w:rsidRDefault="00115C41" w:rsidP="00115C41">
      <w:pPr>
        <w:pStyle w:val="Heading4"/>
      </w:pPr>
      <w:r>
        <w:t>Pharmacokinetics and pharmacodynamics: dose finding studies</w:t>
      </w:r>
    </w:p>
    <w:p w14:paraId="35AE4205" w14:textId="3C43420C" w:rsidR="00885CE7" w:rsidRDefault="00115C41" w:rsidP="00115C41">
      <w:r>
        <w:t xml:space="preserve">The relationship between PKs and PDs of CAM2038 described in Study HS-13-478, indicates that, on average, </w:t>
      </w:r>
      <w:r w:rsidR="00246DC3">
        <w:t>buprenorphine</w:t>
      </w:r>
      <w:r>
        <w:t xml:space="preserve"> concentrations as low as ~</w:t>
      </w:r>
      <w:r w:rsidR="00777700">
        <w:t xml:space="preserve"> </w:t>
      </w:r>
      <w:r>
        <w:t xml:space="preserve">1.20 ng/mL were sufficient to block the subjective effects of 18 mg hydromorphone and that higher plasma </w:t>
      </w:r>
      <w:r w:rsidR="00246DC3">
        <w:t>buprenorphine</w:t>
      </w:r>
      <w:r>
        <w:t xml:space="preserve"> concentrations were not associated with appreciable increases in blockade. In addition, there was little difference in the improvements in SOWS and COWS experienced by opioid dependent patients who received a range of CAM2038 doses. Overall, these findings suggest that doses of CAM2038 should be administered that result in plasma </w:t>
      </w:r>
      <w:r w:rsidR="00246DC3">
        <w:t>buprenorphine</w:t>
      </w:r>
      <w:r>
        <w:t xml:space="preserve"> concentrations of approximately 1.20 mg/</w:t>
      </w:r>
      <w:proofErr w:type="spellStart"/>
      <w:r>
        <w:t>mL</w:t>
      </w:r>
      <w:r w:rsidR="00885CE7">
        <w:t>.</w:t>
      </w:r>
      <w:proofErr w:type="spellEnd"/>
    </w:p>
    <w:p w14:paraId="79278C76" w14:textId="77777777" w:rsidR="00115C41" w:rsidRDefault="00115C41" w:rsidP="00115C41">
      <w:pPr>
        <w:pStyle w:val="Heading4"/>
      </w:pPr>
      <w:r>
        <w:t>Phase II dose finding studies</w:t>
      </w:r>
    </w:p>
    <w:p w14:paraId="7D44721D" w14:textId="7D278F9E" w:rsidR="00885CE7" w:rsidRDefault="00777700" w:rsidP="00115C41">
      <w:r>
        <w:t>One Phase I/II</w:t>
      </w:r>
      <w:r w:rsidR="00115C41">
        <w:t xml:space="preserve"> study (</w:t>
      </w:r>
      <w:r>
        <w:t>Study HS-07-307</w:t>
      </w:r>
      <w:r w:rsidR="00115C41">
        <w:t>) and two Phase</w:t>
      </w:r>
      <w:r>
        <w:t xml:space="preserve"> II</w:t>
      </w:r>
      <w:r w:rsidR="00115C41">
        <w:t xml:space="preserve"> studies (</w:t>
      </w:r>
      <w:r>
        <w:t>Studies HS-15-549 and HS-13-478</w:t>
      </w:r>
      <w:r w:rsidR="00115C41">
        <w:t xml:space="preserve">) provided information on the PKs of CAM2038 following administration of range of single and multiple doses at a variety of injection sites in the target population. The results indicated that following a single administration of CAM2038 q1w ranging from 7.5 mg to 30 mg via deep SC buttock injection, </w:t>
      </w:r>
      <w:r w:rsidR="00246DC3">
        <w:t>buprenorphine</w:t>
      </w:r>
      <w:r w:rsidR="00115C41">
        <w:t xml:space="preserve"> </w:t>
      </w:r>
      <w:proofErr w:type="spellStart"/>
      <w:r w:rsidR="00115C41">
        <w:t>C</w:t>
      </w:r>
      <w:r w:rsidR="00115C41" w:rsidRPr="00777700">
        <w:rPr>
          <w:vertAlign w:val="subscript"/>
        </w:rPr>
        <w:t>max</w:t>
      </w:r>
      <w:proofErr w:type="spellEnd"/>
      <w:r w:rsidR="00115C41">
        <w:t xml:space="preserve"> and AUC</w:t>
      </w:r>
      <w:r w:rsidR="00115C41" w:rsidRPr="00777700">
        <w:rPr>
          <w:vertAlign w:val="subscript"/>
        </w:rPr>
        <w:t xml:space="preserve">0-7d </w:t>
      </w:r>
      <w:r w:rsidR="00115C41">
        <w:t xml:space="preserve">increased proportionally with dose. In addition, following weekly administration of 32 mg SC CAM2038 q1w in the buttock, abdomen, thigh or upper arm, similar </w:t>
      </w:r>
      <w:r w:rsidR="00246DC3">
        <w:t>buprenorphine</w:t>
      </w:r>
      <w:r>
        <w:t xml:space="preserve"> plasma concentration </w:t>
      </w:r>
      <w:r w:rsidR="00115C41">
        <w:t xml:space="preserve">time profiles and </w:t>
      </w:r>
      <w:r w:rsidR="00246DC3">
        <w:t>buprenorphine</w:t>
      </w:r>
      <w:r w:rsidR="00115C41">
        <w:t xml:space="preserve"> </w:t>
      </w:r>
      <w:proofErr w:type="spellStart"/>
      <w:r w:rsidR="00115C41">
        <w:t>C</w:t>
      </w:r>
      <w:r w:rsidR="00115C41" w:rsidRPr="00777700">
        <w:rPr>
          <w:vertAlign w:val="subscript"/>
        </w:rPr>
        <w:t>ss,max</w:t>
      </w:r>
      <w:proofErr w:type="spellEnd"/>
      <w:r w:rsidR="00115C41">
        <w:t xml:space="preserve">, </w:t>
      </w:r>
      <w:proofErr w:type="spellStart"/>
      <w:r w:rsidR="00115C41">
        <w:t>AUC</w:t>
      </w:r>
      <w:r w:rsidR="00115C41" w:rsidRPr="00777700">
        <w:rPr>
          <w:vertAlign w:val="subscript"/>
        </w:rPr>
        <w:t>ss</w:t>
      </w:r>
      <w:proofErr w:type="spellEnd"/>
      <w:r w:rsidR="00115C41">
        <w:t xml:space="preserve">, and </w:t>
      </w:r>
      <w:proofErr w:type="spellStart"/>
      <w:r w:rsidR="00115C41">
        <w:t>C</w:t>
      </w:r>
      <w:r w:rsidR="00115C41" w:rsidRPr="00777700">
        <w:rPr>
          <w:vertAlign w:val="subscript"/>
        </w:rPr>
        <w:t>ss,trough</w:t>
      </w:r>
      <w:proofErr w:type="spellEnd"/>
      <w:r w:rsidR="00115C41" w:rsidRPr="00777700">
        <w:rPr>
          <w:vertAlign w:val="subscript"/>
        </w:rPr>
        <w:t xml:space="preserve"> </w:t>
      </w:r>
      <w:r w:rsidR="00115C41">
        <w:t xml:space="preserve">values, were observed for all </w:t>
      </w:r>
      <w:r>
        <w:t xml:space="preserve">administration sites and steady </w:t>
      </w:r>
      <w:r w:rsidR="00115C41">
        <w:t xml:space="preserve">state </w:t>
      </w:r>
      <w:r w:rsidR="00246DC3">
        <w:t>buprenorphine</w:t>
      </w:r>
      <w:r w:rsidR="00115C41">
        <w:t xml:space="preserve"> plasma levels were reached </w:t>
      </w:r>
      <w:r>
        <w:t>by the fourth</w:t>
      </w:r>
      <w:r w:rsidR="00115C41">
        <w:t xml:space="preserve"> dose</w:t>
      </w:r>
      <w:r w:rsidR="00885CE7">
        <w:t>.</w:t>
      </w:r>
    </w:p>
    <w:p w14:paraId="45DACE6D" w14:textId="1EAD4A70" w:rsidR="00115C41" w:rsidRDefault="00115C41" w:rsidP="005568C3">
      <w:r>
        <w:t>Similarly, stea</w:t>
      </w:r>
      <w:r w:rsidR="00777700">
        <w:t>dy state was achieved at the fourth</w:t>
      </w:r>
      <w:r>
        <w:t xml:space="preserve"> repeated monthly dose of 128 mg and 160 mg CAM2038 q4w and </w:t>
      </w:r>
      <w:proofErr w:type="spellStart"/>
      <w:r>
        <w:t>nor</w:t>
      </w:r>
      <w:r w:rsidR="00246DC3">
        <w:t>buprenorphine</w:t>
      </w:r>
      <w:proofErr w:type="spellEnd"/>
      <w:r>
        <w:t xml:space="preserve"> </w:t>
      </w:r>
      <w:proofErr w:type="spellStart"/>
      <w:r>
        <w:t>C</w:t>
      </w:r>
      <w:r w:rsidRPr="00777700">
        <w:rPr>
          <w:vertAlign w:val="subscript"/>
        </w:rPr>
        <w:t>ss,max</w:t>
      </w:r>
      <w:proofErr w:type="spellEnd"/>
      <w:r w:rsidRPr="00777700">
        <w:rPr>
          <w:vertAlign w:val="subscript"/>
        </w:rPr>
        <w:t xml:space="preserve"> </w:t>
      </w:r>
      <w:r>
        <w:t xml:space="preserve">and </w:t>
      </w:r>
      <w:proofErr w:type="spellStart"/>
      <w:r>
        <w:t>AUC</w:t>
      </w:r>
      <w:r w:rsidRPr="00777700">
        <w:rPr>
          <w:vertAlign w:val="subscript"/>
        </w:rPr>
        <w:t>ss</w:t>
      </w:r>
      <w:proofErr w:type="spellEnd"/>
      <w:r w:rsidR="00777700">
        <w:t xml:space="preserve"> values were 2 to </w:t>
      </w:r>
      <w:r>
        <w:t xml:space="preserve">5 times lower than corresponding </w:t>
      </w:r>
      <w:r w:rsidR="00246DC3">
        <w:t>buprenorphine</w:t>
      </w:r>
      <w:r>
        <w:t xml:space="preserve"> values after administration of CAM2038 q1w and CAM2038 q4w.</w:t>
      </w:r>
      <w:r w:rsidR="00A01EAF">
        <w:t xml:space="preserve"> </w:t>
      </w:r>
      <w:r w:rsidR="005568C3">
        <w:t>It should be noted that no justification is provided for the use of the 160 mg CAM2038 q4w dose in Study HS-15-549.</w:t>
      </w:r>
    </w:p>
    <w:p w14:paraId="762E0A3B" w14:textId="77777777" w:rsidR="00115C41" w:rsidRDefault="00115C41" w:rsidP="005568C3">
      <w:pPr>
        <w:pStyle w:val="Heading4"/>
      </w:pPr>
      <w:r>
        <w:t>Phase III pivotal studies investigating more than one dose regimen</w:t>
      </w:r>
    </w:p>
    <w:p w14:paraId="5F4B6315" w14:textId="77777777" w:rsidR="00885CE7" w:rsidRDefault="00115C41" w:rsidP="005568C3">
      <w:r>
        <w:t>Not applicable. CAM2038 is titrated to effect</w:t>
      </w:r>
      <w:r w:rsidR="00885CE7">
        <w:t>.</w:t>
      </w:r>
    </w:p>
    <w:p w14:paraId="6A24FAF6" w14:textId="77777777" w:rsidR="00115C41" w:rsidRDefault="00115C41" w:rsidP="00115C41">
      <w:pPr>
        <w:pStyle w:val="Heading4"/>
      </w:pPr>
      <w:r>
        <w:lastRenderedPageBreak/>
        <w:t>Evaluator’s conclusions on dose finding for the pivotal studies</w:t>
      </w:r>
    </w:p>
    <w:p w14:paraId="0AD97A89" w14:textId="338F88E1" w:rsidR="00115C41" w:rsidRPr="00115C41" w:rsidRDefault="005568C3" w:rsidP="00115C41">
      <w:r>
        <w:t>It should be noted that the PKs of the proposed 160 mg dose of CAM2038 q4w were not examined in healthy subjects and no explanation or justification is provided for the use of the 160 mg dose of CAM2038 q4w in Study HS-15-549.</w:t>
      </w:r>
      <w:r w:rsidR="00115C41">
        <w:t xml:space="preserve">Given that: the existing </w:t>
      </w:r>
      <w:r w:rsidR="00777700">
        <w:t>United States Prescribing Information (</w:t>
      </w:r>
      <w:r w:rsidR="00115C41">
        <w:t>USPI</w:t>
      </w:r>
      <w:r w:rsidR="00777700">
        <w:t>)</w:t>
      </w:r>
      <w:r w:rsidR="00115C41">
        <w:t xml:space="preserve"> for </w:t>
      </w:r>
      <w:proofErr w:type="spellStart"/>
      <w:r w:rsidR="00777700">
        <w:t>Subutex</w:t>
      </w:r>
      <w:proofErr w:type="spellEnd"/>
      <w:r w:rsidR="00115C41">
        <w:t xml:space="preserve"> SL tablets indicates that the recommended target dosage of </w:t>
      </w:r>
      <w:proofErr w:type="spellStart"/>
      <w:r w:rsidR="00242EFA">
        <w:t>Subutex</w:t>
      </w:r>
      <w:proofErr w:type="spellEnd"/>
      <w:r w:rsidR="00115C41">
        <w:t xml:space="preserve"> is 16 mg as a single daily dose and that dosages higher than 24 mg have not been demonstrated to provide any clinical advantage; the BA of</w:t>
      </w:r>
      <w:r w:rsidR="008E73A1">
        <w:t xml:space="preserve"> buprenorphine for</w:t>
      </w:r>
      <w:r w:rsidR="00115C41">
        <w:t xml:space="preserve"> CAM2038 is higher than that of SL </w:t>
      </w:r>
      <w:r w:rsidR="00246DC3">
        <w:t>buprenorphine</w:t>
      </w:r>
      <w:r w:rsidR="00115C41">
        <w:t>; and that 4 times the highest weekly proposed dose of 32 mg is equivalent to 128 mg dose of CAM2038 q4w, it is unclear why the 160 mg dose of CAM2038 q4w dose is needed or being considered.</w:t>
      </w:r>
    </w:p>
    <w:p w14:paraId="543E981C" w14:textId="77777777" w:rsidR="008E7846" w:rsidRPr="00254787" w:rsidRDefault="008E7846" w:rsidP="008E7846">
      <w:pPr>
        <w:pStyle w:val="Heading3"/>
      </w:pPr>
      <w:bookmarkStart w:id="87" w:name="_Toc163441372"/>
      <w:bookmarkStart w:id="88" w:name="_Toc196046485"/>
      <w:bookmarkStart w:id="89" w:name="_Toc247691521"/>
      <w:bookmarkStart w:id="90" w:name="_Toc314842504"/>
      <w:bookmarkStart w:id="91" w:name="_Toc24539931"/>
      <w:r w:rsidRPr="00254787">
        <w:t>Efficacy</w:t>
      </w:r>
      <w:bookmarkEnd w:id="87"/>
      <w:bookmarkEnd w:id="88"/>
      <w:bookmarkEnd w:id="89"/>
      <w:bookmarkEnd w:id="90"/>
      <w:bookmarkEnd w:id="91"/>
    </w:p>
    <w:p w14:paraId="005E48CF" w14:textId="77777777" w:rsidR="00605AD4" w:rsidRDefault="00605AD4" w:rsidP="00605AD4">
      <w:pPr>
        <w:pStyle w:val="Heading4"/>
      </w:pPr>
      <w:bookmarkStart w:id="92" w:name="_Toc184439992"/>
      <w:bookmarkStart w:id="93" w:name="_Toc184440279"/>
      <w:bookmarkStart w:id="94" w:name="_Toc184444657"/>
      <w:bookmarkStart w:id="95" w:name="_Toc196046487"/>
      <w:r>
        <w:t>Studies providing efficacy data</w:t>
      </w:r>
    </w:p>
    <w:p w14:paraId="3C1BF07C" w14:textId="78E754FA" w:rsidR="00DA3A91" w:rsidRDefault="0002516D" w:rsidP="00DA3A91">
      <w:pPr>
        <w:pStyle w:val="ListBullet"/>
      </w:pPr>
      <w:r>
        <w:t xml:space="preserve">Study </w:t>
      </w:r>
      <w:r w:rsidR="00DA3A91">
        <w:t xml:space="preserve">HS-11-421: </w:t>
      </w:r>
      <w:r>
        <w:t>a</w:t>
      </w:r>
      <w:r w:rsidR="00DA3A91">
        <w:t xml:space="preserve"> randomised, controlled 6 month trial of efficacy and safety in subjects with opioid dependence</w:t>
      </w:r>
      <w:r w:rsidR="00242EFA">
        <w:t>.</w:t>
      </w:r>
    </w:p>
    <w:p w14:paraId="16E5A33C" w14:textId="0E984150" w:rsidR="00500337" w:rsidRPr="00500337" w:rsidRDefault="0002516D" w:rsidP="00DA3A91">
      <w:pPr>
        <w:pStyle w:val="ListBullet"/>
      </w:pPr>
      <w:r>
        <w:t xml:space="preserve">Study </w:t>
      </w:r>
      <w:r w:rsidR="00242EFA">
        <w:t xml:space="preserve">HS-14-499: </w:t>
      </w:r>
      <w:r>
        <w:t>a</w:t>
      </w:r>
      <w:r w:rsidR="00242EFA">
        <w:t xml:space="preserve">n open </w:t>
      </w:r>
      <w:r w:rsidR="00DA3A91">
        <w:t>label, 12 month study of safety and tolerability in subjects with opioid dependence</w:t>
      </w:r>
      <w:r w:rsidR="00242EFA">
        <w:t>.</w:t>
      </w:r>
    </w:p>
    <w:p w14:paraId="02B40307" w14:textId="77777777" w:rsidR="008E7846" w:rsidRDefault="00605AD4" w:rsidP="00605AD4">
      <w:pPr>
        <w:pStyle w:val="Heading4"/>
      </w:pPr>
      <w:r>
        <w:t>Evaluator’s conclusions on efficacy</w:t>
      </w:r>
    </w:p>
    <w:p w14:paraId="40DA220D" w14:textId="6BD403FD" w:rsidR="00242EFA" w:rsidRDefault="00DA3A91" w:rsidP="00DA3A91">
      <w:pPr>
        <w:rPr>
          <w:lang w:eastAsia="ja-JP"/>
        </w:rPr>
      </w:pPr>
      <w:r>
        <w:rPr>
          <w:lang w:eastAsia="ja-JP"/>
        </w:rPr>
        <w:t>A single pivotal efficacy study was submitted and th</w:t>
      </w:r>
      <w:r w:rsidR="00242EFA">
        <w:rPr>
          <w:lang w:eastAsia="ja-JP"/>
        </w:rPr>
        <w:t>is clearly demonstrated the non</w:t>
      </w:r>
      <w:r w:rsidR="00242EFA">
        <w:rPr>
          <w:lang w:eastAsia="ja-JP"/>
        </w:rPr>
        <w:noBreakHyphen/>
      </w:r>
      <w:r>
        <w:rPr>
          <w:lang w:eastAsia="ja-JP"/>
        </w:rPr>
        <w:t xml:space="preserve">inferiority of CAM2038 compared with SL </w:t>
      </w:r>
      <w:r w:rsidR="00246DC3">
        <w:rPr>
          <w:lang w:eastAsia="ja-JP"/>
        </w:rPr>
        <w:t>buprenorphine</w:t>
      </w:r>
      <w:r w:rsidR="00242EFA">
        <w:rPr>
          <w:lang w:eastAsia="ja-JP"/>
        </w:rPr>
        <w:t>/naloxone</w:t>
      </w:r>
      <w:r>
        <w:rPr>
          <w:lang w:eastAsia="ja-JP"/>
        </w:rPr>
        <w:t>.</w:t>
      </w:r>
    </w:p>
    <w:p w14:paraId="245198E7" w14:textId="31C0C52B" w:rsidR="00242EFA" w:rsidRDefault="00242EFA" w:rsidP="00242EFA">
      <w:pPr>
        <w:rPr>
          <w:lang w:eastAsia="ja-JP"/>
        </w:rPr>
      </w:pPr>
      <w:r>
        <w:rPr>
          <w:lang w:eastAsia="ja-JP"/>
        </w:rPr>
        <w:t xml:space="preserve">The primary objective of this pivotal efficacy study was achieved. The study was carefully designed and conducted, and the choice of active comparator was based on regulatory advice. The study was conducted in the USA where </w:t>
      </w:r>
      <w:proofErr w:type="spellStart"/>
      <w:r>
        <w:rPr>
          <w:lang w:eastAsia="ja-JP"/>
        </w:rPr>
        <w:t>Subutex</w:t>
      </w:r>
      <w:proofErr w:type="spellEnd"/>
      <w:r>
        <w:rPr>
          <w:lang w:eastAsia="ja-JP"/>
        </w:rPr>
        <w:t xml:space="preserve"> SL (buprenorphine) is no longer a</w:t>
      </w:r>
      <w:r w:rsidR="00A01EAF">
        <w:rPr>
          <w:lang w:eastAsia="ja-JP"/>
        </w:rPr>
        <w:t xml:space="preserve">vailable. However, </w:t>
      </w:r>
      <w:proofErr w:type="spellStart"/>
      <w:r w:rsidR="00A01EAF">
        <w:rPr>
          <w:lang w:eastAsia="ja-JP"/>
        </w:rPr>
        <w:t>Suboxone</w:t>
      </w:r>
      <w:proofErr w:type="spellEnd"/>
      <w:r w:rsidR="00A01EAF">
        <w:rPr>
          <w:lang w:eastAsia="ja-JP"/>
        </w:rPr>
        <w:t xml:space="preserve"> (or</w:t>
      </w:r>
      <w:r w:rsidR="0002516D">
        <w:rPr>
          <w:lang w:eastAsia="ja-JP"/>
        </w:rPr>
        <w:t xml:space="preserve"> in the </w:t>
      </w:r>
      <w:r>
        <w:rPr>
          <w:lang w:eastAsia="ja-JP"/>
        </w:rPr>
        <w:t>US</w:t>
      </w:r>
      <w:r w:rsidR="0002516D">
        <w:rPr>
          <w:lang w:eastAsia="ja-JP"/>
        </w:rPr>
        <w:t>,</w:t>
      </w:r>
      <w:r>
        <w:rPr>
          <w:lang w:eastAsia="ja-JP"/>
        </w:rPr>
        <w:t xml:space="preserve"> </w:t>
      </w:r>
      <w:proofErr w:type="spellStart"/>
      <w:r>
        <w:rPr>
          <w:lang w:eastAsia="ja-JP"/>
        </w:rPr>
        <w:t>Amneal</w:t>
      </w:r>
      <w:r w:rsidR="0002516D">
        <w:rPr>
          <w:lang w:eastAsia="ja-JP"/>
        </w:rPr>
        <w:t>’s</w:t>
      </w:r>
      <w:proofErr w:type="spellEnd"/>
      <w:r>
        <w:rPr>
          <w:lang w:eastAsia="ja-JP"/>
        </w:rPr>
        <w:t xml:space="preserve"> generic buprenorphine/naloxone) is considered standard of care in the USA and by the CHMP. The different primary endpoints mandated by the FDA and EMA were both achieved. The results clearly confirmed the non-inferiority of CAM2038 compared with SL buprenorphine/naloxone for reduction in illicit opioid use, reduction in withdrawal symptoms, and reduction in cravings.</w:t>
      </w:r>
    </w:p>
    <w:p w14:paraId="6EC2156F" w14:textId="54267570" w:rsidR="00242EFA" w:rsidRDefault="00242EFA" w:rsidP="00242EFA">
      <w:pPr>
        <w:rPr>
          <w:lang w:eastAsia="ja-JP"/>
        </w:rPr>
      </w:pPr>
      <w:r>
        <w:rPr>
          <w:lang w:eastAsia="ja-JP"/>
        </w:rPr>
        <w:t>A total of 428 opioid dependent subjects were randomised 1:1 to receive either SL buprenorphine/naloxone or CAM2038 in a double blind, active control design for a treatment period of 24 weeks. CAM2038 or CAM2038 placebo was given q1w for 12 weeks and q4w for the remaining 12 weeks of the study. Most subjects were White with a history of heroin abuse. Treatment with CAM2038 was demonstrated to be non</w:t>
      </w:r>
      <w:r>
        <w:rPr>
          <w:lang w:eastAsia="ja-JP"/>
        </w:rPr>
        <w:noBreakHyphen/>
        <w:t>inferior to SL buprenorphine/naloxone in two distinct efficacy analyses. For the FDA analysis, the primary efficacy endpoint was response rate (RR). The RR was 14.4% in the SL buprenorphine/naloxone group compared with 17.4% in the CAM2038 group. The treatment benefit in favour of CAM2038 was 3.0% (95% CI: -4.0%, 9.9%; p &lt; 0.001), which was within the pre-defined 10% non-inferiority margin. For the EMA analysis, the primary efficacy endpoint was the percentage of negative urine samples. Using the primary imputation method for missing samples, the least squares (LS) mean was 28.4</w:t>
      </w:r>
      <w:r w:rsidR="00B9071E">
        <w:rPr>
          <w:lang w:eastAsia="ja-JP"/>
        </w:rPr>
        <w:t>%</w:t>
      </w:r>
      <w:r>
        <w:rPr>
          <w:lang w:eastAsia="ja-JP"/>
        </w:rPr>
        <w:t xml:space="preserve"> in the SL buprenorphine/naloxone group compared with 35.1</w:t>
      </w:r>
      <w:r w:rsidR="00B9071E">
        <w:rPr>
          <w:lang w:eastAsia="ja-JP"/>
        </w:rPr>
        <w:t>%</w:t>
      </w:r>
      <w:r>
        <w:rPr>
          <w:lang w:eastAsia="ja-JP"/>
        </w:rPr>
        <w:t xml:space="preserve"> in the CAM2038 group. The treatment benefit in favour of CAM2038 was 6.7</w:t>
      </w:r>
      <w:r w:rsidR="00B9071E">
        <w:rPr>
          <w:lang w:eastAsia="ja-JP"/>
        </w:rPr>
        <w:t>%</w:t>
      </w:r>
      <w:r>
        <w:rPr>
          <w:lang w:eastAsia="ja-JP"/>
        </w:rPr>
        <w:t xml:space="preserve"> (95% CI: -0.1</w:t>
      </w:r>
      <w:r w:rsidR="00B9071E">
        <w:rPr>
          <w:lang w:eastAsia="ja-JP"/>
        </w:rPr>
        <w:t>%</w:t>
      </w:r>
      <w:r>
        <w:rPr>
          <w:lang w:eastAsia="ja-JP"/>
        </w:rPr>
        <w:t>, 13.6</w:t>
      </w:r>
      <w:r w:rsidR="00B9071E">
        <w:rPr>
          <w:lang w:eastAsia="ja-JP"/>
        </w:rPr>
        <w:t>%</w:t>
      </w:r>
      <w:r>
        <w:rPr>
          <w:lang w:eastAsia="ja-JP"/>
        </w:rPr>
        <w:t xml:space="preserve">), well within the non-inferiority margin of -11%. CAM2038 was also non-inferior or statistically superior to SL buprenorphine/naloxone for a range of secondary endpoints, with and without imputation for missing data. Withdrawal signs and symptoms and cravings were rapidly reduced and sustained in each treatment group. The transition from weekly to monthly </w:t>
      </w:r>
      <w:r>
        <w:rPr>
          <w:lang w:eastAsia="ja-JP"/>
        </w:rPr>
        <w:lastRenderedPageBreak/>
        <w:t>CAM2038 injections after 12 weeks treatment did not appear to influence efficacy measures.</w:t>
      </w:r>
    </w:p>
    <w:p w14:paraId="4EE4C8EE" w14:textId="62EC43D1" w:rsidR="00500337" w:rsidRPr="00DA3A91" w:rsidRDefault="00242EFA" w:rsidP="00DA3A91">
      <w:pPr>
        <w:rPr>
          <w:rFonts w:asciiTheme="minorHAnsi" w:hAnsiTheme="minorHAnsi"/>
          <w:sz w:val="24"/>
        </w:rPr>
      </w:pPr>
      <w:r>
        <w:rPr>
          <w:lang w:eastAsia="ja-JP"/>
        </w:rPr>
        <w:t>T</w:t>
      </w:r>
      <w:r w:rsidR="008E61F9">
        <w:rPr>
          <w:lang w:eastAsia="ja-JP"/>
        </w:rPr>
        <w:t>he efficacy data in S</w:t>
      </w:r>
      <w:r w:rsidR="00DA3A91">
        <w:rPr>
          <w:lang w:eastAsia="ja-JP"/>
        </w:rPr>
        <w:t xml:space="preserve">tudy HS-11-421 are consistent with the effects of SL </w:t>
      </w:r>
      <w:r w:rsidR="00246DC3">
        <w:rPr>
          <w:lang w:eastAsia="ja-JP"/>
        </w:rPr>
        <w:t>buprenorphine</w:t>
      </w:r>
      <w:r w:rsidR="00DA3A91">
        <w:rPr>
          <w:lang w:eastAsia="ja-JP"/>
        </w:rPr>
        <w:t>/</w:t>
      </w:r>
      <w:r>
        <w:rPr>
          <w:lang w:eastAsia="ja-JP"/>
        </w:rPr>
        <w:t>naloxone</w:t>
      </w:r>
      <w:r w:rsidR="00DA3A91">
        <w:rPr>
          <w:lang w:eastAsia="ja-JP"/>
        </w:rPr>
        <w:t xml:space="preserve"> and methadone reported in an extensive literature base. Information contained in the proposed </w:t>
      </w:r>
      <w:r>
        <w:rPr>
          <w:lang w:eastAsia="ja-JP"/>
        </w:rPr>
        <w:t>product information (</w:t>
      </w:r>
      <w:r w:rsidR="00DA3A91">
        <w:rPr>
          <w:lang w:eastAsia="ja-JP"/>
        </w:rPr>
        <w:t>PI</w:t>
      </w:r>
      <w:r>
        <w:rPr>
          <w:lang w:eastAsia="ja-JP"/>
        </w:rPr>
        <w:t>)</w:t>
      </w:r>
      <w:r w:rsidR="00DA3A91">
        <w:rPr>
          <w:lang w:eastAsia="ja-JP"/>
        </w:rPr>
        <w:t xml:space="preserve"> is also consistent with the literature base, and no new issues relating to </w:t>
      </w:r>
      <w:r w:rsidR="00246DC3">
        <w:rPr>
          <w:lang w:eastAsia="ja-JP"/>
        </w:rPr>
        <w:t>buprenorphine</w:t>
      </w:r>
      <w:r w:rsidR="00DA3A91">
        <w:rPr>
          <w:lang w:eastAsia="ja-JP"/>
        </w:rPr>
        <w:t xml:space="preserve"> have been identified. </w:t>
      </w:r>
      <w:r>
        <w:rPr>
          <w:lang w:eastAsia="ja-JP"/>
        </w:rPr>
        <w:t>B</w:t>
      </w:r>
      <w:r w:rsidR="00246DC3">
        <w:rPr>
          <w:lang w:eastAsia="ja-JP"/>
        </w:rPr>
        <w:t>uprenorphine</w:t>
      </w:r>
      <w:r w:rsidR="00DA3A91">
        <w:rPr>
          <w:lang w:eastAsia="ja-JP"/>
        </w:rPr>
        <w:t xml:space="preserve"> given as CAM2038 controls withdrawal symptoms, reduces cravings, and reduces the use of other opioids. Permanent abstinence from opioid use is desirable but only achieved in a minority of opioid dependent subjects. CAM2038 gives an opportunity for long-term stabilisation and management of a condition likely to persist for prolonged periods.</w:t>
      </w:r>
    </w:p>
    <w:p w14:paraId="39FD44CE" w14:textId="77777777" w:rsidR="008E7846" w:rsidRPr="002E238E" w:rsidRDefault="008E7846" w:rsidP="008E7846">
      <w:pPr>
        <w:pStyle w:val="Heading3"/>
      </w:pPr>
      <w:bookmarkStart w:id="96" w:name="_Toc163441378"/>
      <w:bookmarkStart w:id="97" w:name="_Toc196046495"/>
      <w:bookmarkStart w:id="98" w:name="_Toc247691522"/>
      <w:bookmarkStart w:id="99" w:name="_Toc314842505"/>
      <w:bookmarkStart w:id="100" w:name="_Toc24539932"/>
      <w:bookmarkEnd w:id="92"/>
      <w:bookmarkEnd w:id="93"/>
      <w:bookmarkEnd w:id="94"/>
      <w:bookmarkEnd w:id="95"/>
      <w:r w:rsidRPr="002E238E">
        <w:t>Safety</w:t>
      </w:r>
      <w:bookmarkEnd w:id="96"/>
      <w:bookmarkEnd w:id="97"/>
      <w:bookmarkEnd w:id="98"/>
      <w:bookmarkEnd w:id="99"/>
      <w:bookmarkEnd w:id="100"/>
    </w:p>
    <w:p w14:paraId="4445645C" w14:textId="77777777" w:rsidR="00605AD4" w:rsidRDefault="00605AD4" w:rsidP="00605AD4">
      <w:pPr>
        <w:pStyle w:val="Heading4"/>
      </w:pPr>
      <w:bookmarkStart w:id="101" w:name="_Toc247691524"/>
      <w:bookmarkStart w:id="102" w:name="_Toc314842508"/>
      <w:bookmarkStart w:id="103" w:name="_Toc196046504"/>
      <w:bookmarkStart w:id="104" w:name="_Toc163441390"/>
      <w:r w:rsidRPr="00605AD4">
        <w:t>Studies providing safety data</w:t>
      </w:r>
    </w:p>
    <w:p w14:paraId="3527E8E0" w14:textId="77777777" w:rsidR="00DA3A91" w:rsidRPr="00DA3A91" w:rsidRDefault="00DA3A91" w:rsidP="00DA3A91">
      <w:pPr>
        <w:pStyle w:val="Heading5"/>
      </w:pPr>
      <w:r w:rsidRPr="00DA3A91">
        <w:t>Studies providing evaluable safety data</w:t>
      </w:r>
    </w:p>
    <w:p w14:paraId="571DAFD7" w14:textId="77777777" w:rsidR="00DA3A91" w:rsidRDefault="00DA3A91" w:rsidP="00DA3A91">
      <w:pPr>
        <w:pStyle w:val="Heading6"/>
      </w:pPr>
      <w:r>
        <w:t>Pivotal studies that assessed safety as the sole primary outcome</w:t>
      </w:r>
    </w:p>
    <w:p w14:paraId="28EFBC79" w14:textId="2426A6A1" w:rsidR="00DA3A91" w:rsidRDefault="00DA3A91" w:rsidP="00DA3A91">
      <w:r>
        <w:t>Study HS-14-499</w:t>
      </w:r>
      <w:r w:rsidR="0002516D">
        <w:t xml:space="preserve"> was submitted.</w:t>
      </w:r>
    </w:p>
    <w:p w14:paraId="101E40FB" w14:textId="77777777" w:rsidR="00DA3A91" w:rsidRDefault="00DA3A91" w:rsidP="00DA3A91">
      <w:pPr>
        <w:pStyle w:val="Heading6"/>
      </w:pPr>
      <w:r>
        <w:t>Pivotal and/or main efficacy studies</w:t>
      </w:r>
    </w:p>
    <w:p w14:paraId="73AF9A8C" w14:textId="61FFD56D" w:rsidR="00DA3A91" w:rsidRDefault="00DA3A91" w:rsidP="00DA3A91">
      <w:r>
        <w:t>Study HS-11-421</w:t>
      </w:r>
      <w:r w:rsidR="0002516D">
        <w:t xml:space="preserve"> was submitted.</w:t>
      </w:r>
    </w:p>
    <w:p w14:paraId="32C8E3FF" w14:textId="77777777" w:rsidR="00DA3A91" w:rsidRDefault="00DA3A91" w:rsidP="00DA3A91">
      <w:pPr>
        <w:pStyle w:val="Heading6"/>
      </w:pPr>
      <w:r>
        <w:t>Other studies</w:t>
      </w:r>
    </w:p>
    <w:p w14:paraId="5FDF8048" w14:textId="77777777" w:rsidR="00DA3A91" w:rsidRDefault="00DA3A91" w:rsidP="00DA3A91">
      <w:pPr>
        <w:pStyle w:val="Heading7"/>
      </w:pPr>
      <w:r>
        <w:t>Other efficacy studies</w:t>
      </w:r>
    </w:p>
    <w:p w14:paraId="1C493169" w14:textId="77777777" w:rsidR="00DA3A91" w:rsidRDefault="00DA3A91" w:rsidP="00DA3A91">
      <w:r>
        <w:t>No other efficacy studies were submitted.</w:t>
      </w:r>
    </w:p>
    <w:p w14:paraId="3EF94829" w14:textId="77777777" w:rsidR="00DA3A91" w:rsidRDefault="00DA3A91" w:rsidP="00DA3A91">
      <w:pPr>
        <w:pStyle w:val="Heading7"/>
      </w:pPr>
      <w:r>
        <w:t>Studies with evaluable safety data: dose finding and pharmacology</w:t>
      </w:r>
    </w:p>
    <w:p w14:paraId="52A883A1" w14:textId="25CE8C3C" w:rsidR="0002516D" w:rsidRPr="0002516D" w:rsidRDefault="0002516D" w:rsidP="00A01EAF">
      <w:r>
        <w:t>The following studies were submitted:</w:t>
      </w:r>
    </w:p>
    <w:p w14:paraId="7C521D84" w14:textId="15C3E6B4" w:rsidR="00DA3A91" w:rsidRPr="00DA3A91" w:rsidRDefault="00DA3A91" w:rsidP="00DA3A91">
      <w:pPr>
        <w:pStyle w:val="ListBullet"/>
      </w:pPr>
      <w:r w:rsidRPr="00DA3A91">
        <w:t>Studies HS-11-426 and HS-13-487 in healthy volunteers</w:t>
      </w:r>
      <w:r w:rsidR="0002516D">
        <w:t>; and</w:t>
      </w:r>
    </w:p>
    <w:p w14:paraId="75433BDF" w14:textId="21127EA5" w:rsidR="00DA3A91" w:rsidRPr="00DA3A91" w:rsidRDefault="00DA3A91" w:rsidP="00DA3A91">
      <w:pPr>
        <w:pStyle w:val="ListBullet"/>
      </w:pPr>
      <w:r w:rsidRPr="00DA3A91">
        <w:t xml:space="preserve">Studies HS-07-307, HS-15-549, and HS-13-478 in </w:t>
      </w:r>
      <w:r w:rsidR="00242EFA">
        <w:t>subjects with opioid dependence.</w:t>
      </w:r>
    </w:p>
    <w:p w14:paraId="2F5CE202" w14:textId="77777777" w:rsidR="00DA3A91" w:rsidRDefault="00DA3A91" w:rsidP="00DA3A91">
      <w:pPr>
        <w:pStyle w:val="Heading7"/>
      </w:pPr>
      <w:r>
        <w:t>Studies evaluable for safety only</w:t>
      </w:r>
    </w:p>
    <w:p w14:paraId="19573448" w14:textId="77777777" w:rsidR="00500337" w:rsidRPr="00500337" w:rsidRDefault="00DA3A91" w:rsidP="00DA3A91">
      <w:r>
        <w:t>None submitted.</w:t>
      </w:r>
    </w:p>
    <w:p w14:paraId="417D618F" w14:textId="77777777" w:rsidR="00605AD4" w:rsidRDefault="00605AD4" w:rsidP="00605AD4">
      <w:pPr>
        <w:pStyle w:val="Heading4"/>
      </w:pPr>
      <w:r w:rsidRPr="00605AD4">
        <w:t>Patient exposure</w:t>
      </w:r>
    </w:p>
    <w:p w14:paraId="021475A8" w14:textId="7D8714BD" w:rsidR="00500337" w:rsidRPr="00500337" w:rsidRDefault="00242EFA" w:rsidP="00DA3A91">
      <w:r>
        <w:t>In the pooled Phase III</w:t>
      </w:r>
      <w:r w:rsidR="00DA3A91">
        <w:t xml:space="preserve"> studies, a total of 440 subjects received 7913 injections of CAM2038 with a mean 18.0 injections per subject, corresponding to 244.5 subject exposure </w:t>
      </w:r>
      <w:r w:rsidR="008E61F9">
        <w:t>years. In the pivotal efficacy S</w:t>
      </w:r>
      <w:r w:rsidR="00DA3A91">
        <w:t>tudy HS-11-421, 213 subjects received at least one</w:t>
      </w:r>
      <w:r w:rsidR="0002516D">
        <w:t> </w:t>
      </w:r>
      <w:r w:rsidR="00DA3A91">
        <w:t>dose of CAM2038. The mean duration of exposure to stu</w:t>
      </w:r>
      <w:r w:rsidR="00CF5468">
        <w:t xml:space="preserve">dy drug was 131.3 days (range 1 to </w:t>
      </w:r>
      <w:r w:rsidR="00DA3A91">
        <w:t xml:space="preserve">192 days) in the SL </w:t>
      </w:r>
      <w:r w:rsidR="00246DC3">
        <w:t>buprenorphine</w:t>
      </w:r>
      <w:r w:rsidR="00CF5468">
        <w:t xml:space="preserve">/naloxone group, and 127.4 days (range 8 to </w:t>
      </w:r>
      <w:r w:rsidR="00DA3A91">
        <w:t>185</w:t>
      </w:r>
      <w:r w:rsidR="0002516D">
        <w:t> </w:t>
      </w:r>
      <w:r w:rsidR="00DA3A91">
        <w:t>days) in the CAM2038 group. The majority of subjects rece</w:t>
      </w:r>
      <w:r w:rsidR="00CF5468">
        <w:t>ived study drug for at least 24 </w:t>
      </w:r>
      <w:r w:rsidR="00DA3A91">
        <w:t xml:space="preserve">weeks (56.3% SL </w:t>
      </w:r>
      <w:r w:rsidR="00246DC3">
        <w:t>buprenorphine</w:t>
      </w:r>
      <w:r w:rsidR="00CF5468">
        <w:t xml:space="preserve">/naloxone; 54.5% CAM2038). In the open </w:t>
      </w:r>
      <w:r w:rsidR="008E61F9">
        <w:t>label, pivotal safety S</w:t>
      </w:r>
      <w:r w:rsidR="00DA3A91">
        <w:t xml:space="preserve">tudy HS-14-499, 227 subjects in the </w:t>
      </w:r>
      <w:r w:rsidR="00CF5468">
        <w:t>overall safety population</w:t>
      </w:r>
      <w:r w:rsidR="00DA3A91">
        <w:t xml:space="preserve"> </w:t>
      </w:r>
      <w:r w:rsidR="000A2F8F">
        <w:t xml:space="preserve">(OSP) </w:t>
      </w:r>
      <w:r w:rsidR="00DA3A91">
        <w:t>received CAM2038 for a mean duration of 39.1 weeks (range 1</w:t>
      </w:r>
      <w:r w:rsidR="00CF5468">
        <w:t xml:space="preserve">.1 to </w:t>
      </w:r>
      <w:r w:rsidR="00DA3A91">
        <w:t>49.9 weeks).</w:t>
      </w:r>
    </w:p>
    <w:p w14:paraId="65F2652D" w14:textId="77777777" w:rsidR="00605AD4" w:rsidRPr="000A2F8F" w:rsidRDefault="00605AD4" w:rsidP="00605AD4">
      <w:pPr>
        <w:pStyle w:val="Heading4"/>
      </w:pPr>
      <w:r w:rsidRPr="000A2F8F">
        <w:t>Safety issues with the potential for major regulatory impact</w:t>
      </w:r>
    </w:p>
    <w:p w14:paraId="1F206391" w14:textId="77777777" w:rsidR="00DA3A91" w:rsidRPr="000A2F8F" w:rsidRDefault="00DA3A91" w:rsidP="00173DB7">
      <w:pPr>
        <w:pStyle w:val="Heading5"/>
      </w:pPr>
      <w:r w:rsidRPr="000A2F8F">
        <w:t>Liver function and liver toxicity</w:t>
      </w:r>
    </w:p>
    <w:p w14:paraId="38987197" w14:textId="77777777" w:rsidR="00DA3A91" w:rsidRPr="000A2F8F" w:rsidRDefault="00DA3A91" w:rsidP="00DA3A91">
      <w:r w:rsidRPr="000A2F8F">
        <w:t>No hepatic safety signals were identified.</w:t>
      </w:r>
    </w:p>
    <w:p w14:paraId="4B4A855F" w14:textId="77777777" w:rsidR="00DA3A91" w:rsidRPr="000A2F8F" w:rsidRDefault="00DA3A91" w:rsidP="00173DB7">
      <w:pPr>
        <w:pStyle w:val="Heading6"/>
      </w:pPr>
      <w:r w:rsidRPr="000A2F8F">
        <w:lastRenderedPageBreak/>
        <w:t>Integrated safety analyses</w:t>
      </w:r>
    </w:p>
    <w:p w14:paraId="04EB6D59" w14:textId="69B25A58" w:rsidR="00DA3A91" w:rsidRDefault="000A2F8F" w:rsidP="00DA3A91">
      <w:r>
        <w:t>In the Phase III</w:t>
      </w:r>
      <w:r w:rsidR="00DA3A91" w:rsidRPr="000A2F8F">
        <w:t xml:space="preserve"> studies, there was one case (0.5%) of acute hepatic failure in a subject given SL </w:t>
      </w:r>
      <w:r w:rsidR="00246DC3" w:rsidRPr="000A2F8F">
        <w:t>buprenorphine</w:t>
      </w:r>
      <w:r>
        <w:t>/naloxone</w:t>
      </w:r>
      <w:r w:rsidR="00DA3A91" w:rsidRPr="000A2F8F">
        <w:t xml:space="preserve">. </w:t>
      </w:r>
      <w:r>
        <w:t xml:space="preserve">No such </w:t>
      </w:r>
      <w:r w:rsidR="008C5D0D">
        <w:t>adverse events (</w:t>
      </w:r>
      <w:r>
        <w:t>AE</w:t>
      </w:r>
      <w:r w:rsidR="008C5D0D">
        <w:t>)</w:t>
      </w:r>
      <w:r>
        <w:t xml:space="preserve"> occurred in CAM2038 </w:t>
      </w:r>
      <w:r w:rsidR="00DA3A91" w:rsidRPr="000A2F8F">
        <w:t>treated patients.</w:t>
      </w:r>
    </w:p>
    <w:p w14:paraId="56CEAF05" w14:textId="77777777" w:rsidR="00DA3A91" w:rsidRDefault="00DA3A91" w:rsidP="00173DB7">
      <w:pPr>
        <w:pStyle w:val="Heading6"/>
      </w:pPr>
      <w:r>
        <w:t>Main/pivotal studies that assessed safety as the sole primary outcome</w:t>
      </w:r>
    </w:p>
    <w:p w14:paraId="521D3BCA" w14:textId="5E86D405" w:rsidR="00500337" w:rsidRDefault="0002516D" w:rsidP="00DA3A91">
      <w:r w:rsidRPr="00A01EAF">
        <w:rPr>
          <w:i/>
        </w:rPr>
        <w:t xml:space="preserve">Study </w:t>
      </w:r>
      <w:r w:rsidR="00DA3A91" w:rsidRPr="00A01EAF">
        <w:rPr>
          <w:i/>
        </w:rPr>
        <w:t>HS-14-499</w:t>
      </w:r>
      <w:r w:rsidR="00DA3A91">
        <w:t xml:space="preserve">: In the OSP, 6.4% of subjects had shifts in </w:t>
      </w:r>
      <w:r w:rsidR="000A2F8F">
        <w:t>a</w:t>
      </w:r>
      <w:r w:rsidR="000A2F8F" w:rsidRPr="000A2F8F">
        <w:t xml:space="preserve">lanine aminotransferase </w:t>
      </w:r>
      <w:r w:rsidR="000A2F8F">
        <w:t>(</w:t>
      </w:r>
      <w:r w:rsidR="00DA3A91">
        <w:t>ALT</w:t>
      </w:r>
      <w:r w:rsidR="000A2F8F">
        <w:t>)</w:t>
      </w:r>
      <w:r w:rsidR="00DA3A91">
        <w:t xml:space="preserve"> from normal </w:t>
      </w:r>
      <w:r w:rsidR="006516F7">
        <w:t>at Baseline</w:t>
      </w:r>
      <w:r w:rsidR="00DA3A91">
        <w:t xml:space="preserve"> to</w:t>
      </w:r>
      <w:r w:rsidR="008E73A1">
        <w:t xml:space="preserve"> high</w:t>
      </w:r>
      <w:r w:rsidR="00DA3A91">
        <w:t xml:space="preserve"> at the end of treatment. Conversely, 4.8% of subjects had a shift in ALT from high </w:t>
      </w:r>
      <w:r w:rsidR="006516F7">
        <w:t>at Baseline</w:t>
      </w:r>
      <w:r w:rsidR="00DA3A91">
        <w:t xml:space="preserve"> to normal at end of treatment. All hepatic laboratory abnormalities were mild or moderate in intensity.</w:t>
      </w:r>
    </w:p>
    <w:p w14:paraId="468BA094" w14:textId="21326D31" w:rsidR="00DA3A91" w:rsidRDefault="00DA3A91" w:rsidP="00DA3A91">
      <w:r>
        <w:t>There were no</w:t>
      </w:r>
      <w:r w:rsidR="008E73A1">
        <w:t xml:space="preserve"> hepatic-related</w:t>
      </w:r>
      <w:r>
        <w:t xml:space="preserve"> </w:t>
      </w:r>
      <w:r w:rsidR="008C5D0D">
        <w:t>serious adverse events (</w:t>
      </w:r>
      <w:r>
        <w:t>SAE</w:t>
      </w:r>
      <w:r w:rsidR="008C5D0D">
        <w:t>)</w:t>
      </w:r>
      <w:r>
        <w:t xml:space="preserve"> or study drug discontinuations, and no events were considered drug- related. One subject (0.4%) had an AE related to abnormal liver function. There were no events meeting the criteria for </w:t>
      </w:r>
      <w:proofErr w:type="spellStart"/>
      <w:r>
        <w:t>Hy’s</w:t>
      </w:r>
      <w:proofErr w:type="spellEnd"/>
      <w:r w:rsidR="009207D9">
        <w:t> </w:t>
      </w:r>
      <w:r>
        <w:t>Law.</w:t>
      </w:r>
      <w:r w:rsidR="008C5D0D">
        <w:rPr>
          <w:rStyle w:val="FootnoteReference"/>
        </w:rPr>
        <w:footnoteReference w:id="16"/>
      </w:r>
    </w:p>
    <w:p w14:paraId="759C32B1" w14:textId="77777777" w:rsidR="00DA3A91" w:rsidRDefault="00DA3A91" w:rsidP="00173DB7">
      <w:pPr>
        <w:pStyle w:val="Heading6"/>
      </w:pPr>
      <w:r>
        <w:t>Pivotal and/or main efficacy studies</w:t>
      </w:r>
    </w:p>
    <w:p w14:paraId="0451A3D8" w14:textId="4A3D9CCC" w:rsidR="00DA3A91" w:rsidRPr="00F20BE9" w:rsidRDefault="0002516D" w:rsidP="00DA3A91">
      <w:r w:rsidRPr="00A01EAF">
        <w:rPr>
          <w:i/>
        </w:rPr>
        <w:t xml:space="preserve">Study </w:t>
      </w:r>
      <w:r w:rsidR="00DA3A91" w:rsidRPr="00A01EAF">
        <w:rPr>
          <w:i/>
        </w:rPr>
        <w:t>HS-11-421</w:t>
      </w:r>
      <w:r w:rsidR="00DA3A91" w:rsidRPr="00F20BE9">
        <w:t xml:space="preserve">: The majority of subjects had normal liver function tests, haematology and clinical chemistry parameters </w:t>
      </w:r>
      <w:r w:rsidR="006516F7">
        <w:t>at Baseline</w:t>
      </w:r>
      <w:r w:rsidR="00DA3A91" w:rsidRPr="00F20BE9">
        <w:t xml:space="preserve"> and throughout the treatment period. The percentage of subjects who had an ALT shift from normal </w:t>
      </w:r>
      <w:r w:rsidR="006516F7">
        <w:t>at Baseline</w:t>
      </w:r>
      <w:r w:rsidR="00DA3A91" w:rsidRPr="00F20BE9">
        <w:t xml:space="preserve"> to above normal was slightly higher in the CAM2038 group compared with the SL </w:t>
      </w:r>
      <w:r w:rsidR="00246DC3" w:rsidRPr="00F20BE9">
        <w:t>buprenorphine</w:t>
      </w:r>
      <w:r w:rsidR="00F20BE9">
        <w:t>/naloxone group (6.4% versus</w:t>
      </w:r>
      <w:r w:rsidR="00DA3A91" w:rsidRPr="00F20BE9">
        <w:t xml:space="preserve"> 4.0%). A total of 3.5% of subjects had an ALT value &gt;</w:t>
      </w:r>
      <w:r w:rsidR="00F20BE9">
        <w:t xml:space="preserve"> 2 times </w:t>
      </w:r>
      <w:r w:rsidR="001379DA">
        <w:t>the upper limit of normal (</w:t>
      </w:r>
      <w:r w:rsidR="00DA3A91" w:rsidRPr="00F20BE9">
        <w:t>ULN</w:t>
      </w:r>
      <w:r w:rsidR="001379DA">
        <w:t>)</w:t>
      </w:r>
      <w:r w:rsidR="00DA3A91" w:rsidRPr="00F20BE9">
        <w:t xml:space="preserve"> </w:t>
      </w:r>
      <w:r w:rsidR="006516F7">
        <w:t>at Baseline</w:t>
      </w:r>
      <w:r w:rsidR="00DA3A91" w:rsidRPr="00F20BE9">
        <w:t xml:space="preserve">. Four (1.9%) subjects in each treatment group experienced AEs related to ALT or </w:t>
      </w:r>
      <w:r w:rsidR="00F20BE9">
        <w:t>a</w:t>
      </w:r>
      <w:r w:rsidR="00F20BE9" w:rsidRPr="00F20BE9">
        <w:t xml:space="preserve">spartate aminotransferase </w:t>
      </w:r>
      <w:r w:rsidR="00F20BE9">
        <w:t>(</w:t>
      </w:r>
      <w:r w:rsidR="00DA3A91" w:rsidRPr="00F20BE9">
        <w:t>AST</w:t>
      </w:r>
      <w:r w:rsidR="00F20BE9">
        <w:t>)</w:t>
      </w:r>
      <w:r w:rsidR="00DA3A91" w:rsidRPr="00F20BE9">
        <w:t xml:space="preserve">. Three (0.7%) </w:t>
      </w:r>
      <w:r w:rsidR="008E73A1">
        <w:t xml:space="preserve">subjects </w:t>
      </w:r>
      <w:r w:rsidR="00DA3A91" w:rsidRPr="00F20BE9">
        <w:t>had a treatment emergent rise in ALT &gt;</w:t>
      </w:r>
      <w:r w:rsidR="00F20BE9">
        <w:t xml:space="preserve"> 3 times </w:t>
      </w:r>
      <w:r w:rsidR="00DA3A91" w:rsidRPr="00F20BE9">
        <w:t xml:space="preserve">ULN associated with a doubling of baseline total bilirubin, one of whom was receiving CAM2038. Two of the subjects had HCV infection. None of the hepatic AEs were serious, and none led to treatment discontinuation. None of the events met the criteria for </w:t>
      </w:r>
      <w:proofErr w:type="spellStart"/>
      <w:r w:rsidR="00DA3A91" w:rsidRPr="00F20BE9">
        <w:t>Hy’s</w:t>
      </w:r>
      <w:proofErr w:type="spellEnd"/>
      <w:r w:rsidR="00DA3A91" w:rsidRPr="00F20BE9">
        <w:t xml:space="preserve"> Law.</w:t>
      </w:r>
    </w:p>
    <w:p w14:paraId="4B074C8A" w14:textId="72671C66" w:rsidR="00DA3A91" w:rsidRDefault="00DA3A91" w:rsidP="00DA3A91">
      <w:r w:rsidRPr="00F20BE9">
        <w:t xml:space="preserve">Cases of hepatic injury in subjects treated with other </w:t>
      </w:r>
      <w:r w:rsidR="00246DC3" w:rsidRPr="00F20BE9">
        <w:t>buprenorphine</w:t>
      </w:r>
      <w:r w:rsidRPr="00F20BE9">
        <w:t xml:space="preserve"> produc</w:t>
      </w:r>
      <w:r w:rsidR="00F20BE9">
        <w:t xml:space="preserve">ts have been identified in post </w:t>
      </w:r>
      <w:r w:rsidRPr="00F20BE9">
        <w:t xml:space="preserve">marketing surveillance, often associated with underlying hepatic diseases such as chronic HCV infection. No such cases have been identified in the CAM2038 program, and the potential risk may be mitigated by the </w:t>
      </w:r>
      <w:r w:rsidR="009207D9">
        <w:t>SC</w:t>
      </w:r>
      <w:r w:rsidR="009207D9" w:rsidRPr="00F20BE9">
        <w:t xml:space="preserve"> </w:t>
      </w:r>
      <w:r w:rsidRPr="00F20BE9">
        <w:t>delivery.</w:t>
      </w:r>
    </w:p>
    <w:p w14:paraId="72103760" w14:textId="77777777" w:rsidR="00DA3A91" w:rsidRDefault="00DA3A91" w:rsidP="00173DB7">
      <w:pPr>
        <w:pStyle w:val="Heading5"/>
      </w:pPr>
      <w:r>
        <w:t>Renal function and renal toxicity</w:t>
      </w:r>
    </w:p>
    <w:p w14:paraId="732957A1" w14:textId="77777777" w:rsidR="00DA3A91" w:rsidRDefault="00DA3A91" w:rsidP="00DA3A91">
      <w:r>
        <w:t>No safety signals related to renal function and toxicity were identified.</w:t>
      </w:r>
    </w:p>
    <w:p w14:paraId="1413C223" w14:textId="77777777" w:rsidR="00173DB7" w:rsidRDefault="00DA3A91" w:rsidP="00173DB7">
      <w:pPr>
        <w:pStyle w:val="Heading6"/>
      </w:pPr>
      <w:r>
        <w:t>Main/pivotal studies that assessed saf</w:t>
      </w:r>
      <w:r w:rsidR="00173DB7">
        <w:t>ety as the sole primary outcome</w:t>
      </w:r>
    </w:p>
    <w:p w14:paraId="550B7BED" w14:textId="38B51A32" w:rsidR="00DA3A91" w:rsidRDefault="001379DA" w:rsidP="00DA3A91">
      <w:r w:rsidRPr="00A01EAF">
        <w:rPr>
          <w:i/>
        </w:rPr>
        <w:t xml:space="preserve">Study </w:t>
      </w:r>
      <w:r w:rsidR="00DA3A91" w:rsidRPr="00A01EAF">
        <w:rPr>
          <w:i/>
        </w:rPr>
        <w:t>HS-14-499</w:t>
      </w:r>
      <w:r w:rsidR="00DA3A91">
        <w:t>: There was a single AE related to increased serum creatinine.</w:t>
      </w:r>
    </w:p>
    <w:p w14:paraId="349E0A51" w14:textId="77777777" w:rsidR="00DA3A91" w:rsidRDefault="00DA3A91" w:rsidP="00173DB7">
      <w:pPr>
        <w:pStyle w:val="Heading6"/>
      </w:pPr>
      <w:r>
        <w:t>Pivotal and/or main efficacy studies</w:t>
      </w:r>
    </w:p>
    <w:p w14:paraId="2DFE8963" w14:textId="16BAD312" w:rsidR="00DA3A91" w:rsidRDefault="001379DA" w:rsidP="00DA3A91">
      <w:r w:rsidRPr="00A01EAF">
        <w:rPr>
          <w:i/>
        </w:rPr>
        <w:t xml:space="preserve">Study </w:t>
      </w:r>
      <w:r w:rsidR="00DA3A91" w:rsidRPr="00A01EAF">
        <w:rPr>
          <w:i/>
        </w:rPr>
        <w:t>HS-11-421</w:t>
      </w:r>
      <w:r w:rsidR="00DA3A91">
        <w:t>: No AEs related to renal function were reported.</w:t>
      </w:r>
    </w:p>
    <w:p w14:paraId="18E96B24" w14:textId="77777777" w:rsidR="00DA3A91" w:rsidRDefault="00DA3A91" w:rsidP="00173DB7">
      <w:pPr>
        <w:pStyle w:val="Heading5"/>
      </w:pPr>
      <w:r>
        <w:t>Other clinical chemistry</w:t>
      </w:r>
    </w:p>
    <w:p w14:paraId="4DC00531" w14:textId="77777777" w:rsidR="00DA3A91" w:rsidRDefault="00DA3A91" w:rsidP="00DA3A91">
      <w:r>
        <w:t>No safety signals related to clinical chemistry were identified.</w:t>
      </w:r>
    </w:p>
    <w:p w14:paraId="5A93FCB8" w14:textId="77777777" w:rsidR="00173DB7" w:rsidRDefault="00DA3A91" w:rsidP="00173DB7">
      <w:pPr>
        <w:pStyle w:val="Heading6"/>
      </w:pPr>
      <w:r>
        <w:t>Main/pivotal studies that assessed saf</w:t>
      </w:r>
      <w:r w:rsidR="00173DB7">
        <w:t>ety as the sole primary outcome</w:t>
      </w:r>
    </w:p>
    <w:p w14:paraId="7A530977" w14:textId="063C0A9E" w:rsidR="00DA3A91" w:rsidRDefault="009207D9" w:rsidP="00DA3A91">
      <w:r w:rsidRPr="00A01EAF">
        <w:rPr>
          <w:i/>
        </w:rPr>
        <w:t xml:space="preserve">Study </w:t>
      </w:r>
      <w:r w:rsidR="00DA3A91" w:rsidRPr="00A01EAF">
        <w:rPr>
          <w:i/>
        </w:rPr>
        <w:t>HS-14-499</w:t>
      </w:r>
      <w:r w:rsidR="00DA3A91">
        <w:t>: Clinical laboratory evaluation</w:t>
      </w:r>
    </w:p>
    <w:p w14:paraId="5E9F0647" w14:textId="569AED70" w:rsidR="00DA3A91" w:rsidRDefault="00DA3A91" w:rsidP="00DA3A91">
      <w:r>
        <w:t xml:space="preserve">No clinically meaningful changes or trends </w:t>
      </w:r>
      <w:r w:rsidR="006516F7">
        <w:t>from Baseline</w:t>
      </w:r>
      <w:r>
        <w:t xml:space="preserve"> were observed for any laboratory parameter. In the OSP, 1.8% of subjects had at least one laboratory AE, none of which were serious, drug related,</w:t>
      </w:r>
      <w:r w:rsidR="00F20BE9">
        <w:t xml:space="preserve"> or led to drug discontinuation.</w:t>
      </w:r>
    </w:p>
    <w:p w14:paraId="15C0A8F0" w14:textId="77777777" w:rsidR="00DA3A91" w:rsidRDefault="00DA3A91" w:rsidP="00173DB7">
      <w:pPr>
        <w:pStyle w:val="Heading6"/>
      </w:pPr>
      <w:r>
        <w:lastRenderedPageBreak/>
        <w:t>Pivotal and/or main efficacy studies</w:t>
      </w:r>
    </w:p>
    <w:p w14:paraId="1B1DBC2F" w14:textId="487011B6" w:rsidR="00DA3A91" w:rsidRDefault="009207D9" w:rsidP="00DA3A91">
      <w:r w:rsidRPr="00A01EAF">
        <w:rPr>
          <w:i/>
        </w:rPr>
        <w:t xml:space="preserve">Study </w:t>
      </w:r>
      <w:r w:rsidR="00DA3A91" w:rsidRPr="00A01EAF">
        <w:rPr>
          <w:i/>
        </w:rPr>
        <w:t>HS-11-421</w:t>
      </w:r>
      <w:r w:rsidR="00DA3A91">
        <w:t xml:space="preserve">: Overall, the most common </w:t>
      </w:r>
      <w:r w:rsidR="00F20BE9">
        <w:t>laboratory related treatment-emergent AEs</w:t>
      </w:r>
      <w:r w:rsidR="00DA3A91">
        <w:t xml:space="preserve"> were ALT and AST increased (1.9% each), and </w:t>
      </w:r>
      <w:r w:rsidR="00F20BE9">
        <w:t>g</w:t>
      </w:r>
      <w:r w:rsidR="00F20BE9" w:rsidRPr="00F20BE9">
        <w:t>amma-</w:t>
      </w:r>
      <w:proofErr w:type="spellStart"/>
      <w:r w:rsidR="00F20BE9" w:rsidRPr="00F20BE9">
        <w:t>glutamyl</w:t>
      </w:r>
      <w:proofErr w:type="spellEnd"/>
      <w:r w:rsidR="00F20BE9" w:rsidRPr="00F20BE9">
        <w:t xml:space="preserve"> transferase </w:t>
      </w:r>
      <w:r w:rsidR="00F20BE9">
        <w:t>(</w:t>
      </w:r>
      <w:r w:rsidR="00DA3A91">
        <w:t>GGT</w:t>
      </w:r>
      <w:r w:rsidR="00F20BE9">
        <w:t>)</w:t>
      </w:r>
      <w:r w:rsidR="00DA3A91">
        <w:t xml:space="preserve"> increased (1.2%). No differences were observed between groups.</w:t>
      </w:r>
    </w:p>
    <w:p w14:paraId="5EC90501" w14:textId="77777777" w:rsidR="00DA3A91" w:rsidRDefault="00DA3A91" w:rsidP="00173DB7">
      <w:pPr>
        <w:pStyle w:val="Heading5"/>
      </w:pPr>
      <w:r>
        <w:t>Haematology and haematological toxicity</w:t>
      </w:r>
    </w:p>
    <w:p w14:paraId="60D1DE77" w14:textId="77777777" w:rsidR="00DA3A91" w:rsidRDefault="00DA3A91" w:rsidP="00DA3A91">
      <w:r>
        <w:t>No safety signals related to haematology were identified.</w:t>
      </w:r>
    </w:p>
    <w:p w14:paraId="6E5052AB" w14:textId="77777777" w:rsidR="00DA3A91" w:rsidRDefault="00DA3A91" w:rsidP="00173DB7">
      <w:pPr>
        <w:pStyle w:val="Heading6"/>
      </w:pPr>
      <w:r>
        <w:t>Main/pivotal studies that assessed safety as the sole primary outcome</w:t>
      </w:r>
    </w:p>
    <w:p w14:paraId="1A80695A" w14:textId="0E644372" w:rsidR="00DA3A91" w:rsidRDefault="009207D9" w:rsidP="00DA3A91">
      <w:r w:rsidRPr="00A01EAF">
        <w:rPr>
          <w:i/>
        </w:rPr>
        <w:t xml:space="preserve">Study </w:t>
      </w:r>
      <w:r w:rsidR="00DA3A91" w:rsidRPr="00A01EAF">
        <w:rPr>
          <w:i/>
        </w:rPr>
        <w:t>HS-14-499</w:t>
      </w:r>
      <w:r w:rsidR="00DA3A91">
        <w:t xml:space="preserve">: No meaningful changes or trends </w:t>
      </w:r>
      <w:r w:rsidR="006516F7">
        <w:t>from Baseline</w:t>
      </w:r>
      <w:r w:rsidR="00DA3A91">
        <w:t xml:space="preserve"> were observed. No AEs related to haematology were reported.</w:t>
      </w:r>
    </w:p>
    <w:p w14:paraId="4B5665A8" w14:textId="77777777" w:rsidR="00DA3A91" w:rsidRDefault="00DA3A91" w:rsidP="00173DB7">
      <w:pPr>
        <w:pStyle w:val="Heading6"/>
      </w:pPr>
      <w:r>
        <w:t>Pivotal and/or main efficacy studies</w:t>
      </w:r>
    </w:p>
    <w:p w14:paraId="4C86AE34" w14:textId="377C151A" w:rsidR="00DA3A91" w:rsidRDefault="009207D9" w:rsidP="00DA3A91">
      <w:r w:rsidRPr="00A01EAF">
        <w:rPr>
          <w:i/>
        </w:rPr>
        <w:t xml:space="preserve">Study </w:t>
      </w:r>
      <w:r w:rsidR="00DA3A91" w:rsidRPr="00A01EAF">
        <w:rPr>
          <w:i/>
        </w:rPr>
        <w:t>HS-11-421</w:t>
      </w:r>
      <w:r w:rsidR="00DA3A91">
        <w:t xml:space="preserve">: No meaningful changes or trends </w:t>
      </w:r>
      <w:r w:rsidR="006516F7">
        <w:t>from Baseline</w:t>
      </w:r>
      <w:r w:rsidR="00DA3A91">
        <w:t xml:space="preserve"> were observed in either treatment group. No AEs related to haematology were reported in subjects given CAM2038.</w:t>
      </w:r>
    </w:p>
    <w:p w14:paraId="65D5E85D" w14:textId="774082AC" w:rsidR="00DA3A91" w:rsidRPr="001B6FDC" w:rsidRDefault="00DA3A91" w:rsidP="00173DB7">
      <w:pPr>
        <w:pStyle w:val="Heading5"/>
      </w:pPr>
      <w:r w:rsidRPr="001B6FDC">
        <w:t>Electrocardiograph</w:t>
      </w:r>
      <w:r w:rsidR="00F20BE9" w:rsidRPr="001B6FDC">
        <w:t xml:space="preserve"> </w:t>
      </w:r>
      <w:r w:rsidRPr="001B6FDC">
        <w:t>findings and cardiovascular safety</w:t>
      </w:r>
    </w:p>
    <w:p w14:paraId="5A403211" w14:textId="1E9328CE" w:rsidR="00DA3A91" w:rsidRPr="001B6FDC" w:rsidRDefault="00DA3A91" w:rsidP="00DA3A91">
      <w:r w:rsidRPr="001B6FDC">
        <w:t xml:space="preserve">No safety signals related to </w:t>
      </w:r>
      <w:r w:rsidR="009207D9">
        <w:t>electrocardiographs (</w:t>
      </w:r>
      <w:r w:rsidRPr="001B6FDC">
        <w:t>ECG</w:t>
      </w:r>
      <w:r w:rsidR="009207D9">
        <w:t>)</w:t>
      </w:r>
      <w:r w:rsidRPr="001B6FDC">
        <w:t xml:space="preserve"> were identified. No clinically significant trends or differences between treatments were observed for QT intervals.</w:t>
      </w:r>
    </w:p>
    <w:p w14:paraId="6BCDA0CC" w14:textId="77777777" w:rsidR="00DA3A91" w:rsidRPr="001B6FDC" w:rsidRDefault="00DA3A91" w:rsidP="00173DB7">
      <w:pPr>
        <w:pStyle w:val="Heading6"/>
      </w:pPr>
      <w:r w:rsidRPr="001B6FDC">
        <w:t>Integrated safety analyses</w:t>
      </w:r>
    </w:p>
    <w:p w14:paraId="4A9E9E28" w14:textId="7797E79F" w:rsidR="00DA3A91" w:rsidRPr="001B6FDC" w:rsidRDefault="00DA3A91" w:rsidP="00C96D43">
      <w:r w:rsidRPr="001B6FDC">
        <w:t>In the healthy volunteer studies, no AEs related to EC</w:t>
      </w:r>
      <w:r w:rsidR="00F20BE9" w:rsidRPr="001B6FDC">
        <w:t>Gs were reported. In the Phase I/II</w:t>
      </w:r>
      <w:r w:rsidR="001B6FDC">
        <w:t xml:space="preserve"> studies, </w:t>
      </w:r>
      <w:r w:rsidR="00C96D43">
        <w:t xml:space="preserve">two ECG-related AEs were reported in 5 patients: 4 patients in Study HS-13-478 (none clinically significant) and 1 patient in </w:t>
      </w:r>
      <w:r w:rsidR="009207D9">
        <w:t xml:space="preserve">Study </w:t>
      </w:r>
      <w:r w:rsidR="00C96D43">
        <w:t xml:space="preserve">HS-15-549 (paroxysmal atrial fibrillation, and ventricular </w:t>
      </w:r>
      <w:proofErr w:type="spellStart"/>
      <w:r w:rsidR="00C96D43">
        <w:t>extrasystoles</w:t>
      </w:r>
      <w:proofErr w:type="spellEnd"/>
      <w:r w:rsidR="00C96D43">
        <w:t>). Neither event was considered drug-related.</w:t>
      </w:r>
    </w:p>
    <w:p w14:paraId="42263BAC" w14:textId="77777777" w:rsidR="00DA3A91" w:rsidRPr="001B6FDC" w:rsidRDefault="00DA3A91" w:rsidP="00173DB7">
      <w:pPr>
        <w:pStyle w:val="Heading6"/>
      </w:pPr>
      <w:r w:rsidRPr="001B6FDC">
        <w:t>Main/pivotal studies that assessed safety as the sole primary outcome</w:t>
      </w:r>
    </w:p>
    <w:p w14:paraId="4FCC18D7" w14:textId="76A36632" w:rsidR="00DA3A91" w:rsidRPr="001B6FDC" w:rsidRDefault="009207D9" w:rsidP="00DA3A91">
      <w:r w:rsidRPr="00A01EAF">
        <w:rPr>
          <w:i/>
        </w:rPr>
        <w:t xml:space="preserve">Study </w:t>
      </w:r>
      <w:r w:rsidR="00DA3A91" w:rsidRPr="00A01EAF">
        <w:rPr>
          <w:i/>
        </w:rPr>
        <w:t>HS-14-499:</w:t>
      </w:r>
      <w:r w:rsidR="00DA3A91" w:rsidRPr="001B6FDC">
        <w:t xml:space="preserve"> AEs related to ECGs were reported in three (1.9%) subjects. One subject experienced an SAE of ventricular tachycar</w:t>
      </w:r>
      <w:r w:rsidR="001B6FDC">
        <w:t>dia. It was not considered drug</w:t>
      </w:r>
      <w:r w:rsidR="00DA3A91" w:rsidRPr="001B6FDC">
        <w:t xml:space="preserve"> related and the subject completed the study.</w:t>
      </w:r>
    </w:p>
    <w:p w14:paraId="63E1C466" w14:textId="77777777" w:rsidR="00DA3A91" w:rsidRPr="001B6FDC" w:rsidRDefault="00DA3A91" w:rsidP="00173DB7">
      <w:pPr>
        <w:pStyle w:val="Heading6"/>
      </w:pPr>
      <w:r w:rsidRPr="001B6FDC">
        <w:t>Pivotal and/or main efficacy studies</w:t>
      </w:r>
    </w:p>
    <w:p w14:paraId="67386427" w14:textId="75947A9B" w:rsidR="00DA3A91" w:rsidRPr="001B6FDC" w:rsidRDefault="009207D9" w:rsidP="00DA3A91">
      <w:r>
        <w:rPr>
          <w:i/>
        </w:rPr>
        <w:t xml:space="preserve">Study </w:t>
      </w:r>
      <w:r w:rsidR="00DA3A91" w:rsidRPr="00A01EAF">
        <w:rPr>
          <w:i/>
        </w:rPr>
        <w:t>HS-11-421</w:t>
      </w:r>
      <w:r w:rsidR="00DA3A91" w:rsidRPr="001B6FDC">
        <w:t xml:space="preserve">: </w:t>
      </w:r>
      <w:r w:rsidR="001B6FDC">
        <w:t>T</w:t>
      </w:r>
      <w:r w:rsidR="00DA3A91" w:rsidRPr="001B6FDC">
        <w:t>he most common AE was ECG abnormal, reported in three (0.7%) subjects.</w:t>
      </w:r>
    </w:p>
    <w:p w14:paraId="796729F8" w14:textId="237B0A1D" w:rsidR="00DA3A91" w:rsidRDefault="001B6FDC" w:rsidP="00DA3A91">
      <w:r>
        <w:t>B</w:t>
      </w:r>
      <w:r w:rsidR="00246DC3" w:rsidRPr="001B6FDC">
        <w:t>uprenorphine</w:t>
      </w:r>
      <w:r>
        <w:t xml:space="preserve"> is a </w:t>
      </w:r>
      <w:proofErr w:type="spellStart"/>
      <w:r>
        <w:t>h</w:t>
      </w:r>
      <w:r w:rsidR="00DA3A91" w:rsidRPr="001B6FDC">
        <w:t>ERG</w:t>
      </w:r>
      <w:proofErr w:type="spellEnd"/>
      <w:r w:rsidR="00DA3A91" w:rsidRPr="001B6FDC">
        <w:t xml:space="preserve"> channel inhibitor at much higher concentrations than therapeutic levels achieved in man. The risks of </w:t>
      </w:r>
      <w:proofErr w:type="spellStart"/>
      <w:r w:rsidR="00DA3A91" w:rsidRPr="001B6FDC">
        <w:t>QTc</w:t>
      </w:r>
      <w:proofErr w:type="spellEnd"/>
      <w:r w:rsidR="00DA3A91" w:rsidRPr="001B6FDC">
        <w:t xml:space="preserve"> prolongation and </w:t>
      </w:r>
      <w:r w:rsidR="002F4C09">
        <w:t>t</w:t>
      </w:r>
      <w:r w:rsidR="00DA3A91" w:rsidRPr="001B6FDC">
        <w:t>orsade</w:t>
      </w:r>
      <w:r w:rsidR="002F4C09">
        <w:t>s</w:t>
      </w:r>
      <w:r w:rsidR="00DA3A91" w:rsidRPr="001B6FDC">
        <w:t xml:space="preserve"> de </w:t>
      </w:r>
      <w:r w:rsidR="002F4C09">
        <w:t>p</w:t>
      </w:r>
      <w:r w:rsidR="002F4C09" w:rsidRPr="001B6FDC">
        <w:t xml:space="preserve">ointes </w:t>
      </w:r>
      <w:r w:rsidR="00DA3A91" w:rsidRPr="001B6FDC">
        <w:t>are well understood and</w:t>
      </w:r>
      <w:r>
        <w:t xml:space="preserve"> unlikely to differ with a long </w:t>
      </w:r>
      <w:r w:rsidR="00DA3A91" w:rsidRPr="001B6FDC">
        <w:t xml:space="preserve">acting depot </w:t>
      </w:r>
      <w:r w:rsidR="00246DC3" w:rsidRPr="001B6FDC">
        <w:t>buprenorphine</w:t>
      </w:r>
      <w:r w:rsidR="00DA3A91" w:rsidRPr="001B6FDC">
        <w:t xml:space="preserve"> formulation.</w:t>
      </w:r>
    </w:p>
    <w:p w14:paraId="05C20E53" w14:textId="77777777" w:rsidR="00DA3A91" w:rsidRDefault="00DA3A91" w:rsidP="00DB5D4C">
      <w:pPr>
        <w:pStyle w:val="Heading5"/>
      </w:pPr>
      <w:r>
        <w:t>Vital signs and clinical examination findings</w:t>
      </w:r>
    </w:p>
    <w:p w14:paraId="00AC4A1E" w14:textId="77777777" w:rsidR="00DA3A91" w:rsidRDefault="00DA3A91" w:rsidP="00DA3A91">
      <w:r>
        <w:t>No safety signals related to vital signs and clinical examination findings were identified.</w:t>
      </w:r>
    </w:p>
    <w:p w14:paraId="6CA40AB5" w14:textId="77777777" w:rsidR="00DA3A91" w:rsidRDefault="00DA3A91" w:rsidP="00DB5D4C">
      <w:pPr>
        <w:pStyle w:val="Heading6"/>
      </w:pPr>
      <w:r>
        <w:t>Integrated safety analyses</w:t>
      </w:r>
    </w:p>
    <w:p w14:paraId="6C3BA93B" w14:textId="77777777" w:rsidR="00DA3A91" w:rsidRDefault="00DA3A91" w:rsidP="00DA3A91">
      <w:r>
        <w:t>No pooled analyses were performed.</w:t>
      </w:r>
    </w:p>
    <w:p w14:paraId="47D81BF8" w14:textId="77777777" w:rsidR="00DA3A91" w:rsidRDefault="00DA3A91" w:rsidP="00DB5D4C">
      <w:pPr>
        <w:pStyle w:val="Heading6"/>
      </w:pPr>
      <w:r>
        <w:t>Pivotal studies that assessed safety as the sole primary outcome</w:t>
      </w:r>
    </w:p>
    <w:p w14:paraId="00140766" w14:textId="75F40566" w:rsidR="00DA3A91" w:rsidRDefault="002F4C09" w:rsidP="00DA3A91">
      <w:r w:rsidRPr="00A01EAF">
        <w:rPr>
          <w:i/>
        </w:rPr>
        <w:t xml:space="preserve">Study </w:t>
      </w:r>
      <w:r w:rsidR="00DA3A91" w:rsidRPr="00A01EAF">
        <w:rPr>
          <w:i/>
        </w:rPr>
        <w:t>HS-14-499:</w:t>
      </w:r>
      <w:r w:rsidR="00DA3A91">
        <w:t xml:space="preserve"> In the OSP, there were few meaningful changes or trends </w:t>
      </w:r>
      <w:r w:rsidR="006516F7">
        <w:t>from Baseline</w:t>
      </w:r>
      <w:r w:rsidR="00DA3A91">
        <w:t xml:space="preserve"> in vital signs. The most com</w:t>
      </w:r>
      <w:r w:rsidR="001B6FDC">
        <w:t xml:space="preserve">mon </w:t>
      </w:r>
      <w:r w:rsidR="00B753B7">
        <w:t xml:space="preserve">vital sign </w:t>
      </w:r>
      <w:r w:rsidR="001B6FDC">
        <w:t>AE was hypertension (3.5%).</w:t>
      </w:r>
    </w:p>
    <w:p w14:paraId="1B6C9445" w14:textId="77777777" w:rsidR="00DA3A91" w:rsidRDefault="00DA3A91" w:rsidP="00DB5D4C">
      <w:pPr>
        <w:pStyle w:val="Heading6"/>
      </w:pPr>
      <w:r>
        <w:t>Pivotal and/or main efficacy studies</w:t>
      </w:r>
    </w:p>
    <w:p w14:paraId="7F54BDB4" w14:textId="2D80062D" w:rsidR="00DA3A91" w:rsidRDefault="002F4C09" w:rsidP="00DA3A91">
      <w:r w:rsidRPr="00A01EAF">
        <w:rPr>
          <w:i/>
        </w:rPr>
        <w:t xml:space="preserve">Study </w:t>
      </w:r>
      <w:r w:rsidR="00DA3A91" w:rsidRPr="00A01EAF">
        <w:rPr>
          <w:i/>
        </w:rPr>
        <w:t>HS-11-421</w:t>
      </w:r>
      <w:r w:rsidR="00DA3A91">
        <w:t xml:space="preserve">: In the </w:t>
      </w:r>
      <w:r w:rsidR="001B6FDC">
        <w:t>s</w:t>
      </w:r>
      <w:r w:rsidR="001B6FDC" w:rsidRPr="001B6FDC">
        <w:t xml:space="preserve">afety population </w:t>
      </w:r>
      <w:r w:rsidR="001B6FDC">
        <w:t>(</w:t>
      </w:r>
      <w:r w:rsidR="00DA3A91">
        <w:t>SP</w:t>
      </w:r>
      <w:r w:rsidR="001B6FDC">
        <w:t>)</w:t>
      </w:r>
      <w:r w:rsidR="00DA3A91">
        <w:t xml:space="preserve">, there were few meaningful changes or trends </w:t>
      </w:r>
      <w:r w:rsidR="006516F7">
        <w:t>from Baseline</w:t>
      </w:r>
      <w:r w:rsidR="00DA3A91">
        <w:t xml:space="preserve"> in vital signs. The most common </w:t>
      </w:r>
      <w:r w:rsidR="00B753B7">
        <w:t xml:space="preserve">vital sign </w:t>
      </w:r>
      <w:r w:rsidR="00DA3A91">
        <w:t>AE was tachycardia (2.3% in each group).</w:t>
      </w:r>
    </w:p>
    <w:p w14:paraId="70FE8C30" w14:textId="77777777" w:rsidR="00DA3A91" w:rsidRDefault="00DA3A91" w:rsidP="00DB5D4C">
      <w:pPr>
        <w:pStyle w:val="Heading5"/>
      </w:pPr>
      <w:r>
        <w:lastRenderedPageBreak/>
        <w:t>Immunogenicity and immunological events</w:t>
      </w:r>
    </w:p>
    <w:p w14:paraId="7054F98E" w14:textId="77777777" w:rsidR="00DA3A91" w:rsidRDefault="00DA3A91" w:rsidP="00DA3A91">
      <w:r>
        <w:t>Not applicable.</w:t>
      </w:r>
    </w:p>
    <w:p w14:paraId="06F6C0FD" w14:textId="77777777" w:rsidR="00DA3A91" w:rsidRDefault="00DA3A91" w:rsidP="00DB5D4C">
      <w:pPr>
        <w:pStyle w:val="Heading5"/>
      </w:pPr>
      <w:r>
        <w:t>Serious skin reactions</w:t>
      </w:r>
    </w:p>
    <w:p w14:paraId="43565BE3" w14:textId="77777777" w:rsidR="00DA3A91" w:rsidRDefault="00DA3A91" w:rsidP="00DA3A91">
      <w:r>
        <w:t xml:space="preserve">Non-severe injection site reactions were common. No serious skin reactions (including erythema </w:t>
      </w:r>
      <w:proofErr w:type="spellStart"/>
      <w:r>
        <w:t>multiforme</w:t>
      </w:r>
      <w:proofErr w:type="spellEnd"/>
      <w:r>
        <w:t>, Stevens Johnson syndrome or toxic epidermal necrolysis) were reported in any study.</w:t>
      </w:r>
    </w:p>
    <w:p w14:paraId="630FF339" w14:textId="77777777" w:rsidR="00DA3A91" w:rsidRDefault="00DA3A91" w:rsidP="00DB5D4C">
      <w:pPr>
        <w:pStyle w:val="Heading5"/>
      </w:pPr>
      <w:r>
        <w:t>Other safety parameters</w:t>
      </w:r>
    </w:p>
    <w:p w14:paraId="75F2B0CA" w14:textId="77777777" w:rsidR="00DA3A91" w:rsidRDefault="00DA3A91" w:rsidP="00DB5D4C">
      <w:pPr>
        <w:pStyle w:val="Heading6"/>
      </w:pPr>
      <w:r>
        <w:t>Integrated safety analyses</w:t>
      </w:r>
    </w:p>
    <w:p w14:paraId="7A75227A" w14:textId="77777777" w:rsidR="00DA3A91" w:rsidRDefault="00DA3A91" w:rsidP="00DA3A91">
      <w:r>
        <w:t>No pooled analyses were performed.</w:t>
      </w:r>
    </w:p>
    <w:p w14:paraId="7AB88E24" w14:textId="77777777" w:rsidR="00DA3A91" w:rsidRDefault="00DA3A91" w:rsidP="00DB5D4C">
      <w:pPr>
        <w:pStyle w:val="Heading6"/>
      </w:pPr>
      <w:r>
        <w:t>Main/pivotal studies that assessed safety as the sole primary outcome</w:t>
      </w:r>
    </w:p>
    <w:p w14:paraId="1531E39B" w14:textId="2379CA62" w:rsidR="00DA3A91" w:rsidRDefault="002F4C09" w:rsidP="00DB5D4C">
      <w:pPr>
        <w:pStyle w:val="Heading7"/>
      </w:pPr>
      <w:r>
        <w:t xml:space="preserve">Study </w:t>
      </w:r>
      <w:r w:rsidR="00DA3A91">
        <w:t>HS-14-499: Injection site adverse events</w:t>
      </w:r>
    </w:p>
    <w:p w14:paraId="24672AD4" w14:textId="7CA525E4" w:rsidR="00DA3A91" w:rsidRDefault="00DA3A91" w:rsidP="00DA3A91">
      <w:r>
        <w:t xml:space="preserve">In the OSP, 20.3% of subjects had at least one injection site AE, most commonly pain (15.4%), swelling (11.9%), erythema (9.3%), and pruritus (2.6%). Most events were assumed to be drug related but one event was related to infection. All but one event was mild to moderate in intensity. Two injection site ulcers resolved spontaneously on study. There was one severe AE of injection site pain, which occurred and resolved on Day 1. There were no injection site SAEs. In the OSP, injection site AEs occurred in 23.2% of subjects who were receiving SL </w:t>
      </w:r>
      <w:r w:rsidR="00246DC3">
        <w:t>buprenorphine</w:t>
      </w:r>
      <w:r w:rsidR="001B6FDC">
        <w:t>/naloxone</w:t>
      </w:r>
      <w:r>
        <w:t xml:space="preserve"> at entry, but in only 5.4% of subjects not receiving SL </w:t>
      </w:r>
      <w:r w:rsidR="00246DC3">
        <w:t>buprenorphine</w:t>
      </w:r>
      <w:r w:rsidR="001B6FDC">
        <w:t>/naloxone.</w:t>
      </w:r>
    </w:p>
    <w:p w14:paraId="24E2CDD3" w14:textId="1255E9DF" w:rsidR="00DA3A91" w:rsidRDefault="002F4C09" w:rsidP="00DB5D4C">
      <w:pPr>
        <w:pStyle w:val="Heading7"/>
      </w:pPr>
      <w:r>
        <w:t xml:space="preserve">Study </w:t>
      </w:r>
      <w:r w:rsidR="00DA3A91">
        <w:t>HS-14-499: Columbia Suicide Severity Rating scale</w:t>
      </w:r>
    </w:p>
    <w:p w14:paraId="2BFEE415" w14:textId="77777777" w:rsidR="00DA3A91" w:rsidRDefault="00DA3A91" w:rsidP="00DA3A91">
      <w:r>
        <w:t>A total of nine (5.8%) subjects reported suicidal ideation at least once after Day 1 on study. None of the subjects attempted suicide.</w:t>
      </w:r>
    </w:p>
    <w:p w14:paraId="6C80B798" w14:textId="7963B198" w:rsidR="00DA3A91" w:rsidRDefault="002F4C09" w:rsidP="00DB5D4C">
      <w:pPr>
        <w:pStyle w:val="Heading7"/>
      </w:pPr>
      <w:r>
        <w:t xml:space="preserve">Study </w:t>
      </w:r>
      <w:r w:rsidR="00DA3A91">
        <w:t>HS-14-499: Pregnancies</w:t>
      </w:r>
    </w:p>
    <w:p w14:paraId="21102461" w14:textId="05C1E29A" w:rsidR="00DA3A91" w:rsidRDefault="00DA3A91" w:rsidP="00DA3A91">
      <w:r>
        <w:t xml:space="preserve">Three pregnancies occurred during the study, and two subjects had elective </w:t>
      </w:r>
      <w:r w:rsidR="009B7D36">
        <w:t>terminations of pregnancy</w:t>
      </w:r>
      <w:r>
        <w:t xml:space="preserve">. One subject withdrew from the study and delivered a baby with drug withdrawal syndrome, reported as a non-treatment related SAE. Before discontinuing treatment, the infant was exposed to study drug for 5 weeks and to prescription non-study SL </w:t>
      </w:r>
      <w:r w:rsidR="00246DC3">
        <w:t>buprenorphine</w:t>
      </w:r>
      <w:r w:rsidR="001B6FDC">
        <w:t>/naloxone</w:t>
      </w:r>
      <w:r>
        <w:t xml:space="preserve"> for 8 months. The infant was treated with morphine for three days after delivery.</w:t>
      </w:r>
    </w:p>
    <w:p w14:paraId="03504EEB" w14:textId="77777777" w:rsidR="00DA3A91" w:rsidRDefault="00DA3A91" w:rsidP="00DB5D4C">
      <w:pPr>
        <w:pStyle w:val="Heading6"/>
      </w:pPr>
      <w:r>
        <w:t>Pivotal and/or main efficacy studies</w:t>
      </w:r>
    </w:p>
    <w:p w14:paraId="3AF05142" w14:textId="608AC98B" w:rsidR="00DB5D4C" w:rsidRDefault="00261F67" w:rsidP="00DB5D4C">
      <w:pPr>
        <w:pStyle w:val="Heading7"/>
      </w:pPr>
      <w:r>
        <w:t xml:space="preserve">Study </w:t>
      </w:r>
      <w:r w:rsidR="00DB5D4C">
        <w:t>HS-11-421</w:t>
      </w:r>
    </w:p>
    <w:p w14:paraId="306A1A2F" w14:textId="591F67DF" w:rsidR="00DA3A91" w:rsidRPr="001B6FDC" w:rsidRDefault="001B6FDC" w:rsidP="001B6FDC">
      <w:pPr>
        <w:pStyle w:val="ListBullet"/>
      </w:pPr>
      <w:r w:rsidRPr="001B6FDC">
        <w:t xml:space="preserve">Injection site reaction: </w:t>
      </w:r>
      <w:r w:rsidR="00DA3A91" w:rsidRPr="001B6FDC">
        <w:t xml:space="preserve">Clinically significant injection site reactions are provided in the </w:t>
      </w:r>
      <w:r w:rsidRPr="001B6FDC">
        <w:t>clinical study report</w:t>
      </w:r>
      <w:r w:rsidR="00DA3A91" w:rsidRPr="001B6FDC">
        <w:t xml:space="preserve">. </w:t>
      </w:r>
      <w:r w:rsidR="000561FD" w:rsidRPr="001B6FDC">
        <w:t xml:space="preserve">However, no summary table for injection site adverse events has been provided (see </w:t>
      </w:r>
      <w:r w:rsidR="009B7D36">
        <w:t xml:space="preserve">Section: </w:t>
      </w:r>
      <w:r w:rsidR="000561FD" w:rsidRPr="001B6FDC">
        <w:t xml:space="preserve">Clinical </w:t>
      </w:r>
      <w:r w:rsidR="009B7D36">
        <w:t>q</w:t>
      </w:r>
      <w:r w:rsidR="000561FD" w:rsidRPr="001B6FDC">
        <w:t>uestions</w:t>
      </w:r>
      <w:r w:rsidR="009B7D36">
        <w:t>, below</w:t>
      </w:r>
      <w:r w:rsidR="000561FD" w:rsidRPr="001B6FDC">
        <w:t>).</w:t>
      </w:r>
    </w:p>
    <w:p w14:paraId="241E1C8B" w14:textId="29EE8337" w:rsidR="00DA3A91" w:rsidRPr="001B6FDC" w:rsidRDefault="00DA3A91" w:rsidP="001B6FDC">
      <w:pPr>
        <w:pStyle w:val="ListBullet"/>
      </w:pPr>
      <w:r w:rsidRPr="001B6FDC">
        <w:t>Columbi</w:t>
      </w:r>
      <w:r w:rsidR="001B6FDC" w:rsidRPr="001B6FDC">
        <w:t xml:space="preserve">a Suicide Severity Rating scale: </w:t>
      </w:r>
      <w:r w:rsidRPr="001B6FDC">
        <w:t xml:space="preserve">There were no meaningful differences between treatment groups for suicide ideation. Eleven (2.6%) subjects reported suicidal ideation at least once since the last study visit. One subject in the SL </w:t>
      </w:r>
      <w:r w:rsidR="00246DC3" w:rsidRPr="001B6FDC">
        <w:t>buprenorphine</w:t>
      </w:r>
      <w:r w:rsidR="008E61F9">
        <w:t>/naloxone</w:t>
      </w:r>
      <w:r w:rsidRPr="001B6FDC">
        <w:t xml:space="preserve"> group unsuccessfully attempted suicide by overdose.</w:t>
      </w:r>
    </w:p>
    <w:p w14:paraId="6DEA8466" w14:textId="7BCF18F6" w:rsidR="00DA3A91" w:rsidRPr="001B6FDC" w:rsidRDefault="001B6FDC" w:rsidP="001B6FDC">
      <w:pPr>
        <w:pStyle w:val="ListBullet"/>
      </w:pPr>
      <w:r w:rsidRPr="001B6FDC">
        <w:t xml:space="preserve">Pregnancies: </w:t>
      </w:r>
      <w:r w:rsidR="00DA3A91" w:rsidRPr="001B6FDC">
        <w:t xml:space="preserve">Four pregnancies occurred during the study. One subject had a spontaneous abortion, and two subjects had elective </w:t>
      </w:r>
      <w:r w:rsidR="009B7D36">
        <w:t>terminations of pregnancy</w:t>
      </w:r>
      <w:r w:rsidR="00DA3A91" w:rsidRPr="001B6FDC">
        <w:t>. One subject discontinued the study because of the p</w:t>
      </w:r>
      <w:r w:rsidR="008E61F9">
        <w:t xml:space="preserve">regnancy and was lost to follow </w:t>
      </w:r>
      <w:r w:rsidR="00DA3A91" w:rsidRPr="001B6FDC">
        <w:t>up.</w:t>
      </w:r>
    </w:p>
    <w:p w14:paraId="58E62953" w14:textId="77777777" w:rsidR="00DA3A91" w:rsidRDefault="00DA3A91" w:rsidP="00DB5D4C">
      <w:pPr>
        <w:pStyle w:val="Heading5"/>
      </w:pPr>
      <w:r>
        <w:t>Safety in special populations</w:t>
      </w:r>
    </w:p>
    <w:p w14:paraId="10CC4121" w14:textId="25AE1B5F" w:rsidR="00DA3A91" w:rsidRDefault="001B6FDC" w:rsidP="00DA3A91">
      <w:r>
        <w:t>In the pooled Phase III</w:t>
      </w:r>
      <w:r w:rsidR="00DA3A91">
        <w:t xml:space="preserve"> studies, the AE profile of CAM2038 was not markedly influenced by gender, age, race, or </w:t>
      </w:r>
      <w:r w:rsidR="00A51F27">
        <w:t>b</w:t>
      </w:r>
      <w:r w:rsidR="00A51F27" w:rsidRPr="00A51F27">
        <w:t xml:space="preserve">ody mass index </w:t>
      </w:r>
      <w:r w:rsidR="00A51F27">
        <w:t>(</w:t>
      </w:r>
      <w:r w:rsidR="00DA3A91">
        <w:t>BMI</w:t>
      </w:r>
      <w:r w:rsidR="00A51F27">
        <w:t>)</w:t>
      </w:r>
      <w:r w:rsidR="00DA3A91">
        <w:t xml:space="preserve"> with the following exceptions. More women than men treated with CAM2038 re</w:t>
      </w:r>
      <w:r>
        <w:t>ported at least one AE (67.6% versus</w:t>
      </w:r>
      <w:r w:rsidR="00DA3A91">
        <w:t xml:space="preserve"> 57.6%); and AEs </w:t>
      </w:r>
      <w:r w:rsidR="00DA3A91">
        <w:lastRenderedPageBreak/>
        <w:t>occurred more commonly in White subjects compar</w:t>
      </w:r>
      <w:r>
        <w:t>ed with Black subjects (65.5% versus</w:t>
      </w:r>
      <w:r w:rsidR="00DA3A91">
        <w:t xml:space="preserve"> 35.8%). </w:t>
      </w:r>
      <w:r>
        <w:t>Adverse drug reactions (</w:t>
      </w:r>
      <w:r w:rsidR="00DA3A91">
        <w:t>ADRs</w:t>
      </w:r>
      <w:r>
        <w:t>)</w:t>
      </w:r>
      <w:r w:rsidR="00DA3A91">
        <w:t xml:space="preserve"> also occurred more commonly in White subjects compar</w:t>
      </w:r>
      <w:r>
        <w:t>ed with Black subjects (32.6% versus</w:t>
      </w:r>
      <w:r w:rsidR="00DA3A91">
        <w:t xml:space="preserve"> 7.5%).</w:t>
      </w:r>
    </w:p>
    <w:p w14:paraId="06EB38A7" w14:textId="3BC0F04B" w:rsidR="00DA3A91" w:rsidRDefault="00DA3A91" w:rsidP="00DB5D4C">
      <w:pPr>
        <w:pStyle w:val="Heading5"/>
      </w:pPr>
      <w:r>
        <w:t xml:space="preserve">Safety related to drug-drug interactions </w:t>
      </w:r>
      <w:r w:rsidR="001B6FDC">
        <w:t xml:space="preserve">(DDIs) </w:t>
      </w:r>
      <w:r>
        <w:t>and other interactions</w:t>
      </w:r>
    </w:p>
    <w:p w14:paraId="08E911D9" w14:textId="4F939F0D" w:rsidR="00DA3A91" w:rsidRPr="00500337" w:rsidRDefault="00DA3A91" w:rsidP="00DA3A91">
      <w:r>
        <w:t xml:space="preserve">No new data was provided by the sponsor in relation to DDIs or other interactions. However, the Australian PI for </w:t>
      </w:r>
      <w:proofErr w:type="spellStart"/>
      <w:r>
        <w:t>Temgesic</w:t>
      </w:r>
      <w:proofErr w:type="spellEnd"/>
      <w:r>
        <w:t xml:space="preserve"> (SL and IV </w:t>
      </w:r>
      <w:r w:rsidR="00246DC3">
        <w:t>buprenorphine</w:t>
      </w:r>
      <w:r>
        <w:t xml:space="preserve">) identifies and describes a number adverse DDIs between </w:t>
      </w:r>
      <w:r w:rsidR="00246DC3">
        <w:t>buprenorphine</w:t>
      </w:r>
      <w:r>
        <w:t xml:space="preserve"> and other drugs and these have been transcribed in </w:t>
      </w:r>
      <w:r w:rsidR="001B6FDC">
        <w:t>the clinical evaluation report</w:t>
      </w:r>
      <w:r>
        <w:t xml:space="preserve">. Given the evidence that the bioavailability of CAM2038 is higher than that of either SL or IV </w:t>
      </w:r>
      <w:r w:rsidR="00246DC3">
        <w:t>buprenorphine</w:t>
      </w:r>
      <w:r>
        <w:t xml:space="preserve">, it would suggest that the possibility of adverse DDIs would be increased if CAM2038 was administered at equivalent </w:t>
      </w:r>
      <w:r w:rsidR="00246DC3">
        <w:t>buprenorphine</w:t>
      </w:r>
      <w:r>
        <w:t xml:space="preserve"> doses to </w:t>
      </w:r>
      <w:proofErr w:type="spellStart"/>
      <w:r>
        <w:t>Temgesic</w:t>
      </w:r>
      <w:proofErr w:type="spellEnd"/>
      <w:r>
        <w:t>.</w:t>
      </w:r>
    </w:p>
    <w:p w14:paraId="705E67A1" w14:textId="445EFD04" w:rsidR="00605AD4" w:rsidRDefault="00605AD4" w:rsidP="00605AD4">
      <w:pPr>
        <w:pStyle w:val="Heading4"/>
      </w:pPr>
      <w:r w:rsidRPr="00605AD4">
        <w:t>Post</w:t>
      </w:r>
      <w:r w:rsidR="007534C6">
        <w:t xml:space="preserve"> </w:t>
      </w:r>
      <w:r w:rsidRPr="00605AD4">
        <w:t>marketing data</w:t>
      </w:r>
    </w:p>
    <w:p w14:paraId="70BA755C" w14:textId="77777777" w:rsidR="00500337" w:rsidRPr="00500337" w:rsidRDefault="00DB5D4C" w:rsidP="00500337">
      <w:r w:rsidRPr="00DB5D4C">
        <w:t>Not applicable.</w:t>
      </w:r>
    </w:p>
    <w:p w14:paraId="3C353D96" w14:textId="77777777" w:rsidR="00605AD4" w:rsidRPr="00605AD4" w:rsidRDefault="00605AD4" w:rsidP="00605AD4">
      <w:pPr>
        <w:pStyle w:val="Heading4"/>
      </w:pPr>
      <w:r w:rsidRPr="00605AD4">
        <w:t>Evaluator’s conclusions on safety</w:t>
      </w:r>
    </w:p>
    <w:p w14:paraId="6188845F" w14:textId="260616E3" w:rsidR="00DB5D4C" w:rsidRDefault="00DB5D4C" w:rsidP="00DB5D4C">
      <w:r>
        <w:t xml:space="preserve">The safety and tolerance of CAM2038 have been assessed in 594 subjects across studies in subjects with </w:t>
      </w:r>
      <w:r w:rsidR="001B6FDC">
        <w:t xml:space="preserve">opioid dependence </w:t>
      </w:r>
      <w:r w:rsidR="005550BE">
        <w:t xml:space="preserve">of which </w:t>
      </w:r>
      <w:r w:rsidR="001B6FDC">
        <w:t xml:space="preserve">two </w:t>
      </w:r>
      <w:r w:rsidR="005550BE">
        <w:t xml:space="preserve">were </w:t>
      </w:r>
      <w:r w:rsidR="001B6FDC">
        <w:t>Phase III</w:t>
      </w:r>
      <w:r>
        <w:t xml:space="preserve"> studies. I</w:t>
      </w:r>
      <w:r w:rsidR="006516F7">
        <w:t>n the pivotal efficacy Study </w:t>
      </w:r>
      <w:r w:rsidR="001B6FDC">
        <w:t>HS</w:t>
      </w:r>
      <w:r w:rsidR="001B6FDC">
        <w:noBreakHyphen/>
      </w:r>
      <w:r>
        <w:t xml:space="preserve">11-421, the safety of CAM20238 was compared with SL </w:t>
      </w:r>
      <w:r w:rsidR="00246DC3">
        <w:t>buprenorphine</w:t>
      </w:r>
      <w:r w:rsidR="001B6FDC">
        <w:t xml:space="preserve"> given for 24 </w:t>
      </w:r>
      <w:r>
        <w:t>weeks in dou</w:t>
      </w:r>
      <w:r w:rsidR="001B6FDC">
        <w:t xml:space="preserve">ble </w:t>
      </w:r>
      <w:r>
        <w:t>blind fashion. The long-term safety of CAM2038 given for 48</w:t>
      </w:r>
      <w:r w:rsidR="009B7D36">
        <w:t> </w:t>
      </w:r>
      <w:r w:rsidR="001B6FDC">
        <w:t>weeks was assessed in the open label S</w:t>
      </w:r>
      <w:r w:rsidR="008E61F9">
        <w:t>tudy HS-</w:t>
      </w:r>
      <w:r>
        <w:t>14-499. The pattern of AEs was comparable in both studies, and in the integrated analysis.</w:t>
      </w:r>
    </w:p>
    <w:p w14:paraId="4D4B2B65" w14:textId="6D97C213" w:rsidR="00DB5D4C" w:rsidRDefault="00DB5D4C" w:rsidP="00DB5D4C">
      <w:r>
        <w:t xml:space="preserve">Overall, CAM2038 given weekly or monthly was well tolerated and comparable to SL </w:t>
      </w:r>
      <w:r w:rsidR="00246DC3">
        <w:t>buprenorphine</w:t>
      </w:r>
      <w:r>
        <w:t xml:space="preserve">. In HS-11-421, the pattern of AEs in both treatment groups was consistent with the </w:t>
      </w:r>
      <w:r w:rsidR="001B6FDC">
        <w:t>well-known</w:t>
      </w:r>
      <w:r>
        <w:t xml:space="preserve"> effects of opioids including nausea, vomiting, and constipation. The most frequent AEs were injection site related, most commonly erythema, swelling, pain, and pruritus. However, nearly all injection site reactions were mild to moderate in severity, and were equally common in subjects given placebo injections. In the integrated safety analysis only 4.8% of AEs were severe in intensity. Overall, only one death was reported, a road traffic accident considered unre</w:t>
      </w:r>
      <w:r w:rsidR="001B6FDC">
        <w:t xml:space="preserve">lated to treatment. In the open </w:t>
      </w:r>
      <w:r>
        <w:t xml:space="preserve">label study, 5.5% of subjects reported SAEs but none were considered related. In the controlled study, only one SAE was considered drug related, a subject given CAM2038 who required IV rehydration following vomiting. No cases of overdose (manifested usually by respiratory depression) were reported. No cases of accidental IV injection were reported. Overall, seven pregnancies were reported, five of which were terminated by spontaneous or elective abortions, and </w:t>
      </w:r>
      <w:r w:rsidR="001B6FDC">
        <w:t xml:space="preserve">one of which was lost to follow </w:t>
      </w:r>
      <w:r>
        <w:t>up. One pregnancy resulted in the birth of an otherwise healthy neonate who required morphine for withdrawal symptoms.</w:t>
      </w:r>
    </w:p>
    <w:p w14:paraId="57CC9755" w14:textId="4A0D6C7C" w:rsidR="00DB5D4C" w:rsidRDefault="00DB5D4C" w:rsidP="00DB5D4C">
      <w:r>
        <w:t>The pattern of AEs was not influenced by age although no subjects aged less than 18 or greater than 65 years of age were studied. More AEs were reported in women than men, and in White</w:t>
      </w:r>
      <w:r w:rsidR="009B7D36">
        <w:t xml:space="preserve"> subjects</w:t>
      </w:r>
      <w:r>
        <w:t xml:space="preserve"> compared with Black</w:t>
      </w:r>
      <w:r w:rsidR="009B7D36">
        <w:t xml:space="preserve"> subjects</w:t>
      </w:r>
      <w:r>
        <w:t xml:space="preserve">. Subjects with significant hepatic or renal impairment were excluded from both studies. Concomitant CYP3A4 inhibitors and inducers were also excluded. No meaningful effects on </w:t>
      </w:r>
      <w:proofErr w:type="spellStart"/>
      <w:r>
        <w:t>QTc</w:t>
      </w:r>
      <w:proofErr w:type="spellEnd"/>
      <w:r>
        <w:t xml:space="preserve"> were observed and there were no cases of respiratory depression. Hepatic i</w:t>
      </w:r>
      <w:r w:rsidR="001B6FDC">
        <w:t xml:space="preserve">njury has been reported in post </w:t>
      </w:r>
      <w:r>
        <w:t xml:space="preserve">marketing surveillance of other </w:t>
      </w:r>
      <w:r w:rsidR="00246DC3">
        <w:t>buprenorphine</w:t>
      </w:r>
      <w:r>
        <w:t xml:space="preserve"> products but no cases of significant injury were reported in the study program.</w:t>
      </w:r>
    </w:p>
    <w:p w14:paraId="5ED68952" w14:textId="0C9E7016" w:rsidR="00605AD4" w:rsidRPr="00605AD4" w:rsidRDefault="00DB5D4C" w:rsidP="00DB5D4C">
      <w:r>
        <w:t>Overall, the pattern and</w:t>
      </w:r>
      <w:r w:rsidR="001B6FDC">
        <w:t xml:space="preserve"> frequency of AEs in the Phase III</w:t>
      </w:r>
      <w:r>
        <w:t xml:space="preserve"> program was consistent with the literature base for </w:t>
      </w:r>
      <w:r w:rsidR="00246DC3">
        <w:t>buprenorphine</w:t>
      </w:r>
      <w:r>
        <w:t xml:space="preserve"> and methadone. The safety profile of CAM2038 given weekly or monthly is comparable to that of SL </w:t>
      </w:r>
      <w:r w:rsidR="00246DC3">
        <w:t>buprenorphine</w:t>
      </w:r>
      <w:r w:rsidR="001B6FDC">
        <w:t>/naloxone</w:t>
      </w:r>
      <w:r>
        <w:t>, a widely used standard of care in Australia.</w:t>
      </w:r>
    </w:p>
    <w:p w14:paraId="675EE8C7" w14:textId="78938B09" w:rsidR="00605AD4" w:rsidRPr="00605AD4" w:rsidRDefault="00605AD4" w:rsidP="00605AD4">
      <w:pPr>
        <w:pStyle w:val="Heading3"/>
        <w:rPr>
          <w:rFonts w:eastAsia="Cambria"/>
        </w:rPr>
      </w:pPr>
      <w:bookmarkStart w:id="105" w:name="_Toc24539933"/>
      <w:r w:rsidRPr="00605AD4">
        <w:rPr>
          <w:rFonts w:eastAsia="Cambria"/>
        </w:rPr>
        <w:lastRenderedPageBreak/>
        <w:t xml:space="preserve">First </w:t>
      </w:r>
      <w:r w:rsidR="00471927" w:rsidRPr="00605AD4">
        <w:rPr>
          <w:rFonts w:eastAsia="Cambria"/>
        </w:rPr>
        <w:t>round benefit-risk assessment</w:t>
      </w:r>
      <w:bookmarkEnd w:id="105"/>
    </w:p>
    <w:p w14:paraId="3F14F9E7" w14:textId="7D69912F" w:rsidR="00605AD4" w:rsidRDefault="00605AD4" w:rsidP="00605AD4">
      <w:pPr>
        <w:pStyle w:val="Heading4"/>
      </w:pPr>
      <w:r w:rsidRPr="00605AD4">
        <w:t>First round assessment of benefits</w:t>
      </w:r>
    </w:p>
    <w:p w14:paraId="55F3B355" w14:textId="1E92D1CD" w:rsidR="001B6FDC" w:rsidRDefault="001B6FDC" w:rsidP="001B6FDC">
      <w:r>
        <w:fldChar w:fldCharType="begin"/>
      </w:r>
      <w:r>
        <w:instrText xml:space="preserve"> REF _Ref18590995 \h </w:instrText>
      </w:r>
      <w:r>
        <w:fldChar w:fldCharType="separate"/>
      </w:r>
      <w:r w:rsidR="008E61F9">
        <w:t xml:space="preserve">Table </w:t>
      </w:r>
      <w:r w:rsidR="008E61F9">
        <w:rPr>
          <w:noProof/>
        </w:rPr>
        <w:t>3</w:t>
      </w:r>
      <w:r>
        <w:fldChar w:fldCharType="end"/>
      </w:r>
      <w:r>
        <w:t xml:space="preserve"> summarises the assessment of benefits of </w:t>
      </w:r>
      <w:r w:rsidRPr="001B6FDC">
        <w:t>CAM2038</w:t>
      </w:r>
      <w:r>
        <w:t xml:space="preserve"> for the proposed indication at the first round of evaluation.</w:t>
      </w:r>
    </w:p>
    <w:p w14:paraId="3AB98232" w14:textId="67757931" w:rsidR="001B6FDC" w:rsidRPr="001B6FDC" w:rsidRDefault="001B6FDC" w:rsidP="001B6FDC">
      <w:pPr>
        <w:pStyle w:val="TableTitle"/>
      </w:pPr>
      <w:bookmarkStart w:id="106" w:name="_Ref18590995"/>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827533">
        <w:rPr>
          <w:noProof/>
        </w:rPr>
        <w:t>3</w:t>
      </w:r>
      <w:r w:rsidR="00553795">
        <w:rPr>
          <w:noProof/>
        </w:rPr>
        <w:fldChar w:fldCharType="end"/>
      </w:r>
      <w:bookmarkEnd w:id="106"/>
      <w:r>
        <w:t>: First round assessment of benefits</w:t>
      </w:r>
    </w:p>
    <w:tbl>
      <w:tblPr>
        <w:tblStyle w:val="TableTGAblue"/>
        <w:tblW w:w="0" w:type="auto"/>
        <w:tblLook w:val="04A0" w:firstRow="1" w:lastRow="0" w:firstColumn="1" w:lastColumn="0" w:noHBand="0" w:noVBand="1"/>
      </w:tblPr>
      <w:tblGrid>
        <w:gridCol w:w="4420"/>
        <w:gridCol w:w="4192"/>
      </w:tblGrid>
      <w:tr w:rsidR="00DB5D4C" w:rsidRPr="00DB5D4C" w14:paraId="3E4AAFE1" w14:textId="77777777" w:rsidTr="00DB5D4C">
        <w:trPr>
          <w:cnfStyle w:val="100000000000" w:firstRow="1" w:lastRow="0" w:firstColumn="0" w:lastColumn="0" w:oddVBand="0" w:evenVBand="0" w:oddHBand="0" w:evenHBand="0" w:firstRowFirstColumn="0" w:firstRowLastColumn="0" w:lastRowFirstColumn="0" w:lastRowLastColumn="0"/>
        </w:trPr>
        <w:tc>
          <w:tcPr>
            <w:tcW w:w="4420" w:type="dxa"/>
          </w:tcPr>
          <w:p w14:paraId="22C3E411" w14:textId="77777777" w:rsidR="00DB5D4C" w:rsidRPr="00DB5D4C" w:rsidRDefault="00DB5D4C" w:rsidP="00DB5D4C">
            <w:pPr>
              <w:rPr>
                <w:b w:val="0"/>
                <w:sz w:val="20"/>
                <w:szCs w:val="20"/>
              </w:rPr>
            </w:pPr>
            <w:r w:rsidRPr="00DB5D4C">
              <w:rPr>
                <w:sz w:val="20"/>
                <w:szCs w:val="20"/>
              </w:rPr>
              <w:t>Benefits</w:t>
            </w:r>
          </w:p>
        </w:tc>
        <w:tc>
          <w:tcPr>
            <w:tcW w:w="4192" w:type="dxa"/>
          </w:tcPr>
          <w:p w14:paraId="50112F26" w14:textId="77777777" w:rsidR="00DB5D4C" w:rsidRPr="00DB5D4C" w:rsidRDefault="00DB5D4C" w:rsidP="00DB5D4C">
            <w:pPr>
              <w:rPr>
                <w:b w:val="0"/>
                <w:sz w:val="20"/>
                <w:szCs w:val="20"/>
              </w:rPr>
            </w:pPr>
            <w:r w:rsidRPr="00DB5D4C">
              <w:rPr>
                <w:sz w:val="20"/>
                <w:szCs w:val="20"/>
              </w:rPr>
              <w:t>Strengths and Uncertainties</w:t>
            </w:r>
          </w:p>
        </w:tc>
      </w:tr>
      <w:tr w:rsidR="00DB5D4C" w:rsidRPr="00DB5D4C" w14:paraId="040C97DD" w14:textId="77777777" w:rsidTr="00DB5D4C">
        <w:tc>
          <w:tcPr>
            <w:tcW w:w="4420" w:type="dxa"/>
          </w:tcPr>
          <w:p w14:paraId="524A13DE" w14:textId="77777777" w:rsidR="00DB5D4C" w:rsidRPr="00DB5D4C" w:rsidRDefault="00DB5D4C" w:rsidP="00DB5D4C">
            <w:pPr>
              <w:pStyle w:val="ListBullet"/>
              <w:rPr>
                <w:sz w:val="20"/>
                <w:szCs w:val="20"/>
              </w:rPr>
            </w:pPr>
            <w:r w:rsidRPr="00DB5D4C">
              <w:rPr>
                <w:sz w:val="20"/>
                <w:szCs w:val="20"/>
              </w:rPr>
              <w:t>Rapid and sustained suppression of withdrawal symptoms and cravings.</w:t>
            </w:r>
          </w:p>
          <w:p w14:paraId="7EE91046" w14:textId="3153CB7B" w:rsidR="00DB5D4C" w:rsidRPr="00DB5D4C" w:rsidRDefault="00DB5D4C" w:rsidP="00DB5D4C">
            <w:pPr>
              <w:pStyle w:val="ListBullet"/>
              <w:rPr>
                <w:sz w:val="20"/>
                <w:szCs w:val="20"/>
              </w:rPr>
            </w:pPr>
            <w:r w:rsidRPr="00DB5D4C">
              <w:rPr>
                <w:sz w:val="20"/>
                <w:szCs w:val="20"/>
              </w:rPr>
              <w:t xml:space="preserve">Non-inferior efficacy compared with daily SL </w:t>
            </w:r>
            <w:r w:rsidR="00246DC3">
              <w:rPr>
                <w:sz w:val="20"/>
                <w:szCs w:val="20"/>
              </w:rPr>
              <w:t>buprenorphine</w:t>
            </w:r>
            <w:r w:rsidR="001B6FDC">
              <w:rPr>
                <w:sz w:val="20"/>
                <w:szCs w:val="20"/>
              </w:rPr>
              <w:t>/naloxone</w:t>
            </w:r>
            <w:r w:rsidRPr="00DB5D4C">
              <w:rPr>
                <w:sz w:val="20"/>
                <w:szCs w:val="20"/>
              </w:rPr>
              <w:t xml:space="preserve"> for RR (FDA endpoint), and percentage of urine samples negative for illicit opioids (EMA endpoint).</w:t>
            </w:r>
          </w:p>
          <w:p w14:paraId="4E224B75" w14:textId="77777777" w:rsidR="00DB5D4C" w:rsidRPr="00DB5D4C" w:rsidRDefault="00DB5D4C" w:rsidP="00DB5D4C">
            <w:pPr>
              <w:pStyle w:val="ListBullet"/>
              <w:rPr>
                <w:sz w:val="20"/>
                <w:szCs w:val="20"/>
              </w:rPr>
            </w:pPr>
            <w:r w:rsidRPr="00DB5D4C">
              <w:rPr>
                <w:sz w:val="20"/>
                <w:szCs w:val="20"/>
              </w:rPr>
              <w:t>Controlled, supervised administration of CAM2038 is likely to improve treatment compliance with medication assisted programs.</w:t>
            </w:r>
          </w:p>
          <w:p w14:paraId="14B5B56D" w14:textId="77777777" w:rsidR="00885CE7" w:rsidRDefault="00DB5D4C" w:rsidP="00DB5D4C">
            <w:pPr>
              <w:pStyle w:val="ListBullet"/>
              <w:rPr>
                <w:sz w:val="20"/>
                <w:szCs w:val="20"/>
              </w:rPr>
            </w:pPr>
            <w:r w:rsidRPr="00DB5D4C">
              <w:rPr>
                <w:sz w:val="20"/>
                <w:szCs w:val="20"/>
              </w:rPr>
              <w:t>The need for daily dosing is eliminated with potential cost and resource savings</w:t>
            </w:r>
            <w:r w:rsidR="00885CE7">
              <w:rPr>
                <w:sz w:val="20"/>
                <w:szCs w:val="20"/>
              </w:rPr>
              <w:t>.</w:t>
            </w:r>
          </w:p>
          <w:p w14:paraId="19FDDBFC" w14:textId="77777777" w:rsidR="00DB5D4C" w:rsidRPr="00DB5D4C" w:rsidRDefault="00DB5D4C" w:rsidP="00DB5D4C">
            <w:pPr>
              <w:pStyle w:val="ListBullet"/>
              <w:rPr>
                <w:sz w:val="20"/>
                <w:szCs w:val="20"/>
              </w:rPr>
            </w:pPr>
            <w:r w:rsidRPr="00DB5D4C">
              <w:rPr>
                <w:sz w:val="20"/>
                <w:szCs w:val="20"/>
              </w:rPr>
              <w:t>Multiple pre-filled fixed doses permit individualised, accurate titration and flexible maintenance dosing.</w:t>
            </w:r>
          </w:p>
          <w:p w14:paraId="3AED0DAA" w14:textId="77777777" w:rsidR="00DB5D4C" w:rsidRPr="00DB5D4C" w:rsidRDefault="00DB5D4C" w:rsidP="00DB5D4C">
            <w:pPr>
              <w:pStyle w:val="ListBullet"/>
              <w:rPr>
                <w:sz w:val="20"/>
                <w:szCs w:val="20"/>
              </w:rPr>
            </w:pPr>
            <w:r w:rsidRPr="00DB5D4C">
              <w:rPr>
                <w:sz w:val="20"/>
                <w:szCs w:val="20"/>
              </w:rPr>
              <w:t xml:space="preserve">Steady state fluctuations in </w:t>
            </w:r>
            <w:r w:rsidR="00246DC3">
              <w:rPr>
                <w:sz w:val="20"/>
                <w:szCs w:val="20"/>
              </w:rPr>
              <w:t>buprenorphine</w:t>
            </w:r>
            <w:r w:rsidRPr="00DB5D4C">
              <w:rPr>
                <w:sz w:val="20"/>
                <w:szCs w:val="20"/>
              </w:rPr>
              <w:t xml:space="preserve"> concentrations are smaller with CAM2038 q1w and q4w compared with daily </w:t>
            </w:r>
            <w:proofErr w:type="spellStart"/>
            <w:r w:rsidRPr="00DB5D4C">
              <w:rPr>
                <w:sz w:val="20"/>
                <w:szCs w:val="20"/>
              </w:rPr>
              <w:t>Subutex</w:t>
            </w:r>
            <w:proofErr w:type="spellEnd"/>
            <w:r w:rsidRPr="00DB5D4C">
              <w:rPr>
                <w:sz w:val="20"/>
                <w:szCs w:val="20"/>
              </w:rPr>
              <w:t>.</w:t>
            </w:r>
          </w:p>
          <w:p w14:paraId="333218A9" w14:textId="77777777" w:rsidR="00DB5D4C" w:rsidRPr="00DB5D4C" w:rsidRDefault="00DB5D4C" w:rsidP="00DB5D4C">
            <w:pPr>
              <w:pStyle w:val="ListBullet"/>
              <w:rPr>
                <w:sz w:val="20"/>
                <w:szCs w:val="20"/>
              </w:rPr>
            </w:pPr>
            <w:r w:rsidRPr="00DB5D4C">
              <w:rPr>
                <w:sz w:val="20"/>
                <w:szCs w:val="20"/>
              </w:rPr>
              <w:t xml:space="preserve">Exposure to the major active </w:t>
            </w:r>
            <w:r w:rsidR="00246DC3">
              <w:rPr>
                <w:sz w:val="20"/>
                <w:szCs w:val="20"/>
              </w:rPr>
              <w:t>buprenorphine</w:t>
            </w:r>
            <w:r w:rsidRPr="00DB5D4C">
              <w:rPr>
                <w:sz w:val="20"/>
                <w:szCs w:val="20"/>
              </w:rPr>
              <w:t xml:space="preserve"> metabolite (</w:t>
            </w:r>
            <w:proofErr w:type="spellStart"/>
            <w:r w:rsidRPr="00DB5D4C">
              <w:rPr>
                <w:sz w:val="20"/>
                <w:szCs w:val="20"/>
              </w:rPr>
              <w:t>nor</w:t>
            </w:r>
            <w:r w:rsidR="00246DC3">
              <w:rPr>
                <w:sz w:val="20"/>
                <w:szCs w:val="20"/>
              </w:rPr>
              <w:t>buprenorphine</w:t>
            </w:r>
            <w:proofErr w:type="spellEnd"/>
            <w:r w:rsidRPr="00DB5D4C">
              <w:rPr>
                <w:sz w:val="20"/>
                <w:szCs w:val="20"/>
              </w:rPr>
              <w:t>) is reduced because first pass metabolism is eliminated.</w:t>
            </w:r>
          </w:p>
          <w:p w14:paraId="23E8E66F" w14:textId="77777777" w:rsidR="00DB5D4C" w:rsidRPr="00DB5D4C" w:rsidRDefault="00DB5D4C" w:rsidP="00DB5D4C">
            <w:pPr>
              <w:pStyle w:val="ListBullet"/>
              <w:rPr>
                <w:sz w:val="20"/>
                <w:szCs w:val="20"/>
              </w:rPr>
            </w:pPr>
            <w:r w:rsidRPr="00DB5D4C">
              <w:rPr>
                <w:sz w:val="20"/>
                <w:szCs w:val="20"/>
              </w:rPr>
              <w:t>Well tolerated despite common AEs relating to injections.</w:t>
            </w:r>
          </w:p>
          <w:p w14:paraId="38DCFE66" w14:textId="61F9FBDB" w:rsidR="00DB5D4C" w:rsidRPr="00DB5D4C" w:rsidRDefault="00DB5D4C" w:rsidP="00DB5D4C">
            <w:pPr>
              <w:pStyle w:val="ListBullet"/>
              <w:rPr>
                <w:sz w:val="20"/>
                <w:szCs w:val="20"/>
              </w:rPr>
            </w:pPr>
            <w:r w:rsidRPr="00DB5D4C">
              <w:rPr>
                <w:sz w:val="20"/>
                <w:szCs w:val="20"/>
              </w:rPr>
              <w:t xml:space="preserve">Overall safety profile comparable to SL </w:t>
            </w:r>
            <w:r w:rsidR="00246DC3">
              <w:rPr>
                <w:sz w:val="20"/>
                <w:szCs w:val="20"/>
              </w:rPr>
              <w:t>buprenorphine</w:t>
            </w:r>
            <w:r w:rsidR="001B6FDC">
              <w:rPr>
                <w:sz w:val="20"/>
                <w:szCs w:val="20"/>
              </w:rPr>
              <w:t>/naloxone</w:t>
            </w:r>
            <w:r w:rsidRPr="00DB5D4C">
              <w:rPr>
                <w:sz w:val="20"/>
                <w:szCs w:val="20"/>
              </w:rPr>
              <w:t>.</w:t>
            </w:r>
          </w:p>
          <w:p w14:paraId="1118733D" w14:textId="77777777" w:rsidR="00DB5D4C" w:rsidRPr="00DB5D4C" w:rsidRDefault="00DB5D4C" w:rsidP="00DB5D4C">
            <w:pPr>
              <w:pStyle w:val="ListBullet"/>
              <w:rPr>
                <w:sz w:val="20"/>
                <w:szCs w:val="20"/>
              </w:rPr>
            </w:pPr>
            <w:r w:rsidRPr="00DB5D4C">
              <w:rPr>
                <w:sz w:val="20"/>
                <w:szCs w:val="20"/>
              </w:rPr>
              <w:t>No accidental or intentional drug overdoses in any subject given CAM2038.</w:t>
            </w:r>
          </w:p>
        </w:tc>
        <w:tc>
          <w:tcPr>
            <w:tcW w:w="4192" w:type="dxa"/>
          </w:tcPr>
          <w:p w14:paraId="72099903" w14:textId="77777777" w:rsidR="00DB5D4C" w:rsidRPr="00DB5D4C" w:rsidRDefault="00DB5D4C" w:rsidP="00DB5D4C">
            <w:pPr>
              <w:pStyle w:val="ListBullet"/>
              <w:rPr>
                <w:sz w:val="20"/>
                <w:szCs w:val="20"/>
              </w:rPr>
            </w:pPr>
            <w:r w:rsidRPr="00DB5D4C">
              <w:rPr>
                <w:sz w:val="20"/>
                <w:szCs w:val="20"/>
              </w:rPr>
              <w:t>Post hoc analyses demonstrated a statistically significant benefit in favour of CAM2038.</w:t>
            </w:r>
          </w:p>
          <w:p w14:paraId="75400E95" w14:textId="77777777" w:rsidR="00DB5D4C" w:rsidRPr="00DB5D4C" w:rsidRDefault="00DB5D4C" w:rsidP="00DB5D4C">
            <w:pPr>
              <w:pStyle w:val="ListBullet"/>
              <w:rPr>
                <w:sz w:val="20"/>
                <w:szCs w:val="20"/>
              </w:rPr>
            </w:pPr>
            <w:r w:rsidRPr="00DB5D4C">
              <w:rPr>
                <w:sz w:val="20"/>
                <w:szCs w:val="20"/>
              </w:rPr>
              <w:t xml:space="preserve">The </w:t>
            </w:r>
            <w:proofErr w:type="spellStart"/>
            <w:r w:rsidRPr="00DB5D4C">
              <w:rPr>
                <w:sz w:val="20"/>
                <w:szCs w:val="20"/>
              </w:rPr>
              <w:t>nor</w:t>
            </w:r>
            <w:r w:rsidR="00246DC3">
              <w:rPr>
                <w:sz w:val="20"/>
                <w:szCs w:val="20"/>
              </w:rPr>
              <w:t>buprenorphine</w:t>
            </w:r>
            <w:proofErr w:type="spellEnd"/>
            <w:r w:rsidRPr="00DB5D4C">
              <w:rPr>
                <w:sz w:val="20"/>
                <w:szCs w:val="20"/>
              </w:rPr>
              <w:t xml:space="preserve"> metabolite is known to have greater respiratory depressant potency than </w:t>
            </w:r>
            <w:r w:rsidR="00246DC3">
              <w:rPr>
                <w:sz w:val="20"/>
                <w:szCs w:val="20"/>
              </w:rPr>
              <w:t>buprenorphine</w:t>
            </w:r>
            <w:r w:rsidRPr="00DB5D4C">
              <w:rPr>
                <w:sz w:val="20"/>
                <w:szCs w:val="20"/>
              </w:rPr>
              <w:t xml:space="preserve"> in animal studies. Relevance not established in humans.</w:t>
            </w:r>
          </w:p>
          <w:p w14:paraId="357C6C21" w14:textId="77777777" w:rsidR="00DB5D4C" w:rsidRPr="00DB5D4C" w:rsidRDefault="00DB5D4C" w:rsidP="00DB5D4C">
            <w:pPr>
              <w:pStyle w:val="ListBullet"/>
              <w:rPr>
                <w:sz w:val="20"/>
                <w:szCs w:val="20"/>
              </w:rPr>
            </w:pPr>
            <w:r w:rsidRPr="00DB5D4C">
              <w:rPr>
                <w:sz w:val="20"/>
                <w:szCs w:val="20"/>
              </w:rPr>
              <w:t>Only one severe AE related to injections was reported in the overall safety population. No subjects withdrew from treatment because of injection AEs.</w:t>
            </w:r>
          </w:p>
          <w:p w14:paraId="014D0D87" w14:textId="37E199F1" w:rsidR="00DB5D4C" w:rsidRPr="00DB5D4C" w:rsidRDefault="00DB5D4C" w:rsidP="00DB5D4C">
            <w:pPr>
              <w:pStyle w:val="ListBullet"/>
              <w:rPr>
                <w:sz w:val="20"/>
                <w:szCs w:val="20"/>
              </w:rPr>
            </w:pPr>
            <w:r w:rsidRPr="00DB5D4C">
              <w:rPr>
                <w:sz w:val="20"/>
                <w:szCs w:val="20"/>
              </w:rPr>
              <w:t xml:space="preserve">There were five overdoses (four accidental) in subjects given SL </w:t>
            </w:r>
            <w:r w:rsidR="00246DC3">
              <w:rPr>
                <w:sz w:val="20"/>
                <w:szCs w:val="20"/>
              </w:rPr>
              <w:t>buprenorphine</w:t>
            </w:r>
            <w:r w:rsidR="001B6FDC">
              <w:rPr>
                <w:sz w:val="20"/>
                <w:szCs w:val="20"/>
              </w:rPr>
              <w:t>/naloxone</w:t>
            </w:r>
            <w:r w:rsidRPr="00DB5D4C">
              <w:rPr>
                <w:sz w:val="20"/>
                <w:szCs w:val="20"/>
              </w:rPr>
              <w:t>.</w:t>
            </w:r>
          </w:p>
        </w:tc>
      </w:tr>
    </w:tbl>
    <w:p w14:paraId="692FDDA5" w14:textId="0D8365AB" w:rsidR="00605AD4" w:rsidRDefault="00605AD4" w:rsidP="00605AD4">
      <w:pPr>
        <w:pStyle w:val="Heading4"/>
      </w:pPr>
      <w:r w:rsidRPr="00605AD4">
        <w:t>First round assessment of risks</w:t>
      </w:r>
    </w:p>
    <w:p w14:paraId="04E0062D" w14:textId="69FA289A" w:rsidR="001B6FDC" w:rsidRDefault="001B6FDC" w:rsidP="001B6FDC">
      <w:r>
        <w:fldChar w:fldCharType="begin"/>
      </w:r>
      <w:r>
        <w:instrText xml:space="preserve"> REF _Ref18591106 \h </w:instrText>
      </w:r>
      <w:r>
        <w:fldChar w:fldCharType="separate"/>
      </w:r>
      <w:r w:rsidR="00827533">
        <w:t xml:space="preserve">Table </w:t>
      </w:r>
      <w:r w:rsidR="00827533">
        <w:rPr>
          <w:noProof/>
        </w:rPr>
        <w:t>4</w:t>
      </w:r>
      <w:r>
        <w:fldChar w:fldCharType="end"/>
      </w:r>
      <w:r>
        <w:t xml:space="preserve"> summarises the assessment of risks of </w:t>
      </w:r>
      <w:r w:rsidRPr="001B6FDC">
        <w:t>CAM2038</w:t>
      </w:r>
      <w:r>
        <w:t xml:space="preserve"> for the proposed indication at the first round of evaluation</w:t>
      </w:r>
      <w:r w:rsidR="004C2A4C">
        <w:t>.</w:t>
      </w:r>
    </w:p>
    <w:p w14:paraId="46AFA3B4" w14:textId="16BC3346" w:rsidR="001B6FDC" w:rsidRPr="001B6FDC" w:rsidRDefault="001B6FDC" w:rsidP="008E1E43">
      <w:pPr>
        <w:pStyle w:val="TableTitle"/>
        <w:pageBreakBefore/>
      </w:pPr>
      <w:bookmarkStart w:id="107" w:name="_Ref18591106"/>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4</w:t>
      </w:r>
      <w:r w:rsidR="00553795">
        <w:rPr>
          <w:noProof/>
        </w:rPr>
        <w:fldChar w:fldCharType="end"/>
      </w:r>
      <w:bookmarkEnd w:id="107"/>
      <w:r>
        <w:t>: First round assessment of risks</w:t>
      </w:r>
    </w:p>
    <w:tbl>
      <w:tblPr>
        <w:tblStyle w:val="TableTGAblue"/>
        <w:tblW w:w="0" w:type="auto"/>
        <w:tblLook w:val="04A0" w:firstRow="1" w:lastRow="0" w:firstColumn="1" w:lastColumn="0" w:noHBand="0" w:noVBand="1"/>
      </w:tblPr>
      <w:tblGrid>
        <w:gridCol w:w="4361"/>
        <w:gridCol w:w="4359"/>
      </w:tblGrid>
      <w:tr w:rsidR="00DB5D4C" w:rsidRPr="00DB5D4C" w14:paraId="62856AE3" w14:textId="77777777" w:rsidTr="00DB5D4C">
        <w:trPr>
          <w:cnfStyle w:val="100000000000" w:firstRow="1" w:lastRow="0" w:firstColumn="0" w:lastColumn="0" w:oddVBand="0" w:evenVBand="0" w:oddHBand="0" w:evenHBand="0" w:firstRowFirstColumn="0" w:firstRowLastColumn="0" w:lastRowFirstColumn="0" w:lastRowLastColumn="0"/>
        </w:trPr>
        <w:tc>
          <w:tcPr>
            <w:tcW w:w="4395" w:type="dxa"/>
          </w:tcPr>
          <w:p w14:paraId="6C56FCFF" w14:textId="77777777" w:rsidR="00DB5D4C" w:rsidRPr="00DB5D4C" w:rsidRDefault="00DB5D4C" w:rsidP="008E61F9">
            <w:pPr>
              <w:rPr>
                <w:b w:val="0"/>
                <w:sz w:val="20"/>
                <w:szCs w:val="20"/>
              </w:rPr>
            </w:pPr>
            <w:r w:rsidRPr="00DB5D4C">
              <w:rPr>
                <w:sz w:val="20"/>
                <w:szCs w:val="20"/>
              </w:rPr>
              <w:t>Risks</w:t>
            </w:r>
          </w:p>
        </w:tc>
        <w:tc>
          <w:tcPr>
            <w:tcW w:w="4394" w:type="dxa"/>
          </w:tcPr>
          <w:p w14:paraId="6034BEB7" w14:textId="77777777" w:rsidR="00DB5D4C" w:rsidRPr="00DB5D4C" w:rsidRDefault="00DB5D4C" w:rsidP="008E61F9">
            <w:pPr>
              <w:rPr>
                <w:b w:val="0"/>
                <w:sz w:val="20"/>
                <w:szCs w:val="20"/>
              </w:rPr>
            </w:pPr>
            <w:r w:rsidRPr="00DB5D4C">
              <w:rPr>
                <w:sz w:val="20"/>
                <w:szCs w:val="20"/>
              </w:rPr>
              <w:t>Strengths and Uncertainties</w:t>
            </w:r>
          </w:p>
        </w:tc>
      </w:tr>
      <w:tr w:rsidR="00DB5D4C" w:rsidRPr="00DB5D4C" w14:paraId="26D53183" w14:textId="77777777" w:rsidTr="00DB5D4C">
        <w:tc>
          <w:tcPr>
            <w:tcW w:w="4395" w:type="dxa"/>
          </w:tcPr>
          <w:p w14:paraId="336282B2" w14:textId="0FDB35F4" w:rsidR="00885CE7" w:rsidRDefault="00DB5D4C" w:rsidP="008E1E43">
            <w:pPr>
              <w:pStyle w:val="ListBullet"/>
            </w:pPr>
            <w:r w:rsidRPr="00DB5D4C">
              <w:t xml:space="preserve">The risks of CAM2038 relate to the </w:t>
            </w:r>
            <w:r w:rsidR="001B6FDC">
              <w:t>well</w:t>
            </w:r>
            <w:r w:rsidR="001B6FDC">
              <w:noBreakHyphen/>
            </w:r>
            <w:r w:rsidR="001B6FDC" w:rsidRPr="00DB5D4C">
              <w:t>established</w:t>
            </w:r>
            <w:r w:rsidRPr="00DB5D4C">
              <w:t xml:space="preserve"> risks associated with </w:t>
            </w:r>
            <w:r w:rsidR="00246DC3">
              <w:t>buprenorphine</w:t>
            </w:r>
            <w:r w:rsidRPr="00DB5D4C">
              <w:t>. These include respiratory depression; CNS depression (particularly when used with alcohol and benzodiazepines); use in subjects with impaired hepatic function; and use with other concomitant medications</w:t>
            </w:r>
            <w:r w:rsidR="00885CE7">
              <w:t>.</w:t>
            </w:r>
          </w:p>
          <w:p w14:paraId="653CC6A5" w14:textId="77777777" w:rsidR="00DB5D4C" w:rsidRPr="00DB5D4C" w:rsidRDefault="00DB5D4C" w:rsidP="008E61F9">
            <w:pPr>
              <w:pStyle w:val="ListBullet"/>
              <w:keepNext/>
              <w:rPr>
                <w:sz w:val="20"/>
                <w:szCs w:val="20"/>
              </w:rPr>
            </w:pPr>
            <w:r w:rsidRPr="00DB5D4C">
              <w:rPr>
                <w:sz w:val="20"/>
                <w:szCs w:val="20"/>
              </w:rPr>
              <w:t>Accidental intravascular injection is a risk which is minimised by restricting use to healthcare professionals.</w:t>
            </w:r>
          </w:p>
          <w:p w14:paraId="679D9BEE" w14:textId="77777777" w:rsidR="00DB5D4C" w:rsidRPr="00DB5D4C" w:rsidRDefault="00DB5D4C" w:rsidP="008E61F9">
            <w:pPr>
              <w:pStyle w:val="ListBullet"/>
              <w:keepNext/>
              <w:rPr>
                <w:sz w:val="20"/>
                <w:szCs w:val="20"/>
              </w:rPr>
            </w:pPr>
            <w:r w:rsidRPr="00DB5D4C">
              <w:rPr>
                <w:sz w:val="20"/>
                <w:szCs w:val="20"/>
              </w:rPr>
              <w:t>Reversal in the event of overdose or concurrent illness may be difficult to achieve, particularly with the once monthly formulation.</w:t>
            </w:r>
          </w:p>
          <w:p w14:paraId="2473DA32" w14:textId="5112156B" w:rsidR="00DB5D4C" w:rsidRPr="00DB5D4C" w:rsidRDefault="00DB5D4C" w:rsidP="008E61F9">
            <w:pPr>
              <w:pStyle w:val="ListBullet"/>
              <w:keepNext/>
              <w:rPr>
                <w:sz w:val="20"/>
                <w:szCs w:val="20"/>
              </w:rPr>
            </w:pPr>
            <w:r w:rsidRPr="00DB5D4C">
              <w:rPr>
                <w:sz w:val="20"/>
                <w:szCs w:val="20"/>
              </w:rPr>
              <w:t>Risks assoc</w:t>
            </w:r>
            <w:r w:rsidR="001B6FDC">
              <w:rPr>
                <w:sz w:val="20"/>
                <w:szCs w:val="20"/>
              </w:rPr>
              <w:t xml:space="preserve">iated with long </w:t>
            </w:r>
            <w:r w:rsidRPr="00DB5D4C">
              <w:rPr>
                <w:sz w:val="20"/>
                <w:szCs w:val="20"/>
              </w:rPr>
              <w:t xml:space="preserve">acting depot opioids in subjects with </w:t>
            </w:r>
            <w:r w:rsidR="001B6FDC">
              <w:rPr>
                <w:sz w:val="20"/>
                <w:szCs w:val="20"/>
              </w:rPr>
              <w:t>acute concurrent illnesses, for example,</w:t>
            </w:r>
            <w:r w:rsidRPr="00DB5D4C">
              <w:rPr>
                <w:sz w:val="20"/>
                <w:szCs w:val="20"/>
              </w:rPr>
              <w:t xml:space="preserve"> head injury, respiratory depression, renal failure.</w:t>
            </w:r>
          </w:p>
          <w:p w14:paraId="0B8676C0" w14:textId="554131BE" w:rsidR="00DB5D4C" w:rsidRPr="00DB5D4C" w:rsidRDefault="00DB5D4C" w:rsidP="008E61F9">
            <w:pPr>
              <w:pStyle w:val="ListBullet"/>
              <w:keepNext/>
              <w:rPr>
                <w:sz w:val="20"/>
                <w:szCs w:val="20"/>
              </w:rPr>
            </w:pPr>
            <w:r w:rsidRPr="00DB5D4C">
              <w:rPr>
                <w:sz w:val="20"/>
                <w:szCs w:val="20"/>
              </w:rPr>
              <w:t>Safety and efficacy have not been established in subjects aged &gt;</w:t>
            </w:r>
            <w:r w:rsidR="001B6FDC">
              <w:rPr>
                <w:sz w:val="20"/>
                <w:szCs w:val="20"/>
              </w:rPr>
              <w:t xml:space="preserve"> </w:t>
            </w:r>
            <w:r w:rsidRPr="00DB5D4C">
              <w:rPr>
                <w:sz w:val="20"/>
                <w:szCs w:val="20"/>
              </w:rPr>
              <w:t>65 years.</w:t>
            </w:r>
          </w:p>
        </w:tc>
        <w:tc>
          <w:tcPr>
            <w:tcW w:w="4394" w:type="dxa"/>
          </w:tcPr>
          <w:p w14:paraId="40865B46" w14:textId="7FAE7B70" w:rsidR="00DB5D4C" w:rsidRPr="00DB5D4C" w:rsidRDefault="001B6FDC" w:rsidP="008E61F9">
            <w:pPr>
              <w:pStyle w:val="ListBullet"/>
              <w:keepNext/>
              <w:rPr>
                <w:sz w:val="20"/>
                <w:szCs w:val="20"/>
              </w:rPr>
            </w:pPr>
            <w:r>
              <w:rPr>
                <w:sz w:val="20"/>
                <w:szCs w:val="20"/>
              </w:rPr>
              <w:t>B</w:t>
            </w:r>
            <w:r w:rsidR="00246DC3">
              <w:rPr>
                <w:sz w:val="20"/>
                <w:szCs w:val="20"/>
              </w:rPr>
              <w:t>uprenorphine</w:t>
            </w:r>
            <w:r w:rsidR="00DB5D4C" w:rsidRPr="00DB5D4C">
              <w:rPr>
                <w:sz w:val="20"/>
                <w:szCs w:val="20"/>
              </w:rPr>
              <w:t xml:space="preserve"> has been used in clinical practice for 40 years. The risks are well documented and understood.</w:t>
            </w:r>
          </w:p>
          <w:p w14:paraId="7D6856C1" w14:textId="77777777" w:rsidR="00DB5D4C" w:rsidRPr="00DB5D4C" w:rsidRDefault="00DB5D4C" w:rsidP="008E61F9">
            <w:pPr>
              <w:pStyle w:val="ListBullet"/>
              <w:keepNext/>
              <w:rPr>
                <w:sz w:val="20"/>
                <w:szCs w:val="20"/>
              </w:rPr>
            </w:pPr>
            <w:r w:rsidRPr="00DB5D4C">
              <w:rPr>
                <w:sz w:val="20"/>
                <w:szCs w:val="20"/>
              </w:rPr>
              <w:t>Prolonged use of naloxone may be required.</w:t>
            </w:r>
          </w:p>
        </w:tc>
      </w:tr>
    </w:tbl>
    <w:p w14:paraId="354A28D9" w14:textId="77777777" w:rsidR="00605AD4" w:rsidRPr="008E61F9" w:rsidRDefault="00605AD4" w:rsidP="00605AD4">
      <w:pPr>
        <w:pStyle w:val="Heading4"/>
      </w:pPr>
      <w:r w:rsidRPr="008E61F9">
        <w:t>First round assessment of benefit-risk balance</w:t>
      </w:r>
    </w:p>
    <w:p w14:paraId="790DD489" w14:textId="77777777" w:rsidR="00DB5D4C" w:rsidRPr="008E61F9" w:rsidRDefault="00DB5D4C" w:rsidP="00DB5D4C">
      <w:r w:rsidRPr="008E61F9">
        <w:t xml:space="preserve">The use of CAM2038 causes rapid and sustained blocking of opioid effects and suppresses the signs and symptoms of withdrawal. The risks associated with abuse of illicit opioids and prescription opioids are well understood. Methadone has been shown to reduce mortality, use of illicit opioids, and morbidity associated with blood borne viral infections. However, methadone is a full opioid agonist with negative effects on cognition, and increased risk of </w:t>
      </w:r>
      <w:proofErr w:type="spellStart"/>
      <w:r w:rsidRPr="008E61F9">
        <w:t>QTc</w:t>
      </w:r>
      <w:proofErr w:type="spellEnd"/>
      <w:r w:rsidRPr="008E61F9">
        <w:t xml:space="preserve"> prolongation and cardiac arrhythmias. Accidental and deliberate overdoses are common. There are fewer risks associated with </w:t>
      </w:r>
      <w:r w:rsidR="00246DC3" w:rsidRPr="008E61F9">
        <w:t>buprenorphine</w:t>
      </w:r>
      <w:r w:rsidRPr="008E61F9">
        <w:t xml:space="preserve"> which has a more favourable safety profile than methadone. The use of CAM2038 permits once weekly or once monthly supervised treatment with a low risk of accidental overdose and no risk of diversion by the recipient.</w:t>
      </w:r>
    </w:p>
    <w:p w14:paraId="229F8575" w14:textId="397996EB" w:rsidR="00DB5D4C" w:rsidRPr="008E61F9" w:rsidRDefault="00DB5D4C" w:rsidP="00DB5D4C">
      <w:r w:rsidRPr="008E61F9">
        <w:t>The benefit-risk bal</w:t>
      </w:r>
      <w:r w:rsidR="008E61F9">
        <w:t>ance applies to all subject sub</w:t>
      </w:r>
      <w:r w:rsidRPr="008E61F9">
        <w:t>groups although there are no data in the elderly and adolescents. There are specific safety concerns related to the highest dose of the monthly formulation, in particular the risk of accidental overdose. The risks associated with accidental IV injection should also be assessed in more detail (see Clinical Questions).</w:t>
      </w:r>
    </w:p>
    <w:p w14:paraId="5CCF8C61" w14:textId="3DE120A5" w:rsidR="00605AD4" w:rsidRPr="00605AD4" w:rsidRDefault="00DB5D4C" w:rsidP="00DB5D4C">
      <w:r w:rsidRPr="008E61F9">
        <w:t xml:space="preserve">Overall, the benefit risk balance for </w:t>
      </w:r>
      <w:proofErr w:type="spellStart"/>
      <w:r w:rsidR="00B9071E">
        <w:t>Buvidal</w:t>
      </w:r>
      <w:proofErr w:type="spellEnd"/>
      <w:r w:rsidR="00B9071E" w:rsidRPr="008E61F9">
        <w:t xml:space="preserve"> </w:t>
      </w:r>
      <w:r w:rsidRPr="008E61F9">
        <w:t>in proposed indication is unfavourable but would become favourable if changes recommended below are adopted.</w:t>
      </w:r>
    </w:p>
    <w:p w14:paraId="21494BE4" w14:textId="3BE58937" w:rsidR="00605AD4" w:rsidRPr="00605AD4" w:rsidRDefault="00605AD4" w:rsidP="00605AD4">
      <w:pPr>
        <w:pStyle w:val="Heading3"/>
        <w:rPr>
          <w:rFonts w:eastAsia="Cambria"/>
        </w:rPr>
      </w:pPr>
      <w:bookmarkStart w:id="108" w:name="_Toc24539934"/>
      <w:r w:rsidRPr="00605AD4">
        <w:rPr>
          <w:rFonts w:eastAsia="Cambria"/>
        </w:rPr>
        <w:t xml:space="preserve">First </w:t>
      </w:r>
      <w:r w:rsidR="00471927" w:rsidRPr="00605AD4">
        <w:rPr>
          <w:rFonts w:eastAsia="Cambria"/>
        </w:rPr>
        <w:t>round recommendation regarding authorisation</w:t>
      </w:r>
      <w:bookmarkEnd w:id="108"/>
    </w:p>
    <w:p w14:paraId="13F13DD3" w14:textId="77777777" w:rsidR="00DB5D4C" w:rsidRDefault="00DB5D4C" w:rsidP="00DB5D4C">
      <w:r>
        <w:t>Approval is not recommended for the proposed indication:</w:t>
      </w:r>
    </w:p>
    <w:p w14:paraId="28DD92E2" w14:textId="79AD13DE" w:rsidR="00DB5D4C" w:rsidRPr="008E61F9" w:rsidRDefault="00B9071E" w:rsidP="008E61F9">
      <w:pPr>
        <w:ind w:left="720"/>
        <w:rPr>
          <w:i/>
        </w:rPr>
      </w:pPr>
      <w:proofErr w:type="spellStart"/>
      <w:r>
        <w:rPr>
          <w:i/>
        </w:rPr>
        <w:t>Buvidal</w:t>
      </w:r>
      <w:proofErr w:type="spellEnd"/>
      <w:r w:rsidRPr="008E61F9">
        <w:rPr>
          <w:i/>
        </w:rPr>
        <w:t xml:space="preserve"> </w:t>
      </w:r>
      <w:r w:rsidR="00DB5D4C" w:rsidRPr="008E61F9">
        <w:rPr>
          <w:i/>
        </w:rPr>
        <w:t>is indicated for the treatment of opioid dependence within a framework of medical, social and psychological support.</w:t>
      </w:r>
    </w:p>
    <w:p w14:paraId="5758A9AA" w14:textId="77777777" w:rsidR="00DB5D4C" w:rsidRDefault="00DB5D4C" w:rsidP="00DB5D4C">
      <w:r>
        <w:lastRenderedPageBreak/>
        <w:t>However, approval is recommended for the following modified wording for the proposed indication:</w:t>
      </w:r>
    </w:p>
    <w:p w14:paraId="7F71B61F" w14:textId="6997ADEC" w:rsidR="00DB5D4C" w:rsidRPr="00A26688" w:rsidRDefault="00B9071E" w:rsidP="00A26688">
      <w:pPr>
        <w:ind w:left="720"/>
        <w:rPr>
          <w:i/>
        </w:rPr>
      </w:pPr>
      <w:proofErr w:type="spellStart"/>
      <w:r>
        <w:rPr>
          <w:i/>
        </w:rPr>
        <w:t>Buvidal</w:t>
      </w:r>
      <w:proofErr w:type="spellEnd"/>
      <w:r w:rsidRPr="00A26688">
        <w:rPr>
          <w:i/>
        </w:rPr>
        <w:t xml:space="preserve"> </w:t>
      </w:r>
      <w:r w:rsidR="00DB5D4C" w:rsidRPr="00A26688">
        <w:rPr>
          <w:i/>
        </w:rPr>
        <w:t>is indicated for the treatment of adults with opioid dependence within a framework of medical, s</w:t>
      </w:r>
      <w:r w:rsidR="00936CCD" w:rsidRPr="00A26688">
        <w:rPr>
          <w:i/>
        </w:rPr>
        <w:t>ocial and psychological support</w:t>
      </w:r>
      <w:r w:rsidR="00DB5D4C" w:rsidRPr="00A26688">
        <w:rPr>
          <w:i/>
        </w:rPr>
        <w:t>.</w:t>
      </w:r>
    </w:p>
    <w:p w14:paraId="4864BB85" w14:textId="77777777" w:rsidR="00DB5D4C" w:rsidRDefault="00DB5D4C" w:rsidP="00DB5D4C">
      <w:r>
        <w:t>Approval for the above indication is also subject to compliance with the following:</w:t>
      </w:r>
    </w:p>
    <w:p w14:paraId="5B7ACBAF" w14:textId="77777777" w:rsidR="00DB5D4C" w:rsidRDefault="00936CCD" w:rsidP="00936CCD">
      <w:pPr>
        <w:pStyle w:val="ListBullet"/>
      </w:pPr>
      <w:r>
        <w:t>I</w:t>
      </w:r>
      <w:r w:rsidR="00DB5D4C">
        <w:t>nput from professional bodies in the field of drug and a</w:t>
      </w:r>
      <w:r>
        <w:t>lcohol dependence in Australia.</w:t>
      </w:r>
    </w:p>
    <w:p w14:paraId="10E4E7C5" w14:textId="77777777" w:rsidR="00DB5D4C" w:rsidRDefault="00936CCD" w:rsidP="00936CCD">
      <w:pPr>
        <w:pStyle w:val="ListBullet"/>
      </w:pPr>
      <w:r>
        <w:t>I</w:t>
      </w:r>
      <w:r w:rsidR="00DB5D4C">
        <w:t>ncorporation of suggested changes to the draft PI</w:t>
      </w:r>
      <w:r>
        <w:t>.</w:t>
      </w:r>
    </w:p>
    <w:p w14:paraId="389C3953" w14:textId="14881BF7" w:rsidR="00605AD4" w:rsidRDefault="00DB5D4C" w:rsidP="00936CCD">
      <w:pPr>
        <w:pStyle w:val="ListBullet"/>
      </w:pPr>
      <w:r>
        <w:t>Satisfactory response to clinical questions</w:t>
      </w:r>
      <w:r w:rsidR="009B7D36">
        <w:t xml:space="preserve"> (</w:t>
      </w:r>
      <w:r w:rsidR="00A26688">
        <w:t xml:space="preserve">see </w:t>
      </w:r>
      <w:r w:rsidR="009B7D36">
        <w:t>following section)</w:t>
      </w:r>
      <w:r>
        <w:t>.</w:t>
      </w:r>
    </w:p>
    <w:p w14:paraId="5C4FE6F0" w14:textId="6B1D9AD4" w:rsidR="00605AD4" w:rsidRPr="00605AD4" w:rsidRDefault="002F5122" w:rsidP="00605AD4">
      <w:pPr>
        <w:pStyle w:val="Heading3"/>
        <w:rPr>
          <w:rFonts w:eastAsia="Cambria"/>
        </w:rPr>
      </w:pPr>
      <w:bookmarkStart w:id="109" w:name="_Toc24539935"/>
      <w:r w:rsidRPr="002F5122">
        <w:t xml:space="preserve">Clinical </w:t>
      </w:r>
      <w:r w:rsidR="00471927" w:rsidRPr="002F5122">
        <w:t>questions</w:t>
      </w:r>
      <w:r w:rsidR="00471927">
        <w:t xml:space="preserve"> and </w:t>
      </w:r>
      <w:r w:rsidR="00471927" w:rsidRPr="00605AD4">
        <w:rPr>
          <w:rFonts w:eastAsia="Cambria"/>
        </w:rPr>
        <w:t>second round evaluation</w:t>
      </w:r>
      <w:bookmarkEnd w:id="109"/>
    </w:p>
    <w:p w14:paraId="005B7177" w14:textId="075D3FFB" w:rsidR="00936CCD" w:rsidRDefault="00FF5450" w:rsidP="00936CCD">
      <w:r>
        <w:t>The s</w:t>
      </w:r>
      <w:r w:rsidR="00936CCD">
        <w:t>ponsor’s responses to comments and clinical questions arising from the first r</w:t>
      </w:r>
      <w:r w:rsidR="00A26688">
        <w:t>ound evaluation are shown below.</w:t>
      </w:r>
    </w:p>
    <w:p w14:paraId="4F1C8166" w14:textId="6C3E7884" w:rsidR="00936CCD" w:rsidRDefault="00A26688" w:rsidP="00A26688">
      <w:pPr>
        <w:pStyle w:val="Heading4"/>
      </w:pPr>
      <w:r>
        <w:t>Question 1</w:t>
      </w:r>
    </w:p>
    <w:p w14:paraId="139D157A" w14:textId="1FA46D83" w:rsidR="00936CCD" w:rsidRPr="00A01EAF" w:rsidRDefault="00936CCD" w:rsidP="00936CCD">
      <w:pPr>
        <w:rPr>
          <w:i/>
        </w:rPr>
      </w:pPr>
      <w:r w:rsidRPr="00A01EAF">
        <w:rPr>
          <w:i/>
        </w:rPr>
        <w:t xml:space="preserve">As part of Study HS-11-426, the relative BA following single doses of SC CAM2038 q1w and multiple-doses of SL </w:t>
      </w:r>
      <w:r w:rsidR="00246DC3" w:rsidRPr="00A01EAF">
        <w:rPr>
          <w:i/>
        </w:rPr>
        <w:t>buprenorphine</w:t>
      </w:r>
      <w:r w:rsidRPr="00A01EAF">
        <w:rPr>
          <w:i/>
        </w:rPr>
        <w:t xml:space="preserve"> treatment (</w:t>
      </w:r>
      <w:proofErr w:type="spellStart"/>
      <w:r w:rsidR="00A26688" w:rsidRPr="00A01EAF">
        <w:rPr>
          <w:i/>
        </w:rPr>
        <w:t>Subutex</w:t>
      </w:r>
      <w:proofErr w:type="spellEnd"/>
      <w:r w:rsidRPr="00A01EAF">
        <w:rPr>
          <w:i/>
        </w:rPr>
        <w:t xml:space="preserve"> SL tablets) was compared for the same total dose. However, in one instance, there was a mism</w:t>
      </w:r>
      <w:r w:rsidR="00A26688" w:rsidRPr="00A01EAF">
        <w:rPr>
          <w:i/>
        </w:rPr>
        <w:t>atch in the doses compared (that is,</w:t>
      </w:r>
      <w:r w:rsidRPr="00A01EAF">
        <w:rPr>
          <w:i/>
        </w:rPr>
        <w:t xml:space="preserve"> 32 </w:t>
      </w:r>
      <w:r w:rsidR="00A26688" w:rsidRPr="00A01EAF">
        <w:rPr>
          <w:i/>
        </w:rPr>
        <w:t>mg SC versus</w:t>
      </w:r>
      <w:r w:rsidRPr="00A01EAF">
        <w:rPr>
          <w:i/>
        </w:rPr>
        <w:t xml:space="preserve"> 24 mg SL) and no explanation for this mismatch is provided in the relevant study report. The USPI for </w:t>
      </w:r>
      <w:proofErr w:type="spellStart"/>
      <w:r w:rsidR="00A26688" w:rsidRPr="00A01EAF">
        <w:rPr>
          <w:i/>
        </w:rPr>
        <w:t>Subutex</w:t>
      </w:r>
      <w:proofErr w:type="spellEnd"/>
      <w:r w:rsidR="00D72F18" w:rsidRPr="00A01EAF">
        <w:rPr>
          <w:i/>
        </w:rPr>
        <w:t xml:space="preserve"> SL tablets (revised September</w:t>
      </w:r>
      <w:r w:rsidRPr="00A01EAF">
        <w:rPr>
          <w:i/>
        </w:rPr>
        <w:t xml:space="preserve"> 2017) states that for maintenance therapy:</w:t>
      </w:r>
    </w:p>
    <w:p w14:paraId="0C4DAF02" w14:textId="74CA6736" w:rsidR="00936CCD" w:rsidRPr="00A01EAF" w:rsidRDefault="008C2B63" w:rsidP="00A01EAF">
      <w:pPr>
        <w:ind w:left="720"/>
        <w:rPr>
          <w:i/>
        </w:rPr>
      </w:pPr>
      <w:r w:rsidRPr="00A01EAF">
        <w:rPr>
          <w:i/>
        </w:rPr>
        <w:t>‘</w:t>
      </w:r>
      <w:r w:rsidR="00936CCD" w:rsidRPr="00A01EAF">
        <w:rPr>
          <w:i/>
        </w:rPr>
        <w:t xml:space="preserve">The recommended target dosage of </w:t>
      </w:r>
      <w:proofErr w:type="spellStart"/>
      <w:r w:rsidR="00A26688" w:rsidRPr="00A01EAF">
        <w:rPr>
          <w:i/>
        </w:rPr>
        <w:t>Subutex</w:t>
      </w:r>
      <w:proofErr w:type="spellEnd"/>
      <w:r w:rsidR="00A26688" w:rsidRPr="00A01EAF">
        <w:rPr>
          <w:i/>
        </w:rPr>
        <w:t xml:space="preserve"> </w:t>
      </w:r>
      <w:r w:rsidR="00936CCD" w:rsidRPr="00A01EAF">
        <w:rPr>
          <w:i/>
        </w:rPr>
        <w:t>is 16 mg as a single daily dose. Dosages higher than 24 mg have not been demonstrated to provide any clinical advantage.</w:t>
      </w:r>
      <w:r w:rsidRPr="00A01EAF">
        <w:rPr>
          <w:i/>
        </w:rPr>
        <w:t>’</w:t>
      </w:r>
    </w:p>
    <w:p w14:paraId="1B3F905C" w14:textId="6BC16628" w:rsidR="00936CCD" w:rsidRPr="00A01EAF" w:rsidRDefault="00936CCD" w:rsidP="00936CCD">
      <w:pPr>
        <w:rPr>
          <w:i/>
        </w:rPr>
      </w:pPr>
      <w:r w:rsidRPr="00A01EAF">
        <w:rPr>
          <w:i/>
        </w:rPr>
        <w:t xml:space="preserve">Hence, there is some justification for using 24 mg as the highest dose of </w:t>
      </w:r>
      <w:proofErr w:type="spellStart"/>
      <w:r w:rsidR="00A26688" w:rsidRPr="00A01EAF">
        <w:rPr>
          <w:i/>
        </w:rPr>
        <w:t>Subutex</w:t>
      </w:r>
      <w:proofErr w:type="spellEnd"/>
      <w:r w:rsidRPr="00A01EAF">
        <w:rPr>
          <w:i/>
        </w:rPr>
        <w:t xml:space="preserve"> investigated; however, it is still not clear why 32 mg CAM2038 q1w was used and not the matching dose of 24 mg.</w:t>
      </w:r>
    </w:p>
    <w:p w14:paraId="7091C879" w14:textId="4F037CF2" w:rsidR="00936CCD" w:rsidRPr="00A01EAF" w:rsidRDefault="00A26688" w:rsidP="00936CCD">
      <w:pPr>
        <w:rPr>
          <w:i/>
        </w:rPr>
      </w:pPr>
      <w:r w:rsidRPr="00A01EAF">
        <w:rPr>
          <w:i/>
        </w:rPr>
        <w:t>Therefore, can the s</w:t>
      </w:r>
      <w:r w:rsidR="00936CCD" w:rsidRPr="00A01EAF">
        <w:rPr>
          <w:i/>
        </w:rPr>
        <w:t>ponsor please clarify why the 32 mg dose of CAM2038 q1w was used in this study?</w:t>
      </w:r>
    </w:p>
    <w:p w14:paraId="23C4CCDC" w14:textId="2C1DBE71" w:rsidR="00936CCD" w:rsidRDefault="00A26688" w:rsidP="00A26688">
      <w:pPr>
        <w:pStyle w:val="Heading5"/>
      </w:pPr>
      <w:r>
        <w:t>Sponsor’s response</w:t>
      </w:r>
    </w:p>
    <w:p w14:paraId="4FF3D3FC" w14:textId="143ED2AE" w:rsidR="00936CCD" w:rsidRDefault="00936CCD" w:rsidP="00936CCD">
      <w:r>
        <w:t>The m</w:t>
      </w:r>
      <w:r w:rsidR="00A26688">
        <w:t xml:space="preserve">ain objective of </w:t>
      </w:r>
      <w:r w:rsidR="009B7D36">
        <w:t xml:space="preserve">Study </w:t>
      </w:r>
      <w:r w:rsidR="00A26688">
        <w:t>HS-11-426</w:t>
      </w:r>
      <w:r>
        <w:t xml:space="preserve"> was to evaluate </w:t>
      </w:r>
      <w:r w:rsidR="009B7D36">
        <w:t xml:space="preserve">the </w:t>
      </w:r>
      <w:r>
        <w:t xml:space="preserve">buprenorphine PK for a head to head comparison </w:t>
      </w:r>
      <w:r w:rsidR="00D72F18">
        <w:t xml:space="preserve">between CAM2038 q1w and </w:t>
      </w:r>
      <w:proofErr w:type="spellStart"/>
      <w:r w:rsidR="00D72F18">
        <w:t>Subutex</w:t>
      </w:r>
      <w:proofErr w:type="spellEnd"/>
      <w:r>
        <w:t xml:space="preserve"> at comparable </w:t>
      </w:r>
      <w:r w:rsidR="00246DC3">
        <w:t>buprenorphine</w:t>
      </w:r>
      <w:r>
        <w:t xml:space="preserve"> systemic exposure of approved </w:t>
      </w:r>
      <w:proofErr w:type="spellStart"/>
      <w:r>
        <w:t>Subutex</w:t>
      </w:r>
      <w:proofErr w:type="spellEnd"/>
      <w:r>
        <w:t xml:space="preserve"> doses for maintenance treatment of opioid dependence. The do</w:t>
      </w:r>
      <w:r w:rsidR="00D72F18">
        <w:t xml:space="preserve">ses of CAM2038 q1w in the </w:t>
      </w:r>
      <w:r w:rsidR="009B7D36">
        <w:t>Study </w:t>
      </w:r>
      <w:r w:rsidR="00D72F18">
        <w:t>HS</w:t>
      </w:r>
      <w:r w:rsidR="00D72F18">
        <w:noBreakHyphen/>
        <w:t>11</w:t>
      </w:r>
      <w:r w:rsidR="00D72F18">
        <w:noBreakHyphen/>
        <w:t xml:space="preserve">426 </w:t>
      </w:r>
      <w:r>
        <w:t>were chosen base</w:t>
      </w:r>
      <w:r w:rsidR="00D72F18">
        <w:t xml:space="preserve">d on single </w:t>
      </w:r>
      <w:r>
        <w:t xml:space="preserve">dose </w:t>
      </w:r>
      <w:r w:rsidR="00246DC3">
        <w:t>buprenorphine</w:t>
      </w:r>
      <w:r>
        <w:t xml:space="preserve"> plasma concentration data from the first study with CAM2038, which was performed in patients with opioid dependence (</w:t>
      </w:r>
      <w:r w:rsidR="009B7D36">
        <w:t xml:space="preserve">Study </w:t>
      </w:r>
      <w:r w:rsidR="00D72F18">
        <w:t xml:space="preserve">HS-07-307) and predicted steady </w:t>
      </w:r>
      <w:r>
        <w:t>state accumulation.</w:t>
      </w:r>
    </w:p>
    <w:p w14:paraId="58185000" w14:textId="3A4B7946" w:rsidR="00936CCD" w:rsidRDefault="00936CCD" w:rsidP="00936CCD">
      <w:r>
        <w:t xml:space="preserve">This initial study suggested that weekly doses of 32 mg CAM2038 q1w would provide comparable exposure, within the </w:t>
      </w:r>
      <w:proofErr w:type="spellStart"/>
      <w:r>
        <w:t>C</w:t>
      </w:r>
      <w:r w:rsidRPr="00D72F18">
        <w:rPr>
          <w:vertAlign w:val="subscript"/>
        </w:rPr>
        <w:t>max</w:t>
      </w:r>
      <w:proofErr w:type="spellEnd"/>
      <w:r>
        <w:t xml:space="preserve"> and </w:t>
      </w:r>
      <w:r w:rsidR="00F45C32">
        <w:rPr>
          <w:rFonts w:cstheme="minorHAnsi"/>
        </w:rPr>
        <w:t>minimum plasma concentration during a dosage interval</w:t>
      </w:r>
      <w:r w:rsidR="00F45C32">
        <w:t xml:space="preserve"> (</w:t>
      </w:r>
      <w:proofErr w:type="spellStart"/>
      <w:r>
        <w:t>C</w:t>
      </w:r>
      <w:r w:rsidRPr="00D72F18">
        <w:rPr>
          <w:vertAlign w:val="subscript"/>
        </w:rPr>
        <w:t>min</w:t>
      </w:r>
      <w:proofErr w:type="spellEnd"/>
      <w:r w:rsidR="00F45C32">
        <w:t>)</w:t>
      </w:r>
      <w:r>
        <w:t xml:space="preserve"> range, to the approved 24 mg daily dose of </w:t>
      </w:r>
      <w:proofErr w:type="spellStart"/>
      <w:r>
        <w:t>Subutex</w:t>
      </w:r>
      <w:proofErr w:type="spellEnd"/>
      <w:r>
        <w:t>. This was la</w:t>
      </w:r>
      <w:r w:rsidR="004C2A4C">
        <w:t xml:space="preserve">ter confirmed in Study HS-11-426 </w:t>
      </w:r>
      <w:r w:rsidR="00D72F18">
        <w:t>as well as in S</w:t>
      </w:r>
      <w:r>
        <w:t>tudy HS-15-549, and is illustrated below using population PK modelling,</w:t>
      </w:r>
      <w:r w:rsidR="00C05DDC">
        <w:t xml:space="preserve"> </w:t>
      </w:r>
      <w:r w:rsidR="00C05DDC">
        <w:fldChar w:fldCharType="begin"/>
      </w:r>
      <w:r w:rsidR="00C05DDC">
        <w:instrText xml:space="preserve"> REF _Ref18659673 \h </w:instrText>
      </w:r>
      <w:r w:rsidR="00C05DDC">
        <w:fldChar w:fldCharType="separate"/>
      </w:r>
      <w:r w:rsidR="00C05DDC">
        <w:t xml:space="preserve">Figure </w:t>
      </w:r>
      <w:r w:rsidR="00C05DDC">
        <w:rPr>
          <w:noProof/>
        </w:rPr>
        <w:t>2</w:t>
      </w:r>
      <w:r w:rsidR="00C05DDC">
        <w:fldChar w:fldCharType="end"/>
      </w:r>
      <w:r>
        <w:t>.</w:t>
      </w:r>
    </w:p>
    <w:p w14:paraId="37C1E798" w14:textId="1C7DB208" w:rsidR="006136D7" w:rsidRDefault="00936CCD" w:rsidP="00936CCD">
      <w:r>
        <w:t xml:space="preserve">In summary, based on predicted comparable </w:t>
      </w:r>
      <w:r w:rsidR="00246DC3">
        <w:t>buprenorphine</w:t>
      </w:r>
      <w:r w:rsidR="00C05DDC">
        <w:t xml:space="preserve"> exposure, the s</w:t>
      </w:r>
      <w:r>
        <w:t>ponsor used the 32 mg CAM2038 q1w dose to compare with the 24 mg</w:t>
      </w:r>
      <w:r w:rsidR="00C05DDC">
        <w:t xml:space="preserve"> </w:t>
      </w:r>
      <w:proofErr w:type="spellStart"/>
      <w:r w:rsidR="00C05DDC">
        <w:t>Subutex</w:t>
      </w:r>
      <w:proofErr w:type="spellEnd"/>
      <w:r w:rsidR="00C05DDC">
        <w:t xml:space="preserve"> dose in the HS-11-426 S</w:t>
      </w:r>
      <w:r>
        <w:t>tudy.</w:t>
      </w:r>
    </w:p>
    <w:p w14:paraId="7E545158" w14:textId="1D2DD1D5" w:rsidR="00C05DDC" w:rsidRDefault="00C05DDC" w:rsidP="00C05DDC">
      <w:pPr>
        <w:pStyle w:val="FigureTitle"/>
      </w:pPr>
      <w:bookmarkStart w:id="110" w:name="_Ref18659673"/>
      <w:r>
        <w:lastRenderedPageBreak/>
        <w:t xml:space="preserve">Figure </w:t>
      </w:r>
      <w:r w:rsidR="00553795">
        <w:rPr>
          <w:noProof/>
        </w:rPr>
        <w:fldChar w:fldCharType="begin"/>
      </w:r>
      <w:r w:rsidR="00553795">
        <w:rPr>
          <w:noProof/>
        </w:rPr>
        <w:instrText xml:space="preserve"> SEQ Figure \* ARABIC </w:instrText>
      </w:r>
      <w:r w:rsidR="00553795">
        <w:rPr>
          <w:noProof/>
        </w:rPr>
        <w:fldChar w:fldCharType="separate"/>
      </w:r>
      <w:r>
        <w:rPr>
          <w:noProof/>
        </w:rPr>
        <w:t>2</w:t>
      </w:r>
      <w:r w:rsidR="00553795">
        <w:rPr>
          <w:noProof/>
        </w:rPr>
        <w:fldChar w:fldCharType="end"/>
      </w:r>
      <w:bookmarkEnd w:id="110"/>
      <w:r>
        <w:t>: Simulated steady state plasma concentration time profiles of buprenorphine, based on population PK analysis, after weekly SC injection of 23 mg CAM2038 q1w and daily SL administration of 24 mg SL buprenorphine</w:t>
      </w:r>
    </w:p>
    <w:p w14:paraId="10747B93" w14:textId="7DD50302" w:rsidR="00C05DDC" w:rsidRDefault="00C05DDC" w:rsidP="00936CCD">
      <w:r>
        <w:rPr>
          <w:noProof/>
          <w:lang w:eastAsia="en-AU"/>
        </w:rPr>
        <w:drawing>
          <wp:inline distT="0" distB="0" distL="0" distR="0" wp14:anchorId="20F94E34" wp14:editId="6C35216E">
            <wp:extent cx="4615891" cy="3429351"/>
            <wp:effectExtent l="0" t="0" r="0" b="0"/>
            <wp:docPr id="23" name="Picture 23" descr="Simulated steady state plasma concentration time profiles of buprenorphine, based on population PK analysis, after weekly SC injection of 23 mg CAM2038 q1w and daily SL administration of 24 mg SL bupren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7469" cy="3430523"/>
                    </a:xfrm>
                    <a:prstGeom prst="rect">
                      <a:avLst/>
                    </a:prstGeom>
                  </pic:spPr>
                </pic:pic>
              </a:graphicData>
            </a:graphic>
          </wp:inline>
        </w:drawing>
      </w:r>
    </w:p>
    <w:p w14:paraId="04E178F7" w14:textId="6AF9EC12" w:rsidR="00936CCD" w:rsidRDefault="00A26688" w:rsidP="00A26688">
      <w:pPr>
        <w:pStyle w:val="Heading5"/>
      </w:pPr>
      <w:r>
        <w:t>Evaluation of response</w:t>
      </w:r>
    </w:p>
    <w:p w14:paraId="58EA5EB7" w14:textId="26E2CA18" w:rsidR="00936CCD" w:rsidRDefault="00FF5450" w:rsidP="00936CCD">
      <w:r>
        <w:t>The clinical p</w:t>
      </w:r>
      <w:r w:rsidR="00936CCD">
        <w:t>harmacology e</w:t>
      </w:r>
      <w:r w:rsidR="00A26688">
        <w:t>valuator is satisfied with the s</w:t>
      </w:r>
      <w:r w:rsidR="00936CCD">
        <w:t>ponsor’s response.</w:t>
      </w:r>
    </w:p>
    <w:p w14:paraId="32407B28" w14:textId="537E10CA" w:rsidR="00936CCD" w:rsidRDefault="00A26688" w:rsidP="00A26688">
      <w:pPr>
        <w:pStyle w:val="Heading4"/>
      </w:pPr>
      <w:r>
        <w:t>Question 2</w:t>
      </w:r>
    </w:p>
    <w:p w14:paraId="6EC17DDA" w14:textId="13F0F3C6" w:rsidR="00936CCD" w:rsidRPr="00A01EAF" w:rsidRDefault="00936CCD" w:rsidP="00936CCD">
      <w:pPr>
        <w:rPr>
          <w:i/>
        </w:rPr>
      </w:pPr>
      <w:r w:rsidRPr="00A01EAF">
        <w:rPr>
          <w:i/>
        </w:rPr>
        <w:t xml:space="preserve">Given that the existing USPI for </w:t>
      </w:r>
      <w:proofErr w:type="spellStart"/>
      <w:r w:rsidR="00A26688" w:rsidRPr="00A01EAF">
        <w:rPr>
          <w:i/>
        </w:rPr>
        <w:t>Subutex</w:t>
      </w:r>
      <w:proofErr w:type="spellEnd"/>
      <w:r w:rsidRPr="00A01EAF">
        <w:rPr>
          <w:i/>
        </w:rPr>
        <w:t xml:space="preserve"> SL tablets indicates that the recommended target dosage of </w:t>
      </w:r>
      <w:proofErr w:type="spellStart"/>
      <w:r w:rsidR="00A26688" w:rsidRPr="00A01EAF">
        <w:rPr>
          <w:i/>
        </w:rPr>
        <w:t>Subutex</w:t>
      </w:r>
      <w:proofErr w:type="spellEnd"/>
      <w:r w:rsidRPr="00A01EAF">
        <w:rPr>
          <w:i/>
        </w:rPr>
        <w:t xml:space="preserve"> is 16 mg as a single daily dose and that dosages higher than 24 mg have not been demonstrated to provide </w:t>
      </w:r>
      <w:r w:rsidR="00A26688" w:rsidRPr="00A01EAF">
        <w:rPr>
          <w:i/>
        </w:rPr>
        <w:t>any clinical advantage can the s</w:t>
      </w:r>
      <w:r w:rsidRPr="00A01EAF">
        <w:rPr>
          <w:i/>
        </w:rPr>
        <w:t>ponsor please justify the inclusion of the 160 mg dose of CAM2038 q4w in the current application especially considering the PKs of the proposed 160 mg dose of CAM2038 q4w were not examined in healthy subjects and no explanation or justification is provided for the use of the 160 mg dose of CAM2038 q4w in Study HS-15-549?</w:t>
      </w:r>
    </w:p>
    <w:p w14:paraId="1006099C" w14:textId="478740B1" w:rsidR="00936CCD" w:rsidRDefault="00A26688" w:rsidP="00A26688">
      <w:pPr>
        <w:pStyle w:val="Heading5"/>
      </w:pPr>
      <w:r>
        <w:t>Sponsor’s response</w:t>
      </w:r>
    </w:p>
    <w:p w14:paraId="52AB716C" w14:textId="5ED69D89" w:rsidR="00936CCD" w:rsidRDefault="00936CCD" w:rsidP="00936CCD">
      <w:r>
        <w:t>The 160 mg CAM2038 q4w dose does not have a weekly corresponding dose and was included as a dose escal</w:t>
      </w:r>
      <w:r w:rsidR="00A26688">
        <w:t>ation opportunity in the Phase III</w:t>
      </w:r>
      <w:r>
        <w:t xml:space="preserve"> studies (</w:t>
      </w:r>
      <w:r w:rsidR="00A26688">
        <w:t xml:space="preserve">Studies </w:t>
      </w:r>
      <w:r>
        <w:t>HS-11-421 and HS-14-499) for patients on 128 mg CAM2038 q4w when this w</w:t>
      </w:r>
      <w:r w:rsidR="00EE74B0">
        <w:t>as clinically indicated at the i</w:t>
      </w:r>
      <w:r>
        <w:t>nvestigator’s discretion.</w:t>
      </w:r>
    </w:p>
    <w:p w14:paraId="162B2E94" w14:textId="24812475" w:rsidR="00936CCD" w:rsidRDefault="00936CCD" w:rsidP="00936CCD">
      <w:r>
        <w:t>The efficacy and safety results from the clinical programme demonstrated that the 160 mg dose of CAM2038 q4w provide a positive benefit-risk profile in patients with opioid dependence</w:t>
      </w:r>
      <w:r w:rsidR="00A26688">
        <w:t xml:space="preserve">, both in patients who were new to </w:t>
      </w:r>
      <w:r>
        <w:t>treatment and in patients who were switched from sublingual buprenorphine/naloxone. Howev</w:t>
      </w:r>
      <w:r w:rsidR="00A26688">
        <w:t>er, the s</w:t>
      </w:r>
      <w:r>
        <w:t>ponsor has decided to withdraw the 160 mg dose from the marketing authorisation application (MAA) until further data on this dose are available.</w:t>
      </w:r>
    </w:p>
    <w:p w14:paraId="11A69E4A" w14:textId="17AEDBFE" w:rsidR="00936CCD" w:rsidRDefault="00A26688" w:rsidP="00A26688">
      <w:pPr>
        <w:pStyle w:val="Heading5"/>
      </w:pPr>
      <w:r>
        <w:t>Evaluation of response</w:t>
      </w:r>
    </w:p>
    <w:p w14:paraId="40132B0A" w14:textId="5F5AB38D" w:rsidR="00936CCD" w:rsidRDefault="00FF5450" w:rsidP="00936CCD">
      <w:r>
        <w:t>The clinical p</w:t>
      </w:r>
      <w:r w:rsidR="00936CCD">
        <w:t>harmacology e</w:t>
      </w:r>
      <w:r w:rsidR="00A26688">
        <w:t>valuator is satisfied with the s</w:t>
      </w:r>
      <w:r w:rsidR="00936CCD">
        <w:t>ponsor’s response.</w:t>
      </w:r>
    </w:p>
    <w:p w14:paraId="3A66F447" w14:textId="22FCE925" w:rsidR="00936CCD" w:rsidRDefault="00936CCD" w:rsidP="00A26688">
      <w:pPr>
        <w:pStyle w:val="Heading4"/>
      </w:pPr>
      <w:r>
        <w:lastRenderedPageBreak/>
        <w:t>Qu</w:t>
      </w:r>
      <w:r w:rsidR="00A26688">
        <w:t>estion 3</w:t>
      </w:r>
    </w:p>
    <w:p w14:paraId="1AB612E0" w14:textId="4EAF089E" w:rsidR="00936CCD" w:rsidRPr="00A01EAF" w:rsidRDefault="00936CCD" w:rsidP="00936CCD">
      <w:pPr>
        <w:rPr>
          <w:i/>
        </w:rPr>
      </w:pPr>
      <w:r w:rsidRPr="00A01EAF">
        <w:rPr>
          <w:i/>
        </w:rPr>
        <w:t xml:space="preserve">Please justify the inclusion of all </w:t>
      </w:r>
      <w:r w:rsidR="00A26688" w:rsidRPr="00A01EAF">
        <w:rPr>
          <w:i/>
        </w:rPr>
        <w:t>subjects in the PP analysis in S</w:t>
      </w:r>
      <w:r w:rsidRPr="00A01EAF">
        <w:rPr>
          <w:i/>
        </w:rPr>
        <w:t>tudy HS-11-421. The difference between reportable deviations and major deviations is unclear. A total of 87</w:t>
      </w:r>
      <w:r w:rsidR="009B7D36">
        <w:rPr>
          <w:i/>
        </w:rPr>
        <w:t> </w:t>
      </w:r>
      <w:r w:rsidRPr="00A01EAF">
        <w:rPr>
          <w:i/>
        </w:rPr>
        <w:t>subjects had reportable deviations but none were considered major. This appears unusual.</w:t>
      </w:r>
    </w:p>
    <w:p w14:paraId="55FECF00" w14:textId="7BE5DF11" w:rsidR="00936CCD" w:rsidRDefault="00A26688" w:rsidP="00A26688">
      <w:pPr>
        <w:pStyle w:val="Heading5"/>
      </w:pPr>
      <w:r>
        <w:t>Sponsor’s response</w:t>
      </w:r>
    </w:p>
    <w:p w14:paraId="6CCEBBD1" w14:textId="5CE2CB8E" w:rsidR="00936CCD" w:rsidRDefault="00936CCD" w:rsidP="00936CCD">
      <w:r>
        <w:t xml:space="preserve">The sponsor has submitted a post hoc correction of the clinical data which has excluded five subjects from the PP analysis. The PP-1 and PP-2 analyses are now described in </w:t>
      </w:r>
      <w:r w:rsidR="00A26688">
        <w:t xml:space="preserve">the clinical evaluation report </w:t>
      </w:r>
      <w:r>
        <w:t>with summaries</w:t>
      </w:r>
      <w:r w:rsidR="00EE74B0">
        <w:t xml:space="preserve"> shown below in </w:t>
      </w:r>
      <w:r w:rsidR="00EE74B0">
        <w:fldChar w:fldCharType="begin"/>
      </w:r>
      <w:r w:rsidR="00EE74B0">
        <w:instrText xml:space="preserve"> REF _Ref18659972 \h </w:instrText>
      </w:r>
      <w:r w:rsidR="00EE74B0">
        <w:fldChar w:fldCharType="separate"/>
      </w:r>
      <w:r w:rsidR="00EE74B0">
        <w:t xml:space="preserve">Table </w:t>
      </w:r>
      <w:r w:rsidR="00EE74B0">
        <w:rPr>
          <w:noProof/>
        </w:rPr>
        <w:t>5</w:t>
      </w:r>
      <w:r w:rsidR="00EE74B0">
        <w:fldChar w:fldCharType="end"/>
      </w:r>
      <w:r w:rsidR="00EE74B0">
        <w:t xml:space="preserve"> and </w:t>
      </w:r>
      <w:r w:rsidR="00EE74B0">
        <w:fldChar w:fldCharType="begin"/>
      </w:r>
      <w:r w:rsidR="00EE74B0">
        <w:instrText xml:space="preserve"> REF _Ref18659978 \h </w:instrText>
      </w:r>
      <w:r w:rsidR="00EE74B0">
        <w:fldChar w:fldCharType="separate"/>
      </w:r>
      <w:r w:rsidR="00EE74B0">
        <w:t xml:space="preserve">Table </w:t>
      </w:r>
      <w:r w:rsidR="00EE74B0">
        <w:rPr>
          <w:noProof/>
        </w:rPr>
        <w:t>6</w:t>
      </w:r>
      <w:r w:rsidR="00EE74B0">
        <w:fldChar w:fldCharType="end"/>
      </w:r>
      <w:r>
        <w:t>.</w:t>
      </w:r>
    </w:p>
    <w:p w14:paraId="75FC8D7E" w14:textId="62C42639" w:rsidR="00A26688" w:rsidRDefault="00A26688" w:rsidP="00A26688">
      <w:pPr>
        <w:pStyle w:val="TableTitle"/>
      </w:pPr>
      <w:bookmarkStart w:id="111" w:name="_Ref18659972"/>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5</w:t>
      </w:r>
      <w:r w:rsidR="00553795">
        <w:rPr>
          <w:noProof/>
        </w:rPr>
        <w:fldChar w:fldCharType="end"/>
      </w:r>
      <w:bookmarkEnd w:id="111"/>
      <w:r>
        <w:t xml:space="preserve">: </w:t>
      </w:r>
      <w:r w:rsidR="009B7D36">
        <w:t xml:space="preserve">Study HS-11-421 </w:t>
      </w:r>
      <w:r>
        <w:t>Mean percentage of urine samples negative for illicit opioids, (</w:t>
      </w:r>
      <w:r w:rsidRPr="00A26688">
        <w:rPr>
          <w:i/>
        </w:rPr>
        <w:t>post hoc</w:t>
      </w:r>
      <w:r>
        <w:t xml:space="preserve"> PP-1 population)</w:t>
      </w:r>
    </w:p>
    <w:p w14:paraId="52083643" w14:textId="69EA490D" w:rsidR="00936CCD" w:rsidRDefault="00A26688" w:rsidP="00936CCD">
      <w:r>
        <w:rPr>
          <w:noProof/>
          <w:lang w:eastAsia="en-AU"/>
        </w:rPr>
        <w:drawing>
          <wp:inline distT="0" distB="0" distL="0" distR="0" wp14:anchorId="5C9B90DB" wp14:editId="48BD6941">
            <wp:extent cx="5400040" cy="2350135"/>
            <wp:effectExtent l="0" t="0" r="0" b="0"/>
            <wp:docPr id="10" name="Picture 10" descr="Mean percentage of urine samples negative for illicit opioids, HS-11-421 (post hoc PP-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350135"/>
                    </a:xfrm>
                    <a:prstGeom prst="rect">
                      <a:avLst/>
                    </a:prstGeom>
                  </pic:spPr>
                </pic:pic>
              </a:graphicData>
            </a:graphic>
          </wp:inline>
        </w:drawing>
      </w:r>
    </w:p>
    <w:p w14:paraId="5C016D5C" w14:textId="4B0D3BC8" w:rsidR="00A26688" w:rsidRDefault="00A26688" w:rsidP="00A26688">
      <w:pPr>
        <w:pStyle w:val="TableTitle"/>
      </w:pPr>
      <w:bookmarkStart w:id="112" w:name="_Ref18659978"/>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6</w:t>
      </w:r>
      <w:r w:rsidR="00553795">
        <w:rPr>
          <w:noProof/>
        </w:rPr>
        <w:fldChar w:fldCharType="end"/>
      </w:r>
      <w:bookmarkEnd w:id="112"/>
      <w:r>
        <w:t xml:space="preserve">: </w:t>
      </w:r>
      <w:r w:rsidR="009B7D36">
        <w:t>Study HS</w:t>
      </w:r>
      <w:r w:rsidR="009B7D36">
        <w:noBreakHyphen/>
        <w:t>11</w:t>
      </w:r>
      <w:r w:rsidR="009B7D36">
        <w:noBreakHyphen/>
        <w:t xml:space="preserve">421 </w:t>
      </w:r>
      <w:r>
        <w:t>Mean percentage of urine samples negative for illicit opioids excluding patients who had 2 or more missing consecutive visits p</w:t>
      </w:r>
      <w:r w:rsidR="00AD7138">
        <w:t>rior to Week 25/end of therapy</w:t>
      </w:r>
      <w:r>
        <w:t>, (</w:t>
      </w:r>
      <w:r w:rsidRPr="00A26688">
        <w:rPr>
          <w:i/>
        </w:rPr>
        <w:t>post hoc</w:t>
      </w:r>
      <w:r>
        <w:t xml:space="preserve"> PP-2 population)</w:t>
      </w:r>
    </w:p>
    <w:p w14:paraId="20169391" w14:textId="3AB45812" w:rsidR="00936CCD" w:rsidRDefault="00A26688" w:rsidP="00936CCD">
      <w:r>
        <w:rPr>
          <w:noProof/>
          <w:lang w:eastAsia="en-AU"/>
        </w:rPr>
        <w:drawing>
          <wp:inline distT="0" distB="0" distL="0" distR="0" wp14:anchorId="33A38F78" wp14:editId="423DD9E4">
            <wp:extent cx="5400040" cy="2331720"/>
            <wp:effectExtent l="0" t="0" r="0" b="0"/>
            <wp:docPr id="11" name="Picture 11" descr="Mean percentage of urine samples negative for illicit opioids excluding patients who had 2 or more missing consecutive visits prior to Week 25/end of treatment, HS 11 421 (post hoc PP-2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331720"/>
                    </a:xfrm>
                    <a:prstGeom prst="rect">
                      <a:avLst/>
                    </a:prstGeom>
                  </pic:spPr>
                </pic:pic>
              </a:graphicData>
            </a:graphic>
          </wp:inline>
        </w:drawing>
      </w:r>
    </w:p>
    <w:p w14:paraId="28E9EC25" w14:textId="692F15E4" w:rsidR="00A26688" w:rsidRDefault="00A26688" w:rsidP="00AD7138">
      <w:pPr>
        <w:pStyle w:val="Heading5"/>
      </w:pPr>
      <w:r>
        <w:t>Evaluation of</w:t>
      </w:r>
      <w:r w:rsidR="00AD7138">
        <w:t xml:space="preserve"> response</w:t>
      </w:r>
    </w:p>
    <w:p w14:paraId="1D27D262" w14:textId="3C0863D0" w:rsidR="00885CE7" w:rsidRDefault="00936CCD" w:rsidP="00936CCD">
      <w:r>
        <w:t>The sponsor’s response is satisfactory. The results of the revised PP sensitivity analysis are consistent with the primary analysis and do not materially influence the study outcomes or conclusions</w:t>
      </w:r>
      <w:r w:rsidR="00885CE7">
        <w:t>.</w:t>
      </w:r>
    </w:p>
    <w:p w14:paraId="1BBEAFA1" w14:textId="0DAE8807" w:rsidR="00885CE7" w:rsidRDefault="00936CCD" w:rsidP="00AD7138">
      <w:pPr>
        <w:pStyle w:val="Heading4"/>
      </w:pPr>
      <w:r>
        <w:t>Question 4</w:t>
      </w:r>
    </w:p>
    <w:p w14:paraId="7D646589" w14:textId="06AB2918" w:rsidR="00936CCD" w:rsidRPr="00A01EAF" w:rsidRDefault="00936CCD" w:rsidP="00936CCD">
      <w:pPr>
        <w:rPr>
          <w:i/>
        </w:rPr>
      </w:pPr>
      <w:r w:rsidRPr="00A01EAF">
        <w:rPr>
          <w:i/>
        </w:rPr>
        <w:t xml:space="preserve">In </w:t>
      </w:r>
      <w:r w:rsidR="00AD7138" w:rsidRPr="00A01EAF">
        <w:rPr>
          <w:i/>
        </w:rPr>
        <w:t xml:space="preserve">the </w:t>
      </w:r>
      <w:r w:rsidR="009B7D36">
        <w:rPr>
          <w:i/>
        </w:rPr>
        <w:t xml:space="preserve">Study </w:t>
      </w:r>
      <w:r w:rsidR="00AD7138" w:rsidRPr="00A01EAF">
        <w:rPr>
          <w:i/>
        </w:rPr>
        <w:t>HS-11-421 clinical study report</w:t>
      </w:r>
      <w:r w:rsidRPr="00A01EAF">
        <w:rPr>
          <w:i/>
        </w:rPr>
        <w:t xml:space="preserve">, it is stated that 158 subjects (74%) received at least one dose of CAM2038 q4w. However, it is unclear what the most common dose was at </w:t>
      </w:r>
      <w:r w:rsidRPr="00A01EAF">
        <w:rPr>
          <w:i/>
        </w:rPr>
        <w:lastRenderedPageBreak/>
        <w:t>the end of the 12 week treatm</w:t>
      </w:r>
      <w:r w:rsidR="00AD7138" w:rsidRPr="00A01EAF">
        <w:rPr>
          <w:i/>
        </w:rPr>
        <w:t xml:space="preserve">ent period. In the </w:t>
      </w:r>
      <w:r w:rsidR="009B7D36">
        <w:rPr>
          <w:i/>
        </w:rPr>
        <w:t xml:space="preserve">Study </w:t>
      </w:r>
      <w:r w:rsidR="00AD7138" w:rsidRPr="00A01EAF">
        <w:rPr>
          <w:i/>
        </w:rPr>
        <w:t>HS-14-499 clinical study report</w:t>
      </w:r>
      <w:r w:rsidRPr="00A01EAF">
        <w:rPr>
          <w:i/>
        </w:rPr>
        <w:t xml:space="preserve">, it is unclear what percentage of subjects were stabilised on CAM2038 q4w. Please provide a summary of the median dose of CAM2038 qw4 </w:t>
      </w:r>
      <w:r w:rsidR="00AD7138" w:rsidRPr="00A01EAF">
        <w:rPr>
          <w:i/>
        </w:rPr>
        <w:t>in both study populations at end of therapy</w:t>
      </w:r>
      <w:r w:rsidRPr="00A01EAF">
        <w:rPr>
          <w:i/>
        </w:rPr>
        <w:t>. Please state the percentage of subjects who required the 160 mg dose for long-t</w:t>
      </w:r>
      <w:r w:rsidR="00AD7138" w:rsidRPr="00A01EAF">
        <w:rPr>
          <w:i/>
        </w:rPr>
        <w:t>erm stabilisation of symptoms.</w:t>
      </w:r>
    </w:p>
    <w:p w14:paraId="0F9845DD" w14:textId="11168AE5" w:rsidR="00936CCD" w:rsidRDefault="00AD7138" w:rsidP="00AD7138">
      <w:pPr>
        <w:pStyle w:val="Heading5"/>
      </w:pPr>
      <w:r>
        <w:t>Sponsor’s response</w:t>
      </w:r>
    </w:p>
    <w:p w14:paraId="5FBCE3F5" w14:textId="6B41B7CA" w:rsidR="00936CCD" w:rsidRDefault="00936CCD" w:rsidP="00936CCD">
      <w:r>
        <w:t>In pat</w:t>
      </w:r>
      <w:r w:rsidR="00AD7138">
        <w:t>ients stabilised on CAM2038 in S</w:t>
      </w:r>
      <w:r>
        <w:t>tudy HS-11-421, the most common last do</w:t>
      </w:r>
      <w:r w:rsidR="00FF5450">
        <w:t>se was 96 </w:t>
      </w:r>
      <w:r w:rsidR="00AD7138">
        <w:t xml:space="preserve">mg as shown in </w:t>
      </w:r>
      <w:r w:rsidR="00AD7138">
        <w:fldChar w:fldCharType="begin"/>
      </w:r>
      <w:r w:rsidR="00AD7138">
        <w:instrText xml:space="preserve"> REF _Ref18654432 \h </w:instrText>
      </w:r>
      <w:r w:rsidR="00AD7138">
        <w:fldChar w:fldCharType="separate"/>
      </w:r>
      <w:r w:rsidR="00AD7138">
        <w:t xml:space="preserve">Table </w:t>
      </w:r>
      <w:r w:rsidR="00AD7138">
        <w:rPr>
          <w:noProof/>
        </w:rPr>
        <w:t>7</w:t>
      </w:r>
      <w:r w:rsidR="00AD7138">
        <w:fldChar w:fldCharType="end"/>
      </w:r>
      <w:r>
        <w:t xml:space="preserve"> below.</w:t>
      </w:r>
    </w:p>
    <w:p w14:paraId="3FF821A6" w14:textId="630EEFF7" w:rsidR="00AD7138" w:rsidRDefault="00AD7138" w:rsidP="00AD7138">
      <w:pPr>
        <w:pStyle w:val="TableTitle"/>
      </w:pPr>
      <w:bookmarkStart w:id="113" w:name="_Ref18654432"/>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7</w:t>
      </w:r>
      <w:r w:rsidR="00553795">
        <w:rPr>
          <w:noProof/>
        </w:rPr>
        <w:fldChar w:fldCharType="end"/>
      </w:r>
      <w:bookmarkEnd w:id="113"/>
      <w:r>
        <w:t>: Study HS-11-421, the last (third) CAM2038 q4w dose administered in the study</w:t>
      </w:r>
    </w:p>
    <w:p w14:paraId="6C822271" w14:textId="1D473BAA" w:rsidR="00936CCD" w:rsidRDefault="00AD7138" w:rsidP="00936CCD">
      <w:r>
        <w:rPr>
          <w:noProof/>
          <w:lang w:eastAsia="en-AU"/>
        </w:rPr>
        <w:drawing>
          <wp:inline distT="0" distB="0" distL="0" distR="0" wp14:anchorId="50C8A06E" wp14:editId="6ED5EF07">
            <wp:extent cx="5400040" cy="1150620"/>
            <wp:effectExtent l="0" t="0" r="0" b="0"/>
            <wp:docPr id="12" name="Picture 12" descr="Study HS-11-421, the last (third) CAM2038 q4w dose administer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150620"/>
                    </a:xfrm>
                    <a:prstGeom prst="rect">
                      <a:avLst/>
                    </a:prstGeom>
                  </pic:spPr>
                </pic:pic>
              </a:graphicData>
            </a:graphic>
          </wp:inline>
        </w:drawing>
      </w:r>
    </w:p>
    <w:p w14:paraId="57702D3B" w14:textId="77777777" w:rsidR="00406837" w:rsidRDefault="00406837" w:rsidP="00406837">
      <w:r>
        <w:t>A total of 85% of patients were stabilised on doses of 96 mg or 128 mg and only 6% required 160 mg.</w:t>
      </w:r>
    </w:p>
    <w:p w14:paraId="058404BB" w14:textId="7322D152" w:rsidR="00406837" w:rsidRDefault="00AD7138" w:rsidP="00406837">
      <w:r>
        <w:t>In S</w:t>
      </w:r>
      <w:r w:rsidR="00406837">
        <w:t>tudy HS-14-499, there was no strictly defined definition of a stable dose. Flexible dosing was designed to mimic clinical practice. However, to address</w:t>
      </w:r>
      <w:r>
        <w:t xml:space="preserve"> the </w:t>
      </w:r>
      <w:r w:rsidR="009B7D36">
        <w:t xml:space="preserve">evaluator’s </w:t>
      </w:r>
      <w:r>
        <w:t>question, the s</w:t>
      </w:r>
      <w:r w:rsidR="00406837">
        <w:t>ponsor has summarised the doses given in subjects who received the same dose on at least fou</w:t>
      </w:r>
      <w:r>
        <w:t>r consecutive occasions (</w:t>
      </w:r>
      <w:r>
        <w:fldChar w:fldCharType="begin"/>
      </w:r>
      <w:r>
        <w:instrText xml:space="preserve"> REF _Ref18654578 \h </w:instrText>
      </w:r>
      <w:r>
        <w:fldChar w:fldCharType="separate"/>
      </w:r>
      <w:r>
        <w:t xml:space="preserve">Table </w:t>
      </w:r>
      <w:r>
        <w:rPr>
          <w:noProof/>
        </w:rPr>
        <w:t>8</w:t>
      </w:r>
      <w:r>
        <w:fldChar w:fldCharType="end"/>
      </w:r>
      <w:r w:rsidR="00406837">
        <w:t>).</w:t>
      </w:r>
    </w:p>
    <w:p w14:paraId="2D8DB12D" w14:textId="4A6F79A4" w:rsidR="00AD7138" w:rsidRDefault="00AD7138" w:rsidP="00AD7138">
      <w:pPr>
        <w:pStyle w:val="TableTitle"/>
      </w:pPr>
      <w:bookmarkStart w:id="114" w:name="_Ref18654578"/>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8</w:t>
      </w:r>
      <w:r w:rsidR="00553795">
        <w:rPr>
          <w:noProof/>
        </w:rPr>
        <w:fldChar w:fldCharType="end"/>
      </w:r>
      <w:bookmarkEnd w:id="114"/>
      <w:r>
        <w:t>: Study HS-14-499: exposure, the last dose of CAM2038 q4w given as at least 4 consecutive doses</w:t>
      </w:r>
    </w:p>
    <w:p w14:paraId="34B63AAC" w14:textId="32B1F875" w:rsidR="00406837" w:rsidRDefault="00AD7138" w:rsidP="00406837">
      <w:r>
        <w:rPr>
          <w:noProof/>
          <w:lang w:eastAsia="en-AU"/>
        </w:rPr>
        <w:drawing>
          <wp:inline distT="0" distB="0" distL="0" distR="0" wp14:anchorId="3D2165CF" wp14:editId="0BFD08BA">
            <wp:extent cx="5400040" cy="1836420"/>
            <wp:effectExtent l="0" t="0" r="0" b="0"/>
            <wp:docPr id="13" name="Picture 13" descr="Study HS-14-499: exposure, the last dose of CAM2038 q4w given as at least 4 consecutiv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836420"/>
                    </a:xfrm>
                    <a:prstGeom prst="rect">
                      <a:avLst/>
                    </a:prstGeom>
                  </pic:spPr>
                </pic:pic>
              </a:graphicData>
            </a:graphic>
          </wp:inline>
        </w:drawing>
      </w:r>
    </w:p>
    <w:p w14:paraId="4DF5AFED" w14:textId="65E43F3D" w:rsidR="00406837" w:rsidRDefault="00406837" w:rsidP="00406837">
      <w:r>
        <w:t xml:space="preserve">In subjects who received the same dose on at least four consecutive occasions, subjects new to </w:t>
      </w:r>
      <w:r w:rsidR="00246DC3">
        <w:t>buprenorphine</w:t>
      </w:r>
      <w:r>
        <w:t xml:space="preserve"> t</w:t>
      </w:r>
      <w:r w:rsidR="00AD7138">
        <w:t>reatment were stabilised on 64 to</w:t>
      </w:r>
      <w:r>
        <w:t xml:space="preserve"> 96 mg. Subjects receiving SL </w:t>
      </w:r>
      <w:r w:rsidR="00246DC3">
        <w:t>buprenorphine</w:t>
      </w:r>
      <w:r w:rsidR="008E61F9">
        <w:t>/naloxone</w:t>
      </w:r>
      <w:r>
        <w:t xml:space="preserve"> at study entry required higher doses. A total of 28% received 128 mg and 14% received the maximum 160 mg dose.</w:t>
      </w:r>
    </w:p>
    <w:p w14:paraId="656AEFF6" w14:textId="11CDF296" w:rsidR="00406837" w:rsidRDefault="00406837" w:rsidP="00406837">
      <w:r>
        <w:t>The</w:t>
      </w:r>
      <w:r w:rsidR="00AD7138">
        <w:t xml:space="preserve"> median last dose was 96 mg in S</w:t>
      </w:r>
      <w:r>
        <w:t xml:space="preserve">tudies </w:t>
      </w:r>
      <w:r w:rsidR="0006179B">
        <w:t>HS-11-421 and HS-14-499 (</w:t>
      </w:r>
      <w:r w:rsidR="0006179B">
        <w:fldChar w:fldCharType="begin"/>
      </w:r>
      <w:r w:rsidR="0006179B">
        <w:instrText xml:space="preserve"> REF _Ref18654837 \h </w:instrText>
      </w:r>
      <w:r w:rsidR="0006179B">
        <w:fldChar w:fldCharType="separate"/>
      </w:r>
      <w:r w:rsidR="0006179B">
        <w:t xml:space="preserve">Table </w:t>
      </w:r>
      <w:r w:rsidR="0006179B">
        <w:rPr>
          <w:noProof/>
        </w:rPr>
        <w:t>9</w:t>
      </w:r>
      <w:r w:rsidR="0006179B">
        <w:fldChar w:fldCharType="end"/>
      </w:r>
      <w:r>
        <w:t xml:space="preserve"> and</w:t>
      </w:r>
      <w:r w:rsidR="0006179B">
        <w:t xml:space="preserve"> </w:t>
      </w:r>
      <w:r w:rsidR="0006179B">
        <w:fldChar w:fldCharType="begin"/>
      </w:r>
      <w:r w:rsidR="0006179B">
        <w:instrText xml:space="preserve"> REF _Ref18654844 \h </w:instrText>
      </w:r>
      <w:r w:rsidR="0006179B">
        <w:fldChar w:fldCharType="separate"/>
      </w:r>
      <w:r w:rsidR="0006179B">
        <w:t xml:space="preserve">Table </w:t>
      </w:r>
      <w:r w:rsidR="0006179B">
        <w:rPr>
          <w:noProof/>
        </w:rPr>
        <w:t>10</w:t>
      </w:r>
      <w:r w:rsidR="0006179B">
        <w:fldChar w:fldCharType="end"/>
      </w:r>
      <w:r>
        <w:t>).</w:t>
      </w:r>
    </w:p>
    <w:p w14:paraId="0856A71D" w14:textId="52EF9470" w:rsidR="00AD7138" w:rsidRDefault="00AD7138" w:rsidP="00AD7138">
      <w:pPr>
        <w:pStyle w:val="TableTitle"/>
      </w:pPr>
      <w:bookmarkStart w:id="115" w:name="_Ref18654837"/>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9</w:t>
      </w:r>
      <w:r w:rsidR="00553795">
        <w:rPr>
          <w:noProof/>
        </w:rPr>
        <w:fldChar w:fldCharType="end"/>
      </w:r>
      <w:bookmarkEnd w:id="115"/>
      <w:r>
        <w:t>: Study HS-11-421: Median last dose of CAM2038 q4w administered (mg)</w:t>
      </w:r>
    </w:p>
    <w:p w14:paraId="104F401F" w14:textId="6AE27F43" w:rsidR="00AD7138" w:rsidRPr="00AD7138" w:rsidRDefault="00AD7138" w:rsidP="00AD7138">
      <w:r>
        <w:rPr>
          <w:noProof/>
          <w:lang w:eastAsia="en-AU"/>
        </w:rPr>
        <w:drawing>
          <wp:inline distT="0" distB="0" distL="0" distR="0" wp14:anchorId="0E392AB3" wp14:editId="42090911">
            <wp:extent cx="5400040" cy="1248410"/>
            <wp:effectExtent l="0" t="0" r="0" b="8890"/>
            <wp:docPr id="14" name="Picture 14" descr="Study HS-11-421: Median last dose of CAM2038 q4w administered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248410"/>
                    </a:xfrm>
                    <a:prstGeom prst="rect">
                      <a:avLst/>
                    </a:prstGeom>
                  </pic:spPr>
                </pic:pic>
              </a:graphicData>
            </a:graphic>
          </wp:inline>
        </w:drawing>
      </w:r>
    </w:p>
    <w:p w14:paraId="52849A8A" w14:textId="07DE6674" w:rsidR="00406837" w:rsidRDefault="00AD7138" w:rsidP="00AD7138">
      <w:pPr>
        <w:pStyle w:val="TableTitle"/>
      </w:pPr>
      <w:bookmarkStart w:id="116" w:name="_Ref18654844"/>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10</w:t>
      </w:r>
      <w:r w:rsidR="00553795">
        <w:rPr>
          <w:noProof/>
        </w:rPr>
        <w:fldChar w:fldCharType="end"/>
      </w:r>
      <w:bookmarkEnd w:id="116"/>
      <w:r>
        <w:t xml:space="preserve">: </w:t>
      </w:r>
      <w:r>
        <w:rPr>
          <w:noProof/>
          <w:lang w:eastAsia="en-AU"/>
        </w:rPr>
        <w:t>Study HS-14-499: Median last dose of CAM2038 q4w administered (mg)</w:t>
      </w:r>
    </w:p>
    <w:p w14:paraId="442988BC" w14:textId="77D09D0D" w:rsidR="00406837" w:rsidRDefault="009E4134" w:rsidP="00406837">
      <w:r>
        <w:rPr>
          <w:noProof/>
          <w:lang w:eastAsia="en-AU"/>
        </w:rPr>
        <w:drawing>
          <wp:inline distT="0" distB="0" distL="0" distR="0" wp14:anchorId="1925E7D9" wp14:editId="7722DBAF">
            <wp:extent cx="5400040" cy="1772920"/>
            <wp:effectExtent l="0" t="0" r="0" b="0"/>
            <wp:docPr id="17" name="Picture 17" descr="Study HS-14-499: Median last dose of CAM2038 q4w administered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772920"/>
                    </a:xfrm>
                    <a:prstGeom prst="rect">
                      <a:avLst/>
                    </a:prstGeom>
                  </pic:spPr>
                </pic:pic>
              </a:graphicData>
            </a:graphic>
          </wp:inline>
        </w:drawing>
      </w:r>
    </w:p>
    <w:p w14:paraId="086F5DA8" w14:textId="21AE5642" w:rsidR="00406837" w:rsidRPr="00FB254C" w:rsidRDefault="0006179B" w:rsidP="0006179B">
      <w:pPr>
        <w:pStyle w:val="Heading5"/>
      </w:pPr>
      <w:r w:rsidRPr="00FB254C">
        <w:t>Evaluation of response</w:t>
      </w:r>
    </w:p>
    <w:p w14:paraId="3368A2D7" w14:textId="77777777" w:rsidR="00885CE7" w:rsidRPr="00FB254C" w:rsidRDefault="00406837" w:rsidP="00406837">
      <w:r w:rsidRPr="00FB254C">
        <w:t>The sponsor’s response is satisfactory. The data suggest that the great majority of subjects can be stabilised on doses ranging from 64 mg to 128 mg with a median dose of 96 mg. Few subjects required the highest dose of 160 mg to control symptoms</w:t>
      </w:r>
      <w:r w:rsidR="00885CE7" w:rsidRPr="00FB254C">
        <w:t>.</w:t>
      </w:r>
    </w:p>
    <w:p w14:paraId="503BDD68" w14:textId="572EBEAF" w:rsidR="00885CE7" w:rsidRPr="00FB254C" w:rsidRDefault="00406837" w:rsidP="00FB254C">
      <w:pPr>
        <w:pStyle w:val="Heading4"/>
      </w:pPr>
      <w:r w:rsidRPr="00FB254C">
        <w:t>Question 5</w:t>
      </w:r>
    </w:p>
    <w:p w14:paraId="23A9CDAD" w14:textId="77777777" w:rsidR="00406837" w:rsidRPr="00A01EAF" w:rsidRDefault="00406837" w:rsidP="00406837">
      <w:pPr>
        <w:rPr>
          <w:i/>
        </w:rPr>
      </w:pPr>
      <w:r w:rsidRPr="00A01EAF">
        <w:rPr>
          <w:i/>
        </w:rPr>
        <w:t>Please comment on the risks associated with accidental IV injection. It is accepted that this is unlikely as injections are given by healthcare professionals. However, what PK and adverse effects might be expected to occur were it to actually happen? Has IV testing been conducted in animals?</w:t>
      </w:r>
    </w:p>
    <w:p w14:paraId="44443918" w14:textId="537899D2" w:rsidR="00406837" w:rsidRPr="00FB254C" w:rsidRDefault="00FB254C" w:rsidP="00FB254C">
      <w:pPr>
        <w:pStyle w:val="Heading5"/>
      </w:pPr>
      <w:r>
        <w:t>Sponsor’s r</w:t>
      </w:r>
      <w:r w:rsidR="00406837" w:rsidRPr="00FB254C">
        <w:t>es</w:t>
      </w:r>
      <w:r>
        <w:t>ponse</w:t>
      </w:r>
    </w:p>
    <w:p w14:paraId="084F1FFE" w14:textId="5B48FFFB" w:rsidR="00885CE7" w:rsidRPr="00FB254C" w:rsidRDefault="00406837" w:rsidP="00406837">
      <w:r w:rsidRPr="00FB254C">
        <w:t>The sponsor reiterates the low risk of accidental IV injection and systemic embolism as injections are given</w:t>
      </w:r>
      <w:r w:rsidR="00FB254C">
        <w:t xml:space="preserve"> by health care professionals. </w:t>
      </w:r>
      <w:r w:rsidRPr="00FB254C">
        <w:t>No cases of accidental IV administration have been reported in 729 subjects given 8,693 injections of CAM2038; nor have AEs related to local vessel blockade o</w:t>
      </w:r>
      <w:r w:rsidR="00FB254C">
        <w:t>r embolism been reported in pre</w:t>
      </w:r>
      <w:r w:rsidRPr="00FB254C">
        <w:t>clinical studies</w:t>
      </w:r>
      <w:r w:rsidR="00885CE7" w:rsidRPr="00FB254C">
        <w:t>.</w:t>
      </w:r>
    </w:p>
    <w:p w14:paraId="5E8B17AE" w14:textId="77777777" w:rsidR="00885CE7" w:rsidRPr="00FB254C" w:rsidRDefault="00406837" w:rsidP="00406837">
      <w:r w:rsidRPr="00FB254C">
        <w:t xml:space="preserve">Direct IV injections were evaluated in three rats given CAM2038 8 mg </w:t>
      </w:r>
      <w:r w:rsidR="00246DC3" w:rsidRPr="00FB254C">
        <w:t>buprenorphine</w:t>
      </w:r>
      <w:r w:rsidRPr="00FB254C">
        <w:t xml:space="preserve"> in the tail vein. No PK analyses were performed but there were no clinical signs of exaggerated pharmacology. At necropsy, depot matrix material was observed in the veins proximal to the injection sites, with presumed partial or complete occlusion of the veins</w:t>
      </w:r>
      <w:r w:rsidR="00885CE7" w:rsidRPr="00FB254C">
        <w:t>.</w:t>
      </w:r>
    </w:p>
    <w:p w14:paraId="19186832" w14:textId="4D408696" w:rsidR="00406837" w:rsidRDefault="00406837" w:rsidP="00406837">
      <w:r w:rsidRPr="00FB254C">
        <w:t>Despite the low risk of accidental IV injection, the sponsor proposes the following</w:t>
      </w:r>
      <w:r>
        <w:t xml:space="preserve"> additional wording in the proposed PI under </w:t>
      </w:r>
      <w:r w:rsidR="00FB254C">
        <w:t>Administration</w:t>
      </w:r>
      <w:r>
        <w:t>:</w:t>
      </w:r>
    </w:p>
    <w:p w14:paraId="586214EA" w14:textId="33D4980B" w:rsidR="00406837" w:rsidRDefault="00406837" w:rsidP="00FB254C">
      <w:pPr>
        <w:ind w:left="720"/>
      </w:pPr>
      <w:r>
        <w:t xml:space="preserve">‘Intravascular such as intravenous injection would present a risk of serious harm as </w:t>
      </w:r>
      <w:proofErr w:type="spellStart"/>
      <w:r w:rsidR="00B9071E">
        <w:t>Buvidal</w:t>
      </w:r>
      <w:proofErr w:type="spellEnd"/>
      <w:r w:rsidR="00B9071E">
        <w:t xml:space="preserve"> </w:t>
      </w:r>
      <w:r>
        <w:t>forms a solid mass upon contact with body fluids, which potentially could cause blood vessel injury, occlusion, or thromboembolic events’.</w:t>
      </w:r>
    </w:p>
    <w:p w14:paraId="45C92B2D" w14:textId="6B6C93D5" w:rsidR="00406837" w:rsidRDefault="00FB254C" w:rsidP="00FB254C">
      <w:pPr>
        <w:pStyle w:val="Heading5"/>
      </w:pPr>
      <w:r>
        <w:t>Evaluation of response</w:t>
      </w:r>
    </w:p>
    <w:p w14:paraId="518A32D7" w14:textId="77777777" w:rsidR="00406837" w:rsidRDefault="00406837" w:rsidP="00406837">
      <w:r>
        <w:t>The sponsor’s response is satisfactory. The risk of IV injection cannot be completely eliminated but the risk minimisation precautions in the proposed PI are satisfactory.</w:t>
      </w:r>
    </w:p>
    <w:p w14:paraId="3DCD459C" w14:textId="5D324CBF" w:rsidR="00885CE7" w:rsidRDefault="00406837" w:rsidP="00FB254C">
      <w:pPr>
        <w:pStyle w:val="Heading4"/>
      </w:pPr>
      <w:r>
        <w:lastRenderedPageBreak/>
        <w:t>Question 6</w:t>
      </w:r>
    </w:p>
    <w:p w14:paraId="06F453E8" w14:textId="5AE764F8" w:rsidR="00406837" w:rsidRPr="00A01EAF" w:rsidRDefault="00FB254C" w:rsidP="00406837">
      <w:pPr>
        <w:rPr>
          <w:i/>
        </w:rPr>
      </w:pPr>
      <w:r w:rsidRPr="00A01EAF">
        <w:rPr>
          <w:i/>
        </w:rPr>
        <w:t>In S</w:t>
      </w:r>
      <w:r w:rsidR="00406837" w:rsidRPr="00A01EAF">
        <w:rPr>
          <w:i/>
        </w:rPr>
        <w:t>tudy HS-11-421, no summary of injection site AEs has been provided. Please provide a summary ta</w:t>
      </w:r>
      <w:r w:rsidRPr="00A01EAF">
        <w:rPr>
          <w:i/>
        </w:rPr>
        <w:t>ble modelled on that below for S</w:t>
      </w:r>
      <w:r w:rsidR="00406837" w:rsidRPr="00A01EAF">
        <w:rPr>
          <w:i/>
        </w:rPr>
        <w:t xml:space="preserve">tudy HS-14-499. Please provide a summary table of clinically significant reactions by severity if injection site reactions were </w:t>
      </w:r>
      <w:r w:rsidRPr="00A01EAF">
        <w:rPr>
          <w:i/>
        </w:rPr>
        <w:t>not routinely recorded as AEs.</w:t>
      </w:r>
    </w:p>
    <w:p w14:paraId="6643A3C6" w14:textId="39FC3B2F" w:rsidR="00406837" w:rsidRDefault="00FB254C" w:rsidP="00FB254C">
      <w:pPr>
        <w:pStyle w:val="Heading5"/>
      </w:pPr>
      <w:r>
        <w:t>Sponsor’s response</w:t>
      </w:r>
    </w:p>
    <w:p w14:paraId="4BEEE17C" w14:textId="6A425401" w:rsidR="00406837" w:rsidRDefault="00406837" w:rsidP="00406837">
      <w:r>
        <w:t xml:space="preserve">A summary table of injection </w:t>
      </w:r>
      <w:r w:rsidR="000209E2">
        <w:t>site AEs was provided in the clinical study report</w:t>
      </w:r>
      <w:r>
        <w:t xml:space="preserve"> appendix</w:t>
      </w:r>
      <w:r w:rsidR="000209E2">
        <w:t>,</w:t>
      </w:r>
      <w:r>
        <w:t xml:space="preserve"> as shown in</w:t>
      </w:r>
      <w:r w:rsidR="000209E2">
        <w:t xml:space="preserve"> </w:t>
      </w:r>
      <w:r w:rsidR="000209E2">
        <w:fldChar w:fldCharType="begin"/>
      </w:r>
      <w:r w:rsidR="000209E2">
        <w:instrText xml:space="preserve"> REF _Ref18657293 \h </w:instrText>
      </w:r>
      <w:r w:rsidR="000209E2">
        <w:fldChar w:fldCharType="separate"/>
      </w:r>
      <w:r w:rsidR="000209E2">
        <w:t xml:space="preserve">Table </w:t>
      </w:r>
      <w:r w:rsidR="000209E2">
        <w:rPr>
          <w:noProof/>
        </w:rPr>
        <w:t>11</w:t>
      </w:r>
      <w:r w:rsidR="000209E2">
        <w:fldChar w:fldCharType="end"/>
      </w:r>
      <w:r>
        <w:t>.</w:t>
      </w:r>
    </w:p>
    <w:p w14:paraId="264D23DF" w14:textId="3D256361" w:rsidR="00406837" w:rsidRDefault="00406837" w:rsidP="00406837">
      <w:r>
        <w:t>In patients given CAM2038, mild, moderate and severe AEs were reported in 13.1%, 5.6% and 0.0% of subjects respectively.</w:t>
      </w:r>
    </w:p>
    <w:p w14:paraId="7865E2F9" w14:textId="6C6E1073" w:rsidR="00406837" w:rsidRDefault="000209E2" w:rsidP="000209E2">
      <w:pPr>
        <w:pStyle w:val="TableTitle"/>
      </w:pPr>
      <w:bookmarkStart w:id="117" w:name="_Ref18657293"/>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11</w:t>
      </w:r>
      <w:r w:rsidR="00553795">
        <w:rPr>
          <w:noProof/>
        </w:rPr>
        <w:fldChar w:fldCharType="end"/>
      </w:r>
      <w:bookmarkEnd w:id="117"/>
      <w:r>
        <w:t xml:space="preserve">: </w:t>
      </w:r>
      <w:r w:rsidR="00406837">
        <w:t>Study HS-11-421: Summary of all injection site reactions</w:t>
      </w:r>
    </w:p>
    <w:p w14:paraId="45FD02C5" w14:textId="1C05FA1D" w:rsidR="000209E2" w:rsidRDefault="000209E2" w:rsidP="00406837">
      <w:r>
        <w:rPr>
          <w:noProof/>
          <w:lang w:eastAsia="en-AU"/>
        </w:rPr>
        <w:drawing>
          <wp:inline distT="0" distB="0" distL="0" distR="0" wp14:anchorId="24E74C22" wp14:editId="5E89FC82">
            <wp:extent cx="5400040" cy="3328670"/>
            <wp:effectExtent l="0" t="0" r="0" b="5080"/>
            <wp:docPr id="20" name="Picture 20" descr="Study HS-11-421: Summary of all injection sit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328670"/>
                    </a:xfrm>
                    <a:prstGeom prst="rect">
                      <a:avLst/>
                    </a:prstGeom>
                  </pic:spPr>
                </pic:pic>
              </a:graphicData>
            </a:graphic>
          </wp:inline>
        </w:drawing>
      </w:r>
    </w:p>
    <w:p w14:paraId="4F2BE97D" w14:textId="55B24AED" w:rsidR="00885CE7" w:rsidRDefault="000209E2" w:rsidP="000209E2">
      <w:pPr>
        <w:pStyle w:val="Heading5"/>
      </w:pPr>
      <w:r>
        <w:t>Evaluation of response</w:t>
      </w:r>
    </w:p>
    <w:p w14:paraId="62A9335B" w14:textId="77777777" w:rsidR="00406837" w:rsidRDefault="00406837" w:rsidP="00406837">
      <w:r>
        <w:t>The sponsor’s response is satisfactory. Overall, injection site AEs were mild or moderate in severity and no severe reactions were reported.</w:t>
      </w:r>
    </w:p>
    <w:p w14:paraId="102406D3" w14:textId="29CCA6C2" w:rsidR="00406837" w:rsidRDefault="00406837" w:rsidP="000209E2">
      <w:pPr>
        <w:pStyle w:val="Heading4"/>
      </w:pPr>
      <w:r>
        <w:t>Addition</w:t>
      </w:r>
      <w:r w:rsidR="000209E2">
        <w:t>al expert input</w:t>
      </w:r>
    </w:p>
    <w:p w14:paraId="1D382B06" w14:textId="41810FFC" w:rsidR="000209E2" w:rsidRPr="00A01EAF" w:rsidRDefault="000209E2" w:rsidP="00406837">
      <w:pPr>
        <w:rPr>
          <w:i/>
        </w:rPr>
      </w:pPr>
      <w:r w:rsidRPr="00A01EAF">
        <w:rPr>
          <w:i/>
        </w:rPr>
        <w:t>The e</w:t>
      </w:r>
      <w:r w:rsidR="00406837" w:rsidRPr="00A01EAF">
        <w:rPr>
          <w:i/>
        </w:rPr>
        <w:t xml:space="preserve">valuators recommend that additional expert input be provided by representatives of </w:t>
      </w:r>
      <w:r w:rsidRPr="00A01EAF">
        <w:rPr>
          <w:i/>
        </w:rPr>
        <w:t xml:space="preserve">the Drug and Alcohol Services. </w:t>
      </w:r>
      <w:r w:rsidR="00406837" w:rsidRPr="00A01EAF">
        <w:rPr>
          <w:i/>
        </w:rPr>
        <w:t>The use of long-acting buprenorphine should be assessed within the framework of regulatory and management guidelines. C</w:t>
      </w:r>
      <w:r w:rsidRPr="00A01EAF">
        <w:rPr>
          <w:i/>
        </w:rPr>
        <w:t xml:space="preserve">omment on the </w:t>
      </w:r>
      <w:r w:rsidR="00406837" w:rsidRPr="00A01EAF">
        <w:rPr>
          <w:i/>
        </w:rPr>
        <w:t>benefit-risk in relation to the one month formulation of CAM2038 would</w:t>
      </w:r>
      <w:r w:rsidRPr="00A01EAF">
        <w:rPr>
          <w:i/>
        </w:rPr>
        <w:t xml:space="preserve"> be valuable, in particular</w:t>
      </w:r>
      <w:r w:rsidR="00FF5450" w:rsidRPr="00A01EAF">
        <w:rPr>
          <w:i/>
        </w:rPr>
        <w:t>:</w:t>
      </w:r>
    </w:p>
    <w:p w14:paraId="1E2916E7" w14:textId="4544CA0D" w:rsidR="000209E2" w:rsidRPr="00A01EAF" w:rsidRDefault="000209E2" w:rsidP="000209E2">
      <w:pPr>
        <w:pStyle w:val="Numberbullet2"/>
        <w:rPr>
          <w:i/>
        </w:rPr>
      </w:pPr>
      <w:r w:rsidRPr="00A01EAF">
        <w:rPr>
          <w:i/>
        </w:rPr>
        <w:t>T</w:t>
      </w:r>
      <w:r w:rsidR="00406837" w:rsidRPr="00A01EAF">
        <w:rPr>
          <w:i/>
        </w:rPr>
        <w:t xml:space="preserve">he </w:t>
      </w:r>
      <w:r w:rsidRPr="00A01EAF">
        <w:rPr>
          <w:i/>
        </w:rPr>
        <w:t>safety of the highest dose,</w:t>
      </w:r>
    </w:p>
    <w:p w14:paraId="796F3549" w14:textId="6F7EEC60" w:rsidR="000209E2" w:rsidRPr="00A01EAF" w:rsidRDefault="000209E2" w:rsidP="000209E2">
      <w:pPr>
        <w:pStyle w:val="Numberbullet2"/>
        <w:rPr>
          <w:i/>
        </w:rPr>
      </w:pPr>
      <w:r w:rsidRPr="00A01EAF">
        <w:rPr>
          <w:i/>
        </w:rPr>
        <w:t>T</w:t>
      </w:r>
      <w:r w:rsidR="00406837" w:rsidRPr="00A01EAF">
        <w:rPr>
          <w:i/>
        </w:rPr>
        <w:t>he difficulty of reversing the opioid effects in emergency situations,</w:t>
      </w:r>
      <w:r w:rsidRPr="00A01EAF">
        <w:rPr>
          <w:i/>
        </w:rPr>
        <w:t xml:space="preserve"> including accidental overdose,</w:t>
      </w:r>
    </w:p>
    <w:p w14:paraId="299DF3AB" w14:textId="77777777" w:rsidR="000209E2" w:rsidRPr="00A01EAF" w:rsidRDefault="000209E2" w:rsidP="000209E2">
      <w:pPr>
        <w:pStyle w:val="Numberbullet2"/>
        <w:rPr>
          <w:i/>
        </w:rPr>
      </w:pPr>
      <w:r w:rsidRPr="00A01EAF">
        <w:rPr>
          <w:i/>
        </w:rPr>
        <w:t>T</w:t>
      </w:r>
      <w:r w:rsidR="00406837" w:rsidRPr="00A01EAF">
        <w:rPr>
          <w:i/>
        </w:rPr>
        <w:t>he ri</w:t>
      </w:r>
      <w:r w:rsidRPr="00A01EAF">
        <w:rPr>
          <w:i/>
        </w:rPr>
        <w:t>sks of accidental IV injection.</w:t>
      </w:r>
    </w:p>
    <w:p w14:paraId="51267B2F" w14:textId="427F52F2" w:rsidR="00406837" w:rsidRPr="00A01EAF" w:rsidRDefault="00406837" w:rsidP="00406837">
      <w:pPr>
        <w:rPr>
          <w:i/>
        </w:rPr>
      </w:pPr>
      <w:r w:rsidRPr="00A01EAF">
        <w:rPr>
          <w:i/>
        </w:rPr>
        <w:t>Assessment of the optimal method of initiating therapy would also be of value.</w:t>
      </w:r>
    </w:p>
    <w:p w14:paraId="4C508C32" w14:textId="061049AE" w:rsidR="00406837" w:rsidRDefault="000209E2" w:rsidP="000209E2">
      <w:pPr>
        <w:pStyle w:val="Heading5"/>
      </w:pPr>
      <w:r>
        <w:lastRenderedPageBreak/>
        <w:t>Sponsor’s response</w:t>
      </w:r>
    </w:p>
    <w:p w14:paraId="491F3700" w14:textId="5EA3117E" w:rsidR="00885CE7" w:rsidRDefault="00406837" w:rsidP="00406837">
      <w:r>
        <w:t xml:space="preserve">An expert report has been provided by </w:t>
      </w:r>
      <w:r w:rsidR="000209E2">
        <w:t>[Information redacted]</w:t>
      </w:r>
      <w:r w:rsidR="00D72F18">
        <w:t>,</w:t>
      </w:r>
      <w:r>
        <w:t xml:space="preserve"> an addiction</w:t>
      </w:r>
      <w:r w:rsidR="000209E2">
        <w:t xml:space="preserve"> medicine specialist and </w:t>
      </w:r>
      <w:r>
        <w:t xml:space="preserve">the principal </w:t>
      </w:r>
      <w:r w:rsidR="000209E2">
        <w:t xml:space="preserve">investigator for </w:t>
      </w:r>
      <w:r w:rsidR="009B7D36">
        <w:t>Study HS</w:t>
      </w:r>
      <w:r w:rsidR="000209E2">
        <w:t>-14-</w:t>
      </w:r>
      <w:r w:rsidR="009B7D36">
        <w:t>499.</w:t>
      </w:r>
    </w:p>
    <w:p w14:paraId="4D8DD6DD" w14:textId="4EB04404" w:rsidR="00885CE7" w:rsidRDefault="009B7D36" w:rsidP="00406837">
      <w:r>
        <w:t>A s</w:t>
      </w:r>
      <w:r w:rsidR="00406837">
        <w:t>ummary</w:t>
      </w:r>
      <w:r w:rsidR="00D72F18">
        <w:t xml:space="preserve"> </w:t>
      </w:r>
      <w:r>
        <w:t xml:space="preserve">is </w:t>
      </w:r>
      <w:r w:rsidR="00D72F18">
        <w:t>provided below.</w:t>
      </w:r>
    </w:p>
    <w:p w14:paraId="5578AA49" w14:textId="77777777" w:rsidR="00406837" w:rsidRDefault="00406837" w:rsidP="00406837">
      <w:r>
        <w:t xml:space="preserve">The introduction of depot </w:t>
      </w:r>
      <w:r w:rsidR="00246DC3">
        <w:t>buprenorphine</w:t>
      </w:r>
      <w:r>
        <w:t xml:space="preserve"> is eagerly anticipated in Australia by clinicians working in the field. The main benefits are:</w:t>
      </w:r>
    </w:p>
    <w:p w14:paraId="11298FBC" w14:textId="704798B9" w:rsidR="00406837" w:rsidRDefault="00A01EAF" w:rsidP="00406837">
      <w:pPr>
        <w:pStyle w:val="ListBullet"/>
      </w:pPr>
      <w:r>
        <w:t>G</w:t>
      </w:r>
      <w:r w:rsidR="009B7D36">
        <w:t xml:space="preserve">reater </w:t>
      </w:r>
      <w:r w:rsidR="00406837">
        <w:t>convenience for patients</w:t>
      </w:r>
      <w:r w:rsidR="00D72F18">
        <w:t>;</w:t>
      </w:r>
    </w:p>
    <w:p w14:paraId="027BD147" w14:textId="5293D78A" w:rsidR="00406837" w:rsidRDefault="00A01EAF" w:rsidP="00406837">
      <w:pPr>
        <w:pStyle w:val="ListBullet"/>
      </w:pPr>
      <w:r>
        <w:t>R</w:t>
      </w:r>
      <w:r w:rsidR="009B7D36">
        <w:t xml:space="preserve">educed </w:t>
      </w:r>
      <w:r w:rsidR="00406837">
        <w:t>treatment costs for patients and service providers</w:t>
      </w:r>
      <w:r w:rsidR="00D72F18">
        <w:t>;</w:t>
      </w:r>
    </w:p>
    <w:p w14:paraId="63184A30" w14:textId="00FD872E" w:rsidR="00406837" w:rsidRDefault="00A01EAF" w:rsidP="00406837">
      <w:pPr>
        <w:pStyle w:val="ListBullet"/>
      </w:pPr>
      <w:r>
        <w:t>L</w:t>
      </w:r>
      <w:r w:rsidR="009B7D36">
        <w:t xml:space="preserve">ess </w:t>
      </w:r>
      <w:r w:rsidR="00406837">
        <w:t>risk of diversion and misuse of medication, enhancing community safety</w:t>
      </w:r>
      <w:r w:rsidR="00D72F18">
        <w:t>;</w:t>
      </w:r>
      <w:r w:rsidR="009B7D36">
        <w:t xml:space="preserve"> and</w:t>
      </w:r>
    </w:p>
    <w:p w14:paraId="35E2F286" w14:textId="260C1222" w:rsidR="00406837" w:rsidRDefault="00A01EAF" w:rsidP="00406837">
      <w:pPr>
        <w:pStyle w:val="ListBullet"/>
      </w:pPr>
      <w:r>
        <w:t>G</w:t>
      </w:r>
      <w:r w:rsidR="009B7D36">
        <w:t xml:space="preserve">reater </w:t>
      </w:r>
      <w:r w:rsidR="00406837">
        <w:t xml:space="preserve">medication adherence and enhanced treatment outcomes for some patients who struggle to attend regularly for dosing with sublingual </w:t>
      </w:r>
      <w:r w:rsidR="00246DC3">
        <w:t>buprenorphine</w:t>
      </w:r>
      <w:r w:rsidR="00D72F18">
        <w:t>.</w:t>
      </w:r>
    </w:p>
    <w:p w14:paraId="5E7EDC6A" w14:textId="77777777" w:rsidR="00406837" w:rsidRDefault="00406837" w:rsidP="00406837">
      <w:r>
        <w:t>In response to the specific queries from the TGA regarding usage and risks:</w:t>
      </w:r>
    </w:p>
    <w:p w14:paraId="43DAB143" w14:textId="652E4E3D" w:rsidR="00406837" w:rsidRDefault="00406837" w:rsidP="00406837">
      <w:pPr>
        <w:pStyle w:val="ListBullet"/>
      </w:pPr>
      <w:r>
        <w:t>Both weekly and monthly depot products will have a role in treatment. Stabilisation will be managed with weekly injections before transitioning to monthly injections when indicated</w:t>
      </w:r>
      <w:r w:rsidR="00D72F18">
        <w:t>.</w:t>
      </w:r>
    </w:p>
    <w:p w14:paraId="37CF409D" w14:textId="77777777" w:rsidR="00406837" w:rsidRDefault="00406837" w:rsidP="00406837">
      <w:pPr>
        <w:pStyle w:val="ListBullet"/>
      </w:pPr>
      <w:r>
        <w:t xml:space="preserve">The CAM2038 injections were well tolerated with most AEs related to transient, local site inflammation. There were no concerns regarding intoxication or overdose, even with the higher doses. The known ceiling effects of </w:t>
      </w:r>
      <w:r w:rsidR="00246DC3">
        <w:t>buprenorphine</w:t>
      </w:r>
      <w:r>
        <w:t xml:space="preserve"> on respiratory depression and other opioid effects appear to be relevant.</w:t>
      </w:r>
    </w:p>
    <w:p w14:paraId="24EEA8BE" w14:textId="77777777" w:rsidR="00406837" w:rsidRDefault="00406837" w:rsidP="00406837">
      <w:pPr>
        <w:pStyle w:val="ListBullet"/>
      </w:pPr>
      <w:r>
        <w:t>Potential problems may arise when reversing the opioid effects in emergency situations such as:</w:t>
      </w:r>
    </w:p>
    <w:p w14:paraId="72CC5577" w14:textId="10FB30CD" w:rsidR="00406837" w:rsidRDefault="00A01EAF" w:rsidP="00406837">
      <w:pPr>
        <w:pStyle w:val="ListBullet2"/>
      </w:pPr>
      <w:r>
        <w:t>O</w:t>
      </w:r>
      <w:r w:rsidR="009B7D36">
        <w:t>verdose</w:t>
      </w:r>
      <w:r w:rsidR="00D72F18">
        <w:t>;</w:t>
      </w:r>
    </w:p>
    <w:p w14:paraId="23F7AB45" w14:textId="749C409A" w:rsidR="00406837" w:rsidRDefault="00A01EAF" w:rsidP="00406837">
      <w:pPr>
        <w:pStyle w:val="ListBullet2"/>
      </w:pPr>
      <w:r>
        <w:t>R</w:t>
      </w:r>
      <w:r w:rsidR="009B7D36">
        <w:t xml:space="preserve">eversing </w:t>
      </w:r>
      <w:r w:rsidR="00406837">
        <w:t xml:space="preserve">the effects of </w:t>
      </w:r>
      <w:r w:rsidR="00246DC3">
        <w:t>buprenorphine</w:t>
      </w:r>
      <w:r w:rsidR="00406837">
        <w:t xml:space="preserve"> in o</w:t>
      </w:r>
      <w:r w:rsidR="00D72F18">
        <w:t>rder to achieve acute analgesia;</w:t>
      </w:r>
    </w:p>
    <w:p w14:paraId="6F72456A" w14:textId="4267444D" w:rsidR="00406837" w:rsidRDefault="00A01EAF" w:rsidP="00406837">
      <w:pPr>
        <w:pStyle w:val="ListBullet2"/>
      </w:pPr>
      <w:r>
        <w:t>R</w:t>
      </w:r>
      <w:r w:rsidR="009B7D36">
        <w:t xml:space="preserve">isk </w:t>
      </w:r>
      <w:r w:rsidR="00D72F18">
        <w:t>of precipitated withdrawal;</w:t>
      </w:r>
      <w:r w:rsidR="009B7D36">
        <w:t xml:space="preserve"> and</w:t>
      </w:r>
    </w:p>
    <w:p w14:paraId="0DDDDB10" w14:textId="3A1267B9" w:rsidR="00406837" w:rsidRDefault="00A01EAF" w:rsidP="00406837">
      <w:pPr>
        <w:pStyle w:val="ListBullet2"/>
      </w:pPr>
      <w:r>
        <w:t>R</w:t>
      </w:r>
      <w:r w:rsidR="009B7D36">
        <w:t xml:space="preserve">isk </w:t>
      </w:r>
      <w:r w:rsidR="00406837">
        <w:t>of accidental IV injection</w:t>
      </w:r>
      <w:r w:rsidR="00D72F18">
        <w:t>.</w:t>
      </w:r>
    </w:p>
    <w:p w14:paraId="1329A97D" w14:textId="77777777" w:rsidR="00885CE7" w:rsidRDefault="00406837" w:rsidP="00406837">
      <w:r>
        <w:t>The potential problems are recognised but each scenario is considered manageable, and the risks do not outweigh the potential benefits of the new formulation</w:t>
      </w:r>
      <w:r w:rsidR="00885CE7">
        <w:t>.</w:t>
      </w:r>
    </w:p>
    <w:p w14:paraId="4057EE7C" w14:textId="57C53010" w:rsidR="00406837" w:rsidRDefault="00406837" w:rsidP="00406837">
      <w:r>
        <w:t>The optimal method of induction and other issues will need to be highlighted and updated in the National Guidelines for Medication-Assisted Treatment of Opioid Dependence (MATOD). Updated guidance should enhance safe and effective use of the new product. Experts in the sector will be active in ensuring the development and dissemination of guidelines for consum</w:t>
      </w:r>
      <w:r w:rsidR="00D72F18">
        <w:t>ers and health care providers.</w:t>
      </w:r>
    </w:p>
    <w:p w14:paraId="0864EF3B" w14:textId="09ACD3E6" w:rsidR="00406837" w:rsidRDefault="00D72F18" w:rsidP="00D72F18">
      <w:pPr>
        <w:pStyle w:val="Heading5"/>
      </w:pPr>
      <w:r>
        <w:t>Evaluation of response</w:t>
      </w:r>
    </w:p>
    <w:p w14:paraId="233A584B" w14:textId="77777777" w:rsidR="00406837" w:rsidRPr="00605AD4" w:rsidRDefault="00406837" w:rsidP="00406837">
      <w:r>
        <w:t>The expert opinion is balanced and generally supportive of the weekly and monthly formulations. The risks associated with reversing the long-acting formulation are recognised, but, in the view of the expert, they should not the limit the use of a potentially valuable new formulation. Specialists in the area will promote appropriate guidelines and risk minimisation activities.</w:t>
      </w:r>
    </w:p>
    <w:p w14:paraId="1059EF05" w14:textId="73F6BF5B" w:rsidR="00605AD4" w:rsidRPr="00605AD4" w:rsidRDefault="00605AD4" w:rsidP="00546154">
      <w:pPr>
        <w:pStyle w:val="Heading3"/>
        <w:rPr>
          <w:rFonts w:eastAsia="Cambria"/>
        </w:rPr>
      </w:pPr>
      <w:bookmarkStart w:id="118" w:name="_Toc24539936"/>
      <w:r w:rsidRPr="00605AD4">
        <w:rPr>
          <w:rFonts w:eastAsia="Cambria"/>
        </w:rPr>
        <w:lastRenderedPageBreak/>
        <w:t xml:space="preserve">Second </w:t>
      </w:r>
      <w:r w:rsidR="00575BDB" w:rsidRPr="00605AD4">
        <w:rPr>
          <w:rFonts w:eastAsia="Cambria"/>
        </w:rPr>
        <w:t>round benefit-risk assessment</w:t>
      </w:r>
      <w:bookmarkEnd w:id="118"/>
    </w:p>
    <w:p w14:paraId="65334803" w14:textId="77777777" w:rsidR="00406837" w:rsidRDefault="00406837" w:rsidP="00406837">
      <w:pPr>
        <w:pStyle w:val="Heading4"/>
      </w:pPr>
      <w:r>
        <w:t>Second round assessment of benefits</w:t>
      </w:r>
    </w:p>
    <w:p w14:paraId="7B5E99F1" w14:textId="1FD03A92" w:rsidR="00406837" w:rsidRDefault="00406837" w:rsidP="00406837">
      <w:r>
        <w:t xml:space="preserve">After consideration of the responses to clinical questions, the benefits of </w:t>
      </w:r>
      <w:proofErr w:type="spellStart"/>
      <w:r w:rsidR="00B9071E">
        <w:t>Buvidal</w:t>
      </w:r>
      <w:proofErr w:type="spellEnd"/>
      <w:r w:rsidR="00B9071E">
        <w:t xml:space="preserve"> </w:t>
      </w:r>
      <w:r>
        <w:t xml:space="preserve">in the proposed usage are unchanged from those identified in </w:t>
      </w:r>
      <w:r w:rsidR="00D72F18">
        <w:t>the first round</w:t>
      </w:r>
      <w:r>
        <w:t>.</w:t>
      </w:r>
    </w:p>
    <w:p w14:paraId="7744A03E" w14:textId="77777777" w:rsidR="00406837" w:rsidRDefault="00406837" w:rsidP="00406837">
      <w:pPr>
        <w:pStyle w:val="Heading4"/>
      </w:pPr>
      <w:r>
        <w:t>Second round assessment of risks</w:t>
      </w:r>
    </w:p>
    <w:p w14:paraId="1EC467BB" w14:textId="2AB7517C" w:rsidR="00406837" w:rsidRDefault="00406837" w:rsidP="00406837">
      <w:r>
        <w:t xml:space="preserve">After consideration of the responses to clinical questions, the risks of </w:t>
      </w:r>
      <w:proofErr w:type="spellStart"/>
      <w:r w:rsidR="00B9071E">
        <w:t>Buvidal</w:t>
      </w:r>
      <w:proofErr w:type="spellEnd"/>
      <w:r w:rsidR="00B9071E">
        <w:t xml:space="preserve"> </w:t>
      </w:r>
      <w:r>
        <w:t xml:space="preserve">in the proposed usage are unchanged from those identified in </w:t>
      </w:r>
      <w:r w:rsidR="00D72F18">
        <w:t>the first round</w:t>
      </w:r>
      <w:r>
        <w:t>.</w:t>
      </w:r>
    </w:p>
    <w:p w14:paraId="6FCC387D" w14:textId="77777777" w:rsidR="00406837" w:rsidRDefault="00406837" w:rsidP="00406837">
      <w:pPr>
        <w:pStyle w:val="Heading4"/>
      </w:pPr>
      <w:r>
        <w:t>Second round assessment of benefit-risk balance</w:t>
      </w:r>
    </w:p>
    <w:p w14:paraId="089FFF29" w14:textId="53EFE3F7" w:rsidR="00605AD4" w:rsidRDefault="00406837" w:rsidP="00406837">
      <w:r>
        <w:t xml:space="preserve">After consideration of the responses to clinical questions, the benefit-risk balance of </w:t>
      </w:r>
      <w:proofErr w:type="spellStart"/>
      <w:r w:rsidR="00B9071E">
        <w:t>Buvidal</w:t>
      </w:r>
      <w:proofErr w:type="spellEnd"/>
      <w:r w:rsidR="00B9071E">
        <w:t xml:space="preserve"> </w:t>
      </w:r>
      <w:r>
        <w:t xml:space="preserve">in the proposed usage are unchanged from those identified </w:t>
      </w:r>
      <w:r w:rsidR="00B05D65">
        <w:t>in the first round</w:t>
      </w:r>
      <w:r>
        <w:t>.</w:t>
      </w:r>
    </w:p>
    <w:p w14:paraId="7D0C8329" w14:textId="1CC72BBE" w:rsidR="00406837" w:rsidRDefault="00406837" w:rsidP="00406837">
      <w:pPr>
        <w:pStyle w:val="Heading4"/>
      </w:pPr>
      <w:r>
        <w:t xml:space="preserve">Second </w:t>
      </w:r>
      <w:r w:rsidR="00575BDB">
        <w:t>round recommendation regarding authorisation</w:t>
      </w:r>
    </w:p>
    <w:p w14:paraId="6410AFBB" w14:textId="77777777" w:rsidR="00406837" w:rsidRDefault="00406837" w:rsidP="00406837">
      <w:r>
        <w:t>Approval is recommended for the following modified wording for the proposed indication. Intended use is specified for adolescents and adults as no paediatric data are available.</w:t>
      </w:r>
    </w:p>
    <w:p w14:paraId="6F32923D" w14:textId="75C1D6CD" w:rsidR="00406837" w:rsidRDefault="00B9071E" w:rsidP="00406837">
      <w:pPr>
        <w:ind w:left="720"/>
        <w:rPr>
          <w:i/>
        </w:rPr>
      </w:pPr>
      <w:proofErr w:type="spellStart"/>
      <w:r>
        <w:rPr>
          <w:i/>
        </w:rPr>
        <w:t>Buvidal</w:t>
      </w:r>
      <w:proofErr w:type="spellEnd"/>
      <w:r w:rsidRPr="00406837">
        <w:rPr>
          <w:i/>
        </w:rPr>
        <w:t xml:space="preserve"> </w:t>
      </w:r>
      <w:r w:rsidR="00406837" w:rsidRPr="00406837">
        <w:rPr>
          <w:i/>
        </w:rPr>
        <w:t xml:space="preserve">is indicated for the treatment of opioid dependence within a framework of medical, social and psychological treatment. </w:t>
      </w:r>
      <w:proofErr w:type="spellStart"/>
      <w:r>
        <w:rPr>
          <w:i/>
        </w:rPr>
        <w:t>Buvidal</w:t>
      </w:r>
      <w:proofErr w:type="spellEnd"/>
      <w:r w:rsidRPr="00406837">
        <w:rPr>
          <w:i/>
        </w:rPr>
        <w:t xml:space="preserve"> </w:t>
      </w:r>
      <w:r w:rsidR="00406837" w:rsidRPr="00406837">
        <w:rPr>
          <w:i/>
        </w:rPr>
        <w:t>is intended for use in adults and adolescents aged 16 years or over.</w:t>
      </w:r>
    </w:p>
    <w:p w14:paraId="0221314A" w14:textId="494ED9AC" w:rsidR="00406837" w:rsidRPr="00406837" w:rsidRDefault="00406837" w:rsidP="00406837">
      <w:r w:rsidRPr="00406837">
        <w:t>Approval for the above indication is subject to incorporation of suggested changes to the draft PI.</w:t>
      </w:r>
    </w:p>
    <w:p w14:paraId="4E6C9290" w14:textId="77777777" w:rsidR="008E7846" w:rsidRPr="00E41208" w:rsidRDefault="008E7846" w:rsidP="00546154">
      <w:pPr>
        <w:pStyle w:val="Heading2"/>
      </w:pPr>
      <w:bookmarkStart w:id="119" w:name="_Toc24539937"/>
      <w:r w:rsidRPr="00E41208">
        <w:t>V</w:t>
      </w:r>
      <w:r w:rsidR="00500337">
        <w:t>I</w:t>
      </w:r>
      <w:r w:rsidRPr="00E41208">
        <w:t xml:space="preserve">. Pharmacovigilance </w:t>
      </w:r>
      <w:r>
        <w:t>f</w:t>
      </w:r>
      <w:r w:rsidRPr="00E41208">
        <w:t>indings</w:t>
      </w:r>
      <w:bookmarkEnd w:id="101"/>
      <w:bookmarkEnd w:id="102"/>
      <w:bookmarkEnd w:id="119"/>
    </w:p>
    <w:p w14:paraId="363F7E60" w14:textId="77777777" w:rsidR="008E7846" w:rsidRDefault="00386150" w:rsidP="008E7846">
      <w:pPr>
        <w:pStyle w:val="Heading3"/>
        <w:rPr>
          <w:lang w:eastAsia="en-AU"/>
        </w:rPr>
      </w:pPr>
      <w:bookmarkStart w:id="120" w:name="_Toc247691526"/>
      <w:bookmarkStart w:id="121" w:name="_Toc314842509"/>
      <w:bookmarkStart w:id="122" w:name="_Toc24539938"/>
      <w:r>
        <w:rPr>
          <w:lang w:eastAsia="en-AU"/>
        </w:rPr>
        <w:t>Risk m</w:t>
      </w:r>
      <w:r w:rsidR="008E7846">
        <w:rPr>
          <w:lang w:eastAsia="en-AU"/>
        </w:rPr>
        <w:t xml:space="preserve">anagement </w:t>
      </w:r>
      <w:r>
        <w:rPr>
          <w:lang w:eastAsia="en-AU"/>
        </w:rPr>
        <w:t>p</w:t>
      </w:r>
      <w:r w:rsidR="008E7846">
        <w:rPr>
          <w:lang w:eastAsia="en-AU"/>
        </w:rPr>
        <w:t>lan</w:t>
      </w:r>
      <w:bookmarkEnd w:id="120"/>
      <w:bookmarkEnd w:id="121"/>
      <w:bookmarkEnd w:id="122"/>
    </w:p>
    <w:p w14:paraId="3CDFEE1C" w14:textId="41BDAA29" w:rsidR="00456765" w:rsidRDefault="00456765" w:rsidP="00456765">
      <w:pPr>
        <w:pStyle w:val="Heading4"/>
        <w:rPr>
          <w:lang w:eastAsia="en-AU"/>
        </w:rPr>
      </w:pPr>
      <w:bookmarkStart w:id="123" w:name="_Toc247691527"/>
      <w:bookmarkStart w:id="124" w:name="_Toc314842510"/>
      <w:r>
        <w:rPr>
          <w:lang w:eastAsia="en-AU"/>
        </w:rPr>
        <w:t xml:space="preserve">Summary of </w:t>
      </w:r>
      <w:r w:rsidR="00C44665">
        <w:rPr>
          <w:lang w:eastAsia="en-AU"/>
        </w:rPr>
        <w:t>risk management plan (</w:t>
      </w:r>
      <w:r>
        <w:rPr>
          <w:lang w:eastAsia="en-AU"/>
        </w:rPr>
        <w:t>RMP</w:t>
      </w:r>
      <w:r w:rsidR="00C44665">
        <w:rPr>
          <w:lang w:eastAsia="en-AU"/>
        </w:rPr>
        <w:t>)</w:t>
      </w:r>
      <w:r>
        <w:rPr>
          <w:lang w:eastAsia="en-AU"/>
        </w:rPr>
        <w:t xml:space="preserve"> evaluation</w:t>
      </w:r>
      <w:r>
        <w:rPr>
          <w:rStyle w:val="FootnoteReference"/>
          <w:lang w:eastAsia="en-AU"/>
        </w:rPr>
        <w:footnoteReference w:id="17"/>
      </w:r>
    </w:p>
    <w:p w14:paraId="75BE7BB7" w14:textId="5E1D3D60" w:rsidR="00885CE7" w:rsidRDefault="009B7D36" w:rsidP="00477529">
      <w:pPr>
        <w:pStyle w:val="ListBullet"/>
        <w:rPr>
          <w:lang w:eastAsia="en-AU"/>
        </w:rPr>
      </w:pPr>
      <w:r>
        <w:rPr>
          <w:lang w:eastAsia="en-AU"/>
        </w:rPr>
        <w:t>The sponsor</w:t>
      </w:r>
      <w:r w:rsidR="00477529">
        <w:rPr>
          <w:lang w:eastAsia="en-AU"/>
        </w:rPr>
        <w:t xml:space="preserve"> has submitted EU-RMP versio</w:t>
      </w:r>
      <w:r w:rsidR="00B05D65">
        <w:rPr>
          <w:lang w:eastAsia="en-AU"/>
        </w:rPr>
        <w:t>n 0.1 (dated 28 August 2017; data lock point</w:t>
      </w:r>
      <w:r w:rsidR="00477529">
        <w:rPr>
          <w:lang w:eastAsia="en-AU"/>
        </w:rPr>
        <w:t xml:space="preserve"> 15 May 2017) and A</w:t>
      </w:r>
      <w:r w:rsidR="00B05D65">
        <w:rPr>
          <w:lang w:eastAsia="en-AU"/>
        </w:rPr>
        <w:t>ustralian Specific Annex (A</w:t>
      </w:r>
      <w:r w:rsidR="00477529">
        <w:rPr>
          <w:lang w:eastAsia="en-AU"/>
        </w:rPr>
        <w:t>SA</w:t>
      </w:r>
      <w:r w:rsidR="00B05D65">
        <w:rPr>
          <w:lang w:eastAsia="en-AU"/>
        </w:rPr>
        <w:t>)</w:t>
      </w:r>
      <w:r w:rsidR="00477529">
        <w:rPr>
          <w:lang w:eastAsia="en-AU"/>
        </w:rPr>
        <w:t xml:space="preserve"> dated 19</w:t>
      </w:r>
      <w:r>
        <w:rPr>
          <w:lang w:eastAsia="en-AU"/>
        </w:rPr>
        <w:t> </w:t>
      </w:r>
      <w:r w:rsidR="00477529">
        <w:rPr>
          <w:lang w:eastAsia="en-AU"/>
        </w:rPr>
        <w:t>September 2017 (version number not provided) in support of this application</w:t>
      </w:r>
      <w:r w:rsidR="00885CE7">
        <w:rPr>
          <w:lang w:eastAsia="en-AU"/>
        </w:rPr>
        <w:t>.</w:t>
      </w:r>
    </w:p>
    <w:p w14:paraId="279D09A0" w14:textId="72295D33" w:rsidR="00456765" w:rsidRDefault="00477529" w:rsidP="00477529">
      <w:pPr>
        <w:pStyle w:val="ListBullet"/>
        <w:rPr>
          <w:lang w:eastAsia="en-AU"/>
        </w:rPr>
      </w:pPr>
      <w:r>
        <w:rPr>
          <w:lang w:eastAsia="en-AU"/>
        </w:rPr>
        <w:t xml:space="preserve">The proposed Summary of Safety Concerns and their associated risk monitoring and mitigation strategies at the </w:t>
      </w:r>
      <w:r w:rsidR="00B05D65">
        <w:rPr>
          <w:lang w:eastAsia="en-AU"/>
        </w:rPr>
        <w:t xml:space="preserve">second round evaluation are summarised in </w:t>
      </w:r>
      <w:r w:rsidR="00B05D65">
        <w:rPr>
          <w:lang w:eastAsia="en-AU"/>
        </w:rPr>
        <w:fldChar w:fldCharType="begin"/>
      </w:r>
      <w:r w:rsidR="00B05D65">
        <w:rPr>
          <w:lang w:eastAsia="en-AU"/>
        </w:rPr>
        <w:instrText xml:space="preserve"> REF _Ref18660965 \h </w:instrText>
      </w:r>
      <w:r w:rsidR="00B05D65">
        <w:rPr>
          <w:lang w:eastAsia="en-AU"/>
        </w:rPr>
      </w:r>
      <w:r w:rsidR="00B05D65">
        <w:rPr>
          <w:lang w:eastAsia="en-AU"/>
        </w:rPr>
        <w:fldChar w:fldCharType="separate"/>
      </w:r>
      <w:r w:rsidR="00B05D65">
        <w:t xml:space="preserve">Table </w:t>
      </w:r>
      <w:r w:rsidR="00B05D65">
        <w:rPr>
          <w:noProof/>
        </w:rPr>
        <w:t>12</w:t>
      </w:r>
      <w:r w:rsidR="00B05D65">
        <w:rPr>
          <w:lang w:eastAsia="en-AU"/>
        </w:rPr>
        <w:fldChar w:fldCharType="end"/>
      </w:r>
      <w:r w:rsidR="00B05D65">
        <w:rPr>
          <w:lang w:eastAsia="en-AU"/>
        </w:rPr>
        <w:t>.</w:t>
      </w:r>
    </w:p>
    <w:p w14:paraId="4E871990" w14:textId="2580C155" w:rsidR="00477529" w:rsidRDefault="00B05D65" w:rsidP="00B05D65">
      <w:pPr>
        <w:pStyle w:val="TableTitle"/>
        <w:rPr>
          <w:lang w:eastAsia="en-AU"/>
        </w:rPr>
      </w:pPr>
      <w:bookmarkStart w:id="125" w:name="_Ref18660965"/>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Pr>
          <w:noProof/>
        </w:rPr>
        <w:t>12</w:t>
      </w:r>
      <w:r w:rsidR="00553795">
        <w:rPr>
          <w:noProof/>
        </w:rPr>
        <w:fldChar w:fldCharType="end"/>
      </w:r>
      <w:bookmarkEnd w:id="125"/>
      <w:r>
        <w:t xml:space="preserve">: </w:t>
      </w:r>
      <w:r>
        <w:rPr>
          <w:lang w:eastAsia="en-AU"/>
        </w:rPr>
        <w:t>Summary of safety concerns</w:t>
      </w:r>
    </w:p>
    <w:tbl>
      <w:tblPr>
        <w:tblStyle w:val="TableTGAblue"/>
        <w:tblW w:w="8639" w:type="dxa"/>
        <w:tblLayout w:type="fixed"/>
        <w:tblLook w:val="04A0" w:firstRow="1" w:lastRow="0" w:firstColumn="1" w:lastColumn="0" w:noHBand="0" w:noVBand="1"/>
      </w:tblPr>
      <w:tblGrid>
        <w:gridCol w:w="1384"/>
        <w:gridCol w:w="2268"/>
        <w:gridCol w:w="1134"/>
        <w:gridCol w:w="1418"/>
        <w:gridCol w:w="1136"/>
        <w:gridCol w:w="1299"/>
      </w:tblGrid>
      <w:tr w:rsidR="00477529" w:rsidRPr="00477529" w14:paraId="0F11CC4E" w14:textId="77777777" w:rsidTr="008E1E43">
        <w:trPr>
          <w:cnfStyle w:val="100000000000" w:firstRow="1" w:lastRow="0" w:firstColumn="0" w:lastColumn="0" w:oddVBand="0" w:evenVBand="0" w:oddHBand="0" w:evenHBand="0" w:firstRowFirstColumn="0" w:firstRowLastColumn="0" w:lastRowFirstColumn="0" w:lastRowLastColumn="0"/>
          <w:trHeight w:val="312"/>
        </w:trPr>
        <w:tc>
          <w:tcPr>
            <w:tcW w:w="3652" w:type="dxa"/>
            <w:gridSpan w:val="2"/>
            <w:vMerge w:val="restart"/>
          </w:tcPr>
          <w:p w14:paraId="2FEC8C5E" w14:textId="77777777" w:rsidR="00477529" w:rsidRPr="00477529" w:rsidRDefault="00477529" w:rsidP="00941F0E">
            <w:pPr>
              <w:spacing w:before="0" w:after="0"/>
              <w:ind w:left="57" w:right="57"/>
              <w:rPr>
                <w:b w:val="0"/>
                <w:sz w:val="20"/>
                <w:szCs w:val="20"/>
              </w:rPr>
            </w:pPr>
            <w:r w:rsidRPr="00477529">
              <w:rPr>
                <w:sz w:val="20"/>
                <w:szCs w:val="20"/>
              </w:rPr>
              <w:t>Summary of safety concerns</w:t>
            </w:r>
          </w:p>
        </w:tc>
        <w:tc>
          <w:tcPr>
            <w:tcW w:w="2552" w:type="dxa"/>
            <w:gridSpan w:val="2"/>
          </w:tcPr>
          <w:p w14:paraId="20D1D0EF" w14:textId="77777777" w:rsidR="00477529" w:rsidRPr="00477529" w:rsidRDefault="00477529" w:rsidP="00941F0E">
            <w:pPr>
              <w:spacing w:before="0" w:after="0"/>
              <w:ind w:left="57" w:right="57"/>
              <w:rPr>
                <w:b w:val="0"/>
                <w:sz w:val="20"/>
                <w:szCs w:val="20"/>
              </w:rPr>
            </w:pPr>
            <w:r w:rsidRPr="00477529">
              <w:rPr>
                <w:sz w:val="20"/>
                <w:szCs w:val="20"/>
              </w:rPr>
              <w:t>Pharmacovigilance</w:t>
            </w:r>
          </w:p>
        </w:tc>
        <w:tc>
          <w:tcPr>
            <w:tcW w:w="2435" w:type="dxa"/>
            <w:gridSpan w:val="2"/>
          </w:tcPr>
          <w:p w14:paraId="2C49320C" w14:textId="77777777" w:rsidR="00477529" w:rsidRPr="00477529" w:rsidRDefault="00477529" w:rsidP="00941F0E">
            <w:pPr>
              <w:spacing w:before="0" w:after="0"/>
              <w:ind w:left="57" w:right="57"/>
              <w:rPr>
                <w:b w:val="0"/>
                <w:sz w:val="20"/>
                <w:szCs w:val="20"/>
              </w:rPr>
            </w:pPr>
            <w:r w:rsidRPr="00477529">
              <w:rPr>
                <w:sz w:val="20"/>
                <w:szCs w:val="20"/>
              </w:rPr>
              <w:t>Risk Minimisation</w:t>
            </w:r>
          </w:p>
        </w:tc>
      </w:tr>
      <w:tr w:rsidR="00477529" w:rsidRPr="00477529" w14:paraId="6C01C531" w14:textId="77777777" w:rsidTr="008E1E43">
        <w:trPr>
          <w:trHeight w:val="402"/>
        </w:trPr>
        <w:tc>
          <w:tcPr>
            <w:tcW w:w="3652" w:type="dxa"/>
            <w:gridSpan w:val="2"/>
            <w:vMerge/>
          </w:tcPr>
          <w:p w14:paraId="38D78CED" w14:textId="77777777" w:rsidR="00477529" w:rsidRPr="00477529" w:rsidRDefault="00477529" w:rsidP="00941F0E">
            <w:pPr>
              <w:spacing w:before="0" w:after="0"/>
              <w:ind w:left="57" w:right="57"/>
              <w:rPr>
                <w:sz w:val="20"/>
                <w:szCs w:val="20"/>
              </w:rPr>
            </w:pPr>
          </w:p>
        </w:tc>
        <w:tc>
          <w:tcPr>
            <w:tcW w:w="1134" w:type="dxa"/>
          </w:tcPr>
          <w:p w14:paraId="4046299A" w14:textId="77777777" w:rsidR="00477529" w:rsidRPr="00477529" w:rsidRDefault="00477529" w:rsidP="00941F0E">
            <w:pPr>
              <w:spacing w:before="0" w:after="0"/>
              <w:ind w:left="57" w:right="57"/>
              <w:rPr>
                <w:sz w:val="20"/>
                <w:szCs w:val="20"/>
              </w:rPr>
            </w:pPr>
            <w:r w:rsidRPr="00477529">
              <w:rPr>
                <w:sz w:val="20"/>
                <w:szCs w:val="20"/>
              </w:rPr>
              <w:t>Routine</w:t>
            </w:r>
          </w:p>
        </w:tc>
        <w:tc>
          <w:tcPr>
            <w:tcW w:w="1418" w:type="dxa"/>
          </w:tcPr>
          <w:p w14:paraId="5EB6DA0D" w14:textId="77777777" w:rsidR="00477529" w:rsidRPr="00477529" w:rsidRDefault="00477529" w:rsidP="00941F0E">
            <w:pPr>
              <w:spacing w:before="0" w:after="0"/>
              <w:ind w:left="57" w:right="57"/>
              <w:rPr>
                <w:sz w:val="20"/>
                <w:szCs w:val="20"/>
              </w:rPr>
            </w:pPr>
            <w:r w:rsidRPr="00477529">
              <w:rPr>
                <w:sz w:val="20"/>
                <w:szCs w:val="20"/>
              </w:rPr>
              <w:t>Additional</w:t>
            </w:r>
          </w:p>
        </w:tc>
        <w:tc>
          <w:tcPr>
            <w:tcW w:w="1136" w:type="dxa"/>
          </w:tcPr>
          <w:p w14:paraId="27D80E26" w14:textId="77777777" w:rsidR="00477529" w:rsidRPr="00477529" w:rsidRDefault="00477529" w:rsidP="00941F0E">
            <w:pPr>
              <w:spacing w:before="0" w:after="0"/>
              <w:ind w:left="57" w:right="57"/>
              <w:rPr>
                <w:sz w:val="20"/>
                <w:szCs w:val="20"/>
              </w:rPr>
            </w:pPr>
            <w:r w:rsidRPr="00477529">
              <w:rPr>
                <w:sz w:val="20"/>
                <w:szCs w:val="20"/>
              </w:rPr>
              <w:t>Routine</w:t>
            </w:r>
          </w:p>
        </w:tc>
        <w:tc>
          <w:tcPr>
            <w:tcW w:w="1299" w:type="dxa"/>
          </w:tcPr>
          <w:p w14:paraId="26A39116" w14:textId="77777777" w:rsidR="00477529" w:rsidRPr="00477529" w:rsidRDefault="00477529" w:rsidP="00941F0E">
            <w:pPr>
              <w:spacing w:before="0" w:after="0"/>
              <w:ind w:left="57" w:right="57"/>
              <w:rPr>
                <w:sz w:val="20"/>
                <w:szCs w:val="20"/>
              </w:rPr>
            </w:pPr>
            <w:r w:rsidRPr="00477529">
              <w:rPr>
                <w:sz w:val="20"/>
                <w:szCs w:val="20"/>
              </w:rPr>
              <w:t>Additional</w:t>
            </w:r>
          </w:p>
        </w:tc>
      </w:tr>
      <w:tr w:rsidR="00477529" w:rsidRPr="00477529" w14:paraId="708143DF" w14:textId="77777777" w:rsidTr="00B05D65">
        <w:trPr>
          <w:trHeight w:val="139"/>
        </w:trPr>
        <w:tc>
          <w:tcPr>
            <w:tcW w:w="1384" w:type="dxa"/>
            <w:vMerge w:val="restart"/>
          </w:tcPr>
          <w:p w14:paraId="1AF6DE97" w14:textId="77777777" w:rsidR="00477529" w:rsidRPr="00477529" w:rsidRDefault="00477529" w:rsidP="00941F0E">
            <w:pPr>
              <w:spacing w:before="0" w:after="0"/>
              <w:ind w:left="57" w:right="57"/>
              <w:rPr>
                <w:sz w:val="20"/>
                <w:szCs w:val="20"/>
              </w:rPr>
            </w:pPr>
            <w:r w:rsidRPr="00477529">
              <w:rPr>
                <w:sz w:val="20"/>
                <w:szCs w:val="20"/>
              </w:rPr>
              <w:t>Important identified risks</w:t>
            </w:r>
          </w:p>
        </w:tc>
        <w:tc>
          <w:tcPr>
            <w:tcW w:w="2268" w:type="dxa"/>
          </w:tcPr>
          <w:p w14:paraId="0BC60F04" w14:textId="77777777" w:rsidR="00477529" w:rsidRPr="00477529" w:rsidRDefault="00477529" w:rsidP="00941F0E">
            <w:pPr>
              <w:spacing w:before="0" w:after="0"/>
              <w:ind w:left="57" w:right="57"/>
              <w:rPr>
                <w:sz w:val="20"/>
                <w:szCs w:val="20"/>
              </w:rPr>
            </w:pPr>
            <w:r w:rsidRPr="00477529">
              <w:rPr>
                <w:sz w:val="20"/>
                <w:szCs w:val="20"/>
              </w:rPr>
              <w:t>Injection site reactions</w:t>
            </w:r>
          </w:p>
        </w:tc>
        <w:tc>
          <w:tcPr>
            <w:tcW w:w="1134" w:type="dxa"/>
          </w:tcPr>
          <w:p w14:paraId="483ABCDB"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106C0470"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1AF2FF3A"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773612EF"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46C7D7F5" w14:textId="77777777" w:rsidTr="00B05D65">
        <w:trPr>
          <w:trHeight w:val="95"/>
        </w:trPr>
        <w:tc>
          <w:tcPr>
            <w:tcW w:w="1384" w:type="dxa"/>
            <w:vMerge/>
          </w:tcPr>
          <w:p w14:paraId="2A15B554" w14:textId="77777777" w:rsidR="00477529" w:rsidRPr="00477529" w:rsidRDefault="00477529" w:rsidP="00941F0E">
            <w:pPr>
              <w:spacing w:before="0" w:after="0"/>
              <w:ind w:left="57" w:right="57"/>
              <w:rPr>
                <w:sz w:val="20"/>
                <w:szCs w:val="20"/>
              </w:rPr>
            </w:pPr>
          </w:p>
        </w:tc>
        <w:tc>
          <w:tcPr>
            <w:tcW w:w="2268" w:type="dxa"/>
          </w:tcPr>
          <w:p w14:paraId="1DDA1FF9" w14:textId="77777777" w:rsidR="00477529" w:rsidRPr="00477529" w:rsidRDefault="00477529" w:rsidP="00941F0E">
            <w:pPr>
              <w:spacing w:before="0" w:after="0"/>
              <w:ind w:left="57" w:right="57"/>
              <w:rPr>
                <w:sz w:val="20"/>
                <w:szCs w:val="20"/>
              </w:rPr>
            </w:pPr>
            <w:r w:rsidRPr="00477529">
              <w:rPr>
                <w:sz w:val="20"/>
                <w:szCs w:val="20"/>
              </w:rPr>
              <w:t>Use in patients with severe respiratory insufficiency</w:t>
            </w:r>
          </w:p>
        </w:tc>
        <w:tc>
          <w:tcPr>
            <w:tcW w:w="1134" w:type="dxa"/>
          </w:tcPr>
          <w:p w14:paraId="54095FBC"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06AA85B1"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56D79B56"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286F0963"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5F4FC4E8" w14:textId="77777777" w:rsidTr="00B05D65">
        <w:trPr>
          <w:trHeight w:val="95"/>
        </w:trPr>
        <w:tc>
          <w:tcPr>
            <w:tcW w:w="1384" w:type="dxa"/>
            <w:vMerge/>
          </w:tcPr>
          <w:p w14:paraId="7BB4A64B" w14:textId="77777777" w:rsidR="00477529" w:rsidRPr="00477529" w:rsidRDefault="00477529" w:rsidP="00941F0E">
            <w:pPr>
              <w:spacing w:before="0" w:after="0"/>
              <w:ind w:left="57" w:right="57"/>
              <w:rPr>
                <w:sz w:val="20"/>
                <w:szCs w:val="20"/>
              </w:rPr>
            </w:pPr>
          </w:p>
        </w:tc>
        <w:tc>
          <w:tcPr>
            <w:tcW w:w="2268" w:type="dxa"/>
          </w:tcPr>
          <w:p w14:paraId="5C5C98B6" w14:textId="77777777" w:rsidR="00477529" w:rsidRPr="00477529" w:rsidRDefault="00477529" w:rsidP="00941F0E">
            <w:pPr>
              <w:spacing w:before="0" w:after="0"/>
              <w:ind w:left="57" w:right="57"/>
              <w:rPr>
                <w:sz w:val="20"/>
                <w:szCs w:val="20"/>
              </w:rPr>
            </w:pPr>
            <w:r w:rsidRPr="00477529">
              <w:rPr>
                <w:sz w:val="20"/>
                <w:szCs w:val="20"/>
              </w:rPr>
              <w:t>Use in patients with severe hepatic impairment</w:t>
            </w:r>
          </w:p>
        </w:tc>
        <w:tc>
          <w:tcPr>
            <w:tcW w:w="1134" w:type="dxa"/>
          </w:tcPr>
          <w:p w14:paraId="675B558E"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35EE27D1"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0C7A40BD"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491254E6"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2C5E3E9C" w14:textId="77777777" w:rsidTr="00B05D65">
        <w:trPr>
          <w:trHeight w:val="95"/>
        </w:trPr>
        <w:tc>
          <w:tcPr>
            <w:tcW w:w="1384" w:type="dxa"/>
            <w:vMerge/>
          </w:tcPr>
          <w:p w14:paraId="1241F1D1" w14:textId="77777777" w:rsidR="00477529" w:rsidRPr="00477529" w:rsidRDefault="00477529" w:rsidP="00941F0E">
            <w:pPr>
              <w:spacing w:before="0" w:after="0"/>
              <w:ind w:left="57" w:right="57"/>
              <w:rPr>
                <w:sz w:val="20"/>
                <w:szCs w:val="20"/>
              </w:rPr>
            </w:pPr>
          </w:p>
        </w:tc>
        <w:tc>
          <w:tcPr>
            <w:tcW w:w="2268" w:type="dxa"/>
          </w:tcPr>
          <w:p w14:paraId="06E6AA3C" w14:textId="77777777" w:rsidR="00477529" w:rsidRPr="00477529" w:rsidRDefault="00477529" w:rsidP="00941F0E">
            <w:pPr>
              <w:spacing w:before="0" w:after="0"/>
              <w:ind w:left="57" w:right="57"/>
              <w:rPr>
                <w:sz w:val="20"/>
                <w:szCs w:val="20"/>
              </w:rPr>
            </w:pPr>
            <w:r w:rsidRPr="00477529">
              <w:rPr>
                <w:sz w:val="20"/>
                <w:szCs w:val="20"/>
              </w:rPr>
              <w:t>Use in patients with acute alcoholism or delirium tremens</w:t>
            </w:r>
          </w:p>
        </w:tc>
        <w:tc>
          <w:tcPr>
            <w:tcW w:w="1134" w:type="dxa"/>
          </w:tcPr>
          <w:p w14:paraId="5A1D61F7"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344413FA"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32BF3018"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6BA4CD20"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498B9481" w14:textId="77777777" w:rsidTr="00B05D65">
        <w:trPr>
          <w:trHeight w:val="95"/>
        </w:trPr>
        <w:tc>
          <w:tcPr>
            <w:tcW w:w="1384" w:type="dxa"/>
            <w:vMerge/>
          </w:tcPr>
          <w:p w14:paraId="3694B56C" w14:textId="77777777" w:rsidR="00477529" w:rsidRPr="00477529" w:rsidRDefault="00477529" w:rsidP="00941F0E">
            <w:pPr>
              <w:spacing w:before="0" w:after="0"/>
              <w:ind w:left="57" w:right="57"/>
              <w:rPr>
                <w:sz w:val="20"/>
                <w:szCs w:val="20"/>
              </w:rPr>
            </w:pPr>
          </w:p>
        </w:tc>
        <w:tc>
          <w:tcPr>
            <w:tcW w:w="2268" w:type="dxa"/>
          </w:tcPr>
          <w:p w14:paraId="0200C668" w14:textId="77777777" w:rsidR="00477529" w:rsidRPr="00477529" w:rsidRDefault="00477529" w:rsidP="00941F0E">
            <w:pPr>
              <w:spacing w:before="0" w:after="0"/>
              <w:ind w:left="57" w:right="57"/>
              <w:rPr>
                <w:sz w:val="20"/>
                <w:szCs w:val="20"/>
              </w:rPr>
            </w:pPr>
            <w:r w:rsidRPr="00477529">
              <w:rPr>
                <w:sz w:val="20"/>
                <w:szCs w:val="20"/>
              </w:rPr>
              <w:t>Abuse and misuse</w:t>
            </w:r>
          </w:p>
        </w:tc>
        <w:tc>
          <w:tcPr>
            <w:tcW w:w="1134" w:type="dxa"/>
          </w:tcPr>
          <w:p w14:paraId="72C832E9"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0555F828"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4E1DC31D"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66D30C4B"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47CC4C52" w14:textId="77777777" w:rsidTr="00B05D65">
        <w:trPr>
          <w:trHeight w:val="95"/>
        </w:trPr>
        <w:tc>
          <w:tcPr>
            <w:tcW w:w="1384" w:type="dxa"/>
            <w:vMerge/>
          </w:tcPr>
          <w:p w14:paraId="0ACCEAFD" w14:textId="77777777" w:rsidR="00477529" w:rsidRPr="00477529" w:rsidRDefault="00477529" w:rsidP="00941F0E">
            <w:pPr>
              <w:spacing w:before="0" w:after="0"/>
              <w:ind w:left="57" w:right="57"/>
              <w:rPr>
                <w:sz w:val="20"/>
                <w:szCs w:val="20"/>
              </w:rPr>
            </w:pPr>
          </w:p>
        </w:tc>
        <w:tc>
          <w:tcPr>
            <w:tcW w:w="2268" w:type="dxa"/>
          </w:tcPr>
          <w:p w14:paraId="725FA261" w14:textId="77777777" w:rsidR="00477529" w:rsidRPr="00477529" w:rsidRDefault="00477529" w:rsidP="00941F0E">
            <w:pPr>
              <w:spacing w:before="0" w:after="0"/>
              <w:ind w:left="57" w:right="57"/>
              <w:rPr>
                <w:sz w:val="20"/>
                <w:szCs w:val="20"/>
              </w:rPr>
            </w:pPr>
            <w:r w:rsidRPr="00477529">
              <w:rPr>
                <w:sz w:val="20"/>
                <w:szCs w:val="20"/>
              </w:rPr>
              <w:t>Withdrawal reactions in opioid-dependent patients</w:t>
            </w:r>
          </w:p>
        </w:tc>
        <w:tc>
          <w:tcPr>
            <w:tcW w:w="1134" w:type="dxa"/>
          </w:tcPr>
          <w:p w14:paraId="59E56576"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50725461"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4D1BF863"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4514BE10"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72266B21" w14:textId="77777777" w:rsidTr="00B05D65">
        <w:trPr>
          <w:trHeight w:val="95"/>
        </w:trPr>
        <w:tc>
          <w:tcPr>
            <w:tcW w:w="1384" w:type="dxa"/>
            <w:vMerge/>
          </w:tcPr>
          <w:p w14:paraId="0398BDD5" w14:textId="77777777" w:rsidR="00477529" w:rsidRPr="00477529" w:rsidRDefault="00477529" w:rsidP="00941F0E">
            <w:pPr>
              <w:spacing w:before="0" w:after="0"/>
              <w:ind w:left="57" w:right="57"/>
              <w:rPr>
                <w:sz w:val="20"/>
                <w:szCs w:val="20"/>
              </w:rPr>
            </w:pPr>
          </w:p>
        </w:tc>
        <w:tc>
          <w:tcPr>
            <w:tcW w:w="2268" w:type="dxa"/>
          </w:tcPr>
          <w:p w14:paraId="15B75844" w14:textId="016F9D20" w:rsidR="00477529" w:rsidRPr="00477529" w:rsidRDefault="00477529" w:rsidP="00941F0E">
            <w:pPr>
              <w:spacing w:before="0" w:after="0"/>
              <w:ind w:left="57" w:right="57"/>
              <w:rPr>
                <w:sz w:val="20"/>
                <w:szCs w:val="20"/>
              </w:rPr>
            </w:pPr>
            <w:r w:rsidRPr="00477529">
              <w:rPr>
                <w:sz w:val="20"/>
                <w:szCs w:val="20"/>
              </w:rPr>
              <w:t xml:space="preserve">Concomitant use of other medications (Cytochrome P 3A4 </w:t>
            </w:r>
            <w:r w:rsidR="00A51F27">
              <w:rPr>
                <w:sz w:val="20"/>
                <w:szCs w:val="20"/>
              </w:rPr>
              <w:t>(</w:t>
            </w:r>
            <w:r w:rsidRPr="00477529">
              <w:rPr>
                <w:sz w:val="20"/>
                <w:szCs w:val="20"/>
              </w:rPr>
              <w:t>CYP3A4</w:t>
            </w:r>
            <w:r w:rsidR="00A51F27">
              <w:rPr>
                <w:sz w:val="20"/>
                <w:szCs w:val="20"/>
              </w:rPr>
              <w:t>)</w:t>
            </w:r>
            <w:r w:rsidRPr="00477529">
              <w:rPr>
                <w:sz w:val="20"/>
                <w:szCs w:val="20"/>
              </w:rPr>
              <w:t xml:space="preserve"> inhibitors; benzodiazepines; other central nervous system depressants; and monoamine oxidase inhibitors </w:t>
            </w:r>
            <w:r w:rsidR="00A51F27">
              <w:rPr>
                <w:sz w:val="20"/>
                <w:szCs w:val="20"/>
              </w:rPr>
              <w:t>(</w:t>
            </w:r>
            <w:r w:rsidRPr="00477529">
              <w:rPr>
                <w:sz w:val="20"/>
                <w:szCs w:val="20"/>
              </w:rPr>
              <w:t>MAOI</w:t>
            </w:r>
            <w:r w:rsidR="00A51F27">
              <w:rPr>
                <w:sz w:val="20"/>
                <w:szCs w:val="20"/>
              </w:rPr>
              <w:t>)</w:t>
            </w:r>
            <w:r w:rsidRPr="00477529">
              <w:rPr>
                <w:sz w:val="20"/>
                <w:szCs w:val="20"/>
              </w:rPr>
              <w:t>)</w:t>
            </w:r>
          </w:p>
        </w:tc>
        <w:tc>
          <w:tcPr>
            <w:tcW w:w="1134" w:type="dxa"/>
          </w:tcPr>
          <w:p w14:paraId="35C1F1E9"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6C6A3CE0"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42AE5749"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35575360"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09D1F6CA" w14:textId="77777777" w:rsidTr="00B05D65">
        <w:trPr>
          <w:trHeight w:val="190"/>
        </w:trPr>
        <w:tc>
          <w:tcPr>
            <w:tcW w:w="1384" w:type="dxa"/>
            <w:vMerge/>
          </w:tcPr>
          <w:p w14:paraId="46E8C859" w14:textId="77777777" w:rsidR="00477529" w:rsidRPr="00477529" w:rsidRDefault="00477529" w:rsidP="00941F0E">
            <w:pPr>
              <w:spacing w:before="0" w:after="0"/>
              <w:ind w:left="57" w:right="57"/>
              <w:rPr>
                <w:sz w:val="20"/>
                <w:szCs w:val="20"/>
              </w:rPr>
            </w:pPr>
          </w:p>
        </w:tc>
        <w:tc>
          <w:tcPr>
            <w:tcW w:w="2268" w:type="dxa"/>
          </w:tcPr>
          <w:p w14:paraId="6B5AE5CE" w14:textId="77777777" w:rsidR="00477529" w:rsidRPr="00477529" w:rsidRDefault="00477529" w:rsidP="00941F0E">
            <w:pPr>
              <w:spacing w:before="0" w:after="0"/>
              <w:ind w:left="57" w:right="57"/>
              <w:rPr>
                <w:sz w:val="20"/>
                <w:szCs w:val="20"/>
              </w:rPr>
            </w:pPr>
            <w:r w:rsidRPr="00477529">
              <w:rPr>
                <w:sz w:val="20"/>
                <w:szCs w:val="20"/>
              </w:rPr>
              <w:t>Overdose</w:t>
            </w:r>
          </w:p>
        </w:tc>
        <w:tc>
          <w:tcPr>
            <w:tcW w:w="1134" w:type="dxa"/>
          </w:tcPr>
          <w:p w14:paraId="192F0A1F"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3CA40B86"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7C5AD95C"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44519BC7"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761C17A7" w14:textId="77777777" w:rsidTr="00B05D65">
        <w:trPr>
          <w:trHeight w:val="161"/>
        </w:trPr>
        <w:tc>
          <w:tcPr>
            <w:tcW w:w="1384" w:type="dxa"/>
            <w:vMerge w:val="restart"/>
          </w:tcPr>
          <w:p w14:paraId="56F56086" w14:textId="77777777" w:rsidR="00477529" w:rsidRPr="00477529" w:rsidRDefault="00477529" w:rsidP="00941F0E">
            <w:pPr>
              <w:spacing w:before="0" w:after="0"/>
              <w:ind w:left="57" w:right="57"/>
              <w:rPr>
                <w:sz w:val="20"/>
                <w:szCs w:val="20"/>
              </w:rPr>
            </w:pPr>
            <w:r w:rsidRPr="00477529">
              <w:rPr>
                <w:sz w:val="20"/>
                <w:szCs w:val="20"/>
              </w:rPr>
              <w:t>Important potential risks</w:t>
            </w:r>
          </w:p>
        </w:tc>
        <w:tc>
          <w:tcPr>
            <w:tcW w:w="2268" w:type="dxa"/>
          </w:tcPr>
          <w:p w14:paraId="1E84D6EA" w14:textId="77777777" w:rsidR="00477529" w:rsidRPr="00477529" w:rsidRDefault="00477529" w:rsidP="00941F0E">
            <w:pPr>
              <w:spacing w:before="0" w:after="0"/>
              <w:ind w:left="57" w:right="57"/>
              <w:rPr>
                <w:sz w:val="20"/>
                <w:szCs w:val="20"/>
              </w:rPr>
            </w:pPr>
            <w:r w:rsidRPr="00477529">
              <w:rPr>
                <w:sz w:val="20"/>
                <w:szCs w:val="20"/>
              </w:rPr>
              <w:t>Intravascular injections</w:t>
            </w:r>
          </w:p>
        </w:tc>
        <w:tc>
          <w:tcPr>
            <w:tcW w:w="1134" w:type="dxa"/>
          </w:tcPr>
          <w:p w14:paraId="69358780"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459C380E"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151F42E9"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6B56A59B"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0382EEC0" w14:textId="77777777" w:rsidTr="00B05D65">
        <w:trPr>
          <w:trHeight w:val="124"/>
        </w:trPr>
        <w:tc>
          <w:tcPr>
            <w:tcW w:w="1384" w:type="dxa"/>
            <w:vMerge/>
          </w:tcPr>
          <w:p w14:paraId="2EC454AF" w14:textId="77777777" w:rsidR="00477529" w:rsidRPr="00477529" w:rsidRDefault="00477529" w:rsidP="00941F0E">
            <w:pPr>
              <w:spacing w:before="0" w:after="0"/>
              <w:ind w:left="57" w:right="57"/>
              <w:rPr>
                <w:sz w:val="20"/>
                <w:szCs w:val="20"/>
              </w:rPr>
            </w:pPr>
          </w:p>
        </w:tc>
        <w:tc>
          <w:tcPr>
            <w:tcW w:w="2268" w:type="dxa"/>
          </w:tcPr>
          <w:p w14:paraId="3CF19085" w14:textId="77777777" w:rsidR="00477529" w:rsidRPr="00477529" w:rsidRDefault="00477529" w:rsidP="00941F0E">
            <w:pPr>
              <w:spacing w:before="0" w:after="0"/>
              <w:ind w:left="57" w:right="57"/>
              <w:rPr>
                <w:sz w:val="20"/>
                <w:szCs w:val="20"/>
              </w:rPr>
            </w:pPr>
            <w:r w:rsidRPr="00477529">
              <w:rPr>
                <w:sz w:val="20"/>
                <w:szCs w:val="20"/>
              </w:rPr>
              <w:t>Medication error</w:t>
            </w:r>
          </w:p>
        </w:tc>
        <w:tc>
          <w:tcPr>
            <w:tcW w:w="1134" w:type="dxa"/>
          </w:tcPr>
          <w:p w14:paraId="1A421B15"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7515A328"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5A212E04"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45EF2C4A"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72E1EC81" w14:textId="77777777" w:rsidTr="00B05D65">
        <w:trPr>
          <w:trHeight w:val="124"/>
        </w:trPr>
        <w:tc>
          <w:tcPr>
            <w:tcW w:w="1384" w:type="dxa"/>
            <w:vMerge/>
          </w:tcPr>
          <w:p w14:paraId="510DE363" w14:textId="77777777" w:rsidR="00477529" w:rsidRPr="00477529" w:rsidRDefault="00477529" w:rsidP="00941F0E">
            <w:pPr>
              <w:spacing w:before="0" w:after="0"/>
              <w:ind w:left="57" w:right="57"/>
              <w:rPr>
                <w:sz w:val="20"/>
                <w:szCs w:val="20"/>
              </w:rPr>
            </w:pPr>
          </w:p>
        </w:tc>
        <w:tc>
          <w:tcPr>
            <w:tcW w:w="2268" w:type="dxa"/>
          </w:tcPr>
          <w:p w14:paraId="1CD92A2E" w14:textId="77777777" w:rsidR="00477529" w:rsidRPr="00477529" w:rsidRDefault="00477529" w:rsidP="00941F0E">
            <w:pPr>
              <w:spacing w:before="0" w:after="0"/>
              <w:ind w:left="57" w:right="57"/>
              <w:rPr>
                <w:sz w:val="20"/>
                <w:szCs w:val="20"/>
              </w:rPr>
            </w:pPr>
            <w:r w:rsidRPr="00477529">
              <w:rPr>
                <w:sz w:val="20"/>
                <w:szCs w:val="20"/>
              </w:rPr>
              <w:t>Use in patients with various disease states (renal impairment; head injuries; increased intracranial pressure; hypotension; prostatic hypertrophy; and urethral stenosis)</w:t>
            </w:r>
          </w:p>
        </w:tc>
        <w:tc>
          <w:tcPr>
            <w:tcW w:w="1134" w:type="dxa"/>
          </w:tcPr>
          <w:p w14:paraId="5233D8B0"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2A0CB7B3"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44F006C0"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473FBA7B"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24D75691" w14:textId="77777777" w:rsidTr="00B05D65">
        <w:trPr>
          <w:trHeight w:val="114"/>
        </w:trPr>
        <w:tc>
          <w:tcPr>
            <w:tcW w:w="1384" w:type="dxa"/>
            <w:vMerge/>
          </w:tcPr>
          <w:p w14:paraId="603AF950" w14:textId="77777777" w:rsidR="00477529" w:rsidRPr="00477529" w:rsidRDefault="00477529" w:rsidP="00941F0E">
            <w:pPr>
              <w:spacing w:before="0" w:after="0"/>
              <w:ind w:left="57" w:right="57"/>
              <w:rPr>
                <w:sz w:val="20"/>
                <w:szCs w:val="20"/>
              </w:rPr>
            </w:pPr>
          </w:p>
        </w:tc>
        <w:tc>
          <w:tcPr>
            <w:tcW w:w="2268" w:type="dxa"/>
          </w:tcPr>
          <w:p w14:paraId="517B53FE" w14:textId="77777777" w:rsidR="00477529" w:rsidRPr="00477529" w:rsidRDefault="00477529" w:rsidP="00941F0E">
            <w:pPr>
              <w:spacing w:before="0" w:after="0"/>
              <w:ind w:left="57" w:right="57"/>
              <w:rPr>
                <w:sz w:val="20"/>
                <w:szCs w:val="20"/>
              </w:rPr>
            </w:pPr>
            <w:r w:rsidRPr="00477529">
              <w:rPr>
                <w:sz w:val="20"/>
                <w:szCs w:val="20"/>
              </w:rPr>
              <w:t xml:space="preserve">Concomitant use of </w:t>
            </w:r>
            <w:proofErr w:type="spellStart"/>
            <w:r w:rsidRPr="00477529">
              <w:rPr>
                <w:sz w:val="20"/>
                <w:szCs w:val="20"/>
              </w:rPr>
              <w:t>gabapentinoids</w:t>
            </w:r>
            <w:proofErr w:type="spellEnd"/>
            <w:r w:rsidRPr="00477529">
              <w:rPr>
                <w:sz w:val="20"/>
                <w:szCs w:val="20"/>
              </w:rPr>
              <w:t>*</w:t>
            </w:r>
          </w:p>
        </w:tc>
        <w:tc>
          <w:tcPr>
            <w:tcW w:w="1134" w:type="dxa"/>
          </w:tcPr>
          <w:p w14:paraId="035220A0"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00BA5C71"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08790504"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rPr>
              <w:t xml:space="preserve"> </w:t>
            </w:r>
            <w:r w:rsidRPr="00477529">
              <w:rPr>
                <w:sz w:val="20"/>
                <w:szCs w:val="20"/>
                <w:vertAlign w:val="superscript"/>
              </w:rPr>
              <w:t>§</w:t>
            </w:r>
          </w:p>
        </w:tc>
        <w:tc>
          <w:tcPr>
            <w:tcW w:w="1299" w:type="dxa"/>
          </w:tcPr>
          <w:p w14:paraId="25C22A23" w14:textId="77777777" w:rsidR="00477529" w:rsidRPr="00477529" w:rsidRDefault="00477529" w:rsidP="00941F0E">
            <w:pPr>
              <w:spacing w:before="0" w:after="0"/>
              <w:ind w:left="57" w:right="57"/>
              <w:rPr>
                <w:sz w:val="20"/>
                <w:szCs w:val="20"/>
              </w:rPr>
            </w:pPr>
            <w:r w:rsidRPr="00477529">
              <w:rPr>
                <w:sz w:val="20"/>
                <w:szCs w:val="20"/>
              </w:rPr>
              <w:t>–</w:t>
            </w:r>
          </w:p>
        </w:tc>
      </w:tr>
      <w:tr w:rsidR="00477529" w:rsidRPr="00477529" w14:paraId="01EFBC50" w14:textId="77777777" w:rsidTr="00B05D65">
        <w:trPr>
          <w:trHeight w:val="181"/>
        </w:trPr>
        <w:tc>
          <w:tcPr>
            <w:tcW w:w="1384" w:type="dxa"/>
            <w:vMerge w:val="restart"/>
          </w:tcPr>
          <w:p w14:paraId="7420BA29" w14:textId="77777777" w:rsidR="00477529" w:rsidRPr="00477529" w:rsidRDefault="00477529" w:rsidP="00941F0E">
            <w:pPr>
              <w:spacing w:before="0" w:after="0"/>
              <w:ind w:left="57" w:right="57"/>
              <w:rPr>
                <w:sz w:val="20"/>
                <w:szCs w:val="20"/>
              </w:rPr>
            </w:pPr>
            <w:r w:rsidRPr="00477529">
              <w:rPr>
                <w:sz w:val="20"/>
                <w:szCs w:val="20"/>
              </w:rPr>
              <w:t>Missing information</w:t>
            </w:r>
          </w:p>
        </w:tc>
        <w:tc>
          <w:tcPr>
            <w:tcW w:w="2268" w:type="dxa"/>
          </w:tcPr>
          <w:p w14:paraId="2692ADA8" w14:textId="77777777" w:rsidR="00477529" w:rsidRPr="00477529" w:rsidRDefault="00477529" w:rsidP="00941F0E">
            <w:pPr>
              <w:spacing w:before="0" w:after="0"/>
              <w:ind w:left="57" w:right="57"/>
              <w:rPr>
                <w:sz w:val="20"/>
                <w:szCs w:val="20"/>
              </w:rPr>
            </w:pPr>
            <w:r w:rsidRPr="00477529">
              <w:rPr>
                <w:sz w:val="20"/>
                <w:szCs w:val="20"/>
              </w:rPr>
              <w:t>Use in children and adolescents</w:t>
            </w:r>
            <w:r w:rsidRPr="00477529">
              <w:rPr>
                <w:sz w:val="20"/>
                <w:szCs w:val="20"/>
                <w:vertAlign w:val="superscript"/>
              </w:rPr>
              <w:t>†</w:t>
            </w:r>
          </w:p>
        </w:tc>
        <w:tc>
          <w:tcPr>
            <w:tcW w:w="1134" w:type="dxa"/>
          </w:tcPr>
          <w:p w14:paraId="641CDC1F"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42358626"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1A68476F"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2D8928D2"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r w:rsidR="00477529" w:rsidRPr="00477529" w14:paraId="20F0B000" w14:textId="77777777" w:rsidTr="00B05D65">
        <w:trPr>
          <w:trHeight w:val="142"/>
        </w:trPr>
        <w:tc>
          <w:tcPr>
            <w:tcW w:w="1384" w:type="dxa"/>
            <w:vMerge/>
          </w:tcPr>
          <w:p w14:paraId="6517E921" w14:textId="77777777" w:rsidR="00477529" w:rsidRPr="00477529" w:rsidRDefault="00477529" w:rsidP="00941F0E">
            <w:pPr>
              <w:spacing w:before="0" w:after="0"/>
              <w:ind w:left="57" w:right="57"/>
              <w:rPr>
                <w:sz w:val="20"/>
                <w:szCs w:val="20"/>
              </w:rPr>
            </w:pPr>
          </w:p>
        </w:tc>
        <w:tc>
          <w:tcPr>
            <w:tcW w:w="2268" w:type="dxa"/>
          </w:tcPr>
          <w:p w14:paraId="61578D4D" w14:textId="77777777" w:rsidR="00477529" w:rsidRPr="00477529" w:rsidRDefault="00477529" w:rsidP="00941F0E">
            <w:pPr>
              <w:spacing w:before="0" w:after="0"/>
              <w:ind w:left="57" w:right="57"/>
              <w:rPr>
                <w:sz w:val="20"/>
                <w:szCs w:val="20"/>
              </w:rPr>
            </w:pPr>
            <w:r w:rsidRPr="00477529">
              <w:rPr>
                <w:sz w:val="20"/>
                <w:szCs w:val="20"/>
              </w:rPr>
              <w:t>Use in pregnancy and lactation</w:t>
            </w:r>
            <w:r w:rsidRPr="00477529">
              <w:rPr>
                <w:sz w:val="20"/>
                <w:szCs w:val="20"/>
                <w:vertAlign w:val="superscript"/>
              </w:rPr>
              <w:t>†</w:t>
            </w:r>
          </w:p>
        </w:tc>
        <w:tc>
          <w:tcPr>
            <w:tcW w:w="1134" w:type="dxa"/>
          </w:tcPr>
          <w:p w14:paraId="76D4AC8B"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418" w:type="dxa"/>
          </w:tcPr>
          <w:p w14:paraId="57EC4E13" w14:textId="77777777" w:rsidR="00477529" w:rsidRPr="00477529" w:rsidRDefault="00477529" w:rsidP="00941F0E">
            <w:pPr>
              <w:spacing w:before="0" w:after="0"/>
              <w:ind w:left="57" w:right="57"/>
              <w:rPr>
                <w:sz w:val="20"/>
                <w:szCs w:val="20"/>
              </w:rPr>
            </w:pPr>
            <w:r w:rsidRPr="00477529">
              <w:rPr>
                <w:sz w:val="20"/>
                <w:szCs w:val="20"/>
              </w:rPr>
              <w:t>–</w:t>
            </w:r>
          </w:p>
        </w:tc>
        <w:tc>
          <w:tcPr>
            <w:tcW w:w="1136" w:type="dxa"/>
          </w:tcPr>
          <w:p w14:paraId="1F7C193A" w14:textId="77777777" w:rsidR="00477529" w:rsidRPr="00477529" w:rsidRDefault="00477529" w:rsidP="00941F0E">
            <w:pPr>
              <w:spacing w:before="0" w:after="0"/>
              <w:ind w:left="57" w:right="57"/>
              <w:rPr>
                <w:sz w:val="20"/>
                <w:szCs w:val="20"/>
              </w:rPr>
            </w:pPr>
            <w:r w:rsidRPr="00477529">
              <w:rPr>
                <w:sz w:val="20"/>
                <w:szCs w:val="20"/>
              </w:rPr>
              <w:sym w:font="Wingdings" w:char="F0FC"/>
            </w:r>
          </w:p>
        </w:tc>
        <w:tc>
          <w:tcPr>
            <w:tcW w:w="1299" w:type="dxa"/>
          </w:tcPr>
          <w:p w14:paraId="76E0963E" w14:textId="77777777" w:rsidR="00477529" w:rsidRPr="00477529" w:rsidRDefault="00477529" w:rsidP="00941F0E">
            <w:pPr>
              <w:spacing w:before="0" w:after="0"/>
              <w:ind w:left="57" w:right="57"/>
              <w:rPr>
                <w:sz w:val="20"/>
                <w:szCs w:val="20"/>
              </w:rPr>
            </w:pPr>
            <w:r w:rsidRPr="00477529">
              <w:rPr>
                <w:sz w:val="20"/>
                <w:szCs w:val="20"/>
              </w:rPr>
              <w:sym w:font="Wingdings" w:char="F0FC"/>
            </w:r>
            <w:r w:rsidRPr="00477529">
              <w:rPr>
                <w:sz w:val="20"/>
                <w:szCs w:val="20"/>
                <w:vertAlign w:val="superscript"/>
              </w:rPr>
              <w:t>‡</w:t>
            </w:r>
          </w:p>
        </w:tc>
      </w:tr>
    </w:tbl>
    <w:p w14:paraId="4C9CC3FF" w14:textId="77777777" w:rsidR="00477529" w:rsidRDefault="00477529" w:rsidP="00477529">
      <w:pPr>
        <w:pStyle w:val="TableDescription"/>
        <w:rPr>
          <w:lang w:eastAsia="en-AU"/>
        </w:rPr>
      </w:pPr>
      <w:r>
        <w:rPr>
          <w:lang w:eastAsia="en-AU"/>
        </w:rPr>
        <w:t>*Safety concern in the EU-RMP only. † Safety concern in the ASA only. ‡ Additional risk minimisation activities in the ASA only. § Routine risk minimisation activities in the EU-RMP only.</w:t>
      </w:r>
    </w:p>
    <w:p w14:paraId="3517D8DE" w14:textId="767C7734" w:rsidR="00477529" w:rsidRDefault="00477529" w:rsidP="00477529">
      <w:pPr>
        <w:pStyle w:val="ListBullet"/>
        <w:rPr>
          <w:lang w:eastAsia="en-AU"/>
        </w:rPr>
      </w:pPr>
      <w:r>
        <w:rPr>
          <w:lang w:eastAsia="en-AU"/>
        </w:rPr>
        <w:t>The sponsors proposed safety specification was not adequate in the proposed RMP and ASA as there were no specific safety concerns of areas of missing information, and exten</w:t>
      </w:r>
      <w:r w:rsidR="00B05D65">
        <w:rPr>
          <w:lang w:eastAsia="en-AU"/>
        </w:rPr>
        <w:t xml:space="preserve">sive revision was recommended. </w:t>
      </w:r>
      <w:r>
        <w:rPr>
          <w:lang w:eastAsia="en-AU"/>
        </w:rPr>
        <w:t>The summary of safety concerns provided in the revised RMP documents, as shown above, were considered acceptable.</w:t>
      </w:r>
    </w:p>
    <w:p w14:paraId="6EE77E35" w14:textId="2A115E8D" w:rsidR="00477529" w:rsidRPr="00D31393" w:rsidRDefault="00B05D65" w:rsidP="00477529">
      <w:pPr>
        <w:pStyle w:val="ListBullet"/>
        <w:rPr>
          <w:lang w:eastAsia="en-AU"/>
        </w:rPr>
      </w:pPr>
      <w:r>
        <w:rPr>
          <w:lang w:eastAsia="en-AU"/>
        </w:rPr>
        <w:lastRenderedPageBreak/>
        <w:t>The s</w:t>
      </w:r>
      <w:r w:rsidR="00477529">
        <w:rPr>
          <w:lang w:eastAsia="en-AU"/>
        </w:rPr>
        <w:t>ponsor had not proposed any additional pharmacovigilance or risk minimisation activities. The RMP evaluator did not consider that this was adequate since previous RMPs for similar products required additional written educational material for health care professionals (HCPs) and patients. Education for health professionals and patients was considered to be necessary particularly with the novel depot formulation. The additional risk minimisation activities described in the revised RMP documents, as shown above, were considered acceptable.</w:t>
      </w:r>
    </w:p>
    <w:p w14:paraId="41E1B4FC" w14:textId="77777777" w:rsidR="00456765" w:rsidRDefault="00456765" w:rsidP="00456765">
      <w:pPr>
        <w:pStyle w:val="Heading4"/>
      </w:pPr>
      <w:bookmarkStart w:id="126" w:name="_Toc477354123"/>
      <w:r>
        <w:t>New and outstanding recommendations from second round evaluation</w:t>
      </w:r>
      <w:bookmarkEnd w:id="126"/>
    </w:p>
    <w:p w14:paraId="0AE8F999" w14:textId="469263F9" w:rsidR="00477529" w:rsidRDefault="00477529" w:rsidP="00477529">
      <w:r>
        <w:t>The rec</w:t>
      </w:r>
      <w:r w:rsidR="00B05D65">
        <w:t>ommendations made in the firs</w:t>
      </w:r>
      <w:r w:rsidR="00B9071E">
        <w:t>t</w:t>
      </w:r>
      <w:r w:rsidR="00B05D65">
        <w:t xml:space="preserve"> round</w:t>
      </w:r>
      <w:r>
        <w:t xml:space="preserve"> evaluation, a</w:t>
      </w:r>
      <w:r w:rsidR="00B05D65">
        <w:t>long with consideration of the s</w:t>
      </w:r>
      <w:r>
        <w:t xml:space="preserve">ponsor response, </w:t>
      </w:r>
      <w:r w:rsidR="00B05D65">
        <w:t>were detailed in the risk management plan evaluation report</w:t>
      </w:r>
      <w:r>
        <w:t>.</w:t>
      </w:r>
    </w:p>
    <w:p w14:paraId="26BC1217" w14:textId="329E88F5" w:rsidR="00477529" w:rsidRDefault="00B05D65" w:rsidP="00B05D65">
      <w:pPr>
        <w:pStyle w:val="ListBullet"/>
      </w:pPr>
      <w:r w:rsidRPr="00A01EAF">
        <w:rPr>
          <w:i/>
        </w:rPr>
        <w:t>Recommendation 8</w:t>
      </w:r>
      <w:r>
        <w:t>: the s</w:t>
      </w:r>
      <w:r w:rsidR="00477529">
        <w:t>ponsor has agreed to prepare and distribute educational material to healthcare professionals and patients on the safety concern</w:t>
      </w:r>
      <w:r>
        <w:t xml:space="preserve">s in the safety specification. </w:t>
      </w:r>
      <w:r w:rsidR="00477529">
        <w:t>Once approved by the TGA, this material should be distributed to addiction medicine specialists (include Australian State and Territory Drug and Alcohol health services), general practitioners and pharmacists (community a</w:t>
      </w:r>
      <w:r>
        <w:t>nd hospital) as a minimum. The s</w:t>
      </w:r>
      <w:r w:rsidR="00477529">
        <w:t>ponsor should provide an assessment as to whether any other health professionals should receive this material and detail their distribution strategy of this material, including how they will determine whether adequate distribution has been achieved. The sponsor should inform the TGA of the anticipated date of product launch and ensure the draft educational material is provided to the TGA as soon as possible, and with sufficient time for revision prior to the launch date.</w:t>
      </w:r>
    </w:p>
    <w:p w14:paraId="180EB5FA" w14:textId="70922F62" w:rsidR="00885CE7" w:rsidRDefault="00B05D65" w:rsidP="00B05D65">
      <w:pPr>
        <w:pStyle w:val="ListBullet"/>
      </w:pPr>
      <w:r w:rsidRPr="00A01EAF">
        <w:rPr>
          <w:i/>
        </w:rPr>
        <w:t>Recommendation 9</w:t>
      </w:r>
      <w:r>
        <w:t>: The s</w:t>
      </w:r>
      <w:r w:rsidR="00477529">
        <w:t xml:space="preserve">ponsor should add ‘Concomitant use </w:t>
      </w:r>
      <w:proofErr w:type="spellStart"/>
      <w:r w:rsidR="00477529">
        <w:t>gabapentinoids</w:t>
      </w:r>
      <w:proofErr w:type="spellEnd"/>
      <w:r w:rsidR="00477529">
        <w:t xml:space="preserve">’ as an important potential risk of </w:t>
      </w:r>
      <w:proofErr w:type="spellStart"/>
      <w:r>
        <w:t>Buvidal</w:t>
      </w:r>
      <w:proofErr w:type="spellEnd"/>
      <w:r w:rsidR="00477529">
        <w:t xml:space="preserve"> to the ASA. Appropriate precautionary text similar to that proposed in the EU </w:t>
      </w:r>
      <w:proofErr w:type="spellStart"/>
      <w:r w:rsidR="00477529">
        <w:t>SmPC</w:t>
      </w:r>
      <w:proofErr w:type="spellEnd"/>
      <w:r w:rsidR="00477529">
        <w:t xml:space="preserve"> should be added to the Australian PI as routine risk minimisation for this safety concern</w:t>
      </w:r>
      <w:r w:rsidR="00885CE7">
        <w:t>.</w:t>
      </w:r>
    </w:p>
    <w:p w14:paraId="07680573" w14:textId="77777777" w:rsidR="00456765" w:rsidRPr="00BB4B51" w:rsidRDefault="00456765" w:rsidP="00456765">
      <w:pPr>
        <w:pStyle w:val="Heading4"/>
      </w:pPr>
      <w:bookmarkStart w:id="127" w:name="_Toc477354124"/>
      <w:r>
        <w:t>Proposed wording for conditions of registration</w:t>
      </w:r>
      <w:bookmarkEnd w:id="127"/>
    </w:p>
    <w:p w14:paraId="3CA5C726" w14:textId="77777777" w:rsidR="00885CE7" w:rsidRDefault="00477529" w:rsidP="00477529">
      <w: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885CE7">
        <w:t>.</w:t>
      </w:r>
    </w:p>
    <w:p w14:paraId="3ED5C363" w14:textId="77777777" w:rsidR="00885CE7" w:rsidRDefault="00477529" w:rsidP="00477529">
      <w:r>
        <w:t>The suggested wording is</w:t>
      </w:r>
      <w:r w:rsidR="00885CE7">
        <w:t>:</w:t>
      </w:r>
    </w:p>
    <w:p w14:paraId="29B58ADA" w14:textId="77777777" w:rsidR="00477529" w:rsidRDefault="00477529" w:rsidP="00477529">
      <w:pPr>
        <w:ind w:left="720"/>
      </w:pPr>
      <w:r>
        <w:t xml:space="preserve">The </w:t>
      </w:r>
      <w:proofErr w:type="spellStart"/>
      <w:r>
        <w:t>Buvidal</w:t>
      </w:r>
      <w:proofErr w:type="spellEnd"/>
      <w:r>
        <w:t xml:space="preserve"> EU-Risk Management Plan (RMP) (version 0.2, dated 24 April 2018, data lock point 15 May 2017), with Australian Specific Annex (version 0.2, dated 25 April 2018), included with submission PM-2017-02926-1-1, to be revised to the satisfaction of the TGA, will be implemented in Australia.</w:t>
      </w:r>
    </w:p>
    <w:p w14:paraId="349C9786" w14:textId="77777777" w:rsidR="00477529" w:rsidRDefault="00477529" w:rsidP="00477529">
      <w:r>
        <w:t>The following wording is recommended for the PSUR requirement:</w:t>
      </w:r>
    </w:p>
    <w:p w14:paraId="766DD0B5" w14:textId="77777777" w:rsidR="00885CE7" w:rsidRDefault="00477529" w:rsidP="00477529">
      <w:pPr>
        <w:ind w:left="720"/>
      </w:pPr>
      <w:r>
        <w:t>An obligatory component of risk management plans is routine pharmacovigilance. Routine pharmacovigilance includes the submission of Periodic Safety Update Reports (PSURs)</w:t>
      </w:r>
      <w:r w:rsidR="00885CE7">
        <w:t>.</w:t>
      </w:r>
    </w:p>
    <w:p w14:paraId="6DECB892" w14:textId="77777777" w:rsidR="00885CE7" w:rsidRDefault="00477529" w:rsidP="00477529">
      <w:pPr>
        <w:ind w:left="720"/>
      </w:pPr>
      <w:r>
        <w:t>Reports are to be provided in line with the current published list of EU reference dates and frequency of submission of PSURs until the period covered by such reports is not less than three years from the date of this approval letter</w:t>
      </w:r>
      <w:r w:rsidR="00885CE7">
        <w:t>.</w:t>
      </w:r>
    </w:p>
    <w:p w14:paraId="2D71ACF4" w14:textId="77777777" w:rsidR="00456765" w:rsidRPr="00D31393" w:rsidRDefault="00477529" w:rsidP="00477529">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7D04E67A" w14:textId="77777777" w:rsidR="008E7846" w:rsidRPr="00792A32" w:rsidRDefault="008E7846" w:rsidP="008E7846">
      <w:pPr>
        <w:pStyle w:val="Heading2"/>
      </w:pPr>
      <w:bookmarkStart w:id="128" w:name="_Toc24539939"/>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3"/>
      <w:bookmarkEnd w:id="123"/>
      <w:bookmarkEnd w:id="124"/>
      <w:bookmarkEnd w:id="128"/>
    </w:p>
    <w:p w14:paraId="400ACE5B" w14:textId="77777777" w:rsidR="008E7846" w:rsidRDefault="008E7846" w:rsidP="008E7846">
      <w:bookmarkStart w:id="129" w:name="_Toc247691528"/>
      <w:r>
        <w:t xml:space="preserve">The submission was summarised in the following </w:t>
      </w:r>
      <w:r w:rsidRPr="00EF5C48">
        <w:t xml:space="preserve">Delegate’s </w:t>
      </w:r>
      <w:r>
        <w:t>overview</w:t>
      </w:r>
      <w:r w:rsidRPr="00EF5C48">
        <w:t xml:space="preserve"> and recommendation</w:t>
      </w:r>
      <w:r w:rsidR="00941F0E">
        <w:t>s.</w:t>
      </w:r>
    </w:p>
    <w:p w14:paraId="799B5298" w14:textId="77777777" w:rsidR="00941F0E" w:rsidRDefault="00941F0E" w:rsidP="00941F0E">
      <w:pPr>
        <w:pStyle w:val="Heading3"/>
      </w:pPr>
      <w:bookmarkStart w:id="130" w:name="_Toc24539940"/>
      <w:r>
        <w:t>Background</w:t>
      </w:r>
      <w:bookmarkEnd w:id="130"/>
    </w:p>
    <w:p w14:paraId="56BC93BE" w14:textId="77777777" w:rsidR="00941F0E" w:rsidRDefault="00941F0E" w:rsidP="00941F0E">
      <w:pPr>
        <w:pStyle w:val="Heading4"/>
      </w:pPr>
      <w:r w:rsidRPr="00AA53F4">
        <w:t>Background on condition being treated</w:t>
      </w:r>
    </w:p>
    <w:p w14:paraId="1B7CCA0D" w14:textId="5BA7F98D" w:rsidR="00941F0E" w:rsidRDefault="00901248" w:rsidP="008E7846">
      <w:r>
        <w:t>O</w:t>
      </w:r>
      <w:r w:rsidR="00941F0E" w:rsidRPr="003A6C1A">
        <w:t>pioid dependence is characterised by cravings and compulsive use of opioids despite the negative consequences.</w:t>
      </w:r>
      <w:r>
        <w:t xml:space="preserve"> Buprenorphine</w:t>
      </w:r>
      <w:r w:rsidR="00941F0E">
        <w:t xml:space="preserve"> and methadone are approved as opioid replacement therapy for the ma</w:t>
      </w:r>
      <w:r>
        <w:t xml:space="preserve">nagement of opioid dependence. </w:t>
      </w:r>
      <w:r w:rsidR="00941F0E">
        <w:t>The successful treatment of opioid dependence requires psychological, social support and medical management. As part of this multifaceted approach, replacement pharmacotherapy is routinely used to reduce compulsion, cravings and physical adaption to chronic drug abuse.</w:t>
      </w:r>
    </w:p>
    <w:p w14:paraId="1D600906" w14:textId="1B70E0A6" w:rsidR="00941F0E" w:rsidRDefault="00575BDB" w:rsidP="00941F0E">
      <w:pPr>
        <w:pStyle w:val="Heading4"/>
      </w:pPr>
      <w:r>
        <w:t>Australian regulatory s</w:t>
      </w:r>
      <w:r w:rsidR="00941F0E">
        <w:t>tatus</w:t>
      </w:r>
    </w:p>
    <w:p w14:paraId="0846FCC8" w14:textId="03A68DF8" w:rsidR="00885CE7" w:rsidRDefault="00941F0E" w:rsidP="00941F0E">
      <w:r>
        <w:t xml:space="preserve">Intravenous and sublingual formulations of </w:t>
      </w:r>
      <w:r w:rsidR="00246DC3">
        <w:t>buprenorphine</w:t>
      </w:r>
      <w:r>
        <w:t xml:space="preserve"> were first approved in Australia in 1991 for the relief of moderate to severe pain. SL </w:t>
      </w:r>
      <w:r w:rsidR="00246DC3">
        <w:t>buprenorphine</w:t>
      </w:r>
      <w:r>
        <w:t xml:space="preserve"> was approved in Australia for the treatment of opioid dependence in 2000, and SL </w:t>
      </w:r>
      <w:r w:rsidR="00246DC3">
        <w:t>buprenorphine</w:t>
      </w:r>
      <w:r w:rsidR="00901248">
        <w:t>/n</w:t>
      </w:r>
      <w:r>
        <w:t>aloxone was approved in 2005</w:t>
      </w:r>
      <w:r w:rsidR="00885CE7">
        <w:t>.</w:t>
      </w:r>
    </w:p>
    <w:p w14:paraId="265C30B7" w14:textId="25C861A1" w:rsidR="00885CE7" w:rsidRDefault="00941F0E" w:rsidP="00941F0E">
      <w:r>
        <w:t xml:space="preserve">The indication proposed for </w:t>
      </w:r>
      <w:proofErr w:type="spellStart"/>
      <w:r w:rsidR="00901248">
        <w:t>Buvidal</w:t>
      </w:r>
      <w:proofErr w:type="spellEnd"/>
      <w:r>
        <w:t xml:space="preserve"> is the same as the indication for the </w:t>
      </w:r>
      <w:r w:rsidR="00246DC3">
        <w:t>buprenorphine</w:t>
      </w:r>
      <w:r>
        <w:t xml:space="preserve"> and </w:t>
      </w:r>
      <w:r w:rsidR="00246DC3">
        <w:t>buprenorphine</w:t>
      </w:r>
      <w:r w:rsidR="00901248">
        <w:t>/</w:t>
      </w:r>
      <w:r>
        <w:t>naloxone dose forms indicated for management of opioid dependence</w:t>
      </w:r>
      <w:r w:rsidR="00885CE7">
        <w:t>.</w:t>
      </w:r>
    </w:p>
    <w:p w14:paraId="39C5AED4" w14:textId="5FD8744C" w:rsidR="00941F0E" w:rsidRDefault="00575BDB" w:rsidP="00941F0E">
      <w:pPr>
        <w:pStyle w:val="Heading4"/>
      </w:pPr>
      <w:r>
        <w:t>Overseas regulatory s</w:t>
      </w:r>
      <w:r w:rsidR="00941F0E">
        <w:t>tatus</w:t>
      </w:r>
    </w:p>
    <w:p w14:paraId="6FD0C664" w14:textId="4CD45F43" w:rsidR="00941F0E" w:rsidRDefault="00F6637D" w:rsidP="00941F0E">
      <w:r>
        <w:t xml:space="preserve">At the time this submission was under consideration, </w:t>
      </w:r>
      <w:proofErr w:type="spellStart"/>
      <w:r w:rsidR="00901248">
        <w:t>Buvidal</w:t>
      </w:r>
      <w:proofErr w:type="spellEnd"/>
      <w:r w:rsidR="00941F0E">
        <w:t xml:space="preserve"> </w:t>
      </w:r>
      <w:r>
        <w:t>was</w:t>
      </w:r>
      <w:r w:rsidR="00941F0E">
        <w:t xml:space="preserve"> not appr</w:t>
      </w:r>
      <w:r w:rsidR="00901248">
        <w:t xml:space="preserve">oved in any country or region. </w:t>
      </w:r>
      <w:r w:rsidR="00941F0E">
        <w:t xml:space="preserve">Submissions </w:t>
      </w:r>
      <w:r>
        <w:t xml:space="preserve">had </w:t>
      </w:r>
      <w:r w:rsidR="00941F0E">
        <w:t>been made via the centralised procedure in the EU and to t</w:t>
      </w:r>
      <w:r w:rsidR="00901248">
        <w:t>he USA.</w:t>
      </w:r>
    </w:p>
    <w:p w14:paraId="3757E031" w14:textId="10222247" w:rsidR="00941F0E" w:rsidRDefault="00941F0E" w:rsidP="00941F0E">
      <w:r>
        <w:t>An extended release injection for SC use containing 100 mg and 300 mg per dose (</w:t>
      </w:r>
      <w:proofErr w:type="spellStart"/>
      <w:r w:rsidR="00901248">
        <w:t>Sublocade</w:t>
      </w:r>
      <w:proofErr w:type="spellEnd"/>
      <w:r>
        <w:t>) was</w:t>
      </w:r>
      <w:r w:rsidR="00901248">
        <w:t xml:space="preserve"> approved in the USA in </w:t>
      </w:r>
      <w:r w:rsidR="00B9071E">
        <w:t>2017</w:t>
      </w:r>
      <w:r w:rsidR="00901248">
        <w:t xml:space="preserve">. Dosing is monthly. </w:t>
      </w:r>
      <w:proofErr w:type="spellStart"/>
      <w:r w:rsidR="00901248">
        <w:t>Sublocade</w:t>
      </w:r>
      <w:proofErr w:type="spellEnd"/>
      <w:r>
        <w:t xml:space="preserve"> is only available through a restricted program called the </w:t>
      </w:r>
      <w:proofErr w:type="spellStart"/>
      <w:r w:rsidR="00901248">
        <w:t>Sublocade</w:t>
      </w:r>
      <w:proofErr w:type="spellEnd"/>
      <w:r>
        <w:t xml:space="preserve"> </w:t>
      </w:r>
      <w:r w:rsidR="00901248" w:rsidRPr="00901248">
        <w:t xml:space="preserve">Risk Evaluation and Mitigation Strategy </w:t>
      </w:r>
      <w:r w:rsidR="00901248">
        <w:t>(</w:t>
      </w:r>
      <w:r>
        <w:t>REMS</w:t>
      </w:r>
      <w:r w:rsidR="00901248">
        <w:t>)</w:t>
      </w:r>
      <w:r>
        <w:t xml:space="preserve"> Program. Healthcare settings and pharmacies that order and dispense </w:t>
      </w:r>
      <w:proofErr w:type="spellStart"/>
      <w:r w:rsidR="00901248">
        <w:t>Sublocade</w:t>
      </w:r>
      <w:proofErr w:type="spellEnd"/>
      <w:r>
        <w:t xml:space="preserve"> must be certified in this program and comply with the REMS requirements. Its use is restricted to patients who have initiated treatment with a </w:t>
      </w:r>
      <w:proofErr w:type="spellStart"/>
      <w:r>
        <w:t>transmucosal</w:t>
      </w:r>
      <w:proofErr w:type="spellEnd"/>
      <w:r>
        <w:t xml:space="preserve"> </w:t>
      </w:r>
      <w:r w:rsidR="00246DC3">
        <w:t>buprenorphine</w:t>
      </w:r>
      <w:r w:rsidR="00901248">
        <w:t xml:space="preserve"> </w:t>
      </w:r>
      <w:r>
        <w:t>containing product, followed by dose adjus</w:t>
      </w:r>
      <w:r w:rsidR="00901248">
        <w:t xml:space="preserve">tment for a minimum of 7 days. </w:t>
      </w:r>
      <w:r>
        <w:t xml:space="preserve">The US PI states that </w:t>
      </w:r>
      <w:proofErr w:type="spellStart"/>
      <w:r w:rsidR="00901248">
        <w:t>Sublocade</w:t>
      </w:r>
      <w:proofErr w:type="spellEnd"/>
      <w:r>
        <w:t xml:space="preserve"> is available only through the </w:t>
      </w:r>
      <w:proofErr w:type="spellStart"/>
      <w:r w:rsidR="00901248">
        <w:t>Sublocade</w:t>
      </w:r>
      <w:proofErr w:type="spellEnd"/>
      <w:r>
        <w:t xml:space="preserve"> REMS Program because of the risk of serious harm or death that cou</w:t>
      </w:r>
      <w:r w:rsidR="00901248">
        <w:t>ld result from intravenous self-administration</w:t>
      </w:r>
      <w:r>
        <w:t xml:space="preserve">. </w:t>
      </w:r>
      <w:proofErr w:type="spellStart"/>
      <w:r w:rsidR="00901248">
        <w:t>Sublocade</w:t>
      </w:r>
      <w:proofErr w:type="spellEnd"/>
      <w:r>
        <w:t xml:space="preserve"> forms a solid mass upon contact with body fluids and may cause occlusion, l</w:t>
      </w:r>
      <w:r w:rsidR="007534C6">
        <w:t>ocal tissue damage, and thrombo</w:t>
      </w:r>
      <w:r>
        <w:t>embolic events, including life threatening pulmonary emboli, if administered intravenously.</w:t>
      </w:r>
    </w:p>
    <w:p w14:paraId="41408700" w14:textId="24D91DA0" w:rsidR="00941F0E" w:rsidRDefault="00941F0E" w:rsidP="00941F0E">
      <w:r>
        <w:t xml:space="preserve">Also in the USA, </w:t>
      </w:r>
      <w:proofErr w:type="spellStart"/>
      <w:r w:rsidR="00901248">
        <w:t>Probuphine</w:t>
      </w:r>
      <w:proofErr w:type="spellEnd"/>
      <w:r w:rsidR="009B7D36">
        <w:t>,</w:t>
      </w:r>
      <w:r>
        <w:t xml:space="preserve"> a </w:t>
      </w:r>
      <w:r w:rsidR="00246DC3">
        <w:t>buprenorphine</w:t>
      </w:r>
      <w:r>
        <w:t xml:space="preserve"> subdermal implant providing 6 months exposure to </w:t>
      </w:r>
      <w:r w:rsidR="00246DC3">
        <w:t>buprenorphine</w:t>
      </w:r>
      <w:r>
        <w:t xml:space="preserve"> </w:t>
      </w:r>
      <w:r w:rsidR="009B7D36">
        <w:t xml:space="preserve">was </w:t>
      </w:r>
      <w:r>
        <w:t xml:space="preserve">approved in </w:t>
      </w:r>
      <w:r w:rsidR="00B9071E">
        <w:t xml:space="preserve">2016 </w:t>
      </w:r>
      <w:r>
        <w:t>for the for the maintenance treatment of opioid dependence in patients who have achieved and sustained prol</w:t>
      </w:r>
      <w:r w:rsidR="00E02FBB">
        <w:t xml:space="preserve">onged clinical stability on low to </w:t>
      </w:r>
      <w:r>
        <w:t xml:space="preserve">moderate doses </w:t>
      </w:r>
      <w:r w:rsidR="00E02FBB">
        <w:t xml:space="preserve">of a </w:t>
      </w:r>
      <w:proofErr w:type="spellStart"/>
      <w:r w:rsidR="00E02FBB">
        <w:t>transmucosal</w:t>
      </w:r>
      <w:proofErr w:type="spellEnd"/>
      <w:r w:rsidR="00E02FBB">
        <w:t xml:space="preserve"> buprenorphine </w:t>
      </w:r>
      <w:r>
        <w:t>containi</w:t>
      </w:r>
      <w:r w:rsidR="00E02FBB">
        <w:t xml:space="preserve">ng product (that is, doses of no more than </w:t>
      </w:r>
      <w:r>
        <w:t xml:space="preserve">8 mg per day of </w:t>
      </w:r>
      <w:proofErr w:type="spellStart"/>
      <w:r w:rsidR="00E02FBB">
        <w:t>Subutex</w:t>
      </w:r>
      <w:proofErr w:type="spellEnd"/>
      <w:r>
        <w:t xml:space="preserve"> or </w:t>
      </w:r>
      <w:proofErr w:type="spellStart"/>
      <w:r w:rsidR="00E02FBB">
        <w:t>Suboxone</w:t>
      </w:r>
      <w:proofErr w:type="spellEnd"/>
      <w:r>
        <w:t xml:space="preserve"> sublingual tablet or generic equivalent). </w:t>
      </w:r>
      <w:proofErr w:type="spellStart"/>
      <w:r w:rsidR="00E02FBB">
        <w:t>Probuphine</w:t>
      </w:r>
      <w:proofErr w:type="spellEnd"/>
      <w:r>
        <w:t xml:space="preserve"> is available only through a restricted program called the </w:t>
      </w:r>
      <w:proofErr w:type="spellStart"/>
      <w:r w:rsidR="00E02FBB">
        <w:t>Probuphine</w:t>
      </w:r>
      <w:proofErr w:type="spellEnd"/>
      <w:r w:rsidR="00E02FBB">
        <w:t xml:space="preserve"> REMS Program. </w:t>
      </w:r>
      <w:r>
        <w:t xml:space="preserve">The USPI for </w:t>
      </w:r>
      <w:proofErr w:type="spellStart"/>
      <w:r w:rsidR="00E02FBB">
        <w:t>Probuphine</w:t>
      </w:r>
      <w:proofErr w:type="spellEnd"/>
      <w:r>
        <w:t xml:space="preserve"> states that </w:t>
      </w:r>
      <w:proofErr w:type="spellStart"/>
      <w:r w:rsidR="00E02FBB">
        <w:t>Probuphine</w:t>
      </w:r>
      <w:proofErr w:type="spellEnd"/>
      <w:r>
        <w:t xml:space="preserve"> is available only through the </w:t>
      </w:r>
      <w:proofErr w:type="spellStart"/>
      <w:r w:rsidR="00E02FBB">
        <w:t>Probuphine</w:t>
      </w:r>
      <w:proofErr w:type="spellEnd"/>
      <w:r>
        <w:t xml:space="preserve"> REMS Program, because of the risk of complications of </w:t>
      </w:r>
      <w:r>
        <w:lastRenderedPageBreak/>
        <w:t xml:space="preserve">migration, protrusion and expulsion, and nerve damage associated with the insertion and removal of </w:t>
      </w:r>
      <w:proofErr w:type="spellStart"/>
      <w:r w:rsidR="00E02FBB">
        <w:t>Probuphine</w:t>
      </w:r>
      <w:proofErr w:type="spellEnd"/>
      <w:r>
        <w:t>.</w:t>
      </w:r>
    </w:p>
    <w:p w14:paraId="6387E49D" w14:textId="3E0C2894" w:rsidR="00941F0E" w:rsidRDefault="00E02FBB" w:rsidP="00941F0E">
      <w:proofErr w:type="spellStart"/>
      <w:r>
        <w:t>Subutex</w:t>
      </w:r>
      <w:proofErr w:type="spellEnd"/>
      <w:r w:rsidR="00941F0E">
        <w:t xml:space="preserve"> and </w:t>
      </w:r>
      <w:proofErr w:type="spellStart"/>
      <w:r>
        <w:t>Suboxone</w:t>
      </w:r>
      <w:proofErr w:type="spellEnd"/>
      <w:r w:rsidR="00941F0E">
        <w:t xml:space="preserve"> sublingual tablets have</w:t>
      </w:r>
      <w:r>
        <w:t xml:space="preserve"> been discontinued in the USA. </w:t>
      </w:r>
      <w:r w:rsidR="00941F0E">
        <w:t xml:space="preserve">Other </w:t>
      </w:r>
      <w:r w:rsidR="00246DC3">
        <w:t>buprenorphine</w:t>
      </w:r>
      <w:r>
        <w:t>/</w:t>
      </w:r>
      <w:r w:rsidR="00941F0E">
        <w:t xml:space="preserve">naloxone combination products for SL administration are marketed in the USA for management of opioid addiction but it is not clear if SL </w:t>
      </w:r>
      <w:r w:rsidR="00246DC3">
        <w:t>buprenorphine</w:t>
      </w:r>
      <w:r>
        <w:t xml:space="preserve"> alone is marketed. It is available in the EU. </w:t>
      </w:r>
      <w:r w:rsidR="00941F0E">
        <w:t xml:space="preserve">The USPI for a combination product, </w:t>
      </w:r>
      <w:proofErr w:type="spellStart"/>
      <w:r>
        <w:t>Zubsolv</w:t>
      </w:r>
      <w:proofErr w:type="spellEnd"/>
      <w:r w:rsidR="00941F0E">
        <w:t xml:space="preserve"> states that dosages higher than 17.2 mg/4.2 mg buprenorphine/naloxone have not been demonstrated to provide any clinical advantage.</w:t>
      </w:r>
    </w:p>
    <w:p w14:paraId="6F5A3E2A" w14:textId="77777777" w:rsidR="00941F0E" w:rsidRDefault="00941F0E" w:rsidP="00941F0E">
      <w:pPr>
        <w:pStyle w:val="Heading4"/>
      </w:pPr>
      <w:r>
        <w:t>Guidance used</w:t>
      </w:r>
    </w:p>
    <w:p w14:paraId="740FB702" w14:textId="5EE116F6" w:rsidR="00885CE7" w:rsidRDefault="00941F0E" w:rsidP="00941F0E">
      <w:r>
        <w:t>There is no EMA guidance document for the evaluation of medicinal products for the m</w:t>
      </w:r>
      <w:r w:rsidR="00E02FBB">
        <w:t xml:space="preserve">anagement of opioid addiction. </w:t>
      </w:r>
      <w:r>
        <w:t>Australian treatment guidelines were referred to by the clinical evaluator. The sponsor advised that discussions on study design were held with the EMA and FDA</w:t>
      </w:r>
      <w:r w:rsidR="00885CE7">
        <w:t>.</w:t>
      </w:r>
    </w:p>
    <w:p w14:paraId="19ECBB58" w14:textId="591F32E7" w:rsidR="00941F0E" w:rsidRDefault="00941F0E" w:rsidP="00941F0E">
      <w:r>
        <w:t>The Australian National Guidelines for Medication-Assisted Treatment of Opioid Dependence (April 2014) were consulted.</w:t>
      </w:r>
      <w:r w:rsidR="00E02FBB">
        <w:fldChar w:fldCharType="begin"/>
      </w:r>
      <w:r w:rsidR="00E02FBB">
        <w:instrText xml:space="preserve"> NOTEREF _Ref18500477 \f \h </w:instrText>
      </w:r>
      <w:r w:rsidR="00E02FBB">
        <w:fldChar w:fldCharType="separate"/>
      </w:r>
      <w:r w:rsidR="00E02FBB" w:rsidRPr="00E02FBB">
        <w:rPr>
          <w:rStyle w:val="FootnoteReference"/>
        </w:rPr>
        <w:t>10</w:t>
      </w:r>
      <w:r w:rsidR="00E02FBB">
        <w:fldChar w:fldCharType="end"/>
      </w:r>
    </w:p>
    <w:p w14:paraId="29DBDCF0" w14:textId="77777777" w:rsidR="008E7846" w:rsidRDefault="008E7846" w:rsidP="008E7846">
      <w:pPr>
        <w:pStyle w:val="Heading3"/>
      </w:pPr>
      <w:bookmarkStart w:id="131" w:name="_Toc314842511"/>
      <w:bookmarkStart w:id="132" w:name="_Toc24539941"/>
      <w:r>
        <w:t>Quality</w:t>
      </w:r>
      <w:bookmarkEnd w:id="129"/>
      <w:bookmarkEnd w:id="131"/>
      <w:bookmarkEnd w:id="132"/>
    </w:p>
    <w:p w14:paraId="72B79EFA" w14:textId="3527A0F6" w:rsidR="00730F8A" w:rsidRDefault="00E02FBB" w:rsidP="00941F0E">
      <w:r>
        <w:t>At the time of this summary, n</w:t>
      </w:r>
      <w:r w:rsidR="00941F0E">
        <w:t>egoti</w:t>
      </w:r>
      <w:r>
        <w:t>ation of specification limits was</w:t>
      </w:r>
      <w:r w:rsidR="00941F0E">
        <w:t xml:space="preserve"> ongoing.</w:t>
      </w:r>
      <w:r w:rsidR="00941F0E" w:rsidRPr="007E40D4">
        <w:t xml:space="preserve"> There are no </w:t>
      </w:r>
      <w:r w:rsidR="00941F0E">
        <w:t xml:space="preserve">other </w:t>
      </w:r>
      <w:r w:rsidR="00941F0E" w:rsidRPr="007E40D4">
        <w:t xml:space="preserve">outstanding chemistry </w:t>
      </w:r>
      <w:r w:rsidR="00941F0E">
        <w:t>issues which would prevent</w:t>
      </w:r>
      <w:r w:rsidR="00941F0E" w:rsidRPr="007E40D4">
        <w:t xml:space="preserve"> registration</w:t>
      </w:r>
      <w:r w:rsidR="00941F0E">
        <w:t xml:space="preserve"> </w:t>
      </w:r>
      <w:r w:rsidR="00941F0E" w:rsidRPr="007E40D4">
        <w:t xml:space="preserve">of </w:t>
      </w:r>
      <w:proofErr w:type="spellStart"/>
      <w:r w:rsidRPr="007E40D4">
        <w:t>Buvidal</w:t>
      </w:r>
      <w:proofErr w:type="spellEnd"/>
      <w:r w:rsidR="00941F0E">
        <w:t>.</w:t>
      </w:r>
    </w:p>
    <w:p w14:paraId="095ADB14" w14:textId="77777777" w:rsidR="008E7846" w:rsidRDefault="008E7846" w:rsidP="008E7846">
      <w:pPr>
        <w:pStyle w:val="Heading3"/>
      </w:pPr>
      <w:bookmarkStart w:id="133" w:name="_Toc314842512"/>
      <w:bookmarkStart w:id="134" w:name="_Toc24539942"/>
      <w:r>
        <w:t>Nonclinical</w:t>
      </w:r>
      <w:bookmarkEnd w:id="133"/>
      <w:bookmarkEnd w:id="134"/>
    </w:p>
    <w:p w14:paraId="7D934449" w14:textId="74475504" w:rsidR="00941F0E" w:rsidRDefault="00941F0E" w:rsidP="00941F0E">
      <w:bookmarkStart w:id="135" w:name="_Toc247691530"/>
      <w:bookmarkStart w:id="136" w:name="_Toc314842513"/>
      <w:r>
        <w:t>T</w:t>
      </w:r>
      <w:r w:rsidRPr="000B06F1">
        <w:t xml:space="preserve">here are no nonclinical objections to the registration of </w:t>
      </w:r>
      <w:proofErr w:type="spellStart"/>
      <w:r w:rsidR="00E02FBB" w:rsidRPr="000B06F1">
        <w:t>Buvidal</w:t>
      </w:r>
      <w:proofErr w:type="spellEnd"/>
      <w:r w:rsidRPr="000B06F1">
        <w:t>.</w:t>
      </w:r>
    </w:p>
    <w:p w14:paraId="15AFA34D" w14:textId="77777777" w:rsidR="00941F0E" w:rsidRPr="000B06F1" w:rsidRDefault="00941F0E" w:rsidP="00941F0E">
      <w:r>
        <w:t>The nonclinical evaluator noted that:</w:t>
      </w:r>
    </w:p>
    <w:p w14:paraId="0E188157" w14:textId="34226C51" w:rsidR="00941F0E" w:rsidRDefault="00941F0E" w:rsidP="00941F0E">
      <w:pPr>
        <w:pStyle w:val="ListBullet"/>
      </w:pPr>
      <w:r>
        <w:t xml:space="preserve">The pharmacokinetics results from animal models support the clinical use of weekly or monthly sustained release forms of </w:t>
      </w:r>
      <w:proofErr w:type="spellStart"/>
      <w:r w:rsidR="005D68B7" w:rsidRPr="007843FB">
        <w:t>Buvidal</w:t>
      </w:r>
      <w:proofErr w:type="spellEnd"/>
      <w:r>
        <w:t>.</w:t>
      </w:r>
    </w:p>
    <w:p w14:paraId="5D269B34" w14:textId="60F58931" w:rsidR="00941F0E" w:rsidRDefault="00B05D65" w:rsidP="00941F0E">
      <w:pPr>
        <w:pStyle w:val="ListBullet"/>
      </w:pPr>
      <w:r>
        <w:t xml:space="preserve">The repeat </w:t>
      </w:r>
      <w:r w:rsidR="00941F0E">
        <w:t xml:space="preserve">dose toxicity studies in dogs gave no indication that </w:t>
      </w:r>
      <w:proofErr w:type="spellStart"/>
      <w:r w:rsidR="005D68B7" w:rsidRPr="007843FB">
        <w:t>Buvidal</w:t>
      </w:r>
      <w:proofErr w:type="spellEnd"/>
      <w:r w:rsidR="00941F0E">
        <w:t xml:space="preserve"> could induce systemic toxicity in patients.</w:t>
      </w:r>
    </w:p>
    <w:p w14:paraId="2D1D075D" w14:textId="32B755C8" w:rsidR="00941F0E" w:rsidRPr="000B06F1" w:rsidRDefault="00941F0E" w:rsidP="00941F0E">
      <w:pPr>
        <w:pStyle w:val="ListBullet"/>
      </w:pPr>
      <w:r>
        <w:t xml:space="preserve">The proposed placement of </w:t>
      </w:r>
      <w:proofErr w:type="spellStart"/>
      <w:r w:rsidR="005D68B7" w:rsidRPr="007843FB">
        <w:t>Buvidal</w:t>
      </w:r>
      <w:proofErr w:type="spellEnd"/>
      <w:r w:rsidR="005D68B7">
        <w:t xml:space="preserve"> in Pregnancy Category C,</w:t>
      </w:r>
      <w:r w:rsidR="005D68B7">
        <w:fldChar w:fldCharType="begin"/>
      </w:r>
      <w:r w:rsidR="005D68B7">
        <w:instrText xml:space="preserve"> NOTEREF _Ref18483144 \f \h </w:instrText>
      </w:r>
      <w:r w:rsidR="005D68B7">
        <w:fldChar w:fldCharType="separate"/>
      </w:r>
      <w:r w:rsidR="005D68B7" w:rsidRPr="005D68B7">
        <w:rPr>
          <w:rStyle w:val="FootnoteReference"/>
        </w:rPr>
        <w:t>9</w:t>
      </w:r>
      <w:r w:rsidR="005D68B7">
        <w:fldChar w:fldCharType="end"/>
      </w:r>
      <w:r>
        <w:t xml:space="preserve"> is considered appropriate.</w:t>
      </w:r>
    </w:p>
    <w:p w14:paraId="4DB03CB9" w14:textId="77777777" w:rsidR="008E7846" w:rsidRDefault="008E7846" w:rsidP="008E7846">
      <w:pPr>
        <w:pStyle w:val="Heading3"/>
      </w:pPr>
      <w:bookmarkStart w:id="137" w:name="_Toc24539943"/>
      <w:r>
        <w:t>Clinical</w:t>
      </w:r>
      <w:bookmarkEnd w:id="135"/>
      <w:bookmarkEnd w:id="136"/>
      <w:bookmarkEnd w:id="137"/>
    </w:p>
    <w:p w14:paraId="7D16590C" w14:textId="34A23762" w:rsidR="00941F0E" w:rsidRPr="00B6160C" w:rsidRDefault="00941F0E" w:rsidP="00941F0E">
      <w:bookmarkStart w:id="138" w:name="_Toc314842514"/>
      <w:r>
        <w:t xml:space="preserve">Both the q1w and q4w formulations of depot </w:t>
      </w:r>
      <w:r w:rsidR="00246DC3">
        <w:t>buprenorphine</w:t>
      </w:r>
      <w:r>
        <w:t xml:space="preserve"> proposed for registration were referred to as </w:t>
      </w:r>
      <w:r w:rsidRPr="00B6160C">
        <w:t>CAM2038</w:t>
      </w:r>
      <w:r>
        <w:t xml:space="preserve"> in the submission and in the </w:t>
      </w:r>
      <w:r w:rsidR="005D68B7">
        <w:t>clinical evaluation report</w:t>
      </w:r>
      <w:r>
        <w:t>.</w:t>
      </w:r>
    </w:p>
    <w:p w14:paraId="5D632B60" w14:textId="77777777" w:rsidR="00941F0E" w:rsidRPr="00941F0E" w:rsidRDefault="00941F0E" w:rsidP="00941F0E">
      <w:pPr>
        <w:pStyle w:val="Heading4"/>
      </w:pPr>
      <w:r w:rsidRPr="00941F0E">
        <w:t>Pharmacology</w:t>
      </w:r>
    </w:p>
    <w:p w14:paraId="4083F231" w14:textId="05EFFE6E" w:rsidR="00941F0E" w:rsidRPr="00941F0E" w:rsidRDefault="00941F0E" w:rsidP="00941F0E">
      <w:pPr>
        <w:pStyle w:val="Heading5"/>
      </w:pPr>
      <w:r w:rsidRPr="00941F0E">
        <w:t>Pharmacokinetics</w:t>
      </w:r>
    </w:p>
    <w:p w14:paraId="20EF265B" w14:textId="14511E8F" w:rsidR="00941F0E" w:rsidRDefault="00941F0E" w:rsidP="00941F0E">
      <w:r>
        <w:t xml:space="preserve">The PK studies concentrated on the rate and extent of absorption and relative bioavailability of </w:t>
      </w:r>
      <w:r w:rsidR="00246DC3">
        <w:t>buprenorphine</w:t>
      </w:r>
      <w:r>
        <w:t xml:space="preserve"> from the</w:t>
      </w:r>
      <w:r w:rsidR="005D68B7">
        <w:t xml:space="preserve"> proposed CAM2038 formulations.</w:t>
      </w:r>
      <w:r>
        <w:t xml:space="preserve"> Comparisons were made to the PK of </w:t>
      </w:r>
      <w:r w:rsidR="00246DC3">
        <w:t>buprenorphine</w:t>
      </w:r>
      <w:r>
        <w:t xml:space="preserve"> on dosing with sublingual </w:t>
      </w:r>
      <w:r w:rsidR="00246DC3">
        <w:t>buprenorphine</w:t>
      </w:r>
      <w:r w:rsidR="005D68B7">
        <w:t xml:space="preserve">. </w:t>
      </w:r>
      <w:r>
        <w:t>This approach is accepted given PK parameters for distribution, metabolism and elimination are not dependent on the dose presentation and buprenorphine is currently approved in sublingual d</w:t>
      </w:r>
      <w:r w:rsidR="005D68B7">
        <w:t>ose forms for this indication.</w:t>
      </w:r>
    </w:p>
    <w:p w14:paraId="119F41C2" w14:textId="643942D6" w:rsidR="00941F0E" w:rsidRDefault="00941F0E" w:rsidP="00941F0E">
      <w:r>
        <w:lastRenderedPageBreak/>
        <w:t>There are two different formulatio</w:t>
      </w:r>
      <w:r w:rsidR="005D68B7">
        <w:t xml:space="preserve">ns. </w:t>
      </w:r>
      <w:r>
        <w:t>The q1w formulation contains ethanol anhydrous (dehydrated alcohol) as a solvent, viscosity modifier and</w:t>
      </w:r>
      <w:r w:rsidR="005D68B7">
        <w:t xml:space="preserve"> the q4w formulation contains </w:t>
      </w:r>
      <w:r w:rsidR="005D68B7" w:rsidRPr="00A01EAF">
        <w:rPr>
          <w:i/>
        </w:rPr>
        <w:t>N</w:t>
      </w:r>
      <w:r w:rsidR="005D68B7">
        <w:noBreakHyphen/>
      </w:r>
      <w:r>
        <w:t xml:space="preserve">methyl-2-pyrrolidone as </w:t>
      </w:r>
      <w:r w:rsidR="005D68B7">
        <w:t>a solvent, viscosity modifier.</w:t>
      </w:r>
    </w:p>
    <w:p w14:paraId="25AA7B02" w14:textId="5CC64F99" w:rsidR="00941F0E" w:rsidRDefault="00941F0E" w:rsidP="00941F0E">
      <w:r>
        <w:t>Both formulations also include soybean phosphatidylcholine and</w:t>
      </w:r>
      <w:r w:rsidR="005D68B7">
        <w:t xml:space="preserve"> glycerol </w:t>
      </w:r>
      <w:proofErr w:type="spellStart"/>
      <w:r w:rsidR="005D68B7">
        <w:t>dioleate</w:t>
      </w:r>
      <w:proofErr w:type="spellEnd"/>
      <w:r w:rsidR="005D68B7">
        <w:t xml:space="preserve"> as structure </w:t>
      </w:r>
      <w:r>
        <w:t>forming lipid excipients. Both formulations are intended to be administered via SC injection into the buttoc</w:t>
      </w:r>
      <w:r w:rsidR="005D68B7">
        <w:t>k, thigh, abdomen or upper arm.</w:t>
      </w:r>
      <w:r>
        <w:t xml:space="preserve"> All clinical studies were conducted using the formulations proposed for marketi</w:t>
      </w:r>
      <w:r w:rsidR="005D68B7">
        <w:t>ng.</w:t>
      </w:r>
    </w:p>
    <w:p w14:paraId="183DB2CD" w14:textId="443319D2" w:rsidR="00885CE7" w:rsidRDefault="005D68B7" w:rsidP="00941F0E">
      <w:r>
        <w:t>B</w:t>
      </w:r>
      <w:r w:rsidR="00246DC3">
        <w:t>uprenorphine</w:t>
      </w:r>
      <w:r w:rsidR="00941F0E">
        <w:t xml:space="preserve"> is </w:t>
      </w:r>
      <w:proofErr w:type="spellStart"/>
      <w:r w:rsidR="00941F0E">
        <w:t>oxidatively</w:t>
      </w:r>
      <w:proofErr w:type="spellEnd"/>
      <w:r w:rsidR="00941F0E">
        <w:t xml:space="preserve"> metabolised by </w:t>
      </w:r>
      <w:r>
        <w:t>14-N-dealkylation to N</w:t>
      </w:r>
      <w:r>
        <w:noBreakHyphen/>
      </w:r>
      <w:proofErr w:type="spellStart"/>
      <w:r>
        <w:t>desalkyl</w:t>
      </w:r>
      <w:proofErr w:type="spellEnd"/>
      <w:r>
        <w:noBreakHyphen/>
      </w:r>
      <w:r w:rsidR="00941F0E">
        <w:t xml:space="preserve">buprenorphine (also known as </w:t>
      </w:r>
      <w:proofErr w:type="spellStart"/>
      <w:r w:rsidR="00941F0E">
        <w:t>norbuprenorphine</w:t>
      </w:r>
      <w:proofErr w:type="spellEnd"/>
      <w:r w:rsidR="00941F0E">
        <w:t xml:space="preserve">) via cytochrome P450 CYP3A4 and by </w:t>
      </w:r>
      <w:proofErr w:type="spellStart"/>
      <w:r w:rsidR="00941F0E">
        <w:t>glucuroconjungation</w:t>
      </w:r>
      <w:proofErr w:type="spellEnd"/>
      <w:r w:rsidR="00941F0E">
        <w:t xml:space="preserve"> of the parent molecule and the </w:t>
      </w:r>
      <w:proofErr w:type="spellStart"/>
      <w:r w:rsidR="00941F0E">
        <w:t>dealkylated</w:t>
      </w:r>
      <w:proofErr w:type="spellEnd"/>
      <w:r w:rsidR="00941F0E">
        <w:t xml:space="preserve"> metabolite. </w:t>
      </w:r>
      <w:proofErr w:type="spellStart"/>
      <w:r w:rsidR="00941F0E">
        <w:t>Norbuprenorphine</w:t>
      </w:r>
      <w:proofErr w:type="spellEnd"/>
      <w:r w:rsidR="00941F0E">
        <w:t xml:space="preserve"> is a μ</w:t>
      </w:r>
      <w:r w:rsidR="009B7D36">
        <w:t xml:space="preserve"> </w:t>
      </w:r>
      <w:r w:rsidR="00941F0E">
        <w:t>opioid agonist with weak intrinsic activity</w:t>
      </w:r>
      <w:r w:rsidR="00885CE7">
        <w:t>.</w:t>
      </w:r>
    </w:p>
    <w:p w14:paraId="1201295C" w14:textId="5236AC8A" w:rsidR="00941F0E" w:rsidRDefault="00941F0E" w:rsidP="00941F0E">
      <w:r>
        <w:t xml:space="preserve">PK data were presented for both </w:t>
      </w:r>
      <w:r w:rsidR="00246DC3">
        <w:t>buprenorphine</w:t>
      </w:r>
      <w:r>
        <w:t xml:space="preserve"> and </w:t>
      </w:r>
      <w:proofErr w:type="spellStart"/>
      <w:r>
        <w:t>nor</w:t>
      </w:r>
      <w:r w:rsidR="00246DC3">
        <w:t>buprenorphine</w:t>
      </w:r>
      <w:proofErr w:type="spellEnd"/>
      <w:r>
        <w:t xml:space="preserve">. Healthy volunteers given CAM2038 in the PK studies were under naltrexone blockage. For the CAM2038 q1w presentation single doses ranging from 8 to 32 mg in healthy volunteers had a median </w:t>
      </w:r>
      <w:r w:rsidR="00246DC3">
        <w:t>buprenorphine</w:t>
      </w:r>
      <w:r>
        <w:t xml:space="preserve"> </w:t>
      </w:r>
      <w:proofErr w:type="spellStart"/>
      <w:r>
        <w:t>T</w:t>
      </w:r>
      <w:r w:rsidRPr="005D68B7">
        <w:rPr>
          <w:vertAlign w:val="subscript"/>
        </w:rPr>
        <w:t>max</w:t>
      </w:r>
      <w:proofErr w:type="spellEnd"/>
      <w:r>
        <w:t xml:space="preserve"> of ~</w:t>
      </w:r>
      <w:r w:rsidR="005D68B7">
        <w:t xml:space="preserve"> </w:t>
      </w:r>
      <w:r>
        <w:t>23</w:t>
      </w:r>
      <w:r w:rsidR="005D68B7">
        <w:t xml:space="preserve"> </w:t>
      </w:r>
      <w:r>
        <w:t xml:space="preserve">hours and median </w:t>
      </w:r>
      <w:proofErr w:type="spellStart"/>
      <w:r>
        <w:t>nor</w:t>
      </w:r>
      <w:r w:rsidR="00246DC3">
        <w:t>buprenorphine</w:t>
      </w:r>
      <w:proofErr w:type="spellEnd"/>
      <w:r>
        <w:t xml:space="preserve"> </w:t>
      </w:r>
      <w:proofErr w:type="spellStart"/>
      <w:r>
        <w:t>T</w:t>
      </w:r>
      <w:r w:rsidRPr="005D68B7">
        <w:rPr>
          <w:vertAlign w:val="subscript"/>
        </w:rPr>
        <w:t>max</w:t>
      </w:r>
      <w:proofErr w:type="spellEnd"/>
      <w:r w:rsidR="00A01EAF">
        <w:t xml:space="preserve"> from</w:t>
      </w:r>
      <w:r>
        <w:t xml:space="preserve"> </w:t>
      </w:r>
      <w:r w:rsidR="00207210">
        <w:t>71.3</w:t>
      </w:r>
      <w:r w:rsidR="00A01EAF">
        <w:t xml:space="preserve"> </w:t>
      </w:r>
      <w:r>
        <w:t>to 84.6</w:t>
      </w:r>
      <w:r w:rsidR="005D68B7">
        <w:t xml:space="preserve"> hours across the dose groups. </w:t>
      </w:r>
      <w:r>
        <w:t xml:space="preserve">For the CAM2038 q4w formulation single doses from 64 to 192 mg were given to healthy volunteers. Median </w:t>
      </w:r>
      <w:proofErr w:type="spellStart"/>
      <w:r>
        <w:t>T</w:t>
      </w:r>
      <w:r w:rsidRPr="005D68B7">
        <w:rPr>
          <w:vertAlign w:val="subscript"/>
        </w:rPr>
        <w:t>max</w:t>
      </w:r>
      <w:proofErr w:type="spellEnd"/>
      <w:r>
        <w:t xml:space="preserve"> for sublingual </w:t>
      </w:r>
      <w:r w:rsidR="00246DC3">
        <w:t>buprenorphine</w:t>
      </w:r>
      <w:r>
        <w:t xml:space="preserve"> ranged from 4 to 10 hours and median </w:t>
      </w:r>
      <w:proofErr w:type="spellStart"/>
      <w:r>
        <w:t>T</w:t>
      </w:r>
      <w:r w:rsidRPr="005D68B7">
        <w:rPr>
          <w:vertAlign w:val="subscript"/>
        </w:rPr>
        <w:t>max</w:t>
      </w:r>
      <w:proofErr w:type="spellEnd"/>
      <w:r>
        <w:t xml:space="preserve"> for </w:t>
      </w:r>
      <w:proofErr w:type="spellStart"/>
      <w:r>
        <w:t>nor</w:t>
      </w:r>
      <w:r w:rsidR="00246DC3">
        <w:t>buprenorphine</w:t>
      </w:r>
      <w:proofErr w:type="spellEnd"/>
      <w:r>
        <w:t xml:space="preserve"> from 73.7 to 107.6 ho</w:t>
      </w:r>
      <w:r w:rsidR="005D68B7">
        <w:t>urs across the dose groups.</w:t>
      </w:r>
    </w:p>
    <w:p w14:paraId="519C5B74" w14:textId="71369F18" w:rsidR="00885CE7" w:rsidRDefault="00941F0E" w:rsidP="00941F0E">
      <w:r>
        <w:t xml:space="preserve">Relative bioavailability was assessed by comparison between the </w:t>
      </w:r>
      <w:r w:rsidRPr="00B6160C">
        <w:t>CAM2038</w:t>
      </w:r>
      <w:r>
        <w:t xml:space="preserve"> q1w and q4w formulations and by comparison with multiple doses of sublingual </w:t>
      </w:r>
      <w:r w:rsidR="00246DC3">
        <w:t>buprenorphine</w:t>
      </w:r>
      <w:r>
        <w:t xml:space="preserve">, and to IV </w:t>
      </w:r>
      <w:r w:rsidR="00246DC3">
        <w:t>buprenorphine</w:t>
      </w:r>
      <w:r w:rsidR="005D68B7">
        <w:t xml:space="preserve">. </w:t>
      </w:r>
      <w:r>
        <w:t xml:space="preserve">The relative </w:t>
      </w:r>
      <w:r w:rsidR="005D68B7">
        <w:t>BA</w:t>
      </w:r>
      <w:r>
        <w:t xml:space="preserve"> of one 64 mg dose of the</w:t>
      </w:r>
      <w:r w:rsidRPr="00B6160C">
        <w:t xml:space="preserve"> CAM2038</w:t>
      </w:r>
      <w:r>
        <w:t xml:space="preserve"> q4w formulation</w:t>
      </w:r>
      <w:r w:rsidR="005D68B7">
        <w:t xml:space="preserve"> was 96% (90%</w:t>
      </w:r>
      <w:r w:rsidR="00B9336F">
        <w:t xml:space="preserve"> </w:t>
      </w:r>
      <w:r w:rsidR="005D68B7">
        <w:t>CI 81.6 to 115</w:t>
      </w:r>
      <w:r w:rsidR="005550BE">
        <w:t>%</w:t>
      </w:r>
      <w:r w:rsidR="005D68B7">
        <w:t>) compared to after the fourth</w:t>
      </w:r>
      <w:r>
        <w:t xml:space="preserve"> dose of 16 mg</w:t>
      </w:r>
      <w:r w:rsidR="005D68B7">
        <w:t xml:space="preserve"> q1w</w:t>
      </w:r>
      <w:r>
        <w:t xml:space="preserve"> </w:t>
      </w:r>
      <w:r w:rsidRPr="00B6160C">
        <w:t>CAM2038</w:t>
      </w:r>
      <w:r w:rsidR="005D68B7">
        <w:t xml:space="preserve"> formulation</w:t>
      </w:r>
      <w:r>
        <w:t xml:space="preserve">. At higher doses bioequivalence between the two formulations of </w:t>
      </w:r>
      <w:r w:rsidRPr="00B6160C">
        <w:t>CAM2038</w:t>
      </w:r>
      <w:r>
        <w:t xml:space="preserve"> decreased and compared to the dose </w:t>
      </w:r>
      <w:r w:rsidR="005D68B7">
        <w:t>normalised AUC following the fourth</w:t>
      </w:r>
      <w:r>
        <w:t xml:space="preserve"> dose of </w:t>
      </w:r>
      <w:r w:rsidRPr="00B6160C">
        <w:t>CAM2038</w:t>
      </w:r>
      <w:r>
        <w:t xml:space="preserve"> q1w the </w:t>
      </w:r>
      <w:r w:rsidR="005D68B7">
        <w:t>geometric mean ratios (</w:t>
      </w:r>
      <w:r>
        <w:t>GMRs</w:t>
      </w:r>
      <w:r w:rsidR="005D68B7">
        <w:t xml:space="preserve">; </w:t>
      </w:r>
      <w:r>
        <w:t xml:space="preserve">90% CIs) for the 96 mg </w:t>
      </w:r>
      <w:r w:rsidRPr="00E10106">
        <w:t>CAM2038</w:t>
      </w:r>
      <w:r>
        <w:t xml:space="preserve"> q4w, 128 mg </w:t>
      </w:r>
      <w:r w:rsidRPr="00E10106">
        <w:t>CAM2038</w:t>
      </w:r>
      <w:r>
        <w:t xml:space="preserve"> q4w and 192 mg </w:t>
      </w:r>
      <w:r w:rsidRPr="00E10106">
        <w:t>CAM2038</w:t>
      </w:r>
      <w:r w:rsidR="005D68B7">
        <w:t xml:space="preserve"> qw4 doses were 87.3% (74.8 to 101.9%), 90.9% (78.2 to 105.5%) and 77.75 (65.3 to</w:t>
      </w:r>
      <w:r>
        <w:t xml:space="preserve"> 92.3%), respectively</w:t>
      </w:r>
      <w:r w:rsidR="00885CE7">
        <w:t>.</w:t>
      </w:r>
    </w:p>
    <w:p w14:paraId="766D5158" w14:textId="0853DBFA" w:rsidR="00941F0E" w:rsidRDefault="00941F0E" w:rsidP="00941F0E">
      <w:r>
        <w:t xml:space="preserve">Relative BA in comparison with multiple doses of </w:t>
      </w:r>
      <w:r w:rsidR="00246DC3">
        <w:t>buprenorphine</w:t>
      </w:r>
      <w:r>
        <w:t xml:space="preserve"> sublingual tablets, given at comparable total doses, was much higher for both formulations of </w:t>
      </w:r>
      <w:r w:rsidRPr="00E10106">
        <w:t>CAM2038</w:t>
      </w:r>
      <w:r w:rsidR="005D68B7">
        <w:t xml:space="preserve">. </w:t>
      </w:r>
      <w:r>
        <w:t xml:space="preserve">For the </w:t>
      </w:r>
      <w:r w:rsidRPr="00E10106">
        <w:t>CAM2038</w:t>
      </w:r>
      <w:r>
        <w:t xml:space="preserve"> q1w formulation the geometric means of relative BA were 611%, 872% and 840% fo</w:t>
      </w:r>
      <w:r w:rsidR="005D68B7">
        <w:t xml:space="preserve">r the comparisons of 8 mg SC versus 8 mg SL, 16 mg SC versus 16 mg SL and 32 mg SC versus 24 mg SL, respectively. </w:t>
      </w:r>
      <w:r>
        <w:t xml:space="preserve">For the </w:t>
      </w:r>
      <w:r w:rsidRPr="00E10106">
        <w:t>CAM2038</w:t>
      </w:r>
      <w:r>
        <w:t xml:space="preserve"> q4w formulation relative BA were 570.3% and 746.7% for</w:t>
      </w:r>
      <w:r w:rsidR="005D68B7">
        <w:t xml:space="preserve"> the comparisons of 64 mg SC versus the seventh dose of 8 mg SL and 128 mg SC versus the seventh</w:t>
      </w:r>
      <w:r>
        <w:t xml:space="preserve"> dose of 24 mg SL, respectively. Relative BA of the </w:t>
      </w:r>
      <w:r w:rsidRPr="00E10106">
        <w:t>CAM2038</w:t>
      </w:r>
      <w:r>
        <w:t xml:space="preserve"> q4w formulation at steady state was not performed</w:t>
      </w:r>
      <w:r w:rsidR="005D68B7">
        <w:t>,</w:t>
      </w:r>
      <w:r>
        <w:t xml:space="preserve"> however PK results at steady state are shown in</w:t>
      </w:r>
      <w:r w:rsidR="000E6DDE">
        <w:t xml:space="preserve"> </w:t>
      </w:r>
      <w:r w:rsidR="000E6DDE">
        <w:fldChar w:fldCharType="begin"/>
      </w:r>
      <w:r w:rsidR="000E6DDE">
        <w:instrText xml:space="preserve"> REF _Ref18501485 \h </w:instrText>
      </w:r>
      <w:r w:rsidR="000E6DDE">
        <w:fldChar w:fldCharType="separate"/>
      </w:r>
      <w:r w:rsidR="00B05D65">
        <w:t xml:space="preserve">Table </w:t>
      </w:r>
      <w:r w:rsidR="00B05D65">
        <w:rPr>
          <w:noProof/>
        </w:rPr>
        <w:t>13</w:t>
      </w:r>
      <w:r w:rsidR="000E6DDE">
        <w:fldChar w:fldCharType="end"/>
      </w:r>
      <w:r>
        <w:t xml:space="preserve">. </w:t>
      </w:r>
      <w:r w:rsidR="000E6DDE">
        <w:t>The</w:t>
      </w:r>
      <w:r>
        <w:t xml:space="preserve"> table shows similar PK results for the 32 mg </w:t>
      </w:r>
      <w:r w:rsidRPr="00E10106">
        <w:t>CAM2038</w:t>
      </w:r>
      <w:r w:rsidR="000E6DDE">
        <w:t xml:space="preserve"> q4w</w:t>
      </w:r>
      <w:r>
        <w:t xml:space="preserve"> dose at steady state when given at different injection sites (buttock, abdomen, thigh and upper arm). The clinical evaluator has noted that in the US PI for </w:t>
      </w:r>
      <w:r w:rsidR="00246DC3">
        <w:t>buprenorphine</w:t>
      </w:r>
      <w:r>
        <w:t xml:space="preserve"> sublingual tablets that doses higher t</w:t>
      </w:r>
      <w:r w:rsidR="000E6DDE">
        <w:t xml:space="preserve">han 24 mg are not recommended. </w:t>
      </w:r>
      <w:r>
        <w:t>The Australian PI for these products states that a dose of 32 mg daily should not be exceeded.</w:t>
      </w:r>
    </w:p>
    <w:p w14:paraId="00FA1B06" w14:textId="1E1D0FBA" w:rsidR="005D68B7" w:rsidRPr="000E6DDE" w:rsidRDefault="000E6DDE" w:rsidP="000E6DDE">
      <w:pPr>
        <w:pStyle w:val="TableTitle"/>
      </w:pPr>
      <w:bookmarkStart w:id="139" w:name="_Ref18501485"/>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83041C">
        <w:rPr>
          <w:noProof/>
        </w:rPr>
        <w:t>13</w:t>
      </w:r>
      <w:r w:rsidR="00553795">
        <w:rPr>
          <w:noProof/>
        </w:rPr>
        <w:fldChar w:fldCharType="end"/>
      </w:r>
      <w:bookmarkEnd w:id="139"/>
      <w:r w:rsidR="005D68B7">
        <w:t xml:space="preserve">: </w:t>
      </w:r>
      <w:r w:rsidRPr="000E6DDE">
        <w:t>Study HS-15-549 p</w:t>
      </w:r>
      <w:r>
        <w:t>harmacokinetic parameters of buprenorphine after steady-state SC</w:t>
      </w:r>
      <w:r w:rsidRPr="000E6DDE">
        <w:t xml:space="preserve"> administration of 32 mg CAM2038 q1w at different injection sites</w:t>
      </w:r>
    </w:p>
    <w:p w14:paraId="63429CEF" w14:textId="53D41D56" w:rsidR="005D68B7" w:rsidRDefault="005D68B7" w:rsidP="00941F0E">
      <w:r>
        <w:rPr>
          <w:noProof/>
          <w:lang w:eastAsia="en-AU"/>
        </w:rPr>
        <w:drawing>
          <wp:inline distT="0" distB="0" distL="0" distR="0" wp14:anchorId="0B764689" wp14:editId="75B10F70">
            <wp:extent cx="4228185" cy="4758200"/>
            <wp:effectExtent l="0" t="0" r="1270" b="4445"/>
            <wp:docPr id="5" name="Picture 5" descr="Study HS-15-549 pharmacokinetic parameters of buprenorphine after steady-state SC administration of 32 mg CAM2038 q1w at different inje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1925" cy="4762409"/>
                    </a:xfrm>
                    <a:prstGeom prst="rect">
                      <a:avLst/>
                    </a:prstGeom>
                  </pic:spPr>
                </pic:pic>
              </a:graphicData>
            </a:graphic>
          </wp:inline>
        </w:drawing>
      </w:r>
    </w:p>
    <w:p w14:paraId="5AD6A5DD" w14:textId="54651C5E" w:rsidR="00941F0E" w:rsidRDefault="00941F0E" w:rsidP="00941F0E">
      <w:r>
        <w:t xml:space="preserve">Dose proportionality between the range 8 mg to 32 mg for the </w:t>
      </w:r>
      <w:r w:rsidRPr="00E10106">
        <w:t>CAM2038</w:t>
      </w:r>
      <w:r>
        <w:t xml:space="preserve"> q1w formulation and between the range 64 mg to 192 mg for the q4</w:t>
      </w:r>
      <w:r w:rsidR="000E6DDE">
        <w:t>w formulation was demonstrated.</w:t>
      </w:r>
      <w:r>
        <w:t xml:space="preserve"> There was no evidence of dose dumping with either formulation after single or multiple dosing within those dose ranges. On multiple dosing the accumulation ratio after 4 weekly doses of 16 mg of the q1w formulation was 1.4 for </w:t>
      </w:r>
      <w:proofErr w:type="spellStart"/>
      <w:r>
        <w:t>C</w:t>
      </w:r>
      <w:r w:rsidRPr="000E6DDE">
        <w:rPr>
          <w:vertAlign w:val="subscript"/>
        </w:rPr>
        <w:t>max</w:t>
      </w:r>
      <w:proofErr w:type="spellEnd"/>
      <w:r>
        <w:t xml:space="preserve"> and AUC</w:t>
      </w:r>
      <w:r w:rsidRPr="00EB379C">
        <w:rPr>
          <w:vertAlign w:val="subscript"/>
        </w:rPr>
        <w:t>0-7d</w:t>
      </w:r>
      <w:r>
        <w:t>. Steady state con</w:t>
      </w:r>
      <w:r w:rsidR="000E6DDE">
        <w:t>ditions were achieved by the fourth</w:t>
      </w:r>
      <w:r>
        <w:t xml:space="preserve"> dose of 16 mg CAM2038 q1w.</w:t>
      </w:r>
    </w:p>
    <w:p w14:paraId="77A5E3BA" w14:textId="5F70722F" w:rsidR="00941F0E" w:rsidRPr="00941F0E" w:rsidRDefault="000E6DDE" w:rsidP="00941F0E">
      <w:pPr>
        <w:pStyle w:val="Heading5"/>
      </w:pPr>
      <w:r>
        <w:t xml:space="preserve">Population </w:t>
      </w:r>
      <w:r w:rsidR="009B7D36">
        <w:t>pharmacokinetic</w:t>
      </w:r>
      <w:r>
        <w:t xml:space="preserve"> data</w:t>
      </w:r>
    </w:p>
    <w:p w14:paraId="321E4B9C" w14:textId="73E1DD15" w:rsidR="00885CE7" w:rsidRDefault="00941F0E" w:rsidP="00941F0E">
      <w:r>
        <w:t xml:space="preserve">Overall, 236 subjects (median age 35 years), treated with either SL </w:t>
      </w:r>
      <w:r w:rsidR="00246DC3">
        <w:t>buprenorphine</w:t>
      </w:r>
      <w:r>
        <w:t>, SC CAM2038 q1w or CAM2038 q4w contributed 10</w:t>
      </w:r>
      <w:r w:rsidR="000E6DDE">
        <w:t>,</w:t>
      </w:r>
      <w:r>
        <w:t xml:space="preserve">260 </w:t>
      </w:r>
      <w:r w:rsidR="00246DC3">
        <w:t>buprenorphine</w:t>
      </w:r>
      <w:r>
        <w:t xml:space="preserve"> observations and were included in the pop</w:t>
      </w:r>
      <w:r w:rsidR="000E6DDE">
        <w:t xml:space="preserve">ulation </w:t>
      </w:r>
      <w:r>
        <w:t>PK analysis. The results indicated that a thr</w:t>
      </w:r>
      <w:r w:rsidR="00A94884">
        <w:t>ee</w:t>
      </w:r>
      <w:r w:rsidR="00A94884">
        <w:noBreakHyphen/>
      </w:r>
      <w:r w:rsidR="00B05D65">
        <w:t xml:space="preserve">compartment model with first </w:t>
      </w:r>
      <w:r>
        <w:t xml:space="preserve">order elimination described the disposition of </w:t>
      </w:r>
      <w:r w:rsidR="00246DC3">
        <w:t>buprenorphine</w:t>
      </w:r>
      <w:r w:rsidR="00A51F27">
        <w:t xml:space="preserve"> (</w:t>
      </w:r>
      <w:r w:rsidR="00A51F27">
        <w:fldChar w:fldCharType="begin"/>
      </w:r>
      <w:r w:rsidR="00A51F27">
        <w:instrText xml:space="preserve"> REF _Ref18562944 \h </w:instrText>
      </w:r>
      <w:r w:rsidR="00A51F27">
        <w:fldChar w:fldCharType="separate"/>
      </w:r>
      <w:r w:rsidR="00B05D65">
        <w:t xml:space="preserve">Table </w:t>
      </w:r>
      <w:r w:rsidR="00B05D65">
        <w:rPr>
          <w:noProof/>
        </w:rPr>
        <w:t>14</w:t>
      </w:r>
      <w:r w:rsidR="00A51F27">
        <w:fldChar w:fldCharType="end"/>
      </w:r>
      <w:r w:rsidR="00A51F27">
        <w:t>)</w:t>
      </w:r>
      <w:r w:rsidR="00885CE7">
        <w:t>.</w:t>
      </w:r>
    </w:p>
    <w:p w14:paraId="2478FB34" w14:textId="2E677E92" w:rsidR="000E6DDE" w:rsidRDefault="000E6DDE" w:rsidP="000E6DDE">
      <w:pPr>
        <w:pStyle w:val="TableTitle"/>
      </w:pPr>
      <w:bookmarkStart w:id="140" w:name="_Ref18562944"/>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14</w:t>
      </w:r>
      <w:r w:rsidR="00553795">
        <w:rPr>
          <w:noProof/>
        </w:rPr>
        <w:fldChar w:fldCharType="end"/>
      </w:r>
      <w:bookmarkEnd w:id="140"/>
      <w:r>
        <w:t xml:space="preserve">: </w:t>
      </w:r>
      <w:r w:rsidRPr="00F96D02">
        <w:t xml:space="preserve">Study REP-2-CAM-2038-PMX-1 </w:t>
      </w:r>
      <w:r>
        <w:t>p</w:t>
      </w:r>
      <w:r w:rsidRPr="00F96D02">
        <w:t xml:space="preserve">arameter estimates of the final </w:t>
      </w:r>
      <w:r>
        <w:t>buprenorphine</w:t>
      </w:r>
      <w:r w:rsidRPr="00F96D02">
        <w:t xml:space="preserve"> model</w:t>
      </w:r>
    </w:p>
    <w:p w14:paraId="4843B4C8" w14:textId="0C571BB4" w:rsidR="000E6DDE" w:rsidRDefault="000E6DDE" w:rsidP="00941F0E">
      <w:r>
        <w:rPr>
          <w:noProof/>
          <w:lang w:eastAsia="en-AU"/>
        </w:rPr>
        <w:drawing>
          <wp:inline distT="0" distB="0" distL="0" distR="0" wp14:anchorId="04CE822A" wp14:editId="2C1BD011">
            <wp:extent cx="4425696" cy="4806127"/>
            <wp:effectExtent l="0" t="0" r="0" b="0"/>
            <wp:docPr id="6" name="Picture 6" descr="Study REP-2-CAM-2038-PMX-1 parameter estimates of the final buprenorphin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7223" cy="4807785"/>
                    </a:xfrm>
                    <a:prstGeom prst="rect">
                      <a:avLst/>
                    </a:prstGeom>
                  </pic:spPr>
                </pic:pic>
              </a:graphicData>
            </a:graphic>
          </wp:inline>
        </w:drawing>
      </w:r>
    </w:p>
    <w:p w14:paraId="4F476F05" w14:textId="77E3005B" w:rsidR="00941F0E" w:rsidRPr="00632554" w:rsidRDefault="00941F0E" w:rsidP="00A51F27">
      <w:r>
        <w:t xml:space="preserve">Overall, the model predicted that </w:t>
      </w:r>
      <w:r w:rsidR="00246DC3">
        <w:t>buprenorphine</w:t>
      </w:r>
      <w:r>
        <w:t xml:space="preserve"> clearance increased with body weight, from 44.7 L/h at 50 kg to 59.5 L/h at 100 kg, and decrease</w:t>
      </w:r>
      <w:r w:rsidR="000E6DDE">
        <w:t>d with age, from 60.8 L/h at 18 </w:t>
      </w:r>
      <w:r>
        <w:t>years to 45.1 L/h at 65 years.</w:t>
      </w:r>
    </w:p>
    <w:p w14:paraId="027AFA5F" w14:textId="6CC295C6" w:rsidR="00941F0E" w:rsidRPr="00941F0E" w:rsidRDefault="00941F0E" w:rsidP="00941F0E">
      <w:pPr>
        <w:pStyle w:val="Heading5"/>
      </w:pPr>
      <w:r w:rsidRPr="00941F0E">
        <w:t>Pharmacodynamics</w:t>
      </w:r>
    </w:p>
    <w:p w14:paraId="42E3C309" w14:textId="66C2EB39" w:rsidR="00885CE7" w:rsidRDefault="000E6DDE" w:rsidP="00941F0E">
      <w:r>
        <w:t>B</w:t>
      </w:r>
      <w:r w:rsidR="00246DC3">
        <w:t>uprenorphine</w:t>
      </w:r>
      <w:r w:rsidR="00941F0E">
        <w:t xml:space="preserve"> is an opioid partial agonist/antagonist that binds to the μ</w:t>
      </w:r>
      <w:r w:rsidR="009B7D36">
        <w:t xml:space="preserve"> </w:t>
      </w:r>
      <w:r w:rsidR="00941F0E">
        <w:t>and ƙ opioid receptors of the brain. It acts as a partial agonist at the μ</w:t>
      </w:r>
      <w:r w:rsidR="009B7D36">
        <w:t xml:space="preserve"> </w:t>
      </w:r>
      <w:r w:rsidR="00941F0E">
        <w:t>opiate receptor with high affinity to this receptor type and as an antagonist at the ƙ receptor</w:t>
      </w:r>
      <w:r w:rsidR="00885CE7">
        <w:t>.</w:t>
      </w:r>
    </w:p>
    <w:p w14:paraId="36BE16C6" w14:textId="5AFE1EA7" w:rsidR="00941F0E" w:rsidRDefault="00941F0E" w:rsidP="00941F0E">
      <w:r>
        <w:t xml:space="preserve">PD effects were evaluated by scores on the </w:t>
      </w:r>
      <w:r w:rsidR="000E6DDE">
        <w:t>SOWS</w:t>
      </w:r>
      <w:r>
        <w:t xml:space="preserve"> and the </w:t>
      </w:r>
      <w:r w:rsidR="000E6DDE">
        <w:t>COWS</w:t>
      </w:r>
      <w:r>
        <w:t xml:space="preserve">. </w:t>
      </w:r>
      <w:r w:rsidRPr="00AD7A69">
        <w:t>PD effects were also evaluated by measuring the time from dosing with trial medication until dosing with rescue medication</w:t>
      </w:r>
      <w:r>
        <w:t>. These effects will be described in the efficacy secti</w:t>
      </w:r>
      <w:r w:rsidR="006516F7">
        <w:t>on of this request for advice.</w:t>
      </w:r>
    </w:p>
    <w:p w14:paraId="357C86FE" w14:textId="644A0AB7" w:rsidR="00941F0E" w:rsidRDefault="00941F0E" w:rsidP="00941F0E">
      <w:r>
        <w:t>The relationship between drug concentration and PD e</w:t>
      </w:r>
      <w:r w:rsidR="005B2AC5">
        <w:t>ffects was examined in Study HS</w:t>
      </w:r>
      <w:r w:rsidR="005B2AC5">
        <w:noBreakHyphen/>
      </w:r>
      <w:r>
        <w:t>13-</w:t>
      </w:r>
      <w:r w:rsidR="005550BE">
        <w:t>478</w:t>
      </w:r>
      <w:r>
        <w:t xml:space="preserve">. The results of that study suggest that </w:t>
      </w:r>
      <w:r w:rsidR="00246DC3">
        <w:t>buprenorphine</w:t>
      </w:r>
      <w:r>
        <w:t xml:space="preserve"> concentrations as low as ~</w:t>
      </w:r>
      <w:r w:rsidR="005B2AC5">
        <w:t xml:space="preserve"> </w:t>
      </w:r>
      <w:r>
        <w:t>1.20 ng/mL were sufficient to block the subject</w:t>
      </w:r>
      <w:r w:rsidR="005B2AC5">
        <w:t>ive effects of hydromorphone 18 mg given via IM injection</w:t>
      </w:r>
      <w:r>
        <w:t xml:space="preserve">. </w:t>
      </w:r>
      <w:r w:rsidRPr="00AD7A69">
        <w:t xml:space="preserve">Higher plasma </w:t>
      </w:r>
      <w:r w:rsidR="00246DC3">
        <w:t>buprenorphine</w:t>
      </w:r>
      <w:r w:rsidRPr="00AD7A69">
        <w:t xml:space="preserve"> concentrations were not associated with appreciable increases in blockade</w:t>
      </w:r>
      <w:r>
        <w:t>.</w:t>
      </w:r>
    </w:p>
    <w:p w14:paraId="055388AE" w14:textId="13782CF8" w:rsidR="00941F0E" w:rsidRDefault="00941F0E" w:rsidP="00941F0E">
      <w:r>
        <w:t>Drug interactions were not separatel</w:t>
      </w:r>
      <w:r w:rsidR="005B2AC5">
        <w:t>y assessed in this submission. B</w:t>
      </w:r>
      <w:r w:rsidR="00246DC3">
        <w:t>uprenorphine</w:t>
      </w:r>
      <w:r>
        <w:t xml:space="preserve"> is known</w:t>
      </w:r>
      <w:r w:rsidR="005B2AC5">
        <w:t xml:space="preserve"> to be metabolised via CYP3A4. </w:t>
      </w:r>
      <w:r>
        <w:t xml:space="preserve">For orally administered </w:t>
      </w:r>
      <w:r w:rsidR="00246DC3">
        <w:t>buprenorphine</w:t>
      </w:r>
      <w:r>
        <w:t xml:space="preserve"> there is ex</w:t>
      </w:r>
      <w:r w:rsidR="005B2AC5">
        <w:t xml:space="preserve">tensive first pass metabolism. </w:t>
      </w:r>
      <w:r>
        <w:t xml:space="preserve">This does not apply to the SL and SC dose forms however the same drug interactions present for SL </w:t>
      </w:r>
      <w:r w:rsidR="00246DC3">
        <w:t>buprenorphine</w:t>
      </w:r>
      <w:r>
        <w:t xml:space="preserve"> would be present for CAM2038. </w:t>
      </w:r>
      <w:r>
        <w:lastRenderedPageBreak/>
        <w:t>These include: CYP3A4 inhibitors and inducers as well a</w:t>
      </w:r>
      <w:r w:rsidR="005B2AC5">
        <w:t>s drugs interacting through non</w:t>
      </w:r>
      <w:r w:rsidR="005B2AC5">
        <w:noBreakHyphen/>
      </w:r>
      <w:r>
        <w:t>PK mechanisms such as alcohol, benzodiazepines, other CNS depressants including opioids and opioid antagonists.</w:t>
      </w:r>
    </w:p>
    <w:p w14:paraId="70AF3CD8" w14:textId="5F6BB0FD" w:rsidR="00941F0E" w:rsidRDefault="00941F0E" w:rsidP="00941F0E">
      <w:r>
        <w:t xml:space="preserve">The effect of both formulations of CAM2038 on QT interval was assessed in the efficacy studies and no relationship between </w:t>
      </w:r>
      <w:r w:rsidR="00246DC3">
        <w:t>buprenorphine</w:t>
      </w:r>
      <w:r>
        <w:t xml:space="preserve"> plasma concentr</w:t>
      </w:r>
      <w:r w:rsidR="005B2AC5">
        <w:t xml:space="preserve">ation and </w:t>
      </w:r>
      <w:proofErr w:type="spellStart"/>
      <w:r w:rsidR="005B2AC5">
        <w:t>QTcF</w:t>
      </w:r>
      <w:proofErr w:type="spellEnd"/>
      <w:r w:rsidR="005B2AC5">
        <w:t xml:space="preserve"> was observed.</w:t>
      </w:r>
    </w:p>
    <w:p w14:paraId="0DBE2F2C" w14:textId="77777777" w:rsidR="00941F0E" w:rsidRDefault="00941F0E" w:rsidP="00BD45C5">
      <w:pPr>
        <w:pStyle w:val="Heading4"/>
      </w:pPr>
      <w:r w:rsidRPr="00892800">
        <w:t>Efficacy</w:t>
      </w:r>
    </w:p>
    <w:p w14:paraId="54245278" w14:textId="1BE32390" w:rsidR="00941F0E" w:rsidRPr="00A51F27" w:rsidRDefault="00941F0E" w:rsidP="00BD45C5">
      <w:r w:rsidRPr="00A51F27">
        <w:t xml:space="preserve">Dose finding has been based on comparative bioavailability with SL </w:t>
      </w:r>
      <w:r w:rsidR="00246DC3" w:rsidRPr="00A51F27">
        <w:t>buprenorphine</w:t>
      </w:r>
      <w:r w:rsidR="00D62CF9" w:rsidRPr="00A51F27">
        <w:t>.</w:t>
      </w:r>
      <w:r w:rsidRPr="00A51F27">
        <w:t xml:space="preserve"> The evaluator has noted that:</w:t>
      </w:r>
    </w:p>
    <w:p w14:paraId="107CBB3C" w14:textId="516F4703" w:rsidR="00885CE7" w:rsidRPr="00A51F27" w:rsidRDefault="00941F0E" w:rsidP="00BD45C5">
      <w:pPr>
        <w:pStyle w:val="ListBullet"/>
      </w:pPr>
      <w:r w:rsidRPr="00A51F27">
        <w:t xml:space="preserve">In the USPI for </w:t>
      </w:r>
      <w:proofErr w:type="spellStart"/>
      <w:r w:rsidR="00D62CF9" w:rsidRPr="00A51F27">
        <w:t>Subutex</w:t>
      </w:r>
      <w:proofErr w:type="spellEnd"/>
      <w:r w:rsidRPr="00A51F27">
        <w:t xml:space="preserve"> SL tablets the recommended target dosage of </w:t>
      </w:r>
      <w:proofErr w:type="spellStart"/>
      <w:r w:rsidR="00D62CF9" w:rsidRPr="00A51F27">
        <w:t>Subutex</w:t>
      </w:r>
      <w:proofErr w:type="spellEnd"/>
      <w:r w:rsidRPr="00A51F27">
        <w:t xml:space="preserve"> is 16 mg as a single daily dose and that dosages higher than 24 mg have not been demonstrated to provide any clinical advantage</w:t>
      </w:r>
      <w:r w:rsidR="00885CE7" w:rsidRPr="00A51F27">
        <w:t>;</w:t>
      </w:r>
    </w:p>
    <w:p w14:paraId="1C27A705" w14:textId="669674FB" w:rsidR="00941F0E" w:rsidRPr="00A51F27" w:rsidRDefault="00660449" w:rsidP="00BD45C5">
      <w:pPr>
        <w:pStyle w:val="ListBullet"/>
      </w:pPr>
      <w:r w:rsidRPr="00A51F27">
        <w:t>T</w:t>
      </w:r>
      <w:r w:rsidR="00941F0E" w:rsidRPr="00A51F27">
        <w:t xml:space="preserve">he BA of CAM2038 is higher than that of SL </w:t>
      </w:r>
      <w:r w:rsidR="00246DC3" w:rsidRPr="00A51F27">
        <w:t>buprenorphine</w:t>
      </w:r>
      <w:r w:rsidRPr="00A51F27">
        <w:t>;</w:t>
      </w:r>
    </w:p>
    <w:p w14:paraId="383F2377" w14:textId="68949106" w:rsidR="00941F0E" w:rsidRPr="00A51F27" w:rsidRDefault="00941F0E" w:rsidP="00BD45C5">
      <w:pPr>
        <w:pStyle w:val="ListBullet"/>
      </w:pPr>
      <w:r w:rsidRPr="00A51F27">
        <w:t>Four times the highest weekly proposed dose of 32 mg is equivalen</w:t>
      </w:r>
      <w:r w:rsidR="00A51F27">
        <w:t>t to 128 mg dose of CAM2038 q4w;</w:t>
      </w:r>
    </w:p>
    <w:p w14:paraId="69404BFE" w14:textId="7FAB864A" w:rsidR="00885CE7" w:rsidRPr="00A51F27" w:rsidRDefault="00941F0E" w:rsidP="00BD45C5">
      <w:pPr>
        <w:pStyle w:val="ListBullet"/>
      </w:pPr>
      <w:r w:rsidRPr="00A51F27">
        <w:t xml:space="preserve"> It is unclear why the 160 mg dose of CAM2038 q4w dose is needed or being considered</w:t>
      </w:r>
      <w:r w:rsidR="00A51F27">
        <w:t>;</w:t>
      </w:r>
    </w:p>
    <w:p w14:paraId="4634F118" w14:textId="38ADE037" w:rsidR="00A21008" w:rsidRPr="00A51F27" w:rsidRDefault="00A21008" w:rsidP="00A21008">
      <w:pPr>
        <w:pStyle w:val="ListBullet"/>
      </w:pPr>
      <w:r w:rsidRPr="00A51F27">
        <w:t xml:space="preserve">Additionally, although 16 mg daily was the recommended maintenance dose in the USA for SL buprenorphine, both the Australian PI and the EU </w:t>
      </w:r>
      <w:r>
        <w:t>summary of product characteristics (</w:t>
      </w:r>
      <w:r w:rsidRPr="00A51F27">
        <w:t>SPC</w:t>
      </w:r>
      <w:r>
        <w:t>)</w:t>
      </w:r>
      <w:r w:rsidRPr="00A51F27">
        <w:t xml:space="preserve"> for </w:t>
      </w:r>
      <w:proofErr w:type="spellStart"/>
      <w:r w:rsidRPr="00A51F27">
        <w:t>Subutex</w:t>
      </w:r>
      <w:proofErr w:type="spellEnd"/>
      <w:r w:rsidRPr="00A51F27">
        <w:t xml:space="preserve"> allow for </w:t>
      </w:r>
      <w:r>
        <w:t xml:space="preserve">a maximum daily dose of 32 mg. </w:t>
      </w:r>
      <w:r w:rsidRPr="00A51F27">
        <w:t>This is consistent with the proposed exposure anticipated b</w:t>
      </w:r>
      <w:r>
        <w:t>y the 128 mg q4w CAM2038 dose.</w:t>
      </w:r>
    </w:p>
    <w:p w14:paraId="1E76090F" w14:textId="1018E9DD" w:rsidR="00885CE7" w:rsidRDefault="00A51F27" w:rsidP="00BD45C5">
      <w:r>
        <w:t>There were two Phase III</w:t>
      </w:r>
      <w:r w:rsidR="00941F0E">
        <w:t xml:space="preserve"> studies in subjects with opioid d</w:t>
      </w:r>
      <w:r>
        <w:t xml:space="preserve">ependence. The pivotal study was </w:t>
      </w:r>
      <w:r w:rsidR="009B7D36">
        <w:t xml:space="preserve">Study </w:t>
      </w:r>
      <w:r>
        <w:t>HS-11-421. The second Phase III</w:t>
      </w:r>
      <w:r w:rsidR="00941F0E">
        <w:t xml:space="preserve"> study, </w:t>
      </w:r>
      <w:r w:rsidR="009B7D36">
        <w:t xml:space="preserve">Study </w:t>
      </w:r>
      <w:r w:rsidR="00941F0E">
        <w:t xml:space="preserve">HS-14-499, </w:t>
      </w:r>
      <w:r>
        <w:t xml:space="preserve">was an open </w:t>
      </w:r>
      <w:r w:rsidR="00941F0E">
        <w:t xml:space="preserve">label study to assess efficacy over 48 weeks in subjects with opioid dependence who were previously taking SL </w:t>
      </w:r>
      <w:r w:rsidR="00246DC3">
        <w:t>buprenorphine</w:t>
      </w:r>
      <w:r>
        <w:t>/</w:t>
      </w:r>
      <w:r w:rsidR="00941F0E">
        <w:t xml:space="preserve">naloxone or who were actively seeking </w:t>
      </w:r>
      <w:r w:rsidR="00246DC3">
        <w:t>buprenorphine</w:t>
      </w:r>
      <w:r w:rsidR="00941F0E">
        <w:t xml:space="preserve"> treatment before enrolment</w:t>
      </w:r>
      <w:r w:rsidR="00885CE7">
        <w:t>.</w:t>
      </w:r>
    </w:p>
    <w:p w14:paraId="2BEB108F" w14:textId="6EFEEE97" w:rsidR="00A51F27" w:rsidRPr="00A51F27" w:rsidRDefault="00A51F27" w:rsidP="00A51F27">
      <w:pPr>
        <w:pStyle w:val="Heading5"/>
      </w:pPr>
      <w:r w:rsidRPr="00A51F27">
        <w:t>Study HS-11-421</w:t>
      </w:r>
    </w:p>
    <w:p w14:paraId="31464364" w14:textId="78B1F3CD" w:rsidR="00885CE7" w:rsidRDefault="00941F0E" w:rsidP="00BD45C5">
      <w:r w:rsidRPr="00A51F27">
        <w:t>Study HS-11-421</w:t>
      </w:r>
      <w:r w:rsidRPr="00B65740">
        <w:t xml:space="preserve"> </w:t>
      </w:r>
      <w:r>
        <w:t xml:space="preserve">was a </w:t>
      </w:r>
      <w:r w:rsidR="00A51F27">
        <w:t xml:space="preserve">randomised, double blind, active </w:t>
      </w:r>
      <w:r w:rsidRPr="00B65740">
        <w:t xml:space="preserve">controlled study of </w:t>
      </w:r>
      <w:r w:rsidR="00A51F27">
        <w:t xml:space="preserve">the efficacy and safety of once weekly and once </w:t>
      </w:r>
      <w:r w:rsidRPr="00B65740">
        <w:t xml:space="preserve">monthly depot </w:t>
      </w:r>
      <w:r w:rsidR="00246DC3">
        <w:t>buprenorphine</w:t>
      </w:r>
      <w:r w:rsidRPr="00B65740">
        <w:t xml:space="preserve"> (CAM2038) in adult outpatients with opioid use disorder. The primary objective was to demonstrate the non-inferiority of CAM2038 compared with SL </w:t>
      </w:r>
      <w:r w:rsidR="00246DC3">
        <w:t>buprenorphine</w:t>
      </w:r>
      <w:r w:rsidR="00A51F27">
        <w:t>/naloxone</w:t>
      </w:r>
      <w:r w:rsidRPr="00B65740">
        <w:t xml:space="preserve"> assessed by urine samples negative for illicit opioids.</w:t>
      </w:r>
      <w:r>
        <w:t xml:space="preserve"> The study was condu</w:t>
      </w:r>
      <w:r w:rsidR="00A51F27">
        <w:t xml:space="preserve">cted in two parts. </w:t>
      </w:r>
      <w:r>
        <w:t>The study involved 4 phas</w:t>
      </w:r>
      <w:r w:rsidR="00A51F27">
        <w:t>es: Screening (3 weeks), Phase 1 (12 treatment weeks), Phase 2 (12</w:t>
      </w:r>
      <w:r w:rsidR="009B7D36">
        <w:t> </w:t>
      </w:r>
      <w:r w:rsidR="00A51F27">
        <w:t xml:space="preserve">treatment weeks), and Follow up </w:t>
      </w:r>
      <w:r>
        <w:t>(4 weeks)</w:t>
      </w:r>
      <w:r w:rsidR="00885CE7">
        <w:t>.</w:t>
      </w:r>
    </w:p>
    <w:p w14:paraId="6F941CFB" w14:textId="257689AD" w:rsidR="00941F0E" w:rsidRDefault="00941F0E" w:rsidP="00BD45C5">
      <w:r>
        <w:t>Eligible participants were adults seeking treatment for moderate to severe opioid dependence (</w:t>
      </w:r>
      <w:r w:rsidR="00A51F27">
        <w:rPr>
          <w:rFonts w:eastAsia="TimesNewRomanPSMT" w:cstheme="minorHAnsi"/>
        </w:rPr>
        <w:t>Diagnostic and Statistical Manual of Mental Disorders, Fifth Edition</w:t>
      </w:r>
      <w:r w:rsidR="00A51F27">
        <w:t xml:space="preserve">; </w:t>
      </w:r>
      <w:r>
        <w:t xml:space="preserve">DSM-5), considered good candidates for treatment with </w:t>
      </w:r>
      <w:r w:rsidR="00246DC3">
        <w:t>buprenorphine</w:t>
      </w:r>
      <w:r>
        <w:t xml:space="preserve"> based on medical/psychosocial history, and willing to use reliable contraception. Those receiving </w:t>
      </w:r>
      <w:proofErr w:type="spellStart"/>
      <w:r>
        <w:t>pharmacotherapeutic</w:t>
      </w:r>
      <w:proofErr w:type="spellEnd"/>
      <w:r>
        <w:t xml:space="preserve"> treatment for opioid dependence within 60 days or any investigational drug within 4 week</w:t>
      </w:r>
      <w:r w:rsidR="00A51F27">
        <w:t xml:space="preserve">s, or having a current moderate to </w:t>
      </w:r>
      <w:r>
        <w:t>severe substance use disorder other than opioids, caffeine, or nicotine considered primary or co-primary with opioid dependence were excluded.</w:t>
      </w:r>
    </w:p>
    <w:p w14:paraId="2028B83B" w14:textId="06EA938A" w:rsidR="00941F0E" w:rsidRDefault="00941F0E" w:rsidP="00BD45C5">
      <w:r>
        <w:t>Investigator</w:t>
      </w:r>
      <w:r w:rsidR="00A51F27">
        <w:t xml:space="preserve">s were instructed to use manual </w:t>
      </w:r>
      <w:r>
        <w:t>guided psychosocial counselling for study subjects throughout the study period. All study drug</w:t>
      </w:r>
      <w:r w:rsidR="00A51F27">
        <w:t xml:space="preserve">s were administered in a double blind, double </w:t>
      </w:r>
      <w:r>
        <w:t xml:space="preserve">dummy manner, such that subjects received both SL tablets (active </w:t>
      </w:r>
      <w:r w:rsidR="00246DC3">
        <w:t>buprenorphine</w:t>
      </w:r>
      <w:r w:rsidR="00A51F27">
        <w:t>/naloxone</w:t>
      </w:r>
      <w:r>
        <w:t xml:space="preserve"> or placebo) and SC injections (active CAM2038 q1w/CAM2038 q4w or placebo) throughout the study (with the exception of Days 2 and 3, when only SL </w:t>
      </w:r>
      <w:r w:rsidR="00246DC3">
        <w:lastRenderedPageBreak/>
        <w:t>buprenorphine</w:t>
      </w:r>
      <w:r w:rsidR="00A51F27">
        <w:t>/naloxone</w:t>
      </w:r>
      <w:r>
        <w:t xml:space="preserve"> or SL placebo tablets were given). CAM2038/placebo were injected in the buttocks, abdomen, thighs, and the upper back of the arms and the injection sites were rotated such that no injections were administered into the same site.</w:t>
      </w:r>
    </w:p>
    <w:p w14:paraId="55306A67" w14:textId="723A1089" w:rsidR="00885CE7" w:rsidRDefault="00941F0E" w:rsidP="00BD45C5">
      <w:r>
        <w:t xml:space="preserve">The primary efficacy endpoints were defined </w:t>
      </w:r>
      <w:r w:rsidRPr="00934513">
        <w:rPr>
          <w:i/>
        </w:rPr>
        <w:t>a priori</w:t>
      </w:r>
      <w:r>
        <w:t xml:space="preserve"> with the EMA and the FDA. The primary efficacy endpoint for the EMA analyses was the percentage of urine samples negative for illicit opioids based on the 18 urine s</w:t>
      </w:r>
      <w:r w:rsidR="00A51F27">
        <w:t>amples obtained during the post</w:t>
      </w:r>
      <w:r w:rsidR="00A51F27">
        <w:noBreakHyphen/>
      </w:r>
      <w:r>
        <w:t xml:space="preserve">induction period (treatment Weeks 1 to 24, corresponding to sample Weeks 2 to 25). In this analysis, if urine toxicology </w:t>
      </w:r>
      <w:r w:rsidR="00A51F27">
        <w:t>samples were missing due to, for example,</w:t>
      </w:r>
      <w:r>
        <w:t xml:space="preserve"> missing scheduled visit, early discontinuation of the study, or patient’s refusal to provide the samples (scheduled or random samples), the results were imputed as positive</w:t>
      </w:r>
      <w:r w:rsidR="00885CE7">
        <w:t>.</w:t>
      </w:r>
    </w:p>
    <w:p w14:paraId="3D6EC962" w14:textId="72FFDC21" w:rsidR="00941F0E" w:rsidRDefault="00941F0E" w:rsidP="00BD45C5">
      <w:r>
        <w:t>The primary endpoint was analysed by an analysis of variance (ANOVA) model with treatment effects. Non-inferiority was to be conclude</w:t>
      </w:r>
      <w:r w:rsidR="00A51F27">
        <w:t xml:space="preserve">d if the lower limit of the two </w:t>
      </w:r>
      <w:r>
        <w:t xml:space="preserve">sided 95% CI for the difference (CAM2038-SL </w:t>
      </w:r>
      <w:r w:rsidR="00246DC3">
        <w:t>buprenorphine</w:t>
      </w:r>
      <w:r w:rsidR="00A51F27">
        <w:t>/naloxone</w:t>
      </w:r>
      <w:r>
        <w:t>) in percent negative</w:t>
      </w:r>
      <w:r w:rsidR="00A51F27">
        <w:t xml:space="preserve"> urine samples was above -11%. </w:t>
      </w:r>
      <w:r>
        <w:t>The justification of non-inferiority margin for the percent urine samples negative for illicit opioids was based</w:t>
      </w:r>
      <w:r w:rsidR="00A51F27">
        <w:t xml:space="preserve"> on the outcome of a comparison</w:t>
      </w:r>
      <w:r>
        <w:t xml:space="preserve"> between SL </w:t>
      </w:r>
      <w:r w:rsidR="00246DC3">
        <w:t>buprenorphine</w:t>
      </w:r>
      <w:r w:rsidR="00A51F27">
        <w:t>/naloxone</w:t>
      </w:r>
      <w:r>
        <w:t xml:space="preserve"> (n</w:t>
      </w:r>
      <w:r w:rsidR="00A51F27">
        <w:t xml:space="preserve"> </w:t>
      </w:r>
      <w:r>
        <w:t>=</w:t>
      </w:r>
      <w:r w:rsidR="00A51F27">
        <w:t xml:space="preserve"> </w:t>
      </w:r>
      <w:r>
        <w:t>119) and placebo (n</w:t>
      </w:r>
      <w:r w:rsidR="00A51F27">
        <w:t xml:space="preserve"> </w:t>
      </w:r>
      <w:r>
        <w:t>=</w:t>
      </w:r>
      <w:r w:rsidR="00A51F27">
        <w:t xml:space="preserve"> </w:t>
      </w:r>
      <w:r>
        <w:t xml:space="preserve">54). The reported values from the ANOVA in that study were 35.1% for SL </w:t>
      </w:r>
      <w:r w:rsidR="00246DC3">
        <w:t>buprenorphine</w:t>
      </w:r>
      <w:r w:rsidR="00A51F27">
        <w:t>/naloxone</w:t>
      </w:r>
      <w:r>
        <w:t xml:space="preserve"> and 14.4% for placebo (difference: 20.7%; p</w:t>
      </w:r>
      <w:r w:rsidR="00A51F27">
        <w:t xml:space="preserve"> </w:t>
      </w:r>
      <w:r>
        <w:t>&lt;</w:t>
      </w:r>
      <w:r w:rsidR="00A51F27">
        <w:t xml:space="preserve"> </w:t>
      </w:r>
      <w:r>
        <w:t>0.001). This was translated to an approximate 95% CI for the difference of 11.5% to 29.9%. The power calculation was based on the lower limit of this CI as a non-inferiority margin, rounded to -11%.</w:t>
      </w:r>
    </w:p>
    <w:p w14:paraId="5E3097E1" w14:textId="2F47082A" w:rsidR="00885CE7" w:rsidRDefault="00941F0E" w:rsidP="00BD45C5">
      <w:r>
        <w:t xml:space="preserve">The primary efficacy endpoint for the FDA analyses was </w:t>
      </w:r>
      <w:r w:rsidR="00A51F27">
        <w:t>RR</w:t>
      </w:r>
      <w:r>
        <w:t>, where a responder for Phase</w:t>
      </w:r>
      <w:r w:rsidR="009B7D36">
        <w:t> </w:t>
      </w:r>
      <w:r>
        <w:t>1 of the study was defined as a patient with no evidence of use of illicit opioids at sample Week 13 and no evidence of illicit opioid use (including self-reported use) for at least 2 out of the 3 weeks from sample Weeks 10 to 12. To be a responder for Phase 2, the subjects had to have no evidence of illicit opioid use at sample Week 25 and for 4 out of the 5 additional assessments in Phase 2. To be a responder for the study, the patient had to be a responder for both Phases 1 and 2</w:t>
      </w:r>
      <w:r w:rsidR="00885CE7">
        <w:t>.</w:t>
      </w:r>
    </w:p>
    <w:p w14:paraId="093F866E" w14:textId="21B457D1" w:rsidR="00941F0E" w:rsidRDefault="00941F0E" w:rsidP="00BD45C5">
      <w:r>
        <w:t>Evidence of illicit opioid use within a window was defined as a positive urine toxicology result or self-reported illicit opioid use within that window, including the results from random urine toxicology samples (in Phase 2) obtained within that window. Regardless of whether the urine toxicology result was positive or negative,</w:t>
      </w:r>
      <w:r w:rsidR="00A51F27">
        <w:t xml:space="preserve"> if illicit opioid use was self</w:t>
      </w:r>
      <w:r w:rsidR="00A51F27">
        <w:noBreakHyphen/>
      </w:r>
      <w:r>
        <w:t>reported, there was evidence of illicit opioid use. Non-inferiority was conclude</w:t>
      </w:r>
      <w:r w:rsidR="00A51F27">
        <w:t xml:space="preserve">d if the lower limit of the two </w:t>
      </w:r>
      <w:r>
        <w:t>sided 95% CI for the difference between the probabilities of response (Active-Control) was above –10%.</w:t>
      </w:r>
    </w:p>
    <w:p w14:paraId="6514EED1" w14:textId="79497445" w:rsidR="00941F0E" w:rsidRDefault="00941F0E" w:rsidP="00BD45C5">
      <w:r>
        <w:t>Endpoints which were tested in the following hierarchical</w:t>
      </w:r>
      <w:r w:rsidR="00A51F27">
        <w:t xml:space="preserve"> order (for the EMA analysis):</w:t>
      </w:r>
    </w:p>
    <w:p w14:paraId="6F1AC55A" w14:textId="77777777" w:rsidR="00941F0E" w:rsidRPr="00A51F27" w:rsidRDefault="00941F0E" w:rsidP="00A51F27">
      <w:pPr>
        <w:pStyle w:val="Numberbullet0"/>
        <w:numPr>
          <w:ilvl w:val="0"/>
          <w:numId w:val="36"/>
        </w:numPr>
      </w:pPr>
      <w:r w:rsidRPr="00A51F27">
        <w:t>Non-inferiority with a margin of 11% point for percentage of urine samples negative for illicit opioids;</w:t>
      </w:r>
    </w:p>
    <w:p w14:paraId="71121071" w14:textId="77777777" w:rsidR="00941F0E" w:rsidRPr="00A51F27" w:rsidRDefault="00941F0E" w:rsidP="00A51F27">
      <w:pPr>
        <w:pStyle w:val="Numberbullet0"/>
        <w:numPr>
          <w:ilvl w:val="0"/>
          <w:numId w:val="36"/>
        </w:numPr>
      </w:pPr>
      <w:r w:rsidRPr="00A51F27">
        <w:t>Superiority for Cumulative Distribution Function (CDF) of percentage urine samples negative for illicit opioids collected for treatment Weeks 4 to Week 24;</w:t>
      </w:r>
    </w:p>
    <w:p w14:paraId="5D0DBDE7" w14:textId="77777777" w:rsidR="00941F0E" w:rsidRPr="00A51F27" w:rsidRDefault="00941F0E" w:rsidP="00A51F27">
      <w:pPr>
        <w:pStyle w:val="Numberbullet0"/>
        <w:numPr>
          <w:ilvl w:val="0"/>
          <w:numId w:val="36"/>
        </w:numPr>
      </w:pPr>
      <w:r w:rsidRPr="00A51F27">
        <w:t>Non-inferiority with a margin of 15% for retention rate;</w:t>
      </w:r>
    </w:p>
    <w:p w14:paraId="733B34AF" w14:textId="5DD1BA73" w:rsidR="00941F0E" w:rsidRPr="00A51F27" w:rsidRDefault="00941F0E" w:rsidP="00A51F27">
      <w:pPr>
        <w:pStyle w:val="Numberbullet0"/>
        <w:numPr>
          <w:ilvl w:val="0"/>
          <w:numId w:val="36"/>
        </w:numPr>
      </w:pPr>
      <w:r w:rsidRPr="00A51F27">
        <w:t xml:space="preserve">Superiority of CAM2038 over SL </w:t>
      </w:r>
      <w:r w:rsidR="00246DC3" w:rsidRPr="00A51F27">
        <w:t>buprenorphine</w:t>
      </w:r>
      <w:r w:rsidR="00A51F27">
        <w:t>/naloxone</w:t>
      </w:r>
      <w:r w:rsidRPr="00A51F27">
        <w:t xml:space="preserve"> for time to sus</w:t>
      </w:r>
      <w:r w:rsidR="00BD45C5" w:rsidRPr="00A51F27">
        <w:t xml:space="preserve">tained abstinence after 8 weeks </w:t>
      </w:r>
      <w:r w:rsidRPr="00A51F27">
        <w:t>of treatment;</w:t>
      </w:r>
    </w:p>
    <w:p w14:paraId="416121BF" w14:textId="22B59CCF" w:rsidR="00941F0E" w:rsidRPr="00A51F27" w:rsidRDefault="00941F0E" w:rsidP="00A51F27">
      <w:pPr>
        <w:pStyle w:val="Numberbullet0"/>
        <w:numPr>
          <w:ilvl w:val="0"/>
          <w:numId w:val="36"/>
        </w:numPr>
      </w:pPr>
      <w:r w:rsidRPr="00A51F27">
        <w:t xml:space="preserve">Superiority of CAM2038 over SL </w:t>
      </w:r>
      <w:r w:rsidR="00246DC3" w:rsidRPr="00A51F27">
        <w:t>buprenorphine</w:t>
      </w:r>
      <w:r w:rsidR="00A51F27">
        <w:t>/naloxone</w:t>
      </w:r>
      <w:r w:rsidRPr="00A51F27">
        <w:t xml:space="preserve"> for retention rate.</w:t>
      </w:r>
    </w:p>
    <w:p w14:paraId="4658861C" w14:textId="77777777" w:rsidR="00941F0E" w:rsidRDefault="00941F0E" w:rsidP="00BD45C5">
      <w:r>
        <w:t>A comparison was eligible for non-inferiority or superiority testing only if all previous comparisons, if any, were successfully established at the two-sided 5% significance level.</w:t>
      </w:r>
    </w:p>
    <w:p w14:paraId="4D1DC553" w14:textId="77777777" w:rsidR="00941F0E" w:rsidRDefault="00941F0E" w:rsidP="00BD45C5">
      <w:r>
        <w:t>Following screening and confirmation of eligibility, subjects were randomised to one of two treatment groups in a 1:1 ratio:</w:t>
      </w:r>
    </w:p>
    <w:p w14:paraId="0A27E33D" w14:textId="476FCD43" w:rsidR="00941F0E" w:rsidRDefault="00941F0E" w:rsidP="00BD45C5">
      <w:pPr>
        <w:pStyle w:val="ListBullet"/>
      </w:pPr>
      <w:r>
        <w:t xml:space="preserve">Group 1: SL </w:t>
      </w:r>
      <w:r w:rsidR="00246DC3">
        <w:t>buprenorphine</w:t>
      </w:r>
      <w:r w:rsidR="00A51F27">
        <w:t>/naloxone</w:t>
      </w:r>
      <w:r>
        <w:t xml:space="preserve"> tablets + placebo SC injections</w:t>
      </w:r>
      <w:r w:rsidR="00A51F27">
        <w:t>.</w:t>
      </w:r>
    </w:p>
    <w:p w14:paraId="374545B8" w14:textId="51E92AAF" w:rsidR="00941F0E" w:rsidRDefault="00941F0E" w:rsidP="00BD45C5">
      <w:pPr>
        <w:pStyle w:val="ListBullet"/>
      </w:pPr>
      <w:r>
        <w:lastRenderedPageBreak/>
        <w:t>Group 2: CAM2038 SC injections + SL placebo tablets</w:t>
      </w:r>
      <w:r w:rsidR="00A51F27">
        <w:t>.</w:t>
      </w:r>
    </w:p>
    <w:p w14:paraId="77908446" w14:textId="6FA60871" w:rsidR="00941F0E" w:rsidRDefault="00941F0E" w:rsidP="00BD45C5">
      <w:r>
        <w:t>Active treatment doses were titrated to patient response dur</w:t>
      </w:r>
      <w:r w:rsidR="00A51F27">
        <w:t xml:space="preserve">ing the first week of Phase 1. </w:t>
      </w:r>
      <w:r>
        <w:t xml:space="preserve">Subjects received final SL </w:t>
      </w:r>
      <w:r w:rsidR="00246DC3">
        <w:t>buprenorphine</w:t>
      </w:r>
      <w:r w:rsidR="00A51F27">
        <w:t>/naloxone</w:t>
      </w:r>
      <w:r>
        <w:t xml:space="preserve"> doses in the range of 16 to 24 mg daily or a total weekly dose of CAM2038 q1w between 24 and 32 m</w:t>
      </w:r>
      <w:r w:rsidR="00A51F27">
        <w:t>g (administered in aliquots on Days 1, 4 and if needed D</w:t>
      </w:r>
      <w:r>
        <w:t xml:space="preserve">ays 5 to 7). Subsequently on Day 8 the SL </w:t>
      </w:r>
      <w:r w:rsidR="00246DC3">
        <w:t>buprenorphine</w:t>
      </w:r>
      <w:r w:rsidR="00A51F27">
        <w:t>/naloxone</w:t>
      </w:r>
      <w:r>
        <w:t xml:space="preserve"> dose could b</w:t>
      </w:r>
      <w:r w:rsidR="00A51F27">
        <w:t xml:space="preserve">e titrated down to 8 mg daily. </w:t>
      </w:r>
      <w:r>
        <w:t xml:space="preserve">Subjects had weekly visits after the titration in Week 1 of Phase 1. </w:t>
      </w:r>
      <w:r w:rsidR="009C3945">
        <w:t xml:space="preserve">Titration down to 16 mg was permitted for CAM2038 q1w in Phase 1. </w:t>
      </w:r>
      <w:r>
        <w:t xml:space="preserve">Subjects were given a 7 day take home supply of SL </w:t>
      </w:r>
      <w:r w:rsidR="00246DC3">
        <w:t>buprenorphine</w:t>
      </w:r>
      <w:r w:rsidR="00A51F27">
        <w:t>/naloxone or placebo.</w:t>
      </w:r>
    </w:p>
    <w:p w14:paraId="7E2F68DD" w14:textId="54F6F277" w:rsidR="00941F0E" w:rsidRDefault="00941F0E" w:rsidP="00BD45C5">
      <w:r>
        <w:t>In Phase 1</w:t>
      </w:r>
      <w:r w:rsidR="00A51F27">
        <w:t>,</w:t>
      </w:r>
      <w:r>
        <w:t xml:space="preserve"> subjects underwent initiation of </w:t>
      </w:r>
      <w:r w:rsidR="00246DC3">
        <w:t>buprenorphine</w:t>
      </w:r>
      <w:r>
        <w:t xml:space="preserve"> treatment with either SL </w:t>
      </w:r>
      <w:r w:rsidR="00246DC3">
        <w:t>buprenorphine</w:t>
      </w:r>
      <w:r w:rsidR="00A51F27">
        <w:t>/naloxone</w:t>
      </w:r>
      <w:r>
        <w:t xml:space="preserve"> or SC CAM2038 q1w for </w:t>
      </w:r>
      <w:r w:rsidR="00A51F27">
        <w:t xml:space="preserve">12 weeks. </w:t>
      </w:r>
      <w:r>
        <w:t xml:space="preserve">Subjects then commenced Phase 2 in which those randomised to SL </w:t>
      </w:r>
      <w:r w:rsidR="00246DC3">
        <w:t>buprenorphine</w:t>
      </w:r>
      <w:r w:rsidR="00A51F27">
        <w:t>/naloxone</w:t>
      </w:r>
      <w:r>
        <w:t xml:space="preserve"> continued daily treatment with SL </w:t>
      </w:r>
      <w:r w:rsidR="00246DC3">
        <w:t>buprenorphine</w:t>
      </w:r>
      <w:r w:rsidR="00A51F27">
        <w:t>/naloxone</w:t>
      </w:r>
      <w:r>
        <w:t xml:space="preserve"> which was dispensed monthly and monthly placebo SC injections. Su</w:t>
      </w:r>
      <w:r w:rsidR="00A51F27">
        <w:t xml:space="preserve">bjects randomised initially to </w:t>
      </w:r>
      <w:r>
        <w:t>CAM2038 q1w were transferred to monthly injections of CAM2038 q4w and monthly dispensing of daily SL placebo for a further 12 weeks.</w:t>
      </w:r>
    </w:p>
    <w:p w14:paraId="7BD6D4CD" w14:textId="242F76BC" w:rsidR="00941F0E" w:rsidRDefault="00941F0E" w:rsidP="00BD45C5">
      <w:r w:rsidRPr="00934513">
        <w:t xml:space="preserve">After 12 weeks treatment with CAM2038 q1w or SL </w:t>
      </w:r>
      <w:r w:rsidR="00246DC3">
        <w:t>buprenorphine</w:t>
      </w:r>
      <w:r w:rsidR="00A51F27">
        <w:t>/naloxone</w:t>
      </w:r>
      <w:r w:rsidRPr="00934513">
        <w:t xml:space="preserve"> Phase 2 commenced and subjects randomised to SL </w:t>
      </w:r>
      <w:r w:rsidR="00246DC3">
        <w:t>buprenorphine</w:t>
      </w:r>
      <w:r w:rsidR="00A51F27">
        <w:t>/naloxone</w:t>
      </w:r>
      <w:r w:rsidRPr="00934513">
        <w:t xml:space="preserve"> daily continued to receive the dose they had been titrated to in Week 1 of Phase 1 while subjects randomised to CAM2038 q1w were switched to CAM2018 q4w given every 4 weeks with subjects titrated to 16 mg, 24 mg or 32 mg CAM q1w given CAM q4w doses of 64 mg, 96 mg, and 128 mg respectively. Dose adjustment was allowed up</w:t>
      </w:r>
      <w:r w:rsidR="00A51F27">
        <w:t xml:space="preserve"> to 160 mg CAM2038 q4w or to 32 </w:t>
      </w:r>
      <w:r w:rsidRPr="00934513">
        <w:t xml:space="preserve">mg SL </w:t>
      </w:r>
      <w:r w:rsidR="00246DC3">
        <w:t>buprenorphine</w:t>
      </w:r>
      <w:r w:rsidR="00A51F27">
        <w:t xml:space="preserve">/naloxone daily. </w:t>
      </w:r>
      <w:r w:rsidRPr="00934513">
        <w:t xml:space="preserve">Subjects were given a 4 week supply of SL </w:t>
      </w:r>
      <w:r w:rsidR="00246DC3">
        <w:t>buprenorphine</w:t>
      </w:r>
      <w:r w:rsidR="00A51F27">
        <w:t>/naloxone</w:t>
      </w:r>
      <w:r w:rsidRPr="00934513">
        <w:t xml:space="preserve"> or matching </w:t>
      </w:r>
      <w:r w:rsidR="00A51F27">
        <w:t>placebo at each monthly visit.</w:t>
      </w:r>
    </w:p>
    <w:p w14:paraId="7BAEB9AD" w14:textId="45973642" w:rsidR="00885CE7" w:rsidRDefault="00941F0E" w:rsidP="00BD45C5">
      <w:r>
        <w:t>A total of 18 urine toxicology samples for illicit opioids were collected during Phase 1 and Phase 2 of the study, 12 samples were to be collected at the scheduled weekly visits during Phas</w:t>
      </w:r>
      <w:r w:rsidR="00A51F27">
        <w:t xml:space="preserve">e 1 (sample Weeks 2 to 13) and </w:t>
      </w:r>
      <w:r>
        <w:t xml:space="preserve">6 </w:t>
      </w:r>
      <w:r w:rsidR="00602A8B">
        <w:t xml:space="preserve">samples </w:t>
      </w:r>
      <w:r>
        <w:t>during the 12 weeks of Phase 2 (3 at the scheduled monthly v</w:t>
      </w:r>
      <w:r w:rsidR="00A51F27">
        <w:t>isits (sample Weeks 17, 21, 25)</w:t>
      </w:r>
      <w:r>
        <w:t xml:space="preserve"> and 3 at random u</w:t>
      </w:r>
      <w:r w:rsidR="00A51F27">
        <w:t>rine toxicology visits). A self-report</w:t>
      </w:r>
      <w:r>
        <w:t xml:space="preserve"> of drug use accompanied every urine toxicology test. Urine drug screen tests and other scheduled assessments were done at the start of the denoted week, pre-dosing, thus representing outcomes from the previous week</w:t>
      </w:r>
      <w:r w:rsidR="00885CE7">
        <w:t>.</w:t>
      </w:r>
    </w:p>
    <w:p w14:paraId="79160FC4" w14:textId="1C20A5B8" w:rsidR="00941F0E" w:rsidRDefault="00941F0E" w:rsidP="00BD45C5">
      <w:r>
        <w:t xml:space="preserve">600 subjects were screened, 428 were randomised and received at least one dose of study medication </w:t>
      </w:r>
      <w:r w:rsidR="00A51F27">
        <w:t xml:space="preserve">and 57.9% completed the study. </w:t>
      </w:r>
      <w:r>
        <w:t>At baseline</w:t>
      </w:r>
      <w:r w:rsidR="00A51F27">
        <w:t>,</w:t>
      </w:r>
      <w:r>
        <w:t xml:space="preserve"> 61.4% of </w:t>
      </w:r>
      <w:r w:rsidRPr="00F7309E">
        <w:t xml:space="preserve">subjects were </w:t>
      </w:r>
      <w:r>
        <w:t xml:space="preserve">male, 75.5% were white and mean age was 38.4 years. </w:t>
      </w:r>
      <w:r w:rsidRPr="00F7309E">
        <w:t>The mean BMI was 25.9 kg/m</w:t>
      </w:r>
      <w:r w:rsidRPr="00934513">
        <w:rPr>
          <w:vertAlign w:val="superscript"/>
        </w:rPr>
        <w:t>2</w:t>
      </w:r>
      <w:r w:rsidRPr="00F7309E">
        <w:t xml:space="preserve">. </w:t>
      </w:r>
      <w:r>
        <w:t>O</w:t>
      </w:r>
      <w:r w:rsidRPr="00F7309E">
        <w:t xml:space="preserve">pioid use history was balanced </w:t>
      </w:r>
      <w:r>
        <w:t>across</w:t>
      </w:r>
      <w:r w:rsidRPr="00F7309E">
        <w:t xml:space="preserve"> treatment groups</w:t>
      </w:r>
      <w:r w:rsidR="00A51F27">
        <w:t>;</w:t>
      </w:r>
      <w:r>
        <w:t xml:space="preserve"> 70.8% used heroine</w:t>
      </w:r>
      <w:r w:rsidRPr="00F7309E">
        <w:t xml:space="preserve"> and the remainder used prescription opioid pain relievers (29.2%). 93.7% of subjects had opioid-positive urine samples on Day 1. The majority of subjects had a history of non-opioid use</w:t>
      </w:r>
      <w:r>
        <w:t>.</w:t>
      </w:r>
      <w:r w:rsidRPr="00F7309E">
        <w:t xml:space="preserve"> Psychosocial history parameters were comparable between groups.</w:t>
      </w:r>
    </w:p>
    <w:p w14:paraId="5E67BE06" w14:textId="461FE3C2" w:rsidR="00941F0E" w:rsidRDefault="00941F0E" w:rsidP="00BD45C5">
      <w:r w:rsidRPr="00F7309E">
        <w:t xml:space="preserve">The least squares mean </w:t>
      </w:r>
      <w:r>
        <w:t>of the</w:t>
      </w:r>
      <w:r w:rsidRPr="00F7309E">
        <w:t xml:space="preserve"> percentage of urine samples negative for illicit opioids in the </w:t>
      </w:r>
      <w:r w:rsidR="00A51F27">
        <w:t>intent-to-treat (</w:t>
      </w:r>
      <w:r w:rsidRPr="00F7309E">
        <w:t>ITT</w:t>
      </w:r>
      <w:r w:rsidR="00A51F27">
        <w:t xml:space="preserve">) population during Weeks 2 to </w:t>
      </w:r>
      <w:r w:rsidRPr="00F7309E">
        <w:t xml:space="preserve">25was 28.4% (95% CI: 23.5, 33.3) in the SL </w:t>
      </w:r>
      <w:r w:rsidR="00246DC3">
        <w:t>buprenorphine</w:t>
      </w:r>
      <w:r w:rsidR="00A51F27">
        <w:t>/naloxone</w:t>
      </w:r>
      <w:r w:rsidRPr="00F7309E">
        <w:t xml:space="preserve"> group, and 35.1% (95% CI: 30.3, 40.0) in the CAM2038 group</w:t>
      </w:r>
      <w:r>
        <w:t>.</w:t>
      </w:r>
      <w:r w:rsidRPr="00F7309E">
        <w:t xml:space="preserve"> The benefit in favour of the CAM2038 group was 6.7% (95% CI: -0.1, 13.6; p</w:t>
      </w:r>
      <w:r w:rsidR="00A51F27">
        <w:t> </w:t>
      </w:r>
      <w:r w:rsidRPr="00F7309E">
        <w:t>&lt;</w:t>
      </w:r>
      <w:r w:rsidR="00A51F27">
        <w:t> </w:t>
      </w:r>
      <w:r w:rsidRPr="00F7309E">
        <w:t xml:space="preserve">0.001) which was </w:t>
      </w:r>
      <w:r>
        <w:t>within</w:t>
      </w:r>
      <w:r w:rsidRPr="00F7309E">
        <w:t xml:space="preserve"> the predefined non-inferiority margin of -11%. Superiority was not tested as the lower bound of the 95% CI was less than zero.</w:t>
      </w:r>
      <w:r>
        <w:t xml:space="preserve"> The </w:t>
      </w:r>
      <w:r w:rsidR="00A51F27">
        <w:t>per protocol (</w:t>
      </w:r>
      <w:r>
        <w:t>PP</w:t>
      </w:r>
      <w:r w:rsidR="00A51F27">
        <w:t>)</w:t>
      </w:r>
      <w:r>
        <w:t xml:space="preserve"> population was t</w:t>
      </w:r>
      <w:r w:rsidR="00A51F27">
        <w:t xml:space="preserve">he same as the ITT population. </w:t>
      </w:r>
      <w:r>
        <w:t xml:space="preserve">The sponsor has included all treated subjects in the PP population, </w:t>
      </w:r>
      <w:r w:rsidR="00A51F27">
        <w:t xml:space="preserve">though 87 subjects had protocol </w:t>
      </w:r>
      <w:r>
        <w:t xml:space="preserve">defined deviations most commonly </w:t>
      </w:r>
      <w:r w:rsidR="00A51F27">
        <w:t>due to missed study visits and/</w:t>
      </w:r>
      <w:r>
        <w:t>or missed urine</w:t>
      </w:r>
      <w:r w:rsidR="00A51F27">
        <w:t xml:space="preserve"> toxicology collections. A post </w:t>
      </w:r>
      <w:r>
        <w:t xml:space="preserve">hoc exploratory analysis also reported non-inferiority of CAM2038q1w with SL </w:t>
      </w:r>
      <w:r w:rsidR="00246DC3">
        <w:t>buprenorphine</w:t>
      </w:r>
      <w:r w:rsidR="00A51F27">
        <w:t>/naloxone</w:t>
      </w:r>
      <w:r>
        <w:t xml:space="preserve"> without</w:t>
      </w:r>
      <w:r w:rsidR="00A51F27">
        <w:t xml:space="preserve"> imputation for missing values, </w:t>
      </w:r>
      <w:r>
        <w:t xml:space="preserve">but it is not clear if there was a difference in the treatment groups in the number and </w:t>
      </w:r>
      <w:r w:rsidR="00A51F27">
        <w:t>extent of protocol violations.</w:t>
      </w:r>
    </w:p>
    <w:p w14:paraId="4CF1D4B4" w14:textId="0569AFCF" w:rsidR="00941F0E" w:rsidRDefault="00941F0E" w:rsidP="00BD45C5">
      <w:r>
        <w:lastRenderedPageBreak/>
        <w:t>Of the EMA secondary variables, the median cumulative % of urine samples negative fo</w:t>
      </w:r>
      <w:r w:rsidR="00A51F27">
        <w:t xml:space="preserve">r illicit opioid over Weeks 5 to </w:t>
      </w:r>
      <w:r>
        <w:t xml:space="preserve">25 was 6.7% (not including self-reported opioid use) for the SL </w:t>
      </w:r>
      <w:r w:rsidR="00246DC3">
        <w:t>buprenorphine</w:t>
      </w:r>
      <w:r w:rsidR="00A51F27">
        <w:t>/naloxone</w:t>
      </w:r>
      <w:r>
        <w:t xml:space="preserve"> group and 26.7% (with and without self-reported opioid use) for the CAM2038 group (p</w:t>
      </w:r>
      <w:r w:rsidR="00A51F27">
        <w:t xml:space="preserve"> </w:t>
      </w:r>
      <w:r>
        <w:t>= 0.004</w:t>
      </w:r>
      <w:r w:rsidR="00602A8B">
        <w:t xml:space="preserve"> with self-reports and 0.008 without self-reports</w:t>
      </w:r>
      <w:r>
        <w:t>). Non-inferiority was demonstrat</w:t>
      </w:r>
      <w:r w:rsidR="00A51F27">
        <w:t xml:space="preserve">ed for the retention rate with </w:t>
      </w:r>
      <w:r>
        <w:t xml:space="preserve">58.6% of the SL </w:t>
      </w:r>
      <w:r w:rsidR="00246DC3">
        <w:t>buprenorphine</w:t>
      </w:r>
      <w:r w:rsidR="00A51F27">
        <w:t>/naloxone</w:t>
      </w:r>
      <w:r>
        <w:t xml:space="preserve"> group and 56.8% of the CAM2038 group remaining at </w:t>
      </w:r>
      <w:r w:rsidR="00A51F27">
        <w:t>end of study</w:t>
      </w:r>
      <w:r>
        <w:t xml:space="preserve"> (difference -1.8%;</w:t>
      </w:r>
      <w:r w:rsidR="00A51F27">
        <w:t xml:space="preserve"> 95%CI -11.2, 7.6). Data</w:t>
      </w:r>
      <w:r>
        <w:t xml:space="preserve"> for </w:t>
      </w:r>
      <w:r w:rsidR="00A51F27">
        <w:t xml:space="preserve">the </w:t>
      </w:r>
      <w:r>
        <w:t>time to sustained abstinence after 8 weeks of treatment was collected but</w:t>
      </w:r>
      <w:r w:rsidR="00A51F27">
        <w:t xml:space="preserve"> not included in the submission.</w:t>
      </w:r>
      <w:r w:rsidR="00F16957">
        <w:rPr>
          <w:rStyle w:val="FootnoteReference"/>
        </w:rPr>
        <w:footnoteReference w:id="18"/>
      </w:r>
    </w:p>
    <w:p w14:paraId="7479E623" w14:textId="010F5BC0" w:rsidR="00941F0E" w:rsidRDefault="00941F0E" w:rsidP="00BD45C5">
      <w:r>
        <w:t>For the FDA primary endpoint of t</w:t>
      </w:r>
      <w:r w:rsidRPr="001700BE">
        <w:t xml:space="preserve">he proportion of responders </w:t>
      </w:r>
      <w:r w:rsidR="00A51F27">
        <w:t>(that is,</w:t>
      </w:r>
      <w:r>
        <w:t xml:space="preserve"> subjects with </w:t>
      </w:r>
      <w:r w:rsidRPr="001700BE">
        <w:t>no evidence of use of illicit opioids at sample Week 13 and no evidence of illicit opioid use</w:t>
      </w:r>
      <w:r>
        <w:t xml:space="preserve">, </w:t>
      </w:r>
      <w:r w:rsidRPr="001700BE">
        <w:t>including self-reported use</w:t>
      </w:r>
      <w:r>
        <w:t>,</w:t>
      </w:r>
      <w:r w:rsidRPr="001700BE">
        <w:t xml:space="preserve"> for at least 2 out of the 3 weeks from sample Weeks 10 to 12</w:t>
      </w:r>
      <w:r>
        <w:t xml:space="preserve"> </w:t>
      </w:r>
      <w:r w:rsidRPr="001700BE">
        <w:t xml:space="preserve">was 14.4% in the SL </w:t>
      </w:r>
      <w:r w:rsidR="00246DC3">
        <w:t>buprenorphine</w:t>
      </w:r>
      <w:r w:rsidR="00A51F27">
        <w:t>/naloxone</w:t>
      </w:r>
      <w:r w:rsidRPr="001700BE">
        <w:t xml:space="preserve"> group and 17.8% in the CAM2038 group. The benefit in favour of the CAM2038 group was 3.4% (95% CI: -3.5, 10.4; p</w:t>
      </w:r>
      <w:r w:rsidR="00A51F27">
        <w:t xml:space="preserve"> </w:t>
      </w:r>
      <w:r w:rsidRPr="001700BE">
        <w:t>&lt;</w:t>
      </w:r>
      <w:r w:rsidR="00A51F27">
        <w:t xml:space="preserve"> </w:t>
      </w:r>
      <w:r w:rsidRPr="001700BE">
        <w:t xml:space="preserve">0.001) which was </w:t>
      </w:r>
      <w:r>
        <w:t>within</w:t>
      </w:r>
      <w:r w:rsidRPr="001700BE">
        <w:t xml:space="preserve"> the predefined non-inferiority margin of -10%. Superiority was not tested as the lower bound of the 95% CI was less than zero.</w:t>
      </w:r>
    </w:p>
    <w:p w14:paraId="2423C60F" w14:textId="5230C40C" w:rsidR="00A51F27" w:rsidRDefault="00A51F27" w:rsidP="00A51F27">
      <w:pPr>
        <w:pStyle w:val="Heading5"/>
      </w:pPr>
      <w:r w:rsidRPr="00F84AEC">
        <w:t>Study HS-14-499</w:t>
      </w:r>
    </w:p>
    <w:p w14:paraId="037ECA60" w14:textId="6F29B963" w:rsidR="00941F0E" w:rsidRDefault="00941F0E" w:rsidP="00BD45C5">
      <w:r w:rsidRPr="00A51F27">
        <w:t>Study HS-14-499</w:t>
      </w:r>
      <w:r>
        <w:t xml:space="preserve"> provided limi</w:t>
      </w:r>
      <w:r w:rsidR="00A51F27">
        <w:t xml:space="preserve">ted longer term efficacy data. </w:t>
      </w:r>
      <w:r>
        <w:t>This was an open, uncontrolled study primarily to assess the long</w:t>
      </w:r>
      <w:r w:rsidR="00AC42DF">
        <w:t xml:space="preserve"> </w:t>
      </w:r>
      <w:r>
        <w:t>term safety of CAM2</w:t>
      </w:r>
      <w:r w:rsidR="00AC42DF">
        <w:t xml:space="preserve">038 q1w and q4w over 48 weeks. </w:t>
      </w:r>
      <w:r w:rsidRPr="00E8583E">
        <w:t>The secondary objective was to investigate efficacy through measures including urine toxicology, signs and symptoms of withdrawal, and cravings.</w:t>
      </w:r>
      <w:r>
        <w:t xml:space="preserve"> </w:t>
      </w:r>
      <w:r w:rsidR="00AC42DF">
        <w:t xml:space="preserve">37 out of </w:t>
      </w:r>
      <w:r>
        <w:t xml:space="preserve">228 (16.2%) subjects were </w:t>
      </w:r>
      <w:r w:rsidR="00246DC3">
        <w:t>buprenorphine</w:t>
      </w:r>
      <w:r w:rsidR="00AC42DF">
        <w:t xml:space="preserve"> treatment-naïve. </w:t>
      </w:r>
      <w:r>
        <w:t xml:space="preserve">For those subjects </w:t>
      </w:r>
      <w:r w:rsidRPr="008C62B5">
        <w:t xml:space="preserve">treatment was initiated with a single injection of CAM2038 q1w 16 mg after a 4 mg SL </w:t>
      </w:r>
      <w:r w:rsidR="00246DC3">
        <w:t>buprenorphine</w:t>
      </w:r>
      <w:r w:rsidR="00AC42DF">
        <w:t>/naloxone</w:t>
      </w:r>
      <w:r w:rsidRPr="008C62B5">
        <w:t xml:space="preserve"> test dose. Additional dosage adjustments were permitted up to a maximum weekly dose of 40 mg.</w:t>
      </w:r>
      <w:r>
        <w:t xml:space="preserve"> For remaining subjects treatments were initiated according to previous SL </w:t>
      </w:r>
      <w:r w:rsidR="00246DC3">
        <w:t>buprenorphine</w:t>
      </w:r>
      <w:r>
        <w:t xml:space="preserve"> or </w:t>
      </w:r>
      <w:r w:rsidR="00246DC3">
        <w:t>buprenorphine</w:t>
      </w:r>
      <w:r w:rsidR="00AC42DF">
        <w:t xml:space="preserve">/naloxone use. </w:t>
      </w:r>
      <w:r w:rsidRPr="008C62B5">
        <w:t xml:space="preserve">69.2% </w:t>
      </w:r>
      <w:r>
        <w:t xml:space="preserve">of subjects </w:t>
      </w:r>
      <w:r w:rsidRPr="008C62B5">
        <w:t>completed</w:t>
      </w:r>
      <w:r w:rsidR="00AC42DF">
        <w:t xml:space="preserve"> the study including the follow </w:t>
      </w:r>
      <w:r w:rsidRPr="008C62B5">
        <w:t>up visit. A total of 156 subjects (68.4%) were exposed to CAM2038 for 48 weeks</w:t>
      </w:r>
      <w:r>
        <w:t>.</w:t>
      </w:r>
    </w:p>
    <w:p w14:paraId="32266984" w14:textId="0B618563" w:rsidR="00941F0E" w:rsidRDefault="00941F0E" w:rsidP="00BD45C5">
      <w:r w:rsidRPr="008C62B5">
        <w:t>A summary of urine toxicology results is shown in</w:t>
      </w:r>
      <w:r w:rsidR="00D00F27">
        <w:t xml:space="preserve"> </w:t>
      </w:r>
      <w:r w:rsidR="00D00F27">
        <w:fldChar w:fldCharType="begin"/>
      </w:r>
      <w:r w:rsidR="00D00F27">
        <w:instrText xml:space="preserve"> REF _Ref18565527 \h </w:instrText>
      </w:r>
      <w:r w:rsidR="00D00F27">
        <w:fldChar w:fldCharType="separate"/>
      </w:r>
      <w:r w:rsidR="00CD31EB">
        <w:t xml:space="preserve">Table </w:t>
      </w:r>
      <w:r w:rsidR="00CD31EB">
        <w:rPr>
          <w:noProof/>
        </w:rPr>
        <w:t>15</w:t>
      </w:r>
      <w:r w:rsidR="00D00F27">
        <w:fldChar w:fldCharType="end"/>
      </w:r>
      <w:r w:rsidR="00D00F27">
        <w:t>. In the efficacy p</w:t>
      </w:r>
      <w:r w:rsidRPr="008C62B5">
        <w:t xml:space="preserve">opulation, the mean percentage of negative urine toxicology results was 75.9%. In subjects new to </w:t>
      </w:r>
      <w:r w:rsidR="00246DC3">
        <w:t>buprenorphine</w:t>
      </w:r>
      <w:r w:rsidRPr="008C62B5">
        <w:t xml:space="preserve"> treatment, the mean percentage of negative urine toxicology results was notably lower (41.2%) compared with those receiving </w:t>
      </w:r>
      <w:r w:rsidR="00246DC3">
        <w:t>buprenorphine</w:t>
      </w:r>
      <w:r w:rsidRPr="008C62B5">
        <w:t xml:space="preserve"> at entry.</w:t>
      </w:r>
    </w:p>
    <w:p w14:paraId="0BC840F5" w14:textId="6DC41B07" w:rsidR="00AC42DF" w:rsidRDefault="00AC42DF" w:rsidP="00D00F27">
      <w:pPr>
        <w:pStyle w:val="TableTitle"/>
      </w:pPr>
      <w:bookmarkStart w:id="141" w:name="_Ref18565527"/>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15</w:t>
      </w:r>
      <w:r w:rsidR="00553795">
        <w:rPr>
          <w:noProof/>
        </w:rPr>
        <w:fldChar w:fldCharType="end"/>
      </w:r>
      <w:bookmarkEnd w:id="141"/>
      <w:r>
        <w:t xml:space="preserve">: </w:t>
      </w:r>
      <w:r w:rsidRPr="00AC42DF">
        <w:t>Study HS-14-499 Mean percentage negative urine toxicol</w:t>
      </w:r>
      <w:r>
        <w:t>ogy results (supported by self-</w:t>
      </w:r>
      <w:r w:rsidRPr="00AC42DF">
        <w:t>reported illicit opioid use)</w:t>
      </w:r>
    </w:p>
    <w:p w14:paraId="79357AA8" w14:textId="27DDA900" w:rsidR="00AC42DF" w:rsidRDefault="00AC42DF" w:rsidP="00BD45C5">
      <w:r>
        <w:rPr>
          <w:noProof/>
          <w:lang w:eastAsia="en-AU"/>
        </w:rPr>
        <w:drawing>
          <wp:inline distT="0" distB="0" distL="0" distR="0" wp14:anchorId="7DA93565" wp14:editId="7A0CF2A2">
            <wp:extent cx="4593945" cy="4029966"/>
            <wp:effectExtent l="0" t="0" r="0" b="8890"/>
            <wp:docPr id="7" name="Picture 7" descr="Study HS-14-499: Mean percentage negative urine toxicology results (supported by self-reported illicit opioi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9440" cy="4034787"/>
                    </a:xfrm>
                    <a:prstGeom prst="rect">
                      <a:avLst/>
                    </a:prstGeom>
                  </pic:spPr>
                </pic:pic>
              </a:graphicData>
            </a:graphic>
          </wp:inline>
        </w:drawing>
      </w:r>
    </w:p>
    <w:p w14:paraId="06AABFFA" w14:textId="77777777" w:rsidR="00941F0E" w:rsidRDefault="00941F0E" w:rsidP="00941F0E">
      <w:pPr>
        <w:pStyle w:val="Heading4"/>
        <w:rPr>
          <w:i/>
        </w:rPr>
      </w:pPr>
      <w:r w:rsidRPr="00892800">
        <w:rPr>
          <w:i/>
        </w:rPr>
        <w:t>Safety</w:t>
      </w:r>
    </w:p>
    <w:p w14:paraId="5F93972F" w14:textId="0B65117B" w:rsidR="00941F0E" w:rsidRDefault="00941F0E" w:rsidP="00BD45C5">
      <w:r>
        <w:t xml:space="preserve">The safety of </w:t>
      </w:r>
      <w:r w:rsidR="00246DC3">
        <w:t>buprenorphine</w:t>
      </w:r>
      <w:r>
        <w:t xml:space="preserve"> in humans is supported by data collected from the extensive use of </w:t>
      </w:r>
      <w:r w:rsidR="00246DC3">
        <w:t>buprenorphine</w:t>
      </w:r>
      <w:r w:rsidR="00BD45C5">
        <w:t xml:space="preserve"> </w:t>
      </w:r>
      <w:r>
        <w:t xml:space="preserve">products, such as </w:t>
      </w:r>
      <w:proofErr w:type="spellStart"/>
      <w:r w:rsidR="00D00F27">
        <w:t>Subutex</w:t>
      </w:r>
      <w:proofErr w:type="spellEnd"/>
      <w:r>
        <w:t xml:space="preserve"> and </w:t>
      </w:r>
      <w:proofErr w:type="spellStart"/>
      <w:r w:rsidR="00D00F27">
        <w:t>Suboxone</w:t>
      </w:r>
      <w:proofErr w:type="spellEnd"/>
      <w:r>
        <w:t xml:space="preserve">, which have been on the market for many years. The proposed dose regimens for CAM2038 provide plasma levels of </w:t>
      </w:r>
      <w:r w:rsidR="00246DC3">
        <w:t>buprenorphine</w:t>
      </w:r>
      <w:r>
        <w:t xml:space="preserve"> comparable to those recommended for daily SL </w:t>
      </w:r>
      <w:r w:rsidR="00246DC3">
        <w:t>buprenorphine</w:t>
      </w:r>
      <w:r>
        <w:t xml:space="preserve"> so the limited safety assessment with these new formulations accepted.</w:t>
      </w:r>
    </w:p>
    <w:p w14:paraId="3C1BDD36" w14:textId="6020D1BD" w:rsidR="00941F0E" w:rsidRDefault="00941F0E" w:rsidP="00BD45C5">
      <w:r>
        <w:t>Safety data were obtained from 7 clinical studies, 2 we</w:t>
      </w:r>
      <w:r w:rsidR="00D00F27">
        <w:t>re in healthy volunteers (</w:t>
      </w:r>
      <w:r w:rsidR="009B7D36">
        <w:t>Studies </w:t>
      </w:r>
      <w:r w:rsidR="00D00F27">
        <w:t>HS</w:t>
      </w:r>
      <w:r w:rsidR="00D00F27">
        <w:noBreakHyphen/>
        <w:t>11</w:t>
      </w:r>
      <w:r w:rsidR="00D00F27">
        <w:noBreakHyphen/>
      </w:r>
      <w:r>
        <w:t>426</w:t>
      </w:r>
      <w:r w:rsidR="009B7D36">
        <w:t xml:space="preserve"> and</w:t>
      </w:r>
      <w:r>
        <w:t xml:space="preserve"> HS-13-487) and 5 in patients with opio</w:t>
      </w:r>
      <w:r w:rsidR="00D00F27">
        <w:t>id dependence (</w:t>
      </w:r>
      <w:r w:rsidR="009B7D36">
        <w:t>Studies </w:t>
      </w:r>
      <w:r w:rsidR="00D00F27">
        <w:t>HS-07-307, HS</w:t>
      </w:r>
      <w:r w:rsidR="00D00F27">
        <w:noBreakHyphen/>
        <w:t>15</w:t>
      </w:r>
      <w:r w:rsidR="00D00F27">
        <w:noBreakHyphen/>
      </w:r>
      <w:r>
        <w:t>549, HS-13-478, HS-11-421 and HS-14-499). 729 subjects were exposed to CAM2038 in the clinical program. Of these 135 were healthy volunteers.</w:t>
      </w:r>
      <w:r w:rsidRPr="00196DC3">
        <w:t xml:space="preserve"> </w:t>
      </w:r>
      <w:r>
        <w:t>Across regimens, 604 subjects received CAM2038 q1w and 408 received CAM2038 q</w:t>
      </w:r>
      <w:r w:rsidR="00BD45C5">
        <w:t xml:space="preserve">4w. Many subjects received both </w:t>
      </w:r>
      <w:r>
        <w:t>CAM2038 q1w and CAM2038 q1w in flexible, individual</w:t>
      </w:r>
      <w:r w:rsidR="00D00F27">
        <w:t>ised dosing regimens.</w:t>
      </w:r>
    </w:p>
    <w:p w14:paraId="1402331E" w14:textId="01115AC8" w:rsidR="00941F0E" w:rsidRDefault="00941F0E" w:rsidP="00BD45C5">
      <w:r>
        <w:t xml:space="preserve">Across all studies, the mean age was 39.5 years </w:t>
      </w:r>
      <w:r w:rsidR="00D00F27">
        <w:t>(range: 18 to 66 years), 61.0% were male and 78.1% were white.</w:t>
      </w:r>
      <w:r>
        <w:t xml:space="preserve"> The mean BMI was 25.6 kg/m</w:t>
      </w:r>
      <w:r w:rsidRPr="00D37E8D">
        <w:rPr>
          <w:vertAlign w:val="superscript"/>
        </w:rPr>
        <w:t>2</w:t>
      </w:r>
      <w:r>
        <w:t xml:space="preserve"> (range: 15 to 50 kg/m</w:t>
      </w:r>
      <w:r w:rsidRPr="00D37E8D">
        <w:rPr>
          <w:vertAlign w:val="superscript"/>
        </w:rPr>
        <w:t>2</w:t>
      </w:r>
      <w:r w:rsidR="00D00F27">
        <w:t xml:space="preserve">). 128 out of </w:t>
      </w:r>
      <w:r>
        <w:t>594 (21.5%) of opioid dependent subjects given CAM2038 had on</w:t>
      </w:r>
      <w:r w:rsidR="00BD45C5">
        <w:t xml:space="preserve">going hepatitis at </w:t>
      </w:r>
      <w:r>
        <w:t>study entry, though individuals with either hepatic or renal impairm</w:t>
      </w:r>
      <w:r w:rsidR="00BD45C5">
        <w:t>ent were excluded from studies.</w:t>
      </w:r>
    </w:p>
    <w:p w14:paraId="336FB8DA" w14:textId="490CB5E4" w:rsidR="00885CE7" w:rsidRDefault="00941F0E" w:rsidP="00BD45C5">
      <w:r>
        <w:t xml:space="preserve">Comparative safety data with SL </w:t>
      </w:r>
      <w:r w:rsidR="00246DC3">
        <w:t>buprenorphine</w:t>
      </w:r>
      <w:r w:rsidR="00D00F27">
        <w:t>/naloxone were available from S</w:t>
      </w:r>
      <w:r w:rsidR="00C44665">
        <w:t>tudy </w:t>
      </w:r>
      <w:r w:rsidR="00D00F27">
        <w:t>HS</w:t>
      </w:r>
      <w:r w:rsidR="00D00F27">
        <w:noBreakHyphen/>
      </w:r>
      <w:r>
        <w:t>11-421. There was one death, due to a traffic a</w:t>
      </w:r>
      <w:r w:rsidR="00D00F27">
        <w:t>ccident which was considered un</w:t>
      </w:r>
      <w:r>
        <w:t xml:space="preserve">related to study treatments. </w:t>
      </w:r>
      <w:r w:rsidRPr="00F84AEC">
        <w:t xml:space="preserve">Non-fatal SAEs were reported in 6.0% of the SL </w:t>
      </w:r>
      <w:r w:rsidR="00246DC3">
        <w:t>buprenorphine</w:t>
      </w:r>
      <w:r w:rsidR="00C44665">
        <w:t>/naloxone</w:t>
      </w:r>
      <w:r w:rsidRPr="00F84AEC">
        <w:t xml:space="preserve"> group, compared with 2.3% of the CAM2038 group. Non-fatal SAEs reported by </w:t>
      </w:r>
      <w:r w:rsidR="00C44665">
        <w:t>System Organ Class (</w:t>
      </w:r>
      <w:r w:rsidRPr="00F84AEC">
        <w:t>SOC</w:t>
      </w:r>
      <w:r w:rsidR="00C44665">
        <w:t>)</w:t>
      </w:r>
      <w:r w:rsidRPr="00F84AEC">
        <w:t xml:space="preserve"> and </w:t>
      </w:r>
      <w:r w:rsidR="00C44665">
        <w:t>Preferred Term (</w:t>
      </w:r>
      <w:r w:rsidRPr="00F84AEC">
        <w:t>PT</w:t>
      </w:r>
      <w:r w:rsidR="00C44665">
        <w:t>)</w:t>
      </w:r>
      <w:r w:rsidRPr="00F84AEC">
        <w:t xml:space="preserve"> are shown in</w:t>
      </w:r>
      <w:r w:rsidR="00C44665">
        <w:t xml:space="preserve"> </w:t>
      </w:r>
      <w:r w:rsidR="00C44665">
        <w:lastRenderedPageBreak/>
        <w:fldChar w:fldCharType="begin"/>
      </w:r>
      <w:r w:rsidR="00C44665">
        <w:instrText xml:space="preserve"> REF _Ref18566478 \h </w:instrText>
      </w:r>
      <w:r w:rsidR="00C44665">
        <w:fldChar w:fldCharType="separate"/>
      </w:r>
      <w:r w:rsidR="00CD31EB">
        <w:t>Table</w:t>
      </w:r>
      <w:r w:rsidR="009B7D36">
        <w:t> </w:t>
      </w:r>
      <w:r w:rsidR="00CD31EB">
        <w:rPr>
          <w:noProof/>
        </w:rPr>
        <w:t>16</w:t>
      </w:r>
      <w:r w:rsidR="00C44665">
        <w:fldChar w:fldCharType="end"/>
      </w:r>
      <w:r w:rsidRPr="00F84AEC">
        <w:t>. Only one subject (receiving CAM2038) experienced an SAE considered possibly related to study drug, a case of moderate vomiting which required IV rehydration</w:t>
      </w:r>
      <w:r w:rsidR="00885CE7">
        <w:t>.</w:t>
      </w:r>
    </w:p>
    <w:p w14:paraId="4F780A16" w14:textId="4700623E" w:rsidR="00C44665" w:rsidRDefault="00C44665" w:rsidP="00C44665">
      <w:pPr>
        <w:pStyle w:val="TableTitle"/>
      </w:pPr>
      <w:bookmarkStart w:id="142" w:name="_Ref18566478"/>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16</w:t>
      </w:r>
      <w:r w:rsidR="00553795">
        <w:rPr>
          <w:noProof/>
        </w:rPr>
        <w:fldChar w:fldCharType="end"/>
      </w:r>
      <w:bookmarkEnd w:id="142"/>
      <w:r>
        <w:t xml:space="preserve">: </w:t>
      </w:r>
      <w:r w:rsidRPr="00C44665">
        <w:t>Study HS-11-421 Summary of SAEs by SOC and PT</w:t>
      </w:r>
    </w:p>
    <w:p w14:paraId="2194B080" w14:textId="129ADDCB" w:rsidR="00C44665" w:rsidRDefault="00C44665" w:rsidP="00BD45C5">
      <w:r>
        <w:rPr>
          <w:noProof/>
          <w:lang w:eastAsia="en-AU"/>
        </w:rPr>
        <w:drawing>
          <wp:inline distT="0" distB="0" distL="0" distR="0" wp14:anchorId="5A3B7123" wp14:editId="6F30FF87">
            <wp:extent cx="4798771" cy="6157595"/>
            <wp:effectExtent l="0" t="0" r="1905" b="0"/>
            <wp:docPr id="8" name="Picture 8" descr="Study HS-11-421: Summary of SAEs by SOC and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1628" cy="6161261"/>
                    </a:xfrm>
                    <a:prstGeom prst="rect">
                      <a:avLst/>
                    </a:prstGeom>
                  </pic:spPr>
                </pic:pic>
              </a:graphicData>
            </a:graphic>
          </wp:inline>
        </w:drawing>
      </w:r>
    </w:p>
    <w:p w14:paraId="60134A73" w14:textId="5EB93B4B" w:rsidR="00885CE7" w:rsidRDefault="00941F0E" w:rsidP="00BD45C5">
      <w:r>
        <w:t>In that study</w:t>
      </w:r>
      <w:r w:rsidR="00C44665">
        <w:t>,</w:t>
      </w:r>
      <w:r>
        <w:t xml:space="preserve"> </w:t>
      </w:r>
      <w:r w:rsidRPr="00F84AEC">
        <w:t xml:space="preserve">57.7% of subjects reported at least one AE (55.3% SL </w:t>
      </w:r>
      <w:r w:rsidR="00246DC3">
        <w:t>buprenorphine</w:t>
      </w:r>
      <w:r w:rsidR="00C44665">
        <w:t>/naloxone</w:t>
      </w:r>
      <w:r w:rsidRPr="00F84AEC">
        <w:t>; 60.1% CAM2038</w:t>
      </w:r>
      <w:r w:rsidR="00C44665">
        <w:t>)</w:t>
      </w:r>
      <w:r w:rsidRPr="00F84AEC">
        <w:t>.</w:t>
      </w:r>
      <w:r>
        <w:t>T</w:t>
      </w:r>
      <w:r w:rsidRPr="00F84AEC">
        <w:t xml:space="preserve">he most </w:t>
      </w:r>
      <w:r>
        <w:t xml:space="preserve">frequently </w:t>
      </w:r>
      <w:r w:rsidRPr="00F84AEC">
        <w:t xml:space="preserve">reported AEs </w:t>
      </w:r>
      <w:r>
        <w:t>were:</w:t>
      </w:r>
      <w:r w:rsidRPr="00F84AEC">
        <w:t xml:space="preserve"> injection site pain (8.4%), headache (7.7%), constipation (7.5%), nausea (7.5%), injection site pruritus (6.1%), and injection site erythema (5.6%). 4.9% of subjects reported severe AEs (7.0% SL </w:t>
      </w:r>
      <w:r w:rsidR="00246DC3">
        <w:t>buprenorphine</w:t>
      </w:r>
      <w:r w:rsidR="00C44665">
        <w:t>/naloxone</w:t>
      </w:r>
      <w:r w:rsidRPr="00F84AEC">
        <w:t>; 2.8% CAM2</w:t>
      </w:r>
      <w:r w:rsidR="00C44665">
        <w:t>038), and the majority were non</w:t>
      </w:r>
      <w:r w:rsidR="00C44665">
        <w:noBreakHyphen/>
      </w:r>
      <w:r w:rsidRPr="00F84AEC">
        <w:t xml:space="preserve">injection site events. Five subjects reported an overdose, all in the SL </w:t>
      </w:r>
      <w:r w:rsidR="00246DC3">
        <w:t>buprenorphine</w:t>
      </w:r>
      <w:r w:rsidR="008E61F9">
        <w:t>/naloxone</w:t>
      </w:r>
      <w:r w:rsidRPr="00F84AEC">
        <w:t xml:space="preserve"> group (four accidental; one intentional)</w:t>
      </w:r>
      <w:r w:rsidR="00885CE7">
        <w:t>.</w:t>
      </w:r>
    </w:p>
    <w:p w14:paraId="5F1C1403" w14:textId="0E481180" w:rsidR="00941F0E" w:rsidRDefault="00941F0E" w:rsidP="00BD45C5">
      <w:r>
        <w:t xml:space="preserve">Study HS-14-499 allowed a comparison of AEs between treatment naïve and SL </w:t>
      </w:r>
      <w:r w:rsidR="00246DC3">
        <w:t>buprenorphine</w:t>
      </w:r>
      <w:r w:rsidR="00C44665">
        <w:t xml:space="preserve">, </w:t>
      </w:r>
      <w:r w:rsidR="00246DC3">
        <w:t>buprenorphine</w:t>
      </w:r>
      <w:r w:rsidR="00C44665">
        <w:t>/naloxone</w:t>
      </w:r>
      <w:r>
        <w:t xml:space="preserve"> experienced subjects as well as between the q1w an</w:t>
      </w:r>
      <w:r w:rsidR="00C44665">
        <w:t>d q4w formulations of CAM2038.</w:t>
      </w:r>
    </w:p>
    <w:p w14:paraId="5338A90E" w14:textId="5F618C08" w:rsidR="00456765" w:rsidRPr="00456765" w:rsidRDefault="00941F0E" w:rsidP="00456765">
      <w:r w:rsidRPr="006516EB">
        <w:lastRenderedPageBreak/>
        <w:t xml:space="preserve">Overall, the pattern and frequency of </w:t>
      </w:r>
      <w:r w:rsidR="00C44665">
        <w:t>AEs in the Phase III</w:t>
      </w:r>
      <w:r w:rsidRPr="006516EB">
        <w:t xml:space="preserve"> program w</w:t>
      </w:r>
      <w:r>
        <w:t>ere</w:t>
      </w:r>
      <w:r w:rsidRPr="006516EB">
        <w:t xml:space="preserve"> consistent with the literature base for </w:t>
      </w:r>
      <w:r w:rsidR="00246DC3">
        <w:t>buprenorphine</w:t>
      </w:r>
      <w:r w:rsidRPr="006516EB">
        <w:t xml:space="preserve"> and methadone. The safety profile of CAM2038 given weekly or monthly </w:t>
      </w:r>
      <w:r>
        <w:t>wa</w:t>
      </w:r>
      <w:r w:rsidRPr="006516EB">
        <w:t xml:space="preserve">s comparable to that of SL </w:t>
      </w:r>
      <w:r w:rsidR="00246DC3">
        <w:t>buprenorphine</w:t>
      </w:r>
      <w:r w:rsidRPr="006516EB">
        <w:t>/</w:t>
      </w:r>
      <w:r w:rsidR="008E61F9">
        <w:t>naloxone</w:t>
      </w:r>
      <w:r w:rsidRPr="006516EB">
        <w:t>, a widely used standard of care in Australia.</w:t>
      </w:r>
    </w:p>
    <w:p w14:paraId="3FBA627D" w14:textId="77777777" w:rsidR="008E7846" w:rsidRDefault="00386150" w:rsidP="007B6132">
      <w:pPr>
        <w:pStyle w:val="Heading3"/>
        <w:rPr>
          <w:lang w:eastAsia="en-AU"/>
        </w:rPr>
      </w:pPr>
      <w:bookmarkStart w:id="143" w:name="_Toc24539944"/>
      <w:r>
        <w:rPr>
          <w:lang w:eastAsia="en-AU"/>
        </w:rPr>
        <w:t>Risk m</w:t>
      </w:r>
      <w:r w:rsidR="008E7846">
        <w:rPr>
          <w:lang w:eastAsia="en-AU"/>
        </w:rPr>
        <w:t xml:space="preserve">anagement </w:t>
      </w:r>
      <w:r>
        <w:rPr>
          <w:lang w:eastAsia="en-AU"/>
        </w:rPr>
        <w:t>p</w:t>
      </w:r>
      <w:r w:rsidR="008E7846">
        <w:rPr>
          <w:lang w:eastAsia="en-AU"/>
        </w:rPr>
        <w:t>lan</w:t>
      </w:r>
      <w:bookmarkEnd w:id="138"/>
      <w:bookmarkEnd w:id="143"/>
    </w:p>
    <w:p w14:paraId="6C613E88" w14:textId="57C24AC7" w:rsidR="00885CE7" w:rsidRDefault="00BD45C5" w:rsidP="00BD45C5">
      <w:r>
        <w:t xml:space="preserve">The RMP evaluator has noted that the summary of safety concerns and proposed additional pharmacovigilance activities were amended during the evaluation process and these are now acceptable. The </w:t>
      </w:r>
      <w:r w:rsidR="009B7D36">
        <w:t>ASA</w:t>
      </w:r>
      <w:r>
        <w:t xml:space="preserve"> is to be amended to include concomitant use of </w:t>
      </w:r>
      <w:proofErr w:type="spellStart"/>
      <w:r>
        <w:t>gabapentinoids</w:t>
      </w:r>
      <w:proofErr w:type="spellEnd"/>
      <w:r>
        <w:t xml:space="preserve"> as an important potential risk</w:t>
      </w:r>
      <w:r w:rsidR="00885CE7">
        <w:t>.</w:t>
      </w:r>
    </w:p>
    <w:p w14:paraId="69A8E18A" w14:textId="63705705" w:rsidR="00885CE7" w:rsidRDefault="00C44665" w:rsidP="00BD45C5">
      <w:r>
        <w:t>The s</w:t>
      </w:r>
      <w:r w:rsidR="00BD45C5" w:rsidRPr="00311C4F">
        <w:t>ponsor has agreed to prepare and distribute educational material to healthcare professionals and patients on the safety concer</w:t>
      </w:r>
      <w:r>
        <w:t>ns in the safety specification.</w:t>
      </w:r>
      <w:r w:rsidR="00BD45C5" w:rsidRPr="00311C4F">
        <w:t xml:space="preserve"> Once approved by the TGA, this material should be distributed to addiction medicine specialists (include Australian State and Territory Drug and Alcohol health services), general practitioners and pharmacists (community and hospital)</w:t>
      </w:r>
      <w:r>
        <w:t>,</w:t>
      </w:r>
      <w:r w:rsidR="00BD45C5" w:rsidRPr="00311C4F">
        <w:t xml:space="preserve"> as a minimum</w:t>
      </w:r>
      <w:r w:rsidR="00885CE7">
        <w:t>.</w:t>
      </w:r>
    </w:p>
    <w:p w14:paraId="0EE147F9" w14:textId="470B6C59" w:rsidR="00885CE7" w:rsidRDefault="00BD45C5" w:rsidP="00BD45C5">
      <w:r>
        <w:t>The RMP evaluator stated that t</w:t>
      </w:r>
      <w:r w:rsidR="00C44665">
        <w:t>he s</w:t>
      </w:r>
      <w:r w:rsidRPr="00311C4F">
        <w:t>ponsor should provide an assessment as to whether any other health professionals should receive this material and detail their distribution strategy of this material, including how they will determine whether adequate distribution has been achieved</w:t>
      </w:r>
      <w:r w:rsidR="00885CE7">
        <w:t>.</w:t>
      </w:r>
    </w:p>
    <w:p w14:paraId="7392D0F4" w14:textId="77777777" w:rsidR="00BD45C5" w:rsidRPr="00311C4F" w:rsidRDefault="00BD45C5" w:rsidP="00BD45C5">
      <w:r w:rsidRPr="00311C4F">
        <w:t xml:space="preserve">The sponsor should </w:t>
      </w:r>
      <w:r>
        <w:t xml:space="preserve">also </w:t>
      </w:r>
      <w:r w:rsidRPr="00311C4F">
        <w:t>inform the TGA of the anticipated date of product launch and ensure the draft educational material is provided to the TGA as soon as possible, and with sufficient time for revision prior to the launch date.</w:t>
      </w:r>
    </w:p>
    <w:p w14:paraId="62671501" w14:textId="77777777" w:rsidR="00BD45C5" w:rsidRPr="00BD45C5" w:rsidRDefault="00BD45C5" w:rsidP="00BD45C5">
      <w:pPr>
        <w:pStyle w:val="Heading4"/>
      </w:pPr>
      <w:r w:rsidRPr="00BD45C5">
        <w:t>Recommended condition/s of registration</w:t>
      </w:r>
    </w:p>
    <w:p w14:paraId="279DA4A7" w14:textId="77777777" w:rsidR="00BD45C5" w:rsidRPr="00311C4F" w:rsidRDefault="00BD45C5" w:rsidP="00BD45C5">
      <w:r>
        <w:t>The suggested wording is:</w:t>
      </w:r>
    </w:p>
    <w:p w14:paraId="65C2539D" w14:textId="77777777" w:rsidR="00BD45C5" w:rsidRPr="00311C4F" w:rsidRDefault="00BD45C5" w:rsidP="00C44665">
      <w:pPr>
        <w:ind w:left="720"/>
      </w:pPr>
      <w:r w:rsidRPr="00311C4F">
        <w:t xml:space="preserve">The </w:t>
      </w:r>
      <w:proofErr w:type="spellStart"/>
      <w:r w:rsidRPr="00311C4F">
        <w:t>Buvidal</w:t>
      </w:r>
      <w:proofErr w:type="spellEnd"/>
      <w:r w:rsidRPr="00311C4F">
        <w:t xml:space="preserve"> EU-Risk Management Plan (RMP) (version 0.2, dated 24 April 2018, data lock point 15 May 2017), with Australian Specific Annex (version 0.2, dated 25 April 2018), included with submission PM-2017-02926-1-1, to be revised to the satisfaction of the TGA, will be implemented in Australia.</w:t>
      </w:r>
    </w:p>
    <w:p w14:paraId="6B0E89AC" w14:textId="77777777" w:rsidR="00BD45C5" w:rsidRPr="00311C4F" w:rsidRDefault="00BD45C5" w:rsidP="00BD45C5">
      <w:r w:rsidRPr="00311C4F">
        <w:t>The following wording is recommended for the PSUR requirement:</w:t>
      </w:r>
    </w:p>
    <w:p w14:paraId="27C46AF2" w14:textId="77777777" w:rsidR="00885CE7" w:rsidRDefault="00BD45C5" w:rsidP="00BD45C5">
      <w:pPr>
        <w:ind w:left="720"/>
      </w:pPr>
      <w:r w:rsidRPr="00311C4F">
        <w:t>An obligatory component of risk management plans is routine pharmacovigilance. Routine pharmacovigilance includes the submission of Periodic Safety Update Reports (PSURs)</w:t>
      </w:r>
      <w:r w:rsidR="00885CE7">
        <w:t>.</w:t>
      </w:r>
    </w:p>
    <w:p w14:paraId="35478947" w14:textId="77777777" w:rsidR="00885CE7" w:rsidRDefault="00BD45C5" w:rsidP="00BD45C5">
      <w:pPr>
        <w:ind w:left="720"/>
      </w:pPr>
      <w:r w:rsidRPr="00311C4F">
        <w:t>Reports are to be provided in line with the current published list of EU reference dates and frequency of submission of PSURs until the period covered by such reports is not less than three years from the date of this approval letter</w:t>
      </w:r>
      <w:r w:rsidR="00885CE7">
        <w:t>.</w:t>
      </w:r>
    </w:p>
    <w:p w14:paraId="146A2796" w14:textId="77777777" w:rsidR="00BD45C5" w:rsidRDefault="00BD45C5" w:rsidP="00BD45C5">
      <w:pPr>
        <w:ind w:left="720"/>
      </w:pPr>
      <w:r w:rsidRPr="00311C4F">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77D6136" w14:textId="77777777" w:rsidR="00BD45C5" w:rsidRPr="00311C4F" w:rsidRDefault="00BD45C5" w:rsidP="00BD45C5">
      <w:pPr>
        <w:rPr>
          <w:b/>
        </w:rPr>
      </w:pPr>
      <w:r w:rsidRPr="00311C4F">
        <w:rPr>
          <w:b/>
        </w:rPr>
        <w:t>Additional activities for compliance monitoring</w:t>
      </w:r>
    </w:p>
    <w:p w14:paraId="3007258B" w14:textId="77777777" w:rsidR="00BD45C5" w:rsidRDefault="00BD45C5" w:rsidP="00BD45C5">
      <w:r>
        <w:t>The sponsor is required to submit education materials prior to launch, and has been requested to provide the anticipated launch date.</w:t>
      </w:r>
    </w:p>
    <w:p w14:paraId="1D37FF91" w14:textId="12C040F3" w:rsidR="008E7846" w:rsidRDefault="00BD45C5" w:rsidP="00BD45C5">
      <w:r>
        <w:t>Accidental overdose should be subject to specific post-</w:t>
      </w:r>
      <w:r w:rsidR="00C44665">
        <w:t>marketing surveillance and the s</w:t>
      </w:r>
      <w:r>
        <w:t xml:space="preserve">ponsor should provide the TGA with annual reports on this risk. These reports should be </w:t>
      </w:r>
      <w:r>
        <w:lastRenderedPageBreak/>
        <w:t>reviewed as part of the RMP Compliance Program to assess whether there are any concerns.</w:t>
      </w:r>
    </w:p>
    <w:p w14:paraId="08542EC0" w14:textId="77777777" w:rsidR="008E7846" w:rsidRDefault="00AA0ED0" w:rsidP="008E7846">
      <w:pPr>
        <w:pStyle w:val="Heading3"/>
      </w:pPr>
      <w:bookmarkStart w:id="144" w:name="_Toc247691531"/>
      <w:bookmarkStart w:id="145" w:name="_Toc314842515"/>
      <w:bookmarkStart w:id="146" w:name="_Toc196046505"/>
      <w:bookmarkStart w:id="147" w:name="_Toc196046949"/>
      <w:bookmarkStart w:id="148" w:name="_Toc24539945"/>
      <w:r>
        <w:t>Risk-benefit a</w:t>
      </w:r>
      <w:r w:rsidR="008E7846">
        <w:t>nalysis</w:t>
      </w:r>
      <w:bookmarkEnd w:id="144"/>
      <w:bookmarkEnd w:id="145"/>
      <w:bookmarkEnd w:id="148"/>
    </w:p>
    <w:p w14:paraId="209243C2" w14:textId="17B7AE99" w:rsidR="00D23139" w:rsidRDefault="00BD6B4B" w:rsidP="00D23139">
      <w:pPr>
        <w:pStyle w:val="Heading4"/>
      </w:pPr>
      <w:r>
        <w:t>Delegate’s considerations</w:t>
      </w:r>
    </w:p>
    <w:p w14:paraId="263E324F" w14:textId="77777777" w:rsidR="00456765" w:rsidRDefault="00BD45C5" w:rsidP="00BD45C5">
      <w:pPr>
        <w:pStyle w:val="Heading5"/>
      </w:pPr>
      <w:r>
        <w:t>Discussion</w:t>
      </w:r>
    </w:p>
    <w:p w14:paraId="3B1CC975" w14:textId="52AD2104" w:rsidR="00BD45C5" w:rsidRDefault="00BD45C5" w:rsidP="00BD45C5">
      <w:r>
        <w:t xml:space="preserve">The primary efficacy measure for the EMA in the pivotal study assessed urine samples negative for illicit opioids. This endpoint was also used in the pivotal studies supporting approval of </w:t>
      </w:r>
      <w:proofErr w:type="spellStart"/>
      <w:r w:rsidR="00C44665">
        <w:t>Subutex</w:t>
      </w:r>
      <w:proofErr w:type="spellEnd"/>
      <w:r>
        <w:t xml:space="preserve"> (</w:t>
      </w:r>
      <w:r w:rsidR="00246DC3">
        <w:t>buprenorphine</w:t>
      </w:r>
      <w:r>
        <w:t xml:space="preserve">) and </w:t>
      </w:r>
      <w:proofErr w:type="spellStart"/>
      <w:r w:rsidR="00C44665">
        <w:t>Suboxone</w:t>
      </w:r>
      <w:proofErr w:type="spellEnd"/>
      <w:r>
        <w:t xml:space="preserve"> (</w:t>
      </w:r>
      <w:r w:rsidR="00246DC3">
        <w:t>buprenorphine</w:t>
      </w:r>
      <w:r>
        <w:t xml:space="preserve">/ naloxone). This parameter is accepted however there were relatively few urine samples </w:t>
      </w:r>
      <w:r w:rsidR="00C44665">
        <w:t>obtained in the pivotal study. The Delegate</w:t>
      </w:r>
      <w:r>
        <w:t xml:space="preserve"> note</w:t>
      </w:r>
      <w:r w:rsidR="00C44665">
        <w:t>s</w:t>
      </w:r>
      <w:r>
        <w:t xml:space="preserve"> that in the pivotal clinical trial supporting approval of </w:t>
      </w:r>
      <w:proofErr w:type="spellStart"/>
      <w:r w:rsidR="00C44665">
        <w:t>Suboxone</w:t>
      </w:r>
      <w:proofErr w:type="spellEnd"/>
      <w:r>
        <w:t xml:space="preserve"> uri</w:t>
      </w:r>
      <w:r w:rsidR="00C44665">
        <w:t xml:space="preserve">ne samples were obtained thrice weekly in a 13 week study. </w:t>
      </w:r>
      <w:r>
        <w:t xml:space="preserve">In the pivotal study for the two </w:t>
      </w:r>
      <w:r w:rsidR="00246DC3">
        <w:t>buprenorphine</w:t>
      </w:r>
      <w:r>
        <w:t xml:space="preserve"> formulations proposed for registration in this submission urine samples were obtained on a maximum of 18 occ</w:t>
      </w:r>
      <w:r w:rsidR="00C44665">
        <w:t>asions over 24 weeks.</w:t>
      </w:r>
    </w:p>
    <w:p w14:paraId="5A694F4A" w14:textId="38132EAA" w:rsidR="00BD45C5" w:rsidRDefault="00C44665" w:rsidP="00BD45C5">
      <w:r>
        <w:t xml:space="preserve">The pivotal study compared take </w:t>
      </w:r>
      <w:r w:rsidR="00BD45C5">
        <w:t xml:space="preserve">away SL </w:t>
      </w:r>
      <w:r w:rsidR="00246DC3">
        <w:t>buprenorphine</w:t>
      </w:r>
      <w:r>
        <w:t>/naloxone</w:t>
      </w:r>
      <w:r w:rsidR="00BD45C5">
        <w:t xml:space="preserve"> doses with CAM2038 dose presentations that were administered at a </w:t>
      </w:r>
      <w:r>
        <w:t xml:space="preserve">clinic and thus could not be on sold or otherwise disposed of. </w:t>
      </w:r>
      <w:r w:rsidR="00BD45C5">
        <w:t xml:space="preserve">It would have been more reflective of the usual practice to compare daily or second daily provision of SL </w:t>
      </w:r>
      <w:r w:rsidR="00246DC3">
        <w:t>buprenorphine</w:t>
      </w:r>
      <w:r>
        <w:t>/naloxone</w:t>
      </w:r>
      <w:r w:rsidR="00BD45C5">
        <w:t xml:space="preserve"> with weekly then monthly CAM2038. The comparison presented has demonstrated that efficacy of weekly then monthly CAM2038 is no worse than take away doses of SL </w:t>
      </w:r>
      <w:r w:rsidR="00246DC3">
        <w:t>buprenorphine</w:t>
      </w:r>
      <w:r>
        <w:t>/naloxone</w:t>
      </w:r>
      <w:r w:rsidR="00BD45C5">
        <w:t xml:space="preserve"> given to opioid dependent individuals who had not been previously stabilised on a</w:t>
      </w:r>
      <w:r>
        <w:t>n opioid substitution regimen.</w:t>
      </w:r>
    </w:p>
    <w:p w14:paraId="1513B628" w14:textId="79762A30" w:rsidR="00BD45C5" w:rsidRDefault="00BD45C5" w:rsidP="00BD45C5">
      <w:r>
        <w:t xml:space="preserve">The National Guidelines for Medication-Assisted </w:t>
      </w:r>
      <w:r w:rsidR="00C44665">
        <w:t>Treatment of Opioid Dependence</w:t>
      </w:r>
      <w:r w:rsidR="009B7D36">
        <w:t>;</w:t>
      </w:r>
      <w:r w:rsidR="00C44665">
        <w:fldChar w:fldCharType="begin"/>
      </w:r>
      <w:r w:rsidR="00C44665">
        <w:instrText xml:space="preserve"> NOTEREF _Ref18500477 \f \h </w:instrText>
      </w:r>
      <w:r w:rsidR="00C44665">
        <w:fldChar w:fldCharType="separate"/>
      </w:r>
      <w:r w:rsidR="00C44665" w:rsidRPr="00C44665">
        <w:rPr>
          <w:rStyle w:val="FootnoteReference"/>
        </w:rPr>
        <w:t>10</w:t>
      </w:r>
      <w:r w:rsidR="00C44665">
        <w:fldChar w:fldCharType="end"/>
      </w:r>
      <w:r w:rsidR="00C44665">
        <w:t xml:space="preserve"> </w:t>
      </w:r>
      <w:r>
        <w:t>note</w:t>
      </w:r>
      <w:r w:rsidR="00C44665">
        <w:t>s</w:t>
      </w:r>
      <w:r>
        <w:t xml:space="preserve"> that in general, treatment of opioid dependence with methadone or buprenorphine is based on daily supervised dosing at a pharmacy or c</w:t>
      </w:r>
      <w:r w:rsidR="00C44665">
        <w:t>linic. The efficacy of the takea</w:t>
      </w:r>
      <w:r>
        <w:t xml:space="preserve">way doses of SL </w:t>
      </w:r>
      <w:r w:rsidR="00246DC3">
        <w:t>buprenorphine</w:t>
      </w:r>
      <w:r w:rsidR="00C44665">
        <w:t>/naloxone</w:t>
      </w:r>
      <w:r>
        <w:t xml:space="preserve"> provided in the pivotal study is likely to be lower than would be the case for SL </w:t>
      </w:r>
      <w:r w:rsidR="00246DC3">
        <w:t>buprenorphine</w:t>
      </w:r>
      <w:r w:rsidR="00C44665">
        <w:t>/naloxone</w:t>
      </w:r>
      <w:r>
        <w:t xml:space="preserve"> given with daily or s</w:t>
      </w:r>
      <w:r w:rsidR="00C44665">
        <w:t xml:space="preserve">econd daily supply and review. </w:t>
      </w:r>
      <w:r>
        <w:t>Thu</w:t>
      </w:r>
      <w:r w:rsidR="00C44665">
        <w:t xml:space="preserve">s the comparison is not ideal. </w:t>
      </w:r>
      <w:r>
        <w:t xml:space="preserve">Similarly the selection of study subjects who were not stabilised on an opioid substitution regimen is likely to have reduced the efficacy of SL </w:t>
      </w:r>
      <w:r w:rsidR="00246DC3">
        <w:t>buprenorphine</w:t>
      </w:r>
      <w:r w:rsidR="00C44665">
        <w:t>/naloxone</w:t>
      </w:r>
      <w:r>
        <w:t xml:space="preserve">, thereby maximising the differences in efficacy between SL </w:t>
      </w:r>
      <w:r w:rsidR="00246DC3">
        <w:t>buprenorphine</w:t>
      </w:r>
      <w:r w:rsidR="00C44665">
        <w:t>/naloxone and CAM2038.</w:t>
      </w:r>
    </w:p>
    <w:p w14:paraId="303FE211" w14:textId="7D98F1E1" w:rsidR="00BD45C5" w:rsidRDefault="00BD45C5" w:rsidP="00BD45C5">
      <w:r>
        <w:t xml:space="preserve">No clinically significant differences in safety between SL </w:t>
      </w:r>
      <w:r w:rsidR="00246DC3">
        <w:t>buprenorphine</w:t>
      </w:r>
      <w:r w:rsidR="00C44665">
        <w:t>/naloxone</w:t>
      </w:r>
      <w:r>
        <w:t xml:space="preserve"> and CAM2038 were demons</w:t>
      </w:r>
      <w:r w:rsidR="00C44665">
        <w:t xml:space="preserve">trated in the clinical trials. </w:t>
      </w:r>
      <w:r>
        <w:t>In theory</w:t>
      </w:r>
      <w:r w:rsidR="00C44665">
        <w:t>,</w:t>
      </w:r>
      <w:r>
        <w:t xml:space="preserve"> the SC dose form, if not made as widely available as the current SL </w:t>
      </w:r>
      <w:r w:rsidR="00246DC3">
        <w:t>buprenorphine</w:t>
      </w:r>
      <w:r>
        <w:t xml:space="preserve"> and </w:t>
      </w:r>
      <w:r w:rsidR="00246DC3">
        <w:t>buprenorphine</w:t>
      </w:r>
      <w:r w:rsidR="00C44665">
        <w:t>/naloxone</w:t>
      </w:r>
      <w:r>
        <w:t xml:space="preserve"> products, would be less likely to be misused and abused, though th</w:t>
      </w:r>
      <w:r w:rsidR="00C44665">
        <w:t>is has not been demonstrated.</w:t>
      </w:r>
    </w:p>
    <w:p w14:paraId="1DD06F3C" w14:textId="0DD5A920" w:rsidR="00885CE7" w:rsidRDefault="00BD45C5" w:rsidP="00BD45C5">
      <w:r>
        <w:t>The National Guidelines advise that patients commencing opioid substitution therapy undergo induction prior to commencing maintenance therapy to safely achieve an adequate dose of medication, stabilise the patient’s opioid use, and to address co-existing conditions. Induction strategies differ with the medication u</w:t>
      </w:r>
      <w:r w:rsidR="00C44665">
        <w:t xml:space="preserve">sed for substitution therapy. </w:t>
      </w:r>
      <w:r>
        <w:t xml:space="preserve">The induction regimen with CAM2038 was very brief and not tailored to the previous opioids taken by the study subjects. It would be reasonable to require that patients being considered for weekly CAM2038 therapy be first stabilised on SL </w:t>
      </w:r>
      <w:r w:rsidR="00246DC3">
        <w:t>buprenorphine</w:t>
      </w:r>
      <w:r>
        <w:t xml:space="preserve"> or </w:t>
      </w:r>
      <w:r w:rsidR="00246DC3">
        <w:t>buprenorphine</w:t>
      </w:r>
      <w:r w:rsidR="00C44665">
        <w:t>/naloxone</w:t>
      </w:r>
      <w:r>
        <w:t xml:space="preserve"> then switched to an a</w:t>
      </w:r>
      <w:r w:rsidR="00C44665">
        <w:t xml:space="preserve">ppropriate dose of CAM2038q1w. </w:t>
      </w:r>
      <w:r>
        <w:t>CAM2038 q4w should only be given to individuals who have been st</w:t>
      </w:r>
      <w:r w:rsidR="00C44665">
        <w:t>abilised on weekly CAM2038 q1w.</w:t>
      </w:r>
      <w:r>
        <w:t xml:space="preserve"> The indications for each CAM2038 product should be amended to reflect the requirements for stabilisation</w:t>
      </w:r>
      <w:r w:rsidR="00885CE7">
        <w:t>.</w:t>
      </w:r>
    </w:p>
    <w:p w14:paraId="60480818" w14:textId="34E4F2F3" w:rsidR="00BD45C5" w:rsidRDefault="00BD45C5" w:rsidP="00BD45C5">
      <w:r>
        <w:t>Two different products have b</w:t>
      </w:r>
      <w:r w:rsidR="00C44665">
        <w:t xml:space="preserve">een proposed for registration. </w:t>
      </w:r>
      <w:r>
        <w:t>They have different formulation</w:t>
      </w:r>
      <w:r w:rsidR="00C44665">
        <w:t xml:space="preserve">s and different dose regimens. </w:t>
      </w:r>
      <w:r>
        <w:t xml:space="preserve">Initially these products had the same </w:t>
      </w:r>
      <w:r w:rsidR="00C44665">
        <w:lastRenderedPageBreak/>
        <w:t xml:space="preserve">tradename and PI. </w:t>
      </w:r>
      <w:r>
        <w:t xml:space="preserve">This was subsequently amended and that change should improve both </w:t>
      </w:r>
      <w:r w:rsidR="00C44665">
        <w:t xml:space="preserve">safety and clinical utility. </w:t>
      </w:r>
      <w:r>
        <w:t>The clinical evaluator recommended that the indication be limited to adults and that the same indication would be acceptable for both formulations</w:t>
      </w:r>
      <w:r w:rsidR="00C44665">
        <w:t>. The Delegate</w:t>
      </w:r>
      <w:r>
        <w:t xml:space="preserve"> disagree</w:t>
      </w:r>
      <w:r w:rsidR="00C44665">
        <w:t>s</w:t>
      </w:r>
      <w:r>
        <w:t xml:space="preserve">, for clinical utility and consistency with SL </w:t>
      </w:r>
      <w:r w:rsidR="00246DC3">
        <w:t>buprenorphine</w:t>
      </w:r>
      <w:r>
        <w:t xml:space="preserve"> containing products CAM2038 should be available without a specific age </w:t>
      </w:r>
      <w:r w:rsidR="00C44665">
        <w:t>restriction in the indication.</w:t>
      </w:r>
    </w:p>
    <w:p w14:paraId="466B5C81" w14:textId="5C2D6C2B" w:rsidR="00BD45C5" w:rsidRDefault="00BD45C5" w:rsidP="00BD45C5">
      <w:r>
        <w:t xml:space="preserve">It isn’t clear which of the current opioid substitution clinics would be capable of administering depot </w:t>
      </w:r>
      <w:r w:rsidR="00246DC3">
        <w:t>buprenorphine</w:t>
      </w:r>
      <w:r w:rsidR="00C44665">
        <w:t xml:space="preserve"> products. </w:t>
      </w:r>
      <w:r>
        <w:t xml:space="preserve">Availability of these products may need to be limited to hospital and specialist drug rehabilitation clinics. Community pharmacy programs should be excluded from use </w:t>
      </w:r>
      <w:r w:rsidR="00C44665">
        <w:t xml:space="preserve">of CAM2038 at least initially. </w:t>
      </w:r>
      <w:r>
        <w:t>This could be reviewed once the products have a history of use in more controlled circu</w:t>
      </w:r>
      <w:r w:rsidR="00C44665">
        <w:t xml:space="preserve">mstances. </w:t>
      </w:r>
      <w:r>
        <w:t xml:space="preserve">It has been noted by the sponsor that most clients need to attend a dosing point regularly to take their opioid pharmacotherapy </w:t>
      </w:r>
      <w:r w:rsidR="00C44665">
        <w:t>drug under supervision. In 2013 to 20</w:t>
      </w:r>
      <w:r>
        <w:t>14 there were 2,432</w:t>
      </w:r>
      <w:r w:rsidR="009B7D36">
        <w:t> </w:t>
      </w:r>
      <w:r>
        <w:t>dosing point sites in Australia, and 9 in 10 (89%) were located in pharmacies.</w:t>
      </w:r>
    </w:p>
    <w:p w14:paraId="1FC8AE43" w14:textId="77777777" w:rsidR="00F41C1C" w:rsidRDefault="00F41C1C" w:rsidP="00F41C1C">
      <w:pPr>
        <w:pStyle w:val="Heading6"/>
      </w:pPr>
      <w:r>
        <w:t>Proposed indications</w:t>
      </w:r>
    </w:p>
    <w:p w14:paraId="70D1FB4E" w14:textId="141A264B" w:rsidR="00F41C1C" w:rsidRDefault="00F41C1C" w:rsidP="00F41C1C">
      <w:r>
        <w:t>The following indications are recommen</w:t>
      </w:r>
      <w:r w:rsidR="00CD31EB">
        <w:t>ded.</w:t>
      </w:r>
    </w:p>
    <w:p w14:paraId="42A2DDAA" w14:textId="5CBCFC82" w:rsidR="00F41C1C" w:rsidRDefault="00C44665" w:rsidP="00F41C1C">
      <w:r>
        <w:t>For CAM2038 q1w:</w:t>
      </w:r>
    </w:p>
    <w:p w14:paraId="7D1EA62F" w14:textId="6F8259CC" w:rsidR="00F41C1C" w:rsidRPr="00C44665" w:rsidRDefault="00C44665" w:rsidP="00C44665">
      <w:pPr>
        <w:ind w:left="720"/>
        <w:rPr>
          <w:i/>
        </w:rPr>
      </w:pPr>
      <w:proofErr w:type="spellStart"/>
      <w:r w:rsidRPr="00C44665">
        <w:rPr>
          <w:i/>
        </w:rPr>
        <w:t>Buvidal</w:t>
      </w:r>
      <w:proofErr w:type="spellEnd"/>
      <w:r w:rsidRPr="00C44665">
        <w:rPr>
          <w:i/>
        </w:rPr>
        <w:t xml:space="preserve"> Weekly </w:t>
      </w:r>
      <w:r w:rsidR="00F41C1C" w:rsidRPr="00C44665">
        <w:rPr>
          <w:i/>
        </w:rPr>
        <w:t xml:space="preserve">is indicated for the treatment of opioid dependence in patients who have initiated treatment with a </w:t>
      </w:r>
      <w:proofErr w:type="spellStart"/>
      <w:r w:rsidR="00F41C1C" w:rsidRPr="00C44665">
        <w:rPr>
          <w:i/>
        </w:rPr>
        <w:t>transmucosal</w:t>
      </w:r>
      <w:proofErr w:type="spellEnd"/>
      <w:r w:rsidR="00F41C1C" w:rsidRPr="00C44665">
        <w:rPr>
          <w:i/>
        </w:rPr>
        <w:t xml:space="preserve"> buprenorphine‐containing product, followed by dose adjustment for a minimum of 7 days.</w:t>
      </w:r>
    </w:p>
    <w:p w14:paraId="1BDA5AB4" w14:textId="0836EDCC" w:rsidR="00F41C1C" w:rsidRPr="00C44665" w:rsidRDefault="00C44665" w:rsidP="00C44665">
      <w:pPr>
        <w:ind w:left="720"/>
        <w:rPr>
          <w:i/>
        </w:rPr>
      </w:pPr>
      <w:proofErr w:type="spellStart"/>
      <w:r w:rsidRPr="00C44665">
        <w:rPr>
          <w:i/>
        </w:rPr>
        <w:t>Buvidal</w:t>
      </w:r>
      <w:proofErr w:type="spellEnd"/>
      <w:r w:rsidRPr="00C44665">
        <w:rPr>
          <w:i/>
        </w:rPr>
        <w:t xml:space="preserve"> Weekly</w:t>
      </w:r>
      <w:r w:rsidR="00F41C1C" w:rsidRPr="00C44665">
        <w:rPr>
          <w:i/>
        </w:rPr>
        <w:t xml:space="preserve"> should be used as part of a complete treatment plan that includes counselling and psychosocial support.</w:t>
      </w:r>
    </w:p>
    <w:p w14:paraId="22D66829" w14:textId="77777777" w:rsidR="00F41C1C" w:rsidRDefault="00F41C1C" w:rsidP="00F41C1C">
      <w:r>
        <w:t>For CAM2038 q4w:</w:t>
      </w:r>
    </w:p>
    <w:p w14:paraId="1666AC49" w14:textId="40F57FCD" w:rsidR="00885CE7" w:rsidRPr="00C44665" w:rsidRDefault="00C44665" w:rsidP="00C44665">
      <w:pPr>
        <w:ind w:left="720"/>
        <w:rPr>
          <w:i/>
        </w:rPr>
      </w:pPr>
      <w:proofErr w:type="spellStart"/>
      <w:r w:rsidRPr="00C44665">
        <w:rPr>
          <w:i/>
        </w:rPr>
        <w:t>Buvidal</w:t>
      </w:r>
      <w:proofErr w:type="spellEnd"/>
      <w:r w:rsidRPr="00C44665">
        <w:rPr>
          <w:i/>
        </w:rPr>
        <w:t xml:space="preserve"> Monthly </w:t>
      </w:r>
      <w:r w:rsidR="00F41C1C" w:rsidRPr="00C44665">
        <w:rPr>
          <w:i/>
        </w:rPr>
        <w:t>is indicated for the treatment of opioid dependence in patients who have been stabilised on treatment with weekly depot injections of buprenorphine for a minimum of 12 weeks</w:t>
      </w:r>
      <w:r w:rsidR="00885CE7" w:rsidRPr="00C44665">
        <w:rPr>
          <w:i/>
        </w:rPr>
        <w:t>.</w:t>
      </w:r>
    </w:p>
    <w:p w14:paraId="7BEC399E" w14:textId="4E16EE3E" w:rsidR="00F41C1C" w:rsidRPr="00C44665" w:rsidRDefault="00C44665" w:rsidP="00C44665">
      <w:pPr>
        <w:ind w:left="720"/>
        <w:rPr>
          <w:i/>
        </w:rPr>
      </w:pPr>
      <w:proofErr w:type="spellStart"/>
      <w:r w:rsidRPr="00C44665">
        <w:rPr>
          <w:i/>
        </w:rPr>
        <w:t>Buvidal</w:t>
      </w:r>
      <w:proofErr w:type="spellEnd"/>
      <w:r w:rsidRPr="00C44665">
        <w:rPr>
          <w:i/>
        </w:rPr>
        <w:t xml:space="preserve"> Monthly </w:t>
      </w:r>
      <w:r w:rsidR="00F41C1C" w:rsidRPr="00C44665">
        <w:rPr>
          <w:i/>
        </w:rPr>
        <w:t>should be used as part of a complete treatment plan that includes counselling and psychosocial support.</w:t>
      </w:r>
    </w:p>
    <w:p w14:paraId="306B5F15" w14:textId="77777777" w:rsidR="00F41C1C" w:rsidRDefault="00F41C1C" w:rsidP="00F41C1C">
      <w:pPr>
        <w:pStyle w:val="Heading6"/>
      </w:pPr>
      <w:r>
        <w:t>Deficiencies of the data</w:t>
      </w:r>
    </w:p>
    <w:p w14:paraId="222B65B3" w14:textId="1628C4D3" w:rsidR="00F41C1C" w:rsidRDefault="00F41C1C" w:rsidP="00F41C1C">
      <w:r>
        <w:t xml:space="preserve">SL </w:t>
      </w:r>
      <w:r w:rsidR="00246DC3">
        <w:t>buprenorphine</w:t>
      </w:r>
      <w:r>
        <w:t xml:space="preserve"> in opioid replacement is usually administered daily and patients have a more intensive period of stabilisation that was given in the Phase</w:t>
      </w:r>
      <w:r w:rsidR="00C44665">
        <w:t xml:space="preserve"> III studies in this submission. </w:t>
      </w:r>
      <w:r>
        <w:t>It is not clear whether these products would be non-inferior to usual care for opioid repla</w:t>
      </w:r>
      <w:r w:rsidR="00C44665">
        <w:t>cement treatment in Australia.</w:t>
      </w:r>
    </w:p>
    <w:p w14:paraId="75E938EC" w14:textId="77777777" w:rsidR="00F41C1C" w:rsidRDefault="00F41C1C" w:rsidP="00F41C1C">
      <w:pPr>
        <w:pStyle w:val="Heading6"/>
      </w:pPr>
      <w:r>
        <w:t>Conditions of registration</w:t>
      </w:r>
    </w:p>
    <w:p w14:paraId="0F39BF15" w14:textId="0A0AE1CC" w:rsidR="00F41C1C" w:rsidRDefault="00F41C1C" w:rsidP="00F41C1C">
      <w:r>
        <w:t>Supply should be restricted to hospitals and opioid rehabilitation clinics where supervision by a medical practitioner is available. Community pharmacy clinics should not be able</w:t>
      </w:r>
      <w:r w:rsidR="006516F7">
        <w:t xml:space="preserve"> to administer these products.</w:t>
      </w:r>
    </w:p>
    <w:p w14:paraId="35643A28" w14:textId="77777777" w:rsidR="00F41C1C" w:rsidRDefault="00F41C1C" w:rsidP="00F41C1C">
      <w:pPr>
        <w:pStyle w:val="Heading6"/>
      </w:pPr>
      <w:r>
        <w:t>Proposed regulatory action</w:t>
      </w:r>
    </w:p>
    <w:p w14:paraId="6117ECD7" w14:textId="1EA80E1C" w:rsidR="00F41C1C" w:rsidRDefault="00C44665" w:rsidP="00F41C1C">
      <w:r>
        <w:t>The Delegate</w:t>
      </w:r>
      <w:r w:rsidR="00F41C1C">
        <w:t xml:space="preserve"> propose</w:t>
      </w:r>
      <w:r>
        <w:t>s</w:t>
      </w:r>
      <w:r w:rsidR="00F41C1C">
        <w:t xml:space="preserve"> to register both products subject to finalisation of the PIs and conditions of registration.</w:t>
      </w:r>
    </w:p>
    <w:p w14:paraId="6DE5EBEA" w14:textId="77777777" w:rsidR="00F41C1C" w:rsidRDefault="00F41C1C" w:rsidP="00F41C1C">
      <w:pPr>
        <w:pStyle w:val="Heading6"/>
      </w:pPr>
      <w:r>
        <w:t>Questions for sponsor</w:t>
      </w:r>
    </w:p>
    <w:p w14:paraId="28985ADB" w14:textId="6A6F5041" w:rsidR="00F41C1C" w:rsidRDefault="00F41C1C" w:rsidP="00F41C1C">
      <w:pPr>
        <w:pStyle w:val="ListBullet"/>
      </w:pPr>
      <w:r>
        <w:t xml:space="preserve">The extent of requirement for the higher strength </w:t>
      </w:r>
      <w:r w:rsidR="00C44665">
        <w:t>CAM2038 products is not clear. In the Phase III</w:t>
      </w:r>
      <w:r>
        <w:t xml:space="preserve"> stu</w:t>
      </w:r>
      <w:r w:rsidR="00C44665">
        <w:t>dies dosage was individualised.</w:t>
      </w:r>
      <w:r>
        <w:t xml:space="preserve"> Please submit a table showing the distribution of dose regimens of SL </w:t>
      </w:r>
      <w:r w:rsidR="00246DC3">
        <w:t>buprenorphine</w:t>
      </w:r>
      <w:r w:rsidR="00C44665">
        <w:t>/naloxone</w:t>
      </w:r>
      <w:r>
        <w:t>, CAM2038 q1w and CAM2038q4w that subjects were stabilised to in Study HS-11-421. State the median dos</w:t>
      </w:r>
      <w:r w:rsidR="00C44665">
        <w:t>e and the range in each case. The Delegate</w:t>
      </w:r>
      <w:r>
        <w:t xml:space="preserve"> understand</w:t>
      </w:r>
      <w:r w:rsidR="00C44665">
        <w:t>s</w:t>
      </w:r>
      <w:r>
        <w:t xml:space="preserve"> this information was likely </w:t>
      </w:r>
      <w:r>
        <w:lastRenderedPageBreak/>
        <w:t xml:space="preserve">to be in </w:t>
      </w:r>
      <w:r w:rsidR="00CD31EB">
        <w:t xml:space="preserve">a particular appendix </w:t>
      </w:r>
      <w:r>
        <w:t>of the study report but that appendix was n</w:t>
      </w:r>
      <w:r w:rsidR="00C44665">
        <w:t>ot included in the submission.</w:t>
      </w:r>
    </w:p>
    <w:p w14:paraId="77E25E4B" w14:textId="12B2CBED" w:rsidR="00F41C1C" w:rsidRPr="00BD45C5" w:rsidRDefault="00F41C1C" w:rsidP="00F41C1C">
      <w:pPr>
        <w:pStyle w:val="ListBullet"/>
      </w:pPr>
      <w:r>
        <w:t>Please submit a table showing the distribution of dose regimens of CAM2038 q1w and CAM2038q4w that study subjects were sta</w:t>
      </w:r>
      <w:r w:rsidR="00A05783">
        <w:t>bilised to in S</w:t>
      </w:r>
      <w:r w:rsidR="00C44665">
        <w:t xml:space="preserve">tudy HS-14-499. </w:t>
      </w:r>
      <w:r>
        <w:t>State the median dose and the range.</w:t>
      </w:r>
    </w:p>
    <w:p w14:paraId="4248622D" w14:textId="77777777" w:rsidR="00BD45C5" w:rsidRDefault="00BD45C5" w:rsidP="00BD45C5">
      <w:pPr>
        <w:pStyle w:val="Heading5"/>
      </w:pPr>
      <w:r>
        <w:t>Summary of issues</w:t>
      </w:r>
    </w:p>
    <w:p w14:paraId="6DEB26CC" w14:textId="3B40A537" w:rsidR="00F41C1C" w:rsidRDefault="00F41C1C" w:rsidP="00F41C1C">
      <w:pPr>
        <w:pStyle w:val="ListBullet"/>
      </w:pPr>
      <w:r>
        <w:t xml:space="preserve">The proposed dose regimens for </w:t>
      </w:r>
      <w:proofErr w:type="spellStart"/>
      <w:r w:rsidR="00C44665">
        <w:t>Buvidal</w:t>
      </w:r>
      <w:proofErr w:type="spellEnd"/>
      <w:r w:rsidR="00C44665">
        <w:t xml:space="preserve"> Weekly</w:t>
      </w:r>
      <w:r>
        <w:t xml:space="preserve"> and </w:t>
      </w:r>
      <w:proofErr w:type="spellStart"/>
      <w:r w:rsidR="00C44665">
        <w:t>Buvidal</w:t>
      </w:r>
      <w:proofErr w:type="spellEnd"/>
      <w:r w:rsidR="00C44665">
        <w:t xml:space="preserve"> Monthly </w:t>
      </w:r>
      <w:r>
        <w:t xml:space="preserve">are not fully interchangeable with SL dose forms of </w:t>
      </w:r>
      <w:r w:rsidR="00246DC3">
        <w:t>buprenorphine</w:t>
      </w:r>
      <w:r>
        <w:t xml:space="preserve"> or </w:t>
      </w:r>
      <w:r w:rsidR="00246DC3">
        <w:t>buprenorphine</w:t>
      </w:r>
      <w:r w:rsidR="00C44665">
        <w:t>/naloxone.</w:t>
      </w:r>
      <w:r>
        <w:t xml:space="preserve"> Titration is likely to be required in an induction phase which would allow for closer monitoring an</w:t>
      </w:r>
      <w:r w:rsidR="00C44665">
        <w:t>d dose adjustments as needed.</w:t>
      </w:r>
    </w:p>
    <w:p w14:paraId="713C40C4" w14:textId="41B5A519" w:rsidR="00F41C1C" w:rsidRDefault="00F41C1C" w:rsidP="00F41C1C">
      <w:pPr>
        <w:pStyle w:val="ListBullet"/>
      </w:pPr>
      <w:r>
        <w:t xml:space="preserve">These products should only be commenced in patients who have been stabilised on SL dose forms of </w:t>
      </w:r>
      <w:r w:rsidR="00246DC3">
        <w:t>buprenorphine</w:t>
      </w:r>
      <w:r>
        <w:t xml:space="preserve"> or </w:t>
      </w:r>
      <w:r w:rsidR="00246DC3">
        <w:t>buprenorphine</w:t>
      </w:r>
      <w:r w:rsidR="00C44665">
        <w:t xml:space="preserve">/naloxone. </w:t>
      </w:r>
      <w:r>
        <w:t>That has not been proposed by the sponsor.</w:t>
      </w:r>
    </w:p>
    <w:p w14:paraId="2F8D8555" w14:textId="32ABC0E7" w:rsidR="00F41C1C" w:rsidRDefault="00F41C1C" w:rsidP="00F41C1C">
      <w:pPr>
        <w:pStyle w:val="ListBullet"/>
      </w:pPr>
      <w:r>
        <w:t>It is not clear that the 2 highest dose stre</w:t>
      </w:r>
      <w:r w:rsidR="00C44665">
        <w:t xml:space="preserve">ngths in both formulations, that is </w:t>
      </w:r>
      <w:r>
        <w:t>the 24 mg and 32 mg weekly dose strengths and the 128 mg and 160 mg monthly dose strengths</w:t>
      </w:r>
      <w:r w:rsidR="00C44665">
        <w:t>,</w:t>
      </w:r>
      <w:r>
        <w:t xml:space="preserve"> are lik</w:t>
      </w:r>
      <w:r w:rsidR="00C44665">
        <w:t>ely to be of clinical benefit. The Delegate</w:t>
      </w:r>
      <w:r>
        <w:t xml:space="preserve"> note</w:t>
      </w:r>
      <w:r w:rsidR="00C44665">
        <w:t>s</w:t>
      </w:r>
      <w:r>
        <w:t xml:space="preserve"> the 160 mg strength was withdrawn during the eva</w:t>
      </w:r>
      <w:r w:rsidR="00C44665">
        <w:t>luation process.</w:t>
      </w:r>
    </w:p>
    <w:p w14:paraId="6340D788" w14:textId="12A555E1" w:rsidR="00F41C1C" w:rsidRDefault="00F41C1C" w:rsidP="00F41C1C">
      <w:pPr>
        <w:pStyle w:val="ListBullet"/>
      </w:pPr>
      <w:r>
        <w:t xml:space="preserve">Another SC formulation of </w:t>
      </w:r>
      <w:r w:rsidR="00246DC3">
        <w:t>buprenorphine</w:t>
      </w:r>
      <w:r>
        <w:t xml:space="preserve"> (approved in the USA) has been demonstrated to form a solid mass upon contact with body fluids and may cause occlusion, l</w:t>
      </w:r>
      <w:r w:rsidR="00C44665">
        <w:t>ocal tissue damage, and thrombo</w:t>
      </w:r>
      <w:r>
        <w:t xml:space="preserve">embolic events, including life threatening pulmonary emboli, if administered intravenously. No clinical data on the effects of the </w:t>
      </w:r>
      <w:r w:rsidR="00246DC3">
        <w:t>buprenorphine</w:t>
      </w:r>
      <w:r>
        <w:t xml:space="preserve"> formulations proposed for registration when administered intravenously have been supplied however data in rats suggest if injected intravenously that venous occlusion can occur with these products.</w:t>
      </w:r>
    </w:p>
    <w:p w14:paraId="49996B73" w14:textId="3711AAEF" w:rsidR="00BD45C5" w:rsidRPr="00BD45C5" w:rsidRDefault="00F41C1C" w:rsidP="00F41C1C">
      <w:pPr>
        <w:pStyle w:val="ListBullet"/>
      </w:pPr>
      <w:r>
        <w:t>Currently the majority of opioid replacement medications are provided to clients in pharmacies with substantial provis</w:t>
      </w:r>
      <w:r w:rsidR="00C44665">
        <w:t>ion from community pharmacies. The D</w:t>
      </w:r>
      <w:r>
        <w:t>elegate considers that injection of buprenorphine in community pharmacies by pharmacists is not an optimal method of provision of this product and that it would be more appropriate to provide these products und</w:t>
      </w:r>
      <w:r w:rsidR="00C44665">
        <w:t xml:space="preserve">er direct medical supervision. </w:t>
      </w:r>
      <w:r>
        <w:t xml:space="preserve">This has not </w:t>
      </w:r>
      <w:r w:rsidR="00C44665">
        <w:t>been proposed by the sponsor.</w:t>
      </w:r>
    </w:p>
    <w:p w14:paraId="1DBBFBF6" w14:textId="77777777" w:rsidR="00D23139" w:rsidRDefault="00D23139" w:rsidP="00D23139">
      <w:pPr>
        <w:pStyle w:val="Heading4"/>
      </w:pPr>
      <w:r w:rsidRPr="00D23139">
        <w:t>Proposed action</w:t>
      </w:r>
    </w:p>
    <w:p w14:paraId="4FBDD665" w14:textId="09A4A884" w:rsidR="00456765" w:rsidRPr="00456765" w:rsidRDefault="00F41C1C" w:rsidP="00456765">
      <w:r>
        <w:t>The Delegate has</w:t>
      </w:r>
      <w:r w:rsidRPr="00F41C1C">
        <w:t xml:space="preserve"> no reason to say, at this time, that the application for </w:t>
      </w:r>
      <w:proofErr w:type="spellStart"/>
      <w:r w:rsidR="00C44665" w:rsidRPr="00F41C1C">
        <w:t>Buvidal</w:t>
      </w:r>
      <w:proofErr w:type="spellEnd"/>
      <w:r w:rsidRPr="00F41C1C">
        <w:t xml:space="preserve"> should not be approved for registration, subject to satisfactory negotiation of the </w:t>
      </w:r>
      <w:r w:rsidR="009B7D36">
        <w:t>PI</w:t>
      </w:r>
      <w:r w:rsidRPr="00F41C1C">
        <w:t xml:space="preserve"> and </w:t>
      </w:r>
      <w:r w:rsidR="009B7D36">
        <w:t>RMP.</w:t>
      </w:r>
    </w:p>
    <w:p w14:paraId="40D6CC37" w14:textId="77777777" w:rsidR="00D23139" w:rsidRDefault="00A22D57" w:rsidP="00D23139">
      <w:pPr>
        <w:pStyle w:val="Heading4"/>
      </w:pPr>
      <w:r>
        <w:t>Request for AC</w:t>
      </w:r>
      <w:r w:rsidR="00D23139" w:rsidRPr="00D23139">
        <w:t>M advice</w:t>
      </w:r>
    </w:p>
    <w:p w14:paraId="0B652690" w14:textId="3C145FBC" w:rsidR="00F41C1C" w:rsidRDefault="00F41C1C" w:rsidP="00F41C1C">
      <w:pPr>
        <w:pStyle w:val="Numberbullet0"/>
        <w:numPr>
          <w:ilvl w:val="0"/>
          <w:numId w:val="32"/>
        </w:numPr>
      </w:pPr>
      <w:r>
        <w:t xml:space="preserve">Does the Committee consider that, if approved, supply of these </w:t>
      </w:r>
      <w:r w:rsidR="00246DC3">
        <w:t>buprenorphine</w:t>
      </w:r>
      <w:r>
        <w:t xml:space="preserve"> products should be restricted to hospital and specialis</w:t>
      </w:r>
      <w:r w:rsidR="00A940B9">
        <w:t xml:space="preserve">t drug rehabilitation clinics? </w:t>
      </w:r>
      <w:r>
        <w:t xml:space="preserve">Community pharmacy dispensing programs would be excluded from supplying </w:t>
      </w:r>
      <w:proofErr w:type="spellStart"/>
      <w:r w:rsidR="00A940B9">
        <w:t>Buvidal</w:t>
      </w:r>
      <w:proofErr w:type="spellEnd"/>
      <w:r w:rsidR="00A940B9">
        <w:t xml:space="preserve"> Weekly </w:t>
      </w:r>
      <w:r>
        <w:t xml:space="preserve">and </w:t>
      </w:r>
      <w:proofErr w:type="spellStart"/>
      <w:r w:rsidR="00A940B9">
        <w:t>Buvidal</w:t>
      </w:r>
      <w:proofErr w:type="spellEnd"/>
      <w:r w:rsidR="00A940B9">
        <w:t xml:space="preserve"> Monthly.</w:t>
      </w:r>
    </w:p>
    <w:p w14:paraId="428507DA" w14:textId="1FA936AE" w:rsidR="00F41C1C" w:rsidRDefault="00F41C1C" w:rsidP="00F41C1C">
      <w:pPr>
        <w:pStyle w:val="Numberbullet0"/>
        <w:numPr>
          <w:ilvl w:val="0"/>
          <w:numId w:val="0"/>
        </w:numPr>
        <w:ind w:left="425"/>
      </w:pPr>
      <w:r>
        <w:t>This approach is intended to optimise patient selection, dose titration</w:t>
      </w:r>
      <w:r w:rsidR="00A940B9">
        <w:t>, and administration technique.</w:t>
      </w:r>
      <w:r>
        <w:t xml:space="preserve"> It should also assist in cl</w:t>
      </w:r>
      <w:r w:rsidR="00A940B9">
        <w:t>ient attendance to counselling/</w:t>
      </w:r>
      <w:r>
        <w:t>review sessions.</w:t>
      </w:r>
    </w:p>
    <w:p w14:paraId="048B101D" w14:textId="62BC205B" w:rsidR="00F41C1C" w:rsidRDefault="00F41C1C" w:rsidP="00F41C1C">
      <w:pPr>
        <w:pStyle w:val="Numberbullet0"/>
        <w:numPr>
          <w:ilvl w:val="0"/>
          <w:numId w:val="32"/>
        </w:numPr>
      </w:pPr>
      <w:r>
        <w:t>A Boxed Warning regarding venous occlusion on accidental or intentional intravenous admin</w:t>
      </w:r>
      <w:r w:rsidR="00A940B9">
        <w:t xml:space="preserve">istration is being considered. </w:t>
      </w:r>
      <w:r>
        <w:t>The Committee’s opinion on</w:t>
      </w:r>
      <w:r w:rsidR="00A940B9">
        <w:t xml:space="preserve"> a boxed warning is requested.</w:t>
      </w:r>
    </w:p>
    <w:p w14:paraId="65F5DACF" w14:textId="69D2B847" w:rsidR="00F41C1C" w:rsidRDefault="00F41C1C" w:rsidP="00F41C1C">
      <w:pPr>
        <w:pStyle w:val="Numberbullet0"/>
        <w:numPr>
          <w:ilvl w:val="0"/>
          <w:numId w:val="32"/>
        </w:numPr>
      </w:pPr>
      <w:r>
        <w:t xml:space="preserve">Does the Committee agree that patients being considered for a </w:t>
      </w:r>
      <w:proofErr w:type="spellStart"/>
      <w:r w:rsidR="00A940B9">
        <w:t>Buvidal</w:t>
      </w:r>
      <w:proofErr w:type="spellEnd"/>
      <w:r>
        <w:t xml:space="preserve"> product should first be stabilised on SL </w:t>
      </w:r>
      <w:r w:rsidR="00246DC3">
        <w:t>buprenorphine</w:t>
      </w:r>
      <w:r>
        <w:t xml:space="preserve"> or </w:t>
      </w:r>
      <w:r w:rsidR="00246DC3">
        <w:t>buprenorphine</w:t>
      </w:r>
      <w:r w:rsidR="00A940B9">
        <w:t xml:space="preserve">/naloxone? </w:t>
      </w:r>
      <w:r>
        <w:t xml:space="preserve">If so, </w:t>
      </w:r>
      <w:r>
        <w:lastRenderedPageBreak/>
        <w:t xml:space="preserve">does the Committee consider an induction period of 7 days is sufficient and that the initial transition should be to </w:t>
      </w:r>
      <w:proofErr w:type="spellStart"/>
      <w:r w:rsidR="00A940B9">
        <w:t>Buvidal</w:t>
      </w:r>
      <w:proofErr w:type="spellEnd"/>
      <w:r w:rsidR="00A940B9">
        <w:t xml:space="preserve"> Weekly</w:t>
      </w:r>
      <w:r>
        <w:t>?</w:t>
      </w:r>
    </w:p>
    <w:p w14:paraId="23D832D5" w14:textId="41C4B06D" w:rsidR="00F41C1C" w:rsidRDefault="00F41C1C" w:rsidP="00F41C1C">
      <w:pPr>
        <w:pStyle w:val="Numberbullet0"/>
        <w:numPr>
          <w:ilvl w:val="0"/>
          <w:numId w:val="32"/>
        </w:numPr>
      </w:pPr>
      <w:r>
        <w:t xml:space="preserve">Does the Committee agree that </w:t>
      </w:r>
      <w:proofErr w:type="spellStart"/>
      <w:r w:rsidR="00A940B9">
        <w:t>Buvidal</w:t>
      </w:r>
      <w:proofErr w:type="spellEnd"/>
      <w:r w:rsidR="00A940B9">
        <w:t xml:space="preserve"> Monthly </w:t>
      </w:r>
      <w:r>
        <w:t xml:space="preserve">should only be given to individuals who have been stabilised on </w:t>
      </w:r>
      <w:proofErr w:type="spellStart"/>
      <w:r w:rsidR="00A940B9">
        <w:t>Buvidal</w:t>
      </w:r>
      <w:proofErr w:type="spellEnd"/>
      <w:r w:rsidR="00A940B9">
        <w:t xml:space="preserve"> Weekly?</w:t>
      </w:r>
    </w:p>
    <w:p w14:paraId="3822E3FB" w14:textId="0BF3A2AC" w:rsidR="00456765" w:rsidRPr="00456765" w:rsidRDefault="00F41C1C" w:rsidP="00F41C1C">
      <w:pPr>
        <w:pStyle w:val="Numberbullet0"/>
        <w:numPr>
          <w:ilvl w:val="0"/>
          <w:numId w:val="32"/>
        </w:numPr>
      </w:pPr>
      <w:r>
        <w:t xml:space="preserve">Does the Committee have comments on the proposed education strategy included in the </w:t>
      </w:r>
      <w:r w:rsidR="009B7D36">
        <w:t>RMP</w:t>
      </w:r>
      <w:r>
        <w:t>?</w:t>
      </w:r>
    </w:p>
    <w:p w14:paraId="2D90DC6A" w14:textId="3AC64A5C" w:rsidR="00D23139" w:rsidRDefault="006516F7" w:rsidP="00D23139">
      <w:pPr>
        <w:pStyle w:val="Heading4"/>
      </w:pPr>
      <w:r>
        <w:t>Response from s</w:t>
      </w:r>
      <w:r w:rsidR="00456765">
        <w:t>ponsor</w:t>
      </w:r>
    </w:p>
    <w:p w14:paraId="2964AC3F" w14:textId="48A645CC" w:rsidR="00F41C1C" w:rsidRDefault="00A940B9" w:rsidP="00F41C1C">
      <w:r>
        <w:t>The s</w:t>
      </w:r>
      <w:r w:rsidR="00F41C1C">
        <w:t>ponsor thanks the Delegate for the Summar</w:t>
      </w:r>
      <w:r w:rsidR="00CD31EB">
        <w:t>y and Request for ACM advice. The sponsor</w:t>
      </w:r>
      <w:r w:rsidR="00F41C1C">
        <w:t xml:space="preserve"> note</w:t>
      </w:r>
      <w:r w:rsidR="00CD31EB">
        <w:t>s</w:t>
      </w:r>
      <w:r w:rsidR="00F41C1C">
        <w:t xml:space="preserve"> that there appears to be some confusion regarding the product under assessment. Importantly, the properties, characteristics and clinical develop</w:t>
      </w:r>
      <w:r>
        <w:t xml:space="preserve">ment program supporting </w:t>
      </w:r>
      <w:proofErr w:type="spellStart"/>
      <w:r>
        <w:t>Buvidal</w:t>
      </w:r>
      <w:proofErr w:type="spellEnd"/>
      <w:r>
        <w:t xml:space="preserve"> Weekly and </w:t>
      </w:r>
      <w:proofErr w:type="spellStart"/>
      <w:r>
        <w:t>Buvidal</w:t>
      </w:r>
      <w:proofErr w:type="spellEnd"/>
      <w:r w:rsidR="00F41C1C">
        <w:t xml:space="preserve"> Monthly is independent of, and significantly different to, t</w:t>
      </w:r>
      <w:r>
        <w:t xml:space="preserve">he program supporting </w:t>
      </w:r>
      <w:proofErr w:type="spellStart"/>
      <w:r>
        <w:t>Sublocade</w:t>
      </w:r>
      <w:proofErr w:type="spellEnd"/>
      <w:r w:rsidR="00F41C1C">
        <w:t xml:space="preserve"> (</w:t>
      </w:r>
      <w:proofErr w:type="spellStart"/>
      <w:r w:rsidR="00F41C1C">
        <w:t>Indivior</w:t>
      </w:r>
      <w:proofErr w:type="spellEnd"/>
      <w:r w:rsidR="00F41C1C">
        <w:t>) that forms the basis for its U</w:t>
      </w:r>
      <w:r>
        <w:t>S approved PI</w:t>
      </w:r>
      <w:r w:rsidR="00F41C1C">
        <w:t xml:space="preserve"> and REMS program. For clarity, </w:t>
      </w:r>
      <w:proofErr w:type="spellStart"/>
      <w:r w:rsidR="00F41C1C">
        <w:t>Sublocade</w:t>
      </w:r>
      <w:proofErr w:type="spellEnd"/>
      <w:r w:rsidR="00F41C1C">
        <w:t xml:space="preserve"> mentioned in the Delegate’s Summary, is not the product under review in this application.</w:t>
      </w:r>
    </w:p>
    <w:p w14:paraId="1630A948" w14:textId="77777777" w:rsidR="00F41C1C" w:rsidRDefault="00F41C1C" w:rsidP="00F41C1C">
      <w:pPr>
        <w:pStyle w:val="Heading5"/>
      </w:pPr>
      <w:r>
        <w:t xml:space="preserve">Clarification on differences between </w:t>
      </w:r>
      <w:proofErr w:type="spellStart"/>
      <w:r>
        <w:t>Buvidal</w:t>
      </w:r>
      <w:proofErr w:type="spellEnd"/>
      <w:r>
        <w:t xml:space="preserve"> Weekly and Monthly compared to </w:t>
      </w:r>
      <w:proofErr w:type="spellStart"/>
      <w:r>
        <w:t>Sublocade</w:t>
      </w:r>
      <w:proofErr w:type="spellEnd"/>
    </w:p>
    <w:p w14:paraId="63DAF211" w14:textId="5C127227" w:rsidR="00F41C1C" w:rsidRDefault="00F41C1C" w:rsidP="00F41C1C">
      <w:r>
        <w:t xml:space="preserve">In relation to the latest revisions of the </w:t>
      </w:r>
      <w:r w:rsidR="00A940B9">
        <w:t>PI proposed by the Delegate, the s</w:t>
      </w:r>
      <w:r>
        <w:t xml:space="preserve">ponsor would like to clarify some important differences between </w:t>
      </w:r>
      <w:proofErr w:type="spellStart"/>
      <w:r>
        <w:t>Buvidal</w:t>
      </w:r>
      <w:proofErr w:type="spellEnd"/>
      <w:r>
        <w:t xml:space="preserve"> and </w:t>
      </w:r>
      <w:proofErr w:type="spellStart"/>
      <w:r>
        <w:t>Sublocade</w:t>
      </w:r>
      <w:proofErr w:type="spellEnd"/>
      <w:r>
        <w:t xml:space="preserve"> in terms of </w:t>
      </w:r>
      <w:r w:rsidR="00A940B9">
        <w:t>PK</w:t>
      </w:r>
      <w:r>
        <w:t xml:space="preserve">, posology and </w:t>
      </w:r>
      <w:r w:rsidR="00A940B9">
        <w:t>design of the pivotal Phase III</w:t>
      </w:r>
      <w:r>
        <w:t xml:space="preserve"> program.</w:t>
      </w:r>
    </w:p>
    <w:p w14:paraId="618557E1" w14:textId="70835050" w:rsidR="00311452" w:rsidRDefault="00A940B9" w:rsidP="00A940B9">
      <w:pPr>
        <w:pStyle w:val="TableTitle"/>
      </w:pPr>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17</w:t>
      </w:r>
      <w:r w:rsidR="00553795">
        <w:rPr>
          <w:noProof/>
        </w:rPr>
        <w:fldChar w:fldCharType="end"/>
      </w:r>
      <w:r w:rsidR="00311452">
        <w:t xml:space="preserve">: Comparison of </w:t>
      </w:r>
      <w:proofErr w:type="spellStart"/>
      <w:r w:rsidR="00311452">
        <w:t>Buvidal</w:t>
      </w:r>
      <w:proofErr w:type="spellEnd"/>
      <w:r w:rsidR="00311452">
        <w:t xml:space="preserve"> Weekly and Monthly and </w:t>
      </w:r>
      <w:proofErr w:type="spellStart"/>
      <w:r w:rsidR="00311452">
        <w:t>Sublocade</w:t>
      </w:r>
      <w:proofErr w:type="spellEnd"/>
    </w:p>
    <w:p w14:paraId="53894D8B" w14:textId="77777777" w:rsidR="00F41C1C" w:rsidRDefault="00F41C1C" w:rsidP="00F41C1C">
      <w:r>
        <w:rPr>
          <w:noProof/>
          <w:lang w:eastAsia="en-AU"/>
        </w:rPr>
        <w:drawing>
          <wp:inline distT="0" distB="0" distL="0" distR="0" wp14:anchorId="79155E80" wp14:editId="43D75D8B">
            <wp:extent cx="5400040" cy="3810635"/>
            <wp:effectExtent l="0" t="0" r="0" b="0"/>
            <wp:docPr id="3" name="Picture 3" descr="Comparison of Buvidal Weekly and Monthly and Sublo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810635"/>
                    </a:xfrm>
                    <a:prstGeom prst="rect">
                      <a:avLst/>
                    </a:prstGeom>
                  </pic:spPr>
                </pic:pic>
              </a:graphicData>
            </a:graphic>
          </wp:inline>
        </w:drawing>
      </w:r>
    </w:p>
    <w:p w14:paraId="5570C288" w14:textId="32D130C2" w:rsidR="00F41C1C" w:rsidRDefault="00A965D3" w:rsidP="00F41C1C">
      <w:pPr>
        <w:pStyle w:val="Heading5"/>
      </w:pPr>
      <w:r>
        <w:t>Question 1 for ACM</w:t>
      </w:r>
    </w:p>
    <w:p w14:paraId="6DD6924F" w14:textId="77777777" w:rsidR="00A965D3" w:rsidRPr="00471927" w:rsidRDefault="00A965D3" w:rsidP="00471927">
      <w:pPr>
        <w:ind w:left="720"/>
        <w:rPr>
          <w:i/>
        </w:rPr>
      </w:pPr>
      <w:r w:rsidRPr="00471927">
        <w:rPr>
          <w:i/>
        </w:rPr>
        <w:t xml:space="preserve">Does the Committee consider that, if approved, supply of these buprenorphine products should be restricted to hospital and specialist drug rehabilitation clinics? Community pharmacy dispensing programs would be excluded from supplying </w:t>
      </w:r>
      <w:proofErr w:type="spellStart"/>
      <w:r w:rsidRPr="00471927">
        <w:rPr>
          <w:i/>
        </w:rPr>
        <w:t>Buvidal</w:t>
      </w:r>
      <w:proofErr w:type="spellEnd"/>
      <w:r w:rsidRPr="00471927">
        <w:rPr>
          <w:i/>
        </w:rPr>
        <w:t xml:space="preserve"> Weekly and </w:t>
      </w:r>
      <w:proofErr w:type="spellStart"/>
      <w:r w:rsidRPr="00471927">
        <w:rPr>
          <w:i/>
        </w:rPr>
        <w:t>Buvidal</w:t>
      </w:r>
      <w:proofErr w:type="spellEnd"/>
      <w:r w:rsidRPr="00471927">
        <w:rPr>
          <w:i/>
        </w:rPr>
        <w:t xml:space="preserve"> Monthly.</w:t>
      </w:r>
    </w:p>
    <w:p w14:paraId="27B899D3" w14:textId="37EFDD73" w:rsidR="00A965D3" w:rsidRPr="00471927" w:rsidRDefault="00A965D3" w:rsidP="00471927">
      <w:pPr>
        <w:ind w:left="720"/>
        <w:rPr>
          <w:i/>
        </w:rPr>
      </w:pPr>
      <w:r w:rsidRPr="00471927">
        <w:rPr>
          <w:i/>
        </w:rPr>
        <w:lastRenderedPageBreak/>
        <w:t>This approach is intended to optimise patient selection, dose titration, and administration technique. It should also assist in client attendance to counselling/review sessions.</w:t>
      </w:r>
    </w:p>
    <w:p w14:paraId="5BB36DD0" w14:textId="6F739041" w:rsidR="00A940B9" w:rsidRDefault="00A940B9" w:rsidP="00F41C1C">
      <w:r>
        <w:t>The s</w:t>
      </w:r>
      <w:r w:rsidR="00F41C1C">
        <w:t xml:space="preserve">ponsor initially proposed and continues to propose that administration of </w:t>
      </w:r>
      <w:proofErr w:type="spellStart"/>
      <w:r w:rsidR="00F41C1C">
        <w:t>Buvidal</w:t>
      </w:r>
      <w:proofErr w:type="spellEnd"/>
      <w:r w:rsidR="00F41C1C">
        <w:t xml:space="preserve"> Weekly and </w:t>
      </w:r>
      <w:proofErr w:type="spellStart"/>
      <w:r w:rsidR="00F41C1C">
        <w:t>Buvidal</w:t>
      </w:r>
      <w:proofErr w:type="spellEnd"/>
      <w:r w:rsidR="00F41C1C">
        <w:t xml:space="preserve"> Monthly is restricted to healthcare p</w:t>
      </w:r>
      <w:r w:rsidR="006516F7">
        <w:t>rofessionals (HCPs) only. The s</w:t>
      </w:r>
      <w:r w:rsidR="00F41C1C">
        <w:t>ponsor would like to highlight that National Guidelines for Medical-Assisted Treatment of Opioid Dependence (2014)</w:t>
      </w:r>
      <w:r>
        <w:t>,</w:t>
      </w:r>
      <w:r>
        <w:fldChar w:fldCharType="begin"/>
      </w:r>
      <w:r>
        <w:instrText xml:space="preserve"> NOTEREF _Ref18500477 \f \h </w:instrText>
      </w:r>
      <w:r>
        <w:fldChar w:fldCharType="separate"/>
      </w:r>
      <w:r w:rsidRPr="00A940B9">
        <w:rPr>
          <w:rStyle w:val="FootnoteReference"/>
        </w:rPr>
        <w:t>10</w:t>
      </w:r>
      <w:r>
        <w:fldChar w:fldCharType="end"/>
      </w:r>
      <w:r w:rsidR="00F41C1C">
        <w:t xml:space="preserve"> </w:t>
      </w:r>
      <w:r>
        <w:t>state that:</w:t>
      </w:r>
    </w:p>
    <w:p w14:paraId="718D385F" w14:textId="77777777" w:rsidR="00A940B9" w:rsidRPr="00A940B9" w:rsidRDefault="00311452" w:rsidP="00A940B9">
      <w:pPr>
        <w:ind w:left="720"/>
      </w:pPr>
      <w:r w:rsidRPr="00A940B9">
        <w:t>‘</w:t>
      </w:r>
      <w:r w:rsidR="00F41C1C" w:rsidRPr="00A940B9">
        <w:t>Restricting a drug to being used only in specialist settings limits its usefulness as an intervention. In general, the balance between accessibility and quality is best maintained when general practitioners are trained to prescribe pharmacotherapies, and are able to refer patients or to consult with specia</w:t>
      </w:r>
      <w:r w:rsidRPr="00A940B9">
        <w:t>list drug and alcohol services.’</w:t>
      </w:r>
    </w:p>
    <w:p w14:paraId="61E3D0F8" w14:textId="232C1733" w:rsidR="00F41C1C" w:rsidRDefault="00F41C1C" w:rsidP="00F41C1C">
      <w:r>
        <w:t>The question posed to the ACM is cont</w:t>
      </w:r>
      <w:r w:rsidR="00A940B9">
        <w:t>rary to this principle and the s</w:t>
      </w:r>
      <w:r>
        <w:t>ponsor is concerned that this would result in restricted patient acces</w:t>
      </w:r>
      <w:r w:rsidR="00A940B9">
        <w:t xml:space="preserve">s to </w:t>
      </w:r>
      <w:proofErr w:type="spellStart"/>
      <w:r w:rsidR="00A940B9">
        <w:t>Buvidal</w:t>
      </w:r>
      <w:proofErr w:type="spellEnd"/>
      <w:r w:rsidR="00A940B9">
        <w:t xml:space="preserve"> in Australia. The s</w:t>
      </w:r>
      <w:r>
        <w:t>ponsor’s opinion is strongly supported by experts in the field of opioid dependence treatment and extracts from written statements are summarised below.</w:t>
      </w:r>
    </w:p>
    <w:p w14:paraId="7BD493B4" w14:textId="2464CB6D" w:rsidR="00F41C1C" w:rsidRPr="00A940B9" w:rsidRDefault="00CD31EB" w:rsidP="00A940B9">
      <w:pPr>
        <w:pStyle w:val="Numberbullet0"/>
        <w:numPr>
          <w:ilvl w:val="0"/>
          <w:numId w:val="37"/>
        </w:numPr>
      </w:pPr>
      <w:r>
        <w:t>Extract of statement from[Information redacted] Expert 1</w:t>
      </w:r>
      <w:r w:rsidR="00311452" w:rsidRPr="00A940B9">
        <w:t xml:space="preserve">, 13 September </w:t>
      </w:r>
      <w:r w:rsidR="00F41C1C" w:rsidRPr="00A940B9">
        <w:t>2018</w:t>
      </w:r>
    </w:p>
    <w:p w14:paraId="253369E3" w14:textId="16E57019" w:rsidR="00F41C1C" w:rsidRPr="00A940B9" w:rsidRDefault="00311452" w:rsidP="00A940B9">
      <w:pPr>
        <w:ind w:left="425"/>
      </w:pPr>
      <w:r w:rsidRPr="00A940B9">
        <w:t>‘</w:t>
      </w:r>
      <w:r w:rsidR="009B7D36">
        <w:t>[The expert]</w:t>
      </w:r>
      <w:r w:rsidR="00F41C1C" w:rsidRPr="00A940B9">
        <w:t xml:space="preserve"> agree</w:t>
      </w:r>
      <w:r w:rsidR="009B7D36">
        <w:t>s</w:t>
      </w:r>
      <w:r w:rsidR="00F41C1C" w:rsidRPr="00A940B9">
        <w:t xml:space="preserve"> that it is important that </w:t>
      </w:r>
      <w:proofErr w:type="spellStart"/>
      <w:r w:rsidR="00F41C1C" w:rsidRPr="00A940B9">
        <w:t>Buvidal</w:t>
      </w:r>
      <w:proofErr w:type="spellEnd"/>
      <w:r w:rsidR="00F41C1C" w:rsidRPr="00A940B9">
        <w:t xml:space="preserve"> has restrictions that it should not be dispensed or supplied directly to the patient, and that administration requires a health professional whose scope of practice includes administering subcutaneous injectio</w:t>
      </w:r>
      <w:r w:rsidR="00A940B9">
        <w:t xml:space="preserve">ns of S8 medications, that is, </w:t>
      </w:r>
      <w:r w:rsidR="00F41C1C" w:rsidRPr="00A940B9">
        <w:t>a nurse or medical practitioner.</w:t>
      </w:r>
    </w:p>
    <w:p w14:paraId="4071E8EE" w14:textId="04B196A0" w:rsidR="00F41C1C" w:rsidRPr="00A940B9" w:rsidRDefault="00F41C1C" w:rsidP="00A940B9">
      <w:pPr>
        <w:ind w:left="425"/>
      </w:pPr>
      <w:r w:rsidRPr="00A940B9">
        <w:t>However</w:t>
      </w:r>
      <w:r w:rsidR="00A940B9">
        <w:t>,</w:t>
      </w:r>
      <w:r w:rsidRPr="00A940B9">
        <w:t xml:space="preserve"> </w:t>
      </w:r>
      <w:r w:rsidR="009B7D36">
        <w:t>[the expert is]</w:t>
      </w:r>
      <w:r w:rsidRPr="00A940B9">
        <w:t xml:space="preserve"> concerned that restricting the dispensing of </w:t>
      </w:r>
      <w:proofErr w:type="spellStart"/>
      <w:r w:rsidRPr="00A940B9">
        <w:t>Buvidal</w:t>
      </w:r>
      <w:proofErr w:type="spellEnd"/>
      <w:r w:rsidRPr="00A940B9">
        <w:t xml:space="preserve"> to only specialist clinics or hospitals will make </w:t>
      </w:r>
      <w:proofErr w:type="spellStart"/>
      <w:r w:rsidRPr="00A940B9">
        <w:t>Buvidal</w:t>
      </w:r>
      <w:proofErr w:type="spellEnd"/>
      <w:r w:rsidRPr="00A940B9">
        <w:t xml:space="preserve"> unavailable in many parts of the country where specialist clini</w:t>
      </w:r>
      <w:r w:rsidR="00A940B9">
        <w:t xml:space="preserve">cs are sparse or do not exist, </w:t>
      </w:r>
      <w:r w:rsidRPr="00A940B9">
        <w:t>such as regional or rural settings, outer sub</w:t>
      </w:r>
      <w:r w:rsidR="00A940B9">
        <w:t xml:space="preserve">urbs of most cities (and indeed, </w:t>
      </w:r>
      <w:r w:rsidRPr="00A940B9">
        <w:t>most of the state of Victoria where there are few if any specialist clinics with on-site pharmacists). The paradox is that it is these populations where we see the greatest advantage to patient care throu</w:t>
      </w:r>
      <w:r w:rsidR="00311452" w:rsidRPr="00A940B9">
        <w:t xml:space="preserve">gh the introduction of </w:t>
      </w:r>
      <w:proofErr w:type="spellStart"/>
      <w:r w:rsidR="00311452" w:rsidRPr="00A940B9">
        <w:t>Buvidal</w:t>
      </w:r>
      <w:proofErr w:type="spellEnd"/>
      <w:r w:rsidR="00311452" w:rsidRPr="00A940B9">
        <w:t>.’</w:t>
      </w:r>
    </w:p>
    <w:p w14:paraId="6D01C687" w14:textId="4FB8D4D8" w:rsidR="00F41C1C" w:rsidRDefault="00A940B9" w:rsidP="00F41C1C">
      <w:r>
        <w:t>A complete statement was provided as an Appendix</w:t>
      </w:r>
      <w:r w:rsidR="00F41C1C">
        <w:t>.</w:t>
      </w:r>
    </w:p>
    <w:p w14:paraId="782A2199" w14:textId="428BF0F4" w:rsidR="00F41C1C" w:rsidRPr="00311452" w:rsidRDefault="00CD31EB" w:rsidP="00A940B9">
      <w:pPr>
        <w:pStyle w:val="Numberbullet0"/>
      </w:pPr>
      <w:r>
        <w:t>Statement from [Information redacted] Expert 2</w:t>
      </w:r>
      <w:r w:rsidR="00A940B9">
        <w:t>, 13 </w:t>
      </w:r>
      <w:r w:rsidR="00F41C1C" w:rsidRPr="00311452">
        <w:t>Sept</w:t>
      </w:r>
      <w:r w:rsidR="00311452">
        <w:t xml:space="preserve">ember </w:t>
      </w:r>
      <w:r w:rsidR="00F41C1C" w:rsidRPr="00311452">
        <w:t>2018</w:t>
      </w:r>
    </w:p>
    <w:p w14:paraId="0357F4D4" w14:textId="052C58F0" w:rsidR="00F41C1C" w:rsidRPr="00A940B9" w:rsidRDefault="00311452" w:rsidP="00A940B9">
      <w:pPr>
        <w:ind w:left="425"/>
      </w:pPr>
      <w:r w:rsidRPr="00A940B9">
        <w:t>‘</w:t>
      </w:r>
      <w:r w:rsidR="00F41C1C" w:rsidRPr="00A940B9">
        <w:t xml:space="preserve">Of the 8 national jurisdictions, Victoria has almost 30% of the 49,792 Australians on medication assisted treatment for opioid dependence (MATOD). One of the most commonly reported consumer complaints about MATOD is that of </w:t>
      </w:r>
      <w:r w:rsidR="008C2B63" w:rsidRPr="00A940B9">
        <w:t>‘</w:t>
      </w:r>
      <w:r w:rsidR="00F41C1C" w:rsidRPr="00A940B9">
        <w:t>liquid handcuffs</w:t>
      </w:r>
      <w:r w:rsidR="008C2B63" w:rsidRPr="00A940B9">
        <w:t>’</w:t>
      </w:r>
      <w:r w:rsidR="00F41C1C" w:rsidRPr="00A940B9">
        <w:t>. Regardless of treatment type, this refers to the consumer feeling s/he is ‘chained’ to 3 or more pharmacy visits per week which restricts the ability to work, travel and meet family commitments. With 5</w:t>
      </w:r>
      <w:r w:rsidR="00A940B9">
        <w:t>,</w:t>
      </w:r>
      <w:r w:rsidR="00F41C1C" w:rsidRPr="00A940B9">
        <w:t>136 (36%) of the 14,233 Victorian MATOD cons</w:t>
      </w:r>
      <w:r w:rsidR="00A940B9">
        <w:t xml:space="preserve">umers receiving a buprenorphine </w:t>
      </w:r>
      <w:r w:rsidR="00F41C1C" w:rsidRPr="00A940B9">
        <w:t>based treatment in 2017, a depot pre</w:t>
      </w:r>
      <w:r w:rsidR="00A940B9">
        <w:t>paration of buprenorphine, (for example,</w:t>
      </w:r>
      <w:r w:rsidR="00F41C1C" w:rsidRPr="00A940B9">
        <w:t xml:space="preserve"> CAM2038) has the potential to eliminate the </w:t>
      </w:r>
      <w:r w:rsidR="008C2B63" w:rsidRPr="00A940B9">
        <w:t>‘</w:t>
      </w:r>
      <w:r w:rsidR="00F41C1C" w:rsidRPr="00A940B9">
        <w:t>liquid handcuff</w:t>
      </w:r>
      <w:r w:rsidR="008C2B63" w:rsidRPr="00A940B9">
        <w:t>’</w:t>
      </w:r>
      <w:r w:rsidR="00F41C1C" w:rsidRPr="00A940B9">
        <w:t xml:space="preserve"> element of MATOD for some consumers. Of the 1</w:t>
      </w:r>
      <w:r w:rsidR="00A940B9">
        <w:t>,</w:t>
      </w:r>
      <w:r w:rsidR="00F41C1C" w:rsidRPr="00A940B9">
        <w:t>474 Victorian MATOD prescribers, 99% work in the private sector and over 90% of doses are delivered by 594 approved pharmacies, there are no Victorian public or private clinics. If a depot preparation of buprenorphine was only available through hospital and specialist clinics, the overwhelming majority of the Victorian MATOD consumer group, would be denied access to this new product based on our sy</w:t>
      </w:r>
      <w:r w:rsidRPr="00A940B9">
        <w:t>stem of service delivery alone.’</w:t>
      </w:r>
    </w:p>
    <w:p w14:paraId="6058216F" w14:textId="5E3F52EC" w:rsidR="00F41C1C" w:rsidRPr="00311452" w:rsidRDefault="00F41C1C" w:rsidP="00A940B9">
      <w:pPr>
        <w:pStyle w:val="Numberbullet0"/>
      </w:pPr>
      <w:r w:rsidRPr="00311452">
        <w:t>Extract of statement</w:t>
      </w:r>
      <w:r w:rsidR="00CD31EB">
        <w:t xml:space="preserve"> from[Information redacted] Expert 3</w:t>
      </w:r>
      <w:r w:rsidR="00311452">
        <w:t xml:space="preserve">, 13 </w:t>
      </w:r>
      <w:r w:rsidRPr="00311452">
        <w:t>Sep</w:t>
      </w:r>
      <w:r w:rsidR="00311452">
        <w:t>tember</w:t>
      </w:r>
      <w:r w:rsidRPr="00311452">
        <w:t xml:space="preserve"> 2018</w:t>
      </w:r>
    </w:p>
    <w:p w14:paraId="300796E9" w14:textId="2C7A7478" w:rsidR="00F41C1C" w:rsidRPr="00A940B9" w:rsidRDefault="00311452" w:rsidP="00A940B9">
      <w:pPr>
        <w:ind w:left="425"/>
      </w:pPr>
      <w:r w:rsidRPr="00A940B9">
        <w:t>‘</w:t>
      </w:r>
      <w:r w:rsidR="00F41C1C" w:rsidRPr="00A940B9">
        <w:t xml:space="preserve">As an addiction specialist practising outside a capital city, </w:t>
      </w:r>
      <w:r w:rsidR="009B7D36">
        <w:t>[the expert]</w:t>
      </w:r>
      <w:r w:rsidR="00F41C1C" w:rsidRPr="00A940B9">
        <w:t xml:space="preserve"> can see the benefits of long acting buprenorphine for many of our rural and regional patients, including many who cannot currently participate in opiate treatment due to the need for regular attendance for dosing. However, </w:t>
      </w:r>
      <w:proofErr w:type="spellStart"/>
      <w:r w:rsidR="00F41C1C" w:rsidRPr="00A940B9">
        <w:t>Buvidal</w:t>
      </w:r>
      <w:proofErr w:type="spellEnd"/>
      <w:r w:rsidR="00F41C1C" w:rsidRPr="00A940B9">
        <w:t xml:space="preserve"> should not be restricted to </w:t>
      </w:r>
      <w:r w:rsidR="00F41C1C" w:rsidRPr="00A940B9">
        <w:lastRenderedPageBreak/>
        <w:t xml:space="preserve">specialist clinics and hospital settings. General practitioners and community pharmacists are the frontline of our treatment response to opioid dependence and need to be able to prescribe and supply </w:t>
      </w:r>
      <w:proofErr w:type="spellStart"/>
      <w:r w:rsidR="00F41C1C" w:rsidRPr="00A940B9">
        <w:t>Buvidal</w:t>
      </w:r>
      <w:proofErr w:type="spellEnd"/>
      <w:r w:rsidR="00F41C1C" w:rsidRPr="00A940B9">
        <w:t xml:space="preserve"> in general practice settings. Practice nurses and doctors are capable of giving </w:t>
      </w:r>
      <w:proofErr w:type="spellStart"/>
      <w:r w:rsidR="00F41C1C" w:rsidRPr="00A940B9">
        <w:t>Buvidal</w:t>
      </w:r>
      <w:proofErr w:type="spellEnd"/>
      <w:r w:rsidR="00F41C1C" w:rsidRPr="00A940B9">
        <w:t xml:space="preserve"> injections. Depot preparations of anti-psychotic medications are commonly used in Australia for the management of schizophrenia and bipolar disorder in primary care settings, and there is no reason this should not be the sam</w:t>
      </w:r>
      <w:r w:rsidRPr="00A940B9">
        <w:t>e in the opioid treatment area.’</w:t>
      </w:r>
    </w:p>
    <w:p w14:paraId="2E353E97" w14:textId="481842E0" w:rsidR="00F41C1C" w:rsidRDefault="00A940B9" w:rsidP="00F41C1C">
      <w:r>
        <w:t>A complete statement was provided as an Appendix</w:t>
      </w:r>
      <w:r w:rsidR="009B7D36">
        <w:t xml:space="preserve"> [not provide</w:t>
      </w:r>
      <w:r w:rsidR="00471927">
        <w:t>d</w:t>
      </w:r>
      <w:r w:rsidR="009B7D36">
        <w:t xml:space="preserve"> in this this document]</w:t>
      </w:r>
      <w:r w:rsidR="00F41C1C">
        <w:t>.</w:t>
      </w:r>
    </w:p>
    <w:p w14:paraId="4BAEE771" w14:textId="3E2FED91" w:rsidR="00F41C1C" w:rsidRPr="00311452" w:rsidRDefault="00F41C1C" w:rsidP="00A940B9">
      <w:pPr>
        <w:pStyle w:val="Numberbullet0"/>
      </w:pPr>
      <w:r w:rsidRPr="00311452">
        <w:t>Statement from</w:t>
      </w:r>
      <w:r w:rsidR="00CD31EB">
        <w:t xml:space="preserve"> [Information redacted] Expert 4</w:t>
      </w:r>
      <w:r w:rsidR="00311452">
        <w:t xml:space="preserve">, 12 September </w:t>
      </w:r>
      <w:r w:rsidRPr="00311452">
        <w:t>2018</w:t>
      </w:r>
    </w:p>
    <w:p w14:paraId="0FF1C9EC" w14:textId="77777777" w:rsidR="00F41C1C" w:rsidRPr="00A940B9" w:rsidRDefault="00311452" w:rsidP="00A940B9">
      <w:pPr>
        <w:ind w:left="425"/>
      </w:pPr>
      <w:r w:rsidRPr="00A940B9">
        <w:t>‘</w:t>
      </w:r>
      <w:r w:rsidR="00F41C1C" w:rsidRPr="00A940B9">
        <w:t>GPs play a crucial role in the treatment and management of opioid dependence with 65% of care in Australia provided by GPs. Access to care is limited (particularly rural areas) and restricting depot buprenorphine use to the specialist setting will limit care for many patients with associated poor health outcomes. GPs are trained and able to provide opioid dependency care. State health departments are happy to accredit GPs to provide care. In NSW we have recently changed our guidelines to support GPs to initiate buprenorphine treatment as we understand that it is an important and safe therapy that GPs can manage.</w:t>
      </w:r>
    </w:p>
    <w:p w14:paraId="49DC1D7A" w14:textId="40870357" w:rsidR="00F41C1C" w:rsidRPr="00A940B9" w:rsidRDefault="009B7D36" w:rsidP="00A940B9">
      <w:pPr>
        <w:ind w:left="425"/>
      </w:pPr>
      <w:r>
        <w:t>[This expert]</w:t>
      </w:r>
      <w:r w:rsidRPr="00A940B9">
        <w:t xml:space="preserve"> </w:t>
      </w:r>
      <w:r w:rsidR="00F41C1C" w:rsidRPr="00A940B9">
        <w:t>ha</w:t>
      </w:r>
      <w:r>
        <w:t>s</w:t>
      </w:r>
      <w:r w:rsidR="00F41C1C" w:rsidRPr="00A940B9">
        <w:t xml:space="preserve"> experience with one of the depot formulations and found it to be easy to administer and appropriate for use in the community setting. It was very useful for patients in the process of completing and ceasing treatment and equally useful in less stable patients. This formulation gave patients much greater autonomy as they didn’t need to attend frequent dosing at pharmacy or clinic. If it were available for me to prescribe from the general practice setting, </w:t>
      </w:r>
      <w:r>
        <w:t>[this expert]</w:t>
      </w:r>
      <w:r w:rsidR="00F41C1C" w:rsidRPr="00A940B9">
        <w:t xml:space="preserve"> see</w:t>
      </w:r>
      <w:r>
        <w:t>s</w:t>
      </w:r>
      <w:r w:rsidR="00F41C1C" w:rsidRPr="00A940B9">
        <w:t xml:space="preserve"> no particular problems with storage or arranging delivery from my local pharmacy fo</w:t>
      </w:r>
      <w:r w:rsidR="00311452" w:rsidRPr="00A940B9">
        <w:t>r administration in my surgery.’</w:t>
      </w:r>
    </w:p>
    <w:p w14:paraId="38FFFAAB" w14:textId="754E7C35" w:rsidR="00F41C1C" w:rsidRPr="00311452" w:rsidRDefault="00F41C1C" w:rsidP="00A965D3">
      <w:pPr>
        <w:pStyle w:val="Numberbullet0"/>
      </w:pPr>
      <w:r w:rsidRPr="00311452">
        <w:t>Statement from</w:t>
      </w:r>
      <w:r w:rsidR="00CD31EB">
        <w:t xml:space="preserve"> [Information redacted] Expert 5</w:t>
      </w:r>
      <w:r w:rsidR="00311452">
        <w:t xml:space="preserve">, 11 September </w:t>
      </w:r>
      <w:r w:rsidRPr="00311452">
        <w:t>2018</w:t>
      </w:r>
    </w:p>
    <w:p w14:paraId="4F403E53" w14:textId="04E367D2" w:rsidR="00F41C1C" w:rsidRPr="00A965D3" w:rsidRDefault="00311452" w:rsidP="00A965D3">
      <w:pPr>
        <w:ind w:left="425"/>
      </w:pPr>
      <w:r w:rsidRPr="00A965D3">
        <w:t>‘</w:t>
      </w:r>
      <w:r w:rsidR="00F41C1C" w:rsidRPr="00A965D3">
        <w:t xml:space="preserve">Due to the extensive number of community pharmacy locations, the extended hours of operation, and the professional services available from pharmacists, community pharmacies are well placed to provide </w:t>
      </w:r>
      <w:r w:rsidR="00A965D3">
        <w:t>opioid dependence therapy</w:t>
      </w:r>
      <w:r w:rsidR="00A965D3" w:rsidRPr="00A965D3">
        <w:t xml:space="preserve"> </w:t>
      </w:r>
      <w:r w:rsidR="00A965D3">
        <w:t>(</w:t>
      </w:r>
      <w:r w:rsidR="00F41C1C" w:rsidRPr="00A965D3">
        <w:t>ODT</w:t>
      </w:r>
      <w:r w:rsidR="00A965D3">
        <w:t>)</w:t>
      </w:r>
      <w:r w:rsidR="00F41C1C" w:rsidRPr="00A965D3">
        <w:t xml:space="preserve">. Recent </w:t>
      </w:r>
      <w:r w:rsidR="00A965D3" w:rsidRPr="00A965D3">
        <w:t xml:space="preserve">Australian Institute of Health and Welfare </w:t>
      </w:r>
      <w:r w:rsidR="00A965D3">
        <w:t>(</w:t>
      </w:r>
      <w:r w:rsidR="00F41C1C" w:rsidRPr="00A965D3">
        <w:t>AIHW</w:t>
      </w:r>
      <w:r w:rsidR="00A965D3">
        <w:t>)</w:t>
      </w:r>
      <w:r w:rsidR="00F41C1C" w:rsidRPr="00A965D3">
        <w:t xml:space="preserve"> data indicate</w:t>
      </w:r>
      <w:r w:rsidR="007534C6">
        <w:t>s that on a snapshot day in mid-</w:t>
      </w:r>
      <w:r w:rsidR="00F41C1C" w:rsidRPr="00A965D3">
        <w:t>2017, over 50,000 clients received opioid pharmacotherapy at 2,732 dosing points around Australia. 89% of dosing points were community pharmacies.</w:t>
      </w:r>
    </w:p>
    <w:p w14:paraId="6EA3C593" w14:textId="77777777" w:rsidR="00F41C1C" w:rsidRPr="00A965D3" w:rsidRDefault="00F41C1C" w:rsidP="00A965D3">
      <w:pPr>
        <w:ind w:left="425"/>
      </w:pPr>
      <w:r w:rsidRPr="00A965D3">
        <w:t xml:space="preserve">Community pharmacies authorised to provide ODT should be integrated into in the distribution of </w:t>
      </w:r>
      <w:proofErr w:type="spellStart"/>
      <w:r w:rsidRPr="00A965D3">
        <w:t>Buvidal</w:t>
      </w:r>
      <w:proofErr w:type="spellEnd"/>
      <w:r w:rsidRPr="00A965D3">
        <w:t xml:space="preserve"> injection. By restricting access to hospital and specialist rehabilitation clinics, a barrier to access is constructed and patients may be adversely impacted, especially those in rural and remote areas.</w:t>
      </w:r>
    </w:p>
    <w:p w14:paraId="1BDF86ED" w14:textId="77777777" w:rsidR="00F41C1C" w:rsidRPr="00A965D3" w:rsidRDefault="00F41C1C" w:rsidP="00A965D3">
      <w:pPr>
        <w:ind w:left="425"/>
      </w:pPr>
      <w:r w:rsidRPr="00A965D3">
        <w:t>Selected community pharmacies already have arrangements and facilities such as private consulting rooms and could provide dose administration services, thus increasing</w:t>
      </w:r>
      <w:r w:rsidR="00311452" w:rsidRPr="00A965D3">
        <w:t xml:space="preserve"> equitable access arrangements.’</w:t>
      </w:r>
    </w:p>
    <w:p w14:paraId="6947E293" w14:textId="5B509C4C" w:rsidR="00F41C1C" w:rsidRDefault="00A965D3" w:rsidP="00311452">
      <w:pPr>
        <w:pStyle w:val="Heading5"/>
      </w:pPr>
      <w:r>
        <w:t>Question 3 for ACM</w:t>
      </w:r>
    </w:p>
    <w:p w14:paraId="6E89A64E" w14:textId="00F42D50" w:rsidR="00A965D3" w:rsidRPr="00471927" w:rsidRDefault="00A965D3" w:rsidP="00471927">
      <w:pPr>
        <w:ind w:left="720"/>
        <w:rPr>
          <w:i/>
        </w:rPr>
      </w:pPr>
      <w:r w:rsidRPr="00471927">
        <w:rPr>
          <w:i/>
        </w:rPr>
        <w:t xml:space="preserve">Does the Committee agree that patients being considered for a </w:t>
      </w:r>
      <w:proofErr w:type="spellStart"/>
      <w:r w:rsidRPr="00471927">
        <w:rPr>
          <w:i/>
        </w:rPr>
        <w:t>Buvidal</w:t>
      </w:r>
      <w:proofErr w:type="spellEnd"/>
      <w:r w:rsidRPr="00471927">
        <w:rPr>
          <w:i/>
        </w:rPr>
        <w:t xml:space="preserve"> product should first be stabilised on SL buprenorphine or buprenorphine/naloxone? If so, does the Committee consider an induction period of 7 days is sufficient and that the initial transition should be to </w:t>
      </w:r>
      <w:proofErr w:type="spellStart"/>
      <w:r w:rsidRPr="00471927">
        <w:rPr>
          <w:i/>
        </w:rPr>
        <w:t>Buvidal</w:t>
      </w:r>
      <w:proofErr w:type="spellEnd"/>
      <w:r w:rsidRPr="00471927">
        <w:rPr>
          <w:i/>
        </w:rPr>
        <w:t xml:space="preserve"> Weekly?</w:t>
      </w:r>
    </w:p>
    <w:p w14:paraId="05CC0F40" w14:textId="492A295B" w:rsidR="00F41C1C" w:rsidRDefault="00A965D3" w:rsidP="00F41C1C">
      <w:r>
        <w:t>The s</w:t>
      </w:r>
      <w:r w:rsidR="00F41C1C">
        <w:t xml:space="preserve">ponsor would like to clarify that in the clinical program for </w:t>
      </w:r>
      <w:proofErr w:type="spellStart"/>
      <w:r w:rsidR="00F41C1C">
        <w:t>Buvidal</w:t>
      </w:r>
      <w:proofErr w:type="spellEnd"/>
      <w:r w:rsidR="00F41C1C">
        <w:t>, all 297</w:t>
      </w:r>
      <w:r w:rsidR="009B7D36">
        <w:t> </w:t>
      </w:r>
      <w:r w:rsidR="00F41C1C">
        <w:t>treatment-naïve patients who participated in the Phas</w:t>
      </w:r>
      <w:r>
        <w:t>e II and Phase III</w:t>
      </w:r>
      <w:r w:rsidR="00F41C1C">
        <w:t xml:space="preserve"> studies were initiated directly on </w:t>
      </w:r>
      <w:proofErr w:type="spellStart"/>
      <w:r w:rsidR="00F41C1C">
        <w:t>Buvidal</w:t>
      </w:r>
      <w:proofErr w:type="spellEnd"/>
      <w:r w:rsidR="00F41C1C">
        <w:t xml:space="preserve"> Weekly, without prior stabilisation on SL </w:t>
      </w:r>
      <w:r w:rsidR="00246DC3">
        <w:t>buprenorphine</w:t>
      </w:r>
      <w:r w:rsidR="00F41C1C">
        <w:t xml:space="preserve"> or SL </w:t>
      </w:r>
      <w:r w:rsidR="00246DC3">
        <w:t>buprenorphine</w:t>
      </w:r>
      <w:r>
        <w:t>/naloxone</w:t>
      </w:r>
      <w:r w:rsidR="00F41C1C">
        <w:t xml:space="preserve">. A pre-stabilisation phase on SL </w:t>
      </w:r>
      <w:r w:rsidR="00246DC3">
        <w:t>buprenorphine</w:t>
      </w:r>
      <w:r w:rsidR="00F41C1C">
        <w:t xml:space="preserve"> was not required, nor was it studied, in the clinical program for </w:t>
      </w:r>
      <w:proofErr w:type="spellStart"/>
      <w:r w:rsidR="00F41C1C">
        <w:t>Buvidal</w:t>
      </w:r>
      <w:proofErr w:type="spellEnd"/>
      <w:r w:rsidR="00F41C1C">
        <w:t xml:space="preserve">. This was completely </w:t>
      </w:r>
      <w:r w:rsidR="00F41C1C">
        <w:lastRenderedPageBreak/>
        <w:t xml:space="preserve">different to the clinical program for </w:t>
      </w:r>
      <w:proofErr w:type="spellStart"/>
      <w:r w:rsidR="00F41C1C">
        <w:t>Sublocade</w:t>
      </w:r>
      <w:proofErr w:type="spellEnd"/>
      <w:r w:rsidR="00F41C1C">
        <w:t xml:space="preserve"> (</w:t>
      </w:r>
      <w:proofErr w:type="spellStart"/>
      <w:r w:rsidR="00F41C1C">
        <w:t>Indivior</w:t>
      </w:r>
      <w:proofErr w:type="spellEnd"/>
      <w:r w:rsidR="00F41C1C">
        <w:t>), which was not developed for direct treatment initiation. Thus, there were no treatment-naïve subjects initiated di</w:t>
      </w:r>
      <w:r>
        <w:t xml:space="preserve">rectly on </w:t>
      </w:r>
      <w:proofErr w:type="spellStart"/>
      <w:r>
        <w:t>Sublocade</w:t>
      </w:r>
      <w:proofErr w:type="spellEnd"/>
      <w:r>
        <w:t xml:space="preserve"> without a 7 to </w:t>
      </w:r>
      <w:r w:rsidR="00F41C1C">
        <w:t xml:space="preserve">14 days pre-stabilisation period on SL </w:t>
      </w:r>
      <w:r w:rsidR="00246DC3">
        <w:t>buprenorphine</w:t>
      </w:r>
      <w:r>
        <w:t>/naloxone</w:t>
      </w:r>
      <w:r w:rsidR="00F41C1C">
        <w:t xml:space="preserve"> before being dosed with monthly </w:t>
      </w:r>
      <w:proofErr w:type="spellStart"/>
      <w:r w:rsidR="00F41C1C">
        <w:t>Sublocade</w:t>
      </w:r>
      <w:proofErr w:type="spellEnd"/>
      <w:r w:rsidR="00F41C1C">
        <w:t xml:space="preserve"> (300 mg).</w:t>
      </w:r>
    </w:p>
    <w:p w14:paraId="0071C8AB" w14:textId="77777777" w:rsidR="00F41C1C" w:rsidRDefault="00F41C1C" w:rsidP="00F41C1C">
      <w:r>
        <w:t xml:space="preserve">The availability of multiple doses of </w:t>
      </w:r>
      <w:proofErr w:type="spellStart"/>
      <w:r>
        <w:t>Buvidal</w:t>
      </w:r>
      <w:proofErr w:type="spellEnd"/>
      <w:r>
        <w:t xml:space="preserve"> Weekly combined with dose-proportional PK allows for easy initiation and dose adjustment/titration. This regimen was thoroughly studied in the </w:t>
      </w:r>
      <w:proofErr w:type="spellStart"/>
      <w:r>
        <w:t>Buvidal</w:t>
      </w:r>
      <w:proofErr w:type="spellEnd"/>
      <w:r>
        <w:t xml:space="preserve"> clinical program, demonstrating both effectiveness and tolerability.</w:t>
      </w:r>
    </w:p>
    <w:p w14:paraId="282C075D" w14:textId="7B39FCC9" w:rsidR="00F41C1C" w:rsidRDefault="00A965D3" w:rsidP="00F41C1C">
      <w:r>
        <w:t>In the Phase II</w:t>
      </w:r>
      <w:r w:rsidR="00F41C1C">
        <w:t xml:space="preserve"> study (</w:t>
      </w:r>
      <w:r>
        <w:t xml:space="preserve">Study </w:t>
      </w:r>
      <w:r w:rsidR="00F41C1C">
        <w:t>HS-13-478)</w:t>
      </w:r>
      <w:r>
        <w:t xml:space="preserve">, direct induction of 47 opioid </w:t>
      </w:r>
      <w:r w:rsidR="00F41C1C">
        <w:t xml:space="preserve">dependent subjects with 24 mg or 32 mg </w:t>
      </w:r>
      <w:proofErr w:type="spellStart"/>
      <w:r w:rsidR="00F41C1C">
        <w:t>Buvidal</w:t>
      </w:r>
      <w:proofErr w:type="spellEnd"/>
      <w:r w:rsidR="00F41C1C">
        <w:t xml:space="preserve"> Weekly was successfully conducted showing complete blockade of opioid drug liking, euphoria and other subjective readouts from the first dose on Day 1 and for the duration of the study.</w:t>
      </w:r>
      <w:r w:rsidR="0099637B">
        <w:rPr>
          <w:rStyle w:val="FootnoteReference"/>
        </w:rPr>
        <w:footnoteReference w:id="19"/>
      </w:r>
      <w:r w:rsidR="00F41C1C">
        <w:t xml:space="preserve"> Similarly, </w:t>
      </w:r>
      <w:proofErr w:type="spellStart"/>
      <w:r w:rsidR="00F41C1C">
        <w:t>Buvidal</w:t>
      </w:r>
      <w:proofErr w:type="spellEnd"/>
      <w:r w:rsidR="00F41C1C">
        <w:t xml:space="preserve"> Weekly was shown to effectively block other opioid effects, such as sedation, and provide rapid and sustained suppression of opioid cravings and withdrawal, which are all considered clinically important factors for the patient’s ability to stop or reduce illicit use of opioid drugs. The ability of the </w:t>
      </w:r>
      <w:proofErr w:type="spellStart"/>
      <w:r w:rsidR="00F41C1C">
        <w:t>Buvidal</w:t>
      </w:r>
      <w:proofErr w:type="spellEnd"/>
      <w:r w:rsidR="00F41C1C">
        <w:t xml:space="preserve"> Weekly treatment to effectively reduce illicit drug use and keep patients in treatment after initiation with </w:t>
      </w:r>
      <w:proofErr w:type="spellStart"/>
      <w:r w:rsidR="00F41C1C">
        <w:t>Buvidal</w:t>
      </w:r>
      <w:proofErr w:type="spellEnd"/>
      <w:r w:rsidR="00F41C1C">
        <w:t xml:space="preserve"> Weekly</w:t>
      </w:r>
      <w:r w:rsidR="0099637B">
        <w:t xml:space="preserve"> was demonstrated in the Phase III S</w:t>
      </w:r>
      <w:r w:rsidR="00F41C1C">
        <w:t>tudies HS-11-421 and HS-14-499. The degree of illicit drug use directly after initiat</w:t>
      </w:r>
      <w:r w:rsidR="0099637B">
        <w:t xml:space="preserve">ion with </w:t>
      </w:r>
      <w:proofErr w:type="spellStart"/>
      <w:r w:rsidR="0099637B">
        <w:t>Buvidal</w:t>
      </w:r>
      <w:proofErr w:type="spellEnd"/>
      <w:r w:rsidR="0099637B">
        <w:t xml:space="preserve"> Weekly was in S</w:t>
      </w:r>
      <w:r w:rsidR="00F41C1C">
        <w:t xml:space="preserve">tudy HS-11-421 initially similar to standard treatment with SL </w:t>
      </w:r>
      <w:r w:rsidR="00246DC3">
        <w:t>buprenorphine</w:t>
      </w:r>
      <w:r w:rsidR="0099637B">
        <w:t>/naloxone</w:t>
      </w:r>
      <w:r w:rsidR="00F41C1C">
        <w:t xml:space="preserve">, but already after a few weeks of treatment, patients treated with </w:t>
      </w:r>
      <w:proofErr w:type="spellStart"/>
      <w:r w:rsidR="00F41C1C">
        <w:t>Buvidal</w:t>
      </w:r>
      <w:proofErr w:type="spellEnd"/>
      <w:r w:rsidR="00F41C1C">
        <w:t xml:space="preserve"> showed less illicit opioid use than patients treated with SL </w:t>
      </w:r>
      <w:r w:rsidR="00246DC3">
        <w:t>buprenorphine</w:t>
      </w:r>
      <w:r w:rsidR="0099637B">
        <w:t>/naloxone</w:t>
      </w:r>
      <w:r w:rsidR="00F41C1C">
        <w:t>.</w:t>
      </w:r>
      <w:r w:rsidR="0099637B">
        <w:rPr>
          <w:rStyle w:val="FootnoteReference"/>
        </w:rPr>
        <w:footnoteReference w:id="20"/>
      </w:r>
      <w:r w:rsidR="00F41C1C">
        <w:t xml:space="preserve"> The retention in treatment after direct induction on </w:t>
      </w:r>
      <w:proofErr w:type="spellStart"/>
      <w:r w:rsidR="00F41C1C">
        <w:t>Buvidal</w:t>
      </w:r>
      <w:proofErr w:type="spellEnd"/>
      <w:r w:rsidR="0099637B">
        <w:t xml:space="preserve"> Weekly was high in both Phase III</w:t>
      </w:r>
      <w:r w:rsidR="00F41C1C">
        <w:t xml:space="preserve"> studies, also compared to other recent studies with daily treatment with SL </w:t>
      </w:r>
      <w:r w:rsidR="00246DC3">
        <w:t>buprenorphine</w:t>
      </w:r>
      <w:r w:rsidR="0099637B">
        <w:t>/naloxone</w:t>
      </w:r>
      <w:r w:rsidR="00F41C1C">
        <w:t xml:space="preserve"> products.</w:t>
      </w:r>
      <w:r w:rsidR="0099637B">
        <w:rPr>
          <w:rStyle w:val="FootnoteReference"/>
        </w:rPr>
        <w:footnoteReference w:id="21"/>
      </w:r>
      <w:r w:rsidR="0099637B">
        <w:t xml:space="preserve"> </w:t>
      </w:r>
      <w:r w:rsidR="0099637B">
        <w:rPr>
          <w:rStyle w:val="FootnoteReference"/>
        </w:rPr>
        <w:footnoteReference w:id="22"/>
      </w:r>
    </w:p>
    <w:p w14:paraId="3C2339F4" w14:textId="49941FD5" w:rsidR="00F41C1C" w:rsidRPr="007C7BAD" w:rsidRDefault="00F41C1C" w:rsidP="00F41C1C">
      <w:r w:rsidRPr="007C7BAD">
        <w:t>In conclusion, based on the design of the clinical program</w:t>
      </w:r>
      <w:r w:rsidR="0099637B" w:rsidRPr="007C7BAD">
        <w:t>, the s</w:t>
      </w:r>
      <w:r w:rsidRPr="007C7BAD">
        <w:t xml:space="preserve">ponsor does not consider a prior initiation or stabilisation period on SL </w:t>
      </w:r>
      <w:r w:rsidR="00246DC3" w:rsidRPr="007C7BAD">
        <w:t>buprenorphine</w:t>
      </w:r>
      <w:r w:rsidRPr="007C7BAD">
        <w:t xml:space="preserve"> or </w:t>
      </w:r>
      <w:r w:rsidR="00246DC3" w:rsidRPr="007C7BAD">
        <w:t>buprenorphine</w:t>
      </w:r>
      <w:r w:rsidR="0099637B" w:rsidRPr="007C7BAD">
        <w:t>/naloxone</w:t>
      </w:r>
      <w:r w:rsidRPr="007C7BAD">
        <w:t xml:space="preserve"> to be indicated. In addition, the long-acting duration of </w:t>
      </w:r>
      <w:proofErr w:type="spellStart"/>
      <w:r w:rsidRPr="007C7BAD">
        <w:t>Buvidal</w:t>
      </w:r>
      <w:proofErr w:type="spellEnd"/>
      <w:r w:rsidRPr="007C7BAD">
        <w:t xml:space="preserve"> Weekly ensures the patient’s treatment adherence during the initial treatment phase when patients are most</w:t>
      </w:r>
      <w:r w:rsidR="001B1201" w:rsidRPr="007C7BAD">
        <w:t xml:space="preserve"> vulnerable to relapse and drop </w:t>
      </w:r>
      <w:r w:rsidRPr="007C7BAD">
        <w:t>out. The currently proposed PI is considered clinically appropriate.</w:t>
      </w:r>
    </w:p>
    <w:p w14:paraId="2E730957" w14:textId="7ED8DB3B" w:rsidR="00F41C1C" w:rsidRDefault="007C7BAD" w:rsidP="00311452">
      <w:pPr>
        <w:pStyle w:val="Heading5"/>
      </w:pPr>
      <w:r>
        <w:t>Question</w:t>
      </w:r>
      <w:r w:rsidR="00F41C1C" w:rsidRPr="007C7BAD">
        <w:t xml:space="preserve"> 4</w:t>
      </w:r>
      <w:r>
        <w:t xml:space="preserve"> for ACM</w:t>
      </w:r>
    </w:p>
    <w:p w14:paraId="605F52A1" w14:textId="5C33A14E" w:rsidR="007C7BAD" w:rsidRPr="00471927" w:rsidRDefault="007C7BAD" w:rsidP="00471927">
      <w:pPr>
        <w:ind w:left="720"/>
        <w:rPr>
          <w:i/>
        </w:rPr>
      </w:pPr>
      <w:r w:rsidRPr="00471927">
        <w:rPr>
          <w:i/>
        </w:rPr>
        <w:t xml:space="preserve">Does the Committee agree that </w:t>
      </w:r>
      <w:proofErr w:type="spellStart"/>
      <w:r w:rsidRPr="00471927">
        <w:rPr>
          <w:i/>
        </w:rPr>
        <w:t>Buvidal</w:t>
      </w:r>
      <w:proofErr w:type="spellEnd"/>
      <w:r w:rsidRPr="00471927">
        <w:rPr>
          <w:i/>
        </w:rPr>
        <w:t xml:space="preserve"> Monthly should only be given to individuals who have been stabilised on </w:t>
      </w:r>
      <w:proofErr w:type="spellStart"/>
      <w:r w:rsidRPr="00471927">
        <w:rPr>
          <w:i/>
        </w:rPr>
        <w:t>Buvidal</w:t>
      </w:r>
      <w:proofErr w:type="spellEnd"/>
      <w:r w:rsidRPr="00471927">
        <w:rPr>
          <w:i/>
        </w:rPr>
        <w:t xml:space="preserve"> Weekly?</w:t>
      </w:r>
    </w:p>
    <w:p w14:paraId="0E3A198A" w14:textId="6D345A68" w:rsidR="00F41C1C" w:rsidRDefault="00F41C1C" w:rsidP="00F41C1C">
      <w:r w:rsidRPr="007C7BAD">
        <w:t>In the response to the second round of labelling questi</w:t>
      </w:r>
      <w:r w:rsidR="007C7BAD">
        <w:t>ons (submitted to the TGA on 25</w:t>
      </w:r>
      <w:r w:rsidR="009B7D36">
        <w:t> </w:t>
      </w:r>
      <w:r w:rsidR="007C7BAD">
        <w:t xml:space="preserve">June </w:t>
      </w:r>
      <w:r w:rsidRPr="007C7BAD">
        <w:t>2018), t</w:t>
      </w:r>
      <w:r w:rsidR="007C7BAD">
        <w:t>he s</w:t>
      </w:r>
      <w:r w:rsidRPr="007C7BAD">
        <w:t xml:space="preserve">ponsor agreed to the proposal from the TGA to include instructions in section 4.2 of the PI to stabilise the subjects on 4 weeks of </w:t>
      </w:r>
      <w:proofErr w:type="spellStart"/>
      <w:r w:rsidRPr="007C7BAD">
        <w:t>Buvidal</w:t>
      </w:r>
      <w:proofErr w:type="spellEnd"/>
      <w:r w:rsidRPr="007C7BAD">
        <w:t xml:space="preserve"> Weekly before</w:t>
      </w:r>
      <w:r>
        <w:t xml:space="preserve"> sw</w:t>
      </w:r>
      <w:r w:rsidR="00311452">
        <w:t xml:space="preserve">itching to </w:t>
      </w:r>
      <w:proofErr w:type="spellStart"/>
      <w:r w:rsidR="00311452">
        <w:t>Buvidal</w:t>
      </w:r>
      <w:proofErr w:type="spellEnd"/>
      <w:r w:rsidR="00311452">
        <w:t xml:space="preserve"> Monthly. The </w:t>
      </w:r>
      <w:r>
        <w:t>4 weeks of stabilisation were used as part of the transition cri</w:t>
      </w:r>
      <w:r w:rsidR="007C7BAD">
        <w:t xml:space="preserve">teria in the </w:t>
      </w:r>
      <w:r w:rsidR="009B7D36">
        <w:t xml:space="preserve">Study </w:t>
      </w:r>
      <w:r w:rsidR="007C7BAD">
        <w:t xml:space="preserve">HS-14-499 </w:t>
      </w:r>
      <w:r>
        <w:t xml:space="preserve">that included stable dosing of </w:t>
      </w:r>
      <w:proofErr w:type="spellStart"/>
      <w:r>
        <w:t>Buvidal</w:t>
      </w:r>
      <w:proofErr w:type="spellEnd"/>
      <w:r>
        <w:t xml:space="preserve"> Weekly for 4 weeks before transitioning to </w:t>
      </w:r>
      <w:proofErr w:type="spellStart"/>
      <w:r>
        <w:t>Buvidal</w:t>
      </w:r>
      <w:proofErr w:type="spellEnd"/>
      <w:r>
        <w:t xml:space="preserve"> Monthly. An analysis of data for the patients who reached a stable </w:t>
      </w:r>
      <w:proofErr w:type="spellStart"/>
      <w:r>
        <w:t>Buvida</w:t>
      </w:r>
      <w:r w:rsidR="007C7BAD">
        <w:t>l</w:t>
      </w:r>
      <w:proofErr w:type="spellEnd"/>
      <w:r w:rsidR="007C7BAD">
        <w:t xml:space="preserve"> Weekly dose in the HS-14-499 S</w:t>
      </w:r>
      <w:r>
        <w:t>tudy showed that the median time to reach a stable dose ranged from 4.5 days (</w:t>
      </w:r>
      <w:r w:rsidR="007C7BAD">
        <w:t xml:space="preserve">for 16 mg </w:t>
      </w:r>
      <w:proofErr w:type="spellStart"/>
      <w:r w:rsidR="007C7BAD">
        <w:t>Buvidal</w:t>
      </w:r>
      <w:proofErr w:type="spellEnd"/>
      <w:r w:rsidR="007C7BAD">
        <w:t xml:space="preserve"> Weekly) to 15 </w:t>
      </w:r>
      <w:r>
        <w:t xml:space="preserve">days (for 32 mg </w:t>
      </w:r>
      <w:proofErr w:type="spellStart"/>
      <w:r>
        <w:t>Buvidal</w:t>
      </w:r>
      <w:proofErr w:type="spellEnd"/>
      <w:r>
        <w:t xml:space="preserve"> Weekly), which is considerably less than 4 weeks.</w:t>
      </w:r>
    </w:p>
    <w:p w14:paraId="65F268D2" w14:textId="40B541A1" w:rsidR="00F41C1C" w:rsidRDefault="007C7BAD" w:rsidP="00F41C1C">
      <w:r>
        <w:lastRenderedPageBreak/>
        <w:t xml:space="preserve">In </w:t>
      </w:r>
      <w:r w:rsidR="009B7D36">
        <w:t xml:space="preserve">Study </w:t>
      </w:r>
      <w:r>
        <w:t>HS-11-421</w:t>
      </w:r>
      <w:r w:rsidR="00F41C1C">
        <w:t xml:space="preserve">, the 12 weeks of treatment with </w:t>
      </w:r>
      <w:proofErr w:type="spellStart"/>
      <w:r w:rsidR="00F41C1C">
        <w:t>Buvidal</w:t>
      </w:r>
      <w:proofErr w:type="spellEnd"/>
      <w:r w:rsidR="00F41C1C">
        <w:t xml:space="preserve"> Weekly before transitioning to </w:t>
      </w:r>
      <w:proofErr w:type="spellStart"/>
      <w:r w:rsidR="00F41C1C">
        <w:t>Buvidal</w:t>
      </w:r>
      <w:proofErr w:type="spellEnd"/>
      <w:r w:rsidR="00F41C1C">
        <w:t xml:space="preserve"> Monthly were chosen in order to investigate both formulations in a controlled way while </w:t>
      </w:r>
      <w:r>
        <w:t xml:space="preserve">retaining the blind in a double </w:t>
      </w:r>
      <w:r w:rsidR="00F41C1C">
        <w:t xml:space="preserve">dummy study design. The 12 weeks of treatment with </w:t>
      </w:r>
      <w:proofErr w:type="spellStart"/>
      <w:r w:rsidR="00F41C1C">
        <w:t>Buvidal</w:t>
      </w:r>
      <w:proofErr w:type="spellEnd"/>
      <w:r w:rsidR="00F41C1C">
        <w:t xml:space="preserve"> Weekly were, thus, not based on a pre-defined stabilisation period.</w:t>
      </w:r>
    </w:p>
    <w:p w14:paraId="1FAC2824" w14:textId="56278482" w:rsidR="00F41C1C" w:rsidRDefault="00F41C1C" w:rsidP="007C7BAD">
      <w:r>
        <w:t>Based on the fact that patients generally reached s</w:t>
      </w:r>
      <w:r w:rsidR="007C7BAD">
        <w:t xml:space="preserve">table dose within 15 days, the sponsor considers a 4 </w:t>
      </w:r>
      <w:r>
        <w:t xml:space="preserve">week stabilisation period before patients can be transitioned from </w:t>
      </w:r>
      <w:proofErr w:type="spellStart"/>
      <w:r>
        <w:t>Buvidal</w:t>
      </w:r>
      <w:proofErr w:type="spellEnd"/>
      <w:r>
        <w:t xml:space="preserve"> Weekly to </w:t>
      </w:r>
      <w:proofErr w:type="spellStart"/>
      <w:r>
        <w:t>Buvidal</w:t>
      </w:r>
      <w:proofErr w:type="spellEnd"/>
      <w:r>
        <w:t xml:space="preserve"> Monthly to be more</w:t>
      </w:r>
      <w:r w:rsidR="007C7BAD">
        <w:t xml:space="preserve"> than sufficient. A mandated 12 </w:t>
      </w:r>
      <w:r>
        <w:t>week period is considered excessive and will limit the ability for individualised treatment to patients’ needs. The current wording in the PI section 4.2 is, hence, consid</w:t>
      </w:r>
      <w:r w:rsidR="007C7BAD">
        <w:t>ered appropriate. However, the s</w:t>
      </w:r>
      <w:r>
        <w:t>ponsor suggests that this information is appropriate for the posology section and should not be part of the indication section 4.1.</w:t>
      </w:r>
    </w:p>
    <w:p w14:paraId="2A8CBD7A" w14:textId="460C80FF" w:rsidR="00F41C1C" w:rsidRDefault="007C7BAD" w:rsidP="00311452">
      <w:pPr>
        <w:pStyle w:val="Heading5"/>
      </w:pPr>
      <w:r>
        <w:t>Question</w:t>
      </w:r>
      <w:r w:rsidR="00F41C1C">
        <w:t xml:space="preserve"> 5</w:t>
      </w:r>
      <w:r>
        <w:t xml:space="preserve"> for ACM</w:t>
      </w:r>
      <w:r w:rsidR="00F41C1C">
        <w:t xml:space="preserve"> and </w:t>
      </w:r>
      <w:r>
        <w:t xml:space="preserve">other comments </w:t>
      </w:r>
      <w:r w:rsidR="00F41C1C">
        <w:t>on the RMP</w:t>
      </w:r>
    </w:p>
    <w:p w14:paraId="6228D97E" w14:textId="1ED0D291" w:rsidR="007C7BAD" w:rsidRPr="00471927" w:rsidRDefault="007C7BAD" w:rsidP="00471927">
      <w:pPr>
        <w:ind w:left="720"/>
        <w:rPr>
          <w:i/>
        </w:rPr>
      </w:pPr>
      <w:r w:rsidRPr="00471927">
        <w:rPr>
          <w:i/>
        </w:rPr>
        <w:t>Does the Committee have comments on the proposed education strategy included in the Risk Management Plan?</w:t>
      </w:r>
    </w:p>
    <w:p w14:paraId="744DC756" w14:textId="5E0B8DEB" w:rsidR="00F41C1C" w:rsidRDefault="007C7BAD" w:rsidP="00F41C1C">
      <w:r>
        <w:t>The s</w:t>
      </w:r>
      <w:r w:rsidR="00F41C1C">
        <w:t>ponsor confirms that educati</w:t>
      </w:r>
      <w:r>
        <w:t>onal material for HCPs and for p</w:t>
      </w:r>
      <w:r w:rsidR="00F41C1C">
        <w:t xml:space="preserve">atients will be submitted for TGA review prior to launch, which </w:t>
      </w:r>
      <w:r>
        <w:t>is planned for April 2019. The s</w:t>
      </w:r>
      <w:r w:rsidR="00F41C1C">
        <w:t>ponsor plans to provide the educational material for TGA review by January 2019 to allow for TGA review and acceptance of the material prior to the launch date.</w:t>
      </w:r>
    </w:p>
    <w:p w14:paraId="66E51C29" w14:textId="08EA7F37" w:rsidR="00F41C1C" w:rsidRDefault="007C7BAD" w:rsidP="00F41C1C">
      <w:r>
        <w:t>This is in line with the TGA evaluation r</w:t>
      </w:r>
      <w:r w:rsidR="00F41C1C">
        <w:t>eport for RM</w:t>
      </w:r>
      <w:r>
        <w:t>P, dated 12 June 2018 and the s</w:t>
      </w:r>
      <w:r w:rsidR="00F41C1C">
        <w:t>ponsor agrees to the distribution prop</w:t>
      </w:r>
      <w:r>
        <w:t>osal as recommended by TGA; that is,</w:t>
      </w:r>
      <w:r w:rsidR="00F41C1C">
        <w:t xml:space="preserve"> that the educational material should be distributed to addiction medicine specialists (including Australian State and Territory Drug and Alcohol health services), GPs and pharmacists (community and hospital) as a minimum.</w:t>
      </w:r>
    </w:p>
    <w:p w14:paraId="7E763CB6" w14:textId="77777777" w:rsidR="00F41C1C" w:rsidRDefault="00F41C1C" w:rsidP="00F41C1C">
      <w:r>
        <w:t>Once approved, the material will be distributed to addiction medicine specialists (including Australian State and Territory Drug and Alcohol health services), GPs and pharmacists (community and hospital).</w:t>
      </w:r>
    </w:p>
    <w:p w14:paraId="190420EF" w14:textId="124D7BAF" w:rsidR="00F41C1C" w:rsidRDefault="007C7BAD" w:rsidP="00F41C1C">
      <w:r>
        <w:t>The s</w:t>
      </w:r>
      <w:r w:rsidR="00F41C1C">
        <w:t>ponsor will assess whether any other HCPs should receive the material and detail the distribution strategy, including whether adequate distribution has been achieved.</w:t>
      </w:r>
    </w:p>
    <w:p w14:paraId="4E702C64" w14:textId="0D210968" w:rsidR="00F41C1C" w:rsidRDefault="007C7BAD" w:rsidP="00F41C1C">
      <w:r>
        <w:t>In addition to s</w:t>
      </w:r>
      <w:r w:rsidR="00F41C1C">
        <w:t>ponsor-provi</w:t>
      </w:r>
      <w:r>
        <w:t>ded educational materials, the s</w:t>
      </w:r>
      <w:r w:rsidR="00F41C1C">
        <w:t xml:space="preserve">ponsor will work with each State Health Department to update opioid pharmacotherapy guidelines and training material with inclusion of information on </w:t>
      </w:r>
      <w:proofErr w:type="spellStart"/>
      <w:r w:rsidR="00F41C1C">
        <w:t>Buvidal</w:t>
      </w:r>
      <w:proofErr w:type="spellEnd"/>
      <w:r w:rsidR="00F41C1C">
        <w:t>.</w:t>
      </w:r>
    </w:p>
    <w:p w14:paraId="4063E1AD" w14:textId="77777777" w:rsidR="00F41C1C" w:rsidRDefault="00F41C1C" w:rsidP="00F41C1C">
      <w:r>
        <w:t>The educational material for consumers is planned to be distributed via the prescribers and documented by the prescriber.</w:t>
      </w:r>
    </w:p>
    <w:p w14:paraId="52D59286" w14:textId="77777777" w:rsidR="00F41C1C" w:rsidRDefault="00F41C1C" w:rsidP="00F41C1C">
      <w:r>
        <w:t>The effectiveness of distribution as well as the effectiveness of the risk minimisation measures will be monitored and reported to TGA in PSURs.</w:t>
      </w:r>
    </w:p>
    <w:p w14:paraId="6662EF00" w14:textId="067BD07C" w:rsidR="00F41C1C" w:rsidRDefault="00F41C1C" w:rsidP="00F41C1C">
      <w:r>
        <w:t>The ASA included in this s</w:t>
      </w:r>
      <w:r w:rsidR="00CD31EB">
        <w:t>ubmission, version 0.5 dated 13 </w:t>
      </w:r>
      <w:r w:rsidR="007C7BAD">
        <w:t xml:space="preserve">September </w:t>
      </w:r>
      <w:r>
        <w:t>2018, has been updated to include the recommended wording on PSUR requirements.</w:t>
      </w:r>
    </w:p>
    <w:p w14:paraId="7C77C869" w14:textId="5A6358B3" w:rsidR="00F41C1C" w:rsidRDefault="007C7BAD" w:rsidP="00F41C1C">
      <w:r>
        <w:t>The s</w:t>
      </w:r>
      <w:r w:rsidR="00F41C1C">
        <w:t>ponsor would also like to clarify that the latest subm</w:t>
      </w:r>
      <w:r w:rsidR="00CD31EB">
        <w:t>itted ASA, version 0.4 dated 20 </w:t>
      </w:r>
      <w:r>
        <w:t xml:space="preserve">June </w:t>
      </w:r>
      <w:r w:rsidR="00F41C1C">
        <w:t xml:space="preserve">2018, already includes information on </w:t>
      </w:r>
      <w:proofErr w:type="spellStart"/>
      <w:r w:rsidR="00F41C1C">
        <w:t>gabapentinoids</w:t>
      </w:r>
      <w:proofErr w:type="spellEnd"/>
      <w:r w:rsidR="00F41C1C">
        <w:t>.</w:t>
      </w:r>
    </w:p>
    <w:p w14:paraId="1A505630" w14:textId="77777777" w:rsidR="00F41C1C" w:rsidRDefault="00F41C1C" w:rsidP="00F41C1C">
      <w:r>
        <w:t xml:space="preserve">As required by TGA, the PI and CMI will be made available on the TGA website. In addition, the PI and CMI will be distributed by </w:t>
      </w:r>
      <w:proofErr w:type="spellStart"/>
      <w:r>
        <w:t>Guildlink</w:t>
      </w:r>
      <w:proofErr w:type="spellEnd"/>
      <w:r>
        <w:t xml:space="preserve">. </w:t>
      </w:r>
      <w:proofErr w:type="spellStart"/>
      <w:r>
        <w:t>Guildlink</w:t>
      </w:r>
      <w:proofErr w:type="spellEnd"/>
      <w:r>
        <w:t xml:space="preserve"> ensures distribution to clinicians, pharmacists, publications, compendiums and consumer websites, including over 45 health information providers. http://www.guildlink.com.au/medicines-information/</w:t>
      </w:r>
    </w:p>
    <w:p w14:paraId="17073499" w14:textId="30A4D6DB" w:rsidR="00F41C1C" w:rsidRDefault="006516F7" w:rsidP="008E1E43">
      <w:pPr>
        <w:pStyle w:val="Heading5"/>
        <w:pageBreakBefore/>
      </w:pPr>
      <w:r>
        <w:lastRenderedPageBreak/>
        <w:t>Questions for s</w:t>
      </w:r>
      <w:r w:rsidR="00F41C1C">
        <w:t>ponsor</w:t>
      </w:r>
    </w:p>
    <w:p w14:paraId="0A799E2A" w14:textId="62ECD564" w:rsidR="00F41C1C" w:rsidRPr="00311452" w:rsidRDefault="00F41C1C" w:rsidP="00311452">
      <w:pPr>
        <w:pStyle w:val="Numberbullet0"/>
        <w:numPr>
          <w:ilvl w:val="0"/>
          <w:numId w:val="33"/>
        </w:numPr>
        <w:rPr>
          <w:b/>
          <w:i/>
        </w:rPr>
      </w:pPr>
      <w:r w:rsidRPr="00311452">
        <w:rPr>
          <w:b/>
          <w:i/>
        </w:rPr>
        <w:t xml:space="preserve">Please submit a table showing the distribution of dose regimens of SL </w:t>
      </w:r>
      <w:r w:rsidR="00246DC3">
        <w:rPr>
          <w:b/>
          <w:i/>
        </w:rPr>
        <w:t>buprenorphine</w:t>
      </w:r>
      <w:r w:rsidR="007C7BAD">
        <w:rPr>
          <w:b/>
          <w:i/>
        </w:rPr>
        <w:t>/naloxone</w:t>
      </w:r>
      <w:r w:rsidRPr="00311452">
        <w:rPr>
          <w:b/>
          <w:i/>
        </w:rPr>
        <w:t>, CAM2038 q1w and CAM2038q4w that subjects were stabilised to in Study HS-11-421. State the median dose and the range in each case.</w:t>
      </w:r>
    </w:p>
    <w:p w14:paraId="76B556CB" w14:textId="199A0F2D" w:rsidR="00F41C1C" w:rsidRDefault="00F41C1C" w:rsidP="00311452">
      <w:r>
        <w:t xml:space="preserve">In </w:t>
      </w:r>
      <w:r w:rsidR="009B7D36">
        <w:t xml:space="preserve">Study </w:t>
      </w:r>
      <w:r>
        <w:t xml:space="preserve">HS-11-421, an analysis of the administered doses showed that the median </w:t>
      </w:r>
      <w:proofErr w:type="spellStart"/>
      <w:r>
        <w:t>Buvidal</w:t>
      </w:r>
      <w:proofErr w:type="spellEnd"/>
      <w:r>
        <w:t xml:space="preserve"> Weekly dose i</w:t>
      </w:r>
      <w:r w:rsidR="007C7BAD">
        <w:t>n the first phase of the Phase III study was 24 mg (range 16 to 32 </w:t>
      </w:r>
      <w:r>
        <w:t>mg) at a</w:t>
      </w:r>
      <w:r w:rsidR="007C7BAD">
        <w:t>ll visits after initiation (that is,</w:t>
      </w:r>
      <w:r>
        <w:t xml:space="preserve"> from Week 2 to Week 12). In the second phase, the median </w:t>
      </w:r>
      <w:proofErr w:type="spellStart"/>
      <w:r>
        <w:t>Buvidal</w:t>
      </w:r>
      <w:proofErr w:type="spellEnd"/>
      <w:r>
        <w:t xml:space="preserve"> M</w:t>
      </w:r>
      <w:r w:rsidR="007C7BAD">
        <w:t xml:space="preserve">onthly dose was 96 mg (range 64 to </w:t>
      </w:r>
      <w:r>
        <w:t xml:space="preserve">160 mg). The corresponding median daily SL </w:t>
      </w:r>
      <w:r w:rsidR="00246DC3">
        <w:t>buprenorphine</w:t>
      </w:r>
      <w:r w:rsidR="007C7BAD">
        <w:t>/naloxone dose was 16 mg (range 8 to 32</w:t>
      </w:r>
      <w:r w:rsidR="009B7D36">
        <w:t> </w:t>
      </w:r>
      <w:r w:rsidR="007C7BAD">
        <w:t>mg) across the Phase III</w:t>
      </w:r>
      <w:r>
        <w:t xml:space="preserve"> study. Hence, a stable median dose was reached already after the first week of initiation and was maintained throughout the study treatment with individual dose adjustments for efficacy and tolerability occurring over time.</w:t>
      </w:r>
    </w:p>
    <w:p w14:paraId="25CFAA06" w14:textId="6658BFE1" w:rsidR="00F41C1C" w:rsidRPr="00854219" w:rsidRDefault="00F41C1C" w:rsidP="00854219">
      <w:pPr>
        <w:pStyle w:val="Numberbullet0"/>
        <w:rPr>
          <w:b/>
          <w:i/>
        </w:rPr>
      </w:pPr>
      <w:r w:rsidRPr="00854219">
        <w:rPr>
          <w:b/>
          <w:i/>
        </w:rPr>
        <w:t>Please submit a table showing the distribution of dose regimens of CAM2038 q1w and CAM2038q4w that study subjects</w:t>
      </w:r>
      <w:r w:rsidR="006516F7">
        <w:rPr>
          <w:b/>
          <w:i/>
        </w:rPr>
        <w:t xml:space="preserve"> were stabilised to in S</w:t>
      </w:r>
      <w:r w:rsidRPr="00854219">
        <w:rPr>
          <w:b/>
          <w:i/>
        </w:rPr>
        <w:t>tudy HS-14-499. State the median dose and the range.</w:t>
      </w:r>
    </w:p>
    <w:p w14:paraId="2ABA80D2" w14:textId="071FA72D" w:rsidR="00F41C1C" w:rsidRDefault="007C7BAD" w:rsidP="00311452">
      <w:r>
        <w:fldChar w:fldCharType="begin"/>
      </w:r>
      <w:r>
        <w:instrText xml:space="preserve"> REF _Ref18587646 \h </w:instrText>
      </w:r>
      <w:r>
        <w:fldChar w:fldCharType="separate"/>
      </w:r>
      <w:r w:rsidR="00CD31EB">
        <w:t xml:space="preserve">Table </w:t>
      </w:r>
      <w:r w:rsidR="00CD31EB">
        <w:rPr>
          <w:noProof/>
        </w:rPr>
        <w:t>18</w:t>
      </w:r>
      <w:r>
        <w:fldChar w:fldCharType="end"/>
      </w:r>
      <w:r w:rsidR="00F41C1C">
        <w:t xml:space="preserve"> shows the doses of </w:t>
      </w:r>
      <w:proofErr w:type="spellStart"/>
      <w:r w:rsidR="00F41C1C">
        <w:t>Buvidal</w:t>
      </w:r>
      <w:proofErr w:type="spellEnd"/>
      <w:r w:rsidR="00F41C1C">
        <w:t xml:space="preserve"> Weekly and </w:t>
      </w:r>
      <w:proofErr w:type="spellStart"/>
      <w:r w:rsidR="00F41C1C">
        <w:t>Buvida</w:t>
      </w:r>
      <w:r w:rsidR="006516F7">
        <w:t>l</w:t>
      </w:r>
      <w:proofErr w:type="spellEnd"/>
      <w:r w:rsidR="006516F7">
        <w:t xml:space="preserve"> Monthly that the patients in S</w:t>
      </w:r>
      <w:r w:rsidR="00F41C1C">
        <w:t xml:space="preserve">tudy HS-14- 499 were stabilised on (defined as the same dose given for 4 or more consecutive weeks). Note that a patient can be included as stabilised on both </w:t>
      </w:r>
      <w:proofErr w:type="spellStart"/>
      <w:r w:rsidR="00F41C1C">
        <w:t>Buvidal</w:t>
      </w:r>
      <w:proofErr w:type="spellEnd"/>
      <w:r w:rsidR="00F41C1C">
        <w:t xml:space="preserve"> Weekly and </w:t>
      </w:r>
      <w:proofErr w:type="spellStart"/>
      <w:r w:rsidR="00F41C1C">
        <w:t>Buvidal</w:t>
      </w:r>
      <w:proofErr w:type="spellEnd"/>
      <w:r w:rsidR="00F41C1C">
        <w:t xml:space="preserve"> Monthly in the study. Importantly, the median dose</w:t>
      </w:r>
      <w:r>
        <w:t>s in the flexible dose Study HS </w:t>
      </w:r>
      <w:r w:rsidR="00F41C1C">
        <w:t xml:space="preserve">14-499 are identical to the median doses reached in </w:t>
      </w:r>
      <w:r>
        <w:t>S</w:t>
      </w:r>
      <w:r w:rsidR="00F41C1C">
        <w:t>tudy HS-11-421.</w:t>
      </w:r>
    </w:p>
    <w:p w14:paraId="4FECCD8F" w14:textId="06767164" w:rsidR="00F41C1C" w:rsidRDefault="007C7BAD" w:rsidP="007C7BAD">
      <w:pPr>
        <w:pStyle w:val="TableTitle"/>
      </w:pPr>
      <w:bookmarkStart w:id="149" w:name="_Ref18587646"/>
      <w:r>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18</w:t>
      </w:r>
      <w:r w:rsidR="00553795">
        <w:rPr>
          <w:noProof/>
        </w:rPr>
        <w:fldChar w:fldCharType="end"/>
      </w:r>
      <w:bookmarkEnd w:id="149"/>
      <w:r w:rsidR="00F41C1C">
        <w:t xml:space="preserve">: </w:t>
      </w:r>
      <w:r w:rsidR="00F41C1C" w:rsidRPr="00F41C1C">
        <w:t xml:space="preserve">Doses of </w:t>
      </w:r>
      <w:proofErr w:type="spellStart"/>
      <w:r w:rsidR="00F41C1C" w:rsidRPr="00F41C1C">
        <w:t>Buvidal</w:t>
      </w:r>
      <w:proofErr w:type="spellEnd"/>
      <w:r w:rsidR="00F41C1C" w:rsidRPr="00F41C1C">
        <w:t xml:space="preserve"> Weekly and </w:t>
      </w:r>
      <w:proofErr w:type="spellStart"/>
      <w:r w:rsidR="00F41C1C" w:rsidRPr="00F41C1C">
        <w:t>Buvidal</w:t>
      </w:r>
      <w:proofErr w:type="spellEnd"/>
      <w:r w:rsidR="00F41C1C" w:rsidRPr="00F41C1C">
        <w:t xml:space="preserve"> Monthly that </w:t>
      </w:r>
      <w:r>
        <w:t>patients were stabilised on in S</w:t>
      </w:r>
      <w:r w:rsidR="00F41C1C" w:rsidRPr="00F41C1C">
        <w:t>tudy HS-14-499 (N</w:t>
      </w:r>
      <w:r>
        <w:t xml:space="preserve"> </w:t>
      </w:r>
      <w:r w:rsidR="00F41C1C" w:rsidRPr="00F41C1C">
        <w:t>=</w:t>
      </w:r>
      <w:r>
        <w:t xml:space="preserve"> </w:t>
      </w:r>
      <w:r w:rsidR="00F41C1C" w:rsidRPr="00F41C1C">
        <w:t>227)</w:t>
      </w:r>
    </w:p>
    <w:p w14:paraId="4A96B58C" w14:textId="77777777" w:rsidR="00F41C1C" w:rsidRDefault="00F41C1C" w:rsidP="00F41C1C">
      <w:r>
        <w:rPr>
          <w:noProof/>
          <w:lang w:eastAsia="en-AU"/>
        </w:rPr>
        <w:drawing>
          <wp:inline distT="0" distB="0" distL="0" distR="0" wp14:anchorId="382C7FE1" wp14:editId="038E2F39">
            <wp:extent cx="5400040" cy="585470"/>
            <wp:effectExtent l="0" t="0" r="0" b="5080"/>
            <wp:docPr id="4" name="Picture 4" descr="Doses of Buvidal Weekly and Buvidal Monthly that patients were stabilised on in Study HS-14-499 (N =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585470"/>
                    </a:xfrm>
                    <a:prstGeom prst="rect">
                      <a:avLst/>
                    </a:prstGeom>
                  </pic:spPr>
                </pic:pic>
              </a:graphicData>
            </a:graphic>
          </wp:inline>
        </w:drawing>
      </w:r>
    </w:p>
    <w:p w14:paraId="12BFAA75" w14:textId="77777777" w:rsidR="00311452" w:rsidRDefault="00311452" w:rsidP="00854219">
      <w:pPr>
        <w:pStyle w:val="Heading5"/>
      </w:pPr>
      <w:r>
        <w:t>Questions on Product Information</w:t>
      </w:r>
    </w:p>
    <w:p w14:paraId="5DFB01E0" w14:textId="77777777" w:rsidR="00854219" w:rsidRDefault="00854219" w:rsidP="00311452">
      <w:r>
        <w:t>These are beyond the scope of this AusPAR.</w:t>
      </w:r>
    </w:p>
    <w:p w14:paraId="0183D122" w14:textId="77777777" w:rsidR="00311452" w:rsidRDefault="00311452" w:rsidP="00854219">
      <w:pPr>
        <w:pStyle w:val="Heading5"/>
      </w:pPr>
      <w:r>
        <w:t>Other requests</w:t>
      </w:r>
    </w:p>
    <w:p w14:paraId="38FAC843" w14:textId="77777777" w:rsidR="00311452" w:rsidRPr="00854219" w:rsidRDefault="00311452" w:rsidP="00854219">
      <w:pPr>
        <w:pStyle w:val="Numberbullet0"/>
        <w:numPr>
          <w:ilvl w:val="0"/>
          <w:numId w:val="34"/>
        </w:numPr>
        <w:rPr>
          <w:b/>
          <w:i/>
        </w:rPr>
      </w:pPr>
      <w:r w:rsidRPr="00854219">
        <w:rPr>
          <w:b/>
          <w:i/>
        </w:rPr>
        <w:t>A tabulation of any serious unexpected adverse drug reactions which are not mentioned in the proposed Australian Product Information and have not been submitted previously</w:t>
      </w:r>
      <w:r w:rsidR="00854219" w:rsidRPr="00854219">
        <w:rPr>
          <w:b/>
          <w:i/>
        </w:rPr>
        <w:t>.</w:t>
      </w:r>
    </w:p>
    <w:p w14:paraId="07E1940D" w14:textId="20A89605" w:rsidR="00311452" w:rsidRDefault="00311452" w:rsidP="00311452">
      <w:r>
        <w:t>A table of serious unexpected adverse drug reactions is provided</w:t>
      </w:r>
      <w:r w:rsidR="00A05783">
        <w:t xml:space="preserve"> in </w:t>
      </w:r>
      <w:r w:rsidR="00A05783">
        <w:fldChar w:fldCharType="begin"/>
      </w:r>
      <w:r w:rsidR="00A05783">
        <w:instrText xml:space="preserve"> REF _Ref18587916 \h </w:instrText>
      </w:r>
      <w:r w:rsidR="00A05783">
        <w:fldChar w:fldCharType="separate"/>
      </w:r>
      <w:r w:rsidR="00CD31EB">
        <w:t xml:space="preserve">Table </w:t>
      </w:r>
      <w:r w:rsidR="00CD31EB">
        <w:rPr>
          <w:noProof/>
        </w:rPr>
        <w:t>19</w:t>
      </w:r>
      <w:r w:rsidR="00A05783">
        <w:fldChar w:fldCharType="end"/>
      </w:r>
      <w:r>
        <w:t>.</w:t>
      </w:r>
    </w:p>
    <w:p w14:paraId="45B8CF6D" w14:textId="2FF8F581" w:rsidR="007C7BAD" w:rsidRDefault="007C7BAD" w:rsidP="00A05783">
      <w:pPr>
        <w:pStyle w:val="TableTitle"/>
      </w:pPr>
      <w:bookmarkStart w:id="150" w:name="_Ref18587916"/>
      <w:r>
        <w:lastRenderedPageBreak/>
        <w:t xml:space="preserve">Table </w:t>
      </w:r>
      <w:r w:rsidR="00553795">
        <w:rPr>
          <w:noProof/>
        </w:rPr>
        <w:fldChar w:fldCharType="begin"/>
      </w:r>
      <w:r w:rsidR="00553795">
        <w:rPr>
          <w:noProof/>
        </w:rPr>
        <w:instrText xml:space="preserve"> SEQ Table \* ARABIC </w:instrText>
      </w:r>
      <w:r w:rsidR="00553795">
        <w:rPr>
          <w:noProof/>
        </w:rPr>
        <w:fldChar w:fldCharType="separate"/>
      </w:r>
      <w:r w:rsidR="00B05D65">
        <w:rPr>
          <w:noProof/>
        </w:rPr>
        <w:t>19</w:t>
      </w:r>
      <w:r w:rsidR="00553795">
        <w:rPr>
          <w:noProof/>
        </w:rPr>
        <w:fldChar w:fldCharType="end"/>
      </w:r>
      <w:bookmarkEnd w:id="150"/>
      <w:r>
        <w:t xml:space="preserve">: </w:t>
      </w:r>
      <w:r w:rsidRPr="007C7BAD">
        <w:t>CAM2038 cumulative summary tabulations unexpected serious adverse reactions</w:t>
      </w:r>
      <w:r>
        <w:t xml:space="preserve"> (</w:t>
      </w:r>
      <w:r w:rsidRPr="007C7BAD">
        <w:t>SARs</w:t>
      </w:r>
      <w:r>
        <w:t>)</w:t>
      </w:r>
      <w:r w:rsidRPr="007C7BAD">
        <w:t xml:space="preserve"> all studies</w:t>
      </w:r>
    </w:p>
    <w:p w14:paraId="02897FC0" w14:textId="040D2828" w:rsidR="007C7BAD" w:rsidRDefault="007C7BAD" w:rsidP="00311452">
      <w:r>
        <w:rPr>
          <w:noProof/>
          <w:lang w:eastAsia="en-AU"/>
        </w:rPr>
        <w:drawing>
          <wp:inline distT="0" distB="0" distL="0" distR="0" wp14:anchorId="07CA49BF" wp14:editId="2191CC99">
            <wp:extent cx="5400040" cy="2891155"/>
            <wp:effectExtent l="0" t="0" r="0" b="4445"/>
            <wp:docPr id="9" name="Picture 9" descr="CAM2038 cumulative summary tabulations unexpected serious adverse reactions (SARs)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891155"/>
                    </a:xfrm>
                    <a:prstGeom prst="rect">
                      <a:avLst/>
                    </a:prstGeom>
                  </pic:spPr>
                </pic:pic>
              </a:graphicData>
            </a:graphic>
          </wp:inline>
        </w:drawing>
      </w:r>
    </w:p>
    <w:p w14:paraId="57B9161D" w14:textId="77777777" w:rsidR="008E7846" w:rsidRDefault="008E7846" w:rsidP="008E7846">
      <w:pPr>
        <w:pStyle w:val="Heading4"/>
      </w:pPr>
      <w:r>
        <w:t>Advisory Committee Considerations</w:t>
      </w:r>
      <w:r w:rsidR="00456765">
        <w:rPr>
          <w:rStyle w:val="FootnoteReference"/>
        </w:rPr>
        <w:footnoteReference w:id="23"/>
      </w:r>
    </w:p>
    <w:p w14:paraId="729235EB" w14:textId="77777777" w:rsidR="008E7846" w:rsidRDefault="00456765" w:rsidP="008E7846">
      <w:pPr>
        <w:rPr>
          <w:bCs/>
        </w:rPr>
      </w:pPr>
      <w:r w:rsidRPr="00456765">
        <w:rPr>
          <w:bCs/>
        </w:rPr>
        <w:t>The Advisory Committee on Medicines (ACM), having considered the evaluations and the Delegate’s overview, as well as the sponsor’s response to these d</w:t>
      </w:r>
      <w:r w:rsidR="00854219">
        <w:rPr>
          <w:bCs/>
        </w:rPr>
        <w:t>ocuments, advised the following.</w:t>
      </w:r>
    </w:p>
    <w:p w14:paraId="6E2B5AF9" w14:textId="203359B6" w:rsidR="00ED0409" w:rsidRDefault="00ED0409" w:rsidP="00ED0409">
      <w:r>
        <w:t>The ACM taking into account the submitted evidence of efficacy, safet</w:t>
      </w:r>
      <w:r w:rsidR="006516F7">
        <w:t>y and quality, agreed with the D</w:t>
      </w:r>
      <w:r>
        <w:t xml:space="preserve">elegate and considered </w:t>
      </w:r>
      <w:proofErr w:type="spellStart"/>
      <w:r w:rsidR="006C7580">
        <w:t>Buvidal</w:t>
      </w:r>
      <w:proofErr w:type="spellEnd"/>
      <w:r w:rsidR="006C7580">
        <w:t xml:space="preserve"> prolonged </w:t>
      </w:r>
      <w:r>
        <w:t>releas</w:t>
      </w:r>
      <w:r w:rsidR="006C7580">
        <w:t>e solution for injection in pre</w:t>
      </w:r>
      <w:r w:rsidR="006C7580">
        <w:noBreakHyphen/>
      </w:r>
      <w:r>
        <w:t>filled syringes containing buprenorphine: 8 mg in 0.16 mL solution; 16 mg in 0.32 mL solution; 24 mg in 0.48 mL solution; 32 mg in 0.64 mL solution; 64 mg in 0.18 mL solution; 96 mg in 0.27 mL solution; 128 mg in 0.36 mL solution; 160 mg in 0.45 mL solution; to have an overall positive benefit-risk profile for the proposed indication:</w:t>
      </w:r>
    </w:p>
    <w:p w14:paraId="104E0429" w14:textId="64E23182" w:rsidR="00ED0409" w:rsidRPr="00ED0409" w:rsidRDefault="006C7580" w:rsidP="00ED0409">
      <w:pPr>
        <w:ind w:left="720"/>
        <w:rPr>
          <w:i/>
        </w:rPr>
      </w:pPr>
      <w:proofErr w:type="spellStart"/>
      <w:r w:rsidRPr="00ED0409">
        <w:rPr>
          <w:i/>
        </w:rPr>
        <w:t>Buvidal</w:t>
      </w:r>
      <w:proofErr w:type="spellEnd"/>
      <w:r w:rsidR="00ED0409" w:rsidRPr="00ED0409">
        <w:rPr>
          <w:i/>
        </w:rPr>
        <w:t xml:space="preserve"> is indicated for the treatment of opioid dependence within a framework of medical, social and psychological treatment. </w:t>
      </w:r>
      <w:proofErr w:type="spellStart"/>
      <w:r w:rsidRPr="00ED0409">
        <w:rPr>
          <w:i/>
        </w:rPr>
        <w:t>Buvidal</w:t>
      </w:r>
      <w:proofErr w:type="spellEnd"/>
      <w:r w:rsidR="00ED0409" w:rsidRPr="00ED0409">
        <w:rPr>
          <w:i/>
        </w:rPr>
        <w:t xml:space="preserve"> is intended for use in adults and adolescents aged 16 years or over.</w:t>
      </w:r>
    </w:p>
    <w:p w14:paraId="1C025C8F" w14:textId="77777777" w:rsidR="00ED0409" w:rsidRDefault="00ED0409" w:rsidP="00ED0409">
      <w:r>
        <w:t>In providing this advice the ACM noted the following:</w:t>
      </w:r>
    </w:p>
    <w:p w14:paraId="21A58E40" w14:textId="6EF3EB4F" w:rsidR="00ED0409" w:rsidRDefault="006C7580" w:rsidP="00ED0409">
      <w:pPr>
        <w:pStyle w:val="ListBullet"/>
      </w:pPr>
      <w:r>
        <w:t xml:space="preserve">Study HS-11-421 was a Phase III, randomised, double blind, active </w:t>
      </w:r>
      <w:r w:rsidR="00ED0409">
        <w:t xml:space="preserve">controlled study of </w:t>
      </w:r>
      <w:r>
        <w:t xml:space="preserve">the efficacy and safety of once </w:t>
      </w:r>
      <w:r w:rsidR="00ED0409">
        <w:t>weekly and once-monthly depot buprenorphine (CAM2038) compared</w:t>
      </w:r>
      <w:r>
        <w:t xml:space="preserve"> with sublingual buprenorphine/</w:t>
      </w:r>
      <w:r w:rsidR="00ED0409">
        <w:t xml:space="preserve">naloxone in adult patients with opioid use disorder. The primary efficacy endpoint for the EMA analyses was the percentage of urine samples negative for illicit opioids based on the 18 urine samples obtained during the post-induction period (treatment Weeks 1 to 24, corresponding to </w:t>
      </w:r>
      <w:r w:rsidR="00ED0409">
        <w:lastRenderedPageBreak/>
        <w:t>sample Weeks 2 to 25). The primary efficacy endpoint for the FDA analysis was the response rate, based on evidence of no illicit opioid us</w:t>
      </w:r>
      <w:r>
        <w:t>e within a defined period. Non</w:t>
      </w:r>
      <w:r>
        <w:noBreakHyphen/>
      </w:r>
      <w:r w:rsidR="00ED0409">
        <w:t xml:space="preserve">inferiority of CAM2038 with SL </w:t>
      </w:r>
      <w:r w:rsidR="00246DC3">
        <w:t>buprenorphine</w:t>
      </w:r>
      <w:r>
        <w:t>/naloxone</w:t>
      </w:r>
      <w:r w:rsidR="00ED0409">
        <w:t xml:space="preserve"> was demonstrated for both the EMA and FDA specified primary endpoints.</w:t>
      </w:r>
    </w:p>
    <w:p w14:paraId="674EFED8" w14:textId="43E589EE" w:rsidR="00ED0409" w:rsidRDefault="00ED0409" w:rsidP="00ED0409">
      <w:pPr>
        <w:pStyle w:val="ListBullet"/>
      </w:pPr>
      <w:r>
        <w:t xml:space="preserve">The safety profile of CAM2038 given weekly or monthly was comparable to that of SL </w:t>
      </w:r>
      <w:r w:rsidR="00246DC3">
        <w:t>buprenorphine</w:t>
      </w:r>
      <w:r w:rsidR="006C7580">
        <w:t>/naloxone</w:t>
      </w:r>
      <w:r>
        <w:t>. The most frequent adverse events were injection site related (injection site pain, pruritus and erythema).</w:t>
      </w:r>
    </w:p>
    <w:p w14:paraId="5C939D40" w14:textId="77777777" w:rsidR="00456765" w:rsidRDefault="00ED0409" w:rsidP="00ED0409">
      <w:pPr>
        <w:pStyle w:val="ListBullet"/>
      </w:pPr>
      <w:r>
        <w:t>The depot formulation of buprenorphine may offer benefits for patients due to the reduced frequency of dose administration compared to current therapies which can require daily supervised dosing.</w:t>
      </w:r>
    </w:p>
    <w:p w14:paraId="260498F6" w14:textId="77777777" w:rsidR="00ED0409" w:rsidRDefault="00ED0409" w:rsidP="00ED0409">
      <w:pPr>
        <w:pStyle w:val="Heading5"/>
      </w:pPr>
      <w:r>
        <w:t>Proposed conditions of registration</w:t>
      </w:r>
    </w:p>
    <w:p w14:paraId="196CE0BF" w14:textId="6070E502" w:rsidR="00ED0409" w:rsidRDefault="006516F7" w:rsidP="00ED0409">
      <w:r>
        <w:t>The ACM agreed with the D</w:t>
      </w:r>
      <w:r w:rsidR="00ED0409">
        <w:t>elegate on the proposed conditions of registration and advised on the inclusion of the following:</w:t>
      </w:r>
    </w:p>
    <w:p w14:paraId="00F6CEE4" w14:textId="4276B98E" w:rsidR="00ED0409" w:rsidRDefault="00ED0409" w:rsidP="00ED0409">
      <w:pPr>
        <w:pStyle w:val="ListBullet"/>
      </w:pPr>
      <w:r>
        <w:t xml:space="preserve">A phased introduction of </w:t>
      </w:r>
      <w:proofErr w:type="spellStart"/>
      <w:r w:rsidR="006C7580">
        <w:t>Buvidal</w:t>
      </w:r>
      <w:proofErr w:type="spellEnd"/>
      <w:r>
        <w:t>, so that administration is restricted to specialist settings initially, and can subsequently be opened up to a broader group of healthcare professionals.</w:t>
      </w:r>
    </w:p>
    <w:p w14:paraId="176BA998" w14:textId="77777777" w:rsidR="00ED0409" w:rsidRDefault="00ED0409" w:rsidP="00ED0409">
      <w:pPr>
        <w:pStyle w:val="ListBullet"/>
      </w:pPr>
      <w:r>
        <w:t>Satisfactory implementation of the Risk Management Plan most recently negotiated by the TGA.</w:t>
      </w:r>
    </w:p>
    <w:p w14:paraId="1855D881" w14:textId="1567E5B7" w:rsidR="00ED0409" w:rsidRDefault="00ED0409" w:rsidP="00ED0409">
      <w:pPr>
        <w:pStyle w:val="Heading5"/>
      </w:pPr>
      <w:r>
        <w:t>Pro</w:t>
      </w:r>
      <w:r w:rsidR="00F45C32">
        <w:t>posed Product Information (PI)/</w:t>
      </w:r>
      <w:r>
        <w:t>Consumer Medicine Information (CMI) amendments</w:t>
      </w:r>
    </w:p>
    <w:p w14:paraId="305F9941" w14:textId="1BB0D51A" w:rsidR="00ED0409" w:rsidRDefault="006516F7" w:rsidP="00ED0409">
      <w:r>
        <w:t>The ACM agreed with the D</w:t>
      </w:r>
      <w:r w:rsidR="00ED0409">
        <w:t>elegate to most of the proposed amendments to the Product Information (PI) and Consumer Medicine Information (CMI), with additional recommendations outlined in the specific advice below.</w:t>
      </w:r>
    </w:p>
    <w:p w14:paraId="5E872046" w14:textId="48B2FE31" w:rsidR="00ED0409" w:rsidRDefault="00ED0409" w:rsidP="00ED0409">
      <w:pPr>
        <w:pStyle w:val="Heading5"/>
      </w:pPr>
      <w:r>
        <w:t xml:space="preserve">Specific </w:t>
      </w:r>
      <w:r w:rsidR="008E1E43">
        <w:t>a</w:t>
      </w:r>
      <w:r>
        <w:t>dvice</w:t>
      </w:r>
    </w:p>
    <w:p w14:paraId="00EE14D5" w14:textId="50FB361B" w:rsidR="00ED0409" w:rsidRDefault="00ED0409" w:rsidP="00ED0409">
      <w:r>
        <w:t>The ACM advised th</w:t>
      </w:r>
      <w:r w:rsidR="006516F7">
        <w:t>e following in response to the D</w:t>
      </w:r>
      <w:r>
        <w:t>elegate’s specific questions on the submission:</w:t>
      </w:r>
    </w:p>
    <w:p w14:paraId="48A1E0AE" w14:textId="3CC1438E" w:rsidR="00ED0409" w:rsidRPr="00ED0409" w:rsidRDefault="00ED0409" w:rsidP="00ED0409">
      <w:pPr>
        <w:pStyle w:val="Numberbullet0"/>
        <w:numPr>
          <w:ilvl w:val="0"/>
          <w:numId w:val="35"/>
        </w:numPr>
        <w:rPr>
          <w:b/>
          <w:i/>
        </w:rPr>
      </w:pPr>
      <w:r w:rsidRPr="00ED0409">
        <w:rPr>
          <w:b/>
          <w:i/>
        </w:rPr>
        <w:t xml:space="preserve">Does the Committee consider that, if approved, supply of these </w:t>
      </w:r>
      <w:r w:rsidR="00246DC3">
        <w:rPr>
          <w:b/>
          <w:i/>
        </w:rPr>
        <w:t>buprenorphine</w:t>
      </w:r>
      <w:r w:rsidRPr="00ED0409">
        <w:rPr>
          <w:b/>
          <w:i/>
        </w:rPr>
        <w:t xml:space="preserve"> products should be restricted to hospital and specialist drug rehabilitation clinics? Community pharmacy dispensing programs would be excluded from supplying </w:t>
      </w:r>
      <w:proofErr w:type="spellStart"/>
      <w:r w:rsidR="006C7580" w:rsidRPr="00ED0409">
        <w:rPr>
          <w:b/>
          <w:i/>
        </w:rPr>
        <w:t>Buvidal</w:t>
      </w:r>
      <w:proofErr w:type="spellEnd"/>
      <w:r w:rsidR="006C7580" w:rsidRPr="00ED0409">
        <w:rPr>
          <w:b/>
          <w:i/>
        </w:rPr>
        <w:t xml:space="preserve"> Weekly </w:t>
      </w:r>
      <w:r w:rsidRPr="00ED0409">
        <w:rPr>
          <w:b/>
          <w:i/>
        </w:rPr>
        <w:t xml:space="preserve">and </w:t>
      </w:r>
      <w:proofErr w:type="spellStart"/>
      <w:r w:rsidR="006C7580" w:rsidRPr="00ED0409">
        <w:rPr>
          <w:b/>
          <w:i/>
        </w:rPr>
        <w:t>Buvidal</w:t>
      </w:r>
      <w:proofErr w:type="spellEnd"/>
      <w:r w:rsidR="006C7580" w:rsidRPr="00ED0409">
        <w:rPr>
          <w:b/>
          <w:i/>
        </w:rPr>
        <w:t xml:space="preserve"> Monthly</w:t>
      </w:r>
      <w:r w:rsidRPr="00ED0409">
        <w:rPr>
          <w:b/>
          <w:i/>
        </w:rPr>
        <w:t>. This approach is intended to optimise patient selection, dose titration, and administration technique. It should also assist in cl</w:t>
      </w:r>
      <w:r w:rsidR="006C7580">
        <w:rPr>
          <w:b/>
          <w:i/>
        </w:rPr>
        <w:t>ient attendance to counselling/</w:t>
      </w:r>
      <w:r w:rsidRPr="00ED0409">
        <w:rPr>
          <w:b/>
          <w:i/>
        </w:rPr>
        <w:t>review sessions.</w:t>
      </w:r>
    </w:p>
    <w:p w14:paraId="053560FC" w14:textId="37AAD968" w:rsidR="00ED0409" w:rsidRDefault="00ED0409" w:rsidP="00ED0409">
      <w:r>
        <w:t>The ACM considered that a phased introduction of this buprenorphine product may be appropriate, whe</w:t>
      </w:r>
      <w:r w:rsidR="006C7580">
        <w:t>re during an initial period (that is,</w:t>
      </w:r>
      <w:r>
        <w:t xml:space="preserve"> six months), </w:t>
      </w:r>
      <w:proofErr w:type="spellStart"/>
      <w:r w:rsidR="006C7580">
        <w:t>Buvidal</w:t>
      </w:r>
      <w:proofErr w:type="spellEnd"/>
      <w:r>
        <w:t xml:space="preserve"> should be restricted to a specialist setting so that appropriate experience with the formulation is developed, and enable such spec</w:t>
      </w:r>
      <w:r w:rsidR="006C7580">
        <w:t xml:space="preserve">ialists to provide experience </w:t>
      </w:r>
      <w:r>
        <w:t>informed, clinical advice to other prescribers and general practitioners, when made available subsequently for broader prescriber groups.</w:t>
      </w:r>
    </w:p>
    <w:p w14:paraId="6BD66675" w14:textId="77777777" w:rsidR="00ED0409" w:rsidRDefault="00ED0409" w:rsidP="00ED0409">
      <w:r>
        <w:t>The ACM also noted that delivery of opioid replacement therapy varies in different Australian jurisdictions. For example, in Victoria, most treatment is provided through approved general practitioners and community pharmacies, therefore access to this formulation would be greatly limited if restricted only to hospital and specialist drug clinics.</w:t>
      </w:r>
    </w:p>
    <w:p w14:paraId="1B257837" w14:textId="1861D25E" w:rsidR="00ED0409" w:rsidRDefault="00ED0409" w:rsidP="00ED0409">
      <w:r>
        <w:t>The ACM acknowledged the advantages this formulation may have especially for rural and remote populations, where access to hospital and specialist drug rehabilitation clinics is scarce, and advised that consideration should also be given to allowing administration by pharm</w:t>
      </w:r>
      <w:r w:rsidR="006C7580">
        <w:t xml:space="preserve">acists (after the initial phase </w:t>
      </w:r>
      <w:r>
        <w:t>in period) under th</w:t>
      </w:r>
      <w:r w:rsidR="006C7580">
        <w:t>e training of a specialist, for example,</w:t>
      </w:r>
      <w:r>
        <w:t xml:space="preserve"> supervision via video consultation.</w:t>
      </w:r>
    </w:p>
    <w:p w14:paraId="07818411" w14:textId="77777777" w:rsidR="00ED0409" w:rsidRPr="00ED0409" w:rsidRDefault="00ED0409" w:rsidP="00ED0409">
      <w:pPr>
        <w:pStyle w:val="Numberbullet0"/>
        <w:rPr>
          <w:b/>
          <w:i/>
        </w:rPr>
      </w:pPr>
      <w:r w:rsidRPr="00ED0409">
        <w:rPr>
          <w:b/>
          <w:i/>
        </w:rPr>
        <w:lastRenderedPageBreak/>
        <w:t>A Boxed Warning regarding venous occlusion on accidental or intentional intravenous administration is being considered. The Committee’s opinion on a boxed warning is requested.</w:t>
      </w:r>
    </w:p>
    <w:p w14:paraId="0EB4287E" w14:textId="77777777" w:rsidR="00ED0409" w:rsidRDefault="00ED0409" w:rsidP="00ED0409">
      <w:r>
        <w:t>The ACM agreed that a boxed warning is an appropriate measure given the significant risk of harm from intravenous administration.</w:t>
      </w:r>
    </w:p>
    <w:p w14:paraId="3082129C" w14:textId="3CDF7A1B" w:rsidR="00ED0409" w:rsidRPr="00ED0409" w:rsidRDefault="00ED0409" w:rsidP="00ED0409">
      <w:pPr>
        <w:pStyle w:val="Numberbullet0"/>
        <w:rPr>
          <w:b/>
          <w:i/>
        </w:rPr>
      </w:pPr>
      <w:r w:rsidRPr="00ED0409">
        <w:rPr>
          <w:b/>
          <w:i/>
        </w:rPr>
        <w:t xml:space="preserve">Does the Committee agree that patients being considered for a </w:t>
      </w:r>
      <w:proofErr w:type="spellStart"/>
      <w:r w:rsidR="006C7580" w:rsidRPr="00ED0409">
        <w:rPr>
          <w:b/>
          <w:i/>
        </w:rPr>
        <w:t>Buvidal</w:t>
      </w:r>
      <w:proofErr w:type="spellEnd"/>
      <w:r w:rsidRPr="00ED0409">
        <w:rPr>
          <w:b/>
          <w:i/>
        </w:rPr>
        <w:t xml:space="preserve"> product should first be stabilised on SL </w:t>
      </w:r>
      <w:r w:rsidR="00246DC3">
        <w:rPr>
          <w:b/>
          <w:i/>
        </w:rPr>
        <w:t>buprenorphine</w:t>
      </w:r>
      <w:r w:rsidRPr="00ED0409">
        <w:rPr>
          <w:b/>
          <w:i/>
        </w:rPr>
        <w:t xml:space="preserve"> or </w:t>
      </w:r>
      <w:r w:rsidR="00246DC3">
        <w:rPr>
          <w:b/>
          <w:i/>
        </w:rPr>
        <w:t>buprenorphine</w:t>
      </w:r>
      <w:r w:rsidRPr="00ED0409">
        <w:rPr>
          <w:b/>
          <w:i/>
        </w:rPr>
        <w:t>/</w:t>
      </w:r>
      <w:r w:rsidR="006C7580">
        <w:rPr>
          <w:b/>
          <w:i/>
        </w:rPr>
        <w:t>naloxone</w:t>
      </w:r>
      <w:r w:rsidRPr="00ED0409">
        <w:rPr>
          <w:b/>
          <w:i/>
        </w:rPr>
        <w:t xml:space="preserve">? If so, does the Committee consider an induction period of 7 days is sufficient and that the initial transition should be to </w:t>
      </w:r>
      <w:proofErr w:type="spellStart"/>
      <w:r w:rsidR="006C7580" w:rsidRPr="00ED0409">
        <w:rPr>
          <w:b/>
          <w:i/>
        </w:rPr>
        <w:t>Buvidal</w:t>
      </w:r>
      <w:proofErr w:type="spellEnd"/>
      <w:r w:rsidR="006C7580" w:rsidRPr="00ED0409">
        <w:rPr>
          <w:b/>
          <w:i/>
        </w:rPr>
        <w:t xml:space="preserve"> Weekly</w:t>
      </w:r>
      <w:r w:rsidRPr="00ED0409">
        <w:rPr>
          <w:b/>
          <w:i/>
        </w:rPr>
        <w:t>?</w:t>
      </w:r>
    </w:p>
    <w:p w14:paraId="0910C44A" w14:textId="55B4C16B" w:rsidR="00ED0409" w:rsidRDefault="00ED0409" w:rsidP="00ED0409">
      <w:r>
        <w:t xml:space="preserve">The ACM agreed that patients should first be stabilised on sublingual buprenorphine or </w:t>
      </w:r>
      <w:r w:rsidR="00246DC3">
        <w:t>buprenorphine</w:t>
      </w:r>
      <w:r w:rsidR="006C7580">
        <w:t>/naloxone</w:t>
      </w:r>
      <w:r>
        <w:t>, and that an induction period of seven days is sufficient.</w:t>
      </w:r>
    </w:p>
    <w:p w14:paraId="634707A6" w14:textId="0A47E968" w:rsidR="00ED0409" w:rsidRDefault="00ED0409" w:rsidP="00ED0409">
      <w:r>
        <w:t xml:space="preserve">The ACM considered that transition to a weekly or monthly </w:t>
      </w:r>
      <w:proofErr w:type="spellStart"/>
      <w:r w:rsidR="006C7580">
        <w:t>Buvidal</w:t>
      </w:r>
      <w:proofErr w:type="spellEnd"/>
      <w:r>
        <w:t xml:space="preserve"> product should be left to the clinical judgment of the prescriber.</w:t>
      </w:r>
    </w:p>
    <w:p w14:paraId="36FD510F" w14:textId="5BD55496" w:rsidR="00ED0409" w:rsidRPr="00ED0409" w:rsidRDefault="00ED0409" w:rsidP="00ED0409">
      <w:pPr>
        <w:pStyle w:val="Numberbullet0"/>
        <w:rPr>
          <w:b/>
          <w:i/>
        </w:rPr>
      </w:pPr>
      <w:r w:rsidRPr="00ED0409">
        <w:rPr>
          <w:b/>
          <w:i/>
        </w:rPr>
        <w:t xml:space="preserve">Does the Committee agree that </w:t>
      </w:r>
      <w:proofErr w:type="spellStart"/>
      <w:r w:rsidR="006C7580" w:rsidRPr="00ED0409">
        <w:rPr>
          <w:b/>
          <w:i/>
        </w:rPr>
        <w:t>Buvidal</w:t>
      </w:r>
      <w:proofErr w:type="spellEnd"/>
      <w:r w:rsidR="006C7580" w:rsidRPr="00ED0409">
        <w:rPr>
          <w:b/>
          <w:i/>
        </w:rPr>
        <w:t xml:space="preserve"> Monthly </w:t>
      </w:r>
      <w:r w:rsidRPr="00ED0409">
        <w:rPr>
          <w:b/>
          <w:i/>
        </w:rPr>
        <w:t xml:space="preserve">should only be given to individuals who have been stabilised on </w:t>
      </w:r>
      <w:proofErr w:type="spellStart"/>
      <w:r w:rsidR="006C7580" w:rsidRPr="00ED0409">
        <w:rPr>
          <w:b/>
          <w:i/>
        </w:rPr>
        <w:t>Buvidal</w:t>
      </w:r>
      <w:proofErr w:type="spellEnd"/>
      <w:r w:rsidR="006C7580" w:rsidRPr="00ED0409">
        <w:rPr>
          <w:b/>
          <w:i/>
        </w:rPr>
        <w:t xml:space="preserve"> Weekly</w:t>
      </w:r>
      <w:r w:rsidRPr="00ED0409">
        <w:rPr>
          <w:b/>
          <w:i/>
        </w:rPr>
        <w:t>?</w:t>
      </w:r>
    </w:p>
    <w:p w14:paraId="2F1B798D" w14:textId="1B65E9E1" w:rsidR="00ED0409" w:rsidRDefault="00ED0409" w:rsidP="00ED0409">
      <w:r>
        <w:t xml:space="preserve">The ACM considered that whilst transitioning from the weekly presentation to the monthly presentation would be appropriate for some patients, stabilisation on </w:t>
      </w:r>
      <w:proofErr w:type="spellStart"/>
      <w:r w:rsidR="006C7580">
        <w:t>Buvidal</w:t>
      </w:r>
      <w:proofErr w:type="spellEnd"/>
      <w:r w:rsidR="006C7580">
        <w:t xml:space="preserve"> Weekly</w:t>
      </w:r>
      <w:r>
        <w:t xml:space="preserve"> should not be a requirement for initiation on </w:t>
      </w:r>
      <w:proofErr w:type="spellStart"/>
      <w:r w:rsidR="006C7580">
        <w:t>Buvidal</w:t>
      </w:r>
      <w:proofErr w:type="spellEnd"/>
      <w:r w:rsidR="006C7580">
        <w:t xml:space="preserve"> Monthly</w:t>
      </w:r>
      <w:r>
        <w:t>, and the choice of product on commencement would be managed in clinical practice.</w:t>
      </w:r>
    </w:p>
    <w:p w14:paraId="4C12EC8A" w14:textId="77777777" w:rsidR="00ED0409" w:rsidRPr="00ED0409" w:rsidRDefault="00ED0409" w:rsidP="00ED0409">
      <w:pPr>
        <w:pStyle w:val="Numberbullet0"/>
        <w:rPr>
          <w:b/>
          <w:i/>
        </w:rPr>
      </w:pPr>
      <w:r w:rsidRPr="00ED0409">
        <w:rPr>
          <w:b/>
          <w:i/>
        </w:rPr>
        <w:t>Does the Committee have comments on the proposed education strategy included in the Risk Management Plan?</w:t>
      </w:r>
    </w:p>
    <w:p w14:paraId="0D094D91" w14:textId="77777777" w:rsidR="00ED0409" w:rsidRDefault="00ED0409" w:rsidP="00ED0409">
      <w:r>
        <w:t>The ACM noted that the sponsor has agreed to prepare and distribute educational material to healthcare professionals and patients on safety concerns. The Committee considered the proposed education strategy to be reasonable, subject to the educational material being approved by the TGA.</w:t>
      </w:r>
    </w:p>
    <w:p w14:paraId="38F16893" w14:textId="77777777" w:rsidR="00ED0409" w:rsidRPr="00A322B3" w:rsidRDefault="00ED0409" w:rsidP="00ED0409">
      <w:r>
        <w:t>The ACM advised that implementation by the sponsor of the recommendations outlined above to the satisfaction of the TGA, in addition to the evidence of efficacy and safety provided would support the safe and effective use of these products.</w:t>
      </w:r>
    </w:p>
    <w:p w14:paraId="2045B263" w14:textId="77777777" w:rsidR="008E7846" w:rsidRPr="002E238E" w:rsidRDefault="008E7846" w:rsidP="008E7846">
      <w:pPr>
        <w:pStyle w:val="Heading3"/>
      </w:pPr>
      <w:bookmarkStart w:id="151" w:name="_Toc247691532"/>
      <w:bookmarkStart w:id="152" w:name="_Toc314842516"/>
      <w:bookmarkStart w:id="153" w:name="_Toc24539946"/>
      <w:bookmarkEnd w:id="104"/>
      <w:bookmarkEnd w:id="146"/>
      <w:bookmarkEnd w:id="147"/>
      <w:r>
        <w:t>Outcome</w:t>
      </w:r>
      <w:bookmarkEnd w:id="151"/>
      <w:bookmarkEnd w:id="152"/>
      <w:bookmarkEnd w:id="153"/>
    </w:p>
    <w:p w14:paraId="2CD9316B" w14:textId="5DCEF6F6" w:rsidR="00D23139" w:rsidRPr="00D23139" w:rsidRDefault="00D23139" w:rsidP="00D23139">
      <w:bookmarkStart w:id="154" w:name="_Toc247691533"/>
      <w:bookmarkStart w:id="155" w:name="_Toc314842517"/>
      <w:r w:rsidRPr="00D23139">
        <w:t xml:space="preserve">Based on a review of quality, safety and efficacy, </w:t>
      </w:r>
      <w:r w:rsidR="00F45C32">
        <w:t xml:space="preserve">the </w:t>
      </w:r>
      <w:r w:rsidRPr="00D23139">
        <w:t xml:space="preserve">TGA approved the registration of </w:t>
      </w:r>
      <w:proofErr w:type="spellStart"/>
      <w:r w:rsidR="00ED0409">
        <w:t>Buvidal</w:t>
      </w:r>
      <w:proofErr w:type="spellEnd"/>
      <w:r w:rsidR="00ED0409">
        <w:t xml:space="preserve"> (buprenorphine)</w:t>
      </w:r>
      <w:r w:rsidRPr="00D23139">
        <w:t xml:space="preserve"> </w:t>
      </w:r>
      <w:r w:rsidR="00011E3C">
        <w:t xml:space="preserve">Weekly </w:t>
      </w:r>
      <w:r w:rsidR="007534C6">
        <w:t>8 mg/0.16 mL, 16 m</w:t>
      </w:r>
      <w:r w:rsidR="00BD6B4B">
        <w:t>g/0.32 mL, 24 mg/0.48 mL and 32 </w:t>
      </w:r>
      <w:r w:rsidR="007534C6">
        <w:t xml:space="preserve">mg/0.64 mL </w:t>
      </w:r>
      <w:r w:rsidR="00011E3C">
        <w:t xml:space="preserve">and Monthly </w:t>
      </w:r>
      <w:r w:rsidR="007534C6">
        <w:t xml:space="preserve">64 mg/0.18 mL, 96 mg/0.27 mL, 128 mg/0.36 mL </w:t>
      </w:r>
      <w:r w:rsidR="00ED0409">
        <w:t>solution for injection</w:t>
      </w:r>
      <w:r w:rsidRPr="00D23139">
        <w:t>, indicated for:</w:t>
      </w:r>
    </w:p>
    <w:p w14:paraId="2349AB37" w14:textId="77777777" w:rsidR="00ED0409" w:rsidRPr="004B6019" w:rsidRDefault="00ED0409" w:rsidP="00ED0409">
      <w:pPr>
        <w:ind w:left="720"/>
        <w:rPr>
          <w:i/>
        </w:rPr>
      </w:pPr>
      <w:proofErr w:type="spellStart"/>
      <w:r w:rsidRPr="004B6019">
        <w:rPr>
          <w:i/>
        </w:rPr>
        <w:t>Buvidal</w:t>
      </w:r>
      <w:proofErr w:type="spellEnd"/>
      <w:r w:rsidRPr="004B6019">
        <w:rPr>
          <w:i/>
        </w:rPr>
        <w:t xml:space="preserve"> Weekly is indicated for maintenance treatment of opioid dependence within a framework of medical, social and psychological support.</w:t>
      </w:r>
    </w:p>
    <w:p w14:paraId="5C3A328C" w14:textId="77777777" w:rsidR="00D23139" w:rsidRPr="00D23139" w:rsidRDefault="00ED0409" w:rsidP="00ED0409">
      <w:pPr>
        <w:ind w:left="720"/>
      </w:pPr>
      <w:proofErr w:type="spellStart"/>
      <w:r w:rsidRPr="004B6019">
        <w:rPr>
          <w:rFonts w:eastAsia="MS Mincho"/>
          <w:i/>
          <w:lang w:eastAsia="ja-JP"/>
        </w:rPr>
        <w:t>Buvidal</w:t>
      </w:r>
      <w:proofErr w:type="spellEnd"/>
      <w:r w:rsidRPr="004B6019">
        <w:rPr>
          <w:rFonts w:eastAsia="MS Mincho"/>
          <w:i/>
          <w:lang w:eastAsia="ja-JP"/>
        </w:rPr>
        <w:t xml:space="preserve"> Monthly is indicated for maintenance treatment of opioid dependence within a framework of medical, social and psychological support.</w:t>
      </w:r>
    </w:p>
    <w:p w14:paraId="3FB20F55" w14:textId="77777777" w:rsidR="00D23139" w:rsidRPr="00D23139" w:rsidRDefault="00D23139" w:rsidP="00D23139">
      <w:pPr>
        <w:pStyle w:val="Heading4"/>
      </w:pPr>
      <w:r w:rsidRPr="00D23139">
        <w:t>Specific conditions of registration applying to these goods</w:t>
      </w:r>
    </w:p>
    <w:p w14:paraId="2D030DFE" w14:textId="77777777" w:rsidR="00ED0409" w:rsidRDefault="00ED0409" w:rsidP="00011E3C">
      <w:r>
        <w:t xml:space="preserve">The </w:t>
      </w:r>
      <w:proofErr w:type="spellStart"/>
      <w:r>
        <w:t>Buvidal</w:t>
      </w:r>
      <w:proofErr w:type="spellEnd"/>
      <w:r>
        <w:t xml:space="preserve"> EU-Risk Management Plan (RMP) (version 0.2, dated 24 April 2018, data lock point 15 May 2017), with Australian Specific Annex (version 0.6, dated 22 October 2018), included with submission PM-2017-02926-1-1, to be revised to the satisfaction of the TGA, will be implemented in Australia.</w:t>
      </w:r>
    </w:p>
    <w:p w14:paraId="693C8224" w14:textId="77777777" w:rsidR="00ED0409" w:rsidRDefault="00ED0409" w:rsidP="00ED0409">
      <w:r>
        <w:lastRenderedPageBreak/>
        <w:t xml:space="preserve">To ensure that the proposed educational materials will adequately mitigate the risks associated with the use of </w:t>
      </w:r>
      <w:proofErr w:type="spellStart"/>
      <w:r>
        <w:t>Buvidal</w:t>
      </w:r>
      <w:proofErr w:type="spellEnd"/>
      <w:r>
        <w:t xml:space="preserve">, the sponsor should provide mock-ups to the TGA for review. This material must be acceptable to the TGA before the supply of </w:t>
      </w:r>
      <w:proofErr w:type="spellStart"/>
      <w:r>
        <w:t>Buvidal</w:t>
      </w:r>
      <w:proofErr w:type="spellEnd"/>
      <w:r>
        <w:t xml:space="preserve"> begins.</w:t>
      </w:r>
    </w:p>
    <w:p w14:paraId="51599A1C" w14:textId="77777777" w:rsidR="00ED0409" w:rsidRDefault="00ED0409" w:rsidP="00ED0409">
      <w:r>
        <w:t xml:space="preserve">The sponsor must implement a restricted access scheme to ensure that distribution of </w:t>
      </w:r>
      <w:proofErr w:type="spellStart"/>
      <w:r>
        <w:t>Buvidal</w:t>
      </w:r>
      <w:proofErr w:type="spellEnd"/>
      <w:r>
        <w:t xml:space="preserve"> is limited, in the first 6 months of supply, to prescribers in hospital and specialist drug rehabilitation clinics who have demonstrated that they have reviewed the educational materials. The plan for this scheme must be considered adequate to the TGA before the supply of </w:t>
      </w:r>
      <w:proofErr w:type="spellStart"/>
      <w:r>
        <w:t>Buvidal</w:t>
      </w:r>
      <w:proofErr w:type="spellEnd"/>
      <w:r>
        <w:t xml:space="preserve"> begins.</w:t>
      </w:r>
    </w:p>
    <w:p w14:paraId="757A07C0" w14:textId="77777777" w:rsidR="00ED0409" w:rsidRDefault="00ED0409" w:rsidP="00ED0409">
      <w:r>
        <w:t xml:space="preserve">The sponsor should implement additional risk minimisation on commencement of supply of </w:t>
      </w:r>
      <w:proofErr w:type="spellStart"/>
      <w:r>
        <w:t>Buvidal</w:t>
      </w:r>
      <w:proofErr w:type="spellEnd"/>
      <w:r>
        <w:t xml:space="preserve"> beyond the restricted access scheme. The evaluation of the restricted access scheme and educational materials and the revised risk minimisation plan must be considered acceptable to the TGA before the restricted access scheme concludes and broader supply of </w:t>
      </w:r>
      <w:proofErr w:type="spellStart"/>
      <w:r>
        <w:t>Buvidal</w:t>
      </w:r>
      <w:proofErr w:type="spellEnd"/>
      <w:r>
        <w:t xml:space="preserve"> commences.</w:t>
      </w:r>
    </w:p>
    <w:p w14:paraId="658839F3" w14:textId="77777777" w:rsidR="00ED0409" w:rsidRDefault="00ED0409" w:rsidP="00ED0409">
      <w:r>
        <w:t xml:space="preserve">Pharmacists should dispense </w:t>
      </w:r>
      <w:proofErr w:type="spellStart"/>
      <w:r>
        <w:t>Buvidal</w:t>
      </w:r>
      <w:proofErr w:type="spellEnd"/>
      <w:r>
        <w:t xml:space="preserve"> to the prescribing doctor and not directly to the patient.</w:t>
      </w:r>
    </w:p>
    <w:p w14:paraId="3623FA04" w14:textId="77777777" w:rsidR="00ED0409" w:rsidRDefault="00ED0409" w:rsidP="00ED0409">
      <w:r>
        <w:t>An obligatory component of risk management plans is routine pharmacovigilance. Routine pharmacovigilance includes the submission of Periodic Safety Update Reports (PSURs).</w:t>
      </w:r>
    </w:p>
    <w:p w14:paraId="1D3B4405" w14:textId="77777777" w:rsidR="00ED0409" w:rsidRDefault="00ED0409" w:rsidP="00ED0409">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5AD421F" w14:textId="77777777" w:rsidR="00456765" w:rsidRDefault="00ED0409" w:rsidP="00ED0409">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2CE4B9E" w14:textId="4439B1A4" w:rsidR="008E7846" w:rsidRDefault="00A80B5B" w:rsidP="00D23139">
      <w:pPr>
        <w:pStyle w:val="Heading2"/>
      </w:pPr>
      <w:bookmarkStart w:id="156" w:name="_Toc24539947"/>
      <w:r>
        <w:t>Attachment</w:t>
      </w:r>
      <w:r w:rsidR="001948C9">
        <w:t>s</w:t>
      </w:r>
      <w:r>
        <w:t xml:space="preserve"> 1</w:t>
      </w:r>
      <w:r w:rsidR="001948C9">
        <w:t xml:space="preserve"> and 2</w:t>
      </w:r>
      <w:r>
        <w:t xml:space="preserve">. </w:t>
      </w:r>
      <w:r w:rsidR="008E7846">
        <w:t xml:space="preserve">Product </w:t>
      </w:r>
      <w:r w:rsidR="00AA0ED0">
        <w:t>I</w:t>
      </w:r>
      <w:r w:rsidR="008E7846">
        <w:t>nformation</w:t>
      </w:r>
      <w:bookmarkEnd w:id="154"/>
      <w:bookmarkEnd w:id="155"/>
      <w:bookmarkEnd w:id="156"/>
    </w:p>
    <w:p w14:paraId="1F37DA9F" w14:textId="2FEB3655" w:rsidR="00291957" w:rsidRDefault="006136D7" w:rsidP="00011E3C">
      <w:pPr>
        <w:rPr>
          <w:color w:val="000000"/>
          <w:lang w:eastAsia="en-AU"/>
        </w:rPr>
      </w:pPr>
      <w:r w:rsidRPr="002B3624">
        <w:t xml:space="preserve">The </w:t>
      </w:r>
      <w:r>
        <w:t>PI</w:t>
      </w:r>
      <w:r w:rsidR="00E7054F">
        <w:t xml:space="preserve"> documents</w:t>
      </w:r>
      <w:r w:rsidRPr="002B3624">
        <w:t xml:space="preserve"> for </w:t>
      </w:r>
      <w:proofErr w:type="spellStart"/>
      <w:r w:rsidR="00ED0409">
        <w:t>Buvidal</w:t>
      </w:r>
      <w:proofErr w:type="spellEnd"/>
      <w:r w:rsidRPr="002B3624">
        <w:t xml:space="preserve"> </w:t>
      </w:r>
      <w:r>
        <w:t xml:space="preserve">approved with the submission which is described in </w:t>
      </w:r>
      <w:r w:rsidRPr="002B3624">
        <w:t>this AusPAR is at Attachment</w:t>
      </w:r>
      <w:r w:rsidR="00E7054F">
        <w:t>s</w:t>
      </w:r>
      <w:r w:rsidRPr="002B3624">
        <w:t xml:space="preserve"> 1</w:t>
      </w:r>
      <w:r w:rsidR="00E7054F">
        <w:t xml:space="preserve"> and 2</w:t>
      </w:r>
      <w:r w:rsidRPr="002B3624">
        <w:t xml:space="preserve">. For the most recent </w:t>
      </w:r>
      <w:r>
        <w:t>PI,</w:t>
      </w:r>
      <w:r w:rsidRPr="002B3624">
        <w:t xml:space="preserve"> please refer to the </w:t>
      </w:r>
      <w:r w:rsidRPr="007C6B9B">
        <w:t xml:space="preserve">TGA website at </w:t>
      </w:r>
      <w:r w:rsidR="007C6B9B" w:rsidRPr="007C6B9B">
        <w:t>&lt;</w:t>
      </w:r>
      <w:hyperlink r:id="rId36" w:history="1">
        <w:r w:rsidR="007C6B9B" w:rsidRPr="007C6B9B">
          <w:rPr>
            <w:rStyle w:val="Hyperlink"/>
          </w:rPr>
          <w:t>https://www.tga.gov.au/product-information-pi</w:t>
        </w:r>
      </w:hyperlink>
      <w:r w:rsidR="00ED0409">
        <w:t>&gt;.</w:t>
      </w:r>
    </w:p>
    <w:p w14:paraId="3CCAC0A8" w14:textId="77777777" w:rsidR="00011E3C" w:rsidRPr="00011E3C" w:rsidRDefault="00011E3C" w:rsidP="00011E3C">
      <w:pPr>
        <w:rPr>
          <w:color w:val="000000"/>
          <w:lang w:eastAsia="en-AU"/>
        </w:rPr>
      </w:pPr>
    </w:p>
    <w:p w14:paraId="494DBE07" w14:textId="77777777"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6A485DE" w14:textId="77777777" w:rsidTr="00A05FA4">
        <w:trPr>
          <w:trHeight w:hRule="exact" w:val="704"/>
        </w:trPr>
        <w:tc>
          <w:tcPr>
            <w:tcW w:w="9175" w:type="dxa"/>
          </w:tcPr>
          <w:p w14:paraId="467FF9F2" w14:textId="77777777" w:rsidR="001C32CD" w:rsidRPr="00487162" w:rsidRDefault="001C32CD" w:rsidP="00A05FA4">
            <w:pPr>
              <w:pStyle w:val="TGASignoff"/>
            </w:pPr>
            <w:r w:rsidRPr="00487162">
              <w:lastRenderedPageBreak/>
              <w:t>Therapeutic Goods Administration</w:t>
            </w:r>
          </w:p>
        </w:tc>
      </w:tr>
      <w:tr w:rsidR="001C32CD" w:rsidRPr="002A6196" w14:paraId="504B11CC" w14:textId="77777777" w:rsidTr="00A05FA4">
        <w:trPr>
          <w:trHeight w:val="1221"/>
        </w:trPr>
        <w:tc>
          <w:tcPr>
            <w:tcW w:w="9175" w:type="dxa"/>
            <w:tcMar>
              <w:top w:w="28" w:type="dxa"/>
            </w:tcMar>
          </w:tcPr>
          <w:p w14:paraId="60B05E07" w14:textId="77777777" w:rsidR="001C32CD" w:rsidRPr="00487162" w:rsidRDefault="001C32CD" w:rsidP="00A05FA4">
            <w:pPr>
              <w:pStyle w:val="Address"/>
            </w:pPr>
            <w:r w:rsidRPr="00487162">
              <w:t>PO Box 100 Woden ACT 2606 Australia</w:t>
            </w:r>
          </w:p>
          <w:p w14:paraId="69141E36" w14:textId="77777777" w:rsidR="001C32CD" w:rsidRPr="00471927" w:rsidRDefault="001C32CD" w:rsidP="00A05FA4">
            <w:pPr>
              <w:pStyle w:val="Address"/>
              <w:rPr>
                <w:lang w:val="en-GB"/>
              </w:rPr>
            </w:pPr>
            <w:r w:rsidRPr="00471927">
              <w:rPr>
                <w:lang w:val="en-GB"/>
              </w:rPr>
              <w:t xml:space="preserve">Email: </w:t>
            </w:r>
            <w:hyperlink r:id="rId41" w:history="1">
              <w:r w:rsidRPr="00471927">
                <w:rPr>
                  <w:rStyle w:val="Hyperlink"/>
                  <w:lang w:val="en-GB"/>
                </w:rPr>
                <w:t>info@tga.gov.au</w:t>
              </w:r>
            </w:hyperlink>
            <w:r w:rsidRPr="00471927">
              <w:rPr>
                <w:lang w:val="en-GB"/>
              </w:rPr>
              <w:t xml:space="preserve">  Phone: 1800 020 653  Fax: 02 6232 8605</w:t>
            </w:r>
          </w:p>
          <w:p w14:paraId="43D7FE7E" w14:textId="77777777" w:rsidR="001C32CD" w:rsidRPr="00471927" w:rsidRDefault="00AD5E80" w:rsidP="00A05FA4">
            <w:pPr>
              <w:pStyle w:val="Address"/>
              <w:spacing w:line="260" w:lineRule="atLeast"/>
              <w:rPr>
                <w:b/>
                <w:color w:val="0000FF"/>
                <w:u w:val="single"/>
                <w:lang w:val="en-GB"/>
              </w:rPr>
            </w:pPr>
            <w:hyperlink r:id="rId42" w:history="1">
              <w:r w:rsidR="007C6B9B" w:rsidRPr="00471927">
                <w:rPr>
                  <w:rStyle w:val="Hyperlink"/>
                  <w:b/>
                  <w:lang w:val="en-GB"/>
                </w:rPr>
                <w:t>https://www.tga.gov.au</w:t>
              </w:r>
            </w:hyperlink>
          </w:p>
        </w:tc>
      </w:tr>
    </w:tbl>
    <w:p w14:paraId="6AF699C5" w14:textId="77777777" w:rsidR="00774E1D" w:rsidRPr="00471927" w:rsidRDefault="00774E1D" w:rsidP="004C239D">
      <w:pPr>
        <w:rPr>
          <w:lang w:val="en-GB"/>
        </w:rPr>
      </w:pPr>
    </w:p>
    <w:sectPr w:rsidR="00774E1D" w:rsidRPr="00471927"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3CABF" w14:textId="77777777" w:rsidR="00AD5E80" w:rsidRDefault="00AD5E80" w:rsidP="00C40A36">
      <w:pPr>
        <w:spacing w:after="0"/>
      </w:pPr>
      <w:r>
        <w:separator/>
      </w:r>
    </w:p>
  </w:endnote>
  <w:endnote w:type="continuationSeparator" w:id="0">
    <w:p w14:paraId="13BDE65E" w14:textId="77777777" w:rsidR="00AD5E80" w:rsidRDefault="00AD5E80" w:rsidP="00C40A36">
      <w:pPr>
        <w:spacing w:after="0"/>
      </w:pPr>
      <w:r>
        <w:continuationSeparator/>
      </w:r>
    </w:p>
  </w:endnote>
  <w:endnote w:type="continuationNotice" w:id="1">
    <w:p w14:paraId="3B0D81C1" w14:textId="77777777" w:rsidR="00AD5E80" w:rsidRDefault="00AD5E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Yu Gothic UI"/>
    <w:charset w:val="00"/>
    <w:family w:val="auto"/>
    <w:pitch w:val="variable"/>
    <w:sig w:usb0="E0002AE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DE3B9" w14:textId="77777777" w:rsidR="00AD5E80" w:rsidRDefault="00AD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D5E80" w:rsidRPr="00487162" w14:paraId="4CDF64A5" w14:textId="77777777" w:rsidTr="00DB750B">
      <w:trPr>
        <w:trHeight w:val="269"/>
      </w:trPr>
      <w:tc>
        <w:tcPr>
          <w:tcW w:w="7371" w:type="dxa"/>
          <w:tcMar>
            <w:top w:w="142" w:type="dxa"/>
            <w:bottom w:w="0" w:type="dxa"/>
          </w:tcMar>
        </w:tcPr>
        <w:p w14:paraId="387D1026" w14:textId="171D8D63" w:rsidR="00AD5E80" w:rsidRPr="00487162" w:rsidRDefault="00AD5E80" w:rsidP="004D4774">
          <w:pPr>
            <w:pStyle w:val="Footer"/>
          </w:pPr>
          <w:r w:rsidRPr="00487162">
            <w:t>AusPA</w:t>
          </w:r>
          <w:r>
            <w:t xml:space="preserve">R - BUVIDAL </w:t>
          </w:r>
          <w:r w:rsidRPr="000051A7">
            <w:t>- bupreno</w:t>
          </w:r>
          <w:r>
            <w:t xml:space="preserve">rphine - </w:t>
          </w:r>
          <w:proofErr w:type="spellStart"/>
          <w:r>
            <w:t>Camurus</w:t>
          </w:r>
          <w:proofErr w:type="spellEnd"/>
          <w:r>
            <w:t xml:space="preserve"> Pty Ltd – PM</w:t>
          </w:r>
          <w:r>
            <w:noBreakHyphen/>
          </w:r>
          <w:r w:rsidRPr="000051A7">
            <w:t>2017-02926-1-1</w:t>
          </w:r>
          <w:r>
            <w:br/>
            <w:t>FINAL 6 November 2019</w:t>
          </w:r>
        </w:p>
      </w:tc>
      <w:tc>
        <w:tcPr>
          <w:tcW w:w="1490" w:type="dxa"/>
          <w:tcMar>
            <w:top w:w="142" w:type="dxa"/>
            <w:bottom w:w="0" w:type="dxa"/>
          </w:tcMar>
        </w:tcPr>
        <w:p w14:paraId="30E1434B" w14:textId="30145892" w:rsidR="00AD5E80" w:rsidRPr="00487162" w:rsidRDefault="00AD5E80" w:rsidP="00DB750B">
          <w:pPr>
            <w:pStyle w:val="Footer"/>
            <w:jc w:val="right"/>
          </w:pPr>
          <w:r w:rsidRPr="00487162">
            <w:t xml:space="preserve">Page </w:t>
          </w:r>
          <w:r>
            <w:fldChar w:fldCharType="begin"/>
          </w:r>
          <w:r>
            <w:instrText xml:space="preserve"> PAGE  \* Arabic </w:instrText>
          </w:r>
          <w:r>
            <w:fldChar w:fldCharType="separate"/>
          </w:r>
          <w:r w:rsidR="008E1E43">
            <w:rPr>
              <w:noProof/>
            </w:rPr>
            <w:t>4</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8E1E43">
            <w:rPr>
              <w:noProof/>
            </w:rPr>
            <w:t>72</w:t>
          </w:r>
          <w:r>
            <w:rPr>
              <w:noProof/>
            </w:rPr>
            <w:fldChar w:fldCharType="end"/>
          </w:r>
        </w:p>
      </w:tc>
    </w:tr>
  </w:tbl>
  <w:p w14:paraId="3124E3F6" w14:textId="77777777" w:rsidR="00AD5E80" w:rsidRDefault="00AD5E8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D960" w14:textId="77777777" w:rsidR="00AD5E80" w:rsidRDefault="00AD5E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D5E80" w:rsidRPr="00487162" w14:paraId="36C1E57C" w14:textId="77777777" w:rsidTr="00E45619">
      <w:trPr>
        <w:trHeight w:val="269"/>
      </w:trPr>
      <w:tc>
        <w:tcPr>
          <w:tcW w:w="4519" w:type="dxa"/>
          <w:tcBorders>
            <w:top w:val="single" w:sz="4" w:space="0" w:color="auto"/>
          </w:tcBorders>
          <w:tcMar>
            <w:top w:w="142" w:type="dxa"/>
            <w:bottom w:w="0" w:type="dxa"/>
          </w:tcMar>
        </w:tcPr>
        <w:p w14:paraId="6CC05BBC" w14:textId="77777777" w:rsidR="00AD5E80" w:rsidRPr="00487162" w:rsidRDefault="00AD5E80" w:rsidP="00FE1DEE">
          <w:pPr>
            <w:pStyle w:val="Footer"/>
          </w:pPr>
          <w:r w:rsidRPr="00487162">
            <w:t>Document title, Part #, Section # - Section title</w:t>
          </w:r>
        </w:p>
        <w:p w14:paraId="2A8C24B9" w14:textId="77777777" w:rsidR="00AD5E80" w:rsidRPr="00487162" w:rsidRDefault="00AD5E80" w:rsidP="00FE1DEE">
          <w:pPr>
            <w:pStyle w:val="Footer"/>
          </w:pPr>
          <w:r w:rsidRPr="00487162">
            <w:t>V1.0 October 2010</w:t>
          </w:r>
        </w:p>
      </w:tc>
      <w:tc>
        <w:tcPr>
          <w:tcW w:w="4342" w:type="dxa"/>
          <w:tcBorders>
            <w:top w:val="single" w:sz="4" w:space="0" w:color="auto"/>
          </w:tcBorders>
          <w:tcMar>
            <w:top w:w="142" w:type="dxa"/>
            <w:bottom w:w="0" w:type="dxa"/>
          </w:tcMar>
        </w:tcPr>
        <w:p w14:paraId="5D69968F" w14:textId="77777777" w:rsidR="00AD5E80" w:rsidRPr="00487162" w:rsidRDefault="00AD5E8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478D915A" w14:textId="77777777" w:rsidR="00AD5E80" w:rsidRDefault="00AD5E80">
    <w:pPr>
      <w:pStyle w:val="Footer"/>
    </w:pPr>
  </w:p>
  <w:p w14:paraId="1D0DF23A" w14:textId="77777777" w:rsidR="00AD5E80" w:rsidRDefault="00AD5E80"/>
  <w:p w14:paraId="3B126E51" w14:textId="77777777" w:rsidR="00AD5E80" w:rsidRDefault="00AD5E8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B569" w14:textId="77777777" w:rsidR="00AD5E80" w:rsidRPr="001C32CD" w:rsidRDefault="00AD5E8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D5E80" w14:paraId="2693C6E0" w14:textId="77777777" w:rsidTr="0010601F">
      <w:trPr>
        <w:trHeight w:val="108"/>
      </w:trPr>
      <w:tc>
        <w:tcPr>
          <w:tcW w:w="8875" w:type="dxa"/>
          <w:gridSpan w:val="2"/>
          <w:tcBorders>
            <w:bottom w:val="single" w:sz="4" w:space="0" w:color="auto"/>
          </w:tcBorders>
          <w:tcMar>
            <w:right w:w="284" w:type="dxa"/>
          </w:tcMar>
        </w:tcPr>
        <w:p w14:paraId="745C801B" w14:textId="77777777" w:rsidR="00AD5E80" w:rsidRDefault="00AD5E80" w:rsidP="006E08B3">
          <w:pPr>
            <w:pStyle w:val="Heading3"/>
          </w:pPr>
          <w:r>
            <w:t>Copyright</w:t>
          </w:r>
        </w:p>
        <w:p w14:paraId="1BAB7323" w14:textId="314A5C38" w:rsidR="00AD5E80" w:rsidRDefault="00AD5E80" w:rsidP="006E08B3">
          <w:r>
            <w:rPr>
              <w:rFonts w:cs="Arial"/>
            </w:rPr>
            <w:t>©</w:t>
          </w:r>
          <w:r>
            <w:t xml:space="preserve"> Commonwealth of Australia (add year)</w:t>
          </w:r>
        </w:p>
        <w:p w14:paraId="1B6CCBC6" w14:textId="77777777" w:rsidR="00AD5E80" w:rsidRDefault="00AD5E80" w:rsidP="006E08B3"/>
        <w:p w14:paraId="37D23E67" w14:textId="77777777" w:rsidR="00AD5E80" w:rsidRDefault="00AD5E8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7B0B63C" w14:textId="77777777" w:rsidR="00AD5E80" w:rsidRDefault="00AD5E80" w:rsidP="006E08B3"/>
        <w:p w14:paraId="714BD3D7" w14:textId="77777777" w:rsidR="00AD5E80" w:rsidRDefault="00AD5E80" w:rsidP="006E08B3">
          <w:pPr>
            <w:pStyle w:val="Heading3"/>
          </w:pPr>
          <w:r>
            <w:t>Confidentiality</w:t>
          </w:r>
        </w:p>
        <w:p w14:paraId="050ADA37" w14:textId="77777777" w:rsidR="00AD5E80" w:rsidRDefault="00AD5E8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C62343E" w14:textId="77777777" w:rsidR="00AD5E80" w:rsidRDefault="00AD5E80" w:rsidP="006E08B3"/>
        <w:p w14:paraId="2E7AF435" w14:textId="77777777" w:rsidR="00AD5E80" w:rsidRDefault="00AD5E80" w:rsidP="006E08B3">
          <w:r>
            <w:t>For submission made by individuals, all personal details, other than your name, will be removed from your submission before it is published on the TGA’s Internet site.</w:t>
          </w:r>
        </w:p>
        <w:p w14:paraId="3DF76C3F" w14:textId="77777777" w:rsidR="00AD5E80" w:rsidRDefault="00AD5E80" w:rsidP="006E08B3"/>
        <w:p w14:paraId="5800824E" w14:textId="77777777" w:rsidR="00AD5E80" w:rsidRDefault="00AD5E8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D5E80" w14:paraId="55A3DBB8" w14:textId="77777777" w:rsidTr="0010601F">
      <w:trPr>
        <w:trHeight w:val="417"/>
      </w:trPr>
      <w:tc>
        <w:tcPr>
          <w:tcW w:w="4519" w:type="dxa"/>
          <w:tcBorders>
            <w:top w:val="single" w:sz="4" w:space="0" w:color="auto"/>
          </w:tcBorders>
          <w:tcMar>
            <w:top w:w="142" w:type="dxa"/>
            <w:bottom w:w="0" w:type="dxa"/>
          </w:tcMar>
        </w:tcPr>
        <w:p w14:paraId="0E413F5E" w14:textId="77777777" w:rsidR="00AD5E80" w:rsidRDefault="00AD5E80" w:rsidP="006E08B3">
          <w:r>
            <w:t>Document title, Part #, Section # - Section title</w:t>
          </w:r>
        </w:p>
        <w:p w14:paraId="7828B144" w14:textId="77777777" w:rsidR="00AD5E80" w:rsidRDefault="00AD5E80" w:rsidP="006E08B3">
          <w:r>
            <w:t>V1.0 October 2010</w:t>
          </w:r>
        </w:p>
      </w:tc>
      <w:tc>
        <w:tcPr>
          <w:tcW w:w="4356" w:type="dxa"/>
          <w:tcBorders>
            <w:top w:val="single" w:sz="4" w:space="0" w:color="auto"/>
          </w:tcBorders>
          <w:tcMar>
            <w:top w:w="142" w:type="dxa"/>
            <w:bottom w:w="0" w:type="dxa"/>
          </w:tcMar>
        </w:tcPr>
        <w:p w14:paraId="4C257FC7" w14:textId="77777777" w:rsidR="00AD5E80" w:rsidRDefault="00AD5E8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2</w:t>
          </w:r>
          <w:r>
            <w:rPr>
              <w:noProof/>
            </w:rPr>
            <w:fldChar w:fldCharType="end"/>
          </w:r>
          <w:r>
            <w:t xml:space="preserve">  </w:t>
          </w:r>
        </w:p>
      </w:tc>
    </w:tr>
  </w:tbl>
  <w:p w14:paraId="0A31074D" w14:textId="77777777" w:rsidR="00AD5E80" w:rsidRDefault="00AD5E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1E1A4" w14:textId="77777777" w:rsidR="00AD5E80" w:rsidRDefault="00AD5E80" w:rsidP="00C40A36">
      <w:pPr>
        <w:spacing w:after="0"/>
      </w:pPr>
      <w:r>
        <w:separator/>
      </w:r>
    </w:p>
  </w:footnote>
  <w:footnote w:type="continuationSeparator" w:id="0">
    <w:p w14:paraId="2BC1E8C2" w14:textId="77777777" w:rsidR="00AD5E80" w:rsidRDefault="00AD5E80" w:rsidP="00C40A36">
      <w:pPr>
        <w:spacing w:after="0"/>
      </w:pPr>
      <w:r>
        <w:continuationSeparator/>
      </w:r>
    </w:p>
  </w:footnote>
  <w:footnote w:type="continuationNotice" w:id="1">
    <w:p w14:paraId="4B5096B6" w14:textId="77777777" w:rsidR="00AD5E80" w:rsidRDefault="00AD5E80">
      <w:pPr>
        <w:spacing w:before="0" w:after="0" w:line="240" w:lineRule="auto"/>
      </w:pPr>
    </w:p>
  </w:footnote>
  <w:footnote w:id="2">
    <w:p w14:paraId="300D15A9" w14:textId="291685FD" w:rsidR="00AD5E80" w:rsidRDefault="00AD5E80">
      <w:pPr>
        <w:pStyle w:val="FootnoteText"/>
      </w:pPr>
      <w:r>
        <w:rPr>
          <w:rStyle w:val="FootnoteReference"/>
        </w:rPr>
        <w:footnoteRef/>
      </w:r>
      <w:r>
        <w:t xml:space="preserve"> These versions of the PI have had the sponsor name changed since they were approved. No other changes occurred.</w:t>
      </w:r>
    </w:p>
  </w:footnote>
  <w:footnote w:id="3">
    <w:p w14:paraId="0E4C3D6E" w14:textId="3329C294" w:rsidR="00AD5E80" w:rsidRPr="00471927" w:rsidRDefault="00AD5E80">
      <w:pPr>
        <w:pStyle w:val="FootnoteText"/>
        <w:rPr>
          <w:lang w:val="en-GB"/>
        </w:rPr>
      </w:pPr>
      <w:r>
        <w:rPr>
          <w:rStyle w:val="FootnoteReference"/>
        </w:rPr>
        <w:footnoteRef/>
      </w:r>
      <w:r>
        <w:t xml:space="preserve"> A Type </w:t>
      </w:r>
      <w:proofErr w:type="spellStart"/>
      <w:r>
        <w:t>F</w:t>
      </w:r>
      <w:proofErr w:type="spellEnd"/>
      <w:r>
        <w:t xml:space="preserve"> application is defined as an application involving a ‘m</w:t>
      </w:r>
      <w:r w:rsidRPr="00AD7756">
        <w:t>ajor variation (new route of administrat</w:t>
      </w:r>
      <w:r>
        <w:t>ion; new strength; new dosage f</w:t>
      </w:r>
      <w:r w:rsidRPr="00AD7756">
        <w:t>orm; change in dosage, dose regimen or maximum daily d</w:t>
      </w:r>
      <w:r>
        <w:t>ose; or change in patient group).</w:t>
      </w:r>
    </w:p>
  </w:footnote>
  <w:footnote w:id="4">
    <w:p w14:paraId="103040F0" w14:textId="77777777" w:rsidR="00AD5E80" w:rsidRDefault="00AD5E80">
      <w:pPr>
        <w:pStyle w:val="FootnoteText"/>
      </w:pPr>
      <w:r>
        <w:rPr>
          <w:rStyle w:val="FootnoteReference"/>
        </w:rPr>
        <w:footnoteRef/>
      </w:r>
      <w:r>
        <w:t xml:space="preserve"> </w:t>
      </w:r>
      <w:proofErr w:type="spellStart"/>
      <w:r w:rsidRPr="00675D0E">
        <w:rPr>
          <w:kern w:val="2"/>
        </w:rPr>
        <w:t>Albayaty</w:t>
      </w:r>
      <w:proofErr w:type="spellEnd"/>
      <w:r>
        <w:rPr>
          <w:kern w:val="2"/>
        </w:rPr>
        <w:t>,</w:t>
      </w:r>
      <w:r w:rsidRPr="00675D0E">
        <w:rPr>
          <w:kern w:val="2"/>
        </w:rPr>
        <w:t xml:space="preserve"> M</w:t>
      </w:r>
      <w:r w:rsidRPr="00D94E33">
        <w:rPr>
          <w:kern w:val="2"/>
        </w:rPr>
        <w:t>. et al. (2017</w:t>
      </w:r>
      <w:r>
        <w:rPr>
          <w:kern w:val="2"/>
        </w:rPr>
        <w:t xml:space="preserve">), </w:t>
      </w:r>
      <w:r w:rsidRPr="00675D0E">
        <w:rPr>
          <w:kern w:val="2"/>
        </w:rPr>
        <w:t xml:space="preserve">Pharmacokinetic </w:t>
      </w:r>
      <w:r>
        <w:rPr>
          <w:kern w:val="2"/>
        </w:rPr>
        <w:t>e</w:t>
      </w:r>
      <w:r w:rsidRPr="00675D0E">
        <w:rPr>
          <w:kern w:val="2"/>
        </w:rPr>
        <w:t xml:space="preserve">valuation of </w:t>
      </w:r>
      <w:r>
        <w:rPr>
          <w:kern w:val="2"/>
        </w:rPr>
        <w:t>o</w:t>
      </w:r>
      <w:r w:rsidRPr="00675D0E">
        <w:rPr>
          <w:kern w:val="2"/>
        </w:rPr>
        <w:t>nce-</w:t>
      </w:r>
      <w:r>
        <w:rPr>
          <w:kern w:val="2"/>
        </w:rPr>
        <w:t>w</w:t>
      </w:r>
      <w:r w:rsidRPr="00675D0E">
        <w:rPr>
          <w:kern w:val="2"/>
        </w:rPr>
        <w:t xml:space="preserve">eekly and </w:t>
      </w:r>
      <w:r>
        <w:rPr>
          <w:kern w:val="2"/>
        </w:rPr>
        <w:t>o</w:t>
      </w:r>
      <w:r w:rsidRPr="00675D0E">
        <w:rPr>
          <w:kern w:val="2"/>
        </w:rPr>
        <w:t>nce-</w:t>
      </w:r>
      <w:r>
        <w:rPr>
          <w:kern w:val="2"/>
        </w:rPr>
        <w:t>m</w:t>
      </w:r>
      <w:r w:rsidRPr="00675D0E">
        <w:rPr>
          <w:kern w:val="2"/>
        </w:rPr>
        <w:t xml:space="preserve">onthly </w:t>
      </w:r>
      <w:r>
        <w:rPr>
          <w:kern w:val="2"/>
        </w:rPr>
        <w:t>b</w:t>
      </w:r>
      <w:r w:rsidRPr="00675D0E">
        <w:rPr>
          <w:kern w:val="2"/>
        </w:rPr>
        <w:t>uprenorphine</w:t>
      </w:r>
      <w:r>
        <w:rPr>
          <w:kern w:val="2"/>
        </w:rPr>
        <w:t xml:space="preserve"> s</w:t>
      </w:r>
      <w:r w:rsidRPr="00675D0E">
        <w:rPr>
          <w:kern w:val="2"/>
        </w:rPr>
        <w:t xml:space="preserve">ubcutaneous </w:t>
      </w:r>
      <w:r>
        <w:rPr>
          <w:kern w:val="2"/>
        </w:rPr>
        <w:t>i</w:t>
      </w:r>
      <w:r w:rsidRPr="00675D0E">
        <w:rPr>
          <w:kern w:val="2"/>
        </w:rPr>
        <w:t xml:space="preserve">njection </w:t>
      </w:r>
      <w:r>
        <w:rPr>
          <w:kern w:val="2"/>
        </w:rPr>
        <w:t>d</w:t>
      </w:r>
      <w:r w:rsidRPr="00675D0E">
        <w:rPr>
          <w:kern w:val="2"/>
        </w:rPr>
        <w:t xml:space="preserve">epots (CAM2038) </w:t>
      </w:r>
      <w:r>
        <w:rPr>
          <w:kern w:val="2"/>
        </w:rPr>
        <w:t>v</w:t>
      </w:r>
      <w:r w:rsidRPr="00675D0E">
        <w:rPr>
          <w:kern w:val="2"/>
        </w:rPr>
        <w:t xml:space="preserve">ersus </w:t>
      </w:r>
      <w:r>
        <w:rPr>
          <w:kern w:val="2"/>
        </w:rPr>
        <w:t>i</w:t>
      </w:r>
      <w:r w:rsidRPr="00675D0E">
        <w:rPr>
          <w:kern w:val="2"/>
        </w:rPr>
        <w:t xml:space="preserve">ntravenous and </w:t>
      </w:r>
      <w:r>
        <w:rPr>
          <w:kern w:val="2"/>
        </w:rPr>
        <w:t>s</w:t>
      </w:r>
      <w:r w:rsidRPr="00675D0E">
        <w:rPr>
          <w:kern w:val="2"/>
        </w:rPr>
        <w:t>ublingual</w:t>
      </w:r>
      <w:r>
        <w:rPr>
          <w:kern w:val="2"/>
        </w:rPr>
        <w:t xml:space="preserve"> b</w:t>
      </w:r>
      <w:r w:rsidRPr="00675D0E">
        <w:rPr>
          <w:kern w:val="2"/>
        </w:rPr>
        <w:t xml:space="preserve">uprenorphine in </w:t>
      </w:r>
      <w:r>
        <w:rPr>
          <w:kern w:val="2"/>
        </w:rPr>
        <w:t>h</w:t>
      </w:r>
      <w:r w:rsidRPr="00675D0E">
        <w:rPr>
          <w:kern w:val="2"/>
        </w:rPr>
        <w:t xml:space="preserve">ealthy </w:t>
      </w:r>
      <w:r>
        <w:rPr>
          <w:kern w:val="2"/>
        </w:rPr>
        <w:t>v</w:t>
      </w:r>
      <w:r w:rsidRPr="00675D0E">
        <w:rPr>
          <w:kern w:val="2"/>
        </w:rPr>
        <w:t xml:space="preserve">olunteers </w:t>
      </w:r>
      <w:r>
        <w:rPr>
          <w:kern w:val="2"/>
        </w:rPr>
        <w:t>u</w:t>
      </w:r>
      <w:r w:rsidRPr="00675D0E">
        <w:rPr>
          <w:kern w:val="2"/>
        </w:rPr>
        <w:t xml:space="preserve">nder </w:t>
      </w:r>
      <w:r>
        <w:rPr>
          <w:kern w:val="2"/>
        </w:rPr>
        <w:t>n</w:t>
      </w:r>
      <w:r w:rsidRPr="00675D0E">
        <w:rPr>
          <w:kern w:val="2"/>
        </w:rPr>
        <w:t xml:space="preserve">altrexone </w:t>
      </w:r>
      <w:r>
        <w:rPr>
          <w:kern w:val="2"/>
        </w:rPr>
        <w:t>b</w:t>
      </w:r>
      <w:r w:rsidRPr="00675D0E">
        <w:rPr>
          <w:kern w:val="2"/>
        </w:rPr>
        <w:t xml:space="preserve">lockade: </w:t>
      </w:r>
      <w:r>
        <w:rPr>
          <w:kern w:val="2"/>
        </w:rPr>
        <w:t>a</w:t>
      </w:r>
      <w:r w:rsidRPr="00675D0E">
        <w:rPr>
          <w:kern w:val="2"/>
        </w:rPr>
        <w:t xml:space="preserve">n </w:t>
      </w:r>
      <w:r>
        <w:rPr>
          <w:kern w:val="2"/>
        </w:rPr>
        <w:t>o</w:t>
      </w:r>
      <w:r w:rsidRPr="00675D0E">
        <w:rPr>
          <w:kern w:val="2"/>
        </w:rPr>
        <w:t>pen-</w:t>
      </w:r>
      <w:r>
        <w:rPr>
          <w:kern w:val="2"/>
        </w:rPr>
        <w:t>l</w:t>
      </w:r>
      <w:r w:rsidRPr="00675D0E">
        <w:rPr>
          <w:kern w:val="2"/>
        </w:rPr>
        <w:t>abel</w:t>
      </w:r>
      <w:r>
        <w:rPr>
          <w:kern w:val="2"/>
        </w:rPr>
        <w:t xml:space="preserve"> p</w:t>
      </w:r>
      <w:r w:rsidRPr="00675D0E">
        <w:rPr>
          <w:kern w:val="2"/>
        </w:rPr>
        <w:t xml:space="preserve">hase 1 </w:t>
      </w:r>
      <w:r>
        <w:rPr>
          <w:kern w:val="2"/>
        </w:rPr>
        <w:t>s</w:t>
      </w:r>
      <w:r w:rsidRPr="00675D0E">
        <w:rPr>
          <w:kern w:val="2"/>
        </w:rPr>
        <w:t>tudy.</w:t>
      </w:r>
      <w:r>
        <w:rPr>
          <w:kern w:val="2"/>
        </w:rPr>
        <w:t xml:space="preserve"> </w:t>
      </w:r>
      <w:r w:rsidRPr="00675D0E">
        <w:rPr>
          <w:i/>
          <w:kern w:val="2"/>
        </w:rPr>
        <w:t>Advances in Therapy</w:t>
      </w:r>
      <w:r>
        <w:rPr>
          <w:kern w:val="2"/>
        </w:rPr>
        <w:t>,</w:t>
      </w:r>
      <w:r w:rsidRPr="00675D0E">
        <w:rPr>
          <w:kern w:val="2"/>
        </w:rPr>
        <w:t xml:space="preserve"> </w:t>
      </w:r>
      <w:r>
        <w:rPr>
          <w:kern w:val="2"/>
        </w:rPr>
        <w:t xml:space="preserve">2017; </w:t>
      </w:r>
      <w:r w:rsidRPr="00D94E33">
        <w:rPr>
          <w:kern w:val="2"/>
        </w:rPr>
        <w:t>34:</w:t>
      </w:r>
      <w:r>
        <w:rPr>
          <w:kern w:val="2"/>
        </w:rPr>
        <w:t xml:space="preserve"> </w:t>
      </w:r>
      <w:r w:rsidRPr="00675D0E">
        <w:rPr>
          <w:kern w:val="2"/>
        </w:rPr>
        <w:t>560</w:t>
      </w:r>
      <w:r>
        <w:rPr>
          <w:kern w:val="2"/>
        </w:rPr>
        <w:t>–</w:t>
      </w:r>
      <w:r w:rsidRPr="00675D0E">
        <w:rPr>
          <w:kern w:val="2"/>
        </w:rPr>
        <w:t>575.</w:t>
      </w:r>
    </w:p>
  </w:footnote>
  <w:footnote w:id="5">
    <w:p w14:paraId="2637FFB8" w14:textId="1E57C937" w:rsidR="00AD5E80" w:rsidRDefault="00AD5E80">
      <w:pPr>
        <w:pStyle w:val="FootnoteText"/>
      </w:pPr>
      <w:r>
        <w:rPr>
          <w:rStyle w:val="FootnoteReference"/>
        </w:rPr>
        <w:footnoteRef/>
      </w:r>
      <w:r>
        <w:t xml:space="preserve"> </w:t>
      </w:r>
      <w:r w:rsidRPr="008C2B63">
        <w:t>International Conference on Harmonisation</w:t>
      </w:r>
      <w:r>
        <w:t>, Impurities; Guidelines for Residual Solvents, Q3C (R6), 17 January 2017</w:t>
      </w:r>
    </w:p>
  </w:footnote>
  <w:footnote w:id="6">
    <w:p w14:paraId="4D5A0917" w14:textId="77777777" w:rsidR="00AD5E80" w:rsidRPr="005C4777" w:rsidRDefault="00AD5E80" w:rsidP="004B3557">
      <w:pPr>
        <w:pStyle w:val="FootnoteText"/>
        <w:rPr>
          <w:lang w:val="en-US"/>
        </w:rPr>
      </w:pPr>
      <w:r>
        <w:rPr>
          <w:rStyle w:val="FootnoteReference"/>
        </w:rPr>
        <w:footnoteRef/>
      </w:r>
      <w:r>
        <w:t xml:space="preserve"> European Medicines Agency, Committee for Human Medicinal Products (CHMP), Guideline on repeated dose toxicity, </w:t>
      </w:r>
      <w:r w:rsidRPr="00812571">
        <w:t xml:space="preserve">CPMP/SWP/1042/99 Rev </w:t>
      </w:r>
      <w:r>
        <w:t xml:space="preserve">1 </w:t>
      </w:r>
      <w:proofErr w:type="spellStart"/>
      <w:r>
        <w:t>Corr</w:t>
      </w:r>
      <w:proofErr w:type="spellEnd"/>
      <w:r>
        <w:t>*, March 2010</w:t>
      </w:r>
    </w:p>
  </w:footnote>
  <w:footnote w:id="7">
    <w:p w14:paraId="3BEBBBBC" w14:textId="001C354F" w:rsidR="00AD5E80" w:rsidRDefault="00AD5E80">
      <w:pPr>
        <w:pStyle w:val="FootnoteText"/>
      </w:pPr>
      <w:r>
        <w:rPr>
          <w:rStyle w:val="FootnoteReference"/>
        </w:rPr>
        <w:footnoteRef/>
      </w:r>
      <w:r>
        <w:t xml:space="preserve"> The ‘cavity’</w:t>
      </w:r>
      <w:r w:rsidRPr="00900CAB">
        <w:t xml:space="preserve"> is observed when evaluating the tissue sec</w:t>
      </w:r>
      <w:r>
        <w:t>tions from the injection site under the</w:t>
      </w:r>
      <w:r w:rsidRPr="00900CAB">
        <w:t xml:space="preserve"> microscope. The tissue section has been fixated onto a glass slide, and in that fixation process (using the fixation chemicals) lipids in the tissue and in the drug product lipid matrix are washed away. Therefore, the position of the lipid matrix in the </w:t>
      </w:r>
      <w:r>
        <w:t>tissue section now appears as a ‘cavity’</w:t>
      </w:r>
      <w:r w:rsidRPr="00900CAB">
        <w:t xml:space="preserve"> when evaluating the tissue section in the microscope.</w:t>
      </w:r>
    </w:p>
  </w:footnote>
  <w:footnote w:id="8">
    <w:p w14:paraId="20C77ED5" w14:textId="26ED3017" w:rsidR="00AD5E80" w:rsidRDefault="00AD5E80">
      <w:pPr>
        <w:pStyle w:val="FootnoteText"/>
      </w:pPr>
      <w:r>
        <w:rPr>
          <w:rStyle w:val="FootnoteReference"/>
        </w:rPr>
        <w:footnoteRef/>
      </w:r>
      <w:r>
        <w:t xml:space="preserve"> </w:t>
      </w:r>
      <w:r w:rsidRPr="003C728F">
        <w:t>Phillips</w:t>
      </w:r>
      <w:r>
        <w:t>,</w:t>
      </w:r>
      <w:r w:rsidRPr="003C728F">
        <w:t xml:space="preserve"> B.J. and Jenkinson P. (2001)</w:t>
      </w:r>
      <w:r>
        <w:t>,</w:t>
      </w:r>
      <w:r w:rsidRPr="003C728F">
        <w:t xml:space="preserve"> Is ethanol genotoxic? A review of the published data. </w:t>
      </w:r>
      <w:r w:rsidRPr="003C728F">
        <w:rPr>
          <w:i/>
        </w:rPr>
        <w:t>Mutagenesis</w:t>
      </w:r>
      <w:r w:rsidRPr="003C728F">
        <w:t xml:space="preserve">, </w:t>
      </w:r>
      <w:r>
        <w:t xml:space="preserve">2001; </w:t>
      </w:r>
      <w:r w:rsidRPr="003C728F">
        <w:t>16: 91–101.</w:t>
      </w:r>
    </w:p>
  </w:footnote>
  <w:footnote w:id="9">
    <w:p w14:paraId="6D3826C1" w14:textId="7C082460" w:rsidR="00AD5E80" w:rsidRDefault="00AD5E80" w:rsidP="003C728F">
      <w:pPr>
        <w:pStyle w:val="FootnoteText"/>
      </w:pPr>
      <w:r>
        <w:rPr>
          <w:rStyle w:val="FootnoteReference"/>
        </w:rPr>
        <w:footnoteRef/>
      </w:r>
      <w:r>
        <w:t xml:space="preserve"> European Commission Scientific Committee on Consumer Safety (SCCS), Opinion on N-Methyl-2-pyrrolidone</w:t>
      </w:r>
    </w:p>
    <w:p w14:paraId="7393DAA1" w14:textId="63B50638" w:rsidR="00AD5E80" w:rsidRDefault="00AD5E80" w:rsidP="003C728F">
      <w:pPr>
        <w:pStyle w:val="FootnoteText"/>
      </w:pPr>
      <w:r>
        <w:t xml:space="preserve">(NMP), </w:t>
      </w:r>
      <w:r w:rsidRPr="003C728F">
        <w:t>SCCS/1413/11</w:t>
      </w:r>
      <w:r>
        <w:t>, 22 March 2011.</w:t>
      </w:r>
    </w:p>
  </w:footnote>
  <w:footnote w:id="10">
    <w:p w14:paraId="12524BA6" w14:textId="3E3184F5" w:rsidR="00AD5E80" w:rsidRDefault="00AD5E80">
      <w:pPr>
        <w:pStyle w:val="FootnoteText"/>
      </w:pPr>
      <w:r>
        <w:rPr>
          <w:rStyle w:val="FootnoteReference"/>
        </w:rPr>
        <w:footnoteRef/>
      </w:r>
      <w:r>
        <w:t xml:space="preserve"> United States Food and Drug Administration, 184.1400 Lecithin, </w:t>
      </w:r>
      <w:r w:rsidRPr="003C728F">
        <w:t>48 FR 51150, Nov. 7, 1983</w:t>
      </w:r>
      <w:r>
        <w:t xml:space="preserve">. Accessed from the United States </w:t>
      </w:r>
      <w:proofErr w:type="spellStart"/>
      <w:r>
        <w:t>govinfo</w:t>
      </w:r>
      <w:proofErr w:type="spellEnd"/>
      <w:r>
        <w:t xml:space="preserve"> website.</w:t>
      </w:r>
    </w:p>
  </w:footnote>
  <w:footnote w:id="11">
    <w:p w14:paraId="2F3A5F48" w14:textId="7A4DF224" w:rsidR="00AD5E80" w:rsidRDefault="00AD5E80" w:rsidP="003E62D4">
      <w:pPr>
        <w:pStyle w:val="FootnoteText"/>
      </w:pPr>
      <w:r>
        <w:rPr>
          <w:rStyle w:val="FootnoteReference"/>
        </w:rPr>
        <w:footnoteRef/>
      </w:r>
      <w:r>
        <w:t xml:space="preserve"> European Medicines Agency, </w:t>
      </w:r>
      <w:r w:rsidRPr="003E62D4">
        <w:t xml:space="preserve">Committee for Proprietary Medicinal Products </w:t>
      </w:r>
      <w:r>
        <w:t xml:space="preserve">(CPMP), Note for guidance on </w:t>
      </w:r>
      <w:proofErr w:type="spellStart"/>
      <w:r>
        <w:t>genotoxicity</w:t>
      </w:r>
      <w:proofErr w:type="spellEnd"/>
      <w:r>
        <w:t xml:space="preserve">: specific aspects of regulatory </w:t>
      </w:r>
      <w:proofErr w:type="spellStart"/>
      <w:r>
        <w:t>genotoxicity</w:t>
      </w:r>
      <w:proofErr w:type="spellEnd"/>
      <w:r>
        <w:t xml:space="preserve"> tests for pharmaceuticals, </w:t>
      </w:r>
      <w:r w:rsidRPr="003E62D4">
        <w:t>CPMP/ICH/141/95</w:t>
      </w:r>
      <w:r>
        <w:t>, April 1996.</w:t>
      </w:r>
    </w:p>
  </w:footnote>
  <w:footnote w:id="12">
    <w:p w14:paraId="121B89A1" w14:textId="7DBBDB1C" w:rsidR="00AD5E80" w:rsidRPr="005C4777" w:rsidRDefault="00AD5E80" w:rsidP="004B3557">
      <w:pPr>
        <w:pStyle w:val="FootnoteText"/>
        <w:rPr>
          <w:lang w:val="en-US"/>
        </w:rPr>
      </w:pPr>
      <w:r>
        <w:rPr>
          <w:rStyle w:val="FootnoteReference"/>
        </w:rPr>
        <w:footnoteRef/>
      </w:r>
      <w:r>
        <w:t xml:space="preserve"> </w:t>
      </w:r>
      <w:r w:rsidRPr="00807FBA">
        <w:t>Toxicological review and risk analysis of N-</w:t>
      </w:r>
      <w:proofErr w:type="spellStart"/>
      <w:r w:rsidRPr="00807FBA">
        <w:t>methylpyrrolidone</w:t>
      </w:r>
      <w:proofErr w:type="spellEnd"/>
      <w:r w:rsidRPr="00807FBA">
        <w:t xml:space="preserve">; </w:t>
      </w:r>
      <w:proofErr w:type="spellStart"/>
      <w:r w:rsidRPr="00807FBA">
        <w:t>Camurus</w:t>
      </w:r>
      <w:proofErr w:type="spellEnd"/>
      <w:r w:rsidRPr="00807FBA">
        <w:t xml:space="preserve"> reference no. TO-16-570</w:t>
      </w:r>
    </w:p>
  </w:footnote>
  <w:footnote w:id="13">
    <w:p w14:paraId="1A828A78" w14:textId="581B5D44" w:rsidR="00AD5E80" w:rsidRDefault="00AD5E80">
      <w:pPr>
        <w:pStyle w:val="FootnoteText"/>
      </w:pPr>
      <w:r>
        <w:rPr>
          <w:rStyle w:val="FootnoteReference"/>
        </w:rPr>
        <w:footnoteRef/>
      </w:r>
      <w:r>
        <w:t xml:space="preserve"> Pregnancy Category C: </w:t>
      </w:r>
      <w:r w:rsidRPr="003E62D4">
        <w:t xml:space="preserve">Drugs which, owing to their pharmacological effects, have caused or may be suspected of causing, harmful effects on the human </w:t>
      </w:r>
      <w:proofErr w:type="spellStart"/>
      <w:r w:rsidRPr="003E62D4">
        <w:t>fetus</w:t>
      </w:r>
      <w:proofErr w:type="spellEnd"/>
      <w:r w:rsidRPr="003E62D4">
        <w:t xml:space="preserve"> or neonate without causing malformations. These effects may be reversible. Accompanying texts should be consulted for further details.</w:t>
      </w:r>
    </w:p>
  </w:footnote>
  <w:footnote w:id="14">
    <w:p w14:paraId="7241C9F2" w14:textId="3DB7073B" w:rsidR="00AD5E80" w:rsidRDefault="00AD5E80" w:rsidP="00C27830">
      <w:pPr>
        <w:pStyle w:val="FootnoteText"/>
      </w:pPr>
      <w:r>
        <w:rPr>
          <w:rStyle w:val="FootnoteReference"/>
        </w:rPr>
        <w:footnoteRef/>
      </w:r>
      <w:r>
        <w:t xml:space="preserve"> </w:t>
      </w:r>
      <w:r w:rsidRPr="00A50E25">
        <w:rPr>
          <w:szCs w:val="18"/>
          <w:lang w:eastAsia="ja-JP"/>
        </w:rPr>
        <w:t>Detailed information on the management of opioid dependency in Australia is available in the National Guidelines for Medication-Assisted Treatment of Opioid Dependence</w:t>
      </w:r>
      <w:r>
        <w:rPr>
          <w:szCs w:val="18"/>
          <w:lang w:eastAsia="ja-JP"/>
        </w:rPr>
        <w:t>, accessed from the Australian National Drugs Strategy website.</w:t>
      </w:r>
    </w:p>
  </w:footnote>
  <w:footnote w:id="15">
    <w:p w14:paraId="2D3AB5E1" w14:textId="51E3E5EC" w:rsidR="00AD5E80" w:rsidRDefault="00AD5E80">
      <w:pPr>
        <w:pStyle w:val="FootnoteText"/>
      </w:pPr>
      <w:r>
        <w:rPr>
          <w:rStyle w:val="FootnoteReference"/>
        </w:rPr>
        <w:footnoteRef/>
      </w:r>
      <w:r>
        <w:t xml:space="preserve"> </w:t>
      </w:r>
      <w:r w:rsidRPr="00A50E25">
        <w:rPr>
          <w:szCs w:val="18"/>
        </w:rPr>
        <w:t xml:space="preserve">The addition of naloxone is designed to deter parenteral misuse. The bioavailability of </w:t>
      </w:r>
      <w:r>
        <w:rPr>
          <w:szCs w:val="18"/>
        </w:rPr>
        <w:t>buprenorphine</w:t>
      </w:r>
      <w:r w:rsidRPr="00A50E25">
        <w:rPr>
          <w:szCs w:val="18"/>
        </w:rPr>
        <w:t xml:space="preserve"> is not influenced by the addition of naloxone.</w:t>
      </w:r>
    </w:p>
  </w:footnote>
  <w:footnote w:id="16">
    <w:p w14:paraId="6542FEBF" w14:textId="7AD07D33" w:rsidR="00AD5E80" w:rsidRPr="008C5D0D" w:rsidRDefault="00AD5E80" w:rsidP="008C5D0D">
      <w:pPr>
        <w:pStyle w:val="FootnoteText"/>
      </w:pPr>
      <w:r>
        <w:rPr>
          <w:rStyle w:val="FootnoteReference"/>
        </w:rPr>
        <w:footnoteRef/>
      </w:r>
      <w:r>
        <w:t xml:space="preserve"> </w:t>
      </w:r>
      <w:proofErr w:type="spellStart"/>
      <w:r>
        <w:t>Hy’s</w:t>
      </w:r>
      <w:proofErr w:type="spellEnd"/>
      <w:r>
        <w:t xml:space="preserve"> Law: </w:t>
      </w:r>
      <w:r w:rsidRPr="008C5D0D">
        <w:t>ALT &gt;</w:t>
      </w:r>
      <w:r>
        <w:t xml:space="preserve"> 3 times</w:t>
      </w:r>
      <w:r w:rsidRPr="008C5D0D">
        <w:t xml:space="preserve"> </w:t>
      </w:r>
      <w:r>
        <w:t>upper limit of normal (</w:t>
      </w:r>
      <w:r w:rsidRPr="008C5D0D">
        <w:t>ULN</w:t>
      </w:r>
      <w:r>
        <w:t>) and total bilirubin</w:t>
      </w:r>
      <w:r w:rsidRPr="008C5D0D">
        <w:t xml:space="preserve"> &gt;</w:t>
      </w:r>
      <w:r>
        <w:t xml:space="preserve"> 2 times</w:t>
      </w:r>
      <w:r w:rsidRPr="008C5D0D">
        <w:t xml:space="preserve"> ULN</w:t>
      </w:r>
      <w:r>
        <w:t>.</w:t>
      </w:r>
    </w:p>
  </w:footnote>
  <w:footnote w:id="17">
    <w:p w14:paraId="457BA9E6" w14:textId="77777777" w:rsidR="00AD5E80" w:rsidRDefault="00AD5E80"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431B02D" w14:textId="77777777" w:rsidR="00AD5E80" w:rsidRDefault="00AD5E80" w:rsidP="00456765">
      <w:pPr>
        <w:pStyle w:val="FootnoteText"/>
      </w:pPr>
      <w:r w:rsidRPr="00F12492">
        <w:rPr>
          <w:i/>
        </w:rPr>
        <w:t>Routine pharmacovigilance</w:t>
      </w:r>
      <w:r>
        <w:t xml:space="preserve"> practices involve the following activities:</w:t>
      </w:r>
    </w:p>
    <w:p w14:paraId="71407D18" w14:textId="77777777" w:rsidR="00AD5E80" w:rsidRDefault="00AD5E80" w:rsidP="00456765">
      <w:pPr>
        <w:pStyle w:val="FootnoteText"/>
        <w:numPr>
          <w:ilvl w:val="0"/>
          <w:numId w:val="28"/>
        </w:numPr>
      </w:pPr>
      <w:r>
        <w:t>All suspected adverse reactions that are reported to the personnel of the company are collected and collated in an accessible manner;</w:t>
      </w:r>
    </w:p>
    <w:p w14:paraId="520BFE40" w14:textId="77777777" w:rsidR="00AD5E80" w:rsidRDefault="00AD5E80" w:rsidP="00456765">
      <w:pPr>
        <w:pStyle w:val="FootnoteText"/>
        <w:numPr>
          <w:ilvl w:val="0"/>
          <w:numId w:val="28"/>
        </w:numPr>
      </w:pPr>
      <w:r>
        <w:t>Reporting to regulatory authorities;</w:t>
      </w:r>
    </w:p>
    <w:p w14:paraId="3125B2E5" w14:textId="77777777" w:rsidR="00AD5E80" w:rsidRDefault="00AD5E80" w:rsidP="00456765">
      <w:pPr>
        <w:pStyle w:val="FootnoteText"/>
        <w:numPr>
          <w:ilvl w:val="0"/>
          <w:numId w:val="28"/>
        </w:numPr>
      </w:pPr>
      <w:r>
        <w:t xml:space="preserve">Continuous monitoring of the safety profiles of approved products including signal detection and updating of </w:t>
      </w:r>
      <w:proofErr w:type="spellStart"/>
      <w:r>
        <w:t>labeling</w:t>
      </w:r>
      <w:proofErr w:type="spellEnd"/>
      <w:r>
        <w:t>;</w:t>
      </w:r>
    </w:p>
    <w:p w14:paraId="0E4CC646" w14:textId="77777777" w:rsidR="00AD5E80" w:rsidRDefault="00AD5E80" w:rsidP="00456765">
      <w:pPr>
        <w:pStyle w:val="FootnoteText"/>
        <w:numPr>
          <w:ilvl w:val="0"/>
          <w:numId w:val="28"/>
        </w:numPr>
      </w:pPr>
      <w:r>
        <w:t>Submission of PSURs;</w:t>
      </w:r>
    </w:p>
    <w:p w14:paraId="325F1F0E" w14:textId="77777777" w:rsidR="00AD5E80" w:rsidRPr="00F12492" w:rsidRDefault="00AD5E80" w:rsidP="00456765">
      <w:pPr>
        <w:pStyle w:val="FootnoteText"/>
        <w:numPr>
          <w:ilvl w:val="0"/>
          <w:numId w:val="28"/>
        </w:numPr>
        <w:rPr>
          <w:lang w:val="en-US"/>
        </w:rPr>
      </w:pPr>
      <w:r>
        <w:t>Meeting other local regulatory agency requirements.</w:t>
      </w:r>
    </w:p>
  </w:footnote>
  <w:footnote w:id="18">
    <w:p w14:paraId="428A45D5" w14:textId="25159F0B" w:rsidR="00AD5E80" w:rsidRDefault="00AD5E80">
      <w:pPr>
        <w:pStyle w:val="FootnoteText"/>
      </w:pPr>
      <w:r>
        <w:rPr>
          <w:rStyle w:val="FootnoteReference"/>
        </w:rPr>
        <w:footnoteRef/>
      </w:r>
      <w:r>
        <w:t xml:space="preserve"> The time to sustained abstinence of opioid use in weeks could not be determined by the sponsor.</w:t>
      </w:r>
    </w:p>
  </w:footnote>
  <w:footnote w:id="19">
    <w:p w14:paraId="3A3644C9" w14:textId="28C602BE" w:rsidR="00AD5E80" w:rsidRDefault="00AD5E80">
      <w:pPr>
        <w:pStyle w:val="FootnoteText"/>
      </w:pPr>
      <w:r>
        <w:rPr>
          <w:rStyle w:val="FootnoteReference"/>
        </w:rPr>
        <w:footnoteRef/>
      </w:r>
      <w:r w:rsidRPr="00337A85">
        <w:rPr>
          <w:lang w:val="da-DK"/>
        </w:rPr>
        <w:t xml:space="preserve"> </w:t>
      </w:r>
      <w:r w:rsidRPr="00337A85">
        <w:rPr>
          <w:lang w:val="da-DK"/>
        </w:rPr>
        <w:t xml:space="preserve">Walsh, S.L. et al. </w:t>
      </w:r>
      <w:r>
        <w:t xml:space="preserve">(2017), </w:t>
      </w:r>
      <w:r w:rsidRPr="0099637B">
        <w:t>Effect of Buprenorphine Weekly Depot (CAM2038) and Hydromorphone Blockade in Individuals with Opioid Use Disord</w:t>
      </w:r>
      <w:r>
        <w:t xml:space="preserve">er: A Randomized Clinical Trial, </w:t>
      </w:r>
      <w:r w:rsidRPr="0099637B">
        <w:rPr>
          <w:i/>
        </w:rPr>
        <w:t>JAMA Psychiatry</w:t>
      </w:r>
      <w:r>
        <w:t>, 2017; 74: 894-902.</w:t>
      </w:r>
    </w:p>
  </w:footnote>
  <w:footnote w:id="20">
    <w:p w14:paraId="59459925" w14:textId="1DD5FA40" w:rsidR="00AD5E80" w:rsidRDefault="00AD5E80">
      <w:pPr>
        <w:pStyle w:val="FootnoteText"/>
      </w:pPr>
      <w:r>
        <w:rPr>
          <w:rStyle w:val="FootnoteReference"/>
        </w:rPr>
        <w:footnoteRef/>
      </w:r>
      <w:r w:rsidRPr="00337A85">
        <w:rPr>
          <w:lang w:val="da-DK"/>
        </w:rPr>
        <w:t xml:space="preserve"> </w:t>
      </w:r>
      <w:r w:rsidRPr="00337A85">
        <w:rPr>
          <w:lang w:val="da-DK"/>
        </w:rPr>
        <w:t xml:space="preserve">Lofwall, M.R. et al. </w:t>
      </w:r>
      <w:r>
        <w:t xml:space="preserve">(2018), </w:t>
      </w:r>
      <w:r w:rsidRPr="0099637B">
        <w:t>Weekly and Monthly Subcutaneous Buprenorphine Depot Formulations vs Daily Sublingual Buprenorphine With Naloxone for Treatment of Opioid Use Disorder: A Randomized Clinical Trial</w:t>
      </w:r>
      <w:r>
        <w:t xml:space="preserve">, </w:t>
      </w:r>
      <w:r w:rsidRPr="0099637B">
        <w:rPr>
          <w:i/>
        </w:rPr>
        <w:t>JAMA Intern Med</w:t>
      </w:r>
      <w:r>
        <w:t>, 2018; 178: 764-773.</w:t>
      </w:r>
    </w:p>
  </w:footnote>
  <w:footnote w:id="21">
    <w:p w14:paraId="25F7760E" w14:textId="72527CFF" w:rsidR="00AD5E80" w:rsidRDefault="00AD5E80">
      <w:pPr>
        <w:pStyle w:val="FootnoteText"/>
      </w:pPr>
      <w:r>
        <w:rPr>
          <w:rStyle w:val="FootnoteReference"/>
        </w:rPr>
        <w:footnoteRef/>
      </w:r>
      <w:r>
        <w:t xml:space="preserve"> Amass, L. et al. (2012), </w:t>
      </w:r>
      <w:r w:rsidRPr="0099637B">
        <w:t xml:space="preserve">A prospective, randomized, </w:t>
      </w:r>
      <w:proofErr w:type="spellStart"/>
      <w:r w:rsidRPr="0099637B">
        <w:t>multicenter</w:t>
      </w:r>
      <w:proofErr w:type="spellEnd"/>
      <w:r w:rsidRPr="0099637B">
        <w:t xml:space="preserve"> acceptability and safety study of direct buprenorphine/naloxone induction </w:t>
      </w:r>
      <w:r>
        <w:t xml:space="preserve">in heroin-dependent individuals, </w:t>
      </w:r>
      <w:r w:rsidRPr="0099637B">
        <w:rPr>
          <w:i/>
        </w:rPr>
        <w:t>Addiction</w:t>
      </w:r>
      <w:r>
        <w:t>, 2012; 107: 142-151.</w:t>
      </w:r>
    </w:p>
  </w:footnote>
  <w:footnote w:id="22">
    <w:p w14:paraId="2B8023CC" w14:textId="6D25053F" w:rsidR="00AD5E80" w:rsidRDefault="00AD5E80">
      <w:pPr>
        <w:pStyle w:val="FootnoteText"/>
      </w:pPr>
      <w:r>
        <w:rPr>
          <w:rStyle w:val="FootnoteReference"/>
        </w:rPr>
        <w:footnoteRef/>
      </w:r>
      <w:r>
        <w:t xml:space="preserve"> Webster, L. et al. (2016), </w:t>
      </w:r>
      <w:r w:rsidRPr="0099637B">
        <w:t>Efficacy and safety of a sublingual buprenorphine/naloxone rapidly dissolving tablet for the treatment of adults with opioid</w:t>
      </w:r>
      <w:r>
        <w:t xml:space="preserve"> dependence: A randomized trial, </w:t>
      </w:r>
      <w:r w:rsidRPr="0099637B">
        <w:rPr>
          <w:i/>
        </w:rPr>
        <w:t xml:space="preserve">J </w:t>
      </w:r>
      <w:proofErr w:type="spellStart"/>
      <w:r w:rsidRPr="0099637B">
        <w:rPr>
          <w:i/>
        </w:rPr>
        <w:t>Addic</w:t>
      </w:r>
      <w:proofErr w:type="spellEnd"/>
      <w:r w:rsidRPr="0099637B">
        <w:rPr>
          <w:i/>
        </w:rPr>
        <w:t xml:space="preserve"> Dis</w:t>
      </w:r>
      <w:r>
        <w:t>, 2016; 35: 325-338.</w:t>
      </w:r>
    </w:p>
  </w:footnote>
  <w:footnote w:id="23">
    <w:p w14:paraId="06373BB3" w14:textId="77777777" w:rsidR="00AD5E80" w:rsidRDefault="00AD5E80"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FF9ECD1" w14:textId="77777777" w:rsidR="00AD5E80" w:rsidRPr="00456765" w:rsidRDefault="00AD5E80"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270A1" w14:textId="77777777" w:rsidR="00AD5E80" w:rsidRDefault="00AD5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AA393" w14:textId="77777777" w:rsidR="00AD5E80" w:rsidRDefault="00AD5E8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E187C" w14:textId="77777777" w:rsidR="00AD5E80" w:rsidRDefault="00AD5E80">
    <w:pPr>
      <w:rPr>
        <w:noProof/>
        <w:lang w:eastAsia="en-AU"/>
      </w:rPr>
    </w:pPr>
    <w:r w:rsidRPr="00347824">
      <w:rPr>
        <w:noProof/>
        <w:lang w:eastAsia="en-AU"/>
      </w:rPr>
      <w:drawing>
        <wp:anchor distT="0" distB="0" distL="114300" distR="114300" simplePos="0" relativeHeight="251658240" behindDoc="1" locked="0" layoutInCell="1" allowOverlap="1" wp14:anchorId="72346D72" wp14:editId="605797D6">
          <wp:simplePos x="0" y="0"/>
          <wp:positionH relativeFrom="column">
            <wp:posOffset>-1089660</wp:posOffset>
          </wp:positionH>
          <wp:positionV relativeFrom="paragraph">
            <wp:posOffset>-585470</wp:posOffset>
          </wp:positionV>
          <wp:extent cx="7572375" cy="10706100"/>
          <wp:effectExtent l="19050" t="0" r="0" b="0"/>
          <wp:wrapNone/>
          <wp:docPr id="2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29E0850" w14:textId="77777777" w:rsidR="00AD5E80" w:rsidRDefault="00AD5E80" w:rsidP="00593AD1">
    <w:pPr>
      <w:pStyle w:val="HeaderNoLine"/>
    </w:pPr>
    <w:r>
      <w:rPr>
        <w:noProof/>
        <w:lang w:eastAsia="en-AU"/>
      </w:rPr>
      <w:drawing>
        <wp:inline distT="0" distB="0" distL="0" distR="0" wp14:anchorId="1B68DC76" wp14:editId="20DE6E0A">
          <wp:extent cx="5400675" cy="7639050"/>
          <wp:effectExtent l="0" t="0" r="9525" b="0"/>
          <wp:docPr id="26" name="Picture 2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AE8B7" w14:textId="77777777" w:rsidR="00AD5E80" w:rsidRDefault="00AD5E80">
    <w:pPr>
      <w:pStyle w:val="Header"/>
    </w:pPr>
  </w:p>
  <w:p w14:paraId="411E834E" w14:textId="77777777" w:rsidR="00AD5E80" w:rsidRDefault="00AD5E80"/>
  <w:p w14:paraId="4AA02479" w14:textId="77777777" w:rsidR="00AD5E80" w:rsidRDefault="00AD5E8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A0565" w14:textId="77777777" w:rsidR="00AD5E80" w:rsidRDefault="00AD5E80" w:rsidP="00173DB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638C" w14:textId="77777777" w:rsidR="00AD5E80" w:rsidRDefault="00AD5E80">
    <w:pPr>
      <w:pStyle w:val="Header"/>
    </w:pPr>
    <w:r>
      <w:t>Therapeutic Goods Administration</w:t>
    </w:r>
  </w:p>
  <w:p w14:paraId="6567A170" w14:textId="77777777" w:rsidR="00AD5E80" w:rsidRDefault="00AD5E80"/>
  <w:p w14:paraId="53A92CA3" w14:textId="77777777" w:rsidR="00AD5E80" w:rsidRDefault="00AD5E8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F670" w14:textId="77777777" w:rsidR="00AD5E80" w:rsidRDefault="00AD5E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7772" w14:textId="77777777" w:rsidR="00AD5E80" w:rsidRDefault="00AD5E8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CE4C1" w14:textId="77777777" w:rsidR="00AD5E80" w:rsidRDefault="00AD5E80" w:rsidP="006E08B3">
    <w:r>
      <w:t>Therapeutic Goods Administration</w:t>
    </w:r>
  </w:p>
  <w:p w14:paraId="3DC0789C" w14:textId="77777777" w:rsidR="00AD5E80" w:rsidRDefault="00AD5E80"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0A0A68AA"/>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36837543"/>
    <w:multiLevelType w:val="hybridMultilevel"/>
    <w:tmpl w:val="CBD2AE5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706120"/>
    <w:multiLevelType w:val="hybridMultilevel"/>
    <w:tmpl w:val="B3F2C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F00AFA"/>
    <w:multiLevelType w:val="multilevel"/>
    <w:tmpl w:val="51246ABE"/>
    <w:lvl w:ilvl="0">
      <w:start w:val="1"/>
      <w:numFmt w:val="decimal"/>
      <w:lvlText w:val="%1"/>
      <w:lvlJc w:val="left"/>
      <w:pPr>
        <w:ind w:left="650" w:hanging="431"/>
      </w:pPr>
      <w:rPr>
        <w:rFonts w:ascii="Cambria" w:eastAsia="Cambria" w:hAnsi="Cambria" w:cs="Cambria" w:hint="default"/>
        <w:b/>
        <w:bCs/>
        <w:w w:val="99"/>
        <w:sz w:val="22"/>
        <w:szCs w:val="22"/>
        <w:lang w:val="en-AU" w:eastAsia="en-AU" w:bidi="en-AU"/>
      </w:rPr>
    </w:lvl>
    <w:lvl w:ilvl="1">
      <w:start w:val="1"/>
      <w:numFmt w:val="decimal"/>
      <w:lvlText w:val="%1.%2"/>
      <w:lvlJc w:val="left"/>
      <w:pPr>
        <w:ind w:left="798" w:hanging="579"/>
      </w:pPr>
      <w:rPr>
        <w:rFonts w:ascii="Cambria" w:eastAsia="Cambria" w:hAnsi="Cambria" w:cs="Cambria" w:hint="default"/>
        <w:b/>
        <w:bCs/>
        <w:spacing w:val="-1"/>
        <w:w w:val="99"/>
        <w:sz w:val="22"/>
        <w:szCs w:val="22"/>
        <w:lang w:val="en-AU" w:eastAsia="en-AU" w:bidi="en-AU"/>
      </w:rPr>
    </w:lvl>
    <w:lvl w:ilvl="2">
      <w:numFmt w:val="bullet"/>
      <w:lvlText w:val=""/>
      <w:lvlJc w:val="left"/>
      <w:pPr>
        <w:ind w:left="939" w:hanging="360"/>
      </w:pPr>
      <w:rPr>
        <w:rFonts w:ascii="Symbol" w:eastAsia="Symbol" w:hAnsi="Symbol" w:cs="Symbol" w:hint="default"/>
        <w:w w:val="99"/>
        <w:sz w:val="22"/>
        <w:szCs w:val="22"/>
        <w:lang w:val="en-AU" w:eastAsia="en-AU" w:bidi="en-AU"/>
      </w:rPr>
    </w:lvl>
    <w:lvl w:ilvl="3">
      <w:numFmt w:val="bullet"/>
      <w:lvlText w:val="•"/>
      <w:lvlJc w:val="left"/>
      <w:pPr>
        <w:ind w:left="2055" w:hanging="360"/>
      </w:pPr>
      <w:rPr>
        <w:rFonts w:hint="default"/>
        <w:lang w:val="en-AU" w:eastAsia="en-AU" w:bidi="en-AU"/>
      </w:rPr>
    </w:lvl>
    <w:lvl w:ilvl="4">
      <w:numFmt w:val="bullet"/>
      <w:lvlText w:val="•"/>
      <w:lvlJc w:val="left"/>
      <w:pPr>
        <w:ind w:left="3171" w:hanging="360"/>
      </w:pPr>
      <w:rPr>
        <w:rFonts w:hint="default"/>
        <w:lang w:val="en-AU" w:eastAsia="en-AU" w:bidi="en-AU"/>
      </w:rPr>
    </w:lvl>
    <w:lvl w:ilvl="5">
      <w:numFmt w:val="bullet"/>
      <w:lvlText w:val="•"/>
      <w:lvlJc w:val="left"/>
      <w:pPr>
        <w:ind w:left="4287" w:hanging="360"/>
      </w:pPr>
      <w:rPr>
        <w:rFonts w:hint="default"/>
        <w:lang w:val="en-AU" w:eastAsia="en-AU" w:bidi="en-AU"/>
      </w:rPr>
    </w:lvl>
    <w:lvl w:ilvl="6">
      <w:numFmt w:val="bullet"/>
      <w:lvlText w:val="•"/>
      <w:lvlJc w:val="left"/>
      <w:pPr>
        <w:ind w:left="5403" w:hanging="360"/>
      </w:pPr>
      <w:rPr>
        <w:rFonts w:hint="default"/>
        <w:lang w:val="en-AU" w:eastAsia="en-AU" w:bidi="en-AU"/>
      </w:rPr>
    </w:lvl>
    <w:lvl w:ilvl="7">
      <w:numFmt w:val="bullet"/>
      <w:lvlText w:val="•"/>
      <w:lvlJc w:val="left"/>
      <w:pPr>
        <w:ind w:left="6519" w:hanging="360"/>
      </w:pPr>
      <w:rPr>
        <w:rFonts w:hint="default"/>
        <w:lang w:val="en-AU" w:eastAsia="en-AU" w:bidi="en-AU"/>
      </w:rPr>
    </w:lvl>
    <w:lvl w:ilvl="8">
      <w:numFmt w:val="bullet"/>
      <w:lvlText w:val="•"/>
      <w:lvlJc w:val="left"/>
      <w:pPr>
        <w:ind w:left="7634" w:hanging="360"/>
      </w:pPr>
      <w:rPr>
        <w:rFonts w:hint="default"/>
        <w:lang w:val="en-AU" w:eastAsia="en-AU" w:bidi="en-AU"/>
      </w:rPr>
    </w:lvl>
  </w:abstractNum>
  <w:abstractNum w:abstractNumId="1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10"/>
  </w:num>
  <w:num w:numId="29">
    <w:abstractNumId w:val="8"/>
  </w:num>
  <w:num w:numId="30">
    <w:abstractNumId w:val="9"/>
  </w:num>
  <w:num w:numId="31">
    <w:abstractNumId w:val="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sv-SE" w:vendorID="64" w:dllVersion="0" w:nlCheck="1" w:checkStyle="0"/>
  <w:activeWritingStyle w:appName="MSWord" w:lang="de-DE"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85B"/>
    <w:rsid w:val="00002031"/>
    <w:rsid w:val="00004734"/>
    <w:rsid w:val="000051A7"/>
    <w:rsid w:val="00006B22"/>
    <w:rsid w:val="00011E3C"/>
    <w:rsid w:val="0001276A"/>
    <w:rsid w:val="000209E2"/>
    <w:rsid w:val="000246AE"/>
    <w:rsid w:val="0002516D"/>
    <w:rsid w:val="00025C67"/>
    <w:rsid w:val="00044772"/>
    <w:rsid w:val="0004541C"/>
    <w:rsid w:val="0005111D"/>
    <w:rsid w:val="0005559E"/>
    <w:rsid w:val="000561FD"/>
    <w:rsid w:val="000604D6"/>
    <w:rsid w:val="0006179B"/>
    <w:rsid w:val="00067D85"/>
    <w:rsid w:val="000734D8"/>
    <w:rsid w:val="00077775"/>
    <w:rsid w:val="00082AB0"/>
    <w:rsid w:val="00086444"/>
    <w:rsid w:val="00090471"/>
    <w:rsid w:val="00096AA7"/>
    <w:rsid w:val="000A2F8F"/>
    <w:rsid w:val="000A301A"/>
    <w:rsid w:val="000A3AED"/>
    <w:rsid w:val="000B0FCA"/>
    <w:rsid w:val="000B3532"/>
    <w:rsid w:val="000B3A75"/>
    <w:rsid w:val="000C00C2"/>
    <w:rsid w:val="000C690F"/>
    <w:rsid w:val="000D1295"/>
    <w:rsid w:val="000D391B"/>
    <w:rsid w:val="000D3D6D"/>
    <w:rsid w:val="000D4FC7"/>
    <w:rsid w:val="000E60FD"/>
    <w:rsid w:val="000E6196"/>
    <w:rsid w:val="000E6DDE"/>
    <w:rsid w:val="000F4869"/>
    <w:rsid w:val="000F5B42"/>
    <w:rsid w:val="000F6E6F"/>
    <w:rsid w:val="0010601F"/>
    <w:rsid w:val="0010788A"/>
    <w:rsid w:val="00107A31"/>
    <w:rsid w:val="00110EA5"/>
    <w:rsid w:val="00112F56"/>
    <w:rsid w:val="00115C41"/>
    <w:rsid w:val="00124ACD"/>
    <w:rsid w:val="00125318"/>
    <w:rsid w:val="001305A2"/>
    <w:rsid w:val="00133238"/>
    <w:rsid w:val="00133A1B"/>
    <w:rsid w:val="001379DA"/>
    <w:rsid w:val="0014197B"/>
    <w:rsid w:val="001447CD"/>
    <w:rsid w:val="001516B1"/>
    <w:rsid w:val="00151A28"/>
    <w:rsid w:val="00154EBB"/>
    <w:rsid w:val="00156316"/>
    <w:rsid w:val="00160488"/>
    <w:rsid w:val="00161181"/>
    <w:rsid w:val="00162D14"/>
    <w:rsid w:val="00163780"/>
    <w:rsid w:val="00165389"/>
    <w:rsid w:val="00173DB7"/>
    <w:rsid w:val="0017693F"/>
    <w:rsid w:val="0018110E"/>
    <w:rsid w:val="00181684"/>
    <w:rsid w:val="001843C6"/>
    <w:rsid w:val="001850E0"/>
    <w:rsid w:val="001948C9"/>
    <w:rsid w:val="001A03AF"/>
    <w:rsid w:val="001A2158"/>
    <w:rsid w:val="001A43E6"/>
    <w:rsid w:val="001A504D"/>
    <w:rsid w:val="001A525F"/>
    <w:rsid w:val="001B09F9"/>
    <w:rsid w:val="001B1201"/>
    <w:rsid w:val="001B5C90"/>
    <w:rsid w:val="001B6448"/>
    <w:rsid w:val="001B6FDC"/>
    <w:rsid w:val="001C0C84"/>
    <w:rsid w:val="001C32CD"/>
    <w:rsid w:val="001C6867"/>
    <w:rsid w:val="001D2984"/>
    <w:rsid w:val="001D4A93"/>
    <w:rsid w:val="001E07CF"/>
    <w:rsid w:val="001E5716"/>
    <w:rsid w:val="001E59F1"/>
    <w:rsid w:val="001E787D"/>
    <w:rsid w:val="001F2CEE"/>
    <w:rsid w:val="001F49EB"/>
    <w:rsid w:val="001F65A1"/>
    <w:rsid w:val="001F6CBA"/>
    <w:rsid w:val="00201D4E"/>
    <w:rsid w:val="00207210"/>
    <w:rsid w:val="002076C9"/>
    <w:rsid w:val="00213ADE"/>
    <w:rsid w:val="00220659"/>
    <w:rsid w:val="00220B8A"/>
    <w:rsid w:val="0022179C"/>
    <w:rsid w:val="002257F3"/>
    <w:rsid w:val="00230E29"/>
    <w:rsid w:val="00233456"/>
    <w:rsid w:val="002339A5"/>
    <w:rsid w:val="00242D05"/>
    <w:rsid w:val="00242EFA"/>
    <w:rsid w:val="00246DC3"/>
    <w:rsid w:val="00257848"/>
    <w:rsid w:val="00260BD7"/>
    <w:rsid w:val="00261F67"/>
    <w:rsid w:val="0027084A"/>
    <w:rsid w:val="00280265"/>
    <w:rsid w:val="00286434"/>
    <w:rsid w:val="00286C59"/>
    <w:rsid w:val="0029052C"/>
    <w:rsid w:val="00291957"/>
    <w:rsid w:val="002942D1"/>
    <w:rsid w:val="0029501A"/>
    <w:rsid w:val="002A16E1"/>
    <w:rsid w:val="002A3721"/>
    <w:rsid w:val="002A6196"/>
    <w:rsid w:val="002B1638"/>
    <w:rsid w:val="002B3624"/>
    <w:rsid w:val="002C122B"/>
    <w:rsid w:val="002D0952"/>
    <w:rsid w:val="002E3F6A"/>
    <w:rsid w:val="002E40B3"/>
    <w:rsid w:val="002E4C9A"/>
    <w:rsid w:val="002F11F8"/>
    <w:rsid w:val="002F3F56"/>
    <w:rsid w:val="002F44B5"/>
    <w:rsid w:val="002F4C09"/>
    <w:rsid w:val="002F5122"/>
    <w:rsid w:val="00311452"/>
    <w:rsid w:val="00311AC0"/>
    <w:rsid w:val="003176FC"/>
    <w:rsid w:val="003179AE"/>
    <w:rsid w:val="0032583B"/>
    <w:rsid w:val="00326876"/>
    <w:rsid w:val="003271CD"/>
    <w:rsid w:val="00327883"/>
    <w:rsid w:val="00335504"/>
    <w:rsid w:val="00337A85"/>
    <w:rsid w:val="00340C18"/>
    <w:rsid w:val="003442FD"/>
    <w:rsid w:val="00347824"/>
    <w:rsid w:val="00350567"/>
    <w:rsid w:val="003521E8"/>
    <w:rsid w:val="00370CE3"/>
    <w:rsid w:val="00370D3E"/>
    <w:rsid w:val="003728F3"/>
    <w:rsid w:val="003735BC"/>
    <w:rsid w:val="0037496E"/>
    <w:rsid w:val="00383221"/>
    <w:rsid w:val="00386150"/>
    <w:rsid w:val="003874CE"/>
    <w:rsid w:val="00390900"/>
    <w:rsid w:val="003A14D3"/>
    <w:rsid w:val="003A7F6C"/>
    <w:rsid w:val="003B4D60"/>
    <w:rsid w:val="003B7E39"/>
    <w:rsid w:val="003C466E"/>
    <w:rsid w:val="003C58DC"/>
    <w:rsid w:val="003C728F"/>
    <w:rsid w:val="003D1E62"/>
    <w:rsid w:val="003D2AEA"/>
    <w:rsid w:val="003E0B99"/>
    <w:rsid w:val="003E2486"/>
    <w:rsid w:val="003E3208"/>
    <w:rsid w:val="003E62D4"/>
    <w:rsid w:val="003E75CA"/>
    <w:rsid w:val="003F0B04"/>
    <w:rsid w:val="0040134E"/>
    <w:rsid w:val="00406837"/>
    <w:rsid w:val="004334C7"/>
    <w:rsid w:val="00440A2D"/>
    <w:rsid w:val="00441C3F"/>
    <w:rsid w:val="00446F48"/>
    <w:rsid w:val="00450275"/>
    <w:rsid w:val="0045186A"/>
    <w:rsid w:val="004564A7"/>
    <w:rsid w:val="00456765"/>
    <w:rsid w:val="004617BF"/>
    <w:rsid w:val="00463658"/>
    <w:rsid w:val="004637A0"/>
    <w:rsid w:val="00471927"/>
    <w:rsid w:val="004722CC"/>
    <w:rsid w:val="00477529"/>
    <w:rsid w:val="0049053B"/>
    <w:rsid w:val="004936E4"/>
    <w:rsid w:val="00494E60"/>
    <w:rsid w:val="00497487"/>
    <w:rsid w:val="004A2B3D"/>
    <w:rsid w:val="004A6189"/>
    <w:rsid w:val="004A7390"/>
    <w:rsid w:val="004B3557"/>
    <w:rsid w:val="004B6019"/>
    <w:rsid w:val="004B7B76"/>
    <w:rsid w:val="004C239D"/>
    <w:rsid w:val="004C2A4C"/>
    <w:rsid w:val="004C2AF2"/>
    <w:rsid w:val="004C2DCA"/>
    <w:rsid w:val="004C61D2"/>
    <w:rsid w:val="004D4774"/>
    <w:rsid w:val="004F0C4A"/>
    <w:rsid w:val="004F0F38"/>
    <w:rsid w:val="004F47D6"/>
    <w:rsid w:val="00500337"/>
    <w:rsid w:val="00501921"/>
    <w:rsid w:val="00505F32"/>
    <w:rsid w:val="00507951"/>
    <w:rsid w:val="005132A2"/>
    <w:rsid w:val="00530354"/>
    <w:rsid w:val="0053625B"/>
    <w:rsid w:val="005434C6"/>
    <w:rsid w:val="00543B39"/>
    <w:rsid w:val="00546154"/>
    <w:rsid w:val="00547BCF"/>
    <w:rsid w:val="00550096"/>
    <w:rsid w:val="00553795"/>
    <w:rsid w:val="005550BE"/>
    <w:rsid w:val="00555280"/>
    <w:rsid w:val="005568C3"/>
    <w:rsid w:val="00557FF9"/>
    <w:rsid w:val="00562327"/>
    <w:rsid w:val="005711D5"/>
    <w:rsid w:val="00575BDB"/>
    <w:rsid w:val="00576378"/>
    <w:rsid w:val="00577130"/>
    <w:rsid w:val="00577945"/>
    <w:rsid w:val="00577E38"/>
    <w:rsid w:val="00585322"/>
    <w:rsid w:val="005857C6"/>
    <w:rsid w:val="00592F6E"/>
    <w:rsid w:val="00593965"/>
    <w:rsid w:val="00593AD1"/>
    <w:rsid w:val="005A6713"/>
    <w:rsid w:val="005A68B6"/>
    <w:rsid w:val="005B2AC5"/>
    <w:rsid w:val="005C5570"/>
    <w:rsid w:val="005C79A4"/>
    <w:rsid w:val="005D3309"/>
    <w:rsid w:val="005D5442"/>
    <w:rsid w:val="005D68B7"/>
    <w:rsid w:val="005E01B6"/>
    <w:rsid w:val="005E605C"/>
    <w:rsid w:val="005F0E51"/>
    <w:rsid w:val="005F5AFA"/>
    <w:rsid w:val="00602A8B"/>
    <w:rsid w:val="00603F32"/>
    <w:rsid w:val="0060485B"/>
    <w:rsid w:val="00605AD4"/>
    <w:rsid w:val="006136D7"/>
    <w:rsid w:val="00620F7A"/>
    <w:rsid w:val="00625A6E"/>
    <w:rsid w:val="00632398"/>
    <w:rsid w:val="00640FC3"/>
    <w:rsid w:val="00642020"/>
    <w:rsid w:val="0064424B"/>
    <w:rsid w:val="00647F9B"/>
    <w:rsid w:val="006516F7"/>
    <w:rsid w:val="0065337B"/>
    <w:rsid w:val="0065419D"/>
    <w:rsid w:val="006603BC"/>
    <w:rsid w:val="00660449"/>
    <w:rsid w:val="006604D8"/>
    <w:rsid w:val="00664A5B"/>
    <w:rsid w:val="0066735C"/>
    <w:rsid w:val="0067140C"/>
    <w:rsid w:val="006763D2"/>
    <w:rsid w:val="00680C08"/>
    <w:rsid w:val="00686F1E"/>
    <w:rsid w:val="006914DE"/>
    <w:rsid w:val="006916A0"/>
    <w:rsid w:val="006931B1"/>
    <w:rsid w:val="006A0AD4"/>
    <w:rsid w:val="006A15C0"/>
    <w:rsid w:val="006A58A8"/>
    <w:rsid w:val="006A5AD1"/>
    <w:rsid w:val="006B6E04"/>
    <w:rsid w:val="006C3E2A"/>
    <w:rsid w:val="006C642F"/>
    <w:rsid w:val="006C7580"/>
    <w:rsid w:val="006D03E5"/>
    <w:rsid w:val="006D5D3E"/>
    <w:rsid w:val="006E08B3"/>
    <w:rsid w:val="006E363C"/>
    <w:rsid w:val="006F17AC"/>
    <w:rsid w:val="006F25B8"/>
    <w:rsid w:val="006F572E"/>
    <w:rsid w:val="006F5A89"/>
    <w:rsid w:val="007046D6"/>
    <w:rsid w:val="00705DB0"/>
    <w:rsid w:val="00707269"/>
    <w:rsid w:val="00722B57"/>
    <w:rsid w:val="00730F8A"/>
    <w:rsid w:val="00735A8C"/>
    <w:rsid w:val="0074253D"/>
    <w:rsid w:val="0074429B"/>
    <w:rsid w:val="007534C6"/>
    <w:rsid w:val="007615BC"/>
    <w:rsid w:val="007622B5"/>
    <w:rsid w:val="00762F05"/>
    <w:rsid w:val="007652FF"/>
    <w:rsid w:val="00765B0E"/>
    <w:rsid w:val="00770CAC"/>
    <w:rsid w:val="00770EF1"/>
    <w:rsid w:val="00773EF7"/>
    <w:rsid w:val="00774E1D"/>
    <w:rsid w:val="007765D8"/>
    <w:rsid w:val="0077675A"/>
    <w:rsid w:val="00777700"/>
    <w:rsid w:val="00780355"/>
    <w:rsid w:val="007819FD"/>
    <w:rsid w:val="00781A85"/>
    <w:rsid w:val="00785717"/>
    <w:rsid w:val="00785721"/>
    <w:rsid w:val="00793A59"/>
    <w:rsid w:val="007A46F5"/>
    <w:rsid w:val="007A6350"/>
    <w:rsid w:val="007A6505"/>
    <w:rsid w:val="007B6132"/>
    <w:rsid w:val="007B6E9F"/>
    <w:rsid w:val="007C0A8F"/>
    <w:rsid w:val="007C1216"/>
    <w:rsid w:val="007C1AF7"/>
    <w:rsid w:val="007C5FFE"/>
    <w:rsid w:val="007C6B9B"/>
    <w:rsid w:val="007C7BAD"/>
    <w:rsid w:val="007E1C0D"/>
    <w:rsid w:val="00805D27"/>
    <w:rsid w:val="00806DCB"/>
    <w:rsid w:val="00811D23"/>
    <w:rsid w:val="00821776"/>
    <w:rsid w:val="00827533"/>
    <w:rsid w:val="0083041C"/>
    <w:rsid w:val="008321F5"/>
    <w:rsid w:val="00832369"/>
    <w:rsid w:val="008341F1"/>
    <w:rsid w:val="00834660"/>
    <w:rsid w:val="00836BC2"/>
    <w:rsid w:val="008444B8"/>
    <w:rsid w:val="0085156D"/>
    <w:rsid w:val="00852B28"/>
    <w:rsid w:val="00854219"/>
    <w:rsid w:val="0085641B"/>
    <w:rsid w:val="00857136"/>
    <w:rsid w:val="00870210"/>
    <w:rsid w:val="00875A6B"/>
    <w:rsid w:val="00885B11"/>
    <w:rsid w:val="00885CE7"/>
    <w:rsid w:val="00886D15"/>
    <w:rsid w:val="00887DD8"/>
    <w:rsid w:val="00891BA9"/>
    <w:rsid w:val="00893F5B"/>
    <w:rsid w:val="00896018"/>
    <w:rsid w:val="008960DD"/>
    <w:rsid w:val="0089635C"/>
    <w:rsid w:val="008A2B9D"/>
    <w:rsid w:val="008A3D9F"/>
    <w:rsid w:val="008A5E0B"/>
    <w:rsid w:val="008A6D59"/>
    <w:rsid w:val="008A77C0"/>
    <w:rsid w:val="008B4B03"/>
    <w:rsid w:val="008B596F"/>
    <w:rsid w:val="008C159F"/>
    <w:rsid w:val="008C1623"/>
    <w:rsid w:val="008C1850"/>
    <w:rsid w:val="008C20F4"/>
    <w:rsid w:val="008C2B63"/>
    <w:rsid w:val="008C3303"/>
    <w:rsid w:val="008C51A9"/>
    <w:rsid w:val="008C5D0D"/>
    <w:rsid w:val="008E1E43"/>
    <w:rsid w:val="008E61F9"/>
    <w:rsid w:val="008E73A1"/>
    <w:rsid w:val="008E7846"/>
    <w:rsid w:val="008F02E5"/>
    <w:rsid w:val="008F1CCC"/>
    <w:rsid w:val="008F2967"/>
    <w:rsid w:val="008F46E5"/>
    <w:rsid w:val="008F5D3F"/>
    <w:rsid w:val="008F6943"/>
    <w:rsid w:val="00900CAB"/>
    <w:rsid w:val="00901248"/>
    <w:rsid w:val="00902A21"/>
    <w:rsid w:val="0091523F"/>
    <w:rsid w:val="00920330"/>
    <w:rsid w:val="009207D9"/>
    <w:rsid w:val="009219D7"/>
    <w:rsid w:val="009221F5"/>
    <w:rsid w:val="00922D53"/>
    <w:rsid w:val="00923B70"/>
    <w:rsid w:val="00924482"/>
    <w:rsid w:val="00927CB2"/>
    <w:rsid w:val="00930237"/>
    <w:rsid w:val="009302BC"/>
    <w:rsid w:val="00936CCD"/>
    <w:rsid w:val="00937C17"/>
    <w:rsid w:val="00940A89"/>
    <w:rsid w:val="00941F0E"/>
    <w:rsid w:val="00941F77"/>
    <w:rsid w:val="00943D76"/>
    <w:rsid w:val="00946EA5"/>
    <w:rsid w:val="0094739F"/>
    <w:rsid w:val="00963887"/>
    <w:rsid w:val="00963C08"/>
    <w:rsid w:val="009752A5"/>
    <w:rsid w:val="0097682D"/>
    <w:rsid w:val="0098585A"/>
    <w:rsid w:val="0099637B"/>
    <w:rsid w:val="009A43B9"/>
    <w:rsid w:val="009A4CED"/>
    <w:rsid w:val="009A690D"/>
    <w:rsid w:val="009B1D12"/>
    <w:rsid w:val="009B416B"/>
    <w:rsid w:val="009B7D36"/>
    <w:rsid w:val="009C3945"/>
    <w:rsid w:val="009C4BD5"/>
    <w:rsid w:val="009D105A"/>
    <w:rsid w:val="009D24AD"/>
    <w:rsid w:val="009D6F5C"/>
    <w:rsid w:val="009D7B77"/>
    <w:rsid w:val="009E0BB0"/>
    <w:rsid w:val="009E3FBB"/>
    <w:rsid w:val="009E4134"/>
    <w:rsid w:val="009F25CD"/>
    <w:rsid w:val="009F3F12"/>
    <w:rsid w:val="009F7353"/>
    <w:rsid w:val="00A01EAF"/>
    <w:rsid w:val="00A04F85"/>
    <w:rsid w:val="00A05783"/>
    <w:rsid w:val="00A05FA4"/>
    <w:rsid w:val="00A102E4"/>
    <w:rsid w:val="00A12C42"/>
    <w:rsid w:val="00A14DF7"/>
    <w:rsid w:val="00A21008"/>
    <w:rsid w:val="00A22D57"/>
    <w:rsid w:val="00A26688"/>
    <w:rsid w:val="00A3143F"/>
    <w:rsid w:val="00A3246D"/>
    <w:rsid w:val="00A36FA7"/>
    <w:rsid w:val="00A37E5F"/>
    <w:rsid w:val="00A44DDB"/>
    <w:rsid w:val="00A475B7"/>
    <w:rsid w:val="00A47AF7"/>
    <w:rsid w:val="00A47C3E"/>
    <w:rsid w:val="00A50226"/>
    <w:rsid w:val="00A508A5"/>
    <w:rsid w:val="00A51F27"/>
    <w:rsid w:val="00A60BAD"/>
    <w:rsid w:val="00A62D19"/>
    <w:rsid w:val="00A77F87"/>
    <w:rsid w:val="00A80B5B"/>
    <w:rsid w:val="00A81526"/>
    <w:rsid w:val="00A84E36"/>
    <w:rsid w:val="00A920F8"/>
    <w:rsid w:val="00A940B9"/>
    <w:rsid w:val="00A94884"/>
    <w:rsid w:val="00A964D1"/>
    <w:rsid w:val="00A965D3"/>
    <w:rsid w:val="00AA0ED0"/>
    <w:rsid w:val="00AC2B40"/>
    <w:rsid w:val="00AC2BB2"/>
    <w:rsid w:val="00AC2C3C"/>
    <w:rsid w:val="00AC42DF"/>
    <w:rsid w:val="00AC512D"/>
    <w:rsid w:val="00AD0083"/>
    <w:rsid w:val="00AD3935"/>
    <w:rsid w:val="00AD5E80"/>
    <w:rsid w:val="00AD7138"/>
    <w:rsid w:val="00AD7756"/>
    <w:rsid w:val="00AE65EB"/>
    <w:rsid w:val="00AE67A7"/>
    <w:rsid w:val="00AF17DB"/>
    <w:rsid w:val="00AF1D94"/>
    <w:rsid w:val="00AF2C4F"/>
    <w:rsid w:val="00AF60C5"/>
    <w:rsid w:val="00B009C6"/>
    <w:rsid w:val="00B01548"/>
    <w:rsid w:val="00B05D65"/>
    <w:rsid w:val="00B13EBD"/>
    <w:rsid w:val="00B21D29"/>
    <w:rsid w:val="00B228BA"/>
    <w:rsid w:val="00B25034"/>
    <w:rsid w:val="00B33588"/>
    <w:rsid w:val="00B33863"/>
    <w:rsid w:val="00B37D17"/>
    <w:rsid w:val="00B4175E"/>
    <w:rsid w:val="00B41C85"/>
    <w:rsid w:val="00B452CE"/>
    <w:rsid w:val="00B54C25"/>
    <w:rsid w:val="00B753B7"/>
    <w:rsid w:val="00B76B91"/>
    <w:rsid w:val="00B77EB1"/>
    <w:rsid w:val="00B811C6"/>
    <w:rsid w:val="00B855B0"/>
    <w:rsid w:val="00B877D5"/>
    <w:rsid w:val="00B903AD"/>
    <w:rsid w:val="00B9071E"/>
    <w:rsid w:val="00B92E08"/>
    <w:rsid w:val="00B9336F"/>
    <w:rsid w:val="00BA5504"/>
    <w:rsid w:val="00BC622A"/>
    <w:rsid w:val="00BD45C5"/>
    <w:rsid w:val="00BD6B4B"/>
    <w:rsid w:val="00BE0A78"/>
    <w:rsid w:val="00BE1A7E"/>
    <w:rsid w:val="00BE3AD4"/>
    <w:rsid w:val="00BE79F0"/>
    <w:rsid w:val="00BF046D"/>
    <w:rsid w:val="00BF0ED3"/>
    <w:rsid w:val="00BF1190"/>
    <w:rsid w:val="00BF3774"/>
    <w:rsid w:val="00BF59CE"/>
    <w:rsid w:val="00BF5D04"/>
    <w:rsid w:val="00C009AA"/>
    <w:rsid w:val="00C05DDC"/>
    <w:rsid w:val="00C1164D"/>
    <w:rsid w:val="00C16861"/>
    <w:rsid w:val="00C27830"/>
    <w:rsid w:val="00C346AB"/>
    <w:rsid w:val="00C404A6"/>
    <w:rsid w:val="00C40A36"/>
    <w:rsid w:val="00C44419"/>
    <w:rsid w:val="00C44665"/>
    <w:rsid w:val="00C45E7B"/>
    <w:rsid w:val="00C471B1"/>
    <w:rsid w:val="00C52E24"/>
    <w:rsid w:val="00C6316B"/>
    <w:rsid w:val="00C634A9"/>
    <w:rsid w:val="00C64586"/>
    <w:rsid w:val="00C66C85"/>
    <w:rsid w:val="00C70D53"/>
    <w:rsid w:val="00C73D0B"/>
    <w:rsid w:val="00C7661D"/>
    <w:rsid w:val="00C772FF"/>
    <w:rsid w:val="00C80137"/>
    <w:rsid w:val="00C801AF"/>
    <w:rsid w:val="00C80256"/>
    <w:rsid w:val="00C80D9E"/>
    <w:rsid w:val="00C94CD4"/>
    <w:rsid w:val="00C96D43"/>
    <w:rsid w:val="00C9747E"/>
    <w:rsid w:val="00CA3BF3"/>
    <w:rsid w:val="00CB6BC0"/>
    <w:rsid w:val="00CC1B7C"/>
    <w:rsid w:val="00CC727F"/>
    <w:rsid w:val="00CD1B9A"/>
    <w:rsid w:val="00CD31EB"/>
    <w:rsid w:val="00CF15C3"/>
    <w:rsid w:val="00CF2B6F"/>
    <w:rsid w:val="00CF2F3E"/>
    <w:rsid w:val="00CF3650"/>
    <w:rsid w:val="00CF5468"/>
    <w:rsid w:val="00CF58B6"/>
    <w:rsid w:val="00D0062D"/>
    <w:rsid w:val="00D00F27"/>
    <w:rsid w:val="00D017ED"/>
    <w:rsid w:val="00D040D3"/>
    <w:rsid w:val="00D04C65"/>
    <w:rsid w:val="00D05BBC"/>
    <w:rsid w:val="00D153D8"/>
    <w:rsid w:val="00D201D2"/>
    <w:rsid w:val="00D224FE"/>
    <w:rsid w:val="00D23139"/>
    <w:rsid w:val="00D425BB"/>
    <w:rsid w:val="00D453FA"/>
    <w:rsid w:val="00D62CF9"/>
    <w:rsid w:val="00D6493E"/>
    <w:rsid w:val="00D7195D"/>
    <w:rsid w:val="00D72F18"/>
    <w:rsid w:val="00D7301E"/>
    <w:rsid w:val="00D83AE1"/>
    <w:rsid w:val="00D855D4"/>
    <w:rsid w:val="00D902C9"/>
    <w:rsid w:val="00D9061D"/>
    <w:rsid w:val="00D93466"/>
    <w:rsid w:val="00D94E33"/>
    <w:rsid w:val="00DA1124"/>
    <w:rsid w:val="00DA3A91"/>
    <w:rsid w:val="00DA472D"/>
    <w:rsid w:val="00DA4D9C"/>
    <w:rsid w:val="00DB06B8"/>
    <w:rsid w:val="00DB5D4C"/>
    <w:rsid w:val="00DB6124"/>
    <w:rsid w:val="00DB750B"/>
    <w:rsid w:val="00DB75B7"/>
    <w:rsid w:val="00DC0A2F"/>
    <w:rsid w:val="00DC6E02"/>
    <w:rsid w:val="00DD019D"/>
    <w:rsid w:val="00DD28CD"/>
    <w:rsid w:val="00DD5884"/>
    <w:rsid w:val="00DE02AE"/>
    <w:rsid w:val="00DE39D1"/>
    <w:rsid w:val="00DF1D7F"/>
    <w:rsid w:val="00DF4BE4"/>
    <w:rsid w:val="00E02382"/>
    <w:rsid w:val="00E02FB4"/>
    <w:rsid w:val="00E02FBB"/>
    <w:rsid w:val="00E13FC7"/>
    <w:rsid w:val="00E15D0E"/>
    <w:rsid w:val="00E20571"/>
    <w:rsid w:val="00E235F7"/>
    <w:rsid w:val="00E23659"/>
    <w:rsid w:val="00E239D4"/>
    <w:rsid w:val="00E26130"/>
    <w:rsid w:val="00E40B22"/>
    <w:rsid w:val="00E418B7"/>
    <w:rsid w:val="00E44ED1"/>
    <w:rsid w:val="00E45619"/>
    <w:rsid w:val="00E4588F"/>
    <w:rsid w:val="00E46DA3"/>
    <w:rsid w:val="00E51BB1"/>
    <w:rsid w:val="00E55CB0"/>
    <w:rsid w:val="00E624A5"/>
    <w:rsid w:val="00E633E5"/>
    <w:rsid w:val="00E64BA4"/>
    <w:rsid w:val="00E65195"/>
    <w:rsid w:val="00E7054F"/>
    <w:rsid w:val="00E7344E"/>
    <w:rsid w:val="00E82665"/>
    <w:rsid w:val="00E919C8"/>
    <w:rsid w:val="00E949FC"/>
    <w:rsid w:val="00E95B3A"/>
    <w:rsid w:val="00EA67D3"/>
    <w:rsid w:val="00EB0798"/>
    <w:rsid w:val="00EB40AD"/>
    <w:rsid w:val="00EB586E"/>
    <w:rsid w:val="00EB5FC8"/>
    <w:rsid w:val="00EC2A6C"/>
    <w:rsid w:val="00EC463D"/>
    <w:rsid w:val="00EC7A85"/>
    <w:rsid w:val="00ED0409"/>
    <w:rsid w:val="00ED2922"/>
    <w:rsid w:val="00ED3CAD"/>
    <w:rsid w:val="00ED5A41"/>
    <w:rsid w:val="00EE1DE8"/>
    <w:rsid w:val="00EE1E18"/>
    <w:rsid w:val="00EE27C2"/>
    <w:rsid w:val="00EE74B0"/>
    <w:rsid w:val="00EF21B8"/>
    <w:rsid w:val="00EF4BAD"/>
    <w:rsid w:val="00EF59DC"/>
    <w:rsid w:val="00F033EC"/>
    <w:rsid w:val="00F04F68"/>
    <w:rsid w:val="00F059E0"/>
    <w:rsid w:val="00F12670"/>
    <w:rsid w:val="00F14B27"/>
    <w:rsid w:val="00F16957"/>
    <w:rsid w:val="00F20BE9"/>
    <w:rsid w:val="00F30D88"/>
    <w:rsid w:val="00F3148D"/>
    <w:rsid w:val="00F325C5"/>
    <w:rsid w:val="00F32FE0"/>
    <w:rsid w:val="00F35298"/>
    <w:rsid w:val="00F41C1C"/>
    <w:rsid w:val="00F45C32"/>
    <w:rsid w:val="00F47333"/>
    <w:rsid w:val="00F47E37"/>
    <w:rsid w:val="00F53C07"/>
    <w:rsid w:val="00F54B65"/>
    <w:rsid w:val="00F640B6"/>
    <w:rsid w:val="00F66123"/>
    <w:rsid w:val="00F6637D"/>
    <w:rsid w:val="00F66DF2"/>
    <w:rsid w:val="00F7517C"/>
    <w:rsid w:val="00F80E40"/>
    <w:rsid w:val="00F82EE5"/>
    <w:rsid w:val="00F848D9"/>
    <w:rsid w:val="00F92FE0"/>
    <w:rsid w:val="00FA5069"/>
    <w:rsid w:val="00FA5B82"/>
    <w:rsid w:val="00FA639E"/>
    <w:rsid w:val="00FB254C"/>
    <w:rsid w:val="00FB5F0C"/>
    <w:rsid w:val="00FC1FCA"/>
    <w:rsid w:val="00FC25E4"/>
    <w:rsid w:val="00FC4EF7"/>
    <w:rsid w:val="00FD0824"/>
    <w:rsid w:val="00FD119B"/>
    <w:rsid w:val="00FD1EDC"/>
    <w:rsid w:val="00FE1DEE"/>
    <w:rsid w:val="00FF2126"/>
    <w:rsid w:val="00FF5450"/>
    <w:rsid w:val="00FF5755"/>
    <w:rsid w:val="00FF584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2A2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2179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D5E8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D5E80"/>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4B3557"/>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4B3557"/>
    <w:pPr>
      <w:spacing w:after="0"/>
    </w:pPr>
    <w:rPr>
      <w:sz w:val="16"/>
      <w:szCs w:val="16"/>
    </w:rPr>
  </w:style>
  <w:style w:type="character" w:customStyle="1" w:styleId="StandardChar">
    <w:name w:val="Standard Char"/>
    <w:basedOn w:val="DefaultParagraphFont"/>
    <w:link w:val="Standard"/>
    <w:rsid w:val="004B3557"/>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4B3557"/>
    <w:pPr>
      <w:keepNext/>
      <w:spacing w:after="110"/>
      <w:outlineLvl w:val="2"/>
    </w:pPr>
    <w:rPr>
      <w:b/>
      <w:i/>
    </w:rPr>
  </w:style>
  <w:style w:type="character" w:customStyle="1" w:styleId="WhiteSpaceChar">
    <w:name w:val="White Space Char"/>
    <w:basedOn w:val="DefaultParagraphFont"/>
    <w:link w:val="WhiteSpace"/>
    <w:rsid w:val="004B3557"/>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4B3557"/>
    <w:pPr>
      <w:outlineLvl w:val="3"/>
    </w:pPr>
    <w:rPr>
      <w:b w:val="0"/>
    </w:rPr>
  </w:style>
  <w:style w:type="paragraph" w:styleId="BodyText">
    <w:name w:val="Body Text"/>
    <w:basedOn w:val="Normal"/>
    <w:link w:val="BodyTextChar"/>
    <w:uiPriority w:val="1"/>
    <w:qFormat/>
    <w:rsid w:val="00086444"/>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086444"/>
    <w:rPr>
      <w:rFonts w:ascii="Cambria" w:eastAsia="Cambria" w:hAnsi="Cambria" w:cs="Cambria"/>
      <w:lang w:eastAsia="en-AU" w:bidi="en-AU"/>
    </w:rPr>
  </w:style>
  <w:style w:type="paragraph" w:styleId="ListParagraph">
    <w:name w:val="List Paragraph"/>
    <w:basedOn w:val="Normal"/>
    <w:uiPriority w:val="34"/>
    <w:qFormat/>
    <w:rsid w:val="00086444"/>
    <w:pPr>
      <w:widowControl w:val="0"/>
      <w:autoSpaceDE w:val="0"/>
      <w:autoSpaceDN w:val="0"/>
      <w:spacing w:after="0" w:line="240" w:lineRule="auto"/>
      <w:ind w:left="1099" w:hanging="660"/>
    </w:pPr>
    <w:rPr>
      <w:rFonts w:cs="Cambria"/>
      <w:lang w:eastAsia="en-AU" w:bidi="en-AU"/>
    </w:rPr>
  </w:style>
  <w:style w:type="paragraph" w:customStyle="1" w:styleId="TableParagraph">
    <w:name w:val="Table Paragraph"/>
    <w:basedOn w:val="Normal"/>
    <w:uiPriority w:val="1"/>
    <w:qFormat/>
    <w:rsid w:val="006A0AD4"/>
    <w:pPr>
      <w:widowControl w:val="0"/>
      <w:autoSpaceDE w:val="0"/>
      <w:autoSpaceDN w:val="0"/>
      <w:spacing w:before="0" w:after="0" w:line="238" w:lineRule="exact"/>
      <w:ind w:left="277"/>
    </w:pPr>
    <w:rPr>
      <w:rFonts w:cs="Cambria"/>
      <w:lang w:eastAsia="en-AU" w:bidi="en-AU"/>
    </w:rPr>
  </w:style>
  <w:style w:type="character" w:customStyle="1" w:styleId="TabletextChar">
    <w:name w:val="Table text Char"/>
    <w:basedOn w:val="DefaultParagraphFont"/>
    <w:link w:val="Tabletext"/>
    <w:rsid w:val="00477529"/>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7521">
      <w:bodyDiv w:val="1"/>
      <w:marLeft w:val="0"/>
      <w:marRight w:val="0"/>
      <w:marTop w:val="0"/>
      <w:marBottom w:val="0"/>
      <w:divBdr>
        <w:top w:val="none" w:sz="0" w:space="0" w:color="auto"/>
        <w:left w:val="none" w:sz="0" w:space="0" w:color="auto"/>
        <w:bottom w:val="none" w:sz="0" w:space="0" w:color="auto"/>
        <w:right w:val="none" w:sz="0" w:space="0" w:color="auto"/>
      </w:divBdr>
    </w:div>
    <w:div w:id="58600743">
      <w:bodyDiv w:val="1"/>
      <w:marLeft w:val="0"/>
      <w:marRight w:val="0"/>
      <w:marTop w:val="0"/>
      <w:marBottom w:val="0"/>
      <w:divBdr>
        <w:top w:val="none" w:sz="0" w:space="0" w:color="auto"/>
        <w:left w:val="none" w:sz="0" w:space="0" w:color="auto"/>
        <w:bottom w:val="none" w:sz="0" w:space="0" w:color="auto"/>
        <w:right w:val="none" w:sz="0" w:space="0" w:color="auto"/>
      </w:divBdr>
    </w:div>
    <w:div w:id="96022925">
      <w:bodyDiv w:val="1"/>
      <w:marLeft w:val="0"/>
      <w:marRight w:val="0"/>
      <w:marTop w:val="0"/>
      <w:marBottom w:val="0"/>
      <w:divBdr>
        <w:top w:val="none" w:sz="0" w:space="0" w:color="auto"/>
        <w:left w:val="none" w:sz="0" w:space="0" w:color="auto"/>
        <w:bottom w:val="none" w:sz="0" w:space="0" w:color="auto"/>
        <w:right w:val="none" w:sz="0" w:space="0" w:color="auto"/>
      </w:divBdr>
    </w:div>
    <w:div w:id="201600221">
      <w:bodyDiv w:val="1"/>
      <w:marLeft w:val="0"/>
      <w:marRight w:val="0"/>
      <w:marTop w:val="0"/>
      <w:marBottom w:val="0"/>
      <w:divBdr>
        <w:top w:val="none" w:sz="0" w:space="0" w:color="auto"/>
        <w:left w:val="none" w:sz="0" w:space="0" w:color="auto"/>
        <w:bottom w:val="none" w:sz="0" w:space="0" w:color="auto"/>
        <w:right w:val="none" w:sz="0" w:space="0" w:color="auto"/>
      </w:divBdr>
    </w:div>
    <w:div w:id="218979918">
      <w:bodyDiv w:val="1"/>
      <w:marLeft w:val="0"/>
      <w:marRight w:val="0"/>
      <w:marTop w:val="0"/>
      <w:marBottom w:val="0"/>
      <w:divBdr>
        <w:top w:val="none" w:sz="0" w:space="0" w:color="auto"/>
        <w:left w:val="none" w:sz="0" w:space="0" w:color="auto"/>
        <w:bottom w:val="none" w:sz="0" w:space="0" w:color="auto"/>
        <w:right w:val="none" w:sz="0" w:space="0" w:color="auto"/>
      </w:divBdr>
    </w:div>
    <w:div w:id="254242502">
      <w:bodyDiv w:val="1"/>
      <w:marLeft w:val="0"/>
      <w:marRight w:val="0"/>
      <w:marTop w:val="0"/>
      <w:marBottom w:val="0"/>
      <w:divBdr>
        <w:top w:val="none" w:sz="0" w:space="0" w:color="auto"/>
        <w:left w:val="none" w:sz="0" w:space="0" w:color="auto"/>
        <w:bottom w:val="none" w:sz="0" w:space="0" w:color="auto"/>
        <w:right w:val="none" w:sz="0" w:space="0" w:color="auto"/>
      </w:divBdr>
    </w:div>
    <w:div w:id="263927042">
      <w:bodyDiv w:val="1"/>
      <w:marLeft w:val="0"/>
      <w:marRight w:val="0"/>
      <w:marTop w:val="0"/>
      <w:marBottom w:val="0"/>
      <w:divBdr>
        <w:top w:val="none" w:sz="0" w:space="0" w:color="auto"/>
        <w:left w:val="none" w:sz="0" w:space="0" w:color="auto"/>
        <w:bottom w:val="none" w:sz="0" w:space="0" w:color="auto"/>
        <w:right w:val="none" w:sz="0" w:space="0" w:color="auto"/>
      </w:divBdr>
    </w:div>
    <w:div w:id="288902625">
      <w:bodyDiv w:val="1"/>
      <w:marLeft w:val="0"/>
      <w:marRight w:val="0"/>
      <w:marTop w:val="0"/>
      <w:marBottom w:val="0"/>
      <w:divBdr>
        <w:top w:val="none" w:sz="0" w:space="0" w:color="auto"/>
        <w:left w:val="none" w:sz="0" w:space="0" w:color="auto"/>
        <w:bottom w:val="none" w:sz="0" w:space="0" w:color="auto"/>
        <w:right w:val="none" w:sz="0" w:space="0" w:color="auto"/>
      </w:divBdr>
    </w:div>
    <w:div w:id="294337754">
      <w:bodyDiv w:val="1"/>
      <w:marLeft w:val="0"/>
      <w:marRight w:val="0"/>
      <w:marTop w:val="0"/>
      <w:marBottom w:val="0"/>
      <w:divBdr>
        <w:top w:val="none" w:sz="0" w:space="0" w:color="auto"/>
        <w:left w:val="none" w:sz="0" w:space="0" w:color="auto"/>
        <w:bottom w:val="none" w:sz="0" w:space="0" w:color="auto"/>
        <w:right w:val="none" w:sz="0" w:space="0" w:color="auto"/>
      </w:divBdr>
    </w:div>
    <w:div w:id="310982922">
      <w:bodyDiv w:val="1"/>
      <w:marLeft w:val="0"/>
      <w:marRight w:val="0"/>
      <w:marTop w:val="0"/>
      <w:marBottom w:val="0"/>
      <w:divBdr>
        <w:top w:val="none" w:sz="0" w:space="0" w:color="auto"/>
        <w:left w:val="none" w:sz="0" w:space="0" w:color="auto"/>
        <w:bottom w:val="none" w:sz="0" w:space="0" w:color="auto"/>
        <w:right w:val="none" w:sz="0" w:space="0" w:color="auto"/>
      </w:divBdr>
    </w:div>
    <w:div w:id="311301828">
      <w:bodyDiv w:val="1"/>
      <w:marLeft w:val="0"/>
      <w:marRight w:val="0"/>
      <w:marTop w:val="0"/>
      <w:marBottom w:val="0"/>
      <w:divBdr>
        <w:top w:val="none" w:sz="0" w:space="0" w:color="auto"/>
        <w:left w:val="none" w:sz="0" w:space="0" w:color="auto"/>
        <w:bottom w:val="none" w:sz="0" w:space="0" w:color="auto"/>
        <w:right w:val="none" w:sz="0" w:space="0" w:color="auto"/>
      </w:divBdr>
    </w:div>
    <w:div w:id="314408730">
      <w:bodyDiv w:val="1"/>
      <w:marLeft w:val="0"/>
      <w:marRight w:val="0"/>
      <w:marTop w:val="0"/>
      <w:marBottom w:val="0"/>
      <w:divBdr>
        <w:top w:val="none" w:sz="0" w:space="0" w:color="auto"/>
        <w:left w:val="none" w:sz="0" w:space="0" w:color="auto"/>
        <w:bottom w:val="none" w:sz="0" w:space="0" w:color="auto"/>
        <w:right w:val="none" w:sz="0" w:space="0" w:color="auto"/>
      </w:divBdr>
    </w:div>
    <w:div w:id="437798597">
      <w:bodyDiv w:val="1"/>
      <w:marLeft w:val="0"/>
      <w:marRight w:val="0"/>
      <w:marTop w:val="0"/>
      <w:marBottom w:val="0"/>
      <w:divBdr>
        <w:top w:val="none" w:sz="0" w:space="0" w:color="auto"/>
        <w:left w:val="none" w:sz="0" w:space="0" w:color="auto"/>
        <w:bottom w:val="none" w:sz="0" w:space="0" w:color="auto"/>
        <w:right w:val="none" w:sz="0" w:space="0" w:color="auto"/>
      </w:divBdr>
    </w:div>
    <w:div w:id="500392386">
      <w:bodyDiv w:val="1"/>
      <w:marLeft w:val="0"/>
      <w:marRight w:val="0"/>
      <w:marTop w:val="0"/>
      <w:marBottom w:val="0"/>
      <w:divBdr>
        <w:top w:val="none" w:sz="0" w:space="0" w:color="auto"/>
        <w:left w:val="none" w:sz="0" w:space="0" w:color="auto"/>
        <w:bottom w:val="none" w:sz="0" w:space="0" w:color="auto"/>
        <w:right w:val="none" w:sz="0" w:space="0" w:color="auto"/>
      </w:divBdr>
    </w:div>
    <w:div w:id="519054575">
      <w:bodyDiv w:val="1"/>
      <w:marLeft w:val="0"/>
      <w:marRight w:val="0"/>
      <w:marTop w:val="0"/>
      <w:marBottom w:val="0"/>
      <w:divBdr>
        <w:top w:val="none" w:sz="0" w:space="0" w:color="auto"/>
        <w:left w:val="none" w:sz="0" w:space="0" w:color="auto"/>
        <w:bottom w:val="none" w:sz="0" w:space="0" w:color="auto"/>
        <w:right w:val="none" w:sz="0" w:space="0" w:color="auto"/>
      </w:divBdr>
    </w:div>
    <w:div w:id="534543048">
      <w:bodyDiv w:val="1"/>
      <w:marLeft w:val="0"/>
      <w:marRight w:val="0"/>
      <w:marTop w:val="0"/>
      <w:marBottom w:val="0"/>
      <w:divBdr>
        <w:top w:val="none" w:sz="0" w:space="0" w:color="auto"/>
        <w:left w:val="none" w:sz="0" w:space="0" w:color="auto"/>
        <w:bottom w:val="none" w:sz="0" w:space="0" w:color="auto"/>
        <w:right w:val="none" w:sz="0" w:space="0" w:color="auto"/>
      </w:divBdr>
    </w:div>
    <w:div w:id="535703574">
      <w:bodyDiv w:val="1"/>
      <w:marLeft w:val="0"/>
      <w:marRight w:val="0"/>
      <w:marTop w:val="0"/>
      <w:marBottom w:val="0"/>
      <w:divBdr>
        <w:top w:val="none" w:sz="0" w:space="0" w:color="auto"/>
        <w:left w:val="none" w:sz="0" w:space="0" w:color="auto"/>
        <w:bottom w:val="none" w:sz="0" w:space="0" w:color="auto"/>
        <w:right w:val="none" w:sz="0" w:space="0" w:color="auto"/>
      </w:divBdr>
    </w:div>
    <w:div w:id="551162014">
      <w:bodyDiv w:val="1"/>
      <w:marLeft w:val="0"/>
      <w:marRight w:val="0"/>
      <w:marTop w:val="0"/>
      <w:marBottom w:val="0"/>
      <w:divBdr>
        <w:top w:val="none" w:sz="0" w:space="0" w:color="auto"/>
        <w:left w:val="none" w:sz="0" w:space="0" w:color="auto"/>
        <w:bottom w:val="none" w:sz="0" w:space="0" w:color="auto"/>
        <w:right w:val="none" w:sz="0" w:space="0" w:color="auto"/>
      </w:divBdr>
    </w:div>
    <w:div w:id="552277479">
      <w:bodyDiv w:val="1"/>
      <w:marLeft w:val="0"/>
      <w:marRight w:val="0"/>
      <w:marTop w:val="0"/>
      <w:marBottom w:val="0"/>
      <w:divBdr>
        <w:top w:val="none" w:sz="0" w:space="0" w:color="auto"/>
        <w:left w:val="none" w:sz="0" w:space="0" w:color="auto"/>
        <w:bottom w:val="none" w:sz="0" w:space="0" w:color="auto"/>
        <w:right w:val="none" w:sz="0" w:space="0" w:color="auto"/>
      </w:divBdr>
    </w:div>
    <w:div w:id="594746622">
      <w:bodyDiv w:val="1"/>
      <w:marLeft w:val="0"/>
      <w:marRight w:val="0"/>
      <w:marTop w:val="0"/>
      <w:marBottom w:val="0"/>
      <w:divBdr>
        <w:top w:val="none" w:sz="0" w:space="0" w:color="auto"/>
        <w:left w:val="none" w:sz="0" w:space="0" w:color="auto"/>
        <w:bottom w:val="none" w:sz="0" w:space="0" w:color="auto"/>
        <w:right w:val="none" w:sz="0" w:space="0" w:color="auto"/>
      </w:divBdr>
    </w:div>
    <w:div w:id="602566834">
      <w:bodyDiv w:val="1"/>
      <w:marLeft w:val="0"/>
      <w:marRight w:val="0"/>
      <w:marTop w:val="0"/>
      <w:marBottom w:val="0"/>
      <w:divBdr>
        <w:top w:val="none" w:sz="0" w:space="0" w:color="auto"/>
        <w:left w:val="none" w:sz="0" w:space="0" w:color="auto"/>
        <w:bottom w:val="none" w:sz="0" w:space="0" w:color="auto"/>
        <w:right w:val="none" w:sz="0" w:space="0" w:color="auto"/>
      </w:divBdr>
    </w:div>
    <w:div w:id="626590244">
      <w:bodyDiv w:val="1"/>
      <w:marLeft w:val="0"/>
      <w:marRight w:val="0"/>
      <w:marTop w:val="0"/>
      <w:marBottom w:val="0"/>
      <w:divBdr>
        <w:top w:val="none" w:sz="0" w:space="0" w:color="auto"/>
        <w:left w:val="none" w:sz="0" w:space="0" w:color="auto"/>
        <w:bottom w:val="none" w:sz="0" w:space="0" w:color="auto"/>
        <w:right w:val="none" w:sz="0" w:space="0" w:color="auto"/>
      </w:divBdr>
    </w:div>
    <w:div w:id="642656216">
      <w:bodyDiv w:val="1"/>
      <w:marLeft w:val="0"/>
      <w:marRight w:val="0"/>
      <w:marTop w:val="0"/>
      <w:marBottom w:val="0"/>
      <w:divBdr>
        <w:top w:val="none" w:sz="0" w:space="0" w:color="auto"/>
        <w:left w:val="none" w:sz="0" w:space="0" w:color="auto"/>
        <w:bottom w:val="none" w:sz="0" w:space="0" w:color="auto"/>
        <w:right w:val="none" w:sz="0" w:space="0" w:color="auto"/>
      </w:divBdr>
    </w:div>
    <w:div w:id="734549434">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
    <w:div w:id="749429794">
      <w:bodyDiv w:val="1"/>
      <w:marLeft w:val="0"/>
      <w:marRight w:val="0"/>
      <w:marTop w:val="0"/>
      <w:marBottom w:val="0"/>
      <w:divBdr>
        <w:top w:val="none" w:sz="0" w:space="0" w:color="auto"/>
        <w:left w:val="none" w:sz="0" w:space="0" w:color="auto"/>
        <w:bottom w:val="none" w:sz="0" w:space="0" w:color="auto"/>
        <w:right w:val="none" w:sz="0" w:space="0" w:color="auto"/>
      </w:divBdr>
    </w:div>
    <w:div w:id="763888157">
      <w:bodyDiv w:val="1"/>
      <w:marLeft w:val="0"/>
      <w:marRight w:val="0"/>
      <w:marTop w:val="0"/>
      <w:marBottom w:val="0"/>
      <w:divBdr>
        <w:top w:val="none" w:sz="0" w:space="0" w:color="auto"/>
        <w:left w:val="none" w:sz="0" w:space="0" w:color="auto"/>
        <w:bottom w:val="none" w:sz="0" w:space="0" w:color="auto"/>
        <w:right w:val="none" w:sz="0" w:space="0" w:color="auto"/>
      </w:divBdr>
    </w:div>
    <w:div w:id="765808345">
      <w:bodyDiv w:val="1"/>
      <w:marLeft w:val="0"/>
      <w:marRight w:val="0"/>
      <w:marTop w:val="0"/>
      <w:marBottom w:val="0"/>
      <w:divBdr>
        <w:top w:val="none" w:sz="0" w:space="0" w:color="auto"/>
        <w:left w:val="none" w:sz="0" w:space="0" w:color="auto"/>
        <w:bottom w:val="none" w:sz="0" w:space="0" w:color="auto"/>
        <w:right w:val="none" w:sz="0" w:space="0" w:color="auto"/>
      </w:divBdr>
    </w:div>
    <w:div w:id="778916427">
      <w:bodyDiv w:val="1"/>
      <w:marLeft w:val="0"/>
      <w:marRight w:val="0"/>
      <w:marTop w:val="0"/>
      <w:marBottom w:val="0"/>
      <w:divBdr>
        <w:top w:val="none" w:sz="0" w:space="0" w:color="auto"/>
        <w:left w:val="none" w:sz="0" w:space="0" w:color="auto"/>
        <w:bottom w:val="none" w:sz="0" w:space="0" w:color="auto"/>
        <w:right w:val="none" w:sz="0" w:space="0" w:color="auto"/>
      </w:divBdr>
    </w:div>
    <w:div w:id="836263773">
      <w:bodyDiv w:val="1"/>
      <w:marLeft w:val="0"/>
      <w:marRight w:val="0"/>
      <w:marTop w:val="0"/>
      <w:marBottom w:val="0"/>
      <w:divBdr>
        <w:top w:val="none" w:sz="0" w:space="0" w:color="auto"/>
        <w:left w:val="none" w:sz="0" w:space="0" w:color="auto"/>
        <w:bottom w:val="none" w:sz="0" w:space="0" w:color="auto"/>
        <w:right w:val="none" w:sz="0" w:space="0" w:color="auto"/>
      </w:divBdr>
    </w:div>
    <w:div w:id="840312584">
      <w:bodyDiv w:val="1"/>
      <w:marLeft w:val="0"/>
      <w:marRight w:val="0"/>
      <w:marTop w:val="0"/>
      <w:marBottom w:val="0"/>
      <w:divBdr>
        <w:top w:val="none" w:sz="0" w:space="0" w:color="auto"/>
        <w:left w:val="none" w:sz="0" w:space="0" w:color="auto"/>
        <w:bottom w:val="none" w:sz="0" w:space="0" w:color="auto"/>
        <w:right w:val="none" w:sz="0" w:space="0" w:color="auto"/>
      </w:divBdr>
    </w:div>
    <w:div w:id="871919545">
      <w:bodyDiv w:val="1"/>
      <w:marLeft w:val="0"/>
      <w:marRight w:val="0"/>
      <w:marTop w:val="0"/>
      <w:marBottom w:val="0"/>
      <w:divBdr>
        <w:top w:val="none" w:sz="0" w:space="0" w:color="auto"/>
        <w:left w:val="none" w:sz="0" w:space="0" w:color="auto"/>
        <w:bottom w:val="none" w:sz="0" w:space="0" w:color="auto"/>
        <w:right w:val="none" w:sz="0" w:space="0" w:color="auto"/>
      </w:divBdr>
    </w:div>
    <w:div w:id="886062921">
      <w:bodyDiv w:val="1"/>
      <w:marLeft w:val="0"/>
      <w:marRight w:val="0"/>
      <w:marTop w:val="0"/>
      <w:marBottom w:val="0"/>
      <w:divBdr>
        <w:top w:val="none" w:sz="0" w:space="0" w:color="auto"/>
        <w:left w:val="none" w:sz="0" w:space="0" w:color="auto"/>
        <w:bottom w:val="none" w:sz="0" w:space="0" w:color="auto"/>
        <w:right w:val="none" w:sz="0" w:space="0" w:color="auto"/>
      </w:divBdr>
    </w:div>
    <w:div w:id="901869945">
      <w:bodyDiv w:val="1"/>
      <w:marLeft w:val="0"/>
      <w:marRight w:val="0"/>
      <w:marTop w:val="0"/>
      <w:marBottom w:val="0"/>
      <w:divBdr>
        <w:top w:val="none" w:sz="0" w:space="0" w:color="auto"/>
        <w:left w:val="none" w:sz="0" w:space="0" w:color="auto"/>
        <w:bottom w:val="none" w:sz="0" w:space="0" w:color="auto"/>
        <w:right w:val="none" w:sz="0" w:space="0" w:color="auto"/>
      </w:divBdr>
    </w:div>
    <w:div w:id="925068183">
      <w:bodyDiv w:val="1"/>
      <w:marLeft w:val="0"/>
      <w:marRight w:val="0"/>
      <w:marTop w:val="0"/>
      <w:marBottom w:val="0"/>
      <w:divBdr>
        <w:top w:val="none" w:sz="0" w:space="0" w:color="auto"/>
        <w:left w:val="none" w:sz="0" w:space="0" w:color="auto"/>
        <w:bottom w:val="none" w:sz="0" w:space="0" w:color="auto"/>
        <w:right w:val="none" w:sz="0" w:space="0" w:color="auto"/>
      </w:divBdr>
    </w:div>
    <w:div w:id="936013741">
      <w:bodyDiv w:val="1"/>
      <w:marLeft w:val="0"/>
      <w:marRight w:val="0"/>
      <w:marTop w:val="0"/>
      <w:marBottom w:val="0"/>
      <w:divBdr>
        <w:top w:val="none" w:sz="0" w:space="0" w:color="auto"/>
        <w:left w:val="none" w:sz="0" w:space="0" w:color="auto"/>
        <w:bottom w:val="none" w:sz="0" w:space="0" w:color="auto"/>
        <w:right w:val="none" w:sz="0" w:space="0" w:color="auto"/>
      </w:divBdr>
    </w:div>
    <w:div w:id="936642855">
      <w:bodyDiv w:val="1"/>
      <w:marLeft w:val="0"/>
      <w:marRight w:val="0"/>
      <w:marTop w:val="0"/>
      <w:marBottom w:val="0"/>
      <w:divBdr>
        <w:top w:val="none" w:sz="0" w:space="0" w:color="auto"/>
        <w:left w:val="none" w:sz="0" w:space="0" w:color="auto"/>
        <w:bottom w:val="none" w:sz="0" w:space="0" w:color="auto"/>
        <w:right w:val="none" w:sz="0" w:space="0" w:color="auto"/>
      </w:divBdr>
    </w:div>
    <w:div w:id="963921958">
      <w:bodyDiv w:val="1"/>
      <w:marLeft w:val="0"/>
      <w:marRight w:val="0"/>
      <w:marTop w:val="0"/>
      <w:marBottom w:val="0"/>
      <w:divBdr>
        <w:top w:val="none" w:sz="0" w:space="0" w:color="auto"/>
        <w:left w:val="none" w:sz="0" w:space="0" w:color="auto"/>
        <w:bottom w:val="none" w:sz="0" w:space="0" w:color="auto"/>
        <w:right w:val="none" w:sz="0" w:space="0" w:color="auto"/>
      </w:divBdr>
    </w:div>
    <w:div w:id="1013461328">
      <w:bodyDiv w:val="1"/>
      <w:marLeft w:val="0"/>
      <w:marRight w:val="0"/>
      <w:marTop w:val="0"/>
      <w:marBottom w:val="0"/>
      <w:divBdr>
        <w:top w:val="none" w:sz="0" w:space="0" w:color="auto"/>
        <w:left w:val="none" w:sz="0" w:space="0" w:color="auto"/>
        <w:bottom w:val="none" w:sz="0" w:space="0" w:color="auto"/>
        <w:right w:val="none" w:sz="0" w:space="0" w:color="auto"/>
      </w:divBdr>
    </w:div>
    <w:div w:id="1066420333">
      <w:bodyDiv w:val="1"/>
      <w:marLeft w:val="0"/>
      <w:marRight w:val="0"/>
      <w:marTop w:val="0"/>
      <w:marBottom w:val="0"/>
      <w:divBdr>
        <w:top w:val="none" w:sz="0" w:space="0" w:color="auto"/>
        <w:left w:val="none" w:sz="0" w:space="0" w:color="auto"/>
        <w:bottom w:val="none" w:sz="0" w:space="0" w:color="auto"/>
        <w:right w:val="none" w:sz="0" w:space="0" w:color="auto"/>
      </w:divBdr>
    </w:div>
    <w:div w:id="1067220815">
      <w:bodyDiv w:val="1"/>
      <w:marLeft w:val="0"/>
      <w:marRight w:val="0"/>
      <w:marTop w:val="0"/>
      <w:marBottom w:val="0"/>
      <w:divBdr>
        <w:top w:val="none" w:sz="0" w:space="0" w:color="auto"/>
        <w:left w:val="none" w:sz="0" w:space="0" w:color="auto"/>
        <w:bottom w:val="none" w:sz="0" w:space="0" w:color="auto"/>
        <w:right w:val="none" w:sz="0" w:space="0" w:color="auto"/>
      </w:divBdr>
    </w:div>
    <w:div w:id="1074746096">
      <w:bodyDiv w:val="1"/>
      <w:marLeft w:val="0"/>
      <w:marRight w:val="0"/>
      <w:marTop w:val="0"/>
      <w:marBottom w:val="0"/>
      <w:divBdr>
        <w:top w:val="none" w:sz="0" w:space="0" w:color="auto"/>
        <w:left w:val="none" w:sz="0" w:space="0" w:color="auto"/>
        <w:bottom w:val="none" w:sz="0" w:space="0" w:color="auto"/>
        <w:right w:val="none" w:sz="0" w:space="0" w:color="auto"/>
      </w:divBdr>
    </w:div>
    <w:div w:id="1212036915">
      <w:bodyDiv w:val="1"/>
      <w:marLeft w:val="0"/>
      <w:marRight w:val="0"/>
      <w:marTop w:val="0"/>
      <w:marBottom w:val="0"/>
      <w:divBdr>
        <w:top w:val="none" w:sz="0" w:space="0" w:color="auto"/>
        <w:left w:val="none" w:sz="0" w:space="0" w:color="auto"/>
        <w:bottom w:val="none" w:sz="0" w:space="0" w:color="auto"/>
        <w:right w:val="none" w:sz="0" w:space="0" w:color="auto"/>
      </w:divBdr>
    </w:div>
    <w:div w:id="1212963395">
      <w:bodyDiv w:val="1"/>
      <w:marLeft w:val="0"/>
      <w:marRight w:val="0"/>
      <w:marTop w:val="0"/>
      <w:marBottom w:val="0"/>
      <w:divBdr>
        <w:top w:val="none" w:sz="0" w:space="0" w:color="auto"/>
        <w:left w:val="none" w:sz="0" w:space="0" w:color="auto"/>
        <w:bottom w:val="none" w:sz="0" w:space="0" w:color="auto"/>
        <w:right w:val="none" w:sz="0" w:space="0" w:color="auto"/>
      </w:divBdr>
    </w:div>
    <w:div w:id="1276791367">
      <w:bodyDiv w:val="1"/>
      <w:marLeft w:val="0"/>
      <w:marRight w:val="0"/>
      <w:marTop w:val="0"/>
      <w:marBottom w:val="0"/>
      <w:divBdr>
        <w:top w:val="none" w:sz="0" w:space="0" w:color="auto"/>
        <w:left w:val="none" w:sz="0" w:space="0" w:color="auto"/>
        <w:bottom w:val="none" w:sz="0" w:space="0" w:color="auto"/>
        <w:right w:val="none" w:sz="0" w:space="0" w:color="auto"/>
      </w:divBdr>
    </w:div>
    <w:div w:id="1294630506">
      <w:bodyDiv w:val="1"/>
      <w:marLeft w:val="0"/>
      <w:marRight w:val="0"/>
      <w:marTop w:val="0"/>
      <w:marBottom w:val="0"/>
      <w:divBdr>
        <w:top w:val="none" w:sz="0" w:space="0" w:color="auto"/>
        <w:left w:val="none" w:sz="0" w:space="0" w:color="auto"/>
        <w:bottom w:val="none" w:sz="0" w:space="0" w:color="auto"/>
        <w:right w:val="none" w:sz="0" w:space="0" w:color="auto"/>
      </w:divBdr>
    </w:div>
    <w:div w:id="1294671056">
      <w:bodyDiv w:val="1"/>
      <w:marLeft w:val="0"/>
      <w:marRight w:val="0"/>
      <w:marTop w:val="0"/>
      <w:marBottom w:val="0"/>
      <w:divBdr>
        <w:top w:val="none" w:sz="0" w:space="0" w:color="auto"/>
        <w:left w:val="none" w:sz="0" w:space="0" w:color="auto"/>
        <w:bottom w:val="none" w:sz="0" w:space="0" w:color="auto"/>
        <w:right w:val="none" w:sz="0" w:space="0" w:color="auto"/>
      </w:divBdr>
    </w:div>
    <w:div w:id="1305936713">
      <w:bodyDiv w:val="1"/>
      <w:marLeft w:val="0"/>
      <w:marRight w:val="0"/>
      <w:marTop w:val="0"/>
      <w:marBottom w:val="0"/>
      <w:divBdr>
        <w:top w:val="none" w:sz="0" w:space="0" w:color="auto"/>
        <w:left w:val="none" w:sz="0" w:space="0" w:color="auto"/>
        <w:bottom w:val="none" w:sz="0" w:space="0" w:color="auto"/>
        <w:right w:val="none" w:sz="0" w:space="0" w:color="auto"/>
      </w:divBdr>
    </w:div>
    <w:div w:id="1347513363">
      <w:bodyDiv w:val="1"/>
      <w:marLeft w:val="0"/>
      <w:marRight w:val="0"/>
      <w:marTop w:val="0"/>
      <w:marBottom w:val="0"/>
      <w:divBdr>
        <w:top w:val="none" w:sz="0" w:space="0" w:color="auto"/>
        <w:left w:val="none" w:sz="0" w:space="0" w:color="auto"/>
        <w:bottom w:val="none" w:sz="0" w:space="0" w:color="auto"/>
        <w:right w:val="none" w:sz="0" w:space="0" w:color="auto"/>
      </w:divBdr>
    </w:div>
    <w:div w:id="1447895792">
      <w:bodyDiv w:val="1"/>
      <w:marLeft w:val="0"/>
      <w:marRight w:val="0"/>
      <w:marTop w:val="0"/>
      <w:marBottom w:val="0"/>
      <w:divBdr>
        <w:top w:val="none" w:sz="0" w:space="0" w:color="auto"/>
        <w:left w:val="none" w:sz="0" w:space="0" w:color="auto"/>
        <w:bottom w:val="none" w:sz="0" w:space="0" w:color="auto"/>
        <w:right w:val="none" w:sz="0" w:space="0" w:color="auto"/>
      </w:divBdr>
    </w:div>
    <w:div w:id="1469325657">
      <w:bodyDiv w:val="1"/>
      <w:marLeft w:val="0"/>
      <w:marRight w:val="0"/>
      <w:marTop w:val="0"/>
      <w:marBottom w:val="0"/>
      <w:divBdr>
        <w:top w:val="none" w:sz="0" w:space="0" w:color="auto"/>
        <w:left w:val="none" w:sz="0" w:space="0" w:color="auto"/>
        <w:bottom w:val="none" w:sz="0" w:space="0" w:color="auto"/>
        <w:right w:val="none" w:sz="0" w:space="0" w:color="auto"/>
      </w:divBdr>
    </w:div>
    <w:div w:id="1471706509">
      <w:bodyDiv w:val="1"/>
      <w:marLeft w:val="0"/>
      <w:marRight w:val="0"/>
      <w:marTop w:val="0"/>
      <w:marBottom w:val="0"/>
      <w:divBdr>
        <w:top w:val="none" w:sz="0" w:space="0" w:color="auto"/>
        <w:left w:val="none" w:sz="0" w:space="0" w:color="auto"/>
        <w:bottom w:val="none" w:sz="0" w:space="0" w:color="auto"/>
        <w:right w:val="none" w:sz="0" w:space="0" w:color="auto"/>
      </w:divBdr>
    </w:div>
    <w:div w:id="1540820216">
      <w:bodyDiv w:val="1"/>
      <w:marLeft w:val="0"/>
      <w:marRight w:val="0"/>
      <w:marTop w:val="0"/>
      <w:marBottom w:val="0"/>
      <w:divBdr>
        <w:top w:val="none" w:sz="0" w:space="0" w:color="auto"/>
        <w:left w:val="none" w:sz="0" w:space="0" w:color="auto"/>
        <w:bottom w:val="none" w:sz="0" w:space="0" w:color="auto"/>
        <w:right w:val="none" w:sz="0" w:space="0" w:color="auto"/>
      </w:divBdr>
    </w:div>
    <w:div w:id="1564368208">
      <w:bodyDiv w:val="1"/>
      <w:marLeft w:val="0"/>
      <w:marRight w:val="0"/>
      <w:marTop w:val="0"/>
      <w:marBottom w:val="0"/>
      <w:divBdr>
        <w:top w:val="none" w:sz="0" w:space="0" w:color="auto"/>
        <w:left w:val="none" w:sz="0" w:space="0" w:color="auto"/>
        <w:bottom w:val="none" w:sz="0" w:space="0" w:color="auto"/>
        <w:right w:val="none" w:sz="0" w:space="0" w:color="auto"/>
      </w:divBdr>
    </w:div>
    <w:div w:id="1628003094">
      <w:bodyDiv w:val="1"/>
      <w:marLeft w:val="0"/>
      <w:marRight w:val="0"/>
      <w:marTop w:val="0"/>
      <w:marBottom w:val="0"/>
      <w:divBdr>
        <w:top w:val="none" w:sz="0" w:space="0" w:color="auto"/>
        <w:left w:val="none" w:sz="0" w:space="0" w:color="auto"/>
        <w:bottom w:val="none" w:sz="0" w:space="0" w:color="auto"/>
        <w:right w:val="none" w:sz="0" w:space="0" w:color="auto"/>
      </w:divBdr>
    </w:div>
    <w:div w:id="1669289985">
      <w:bodyDiv w:val="1"/>
      <w:marLeft w:val="0"/>
      <w:marRight w:val="0"/>
      <w:marTop w:val="0"/>
      <w:marBottom w:val="0"/>
      <w:divBdr>
        <w:top w:val="none" w:sz="0" w:space="0" w:color="auto"/>
        <w:left w:val="none" w:sz="0" w:space="0" w:color="auto"/>
        <w:bottom w:val="none" w:sz="0" w:space="0" w:color="auto"/>
        <w:right w:val="none" w:sz="0" w:space="0" w:color="auto"/>
      </w:divBdr>
    </w:div>
    <w:div w:id="1682927694">
      <w:bodyDiv w:val="1"/>
      <w:marLeft w:val="0"/>
      <w:marRight w:val="0"/>
      <w:marTop w:val="0"/>
      <w:marBottom w:val="0"/>
      <w:divBdr>
        <w:top w:val="none" w:sz="0" w:space="0" w:color="auto"/>
        <w:left w:val="none" w:sz="0" w:space="0" w:color="auto"/>
        <w:bottom w:val="none" w:sz="0" w:space="0" w:color="auto"/>
        <w:right w:val="none" w:sz="0" w:space="0" w:color="auto"/>
      </w:divBdr>
    </w:div>
    <w:div w:id="1693604086">
      <w:bodyDiv w:val="1"/>
      <w:marLeft w:val="0"/>
      <w:marRight w:val="0"/>
      <w:marTop w:val="0"/>
      <w:marBottom w:val="0"/>
      <w:divBdr>
        <w:top w:val="none" w:sz="0" w:space="0" w:color="auto"/>
        <w:left w:val="none" w:sz="0" w:space="0" w:color="auto"/>
        <w:bottom w:val="none" w:sz="0" w:space="0" w:color="auto"/>
        <w:right w:val="none" w:sz="0" w:space="0" w:color="auto"/>
      </w:divBdr>
    </w:div>
    <w:div w:id="1724938534">
      <w:bodyDiv w:val="1"/>
      <w:marLeft w:val="0"/>
      <w:marRight w:val="0"/>
      <w:marTop w:val="0"/>
      <w:marBottom w:val="0"/>
      <w:divBdr>
        <w:top w:val="none" w:sz="0" w:space="0" w:color="auto"/>
        <w:left w:val="none" w:sz="0" w:space="0" w:color="auto"/>
        <w:bottom w:val="none" w:sz="0" w:space="0" w:color="auto"/>
        <w:right w:val="none" w:sz="0" w:space="0" w:color="auto"/>
      </w:divBdr>
    </w:div>
    <w:div w:id="1757902385">
      <w:bodyDiv w:val="1"/>
      <w:marLeft w:val="0"/>
      <w:marRight w:val="0"/>
      <w:marTop w:val="0"/>
      <w:marBottom w:val="0"/>
      <w:divBdr>
        <w:top w:val="none" w:sz="0" w:space="0" w:color="auto"/>
        <w:left w:val="none" w:sz="0" w:space="0" w:color="auto"/>
        <w:bottom w:val="none" w:sz="0" w:space="0" w:color="auto"/>
        <w:right w:val="none" w:sz="0" w:space="0" w:color="auto"/>
      </w:divBdr>
    </w:div>
    <w:div w:id="1763258141">
      <w:bodyDiv w:val="1"/>
      <w:marLeft w:val="0"/>
      <w:marRight w:val="0"/>
      <w:marTop w:val="0"/>
      <w:marBottom w:val="0"/>
      <w:divBdr>
        <w:top w:val="none" w:sz="0" w:space="0" w:color="auto"/>
        <w:left w:val="none" w:sz="0" w:space="0" w:color="auto"/>
        <w:bottom w:val="none" w:sz="0" w:space="0" w:color="auto"/>
        <w:right w:val="none" w:sz="0" w:space="0" w:color="auto"/>
      </w:divBdr>
    </w:div>
    <w:div w:id="1890146448">
      <w:bodyDiv w:val="1"/>
      <w:marLeft w:val="0"/>
      <w:marRight w:val="0"/>
      <w:marTop w:val="0"/>
      <w:marBottom w:val="0"/>
      <w:divBdr>
        <w:top w:val="none" w:sz="0" w:space="0" w:color="auto"/>
        <w:left w:val="none" w:sz="0" w:space="0" w:color="auto"/>
        <w:bottom w:val="none" w:sz="0" w:space="0" w:color="auto"/>
        <w:right w:val="none" w:sz="0" w:space="0" w:color="auto"/>
      </w:divBdr>
    </w:div>
    <w:div w:id="1914003171">
      <w:bodyDiv w:val="1"/>
      <w:marLeft w:val="0"/>
      <w:marRight w:val="0"/>
      <w:marTop w:val="0"/>
      <w:marBottom w:val="0"/>
      <w:divBdr>
        <w:top w:val="none" w:sz="0" w:space="0" w:color="auto"/>
        <w:left w:val="none" w:sz="0" w:space="0" w:color="auto"/>
        <w:bottom w:val="none" w:sz="0" w:space="0" w:color="auto"/>
        <w:right w:val="none" w:sz="0" w:space="0" w:color="auto"/>
      </w:divBdr>
    </w:div>
    <w:div w:id="1969048036">
      <w:bodyDiv w:val="1"/>
      <w:marLeft w:val="0"/>
      <w:marRight w:val="0"/>
      <w:marTop w:val="0"/>
      <w:marBottom w:val="0"/>
      <w:divBdr>
        <w:top w:val="none" w:sz="0" w:space="0" w:color="auto"/>
        <w:left w:val="none" w:sz="0" w:space="0" w:color="auto"/>
        <w:bottom w:val="none" w:sz="0" w:space="0" w:color="auto"/>
        <w:right w:val="none" w:sz="0" w:space="0" w:color="auto"/>
      </w:divBdr>
    </w:div>
    <w:div w:id="2010519857">
      <w:bodyDiv w:val="1"/>
      <w:marLeft w:val="0"/>
      <w:marRight w:val="0"/>
      <w:marTop w:val="0"/>
      <w:marBottom w:val="0"/>
      <w:divBdr>
        <w:top w:val="none" w:sz="0" w:space="0" w:color="auto"/>
        <w:left w:val="none" w:sz="0" w:space="0" w:color="auto"/>
        <w:bottom w:val="none" w:sz="0" w:space="0" w:color="auto"/>
        <w:right w:val="none" w:sz="0" w:space="0" w:color="auto"/>
      </w:divBdr>
    </w:div>
    <w:div w:id="2042318868">
      <w:bodyDiv w:val="1"/>
      <w:marLeft w:val="0"/>
      <w:marRight w:val="0"/>
      <w:marTop w:val="0"/>
      <w:marBottom w:val="0"/>
      <w:divBdr>
        <w:top w:val="none" w:sz="0" w:space="0" w:color="auto"/>
        <w:left w:val="none" w:sz="0" w:space="0" w:color="auto"/>
        <w:bottom w:val="none" w:sz="0" w:space="0" w:color="auto"/>
        <w:right w:val="none" w:sz="0" w:space="0" w:color="auto"/>
      </w:divBdr>
    </w:div>
    <w:div w:id="2069764511">
      <w:bodyDiv w:val="1"/>
      <w:marLeft w:val="0"/>
      <w:marRight w:val="0"/>
      <w:marTop w:val="0"/>
      <w:marBottom w:val="0"/>
      <w:divBdr>
        <w:top w:val="none" w:sz="0" w:space="0" w:color="auto"/>
        <w:left w:val="none" w:sz="0" w:space="0" w:color="auto"/>
        <w:bottom w:val="none" w:sz="0" w:space="0" w:color="auto"/>
        <w:right w:val="none" w:sz="0" w:space="0" w:color="auto"/>
      </w:divBdr>
    </w:div>
    <w:div w:id="2074618094">
      <w:bodyDiv w:val="1"/>
      <w:marLeft w:val="0"/>
      <w:marRight w:val="0"/>
      <w:marTop w:val="0"/>
      <w:marBottom w:val="0"/>
      <w:divBdr>
        <w:top w:val="none" w:sz="0" w:space="0" w:color="auto"/>
        <w:left w:val="none" w:sz="0" w:space="0" w:color="auto"/>
        <w:bottom w:val="none" w:sz="0" w:space="0" w:color="auto"/>
        <w:right w:val="none" w:sz="0" w:space="0" w:color="auto"/>
      </w:divBdr>
    </w:div>
    <w:div w:id="2074967449">
      <w:bodyDiv w:val="1"/>
      <w:marLeft w:val="0"/>
      <w:marRight w:val="0"/>
      <w:marTop w:val="0"/>
      <w:marBottom w:val="0"/>
      <w:divBdr>
        <w:top w:val="none" w:sz="0" w:space="0" w:color="auto"/>
        <w:left w:val="none" w:sz="0" w:space="0" w:color="auto"/>
        <w:bottom w:val="none" w:sz="0" w:space="0" w:color="auto"/>
        <w:right w:val="none" w:sz="0" w:space="0" w:color="auto"/>
      </w:divBdr>
    </w:div>
    <w:div w:id="2119179123">
      <w:bodyDiv w:val="1"/>
      <w:marLeft w:val="0"/>
      <w:marRight w:val="0"/>
      <w:marTop w:val="0"/>
      <w:marBottom w:val="0"/>
      <w:divBdr>
        <w:top w:val="none" w:sz="0" w:space="0" w:color="auto"/>
        <w:left w:val="none" w:sz="0" w:space="0" w:color="auto"/>
        <w:bottom w:val="none" w:sz="0" w:space="0" w:color="auto"/>
        <w:right w:val="none" w:sz="0" w:space="0" w:color="auto"/>
      </w:divBdr>
    </w:div>
    <w:div w:id="212830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tga.gov.au" TargetMode="External"/><Relationship Id="rId47"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4.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DC77C1A94AD44908D906AEAA05445" ma:contentTypeVersion="2" ma:contentTypeDescription="Create a new document." ma:contentTypeScope="" ma:versionID="b77955880f00a422c266dadce660b769">
  <xsd:schema xmlns:xsd="http://www.w3.org/2001/XMLSchema" xmlns:xs="http://www.w3.org/2001/XMLSchema" xmlns:p="http://schemas.microsoft.com/office/2006/metadata/properties" xmlns:ns2="d1101baa-ac70-42cd-a02d-0d1b7d4c51c3" targetNamespace="http://schemas.microsoft.com/office/2006/metadata/properties" ma:root="true" ma:fieldsID="15bb11056488a4ae243351843ccca9f4" ns2:_="">
    <xsd:import namespace="d1101baa-ac70-42cd-a02d-0d1b7d4c51c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01baa-ac70-42cd-a02d-0d1b7d4c5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DF800-C885-44F5-BED0-117D9C9BA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01baa-ac70-42cd-a02d-0d1b7d4c5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8E923-B5E6-46AA-8387-BCB8B3B0DE1A}">
  <ds:schemaRefs>
    <ds:schemaRef ds:uri="http://schemas.microsoft.com/sharepoint/v3/contenttype/forms"/>
  </ds:schemaRefs>
</ds:datastoreItem>
</file>

<file path=customXml/itemProps3.xml><?xml version="1.0" encoding="utf-8"?>
<ds:datastoreItem xmlns:ds="http://schemas.openxmlformats.org/officeDocument/2006/customXml" ds:itemID="{625217AE-57C4-43E2-BD8E-ED1A68D27BD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1101baa-ac70-42cd-a02d-0d1b7d4c51c3"/>
    <ds:schemaRef ds:uri="http://www.w3.org/XML/1998/namespace"/>
    <ds:schemaRef ds:uri="http://purl.org/dc/dcmitype/"/>
  </ds:schemaRefs>
</ds:datastoreItem>
</file>

<file path=customXml/itemProps4.xml><?xml version="1.0" encoding="utf-8"?>
<ds:datastoreItem xmlns:ds="http://schemas.openxmlformats.org/officeDocument/2006/customXml" ds:itemID="{4A8B8A00-2068-4E6A-8BDD-6021CD3E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26282</Words>
  <Characters>149809</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Australian Public Assessment Report for Buprenorphine</vt:lpstr>
    </vt:vector>
  </TitlesOfParts>
  <Manager/>
  <Company/>
  <LinksUpToDate>false</LinksUpToDate>
  <CharactersWithSpaces>175740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Buprenorphine</dc:title>
  <dc:subject>prescription medicines</dc:subject>
  <dc:creator/>
  <cp:keywords>AusPARs</cp:keywords>
  <cp:lastModifiedBy/>
  <cp:revision>1</cp:revision>
  <dcterms:created xsi:type="dcterms:W3CDTF">2019-11-13T01:01:00Z</dcterms:created>
  <dcterms:modified xsi:type="dcterms:W3CDTF">2019-11-13T01:18:00Z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0x010100DDADC77C1A94AD44908D906AEAA05445</vt:lpwstr>
  </property>
  <property fmtid="{D5CDD505-2E9C-101B-9397-08002B2CF9AE}" pid="3" name="Common document type">
    <vt:lpwstr/>
  </property>
  <property fmtid="{D5CDD505-2E9C-101B-9397-08002B2CF9AE}" pid="4" name="Function">
    <vt:lpwstr>1;#Regulatory affairs|da7316dd-4fdc-460d-a510-96ed6aecc578</vt:lpwstr>
  </property>
  <property fmtid="{D5CDD505-2E9C-101B-9397-08002B2CF9AE}" pid="5" name="Project No">
    <vt:lpwstr>3;#2038|69ea2b97-53f5-44e3-a754-032913bcb347</vt:lpwstr>
  </property>
</Properties>
</file>