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AA2A8" w14:textId="7B2DD017" w:rsidR="00CD3915" w:rsidRDefault="00ED26C7" w:rsidP="00AF5EF6">
      <w:pPr>
        <w:pStyle w:val="Heading1"/>
        <w:numPr>
          <w:ilvl w:val="0"/>
          <w:numId w:val="0"/>
        </w:numPr>
        <w:jc w:val="center"/>
        <w:rPr>
          <w:rFonts w:eastAsia="SimSun"/>
        </w:rPr>
      </w:pPr>
      <w:r>
        <w:rPr>
          <w:rFonts w:eastAsia="SimSun"/>
        </w:rPr>
        <w:t xml:space="preserve">aUSTRALIAN </w:t>
      </w:r>
      <w:r w:rsidR="00CD3915">
        <w:rPr>
          <w:rFonts w:eastAsia="SimSun"/>
        </w:rPr>
        <w:t>PRODUCT INFORMATION</w:t>
      </w:r>
    </w:p>
    <w:p w14:paraId="7DFD9CF2" w14:textId="6D985C6A" w:rsidR="00D0123A" w:rsidRDefault="00907869" w:rsidP="00907869">
      <w:pPr>
        <w:pStyle w:val="Heading1"/>
        <w:numPr>
          <w:ilvl w:val="0"/>
          <w:numId w:val="0"/>
        </w:numPr>
        <w:jc w:val="center"/>
        <w:rPr>
          <w:rFonts w:eastAsia="SimSun"/>
          <w:caps w:val="0"/>
        </w:rPr>
      </w:pPr>
      <w:proofErr w:type="spellStart"/>
      <w:r>
        <w:rPr>
          <w:rFonts w:eastAsia="SimSun"/>
          <w:caps w:val="0"/>
        </w:rPr>
        <w:t>B</w:t>
      </w:r>
      <w:r w:rsidR="00511787">
        <w:rPr>
          <w:rFonts w:eastAsia="SimSun"/>
          <w:caps w:val="0"/>
        </w:rPr>
        <w:t>uvidal</w:t>
      </w:r>
      <w:proofErr w:type="spellEnd"/>
      <w:r w:rsidR="00D0123A" w:rsidRPr="00D0123A">
        <w:rPr>
          <w:rFonts w:eastAsia="SimSun"/>
          <w:caps w:val="0"/>
          <w:vertAlign w:val="superscript"/>
        </w:rPr>
        <w:t xml:space="preserve"> </w:t>
      </w:r>
      <w:r w:rsidR="00E57387">
        <w:rPr>
          <w:rFonts w:eastAsia="SimSun"/>
          <w:caps w:val="0"/>
          <w:vertAlign w:val="superscript"/>
        </w:rPr>
        <w:t>®</w:t>
      </w:r>
      <w:r w:rsidR="00D0123A">
        <w:rPr>
          <w:rFonts w:eastAsia="SimSun"/>
          <w:vertAlign w:val="superscript"/>
        </w:rPr>
        <w:t xml:space="preserve"> </w:t>
      </w:r>
      <w:r w:rsidR="00243E65">
        <w:rPr>
          <w:rFonts w:eastAsia="SimSun"/>
          <w:caps w:val="0"/>
        </w:rPr>
        <w:t xml:space="preserve">Weekly </w:t>
      </w:r>
    </w:p>
    <w:p w14:paraId="39E3018A" w14:textId="4151E652" w:rsidR="00907869" w:rsidRDefault="00907869" w:rsidP="00907869">
      <w:pPr>
        <w:pStyle w:val="Heading1"/>
        <w:numPr>
          <w:ilvl w:val="0"/>
          <w:numId w:val="0"/>
        </w:numPr>
        <w:jc w:val="center"/>
        <w:rPr>
          <w:rFonts w:eastAsia="SimSun"/>
          <w:vertAlign w:val="superscript"/>
        </w:rPr>
      </w:pPr>
      <w:r>
        <w:rPr>
          <w:rFonts w:eastAsia="SimSun"/>
          <w:caps w:val="0"/>
        </w:rPr>
        <w:t>(buprenorphine)</w:t>
      </w:r>
    </w:p>
    <w:p w14:paraId="7859CC88" w14:textId="1CD5DC49" w:rsidR="00CD3915" w:rsidRDefault="00EB0405" w:rsidP="00AF5EF6">
      <w:pPr>
        <w:pStyle w:val="Heading1"/>
        <w:numPr>
          <w:ilvl w:val="0"/>
          <w:numId w:val="0"/>
        </w:numPr>
        <w:jc w:val="center"/>
        <w:rPr>
          <w:rFonts w:eastAsia="SimSun"/>
        </w:rPr>
      </w:pPr>
      <w:r>
        <w:rPr>
          <w:rFonts w:eastAsia="SimSun"/>
        </w:rPr>
        <w:t>solution for injection</w:t>
      </w:r>
    </w:p>
    <w:p w14:paraId="1E5900BB" w14:textId="77777777" w:rsidR="00242F14" w:rsidRPr="00242F14" w:rsidRDefault="00242F14" w:rsidP="00242F1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lang w:eastAsia="en-AU"/>
        </w:rPr>
      </w:pPr>
      <w:r w:rsidRPr="00242F14">
        <w:rPr>
          <w:rFonts w:eastAsia="Times New Roman" w:cstheme="minorHAnsi"/>
          <w:b/>
          <w:bCs/>
          <w:lang w:eastAsia="en-AU"/>
        </w:rPr>
        <w:t>Risk of Serious Harm or Death with Intravenous Administration</w:t>
      </w:r>
    </w:p>
    <w:p w14:paraId="6BEF98AE" w14:textId="091E4D97" w:rsidR="007B7EBA" w:rsidRPr="00B81DB0" w:rsidRDefault="00242F14" w:rsidP="00242F1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b/>
          <w:bCs/>
          <w:lang w:eastAsia="en-AU"/>
        </w:rPr>
      </w:pPr>
      <w:r w:rsidRPr="00242F14">
        <w:rPr>
          <w:rFonts w:eastAsia="Times New Roman" w:cstheme="minorHAnsi"/>
          <w:b/>
          <w:bCs/>
          <w:lang w:eastAsia="en-AU"/>
        </w:rPr>
        <w:t xml:space="preserve">Serious harm or death could result if administered intravenously.  </w:t>
      </w:r>
      <w:proofErr w:type="spellStart"/>
      <w:r w:rsidR="00494FFF">
        <w:rPr>
          <w:rFonts w:eastAsia="Times New Roman" w:cstheme="minorHAnsi"/>
          <w:b/>
          <w:bCs/>
          <w:lang w:eastAsia="en-AU"/>
        </w:rPr>
        <w:t>Buvidal</w:t>
      </w:r>
      <w:proofErr w:type="spellEnd"/>
      <w:r w:rsidR="00494FFF">
        <w:rPr>
          <w:rFonts w:eastAsia="Times New Roman" w:cstheme="minorHAnsi"/>
          <w:b/>
          <w:bCs/>
          <w:lang w:eastAsia="en-AU"/>
        </w:rPr>
        <w:t xml:space="preserve"> Weekly </w:t>
      </w:r>
      <w:r w:rsidRPr="00242F14">
        <w:rPr>
          <w:rFonts w:eastAsia="Times New Roman" w:cstheme="minorHAnsi"/>
          <w:b/>
          <w:bCs/>
          <w:lang w:eastAsia="en-AU"/>
        </w:rPr>
        <w:t xml:space="preserve">forms a gel depot upon contact with body fluids and may cause occlusion, local tissue damage and </w:t>
      </w:r>
      <w:proofErr w:type="spellStart"/>
      <w:r w:rsidRPr="00242F14">
        <w:rPr>
          <w:rFonts w:eastAsia="Times New Roman" w:cstheme="minorHAnsi"/>
          <w:b/>
          <w:bCs/>
          <w:lang w:eastAsia="en-AU"/>
        </w:rPr>
        <w:t>thrombo</w:t>
      </w:r>
      <w:proofErr w:type="spellEnd"/>
      <w:r w:rsidRPr="00242F14">
        <w:rPr>
          <w:rFonts w:eastAsia="Times New Roman" w:cstheme="minorHAnsi"/>
          <w:b/>
          <w:bCs/>
          <w:lang w:eastAsia="en-AU"/>
        </w:rPr>
        <w:t>-embolic events, including life threatening pulmonary emboli, if administered intravenously</w:t>
      </w:r>
      <w:r w:rsidR="007B7EBA">
        <w:rPr>
          <w:rFonts w:eastAsia="Times New Roman" w:cstheme="minorHAnsi"/>
          <w:b/>
          <w:bCs/>
          <w:lang w:eastAsia="en-AU"/>
        </w:rPr>
        <w:t>.</w:t>
      </w:r>
    </w:p>
    <w:p w14:paraId="7FBCFB8C" w14:textId="78BBD30D" w:rsidR="001A3992" w:rsidRPr="00AF5EF6" w:rsidRDefault="001A3992" w:rsidP="00AF5EF6">
      <w:pPr>
        <w:pStyle w:val="Heading1"/>
      </w:pPr>
      <w:r w:rsidRPr="00AF5EF6">
        <w:t>Name of the medicine</w:t>
      </w:r>
    </w:p>
    <w:p w14:paraId="40A66DBD" w14:textId="77777777" w:rsidR="00537B68" w:rsidRDefault="00537B68" w:rsidP="00537B68">
      <w:pPr>
        <w:autoSpaceDE w:val="0"/>
        <w:autoSpaceDN w:val="0"/>
        <w:adjustRightInd w:val="0"/>
        <w:spacing w:before="60" w:after="60" w:line="240" w:lineRule="auto"/>
        <w:jc w:val="both"/>
        <w:rPr>
          <w:rFonts w:cstheme="minorHAnsi"/>
          <w:color w:val="000000"/>
        </w:rPr>
      </w:pPr>
    </w:p>
    <w:p w14:paraId="075C8BAA" w14:textId="6A934FBA" w:rsidR="00310671" w:rsidRPr="001406E5" w:rsidRDefault="008C0EBC" w:rsidP="00206856">
      <w:pPr>
        <w:autoSpaceDE w:val="0"/>
        <w:autoSpaceDN w:val="0"/>
        <w:adjustRightInd w:val="0"/>
        <w:spacing w:before="60" w:after="60" w:line="240" w:lineRule="auto"/>
        <w:jc w:val="both"/>
        <w:rPr>
          <w:rFonts w:cstheme="minorHAnsi"/>
          <w:color w:val="000000"/>
        </w:rPr>
      </w:pPr>
      <w:proofErr w:type="spellStart"/>
      <w:r>
        <w:rPr>
          <w:rFonts w:cstheme="minorHAnsi"/>
          <w:color w:val="000000"/>
        </w:rPr>
        <w:t>Buvida</w:t>
      </w:r>
      <w:r w:rsidR="00E57387">
        <w:rPr>
          <w:rFonts w:cstheme="minorHAnsi"/>
          <w:color w:val="000000"/>
        </w:rPr>
        <w:t>l</w:t>
      </w:r>
      <w:proofErr w:type="spellEnd"/>
      <w:r w:rsidR="008B27E3">
        <w:rPr>
          <w:rFonts w:cstheme="minorHAnsi"/>
          <w:color w:val="000000"/>
        </w:rPr>
        <w:t xml:space="preserve"> Weekly</w:t>
      </w:r>
      <w:r w:rsidR="00310671" w:rsidRPr="001406E5">
        <w:rPr>
          <w:rFonts w:cstheme="minorHAnsi"/>
          <w:color w:val="000000"/>
        </w:rPr>
        <w:t xml:space="preserve"> 8 mg/0.16 mL buprenorphine modified release solution for injection </w:t>
      </w:r>
    </w:p>
    <w:p w14:paraId="0466A26C" w14:textId="7578ECF6" w:rsidR="00310671" w:rsidRPr="001406E5" w:rsidRDefault="00974854" w:rsidP="00206856">
      <w:pPr>
        <w:autoSpaceDE w:val="0"/>
        <w:autoSpaceDN w:val="0"/>
        <w:adjustRightInd w:val="0"/>
        <w:spacing w:before="60" w:after="60" w:line="240" w:lineRule="auto"/>
        <w:jc w:val="both"/>
        <w:rPr>
          <w:rFonts w:cstheme="minorHAnsi"/>
          <w:color w:val="000000"/>
        </w:rPr>
      </w:pPr>
      <w:proofErr w:type="spellStart"/>
      <w:r>
        <w:rPr>
          <w:rFonts w:cstheme="minorHAnsi"/>
          <w:color w:val="000000"/>
        </w:rPr>
        <w:t>Buvidal</w:t>
      </w:r>
      <w:proofErr w:type="spellEnd"/>
      <w:r>
        <w:rPr>
          <w:rFonts w:cstheme="minorHAnsi"/>
          <w:color w:val="000000"/>
        </w:rPr>
        <w:t xml:space="preserve"> Weekly </w:t>
      </w:r>
      <w:r w:rsidR="00310671" w:rsidRPr="001406E5">
        <w:rPr>
          <w:rFonts w:cstheme="minorHAnsi"/>
          <w:color w:val="000000"/>
        </w:rPr>
        <w:t xml:space="preserve">16 mg/0.32 mL buprenorphine modified release solution for injection </w:t>
      </w:r>
    </w:p>
    <w:p w14:paraId="7071BC68" w14:textId="3B2781BE" w:rsidR="00310671" w:rsidRPr="001406E5" w:rsidRDefault="00974854" w:rsidP="00206856">
      <w:pPr>
        <w:autoSpaceDE w:val="0"/>
        <w:autoSpaceDN w:val="0"/>
        <w:adjustRightInd w:val="0"/>
        <w:spacing w:before="60" w:after="60" w:line="240" w:lineRule="auto"/>
        <w:jc w:val="both"/>
        <w:rPr>
          <w:rFonts w:cstheme="minorHAnsi"/>
          <w:color w:val="000000"/>
        </w:rPr>
      </w:pPr>
      <w:proofErr w:type="spellStart"/>
      <w:r>
        <w:rPr>
          <w:rFonts w:cstheme="minorHAnsi"/>
          <w:color w:val="000000"/>
        </w:rPr>
        <w:t>Buvidal</w:t>
      </w:r>
      <w:proofErr w:type="spellEnd"/>
      <w:r>
        <w:rPr>
          <w:rFonts w:cstheme="minorHAnsi"/>
          <w:color w:val="000000"/>
        </w:rPr>
        <w:t xml:space="preserve"> Weekly </w:t>
      </w:r>
      <w:r w:rsidR="00310671" w:rsidRPr="001406E5">
        <w:rPr>
          <w:rFonts w:cstheme="minorHAnsi"/>
          <w:color w:val="000000"/>
        </w:rPr>
        <w:t xml:space="preserve">24 mg/0.48 mL buprenorphine modified release solution for injection </w:t>
      </w:r>
    </w:p>
    <w:p w14:paraId="5655E44E" w14:textId="75A930E9" w:rsidR="00310671" w:rsidRDefault="00974854" w:rsidP="00206856">
      <w:pPr>
        <w:autoSpaceDE w:val="0"/>
        <w:autoSpaceDN w:val="0"/>
        <w:adjustRightInd w:val="0"/>
        <w:spacing w:before="60" w:after="60" w:line="240" w:lineRule="auto"/>
        <w:jc w:val="both"/>
        <w:rPr>
          <w:rFonts w:cstheme="minorHAnsi"/>
          <w:color w:val="000000"/>
        </w:rPr>
      </w:pPr>
      <w:proofErr w:type="spellStart"/>
      <w:r>
        <w:rPr>
          <w:rFonts w:cstheme="minorHAnsi"/>
          <w:color w:val="000000"/>
        </w:rPr>
        <w:t>Buvidal</w:t>
      </w:r>
      <w:proofErr w:type="spellEnd"/>
      <w:r>
        <w:rPr>
          <w:rFonts w:cstheme="minorHAnsi"/>
          <w:color w:val="000000"/>
        </w:rPr>
        <w:t xml:space="preserve"> Weekly </w:t>
      </w:r>
      <w:r w:rsidR="00310671" w:rsidRPr="001406E5">
        <w:rPr>
          <w:rFonts w:cstheme="minorHAnsi"/>
          <w:color w:val="000000"/>
        </w:rPr>
        <w:t xml:space="preserve">32 mg/0.64 mL buprenorphine modified release solution for injection </w:t>
      </w:r>
    </w:p>
    <w:p w14:paraId="100B14DC" w14:textId="78CDD787" w:rsidR="001A3992" w:rsidRPr="00497C85" w:rsidRDefault="001A3992" w:rsidP="00AF5EF6">
      <w:pPr>
        <w:pStyle w:val="Heading1"/>
      </w:pPr>
      <w:r w:rsidRPr="00497C85">
        <w:t>Qualitative and quantitative composition</w:t>
      </w:r>
    </w:p>
    <w:p w14:paraId="191F2783" w14:textId="77777777" w:rsidR="00367C98" w:rsidRDefault="00367C98" w:rsidP="00537B68">
      <w:pPr>
        <w:autoSpaceDE w:val="0"/>
        <w:autoSpaceDN w:val="0"/>
        <w:adjustRightInd w:val="0"/>
        <w:spacing w:before="60" w:after="60" w:line="240" w:lineRule="auto"/>
        <w:jc w:val="both"/>
        <w:rPr>
          <w:rFonts w:cstheme="minorHAnsi"/>
          <w:color w:val="000000"/>
          <w:sz w:val="20"/>
          <w:szCs w:val="20"/>
          <w:u w:val="single"/>
        </w:rPr>
      </w:pPr>
    </w:p>
    <w:p w14:paraId="773A0CE4" w14:textId="4A28ADE6" w:rsidR="00537B68" w:rsidRPr="00367C98" w:rsidRDefault="00974854" w:rsidP="00537B68">
      <w:pPr>
        <w:autoSpaceDE w:val="0"/>
        <w:autoSpaceDN w:val="0"/>
        <w:adjustRightInd w:val="0"/>
        <w:spacing w:before="60" w:after="60" w:line="240" w:lineRule="auto"/>
        <w:jc w:val="both"/>
        <w:rPr>
          <w:rFonts w:cstheme="minorHAnsi"/>
          <w:color w:val="000000"/>
        </w:rPr>
      </w:pPr>
      <w:proofErr w:type="spellStart"/>
      <w:r>
        <w:rPr>
          <w:rFonts w:cstheme="minorHAnsi"/>
          <w:color w:val="000000"/>
        </w:rPr>
        <w:t>Buvidal</w:t>
      </w:r>
      <w:proofErr w:type="spellEnd"/>
      <w:r>
        <w:rPr>
          <w:rFonts w:cstheme="minorHAnsi"/>
          <w:color w:val="000000"/>
        </w:rPr>
        <w:t xml:space="preserve"> Weekly</w:t>
      </w:r>
      <w:r w:rsidR="00537B68" w:rsidRPr="00367C98">
        <w:rPr>
          <w:rFonts w:cstheme="minorHAnsi"/>
          <w:color w:val="000000"/>
        </w:rPr>
        <w:t xml:space="preserve"> modified</w:t>
      </w:r>
      <w:r w:rsidR="00177D15">
        <w:rPr>
          <w:rFonts w:cstheme="minorHAnsi"/>
          <w:color w:val="000000"/>
        </w:rPr>
        <w:t xml:space="preserve"> </w:t>
      </w:r>
      <w:r w:rsidR="00537B68" w:rsidRPr="00367C98">
        <w:rPr>
          <w:rFonts w:cstheme="minorHAnsi"/>
          <w:color w:val="000000"/>
        </w:rPr>
        <w:t xml:space="preserve">release solutions for injection prefilled syringes contain either 8 mg/0.16 mL, 16 mg/0.32 mL, 24 mg/0.48 mL or 32 mg/0.64 mL buprenorphine as the active ingredient. </w:t>
      </w:r>
    </w:p>
    <w:p w14:paraId="090D8E74" w14:textId="77777777" w:rsidR="00537B68" w:rsidRPr="00367C98" w:rsidRDefault="00537B68" w:rsidP="00537B68">
      <w:pPr>
        <w:autoSpaceDE w:val="0"/>
        <w:autoSpaceDN w:val="0"/>
        <w:adjustRightInd w:val="0"/>
        <w:spacing w:before="60" w:after="60" w:line="240" w:lineRule="auto"/>
        <w:jc w:val="both"/>
        <w:rPr>
          <w:rFonts w:cstheme="minorHAnsi"/>
          <w:color w:val="000000"/>
        </w:rPr>
      </w:pPr>
      <w:r w:rsidRPr="00367C98">
        <w:rPr>
          <w:rFonts w:cstheme="minorHAnsi"/>
          <w:color w:val="000000"/>
        </w:rPr>
        <w:t xml:space="preserve">These strengths also contain small amounts of ethanol absolute. </w:t>
      </w:r>
    </w:p>
    <w:p w14:paraId="5F1E6956" w14:textId="77777777" w:rsidR="00537B68" w:rsidRPr="00367C98" w:rsidRDefault="00537B68" w:rsidP="00537B68">
      <w:pPr>
        <w:autoSpaceDE w:val="0"/>
        <w:autoSpaceDN w:val="0"/>
        <w:adjustRightInd w:val="0"/>
        <w:spacing w:after="0" w:line="240" w:lineRule="auto"/>
        <w:jc w:val="both"/>
        <w:rPr>
          <w:rFonts w:cstheme="minorHAnsi"/>
          <w:color w:val="000000"/>
          <w:u w:val="single"/>
        </w:rPr>
      </w:pPr>
    </w:p>
    <w:p w14:paraId="317FAE3E" w14:textId="77777777" w:rsidR="00537B68" w:rsidRPr="002961D4" w:rsidRDefault="00537B68" w:rsidP="00537B68">
      <w:pPr>
        <w:autoSpaceDE w:val="0"/>
        <w:autoSpaceDN w:val="0"/>
        <w:adjustRightInd w:val="0"/>
        <w:spacing w:after="0" w:line="240" w:lineRule="auto"/>
        <w:jc w:val="both"/>
        <w:rPr>
          <w:rFonts w:cstheme="minorHAnsi"/>
          <w:color w:val="000000"/>
        </w:rPr>
      </w:pPr>
      <w:r w:rsidRPr="002961D4">
        <w:rPr>
          <w:rFonts w:cstheme="minorHAnsi"/>
          <w:color w:val="000000"/>
        </w:rPr>
        <w:t xml:space="preserve">For Full list of excipients, see section 6.1. </w:t>
      </w:r>
    </w:p>
    <w:p w14:paraId="76BF5460" w14:textId="4BC2709F" w:rsidR="001A3992" w:rsidRDefault="001A3992" w:rsidP="00AF5EF6">
      <w:pPr>
        <w:pStyle w:val="Heading1"/>
      </w:pPr>
      <w:r w:rsidRPr="00497C85">
        <w:t>Pharmaceutical form</w:t>
      </w:r>
    </w:p>
    <w:p w14:paraId="7D6768FD" w14:textId="0DBB6D2E" w:rsidR="00EB0405" w:rsidRDefault="00673C69" w:rsidP="00EB0405">
      <w:pPr>
        <w:spacing w:after="0" w:line="240" w:lineRule="auto"/>
      </w:pPr>
      <w:r>
        <w:t>Modified</w:t>
      </w:r>
      <w:r w:rsidR="00177D15">
        <w:t xml:space="preserve"> </w:t>
      </w:r>
      <w:r w:rsidR="00EB0405">
        <w:t>release solution for injection.</w:t>
      </w:r>
    </w:p>
    <w:p w14:paraId="4C52716B" w14:textId="071422C0" w:rsidR="00EB0405" w:rsidRDefault="0076729C" w:rsidP="00EB0405">
      <w:pPr>
        <w:spacing w:after="0" w:line="240" w:lineRule="auto"/>
        <w:rPr>
          <w:noProof/>
        </w:rPr>
      </w:pPr>
      <w:r>
        <w:rPr>
          <w:noProof/>
        </w:rPr>
        <w:t>Y</w:t>
      </w:r>
      <w:r w:rsidR="00EB0405" w:rsidRPr="00631ADB">
        <w:rPr>
          <w:noProof/>
        </w:rPr>
        <w:t>ellowish to yellow clear liquid</w:t>
      </w:r>
      <w:r w:rsidR="00EB0405">
        <w:rPr>
          <w:noProof/>
        </w:rPr>
        <w:t xml:space="preserve"> </w:t>
      </w:r>
      <w:proofErr w:type="spellStart"/>
      <w:r w:rsidR="00EB0405">
        <w:rPr>
          <w:lang w:val="en-GB"/>
        </w:rPr>
        <w:t>i</w:t>
      </w:r>
      <w:proofErr w:type="spellEnd"/>
      <w:r w:rsidR="00EB0405">
        <w:rPr>
          <w:noProof/>
        </w:rPr>
        <w:t>n a pre-filled syringe.</w:t>
      </w:r>
    </w:p>
    <w:p w14:paraId="2514E488" w14:textId="77777777" w:rsidR="001A3992" w:rsidRPr="00497C85" w:rsidRDefault="001A3992" w:rsidP="00AF5EF6">
      <w:pPr>
        <w:pStyle w:val="Heading1"/>
      </w:pPr>
      <w:r w:rsidRPr="00497C85">
        <w:t>Clinical particulars</w:t>
      </w:r>
    </w:p>
    <w:p w14:paraId="2D900069" w14:textId="685E8246" w:rsidR="001A3992" w:rsidRDefault="001A3992" w:rsidP="001A3992">
      <w:pPr>
        <w:pStyle w:val="Heading2"/>
        <w:spacing w:before="0"/>
        <w:rPr>
          <w:rFonts w:cstheme="minorHAnsi"/>
        </w:rPr>
      </w:pPr>
      <w:r w:rsidRPr="00497C85">
        <w:rPr>
          <w:rFonts w:cstheme="minorHAnsi"/>
        </w:rPr>
        <w:t xml:space="preserve">Therapeutic indications </w:t>
      </w:r>
    </w:p>
    <w:p w14:paraId="5139B724" w14:textId="15A4344A" w:rsidR="008B5F6D" w:rsidRDefault="00494FFF" w:rsidP="008B5F6D">
      <w:proofErr w:type="spellStart"/>
      <w:r>
        <w:t>Buvidal</w:t>
      </w:r>
      <w:proofErr w:type="spellEnd"/>
      <w:r>
        <w:t xml:space="preserve"> Weekly </w:t>
      </w:r>
      <w:r w:rsidR="00E83224" w:rsidRPr="001D5DCD">
        <w:rPr>
          <w:rFonts w:eastAsia="CIDFont+F1"/>
          <w:szCs w:val="24"/>
        </w:rPr>
        <w:t xml:space="preserve">is indicated for </w:t>
      </w:r>
      <w:r w:rsidR="00507355" w:rsidRPr="00507355">
        <w:rPr>
          <w:rFonts w:eastAsia="CIDFont+F1"/>
          <w:szCs w:val="24"/>
        </w:rPr>
        <w:t>m</w:t>
      </w:r>
      <w:r w:rsidR="00507355" w:rsidRPr="00507355">
        <w:rPr>
          <w:iCs/>
        </w:rPr>
        <w:t xml:space="preserve">aintenance treatment of opioid dependence within a </w:t>
      </w:r>
      <w:r w:rsidR="00507355">
        <w:rPr>
          <w:iCs/>
        </w:rPr>
        <w:t>f</w:t>
      </w:r>
      <w:r w:rsidR="00507355" w:rsidRPr="00507355">
        <w:rPr>
          <w:iCs/>
        </w:rPr>
        <w:t>ramework of medical, social and psychological support</w:t>
      </w:r>
      <w:r w:rsidR="00507355">
        <w:rPr>
          <w:i/>
          <w:iCs/>
        </w:rPr>
        <w:t>.</w:t>
      </w:r>
    </w:p>
    <w:p w14:paraId="086C8F2B" w14:textId="7CB94F0F" w:rsidR="001A3992" w:rsidRDefault="001A3992" w:rsidP="001A3992">
      <w:pPr>
        <w:pStyle w:val="Heading2"/>
        <w:spacing w:before="0"/>
        <w:rPr>
          <w:rFonts w:cstheme="minorHAnsi"/>
        </w:rPr>
      </w:pPr>
      <w:r w:rsidRPr="00497C85">
        <w:rPr>
          <w:rFonts w:cstheme="minorHAnsi"/>
        </w:rPr>
        <w:t xml:space="preserve">Dose and method of administration </w:t>
      </w:r>
    </w:p>
    <w:p w14:paraId="1EBC186E" w14:textId="3A789ADD" w:rsidR="002961D4" w:rsidRDefault="00960C3B" w:rsidP="002961D4">
      <w:r>
        <w:t xml:space="preserve">Administration of </w:t>
      </w:r>
      <w:proofErr w:type="spellStart"/>
      <w:r w:rsidR="00494FFF">
        <w:t>Buvidal</w:t>
      </w:r>
      <w:proofErr w:type="spellEnd"/>
      <w:r w:rsidR="00494FFF">
        <w:t xml:space="preserve"> Weekly </w:t>
      </w:r>
      <w:r>
        <w:t xml:space="preserve">is restricted to healthcare professionals. </w:t>
      </w:r>
      <w:proofErr w:type="spellStart"/>
      <w:r w:rsidR="00494FFF">
        <w:t>Buvidal</w:t>
      </w:r>
      <w:proofErr w:type="spellEnd"/>
      <w:r w:rsidR="00494FFF">
        <w:t xml:space="preserve"> Weekly </w:t>
      </w:r>
      <w:r w:rsidR="002961D4">
        <w:t xml:space="preserve">is given by subcutaneous injection. </w:t>
      </w:r>
      <w:proofErr w:type="spellStart"/>
      <w:r w:rsidR="00494FFF">
        <w:t>Buvidal</w:t>
      </w:r>
      <w:proofErr w:type="spellEnd"/>
      <w:r w:rsidR="00494FFF">
        <w:t xml:space="preserve"> Weekly </w:t>
      </w:r>
      <w:r w:rsidR="00B67FD8">
        <w:t xml:space="preserve">is indicated for maintenance treatment of opioid dependence </w:t>
      </w:r>
      <w:r w:rsidR="00E7736D" w:rsidRPr="0051418E">
        <w:t>in</w:t>
      </w:r>
      <w:r w:rsidR="007B7EBA" w:rsidRPr="0051418E">
        <w:t xml:space="preserve"> patients</w:t>
      </w:r>
      <w:r w:rsidR="00045740">
        <w:t xml:space="preserve"> who have been stabilised </w:t>
      </w:r>
      <w:r w:rsidR="00E43E06">
        <w:t>on treatment</w:t>
      </w:r>
      <w:r w:rsidR="00045740">
        <w:t xml:space="preserve"> for opioid dependence</w:t>
      </w:r>
      <w:r w:rsidR="00B67FD8">
        <w:t xml:space="preserve">. </w:t>
      </w:r>
      <w:r w:rsidR="007B7EBA">
        <w:t xml:space="preserve"> </w:t>
      </w:r>
    </w:p>
    <w:p w14:paraId="6C567340" w14:textId="3DB5FF50" w:rsidR="007105C2" w:rsidRPr="007105C2" w:rsidRDefault="007105C2" w:rsidP="00960C3B">
      <w:pPr>
        <w:rPr>
          <w:b/>
        </w:rPr>
      </w:pPr>
      <w:r w:rsidRPr="007105C2">
        <w:rPr>
          <w:b/>
        </w:rPr>
        <w:lastRenderedPageBreak/>
        <w:t xml:space="preserve">Precautions to be taken before </w:t>
      </w:r>
      <w:r w:rsidR="0031478B">
        <w:rPr>
          <w:b/>
        </w:rPr>
        <w:t>starting</w:t>
      </w:r>
      <w:r w:rsidR="00E7736D">
        <w:rPr>
          <w:b/>
        </w:rPr>
        <w:t xml:space="preserve"> </w:t>
      </w:r>
      <w:r w:rsidRPr="007105C2">
        <w:rPr>
          <w:b/>
        </w:rPr>
        <w:t>treatment</w:t>
      </w:r>
      <w:r w:rsidR="007B7EBA">
        <w:rPr>
          <w:b/>
        </w:rPr>
        <w:t xml:space="preserve"> </w:t>
      </w:r>
    </w:p>
    <w:p w14:paraId="6AA6B5FD" w14:textId="0A39D840" w:rsidR="007105C2" w:rsidRDefault="007105C2" w:rsidP="007105C2">
      <w:r>
        <w:t>B</w:t>
      </w:r>
      <w:r w:rsidRPr="001114B8">
        <w:t xml:space="preserve">aseline liver function tests and documentation of viral hepatitis status are recommended prior to commencing therapy. Patients who are positive for viral hepatitis, on concomitant medicinal products </w:t>
      </w:r>
      <w:r w:rsidRPr="0037467E">
        <w:t xml:space="preserve">(see </w:t>
      </w:r>
      <w:r w:rsidR="0037467E">
        <w:t xml:space="preserve">section 4.5 </w:t>
      </w:r>
      <w:r w:rsidRPr="0037467E">
        <w:t>INTERACTIONS WITH OTHER MEDICINES</w:t>
      </w:r>
      <w:r w:rsidR="0037467E">
        <w:t xml:space="preserve"> AND OTHER FORMS OF INTERACTIONS</w:t>
      </w:r>
      <w:r w:rsidRPr="001114B8">
        <w:t>) and/or who have existing liver dysfunc</w:t>
      </w:r>
      <w:r w:rsidRPr="00A204C1">
        <w:t>tion are at greater risk of liver injury. Regular monitoring of the liver function is recommended</w:t>
      </w:r>
      <w:r w:rsidRPr="001114B8">
        <w:t>.</w:t>
      </w:r>
    </w:p>
    <w:p w14:paraId="5C1C4723" w14:textId="3AF7D2C9" w:rsidR="00960C3B" w:rsidRPr="0076729C" w:rsidRDefault="007105C2" w:rsidP="0076729C">
      <w:pPr>
        <w:pStyle w:val="Heading3"/>
      </w:pPr>
      <w:r w:rsidRPr="0076729C">
        <w:t>Dosage</w:t>
      </w:r>
    </w:p>
    <w:p w14:paraId="25261168" w14:textId="3FD9E029" w:rsidR="00A94926" w:rsidRDefault="00494FFF" w:rsidP="00AF5EF6">
      <w:proofErr w:type="spellStart"/>
      <w:r>
        <w:t>Buvidal</w:t>
      </w:r>
      <w:proofErr w:type="spellEnd"/>
      <w:r>
        <w:t xml:space="preserve"> Weekly </w:t>
      </w:r>
      <w:r w:rsidR="0085323D">
        <w:t xml:space="preserve">is </w:t>
      </w:r>
      <w:r w:rsidR="0080462E">
        <w:t xml:space="preserve">indicated </w:t>
      </w:r>
      <w:r w:rsidR="00E24272">
        <w:t>for individualised</w:t>
      </w:r>
      <w:r w:rsidR="0085323D" w:rsidRPr="00CC5E06">
        <w:t xml:space="preserve"> therapy</w:t>
      </w:r>
      <w:r w:rsidR="0085323D" w:rsidRPr="00CC5E06" w:rsidDel="00547127">
        <w:t xml:space="preserve"> </w:t>
      </w:r>
      <w:bookmarkStart w:id="0" w:name="_Hlk527622698"/>
      <w:r w:rsidR="00547127">
        <w:t xml:space="preserve">following </w:t>
      </w:r>
      <w:r w:rsidR="0085323D">
        <w:t>stabilis</w:t>
      </w:r>
      <w:r w:rsidR="0085323D" w:rsidRPr="00CC5E06">
        <w:t>ation</w:t>
      </w:r>
      <w:r w:rsidR="00547127">
        <w:t xml:space="preserve"> on sublingual buprenorphine </w:t>
      </w:r>
      <w:r w:rsidR="00774ABC">
        <w:t xml:space="preserve">or buprenorphine/naloxone for at least 7 days. </w:t>
      </w:r>
      <w:r w:rsidR="007B6B0B" w:rsidRPr="007B6B0B">
        <w:t xml:space="preserve">Initiation of treatment with </w:t>
      </w:r>
      <w:proofErr w:type="spellStart"/>
      <w:r w:rsidR="007B6B0B" w:rsidRPr="007B6B0B">
        <w:t>transmucosal</w:t>
      </w:r>
      <w:proofErr w:type="spellEnd"/>
      <w:r w:rsidR="007B6B0B" w:rsidRPr="007B6B0B">
        <w:t xml:space="preserve"> buprenorphine‐containing products should be based on instructions in their appropriate </w:t>
      </w:r>
      <w:r w:rsidR="00E7736D" w:rsidRPr="009443E9">
        <w:t>prescribing information</w:t>
      </w:r>
      <w:r w:rsidR="007B6B0B" w:rsidRPr="009443E9">
        <w:t>.</w:t>
      </w:r>
      <w:bookmarkEnd w:id="0"/>
    </w:p>
    <w:p w14:paraId="52648AB4" w14:textId="2D27C7D3" w:rsidR="0085323D" w:rsidRPr="006A0933" w:rsidRDefault="0085323D" w:rsidP="00AF5EF6">
      <w:pPr>
        <w:rPr>
          <w:lang w:val="en-GB"/>
        </w:rPr>
      </w:pPr>
      <w:r w:rsidRPr="00CC5E06">
        <w:t xml:space="preserve">The depot administration is </w:t>
      </w:r>
      <w:r>
        <w:t>used</w:t>
      </w:r>
      <w:r w:rsidRPr="00CC5E06">
        <w:t xml:space="preserve"> </w:t>
      </w:r>
      <w:r>
        <w:t>to support treatment adherence and avoid misuse and diversion.</w:t>
      </w:r>
    </w:p>
    <w:p w14:paraId="2B16F8AB" w14:textId="24795080" w:rsidR="0085323D" w:rsidRDefault="0085323D" w:rsidP="00AF5EF6">
      <w:pPr>
        <w:pStyle w:val="Heading3"/>
        <w:rPr>
          <w:i/>
          <w:u w:val="single"/>
        </w:rPr>
      </w:pPr>
      <w:r w:rsidRPr="001E5FCE">
        <w:t xml:space="preserve">Transitioning of patients from sublingual buprenorphine to </w:t>
      </w:r>
      <w:proofErr w:type="spellStart"/>
      <w:r w:rsidR="00494FFF">
        <w:t>Buvidal</w:t>
      </w:r>
      <w:proofErr w:type="spellEnd"/>
      <w:r w:rsidR="00494FFF">
        <w:t xml:space="preserve"> Weekly</w:t>
      </w:r>
    </w:p>
    <w:p w14:paraId="2104DA0D" w14:textId="5D11FC8A" w:rsidR="007105C2" w:rsidRPr="007105C2" w:rsidRDefault="0085323D" w:rsidP="002870B6">
      <w:pPr>
        <w:rPr>
          <w:b/>
        </w:rPr>
      </w:pPr>
      <w:r>
        <w:rPr>
          <w:noProof/>
        </w:rPr>
        <w:t>P</w:t>
      </w:r>
      <w:r w:rsidRPr="00030146">
        <w:rPr>
          <w:noProof/>
        </w:rPr>
        <w:t xml:space="preserve">atients </w:t>
      </w:r>
      <w:r w:rsidR="0080462E">
        <w:rPr>
          <w:noProof/>
        </w:rPr>
        <w:t xml:space="preserve">stabilised on </w:t>
      </w:r>
      <w:r>
        <w:rPr>
          <w:noProof/>
        </w:rPr>
        <w:t>sublingual buprenorphine</w:t>
      </w:r>
      <w:r w:rsidR="0080462E">
        <w:rPr>
          <w:noProof/>
        </w:rPr>
        <w:t xml:space="preserve"> </w:t>
      </w:r>
      <w:r w:rsidR="0080462E">
        <w:t>or buprenorphine/naloxone</w:t>
      </w:r>
      <w:r>
        <w:rPr>
          <w:noProof/>
        </w:rPr>
        <w:t xml:space="preserve"> may be transitioned directly to </w:t>
      </w:r>
      <w:r w:rsidR="00494FFF">
        <w:rPr>
          <w:noProof/>
        </w:rPr>
        <w:t>Buvidal Weekly</w:t>
      </w:r>
      <w:r w:rsidR="002870B6">
        <w:t>,</w:t>
      </w:r>
      <w:r>
        <w:t xml:space="preserve"> starting on the day after the last daily sublingual treatment dose</w:t>
      </w:r>
      <w:r w:rsidR="0002020C">
        <w:t xml:space="preserve">. </w:t>
      </w:r>
      <w:r w:rsidR="0002020C">
        <w:rPr>
          <w:noProof/>
        </w:rPr>
        <w:t xml:space="preserve">Please see </w:t>
      </w:r>
      <w:r w:rsidR="002358F3">
        <w:rPr>
          <w:noProof/>
        </w:rPr>
        <w:t>Table</w:t>
      </w:r>
      <w:r w:rsidR="00197133">
        <w:rPr>
          <w:noProof/>
        </w:rPr>
        <w:t>1</w:t>
      </w:r>
      <w:r w:rsidR="0002020C">
        <w:rPr>
          <w:noProof/>
        </w:rPr>
        <w:t xml:space="preserve"> for transition recommendations</w:t>
      </w:r>
      <w:r>
        <w:rPr>
          <w:noProof/>
        </w:rPr>
        <w:t>.</w:t>
      </w:r>
    </w:p>
    <w:p w14:paraId="05C2C48C" w14:textId="3DE6FCAD" w:rsidR="002358F3" w:rsidRPr="00D21BC4" w:rsidRDefault="002358F3" w:rsidP="002358F3">
      <w:pPr>
        <w:rPr>
          <w:b/>
        </w:rPr>
      </w:pPr>
      <w:r w:rsidRPr="00D21BC4">
        <w:rPr>
          <w:rFonts w:asciiTheme="majorHAnsi" w:hAnsiTheme="majorHAnsi" w:cstheme="minorHAnsi"/>
          <w:b/>
        </w:rPr>
        <w:t xml:space="preserve">Table 1. Sublingual buprenorphine daily treatment doses and recommended corresponding doses of </w:t>
      </w:r>
      <w:proofErr w:type="spellStart"/>
      <w:r w:rsidRPr="00D21BC4">
        <w:rPr>
          <w:rFonts w:asciiTheme="majorHAnsi" w:hAnsiTheme="majorHAnsi" w:cstheme="minorHAnsi"/>
          <w:b/>
        </w:rPr>
        <w:t>Buvidal</w:t>
      </w:r>
      <w:proofErr w:type="spellEnd"/>
      <w:r w:rsidRPr="00D21BC4">
        <w:rPr>
          <w:rFonts w:asciiTheme="majorHAnsi" w:hAnsiTheme="majorHAnsi" w:cstheme="minorHAnsi"/>
          <w:b/>
        </w:rPr>
        <w:t xml:space="preserve"> Weekly and </w:t>
      </w:r>
      <w:proofErr w:type="spellStart"/>
      <w:r w:rsidRPr="00D21BC4">
        <w:rPr>
          <w:rFonts w:asciiTheme="majorHAnsi" w:hAnsiTheme="majorHAnsi" w:cstheme="minorHAnsi"/>
          <w:b/>
        </w:rPr>
        <w:t>Buvidal</w:t>
      </w:r>
      <w:proofErr w:type="spellEnd"/>
      <w:r w:rsidRPr="00D21BC4">
        <w:rPr>
          <w:rFonts w:asciiTheme="majorHAnsi" w:hAnsiTheme="majorHAnsi" w:cstheme="minorHAnsi"/>
          <w:b/>
        </w:rPr>
        <w:t xml:space="preserve"> Monthly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02"/>
        <w:gridCol w:w="3002"/>
      </w:tblGrid>
      <w:tr w:rsidR="002358F3" w:rsidRPr="006100DF" w14:paraId="614FCA28" w14:textId="77777777" w:rsidTr="00507355">
        <w:tc>
          <w:tcPr>
            <w:tcW w:w="3012" w:type="dxa"/>
            <w:shd w:val="clear" w:color="auto" w:fill="auto"/>
          </w:tcPr>
          <w:p w14:paraId="1BFADE5E" w14:textId="77777777" w:rsidR="002358F3" w:rsidRPr="00376086" w:rsidRDefault="002358F3" w:rsidP="00507355">
            <w:pPr>
              <w:pStyle w:val="A-TableTopHeadings"/>
              <w:spacing w:before="0" w:after="0" w:line="240" w:lineRule="auto"/>
              <w:rPr>
                <w:rFonts w:asciiTheme="majorHAnsi" w:hAnsiTheme="majorHAnsi" w:cstheme="minorHAnsi"/>
                <w:szCs w:val="22"/>
              </w:rPr>
            </w:pPr>
            <w:r w:rsidRPr="00376086">
              <w:rPr>
                <w:rFonts w:asciiTheme="majorHAnsi" w:hAnsiTheme="majorHAnsi" w:cstheme="minorHAnsi"/>
                <w:szCs w:val="22"/>
              </w:rPr>
              <w:t xml:space="preserve">Dose of daily sublingual buprenorphine </w:t>
            </w:r>
          </w:p>
        </w:tc>
        <w:tc>
          <w:tcPr>
            <w:tcW w:w="3002" w:type="dxa"/>
            <w:shd w:val="clear" w:color="auto" w:fill="auto"/>
          </w:tcPr>
          <w:p w14:paraId="02318145" w14:textId="77777777" w:rsidR="002358F3" w:rsidRPr="00376086" w:rsidRDefault="002358F3" w:rsidP="00507355">
            <w:pPr>
              <w:pStyle w:val="A-TableTopHeadings"/>
              <w:spacing w:before="0" w:after="0" w:line="240" w:lineRule="auto"/>
              <w:rPr>
                <w:rFonts w:asciiTheme="majorHAnsi" w:hAnsiTheme="majorHAnsi" w:cstheme="minorHAnsi"/>
                <w:szCs w:val="22"/>
                <w:vertAlign w:val="superscript"/>
                <w:lang w:val="en-GB"/>
              </w:rPr>
            </w:pPr>
            <w:r w:rsidRPr="00376086">
              <w:rPr>
                <w:rFonts w:asciiTheme="majorHAnsi" w:hAnsiTheme="majorHAnsi" w:cstheme="minorHAnsi"/>
                <w:szCs w:val="22"/>
              </w:rPr>
              <w:t xml:space="preserve">Dose of </w:t>
            </w:r>
            <w:proofErr w:type="spellStart"/>
            <w:r>
              <w:rPr>
                <w:rFonts w:asciiTheme="majorHAnsi" w:hAnsiTheme="majorHAnsi" w:cstheme="minorHAnsi"/>
                <w:szCs w:val="22"/>
              </w:rPr>
              <w:t>Buvidal</w:t>
            </w:r>
            <w:proofErr w:type="spellEnd"/>
            <w:r w:rsidRPr="00376086">
              <w:rPr>
                <w:rFonts w:asciiTheme="majorHAnsi" w:hAnsiTheme="majorHAnsi" w:cstheme="minorHAnsi"/>
                <w:szCs w:val="22"/>
              </w:rPr>
              <w:t xml:space="preserve"> </w:t>
            </w:r>
            <w:r>
              <w:rPr>
                <w:rFonts w:asciiTheme="majorHAnsi" w:hAnsiTheme="majorHAnsi" w:cstheme="minorHAnsi"/>
                <w:szCs w:val="22"/>
              </w:rPr>
              <w:t>Weekly</w:t>
            </w:r>
          </w:p>
        </w:tc>
        <w:tc>
          <w:tcPr>
            <w:tcW w:w="3002" w:type="dxa"/>
            <w:shd w:val="clear" w:color="auto" w:fill="auto"/>
          </w:tcPr>
          <w:p w14:paraId="4038E256" w14:textId="77777777" w:rsidR="002358F3" w:rsidRPr="00376086" w:rsidRDefault="002358F3" w:rsidP="00507355">
            <w:pPr>
              <w:pStyle w:val="A-TableTopHeadings"/>
              <w:spacing w:before="0" w:after="0" w:line="240" w:lineRule="auto"/>
              <w:rPr>
                <w:rFonts w:asciiTheme="majorHAnsi" w:hAnsiTheme="majorHAnsi" w:cstheme="minorHAnsi"/>
                <w:szCs w:val="22"/>
              </w:rPr>
            </w:pPr>
            <w:r w:rsidRPr="00376086">
              <w:rPr>
                <w:rFonts w:asciiTheme="majorHAnsi" w:hAnsiTheme="majorHAnsi" w:cstheme="minorHAnsi"/>
                <w:szCs w:val="22"/>
              </w:rPr>
              <w:t>Dose of</w:t>
            </w:r>
            <w:r>
              <w:rPr>
                <w:rFonts w:asciiTheme="majorHAnsi" w:hAnsiTheme="majorHAnsi" w:cstheme="minorHAnsi"/>
                <w:szCs w:val="22"/>
              </w:rPr>
              <w:t xml:space="preserve"> </w:t>
            </w:r>
            <w:proofErr w:type="spellStart"/>
            <w:r>
              <w:rPr>
                <w:rFonts w:asciiTheme="majorHAnsi" w:hAnsiTheme="majorHAnsi" w:cstheme="minorHAnsi"/>
                <w:szCs w:val="22"/>
              </w:rPr>
              <w:t>Buvidal</w:t>
            </w:r>
            <w:proofErr w:type="spellEnd"/>
            <w:r w:rsidRPr="00376086">
              <w:rPr>
                <w:rFonts w:asciiTheme="majorHAnsi" w:hAnsiTheme="majorHAnsi" w:cstheme="minorHAnsi"/>
                <w:szCs w:val="22"/>
              </w:rPr>
              <w:t xml:space="preserve"> </w:t>
            </w:r>
            <w:r>
              <w:rPr>
                <w:rFonts w:asciiTheme="majorHAnsi" w:hAnsiTheme="majorHAnsi" w:cstheme="minorHAnsi"/>
                <w:szCs w:val="22"/>
              </w:rPr>
              <w:t>Monthly</w:t>
            </w:r>
          </w:p>
        </w:tc>
      </w:tr>
      <w:tr w:rsidR="002358F3" w:rsidRPr="006100DF" w14:paraId="52A940D6" w14:textId="77777777" w:rsidTr="00507355">
        <w:tc>
          <w:tcPr>
            <w:tcW w:w="3012" w:type="dxa"/>
            <w:shd w:val="clear" w:color="auto" w:fill="auto"/>
          </w:tcPr>
          <w:p w14:paraId="4D0B4F93"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2-6 mg</w:t>
            </w:r>
          </w:p>
        </w:tc>
        <w:tc>
          <w:tcPr>
            <w:tcW w:w="3002" w:type="dxa"/>
            <w:shd w:val="clear" w:color="auto" w:fill="auto"/>
          </w:tcPr>
          <w:p w14:paraId="45F89B96"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8 mg </w:t>
            </w:r>
          </w:p>
        </w:tc>
        <w:tc>
          <w:tcPr>
            <w:tcW w:w="3002" w:type="dxa"/>
            <w:shd w:val="clear" w:color="auto" w:fill="auto"/>
          </w:tcPr>
          <w:p w14:paraId="6D759385"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lang w:val="sv-SE"/>
              </w:rPr>
            </w:pPr>
          </w:p>
        </w:tc>
      </w:tr>
      <w:tr w:rsidR="002358F3" w:rsidRPr="006100DF" w14:paraId="06FFC1A5" w14:textId="77777777" w:rsidTr="00507355">
        <w:tc>
          <w:tcPr>
            <w:tcW w:w="3012" w:type="dxa"/>
            <w:shd w:val="clear" w:color="auto" w:fill="auto"/>
          </w:tcPr>
          <w:p w14:paraId="422944C2"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8-10 mg </w:t>
            </w:r>
          </w:p>
        </w:tc>
        <w:tc>
          <w:tcPr>
            <w:tcW w:w="3002" w:type="dxa"/>
            <w:shd w:val="clear" w:color="auto" w:fill="auto"/>
          </w:tcPr>
          <w:p w14:paraId="443F9959"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16 mg </w:t>
            </w:r>
          </w:p>
        </w:tc>
        <w:tc>
          <w:tcPr>
            <w:tcW w:w="3002" w:type="dxa"/>
            <w:shd w:val="clear" w:color="auto" w:fill="auto"/>
          </w:tcPr>
          <w:p w14:paraId="56EAC120"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lang w:val="sv-SE"/>
              </w:rPr>
            </w:pPr>
            <w:r w:rsidRPr="00376086">
              <w:rPr>
                <w:rFonts w:asciiTheme="minorHAnsi" w:hAnsiTheme="minorHAnsi" w:cstheme="minorHAnsi"/>
                <w:szCs w:val="22"/>
                <w:lang w:val="sv-SE"/>
              </w:rPr>
              <w:t xml:space="preserve">64 mg </w:t>
            </w:r>
          </w:p>
        </w:tc>
      </w:tr>
      <w:tr w:rsidR="002358F3" w:rsidRPr="006100DF" w14:paraId="27D6B1CB" w14:textId="77777777" w:rsidTr="00507355">
        <w:tc>
          <w:tcPr>
            <w:tcW w:w="3012" w:type="dxa"/>
            <w:shd w:val="clear" w:color="auto" w:fill="auto"/>
          </w:tcPr>
          <w:p w14:paraId="1CB48254"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12-16 mg </w:t>
            </w:r>
          </w:p>
        </w:tc>
        <w:tc>
          <w:tcPr>
            <w:tcW w:w="3002" w:type="dxa"/>
            <w:shd w:val="clear" w:color="auto" w:fill="auto"/>
          </w:tcPr>
          <w:p w14:paraId="53F88A82"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24 mg </w:t>
            </w:r>
          </w:p>
        </w:tc>
        <w:tc>
          <w:tcPr>
            <w:tcW w:w="3002" w:type="dxa"/>
            <w:shd w:val="clear" w:color="auto" w:fill="auto"/>
          </w:tcPr>
          <w:p w14:paraId="00E68DB3"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lang w:val="sv-SE"/>
              </w:rPr>
            </w:pPr>
            <w:r w:rsidRPr="00376086">
              <w:rPr>
                <w:rFonts w:asciiTheme="minorHAnsi" w:hAnsiTheme="minorHAnsi" w:cstheme="minorHAnsi"/>
                <w:szCs w:val="22"/>
                <w:lang w:val="sv-SE"/>
              </w:rPr>
              <w:t xml:space="preserve">96 mg </w:t>
            </w:r>
          </w:p>
        </w:tc>
      </w:tr>
      <w:tr w:rsidR="002358F3" w:rsidRPr="006100DF" w14:paraId="389387A4" w14:textId="77777777" w:rsidTr="00507355">
        <w:tc>
          <w:tcPr>
            <w:tcW w:w="3012" w:type="dxa"/>
            <w:shd w:val="clear" w:color="auto" w:fill="auto"/>
          </w:tcPr>
          <w:p w14:paraId="726F8133"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18-24 mg </w:t>
            </w:r>
          </w:p>
        </w:tc>
        <w:tc>
          <w:tcPr>
            <w:tcW w:w="3002" w:type="dxa"/>
            <w:shd w:val="clear" w:color="auto" w:fill="auto"/>
          </w:tcPr>
          <w:p w14:paraId="3ABC7FAB"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rPr>
            </w:pPr>
            <w:r w:rsidRPr="00376086">
              <w:rPr>
                <w:rFonts w:asciiTheme="minorHAnsi" w:hAnsiTheme="minorHAnsi" w:cstheme="minorHAnsi"/>
                <w:szCs w:val="22"/>
              </w:rPr>
              <w:t xml:space="preserve">32 mg </w:t>
            </w:r>
          </w:p>
        </w:tc>
        <w:tc>
          <w:tcPr>
            <w:tcW w:w="3002" w:type="dxa"/>
            <w:shd w:val="clear" w:color="auto" w:fill="auto"/>
          </w:tcPr>
          <w:p w14:paraId="6C7AA832" w14:textId="77777777" w:rsidR="002358F3" w:rsidRPr="00376086" w:rsidRDefault="002358F3" w:rsidP="00507355">
            <w:pPr>
              <w:pStyle w:val="A-TableText"/>
              <w:keepNext/>
              <w:spacing w:before="0" w:after="0" w:line="240" w:lineRule="auto"/>
              <w:jc w:val="center"/>
              <w:rPr>
                <w:rFonts w:asciiTheme="minorHAnsi" w:hAnsiTheme="minorHAnsi" w:cstheme="minorHAnsi"/>
                <w:szCs w:val="22"/>
                <w:lang w:val="sv-SE"/>
              </w:rPr>
            </w:pPr>
            <w:r w:rsidRPr="00376086">
              <w:rPr>
                <w:rFonts w:asciiTheme="minorHAnsi" w:hAnsiTheme="minorHAnsi" w:cstheme="minorHAnsi"/>
                <w:szCs w:val="22"/>
                <w:lang w:val="sv-SE"/>
              </w:rPr>
              <w:t xml:space="preserve">128 mg </w:t>
            </w:r>
          </w:p>
        </w:tc>
      </w:tr>
    </w:tbl>
    <w:p w14:paraId="3944726C" w14:textId="67D5E155" w:rsidR="0085323D" w:rsidRPr="00AF5EF6" w:rsidRDefault="0085323D" w:rsidP="00AF5EF6">
      <w:pPr>
        <w:pStyle w:val="Caption"/>
      </w:pPr>
    </w:p>
    <w:p w14:paraId="1F2A7813" w14:textId="5231CABC" w:rsidR="006B2247" w:rsidRDefault="006B2247" w:rsidP="00AF5EF6">
      <w:pPr>
        <w:pStyle w:val="Heading3"/>
      </w:pPr>
      <w:r w:rsidRPr="003D3005">
        <w:t>Maintenance treatment and dose adjustments</w:t>
      </w:r>
    </w:p>
    <w:p w14:paraId="3B4D2E6B" w14:textId="304E1969" w:rsidR="006B2247" w:rsidRPr="003D3005" w:rsidRDefault="004E0E67" w:rsidP="00AF5EF6">
      <w:pPr>
        <w:rPr>
          <w:szCs w:val="24"/>
        </w:rPr>
      </w:pPr>
      <w:r>
        <w:rPr>
          <w:noProof/>
        </w:rPr>
        <w:t>Buvidal</w:t>
      </w:r>
      <w:r w:rsidR="006B2247" w:rsidRPr="003D3005">
        <w:rPr>
          <w:noProof/>
        </w:rPr>
        <w:t xml:space="preserve"> </w:t>
      </w:r>
      <w:r w:rsidR="00C1082B">
        <w:rPr>
          <w:noProof/>
        </w:rPr>
        <w:t>W</w:t>
      </w:r>
      <w:r w:rsidR="00F157EC">
        <w:rPr>
          <w:noProof/>
        </w:rPr>
        <w:t xml:space="preserve">eekly </w:t>
      </w:r>
      <w:r w:rsidR="006B2247" w:rsidRPr="003D3005">
        <w:rPr>
          <w:noProof/>
        </w:rPr>
        <w:t xml:space="preserve">should be administered according to individual patient’s needs </w:t>
      </w:r>
      <w:r w:rsidR="002D239F">
        <w:rPr>
          <w:noProof/>
        </w:rPr>
        <w:t>as well as</w:t>
      </w:r>
      <w:r w:rsidR="006B2247" w:rsidRPr="003D3005">
        <w:rPr>
          <w:noProof/>
        </w:rPr>
        <w:t xml:space="preserve"> clinical judgement</w:t>
      </w:r>
      <w:r w:rsidR="00FC7390">
        <w:rPr>
          <w:noProof/>
        </w:rPr>
        <w:t>,</w:t>
      </w:r>
      <w:r w:rsidR="006B2247" w:rsidRPr="003D3005">
        <w:rPr>
          <w:noProof/>
        </w:rPr>
        <w:t xml:space="preserve"> at doses established after switching. If required, patients may receive an </w:t>
      </w:r>
      <w:r w:rsidR="006B2247" w:rsidRPr="003D3005">
        <w:t xml:space="preserve">additional 8 mg injection during a dosing period, up to a maximum dose of 32 mg. </w:t>
      </w:r>
    </w:p>
    <w:p w14:paraId="1AFA9D95" w14:textId="64B76B12" w:rsidR="006B2247" w:rsidRDefault="006B2247" w:rsidP="00AF5EF6">
      <w:pPr>
        <w:pStyle w:val="Heading3"/>
      </w:pPr>
      <w:r w:rsidRPr="003D3005">
        <w:rPr>
          <w:noProof/>
        </w:rPr>
        <w:t xml:space="preserve">Transitioning patients between </w:t>
      </w:r>
      <w:r w:rsidR="001E5C85">
        <w:rPr>
          <w:noProof/>
        </w:rPr>
        <w:t>Buvidal Weekly and Buvidal Monthly</w:t>
      </w:r>
    </w:p>
    <w:p w14:paraId="1431BD13" w14:textId="1E9CD58F" w:rsidR="006B2247" w:rsidRDefault="006B2247" w:rsidP="00AF5EF6">
      <w:pPr>
        <w:rPr>
          <w:noProof/>
        </w:rPr>
      </w:pPr>
      <w:r w:rsidRPr="003D3005">
        <w:rPr>
          <w:noProof/>
        </w:rPr>
        <w:t>Patients may be switched from weekly to monthly dosing or from monthly to weekly dosing based on the recommendations in</w:t>
      </w:r>
      <w:r>
        <w:rPr>
          <w:noProof/>
        </w:rPr>
        <w:t xml:space="preserve"> </w:t>
      </w:r>
      <w:r w:rsidR="00E747A0">
        <w:rPr>
          <w:noProof/>
        </w:rPr>
        <w:t>T</w:t>
      </w:r>
      <w:r>
        <w:rPr>
          <w:noProof/>
        </w:rPr>
        <w:t xml:space="preserve">able </w:t>
      </w:r>
      <w:r w:rsidR="00197133">
        <w:rPr>
          <w:noProof/>
        </w:rPr>
        <w:t>2</w:t>
      </w:r>
      <w:r w:rsidR="001E5C85">
        <w:rPr>
          <w:noProof/>
        </w:rPr>
        <w:t>.</w:t>
      </w:r>
    </w:p>
    <w:p w14:paraId="3ACE385E" w14:textId="56C2B724" w:rsidR="006B2247" w:rsidRPr="00E12CB0" w:rsidRDefault="006B2247" w:rsidP="00E12CB0">
      <w:pPr>
        <w:pStyle w:val="Caption"/>
      </w:pPr>
      <w:r w:rsidRPr="00E12CB0">
        <w:t xml:space="preserve">Table </w:t>
      </w:r>
      <w:r w:rsidR="00197133" w:rsidRPr="00E12CB0">
        <w:t>2</w:t>
      </w:r>
      <w:r w:rsidRPr="00E12CB0">
        <w:t xml:space="preserve"> Recommended dosing when switching from weekly to monthly dosing or from monthly to weekly dosing</w:t>
      </w:r>
    </w:p>
    <w:tbl>
      <w:tblPr>
        <w:tblW w:w="904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073"/>
      </w:tblGrid>
      <w:tr w:rsidR="006B2247" w:rsidRPr="006B2247" w14:paraId="772B31C4" w14:textId="77777777" w:rsidTr="006B2247">
        <w:trPr>
          <w:cantSplit/>
          <w:trHeight w:val="397"/>
        </w:trPr>
        <w:tc>
          <w:tcPr>
            <w:tcW w:w="3969" w:type="dxa"/>
            <w:shd w:val="clear" w:color="auto" w:fill="auto"/>
            <w:tcMar>
              <w:left w:w="43" w:type="dxa"/>
              <w:right w:w="43" w:type="dxa"/>
            </w:tcMar>
          </w:tcPr>
          <w:p w14:paraId="5FFF753C" w14:textId="7C36A9A8" w:rsidR="006B2247" w:rsidRPr="006B2247" w:rsidRDefault="002D239F" w:rsidP="00E747A0">
            <w:pPr>
              <w:pStyle w:val="TableHeader"/>
              <w:jc w:val="center"/>
            </w:pPr>
            <w:r>
              <w:t>D</w:t>
            </w:r>
            <w:r w:rsidR="006B2247" w:rsidRPr="006B2247">
              <w:t xml:space="preserve">ose of </w:t>
            </w:r>
            <w:proofErr w:type="spellStart"/>
            <w:r w:rsidR="004E0E67">
              <w:t>Buvidal</w:t>
            </w:r>
            <w:proofErr w:type="spellEnd"/>
            <w:r>
              <w:t xml:space="preserve"> Weekly</w:t>
            </w:r>
          </w:p>
        </w:tc>
        <w:tc>
          <w:tcPr>
            <w:tcW w:w="5073" w:type="dxa"/>
            <w:shd w:val="clear" w:color="auto" w:fill="auto"/>
            <w:tcMar>
              <w:left w:w="43" w:type="dxa"/>
              <w:right w:w="43" w:type="dxa"/>
            </w:tcMar>
          </w:tcPr>
          <w:p w14:paraId="66416E23" w14:textId="581791A2" w:rsidR="006B2247" w:rsidRPr="006B2247" w:rsidRDefault="002D239F" w:rsidP="00E747A0">
            <w:pPr>
              <w:pStyle w:val="TableHeader"/>
              <w:jc w:val="center"/>
            </w:pPr>
            <w:r>
              <w:t>D</w:t>
            </w:r>
            <w:r w:rsidR="006B2247" w:rsidRPr="006B2247">
              <w:t xml:space="preserve">ose of </w:t>
            </w:r>
            <w:proofErr w:type="spellStart"/>
            <w:r w:rsidR="004E0E67">
              <w:t>Buvidal</w:t>
            </w:r>
            <w:proofErr w:type="spellEnd"/>
            <w:r>
              <w:t xml:space="preserve"> Monthly</w:t>
            </w:r>
          </w:p>
        </w:tc>
      </w:tr>
      <w:tr w:rsidR="006B2247" w:rsidRPr="006B2247" w14:paraId="0288B3AE" w14:textId="77777777" w:rsidTr="006B2247">
        <w:trPr>
          <w:cantSplit/>
          <w:trHeight w:val="397"/>
        </w:trPr>
        <w:tc>
          <w:tcPr>
            <w:tcW w:w="3969" w:type="dxa"/>
            <w:shd w:val="clear" w:color="auto" w:fill="auto"/>
            <w:tcMar>
              <w:left w:w="43" w:type="dxa"/>
              <w:right w:w="43" w:type="dxa"/>
            </w:tcMar>
          </w:tcPr>
          <w:p w14:paraId="4F213279" w14:textId="77777777" w:rsidR="006B2247" w:rsidRPr="006B2247" w:rsidRDefault="006B2247" w:rsidP="00E12CB0">
            <w:pPr>
              <w:pStyle w:val="Tabletext"/>
              <w:jc w:val="center"/>
            </w:pPr>
            <w:r w:rsidRPr="006B2247">
              <w:t>16 mg</w:t>
            </w:r>
          </w:p>
        </w:tc>
        <w:tc>
          <w:tcPr>
            <w:tcW w:w="5073" w:type="dxa"/>
            <w:shd w:val="clear" w:color="auto" w:fill="auto"/>
            <w:tcMar>
              <w:left w:w="43" w:type="dxa"/>
              <w:right w:w="43" w:type="dxa"/>
            </w:tcMar>
          </w:tcPr>
          <w:p w14:paraId="479A38FA" w14:textId="77777777" w:rsidR="006B2247" w:rsidRPr="006B2247" w:rsidRDefault="006B2247" w:rsidP="00E12CB0">
            <w:pPr>
              <w:pStyle w:val="Tabletext"/>
              <w:jc w:val="center"/>
            </w:pPr>
            <w:r w:rsidRPr="006B2247">
              <w:t>64 mg</w:t>
            </w:r>
          </w:p>
        </w:tc>
      </w:tr>
      <w:tr w:rsidR="006B2247" w:rsidRPr="006B2247" w14:paraId="7AB9B3B5" w14:textId="77777777" w:rsidTr="006B2247">
        <w:trPr>
          <w:cantSplit/>
          <w:trHeight w:val="397"/>
        </w:trPr>
        <w:tc>
          <w:tcPr>
            <w:tcW w:w="3969" w:type="dxa"/>
            <w:shd w:val="clear" w:color="auto" w:fill="auto"/>
            <w:tcMar>
              <w:left w:w="43" w:type="dxa"/>
              <w:right w:w="43" w:type="dxa"/>
            </w:tcMar>
          </w:tcPr>
          <w:p w14:paraId="5161BA0E" w14:textId="77777777" w:rsidR="006B2247" w:rsidRPr="006B2247" w:rsidRDefault="006B2247" w:rsidP="00E12CB0">
            <w:pPr>
              <w:pStyle w:val="Tabletext"/>
              <w:jc w:val="center"/>
            </w:pPr>
            <w:r w:rsidRPr="006B2247">
              <w:t>24 mg</w:t>
            </w:r>
          </w:p>
        </w:tc>
        <w:tc>
          <w:tcPr>
            <w:tcW w:w="5073" w:type="dxa"/>
            <w:shd w:val="clear" w:color="auto" w:fill="auto"/>
            <w:tcMar>
              <w:left w:w="43" w:type="dxa"/>
              <w:right w:w="43" w:type="dxa"/>
            </w:tcMar>
          </w:tcPr>
          <w:p w14:paraId="2D2B8C7F" w14:textId="77777777" w:rsidR="006B2247" w:rsidRPr="006B2247" w:rsidRDefault="006B2247" w:rsidP="00E12CB0">
            <w:pPr>
              <w:pStyle w:val="Tabletext"/>
              <w:jc w:val="center"/>
            </w:pPr>
            <w:r w:rsidRPr="006B2247">
              <w:t>96 mg</w:t>
            </w:r>
          </w:p>
        </w:tc>
      </w:tr>
      <w:tr w:rsidR="006B2247" w:rsidRPr="006B2247" w14:paraId="61733593" w14:textId="77777777" w:rsidTr="006B2247">
        <w:trPr>
          <w:cantSplit/>
          <w:trHeight w:val="397"/>
        </w:trPr>
        <w:tc>
          <w:tcPr>
            <w:tcW w:w="3969" w:type="dxa"/>
            <w:shd w:val="clear" w:color="auto" w:fill="auto"/>
            <w:tcMar>
              <w:left w:w="43" w:type="dxa"/>
              <w:right w:w="43" w:type="dxa"/>
            </w:tcMar>
          </w:tcPr>
          <w:p w14:paraId="41302336" w14:textId="77777777" w:rsidR="006B2247" w:rsidRPr="006B2247" w:rsidRDefault="006B2247" w:rsidP="00E12CB0">
            <w:pPr>
              <w:pStyle w:val="Tabletext"/>
              <w:jc w:val="center"/>
            </w:pPr>
            <w:r w:rsidRPr="006B2247">
              <w:t>32 mg</w:t>
            </w:r>
          </w:p>
        </w:tc>
        <w:tc>
          <w:tcPr>
            <w:tcW w:w="5073" w:type="dxa"/>
            <w:shd w:val="clear" w:color="auto" w:fill="auto"/>
            <w:tcMar>
              <w:left w:w="43" w:type="dxa"/>
              <w:right w:w="43" w:type="dxa"/>
            </w:tcMar>
          </w:tcPr>
          <w:p w14:paraId="6EC39D37" w14:textId="77777777" w:rsidR="006B2247" w:rsidRPr="006B2247" w:rsidRDefault="006B2247" w:rsidP="00E12CB0">
            <w:pPr>
              <w:pStyle w:val="Tabletext"/>
              <w:jc w:val="center"/>
            </w:pPr>
            <w:r w:rsidRPr="006B2247">
              <w:t>128 mg</w:t>
            </w:r>
          </w:p>
        </w:tc>
      </w:tr>
    </w:tbl>
    <w:p w14:paraId="2ECC8C14" w14:textId="1337A330" w:rsidR="002C039E" w:rsidRPr="004A2B2B" w:rsidRDefault="002C039E" w:rsidP="00E12CB0">
      <w:pPr>
        <w:pStyle w:val="Heading3"/>
      </w:pPr>
      <w:r w:rsidRPr="004A2B2B">
        <w:lastRenderedPageBreak/>
        <w:t xml:space="preserve">Switching from </w:t>
      </w:r>
      <w:proofErr w:type="spellStart"/>
      <w:r w:rsidR="002D239F">
        <w:t>Buvidal</w:t>
      </w:r>
      <w:proofErr w:type="spellEnd"/>
      <w:r w:rsidR="002D239F">
        <w:t xml:space="preserve"> W</w:t>
      </w:r>
      <w:r w:rsidRPr="004A2B2B">
        <w:t xml:space="preserve">eekly to sublingual daily buprenorphine </w:t>
      </w:r>
    </w:p>
    <w:p w14:paraId="6F539EF4" w14:textId="2609E7C7" w:rsidR="00AC0CE7" w:rsidRPr="00AD1F2D" w:rsidRDefault="002C039E" w:rsidP="00A70B85">
      <w:pPr>
        <w:pStyle w:val="Heading3"/>
        <w:rPr>
          <w:b w:val="0"/>
        </w:rPr>
      </w:pPr>
      <w:r w:rsidRPr="00AD1F2D">
        <w:rPr>
          <w:b w:val="0"/>
        </w:rPr>
        <w:t xml:space="preserve">Treatment with sublingual buprenorphine should be initiated one week after the last dose </w:t>
      </w:r>
      <w:r w:rsidR="002D239F" w:rsidRPr="00AD1F2D">
        <w:rPr>
          <w:b w:val="0"/>
        </w:rPr>
        <w:t xml:space="preserve">of </w:t>
      </w:r>
      <w:proofErr w:type="spellStart"/>
      <w:r w:rsidR="002D239F" w:rsidRPr="00AD1F2D">
        <w:rPr>
          <w:b w:val="0"/>
        </w:rPr>
        <w:t>Buvidal</w:t>
      </w:r>
      <w:proofErr w:type="spellEnd"/>
      <w:r w:rsidR="002D239F" w:rsidRPr="00AD1F2D">
        <w:rPr>
          <w:b w:val="0"/>
        </w:rPr>
        <w:t xml:space="preserve"> Weekly </w:t>
      </w:r>
      <w:r w:rsidRPr="00AD1F2D">
        <w:rPr>
          <w:b w:val="0"/>
        </w:rPr>
        <w:t>according to the recommendations in </w:t>
      </w:r>
      <w:r w:rsidR="004446E0" w:rsidRPr="00AD1F2D">
        <w:rPr>
          <w:b w:val="0"/>
        </w:rPr>
        <w:t>Table 1</w:t>
      </w:r>
      <w:r w:rsidR="0066136E" w:rsidRPr="00AD1F2D">
        <w:rPr>
          <w:b w:val="0"/>
        </w:rPr>
        <w:t>.</w:t>
      </w:r>
    </w:p>
    <w:p w14:paraId="7D91BA69" w14:textId="700AF486" w:rsidR="002C039E" w:rsidRPr="003D3005" w:rsidRDefault="002C039E" w:rsidP="00A70B85">
      <w:pPr>
        <w:pStyle w:val="Heading3"/>
        <w:rPr>
          <w:noProof/>
        </w:rPr>
      </w:pPr>
      <w:r w:rsidRPr="003D3005">
        <w:rPr>
          <w:noProof/>
        </w:rPr>
        <w:t>Missed doses</w:t>
      </w:r>
    </w:p>
    <w:p w14:paraId="5AA955D7" w14:textId="315F1473" w:rsidR="002C039E" w:rsidRPr="003D3D69" w:rsidRDefault="002C039E" w:rsidP="003D3D69">
      <w:pPr>
        <w:pStyle w:val="Heading4"/>
      </w:pPr>
      <w:r w:rsidRPr="003D3D69">
        <w:t>Dosing windows</w:t>
      </w:r>
    </w:p>
    <w:p w14:paraId="11EFDCA5" w14:textId="1890E5A1" w:rsidR="002C039E" w:rsidRDefault="002C039E" w:rsidP="003D3D69">
      <w:r>
        <w:t xml:space="preserve">To avoid missed doses, the weekly </w:t>
      </w:r>
      <w:r w:rsidRPr="004F14BD">
        <w:t xml:space="preserve">dose </w:t>
      </w:r>
      <w:r>
        <w:t>may be administered up to 2 days before or after the weekly time point</w:t>
      </w:r>
      <w:r w:rsidR="00FD30C5">
        <w:t>.</w:t>
      </w:r>
    </w:p>
    <w:p w14:paraId="39F062EF" w14:textId="77777777" w:rsidR="002C039E" w:rsidRPr="003A1755" w:rsidRDefault="002C039E" w:rsidP="003D3D69">
      <w:pPr>
        <w:pStyle w:val="Heading4"/>
      </w:pPr>
      <w:r w:rsidRPr="003A1755">
        <w:t>Missed doses</w:t>
      </w:r>
    </w:p>
    <w:p w14:paraId="56103F1E" w14:textId="77777777" w:rsidR="002C039E" w:rsidRDefault="002C039E" w:rsidP="003D3D69">
      <w:r>
        <w:t xml:space="preserve">If a dose is missed, the next dose should be administered as soon as practical. </w:t>
      </w:r>
    </w:p>
    <w:p w14:paraId="48524900" w14:textId="419385BF" w:rsidR="002C039E" w:rsidRDefault="002C039E" w:rsidP="00073A4A">
      <w:pPr>
        <w:pStyle w:val="Heading3"/>
      </w:pPr>
      <w:r w:rsidRPr="00B95166">
        <w:t>Termination of treatment</w:t>
      </w:r>
    </w:p>
    <w:p w14:paraId="17C75C72" w14:textId="09C60C16" w:rsidR="002C039E" w:rsidRDefault="002C039E" w:rsidP="00073A4A">
      <w:r>
        <w:t xml:space="preserve">If </w:t>
      </w:r>
      <w:proofErr w:type="spellStart"/>
      <w:r w:rsidR="00196AF6">
        <w:t>Buvidal</w:t>
      </w:r>
      <w:proofErr w:type="spellEnd"/>
      <w:r w:rsidR="00196AF6">
        <w:t xml:space="preserve"> Weekly </w:t>
      </w:r>
      <w:r>
        <w:t xml:space="preserve">treatment is discontinued, its </w:t>
      </w:r>
      <w:r w:rsidR="00673C69">
        <w:t>modified</w:t>
      </w:r>
      <w:r w:rsidR="00177D15">
        <w:t xml:space="preserve"> </w:t>
      </w:r>
      <w:r>
        <w:t xml:space="preserve">release characteristics must be considered. </w:t>
      </w:r>
    </w:p>
    <w:p w14:paraId="07E62663" w14:textId="4A06649E" w:rsidR="005F6C5F" w:rsidRPr="005F6C5F" w:rsidRDefault="005F6C5F" w:rsidP="00073A4A">
      <w:pPr>
        <w:pStyle w:val="Heading3"/>
      </w:pPr>
      <w:r w:rsidRPr="005F6C5F">
        <w:t>Method of administration</w:t>
      </w:r>
    </w:p>
    <w:p w14:paraId="373DEEDE" w14:textId="0DCA5D1F" w:rsidR="005F6C5F" w:rsidRPr="0021004F" w:rsidRDefault="00196AF6" w:rsidP="00073A4A">
      <w:proofErr w:type="spellStart"/>
      <w:r>
        <w:t>Buvidal</w:t>
      </w:r>
      <w:proofErr w:type="spellEnd"/>
      <w:r>
        <w:t xml:space="preserve"> Weekly </w:t>
      </w:r>
      <w:r w:rsidR="005F6C5F" w:rsidRPr="0021004F">
        <w:t xml:space="preserve">is intended for subcutaneous use only. It should be injected slowly, into the subcutaneous tissue of the buttock, thigh, abdomen, or upper arm, provided there is sufficient subcutaneous tissue. </w:t>
      </w:r>
    </w:p>
    <w:p w14:paraId="5E018A85" w14:textId="77777777" w:rsidR="005F6C5F" w:rsidRDefault="005F6C5F" w:rsidP="00073A4A">
      <w:r w:rsidRPr="00C86BDD">
        <w:t xml:space="preserve">Each injection </w:t>
      </w:r>
      <w:r>
        <w:t xml:space="preserve">must be </w:t>
      </w:r>
      <w:r w:rsidRPr="00C86BDD">
        <w:t>administered</w:t>
      </w:r>
      <w:r>
        <w:t xml:space="preserve"> by a healthcare professional.</w:t>
      </w:r>
    </w:p>
    <w:p w14:paraId="06F7D907" w14:textId="2763196C" w:rsidR="005F6C5F" w:rsidRDefault="005F6C5F" w:rsidP="00073A4A">
      <w:r>
        <w:t>The a</w:t>
      </w:r>
      <w:r w:rsidRPr="00C86BDD">
        <w:t>dminist</w:t>
      </w:r>
      <w:r>
        <w:t>ered dose</w:t>
      </w:r>
      <w:r w:rsidRPr="00C86BDD">
        <w:t xml:space="preserve"> should be in a single injection</w:t>
      </w:r>
      <w:r>
        <w:t xml:space="preserve"> and not divided</w:t>
      </w:r>
      <w:r w:rsidRPr="00C86BDD">
        <w:t xml:space="preserve">. </w:t>
      </w:r>
      <w:r w:rsidRPr="0052536C">
        <w:rPr>
          <w:szCs w:val="24"/>
        </w:rPr>
        <w:t>EACH PRE-FILLED SYRINGE OF</w:t>
      </w:r>
      <w:r>
        <w:rPr>
          <w:szCs w:val="24"/>
        </w:rPr>
        <w:t xml:space="preserve"> </w:t>
      </w:r>
      <w:r w:rsidR="00196AF6">
        <w:t xml:space="preserve">BUVIDAL WEEKLY </w:t>
      </w:r>
      <w:r w:rsidRPr="0052536C">
        <w:rPr>
          <w:szCs w:val="24"/>
        </w:rPr>
        <w:t>IS FOR SINGLE USE IN ONE PATIENT ONLY. DISCARD</w:t>
      </w:r>
      <w:r>
        <w:rPr>
          <w:szCs w:val="24"/>
        </w:rPr>
        <w:t xml:space="preserve"> </w:t>
      </w:r>
      <w:r w:rsidRPr="0052536C">
        <w:rPr>
          <w:szCs w:val="24"/>
        </w:rPr>
        <w:t>ANY RESIDUE.</w:t>
      </w:r>
      <w:r>
        <w:rPr>
          <w:szCs w:val="24"/>
        </w:rPr>
        <w:t xml:space="preserve"> </w:t>
      </w:r>
    </w:p>
    <w:p w14:paraId="6D4D9611" w14:textId="1FD30FB1" w:rsidR="005F6C5F" w:rsidRPr="0052536C" w:rsidRDefault="005F6C5F" w:rsidP="00073A4A">
      <w:pPr>
        <w:rPr>
          <w:szCs w:val="24"/>
        </w:rPr>
      </w:pPr>
      <w:r w:rsidRPr="0052536C">
        <w:rPr>
          <w:szCs w:val="24"/>
        </w:rPr>
        <w:t xml:space="preserve">Parenteral drug products should be inspected visually for particulate matter and discolouration prior to administration, whenever solution and container permit. Do not use </w:t>
      </w:r>
      <w:proofErr w:type="spellStart"/>
      <w:r w:rsidR="00196AF6">
        <w:t>Buvidal</w:t>
      </w:r>
      <w:proofErr w:type="spellEnd"/>
      <w:r w:rsidR="00196AF6">
        <w:t xml:space="preserve"> Weekly </w:t>
      </w:r>
      <w:r w:rsidRPr="0052536C">
        <w:rPr>
          <w:szCs w:val="24"/>
        </w:rPr>
        <w:t xml:space="preserve">prefilled syringes exhibiting particulate matter or discolouration. </w:t>
      </w:r>
    </w:p>
    <w:p w14:paraId="5482F0AD" w14:textId="77777777" w:rsidR="005F6C5F" w:rsidRDefault="005F6C5F" w:rsidP="00073A4A">
      <w:r>
        <w:t>Injection sites should be rotated</w:t>
      </w:r>
      <w:r w:rsidRPr="00C86BDD">
        <w:t xml:space="preserve"> </w:t>
      </w:r>
      <w:r>
        <w:t xml:space="preserve">between injections. </w:t>
      </w:r>
      <w:r w:rsidRPr="00C86BDD">
        <w:t xml:space="preserve">The dose </w:t>
      </w:r>
      <w:r>
        <w:t>must</w:t>
      </w:r>
      <w:r w:rsidRPr="00C86BDD">
        <w:t xml:space="preserve"> not be administered </w:t>
      </w:r>
      <w:proofErr w:type="spellStart"/>
      <w:r w:rsidRPr="00C86BDD">
        <w:t>intravascularly</w:t>
      </w:r>
      <w:proofErr w:type="spellEnd"/>
      <w:r>
        <w:t xml:space="preserve"> or </w:t>
      </w:r>
      <w:proofErr w:type="spellStart"/>
      <w:r>
        <w:t>intradermally</w:t>
      </w:r>
      <w:proofErr w:type="spellEnd"/>
      <w:r w:rsidRPr="00C86BDD">
        <w:t>.</w:t>
      </w:r>
    </w:p>
    <w:p w14:paraId="39F757DE" w14:textId="49640E80" w:rsidR="005F6C5F" w:rsidRDefault="005F6C5F" w:rsidP="00AF5EF6">
      <w:pPr>
        <w:pStyle w:val="Heading3"/>
      </w:pPr>
      <w:r>
        <w:t>Special Populations</w:t>
      </w:r>
    </w:p>
    <w:p w14:paraId="50C7CFFD" w14:textId="7F173FCB" w:rsidR="005F6C5F" w:rsidRDefault="005F6C5F" w:rsidP="00AF5EF6">
      <w:pPr>
        <w:pStyle w:val="Heading3"/>
      </w:pPr>
      <w:r w:rsidRPr="002C4292">
        <w:t>Elderly</w:t>
      </w:r>
    </w:p>
    <w:p w14:paraId="1C82EC56" w14:textId="77777777" w:rsidR="005F6C5F" w:rsidRPr="00D141AD" w:rsidRDefault="005F6C5F" w:rsidP="005F6C5F">
      <w:r>
        <w:t xml:space="preserve">The </w:t>
      </w:r>
      <w:r w:rsidRPr="00D141AD">
        <w:t xml:space="preserve">efficacy and safety </w:t>
      </w:r>
      <w:r>
        <w:t xml:space="preserve">of buprenorphine </w:t>
      </w:r>
      <w:r w:rsidRPr="00D141AD">
        <w:t xml:space="preserve">in elderly </w:t>
      </w:r>
      <w:r>
        <w:t xml:space="preserve">patients </w:t>
      </w:r>
      <w:r w:rsidRPr="00D141AD">
        <w:t>&gt;</w:t>
      </w:r>
      <w:r>
        <w:t> </w:t>
      </w:r>
      <w:r w:rsidRPr="00D141AD">
        <w:t>65</w:t>
      </w:r>
      <w:r>
        <w:t> </w:t>
      </w:r>
      <w:r w:rsidRPr="00D141AD">
        <w:t>years ha</w:t>
      </w:r>
      <w:r>
        <w:t>s</w:t>
      </w:r>
      <w:r w:rsidRPr="00D141AD">
        <w:t xml:space="preserve"> not been established.</w:t>
      </w:r>
    </w:p>
    <w:p w14:paraId="65B16765" w14:textId="7F0DA967" w:rsidR="005F6C5F" w:rsidRDefault="005F6C5F" w:rsidP="005F6C5F">
      <w:r w:rsidRPr="00D141AD">
        <w:t>In general, recommended dosing of</w:t>
      </w:r>
      <w:r w:rsidRPr="00252E3D">
        <w:t xml:space="preserve"> </w:t>
      </w:r>
      <w:proofErr w:type="spellStart"/>
      <w:r w:rsidR="00196AF6">
        <w:t>Buvidal</w:t>
      </w:r>
      <w:proofErr w:type="spellEnd"/>
      <w:r w:rsidR="00196AF6">
        <w:t xml:space="preserve"> Weekly</w:t>
      </w:r>
      <w:r>
        <w:rPr>
          <w:i/>
        </w:rPr>
        <w:t xml:space="preserve"> </w:t>
      </w:r>
      <w:r w:rsidRPr="00D141AD">
        <w:t>for elderly patients with normal renal function is the same as for younger adult pat</w:t>
      </w:r>
      <w:r w:rsidRPr="0016655C">
        <w:t>ients with normal renal function. However, becaus</w:t>
      </w:r>
      <w:r w:rsidRPr="00252E3D">
        <w:t>e elderly patients may have diminished renal</w:t>
      </w:r>
      <w:r>
        <w:t>/hepatic</w:t>
      </w:r>
      <w:r w:rsidRPr="00D141AD">
        <w:t xml:space="preserve"> function, dose adjustment may be necessary</w:t>
      </w:r>
      <w:r>
        <w:t xml:space="preserve"> (see Renal and Hepatic impairment below).</w:t>
      </w:r>
    </w:p>
    <w:p w14:paraId="61D88AD2" w14:textId="77777777" w:rsidR="005F6C5F" w:rsidRDefault="005F6C5F" w:rsidP="00AF5EF6">
      <w:pPr>
        <w:pStyle w:val="Heading3"/>
        <w:rPr>
          <w:i/>
        </w:rPr>
      </w:pPr>
      <w:r w:rsidRPr="002C4292">
        <w:t>Hepatic impairment</w:t>
      </w:r>
    </w:p>
    <w:p w14:paraId="4B52812A" w14:textId="4ACD5E95" w:rsidR="005F6C5F" w:rsidRDefault="005F6C5F" w:rsidP="005F6C5F">
      <w:r w:rsidRPr="00C22A19">
        <w:t>Buprenorphine should be used with caution in patients with moderate</w:t>
      </w:r>
      <w:r>
        <w:t xml:space="preserve"> </w:t>
      </w:r>
      <w:r w:rsidRPr="00C22A19">
        <w:t xml:space="preserve">hepatic </w:t>
      </w:r>
      <w:r w:rsidRPr="00A65C7F">
        <w:t xml:space="preserve">insufficiency (see </w:t>
      </w:r>
      <w:r w:rsidR="004E7020">
        <w:t xml:space="preserve">section 5.2 </w:t>
      </w:r>
      <w:r w:rsidRPr="00A65C7F">
        <w:t>PHARMACOKINETIC</w:t>
      </w:r>
      <w:r w:rsidR="004E7020">
        <w:t xml:space="preserve"> PROPERTIES</w:t>
      </w:r>
      <w:r w:rsidRPr="00A65C7F">
        <w:t xml:space="preserve">). In patients with severe hepatic insufficiency, the use of buprenorphine is contraindicated (see </w:t>
      </w:r>
      <w:r w:rsidR="004E7020">
        <w:t xml:space="preserve">section 4.3 </w:t>
      </w:r>
      <w:r w:rsidRPr="00A65C7F">
        <w:t>CONTRAINDICATIONS).</w:t>
      </w:r>
    </w:p>
    <w:p w14:paraId="37321129" w14:textId="77777777" w:rsidR="005F6C5F" w:rsidRDefault="005F6C5F" w:rsidP="00AF5EF6">
      <w:pPr>
        <w:pStyle w:val="Heading3"/>
      </w:pPr>
      <w:r w:rsidRPr="002C4292">
        <w:lastRenderedPageBreak/>
        <w:t>Renal impairment</w:t>
      </w:r>
    </w:p>
    <w:p w14:paraId="16C910C3" w14:textId="364C506C" w:rsidR="005F6C5F" w:rsidRPr="00624EE1" w:rsidRDefault="005F6C5F" w:rsidP="005F6C5F">
      <w:r w:rsidRPr="00624EE1">
        <w:t xml:space="preserve">Modification of the buprenorphine dose is not generally required for patients with renal impairment. Caution is recommended when dosing patients with severe renal impairment, </w:t>
      </w:r>
      <w:r>
        <w:t>who</w:t>
      </w:r>
      <w:r w:rsidRPr="00624EE1">
        <w:t xml:space="preserve"> may require dose adjustment (creatinine clearance &lt;</w:t>
      </w:r>
      <w:r>
        <w:t> </w:t>
      </w:r>
      <w:r w:rsidRPr="00624EE1">
        <w:t>30</w:t>
      </w:r>
      <w:r>
        <w:t> </w:t>
      </w:r>
      <w:r w:rsidRPr="00624EE1">
        <w:t>ml/min</w:t>
      </w:r>
      <w:r w:rsidRPr="0006365D">
        <w:t xml:space="preserve">) (see </w:t>
      </w:r>
      <w:r w:rsidR="004E7020">
        <w:t xml:space="preserve">section 5.2 </w:t>
      </w:r>
      <w:r w:rsidRPr="0006365D">
        <w:t>PHARMACOKINETIC</w:t>
      </w:r>
      <w:r w:rsidR="004E7020">
        <w:t xml:space="preserve"> PROPERTIES</w:t>
      </w:r>
      <w:r w:rsidRPr="0006365D">
        <w:t xml:space="preserve"> and </w:t>
      </w:r>
      <w:r w:rsidR="004E7020">
        <w:t xml:space="preserve">section 4.4 SPECIAL WARNINGS AND </w:t>
      </w:r>
      <w:r w:rsidRPr="0006365D">
        <w:t>PRECAUTIONS</w:t>
      </w:r>
      <w:r w:rsidR="004E7020">
        <w:t xml:space="preserve"> FOR USE</w:t>
      </w:r>
      <w:r w:rsidRPr="0006365D">
        <w:t>).</w:t>
      </w:r>
    </w:p>
    <w:p w14:paraId="3A94CB87" w14:textId="77777777" w:rsidR="005F6C5F" w:rsidRDefault="005F6C5F" w:rsidP="00AF5EF6">
      <w:pPr>
        <w:pStyle w:val="Heading3"/>
      </w:pPr>
      <w:r w:rsidRPr="00C23FE8">
        <w:t xml:space="preserve">Paediatric population </w:t>
      </w:r>
    </w:p>
    <w:p w14:paraId="7950C6D7" w14:textId="4A28C5C9" w:rsidR="005F6C5F" w:rsidRDefault="005F6C5F" w:rsidP="005F6C5F">
      <w:r>
        <w:t>The s</w:t>
      </w:r>
      <w:r w:rsidRPr="00C86BDD">
        <w:t xml:space="preserve">afety and efficacy of </w:t>
      </w:r>
      <w:proofErr w:type="spellStart"/>
      <w:r w:rsidR="00196AF6">
        <w:t>Buvidal</w:t>
      </w:r>
      <w:proofErr w:type="spellEnd"/>
      <w:r w:rsidR="00196AF6">
        <w:t xml:space="preserve"> Weekly</w:t>
      </w:r>
      <w:r>
        <w:rPr>
          <w:i/>
        </w:rPr>
        <w:t xml:space="preserve"> </w:t>
      </w:r>
      <w:r w:rsidRPr="00C86BDD">
        <w:t xml:space="preserve">in adolescents </w:t>
      </w:r>
      <w:r>
        <w:t>and children below </w:t>
      </w:r>
      <w:r w:rsidRPr="00C86BDD">
        <w:t>1</w:t>
      </w:r>
      <w:r>
        <w:t>6 </w:t>
      </w:r>
      <w:r w:rsidRPr="00C86BDD">
        <w:t>years of age ha</w:t>
      </w:r>
      <w:r>
        <w:t>s</w:t>
      </w:r>
      <w:r w:rsidRPr="00C86BDD">
        <w:t xml:space="preserve"> not been established</w:t>
      </w:r>
      <w:r>
        <w:t xml:space="preserve">. </w:t>
      </w:r>
      <w:r w:rsidRPr="00C86BDD">
        <w:t xml:space="preserve">No data </w:t>
      </w:r>
      <w:r>
        <w:t xml:space="preserve">are </w:t>
      </w:r>
      <w:r w:rsidRPr="00C86BDD">
        <w:t>available.</w:t>
      </w:r>
      <w:r>
        <w:t xml:space="preserve"> (See</w:t>
      </w:r>
      <w:r w:rsidR="004E7020">
        <w:t xml:space="preserve"> section 4.4 SPECIAL WARNINGS AND PRECAUTIONS FOR USE</w:t>
      </w:r>
      <w:r>
        <w:t xml:space="preserve"> and </w:t>
      </w:r>
      <w:r w:rsidR="004E7020">
        <w:t xml:space="preserve">section 4.3 </w:t>
      </w:r>
      <w:r>
        <w:t>CONTRAINDICATIONS)</w:t>
      </w:r>
    </w:p>
    <w:p w14:paraId="47BD21FD" w14:textId="7E5062ED" w:rsidR="001A3992" w:rsidRDefault="001A3992" w:rsidP="001A3992">
      <w:pPr>
        <w:pStyle w:val="Heading2"/>
        <w:spacing w:before="0"/>
        <w:rPr>
          <w:rFonts w:cstheme="minorHAnsi"/>
        </w:rPr>
      </w:pPr>
      <w:r w:rsidRPr="00497C85">
        <w:rPr>
          <w:rFonts w:cstheme="minorHAnsi"/>
        </w:rPr>
        <w:t>Contraindications</w:t>
      </w:r>
      <w:r w:rsidR="00AE7BFD">
        <w:rPr>
          <w:rFonts w:cstheme="minorHAnsi"/>
        </w:rPr>
        <w:t xml:space="preserve"> </w:t>
      </w:r>
    </w:p>
    <w:p w14:paraId="7BA9A3EB" w14:textId="73877EF9" w:rsidR="00AE7BFD" w:rsidRDefault="00AE7BFD" w:rsidP="00AE7BFD">
      <w:pPr>
        <w:rPr>
          <w:noProof/>
          <w:highlight w:val="yellow"/>
        </w:rPr>
      </w:pPr>
      <w:r w:rsidRPr="00401997">
        <w:rPr>
          <w:noProof/>
        </w:rPr>
        <w:t>Hypersensitivity to buprenorphine or to any of the excipients listed</w:t>
      </w:r>
      <w:r w:rsidR="004E7020">
        <w:rPr>
          <w:noProof/>
        </w:rPr>
        <w:t xml:space="preserve"> in section 6.1</w:t>
      </w:r>
      <w:r w:rsidRPr="004E7020">
        <w:rPr>
          <w:noProof/>
        </w:rPr>
        <w:t>.</w:t>
      </w:r>
      <w:r w:rsidR="006D0F56">
        <w:rPr>
          <w:noProof/>
        </w:rPr>
        <w:t xml:space="preserve"> </w:t>
      </w:r>
    </w:p>
    <w:p w14:paraId="07A8775E" w14:textId="77777777" w:rsidR="00AE7BFD" w:rsidRPr="00401997" w:rsidRDefault="00AE7BFD" w:rsidP="00AE7BFD">
      <w:pPr>
        <w:rPr>
          <w:noProof/>
        </w:rPr>
      </w:pPr>
      <w:r w:rsidRPr="00401997">
        <w:rPr>
          <w:noProof/>
        </w:rPr>
        <w:t>Children less than 16 years of age</w:t>
      </w:r>
    </w:p>
    <w:p w14:paraId="64F7FFFA" w14:textId="77777777" w:rsidR="00AE7BFD" w:rsidRPr="00401997" w:rsidRDefault="00AE7BFD" w:rsidP="00AE7BFD">
      <w:pPr>
        <w:rPr>
          <w:noProof/>
        </w:rPr>
      </w:pPr>
      <w:r w:rsidRPr="00401997">
        <w:rPr>
          <w:noProof/>
        </w:rPr>
        <w:t>Severe respiratory insufficiency</w:t>
      </w:r>
    </w:p>
    <w:p w14:paraId="192407D1" w14:textId="77777777" w:rsidR="00AE7BFD" w:rsidRPr="00401997" w:rsidRDefault="00AE7BFD" w:rsidP="00AE7BFD">
      <w:pPr>
        <w:rPr>
          <w:noProof/>
        </w:rPr>
      </w:pPr>
      <w:r w:rsidRPr="00401997">
        <w:rPr>
          <w:noProof/>
        </w:rPr>
        <w:t>Severe hepatic insufficiency (Child-Pugh C)</w:t>
      </w:r>
    </w:p>
    <w:p w14:paraId="164CA948" w14:textId="6DADCB90" w:rsidR="00AE7BFD" w:rsidRDefault="00AE7BFD" w:rsidP="00AE7BFD">
      <w:pPr>
        <w:rPr>
          <w:noProof/>
        </w:rPr>
      </w:pPr>
      <w:bookmarkStart w:id="1" w:name="_Hlk492544595"/>
      <w:r w:rsidRPr="00C81891">
        <w:rPr>
          <w:noProof/>
        </w:rPr>
        <w:t xml:space="preserve">Acute alcoholism or </w:t>
      </w:r>
      <w:bookmarkEnd w:id="1"/>
      <w:r w:rsidRPr="00C81891">
        <w:rPr>
          <w:noProof/>
        </w:rPr>
        <w:t>delirium tremens</w:t>
      </w:r>
    </w:p>
    <w:p w14:paraId="7E01C03E" w14:textId="2F7410D0" w:rsidR="00F56BA5" w:rsidRDefault="00D77478" w:rsidP="00AE7BFD">
      <w:pPr>
        <w:rPr>
          <w:noProof/>
        </w:rPr>
      </w:pPr>
      <w:r>
        <w:rPr>
          <w:noProof/>
        </w:rPr>
        <w:t xml:space="preserve">Pregnancy </w:t>
      </w:r>
      <w:r w:rsidR="00C21158">
        <w:rPr>
          <w:noProof/>
        </w:rPr>
        <w:t>(see section 4.6 FERTILITY, PREGNANCY AND LACTATION)</w:t>
      </w:r>
    </w:p>
    <w:p w14:paraId="3F673671" w14:textId="39CAE56C" w:rsidR="00D77478" w:rsidRPr="00401997" w:rsidRDefault="00D77478" w:rsidP="00AE7BFD">
      <w:pPr>
        <w:rPr>
          <w:noProof/>
        </w:rPr>
      </w:pPr>
      <w:r>
        <w:rPr>
          <w:noProof/>
        </w:rPr>
        <w:t>Lactation (see section 4.6 FERTILITY, PREGNANCY AND LACTATION)</w:t>
      </w:r>
    </w:p>
    <w:p w14:paraId="3DCDB7AF" w14:textId="041F16F9" w:rsidR="001A3992" w:rsidRDefault="00E74A56" w:rsidP="001A3992">
      <w:pPr>
        <w:pStyle w:val="Heading2"/>
        <w:spacing w:before="0"/>
        <w:rPr>
          <w:rFonts w:cstheme="minorHAnsi"/>
        </w:rPr>
      </w:pPr>
      <w:r w:rsidRPr="00497C85">
        <w:rPr>
          <w:rFonts w:cstheme="minorHAnsi"/>
        </w:rPr>
        <w:t>Special warnings and p</w:t>
      </w:r>
      <w:r w:rsidR="001A3992" w:rsidRPr="00497C85">
        <w:rPr>
          <w:rFonts w:cstheme="minorHAnsi"/>
        </w:rPr>
        <w:t xml:space="preserve">recautions </w:t>
      </w:r>
      <w:r w:rsidRPr="00497C85">
        <w:rPr>
          <w:rFonts w:cstheme="minorHAnsi"/>
        </w:rPr>
        <w:t>for use</w:t>
      </w:r>
    </w:p>
    <w:p w14:paraId="76BD3257" w14:textId="77777777" w:rsidR="00CD10B5" w:rsidRDefault="00CD10B5" w:rsidP="00CD10B5">
      <w:pPr>
        <w:pStyle w:val="Heading3"/>
        <w:rPr>
          <w:lang w:val="en-GB"/>
        </w:rPr>
      </w:pPr>
      <w:r w:rsidRPr="00FB4160">
        <w:rPr>
          <w:lang w:val="en-GB"/>
        </w:rPr>
        <w:t xml:space="preserve">Administration </w:t>
      </w:r>
    </w:p>
    <w:p w14:paraId="4350D660" w14:textId="1938831E" w:rsidR="00BB79E4" w:rsidRDefault="00BB79E4" w:rsidP="00995EE8">
      <w:r w:rsidRPr="004D654E">
        <w:t xml:space="preserve">Care must be taken to avoid inadvertent injection of </w:t>
      </w:r>
      <w:proofErr w:type="spellStart"/>
      <w:r w:rsidR="00196AF6">
        <w:t>Buvidal</w:t>
      </w:r>
      <w:proofErr w:type="spellEnd"/>
      <w:r w:rsidR="00196AF6">
        <w:t xml:space="preserve"> Weekly</w:t>
      </w:r>
      <w:r w:rsidRPr="004D654E">
        <w:rPr>
          <w:i/>
        </w:rPr>
        <w:t xml:space="preserve"> </w:t>
      </w:r>
      <w:r w:rsidRPr="004D654E">
        <w:t xml:space="preserve">into a blood vessel or </w:t>
      </w:r>
      <w:proofErr w:type="spellStart"/>
      <w:r w:rsidRPr="004D654E">
        <w:t>intradermally</w:t>
      </w:r>
      <w:proofErr w:type="spellEnd"/>
      <w:r w:rsidRPr="004D654E">
        <w:t xml:space="preserve"> (into the skin).</w:t>
      </w:r>
    </w:p>
    <w:p w14:paraId="51F0FA01" w14:textId="280ADA3C" w:rsidR="003613FC" w:rsidRPr="000A193F" w:rsidRDefault="00E61096" w:rsidP="00995EE8">
      <w:pPr>
        <w:rPr>
          <w:iCs/>
          <w:noProof/>
        </w:rPr>
      </w:pPr>
      <w:r w:rsidRPr="00995EE8">
        <w:rPr>
          <w:iCs/>
        </w:rPr>
        <w:t xml:space="preserve">Intravenous injection presents significant risk of serious harm or death as </w:t>
      </w:r>
      <w:proofErr w:type="spellStart"/>
      <w:r w:rsidR="00196AF6">
        <w:t>Buvidal</w:t>
      </w:r>
      <w:proofErr w:type="spellEnd"/>
      <w:r w:rsidR="00196AF6">
        <w:t xml:space="preserve"> Weekly</w:t>
      </w:r>
      <w:r w:rsidRPr="00995EE8">
        <w:rPr>
          <w:iCs/>
        </w:rPr>
        <w:t xml:space="preserve"> forms a </w:t>
      </w:r>
      <w:r w:rsidR="00546A07">
        <w:rPr>
          <w:iCs/>
        </w:rPr>
        <w:t>gel depot</w:t>
      </w:r>
      <w:r w:rsidRPr="00995EE8">
        <w:rPr>
          <w:iCs/>
        </w:rPr>
        <w:t xml:space="preserve"> upon contact with body fluids. Occlusion, local tissue damage, and </w:t>
      </w:r>
      <w:proofErr w:type="spellStart"/>
      <w:r w:rsidRPr="00995EE8">
        <w:rPr>
          <w:iCs/>
        </w:rPr>
        <w:t>thrombo</w:t>
      </w:r>
      <w:proofErr w:type="spellEnd"/>
      <w:r w:rsidRPr="00995EE8">
        <w:rPr>
          <w:iCs/>
        </w:rPr>
        <w:t xml:space="preserve">‐embolic events, including life threatening pulmonary emboli </w:t>
      </w:r>
      <w:r w:rsidR="00E63282">
        <w:rPr>
          <w:iCs/>
        </w:rPr>
        <w:t xml:space="preserve">may </w:t>
      </w:r>
      <w:r w:rsidR="00546A07">
        <w:rPr>
          <w:iCs/>
        </w:rPr>
        <w:t>occur</w:t>
      </w:r>
      <w:r w:rsidR="00546A07" w:rsidRPr="00995EE8">
        <w:rPr>
          <w:iCs/>
        </w:rPr>
        <w:t xml:space="preserve"> </w:t>
      </w:r>
      <w:r w:rsidRPr="00995EE8">
        <w:rPr>
          <w:iCs/>
        </w:rPr>
        <w:t>if administered intravenously.</w:t>
      </w:r>
      <w:r>
        <w:rPr>
          <w:i/>
          <w:iCs/>
        </w:rPr>
        <w:t xml:space="preserve"> </w:t>
      </w:r>
    </w:p>
    <w:p w14:paraId="0336435C" w14:textId="77777777" w:rsidR="0041226C" w:rsidRPr="0041226C" w:rsidRDefault="0041226C" w:rsidP="00073A4A">
      <w:pPr>
        <w:pStyle w:val="Heading3"/>
        <w:rPr>
          <w:noProof/>
        </w:rPr>
      </w:pPr>
      <w:r w:rsidRPr="0041226C">
        <w:rPr>
          <w:noProof/>
        </w:rPr>
        <w:t>General</w:t>
      </w:r>
    </w:p>
    <w:p w14:paraId="32016346" w14:textId="4E9D4A3F" w:rsidR="0041226C" w:rsidRPr="00252E3D" w:rsidRDefault="0041226C" w:rsidP="0041226C">
      <w:pPr>
        <w:rPr>
          <w:noProof/>
        </w:rPr>
      </w:pPr>
      <w:r w:rsidRPr="00252E3D">
        <w:rPr>
          <w:noProof/>
        </w:rPr>
        <w:t>Opioids may cause orthostatic hypotension in ambulatory patients.</w:t>
      </w:r>
    </w:p>
    <w:p w14:paraId="7A4A37F0" w14:textId="77777777" w:rsidR="0041226C" w:rsidRPr="00252E3D" w:rsidRDefault="0041226C" w:rsidP="0041226C">
      <w:pPr>
        <w:rPr>
          <w:noProof/>
        </w:rPr>
      </w:pPr>
      <w:r w:rsidRPr="00252E3D">
        <w:rPr>
          <w:noProof/>
        </w:rPr>
        <w:t>Opioids may elevate cerebrospinal fluid pressure, which may cause seizures</w:t>
      </w:r>
      <w:r>
        <w:rPr>
          <w:noProof/>
        </w:rPr>
        <w:t>. Therefore</w:t>
      </w:r>
      <w:r w:rsidRPr="00252E3D">
        <w:rPr>
          <w:noProof/>
        </w:rPr>
        <w:t>, opioids should be used with caution in patients with head injury, intracranial lesions, other circumstances where cerebrospinal pressure may be increased, or history of seizure.</w:t>
      </w:r>
    </w:p>
    <w:p w14:paraId="0C50E548" w14:textId="77777777" w:rsidR="0041226C" w:rsidRPr="00252E3D" w:rsidRDefault="0041226C" w:rsidP="0041226C">
      <w:pPr>
        <w:rPr>
          <w:noProof/>
        </w:rPr>
      </w:pPr>
      <w:r w:rsidRPr="00252E3D">
        <w:rPr>
          <w:noProof/>
        </w:rPr>
        <w:t>Opioids should be used with caution in patients with hypotension, prostatic hypertrophy or urethral stenosis.</w:t>
      </w:r>
    </w:p>
    <w:p w14:paraId="1678AEA3" w14:textId="77777777" w:rsidR="0041226C" w:rsidRPr="00252E3D" w:rsidRDefault="0041226C" w:rsidP="0041226C">
      <w:pPr>
        <w:rPr>
          <w:noProof/>
        </w:rPr>
      </w:pPr>
      <w:r w:rsidRPr="00252E3D">
        <w:rPr>
          <w:noProof/>
        </w:rPr>
        <w:t>Opioid-induced miosis, changes in the level of consciousness or changes in the perception of pain as a symptom of disease may interfere with patient evaluation or obscure the diagnosis or clinical course of concomitant disease.</w:t>
      </w:r>
    </w:p>
    <w:p w14:paraId="2ED04E86" w14:textId="77777777" w:rsidR="0041226C" w:rsidRPr="00252E3D" w:rsidRDefault="0041226C" w:rsidP="0041226C">
      <w:pPr>
        <w:rPr>
          <w:noProof/>
        </w:rPr>
      </w:pPr>
      <w:r w:rsidRPr="00252E3D">
        <w:rPr>
          <w:noProof/>
        </w:rPr>
        <w:t>Opioids should be used with caution in patients with myxoedema, hypothyroidism, or adrenal corti</w:t>
      </w:r>
      <w:r>
        <w:rPr>
          <w:noProof/>
        </w:rPr>
        <w:t>cal insufficiency (eg Addison’</w:t>
      </w:r>
      <w:r w:rsidRPr="00252E3D">
        <w:rPr>
          <w:noProof/>
        </w:rPr>
        <w:t>s disease).</w:t>
      </w:r>
    </w:p>
    <w:p w14:paraId="08614413" w14:textId="77777777" w:rsidR="0041226C" w:rsidRDefault="0041226C" w:rsidP="0041226C">
      <w:pPr>
        <w:rPr>
          <w:noProof/>
        </w:rPr>
      </w:pPr>
      <w:r w:rsidRPr="00252E3D">
        <w:rPr>
          <w:noProof/>
        </w:rPr>
        <w:lastRenderedPageBreak/>
        <w:t>Opioids have been shown to increase intracholedochal pressure, and should be used with caution in patients with dysfunction of the biliary tract.</w:t>
      </w:r>
    </w:p>
    <w:p w14:paraId="167D34C4" w14:textId="77777777" w:rsidR="0041226C" w:rsidRPr="00252E3D" w:rsidRDefault="0041226C" w:rsidP="0041226C">
      <w:pPr>
        <w:rPr>
          <w:noProof/>
        </w:rPr>
      </w:pPr>
      <w:r>
        <w:rPr>
          <w:noProof/>
        </w:rPr>
        <w:t>Opioids should be administered with caution to elderly or debiliated patients.</w:t>
      </w:r>
    </w:p>
    <w:p w14:paraId="4789FE26" w14:textId="77777777" w:rsidR="0041226C" w:rsidRPr="0041226C" w:rsidRDefault="0041226C" w:rsidP="00073A4A">
      <w:pPr>
        <w:pStyle w:val="Heading3"/>
        <w:rPr>
          <w:lang w:val="en-GB"/>
        </w:rPr>
      </w:pPr>
      <w:r w:rsidRPr="0041226C">
        <w:rPr>
          <w:noProof/>
        </w:rPr>
        <w:t>Misuse, abuse and diversion</w:t>
      </w:r>
      <w:r w:rsidRPr="0041226C">
        <w:rPr>
          <w:lang w:val="en-GB"/>
        </w:rPr>
        <w:t xml:space="preserve"> </w:t>
      </w:r>
    </w:p>
    <w:p w14:paraId="1F7098FC" w14:textId="477B9AA6" w:rsidR="0041226C" w:rsidRDefault="0041226C" w:rsidP="0041226C">
      <w:pPr>
        <w:rPr>
          <w:iCs/>
        </w:rPr>
      </w:pPr>
      <w:r w:rsidRPr="007D275A">
        <w:rPr>
          <w:lang w:val="en-GB"/>
        </w:rPr>
        <w:t xml:space="preserve">Buprenorphine is subject to misuse, abuse and diversion, similar to other opioids, legal or illicit. </w:t>
      </w:r>
      <w:proofErr w:type="spellStart"/>
      <w:r w:rsidR="00196AF6">
        <w:t>Buvidal</w:t>
      </w:r>
      <w:proofErr w:type="spellEnd"/>
      <w:r w:rsidR="00196AF6">
        <w:t xml:space="preserve"> Weekly</w:t>
      </w:r>
      <w:r w:rsidR="00FD7FE9">
        <w:t xml:space="preserve"> must be administered directly to the patient by a healthcare professional. </w:t>
      </w:r>
      <w:proofErr w:type="spellStart"/>
      <w:r w:rsidR="00196AF6">
        <w:t>Buvidal</w:t>
      </w:r>
      <w:proofErr w:type="spellEnd"/>
      <w:r w:rsidR="00196AF6">
        <w:t xml:space="preserve"> Weekly</w:t>
      </w:r>
      <w:r w:rsidR="00FD7FE9">
        <w:t xml:space="preserve"> should not be made available directly to patients. Monitor patients carefully for progression of opioid dependence and drug use.</w:t>
      </w:r>
    </w:p>
    <w:p w14:paraId="202E4741" w14:textId="77777777" w:rsidR="007C3523" w:rsidRPr="007C3523" w:rsidRDefault="007C3523" w:rsidP="00073A4A">
      <w:pPr>
        <w:pStyle w:val="Heading3"/>
        <w:rPr>
          <w:noProof/>
        </w:rPr>
      </w:pPr>
      <w:r w:rsidRPr="007C3523">
        <w:rPr>
          <w:noProof/>
        </w:rPr>
        <w:t>Respiratory depression</w:t>
      </w:r>
    </w:p>
    <w:p w14:paraId="32BA7EB2" w14:textId="07BFBEFC" w:rsidR="0041226C" w:rsidRPr="00252E3D" w:rsidRDefault="0041226C" w:rsidP="0041226C">
      <w:pPr>
        <w:rPr>
          <w:noProof/>
        </w:rPr>
      </w:pPr>
      <w:r w:rsidRPr="00252E3D">
        <w:rPr>
          <w:noProof/>
        </w:rPr>
        <w:t>A number of cases of death due to respiratory depression have been reported for patients being treated with buprenorphine, particularly when used in combination wi</w:t>
      </w:r>
      <w:r>
        <w:rPr>
          <w:noProof/>
        </w:rPr>
        <w:t>th benzodiazepines (</w:t>
      </w:r>
      <w:r w:rsidRPr="00A55870">
        <w:rPr>
          <w:noProof/>
        </w:rPr>
        <w:t xml:space="preserve">see </w:t>
      </w:r>
      <w:r w:rsidR="00A30791">
        <w:rPr>
          <w:noProof/>
        </w:rPr>
        <w:t xml:space="preserve">section </w:t>
      </w:r>
      <w:r w:rsidR="002429CC">
        <w:rPr>
          <w:noProof/>
        </w:rPr>
        <w:t xml:space="preserve">4.5 </w:t>
      </w:r>
      <w:r w:rsidRPr="00A55870">
        <w:rPr>
          <w:noProof/>
        </w:rPr>
        <w:t>INTERACTIONS WITH OTHER MEDICINES</w:t>
      </w:r>
      <w:r w:rsidR="002429CC">
        <w:rPr>
          <w:noProof/>
        </w:rPr>
        <w:t xml:space="preserve"> AND OTHER FORMS OF INTERACTIONS</w:t>
      </w:r>
      <w:r w:rsidRPr="00252E3D">
        <w:rPr>
          <w:noProof/>
        </w:rPr>
        <w:t>) or when buprenorphine was not used according to prescribing information. Deaths have also been reported in association with concomitant administration of buprenorphine and other depressants such as alcohol</w:t>
      </w:r>
      <w:r w:rsidR="0044626A">
        <w:rPr>
          <w:noProof/>
        </w:rPr>
        <w:t xml:space="preserve">, </w:t>
      </w:r>
      <w:proofErr w:type="spellStart"/>
      <w:r w:rsidR="0044626A" w:rsidRPr="00335A40">
        <w:rPr>
          <w:lang w:val="en-US"/>
        </w:rPr>
        <w:t>gabapentinoids</w:t>
      </w:r>
      <w:proofErr w:type="spellEnd"/>
      <w:r w:rsidR="0044626A" w:rsidRPr="00335A40">
        <w:rPr>
          <w:lang w:val="en-US"/>
        </w:rPr>
        <w:t xml:space="preserve"> (see section 4.5)</w:t>
      </w:r>
      <w:r w:rsidR="0044626A" w:rsidRPr="003144C4">
        <w:rPr>
          <w:noProof/>
        </w:rPr>
        <w:t xml:space="preserve"> </w:t>
      </w:r>
      <w:r w:rsidRPr="00252E3D">
        <w:rPr>
          <w:noProof/>
        </w:rPr>
        <w:t>or other opioids. If buprenorphine is administered to non-opioid dependent individuals who are not tolerant to the effects of opioids, potentially fatal respiratory depression may occur.</w:t>
      </w:r>
    </w:p>
    <w:p w14:paraId="379B484F" w14:textId="430B74F7" w:rsidR="0041226C" w:rsidRPr="00252E3D" w:rsidRDefault="0041226C" w:rsidP="0041226C">
      <w:pPr>
        <w:rPr>
          <w:noProof/>
        </w:rPr>
      </w:pPr>
      <w:r w:rsidRPr="00252E3D">
        <w:t xml:space="preserve">Buprenorphine </w:t>
      </w:r>
      <w:r w:rsidRPr="00252E3D">
        <w:rPr>
          <w:noProof/>
        </w:rPr>
        <w:t>should be used with care in patients with</w:t>
      </w:r>
      <w:r>
        <w:rPr>
          <w:noProof/>
        </w:rPr>
        <w:t xml:space="preserve"> respiratory insufficiency (eg</w:t>
      </w:r>
      <w:r w:rsidRPr="00252E3D">
        <w:rPr>
          <w:noProof/>
        </w:rPr>
        <w:t xml:space="preserve"> chronic obstructive pulmonary disease, asthma, cor pulmonale, decreased respiratory reserve, hypoxia, hypercapnia</w:t>
      </w:r>
      <w:r>
        <w:rPr>
          <w:noProof/>
        </w:rPr>
        <w:t>,</w:t>
      </w:r>
      <w:r w:rsidRPr="00252E3D">
        <w:rPr>
          <w:noProof/>
        </w:rPr>
        <w:t xml:space="preserve"> pre-existing respiratory depression</w:t>
      </w:r>
      <w:r w:rsidRPr="000B2ECB">
        <w:rPr>
          <w:noProof/>
        </w:rPr>
        <w:t xml:space="preserve"> </w:t>
      </w:r>
      <w:r>
        <w:rPr>
          <w:noProof/>
        </w:rPr>
        <w:t xml:space="preserve">or </w:t>
      </w:r>
      <w:r w:rsidRPr="00AF2787">
        <w:rPr>
          <w:noProof/>
        </w:rPr>
        <w:t>kyphoscoliosis</w:t>
      </w:r>
      <w:r w:rsidRPr="00252E3D">
        <w:rPr>
          <w:noProof/>
        </w:rPr>
        <w:t>).</w:t>
      </w:r>
      <w:r>
        <w:rPr>
          <w:noProof/>
        </w:rPr>
        <w:t xml:space="preserve"> The use of buprenorphine is contraindicated in patients with severe respiratory </w:t>
      </w:r>
      <w:r w:rsidRPr="00D66EBE">
        <w:rPr>
          <w:noProof/>
        </w:rPr>
        <w:t xml:space="preserve">insufficiency (see </w:t>
      </w:r>
      <w:r w:rsidR="00D66EBE">
        <w:rPr>
          <w:noProof/>
        </w:rPr>
        <w:t xml:space="preserve">section 4.3 </w:t>
      </w:r>
      <w:r w:rsidRPr="00D66EBE">
        <w:rPr>
          <w:noProof/>
        </w:rPr>
        <w:t>CONTRAINDICATIONS).</w:t>
      </w:r>
    </w:p>
    <w:p w14:paraId="5B31C9C7" w14:textId="4F8A7026" w:rsidR="0041226C" w:rsidRPr="00727FBE" w:rsidRDefault="0041226C" w:rsidP="0041226C">
      <w:pPr>
        <w:rPr>
          <w:i/>
          <w:noProof/>
        </w:rPr>
      </w:pPr>
      <w:r w:rsidRPr="00252E3D">
        <w:rPr>
          <w:noProof/>
        </w:rPr>
        <w:t xml:space="preserve">Buprenorphine may cause severe, possibly fatal, respiratory depression in children and non-dependent persons who accidentally or deliberately ingest </w:t>
      </w:r>
      <w:r w:rsidRPr="00C364F3">
        <w:t xml:space="preserve">it. </w:t>
      </w:r>
    </w:p>
    <w:p w14:paraId="2CE8A49C" w14:textId="77777777" w:rsidR="007C3523" w:rsidRPr="007C3523" w:rsidRDefault="007C3523" w:rsidP="00073A4A">
      <w:pPr>
        <w:pStyle w:val="Heading3"/>
        <w:rPr>
          <w:noProof/>
        </w:rPr>
      </w:pPr>
      <w:r w:rsidRPr="007C3523">
        <w:rPr>
          <w:noProof/>
        </w:rPr>
        <w:t>CNS depression</w:t>
      </w:r>
    </w:p>
    <w:p w14:paraId="219BF6C4" w14:textId="27DB2C0B" w:rsidR="0041226C" w:rsidRPr="00252E3D" w:rsidRDefault="0041226C" w:rsidP="0041226C">
      <w:pPr>
        <w:rPr>
          <w:noProof/>
        </w:rPr>
      </w:pPr>
      <w:r w:rsidRPr="00252E3D">
        <w:rPr>
          <w:noProof/>
        </w:rPr>
        <w:t>Buprenorphine may cause drowsiness particularly when taken together with alcohol or central nervous system depressants such as benzodiazepines, tranquillisers, sedatives</w:t>
      </w:r>
      <w:r w:rsidR="0044626A">
        <w:rPr>
          <w:noProof/>
        </w:rPr>
        <w:t xml:space="preserve">, </w:t>
      </w:r>
      <w:r w:rsidR="0044626A" w:rsidRPr="00B91A27">
        <w:rPr>
          <w:noProof/>
        </w:rPr>
        <w:t>gabapentinoids</w:t>
      </w:r>
      <w:r w:rsidRPr="00252E3D">
        <w:rPr>
          <w:noProof/>
        </w:rPr>
        <w:t xml:space="preserve"> or hypnotics </w:t>
      </w:r>
      <w:r w:rsidRPr="00CF4EDF">
        <w:rPr>
          <w:noProof/>
        </w:rPr>
        <w:t>(see</w:t>
      </w:r>
      <w:r w:rsidR="00D66EBE">
        <w:rPr>
          <w:noProof/>
        </w:rPr>
        <w:t xml:space="preserve"> section 4.5 </w:t>
      </w:r>
      <w:r w:rsidRPr="00D66EBE">
        <w:rPr>
          <w:noProof/>
        </w:rPr>
        <w:t>INTERACTIONS WITH OTHER MEDICINES</w:t>
      </w:r>
      <w:r w:rsidR="00D66EBE">
        <w:rPr>
          <w:noProof/>
        </w:rPr>
        <w:t xml:space="preserve"> AND OTHER FORMS OF INTERACTIONS</w:t>
      </w:r>
      <w:r w:rsidRPr="00252E3D">
        <w:rPr>
          <w:noProof/>
        </w:rPr>
        <w:t>).</w:t>
      </w:r>
    </w:p>
    <w:p w14:paraId="4ABBD45E" w14:textId="7DE9A3BE" w:rsidR="00775E88" w:rsidRPr="00775E88" w:rsidRDefault="00775E88" w:rsidP="00073A4A">
      <w:pPr>
        <w:pStyle w:val="Heading3"/>
        <w:rPr>
          <w:noProof/>
        </w:rPr>
      </w:pPr>
      <w:r w:rsidRPr="00775E88">
        <w:rPr>
          <w:noProof/>
        </w:rPr>
        <w:t>Dependence</w:t>
      </w:r>
    </w:p>
    <w:p w14:paraId="1BA2F34A" w14:textId="42942374" w:rsidR="00107868" w:rsidRPr="00252E3D" w:rsidRDefault="00107868" w:rsidP="00107868">
      <w:pPr>
        <w:rPr>
          <w:noProof/>
        </w:rPr>
      </w:pPr>
      <w:r w:rsidRPr="00252E3D">
        <w:rPr>
          <w:noProof/>
        </w:rPr>
        <w:t xml:space="preserve">Buprenorphine is a partial agonist at the </w:t>
      </w:r>
      <w:r w:rsidRPr="00252E3D">
        <w:t>µ</w:t>
      </w:r>
      <w:r w:rsidR="006E3831">
        <w:t xml:space="preserve"> (mu)</w:t>
      </w:r>
      <w:r w:rsidRPr="00252E3D">
        <w:rPr>
          <w:noProof/>
        </w:rPr>
        <w:t>-opi</w:t>
      </w:r>
      <w:r>
        <w:rPr>
          <w:noProof/>
        </w:rPr>
        <w:t>oid</w:t>
      </w:r>
      <w:r w:rsidRPr="00252E3D">
        <w:rPr>
          <w:noProof/>
        </w:rPr>
        <w:t xml:space="preserve"> receptor and chronic administration</w:t>
      </w:r>
      <w:r>
        <w:rPr>
          <w:noProof/>
        </w:rPr>
        <w:t xml:space="preserve"> can</w:t>
      </w:r>
      <w:r w:rsidRPr="00252E3D">
        <w:rPr>
          <w:noProof/>
        </w:rPr>
        <w:t xml:space="preserve"> produce </w:t>
      </w:r>
      <w:r>
        <w:rPr>
          <w:noProof/>
        </w:rPr>
        <w:t xml:space="preserve">opioid </w:t>
      </w:r>
      <w:r w:rsidRPr="00252E3D">
        <w:rPr>
          <w:noProof/>
        </w:rPr>
        <w:t>depende</w:t>
      </w:r>
      <w:r>
        <w:rPr>
          <w:noProof/>
        </w:rPr>
        <w:t>nc</w:t>
      </w:r>
      <w:r w:rsidRPr="00252E3D">
        <w:rPr>
          <w:noProof/>
        </w:rPr>
        <w:t xml:space="preserve">e. Studies in animals, as well as clinical experience, have demonstrated that buprenorphine may </w:t>
      </w:r>
      <w:r>
        <w:rPr>
          <w:noProof/>
        </w:rPr>
        <w:t xml:space="preserve">cause </w:t>
      </w:r>
      <w:r w:rsidRPr="00252E3D">
        <w:rPr>
          <w:noProof/>
        </w:rPr>
        <w:t xml:space="preserve">dependence, </w:t>
      </w:r>
      <w:r>
        <w:rPr>
          <w:noProof/>
        </w:rPr>
        <w:t>albeit</w:t>
      </w:r>
      <w:r w:rsidRPr="00252E3D">
        <w:rPr>
          <w:noProof/>
        </w:rPr>
        <w:t xml:space="preserve"> at a lower</w:t>
      </w:r>
      <w:r>
        <w:rPr>
          <w:noProof/>
        </w:rPr>
        <w:t xml:space="preserve"> level than a full agonist (eg</w:t>
      </w:r>
      <w:r w:rsidRPr="00252E3D">
        <w:rPr>
          <w:noProof/>
        </w:rPr>
        <w:t xml:space="preserve"> morphine).</w:t>
      </w:r>
    </w:p>
    <w:p w14:paraId="23A2195A" w14:textId="77777777" w:rsidR="00775E88" w:rsidRPr="00775E88" w:rsidRDefault="00775E88" w:rsidP="00073A4A">
      <w:pPr>
        <w:pStyle w:val="Heading3"/>
        <w:rPr>
          <w:noProof/>
        </w:rPr>
      </w:pPr>
      <w:r w:rsidRPr="00775E88">
        <w:rPr>
          <w:noProof/>
        </w:rPr>
        <w:t>Hepatitis and hepatic events</w:t>
      </w:r>
    </w:p>
    <w:p w14:paraId="49043D3B" w14:textId="6BE8A818" w:rsidR="00107868" w:rsidRPr="00252E3D" w:rsidRDefault="00107868" w:rsidP="00107868">
      <w:pPr>
        <w:rPr>
          <w:noProof/>
        </w:rPr>
      </w:pPr>
      <w:r w:rsidRPr="00252E3D">
        <w:rPr>
          <w:noProof/>
        </w:rPr>
        <w:t xml:space="preserve">Cases of acute hepatic injury have been reported in opioid-dependent patients both in clinical trials and in post-marketing adverse reaction reports </w:t>
      </w:r>
      <w:r w:rsidRPr="00D141AD">
        <w:rPr>
          <w:noProof/>
        </w:rPr>
        <w:t>with buprenorphine products</w:t>
      </w:r>
      <w:r w:rsidRPr="0016655C">
        <w:rPr>
          <w:noProof/>
        </w:rPr>
        <w:t xml:space="preserve">. </w:t>
      </w:r>
      <w:r w:rsidRPr="00252E3D">
        <w:rPr>
          <w:noProof/>
        </w:rPr>
        <w:t xml:space="preserve">The spectrum of abnormalities ranges from transient asymptomatic elevations in hepatic transaminases to case reports of cytolytic hepatitis, hepatic failure, hepatic necrosis, hepatorenal syndrome, hepatic encephalopathy and death. In many cases, the presence of pre-existing liver enzyme abnormalities, </w:t>
      </w:r>
      <w:r w:rsidRPr="00252E3D">
        <w:rPr>
          <w:noProof/>
        </w:rPr>
        <w:lastRenderedPageBreak/>
        <w:t xml:space="preserve">genetic disease, infection with hepatitis B or hepatitis C virus, alcohol abuse, anorexia, concomitant use of other potentially hepatotoxic drugs and ongoing injecting drug use may have a causative or contributory role. These underlying factors must be taken into consideration before prescribing </w:t>
      </w:r>
      <w:r w:rsidRPr="00252E3D">
        <w:t xml:space="preserve">buprenorphine </w:t>
      </w:r>
      <w:r w:rsidRPr="00252E3D">
        <w:rPr>
          <w:noProof/>
        </w:rPr>
        <w:t xml:space="preserve">and during treatment. </w:t>
      </w:r>
      <w:r w:rsidRPr="00E33AA6">
        <w:rPr>
          <w:noProof/>
        </w:rPr>
        <w:t>When a hepatic event is suspected</w:t>
      </w:r>
      <w:r>
        <w:rPr>
          <w:noProof/>
        </w:rPr>
        <w:t>,</w:t>
      </w:r>
      <w:r w:rsidRPr="00E33AA6">
        <w:rPr>
          <w:noProof/>
        </w:rPr>
        <w:t xml:space="preserve"> further biological and etiological evaluation is required. Depending on the findings, </w:t>
      </w:r>
      <w:r w:rsidR="00196AF6">
        <w:rPr>
          <w:noProof/>
        </w:rPr>
        <w:t>Buvidal Weekly</w:t>
      </w:r>
      <w:r w:rsidRPr="00E33AA6">
        <w:rPr>
          <w:noProof/>
        </w:rPr>
        <w:t xml:space="preserve"> </w:t>
      </w:r>
      <w:r>
        <w:rPr>
          <w:noProof/>
        </w:rPr>
        <w:t>may be discontinued</w:t>
      </w:r>
      <w:r w:rsidRPr="00E33AA6">
        <w:rPr>
          <w:noProof/>
        </w:rPr>
        <w:t>. If treatment is continued, hepatic function should be monitored closely.</w:t>
      </w:r>
    </w:p>
    <w:p w14:paraId="33A696DB" w14:textId="2A50F91F" w:rsidR="001A3992" w:rsidRDefault="001A3992" w:rsidP="00AF5EF6">
      <w:pPr>
        <w:pStyle w:val="Heading3"/>
      </w:pPr>
      <w:r w:rsidRPr="00497C85">
        <w:t xml:space="preserve">Use in hepatic impairment </w:t>
      </w:r>
    </w:p>
    <w:p w14:paraId="6BD2F06E" w14:textId="0CE59D4C" w:rsidR="00107868" w:rsidRPr="00252E3D" w:rsidRDefault="00107868" w:rsidP="00107868">
      <w:pPr>
        <w:rPr>
          <w:noProof/>
        </w:rPr>
      </w:pPr>
      <w:r w:rsidRPr="00252E3D">
        <w:rPr>
          <w:noProof/>
        </w:rPr>
        <w:t>Buprenorphine is extensively metabolised in the liver</w:t>
      </w:r>
      <w:r>
        <w:rPr>
          <w:noProof/>
        </w:rPr>
        <w:t xml:space="preserve">. </w:t>
      </w:r>
      <w:r w:rsidRPr="00252E3D">
        <w:rPr>
          <w:noProof/>
        </w:rPr>
        <w:t xml:space="preserve">The effects of hepatic impairment on the pharmacokinetics of buprenorphine were evaluated in a post-marketing study </w:t>
      </w:r>
      <w:r w:rsidRPr="00D141AD">
        <w:rPr>
          <w:noProof/>
        </w:rPr>
        <w:t>on another marketed buprenorphine product</w:t>
      </w:r>
      <w:r w:rsidRPr="00252E3D">
        <w:rPr>
          <w:noProof/>
        </w:rPr>
        <w:t xml:space="preserve">. </w:t>
      </w:r>
      <w:r>
        <w:rPr>
          <w:noProof/>
        </w:rPr>
        <w:t>P</w:t>
      </w:r>
      <w:r w:rsidRPr="00252E3D">
        <w:rPr>
          <w:noProof/>
        </w:rPr>
        <w:t xml:space="preserve">lasma levels </w:t>
      </w:r>
      <w:r>
        <w:rPr>
          <w:noProof/>
        </w:rPr>
        <w:t>of</w:t>
      </w:r>
      <w:r w:rsidRPr="00252E3D">
        <w:rPr>
          <w:noProof/>
        </w:rPr>
        <w:t xml:space="preserve"> buprenorphine were found to be higher in patients with moderate and severe hepatic impairment. Patients should be monitored for signs and symptoms of toxicity or overdose caused by increased levels of buprenorphine. </w:t>
      </w:r>
      <w:r w:rsidRPr="00252E3D">
        <w:t>Buprenorphine</w:t>
      </w:r>
      <w:r w:rsidRPr="00D141AD">
        <w:t xml:space="preserve"> </w:t>
      </w:r>
      <w:r w:rsidRPr="00252E3D">
        <w:rPr>
          <w:noProof/>
        </w:rPr>
        <w:t>should be used with caution in patients with moderate hepatic impairment (</w:t>
      </w:r>
      <w:r w:rsidRPr="00CF4EDF">
        <w:rPr>
          <w:noProof/>
        </w:rPr>
        <w:t>see</w:t>
      </w:r>
      <w:r w:rsidR="004D654E">
        <w:rPr>
          <w:noProof/>
        </w:rPr>
        <w:t xml:space="preserve"> section 5.2 </w:t>
      </w:r>
      <w:r w:rsidRPr="004D654E">
        <w:rPr>
          <w:noProof/>
        </w:rPr>
        <w:t>PHARMACOKINETIC</w:t>
      </w:r>
      <w:r w:rsidR="004D654E">
        <w:rPr>
          <w:noProof/>
        </w:rPr>
        <w:t xml:space="preserve"> PROPERTIES</w:t>
      </w:r>
      <w:r w:rsidRPr="004D654E">
        <w:rPr>
          <w:noProof/>
        </w:rPr>
        <w:t xml:space="preserve"> and </w:t>
      </w:r>
      <w:r w:rsidR="004D654E">
        <w:rPr>
          <w:noProof/>
        </w:rPr>
        <w:t xml:space="preserve">section 4.2 </w:t>
      </w:r>
      <w:r w:rsidRPr="004D654E">
        <w:rPr>
          <w:noProof/>
        </w:rPr>
        <w:t xml:space="preserve">DOSE AND </w:t>
      </w:r>
      <w:r w:rsidR="004D654E">
        <w:rPr>
          <w:noProof/>
        </w:rPr>
        <w:t xml:space="preserve">METHOD OF </w:t>
      </w:r>
      <w:r w:rsidRPr="004D654E">
        <w:rPr>
          <w:noProof/>
        </w:rPr>
        <w:t>ADMINISTRATION).</w:t>
      </w:r>
      <w:r w:rsidRPr="00CF4EDF">
        <w:rPr>
          <w:noProof/>
        </w:rPr>
        <w:t xml:space="preserve"> The use of buprenorphine is contraindicated in patients with severe hepatic insufficiency (see </w:t>
      </w:r>
      <w:r w:rsidR="004D654E">
        <w:rPr>
          <w:noProof/>
        </w:rPr>
        <w:t xml:space="preserve">section 4.3 </w:t>
      </w:r>
      <w:r>
        <w:rPr>
          <w:noProof/>
        </w:rPr>
        <w:t>CONTRAINDICATIONS</w:t>
      </w:r>
      <w:r w:rsidRPr="00CF4EDF">
        <w:rPr>
          <w:noProof/>
        </w:rPr>
        <w:t>).</w:t>
      </w:r>
    </w:p>
    <w:p w14:paraId="18F616D1" w14:textId="4D1C6FC1" w:rsidR="001A3992" w:rsidRDefault="001A3992" w:rsidP="00AF5EF6">
      <w:pPr>
        <w:pStyle w:val="Heading3"/>
      </w:pPr>
      <w:r w:rsidRPr="00497C85">
        <w:t xml:space="preserve">Use in renal impairment </w:t>
      </w:r>
    </w:p>
    <w:p w14:paraId="5F9C958C" w14:textId="74D382DE" w:rsidR="00D430C7" w:rsidRPr="00252E3D" w:rsidRDefault="00D430C7" w:rsidP="00D430C7">
      <w:pPr>
        <w:rPr>
          <w:noProof/>
        </w:rPr>
      </w:pPr>
      <w:r w:rsidRPr="00252E3D">
        <w:rPr>
          <w:noProof/>
        </w:rPr>
        <w:t xml:space="preserve">Renal elimination plays a relatively small role (approximately 30%) in the overall clearance of buprenorphine; therefore, no dose modification based on renal function is generally required. Metabolites of buprenorphine accumulate in patients with renal failure. Caution is recommended </w:t>
      </w:r>
      <w:r>
        <w:rPr>
          <w:noProof/>
        </w:rPr>
        <w:t xml:space="preserve">when </w:t>
      </w:r>
      <w:r w:rsidRPr="00252E3D">
        <w:rPr>
          <w:noProof/>
        </w:rPr>
        <w:t>dosing patients with severe renal impairment (</w:t>
      </w:r>
      <w:r w:rsidRPr="00CF4EDF">
        <w:rPr>
          <w:noProof/>
        </w:rPr>
        <w:t xml:space="preserve">creatinine clearance &lt; 30 ml/min), </w:t>
      </w:r>
      <w:r>
        <w:rPr>
          <w:noProof/>
        </w:rPr>
        <w:t>(</w:t>
      </w:r>
      <w:r w:rsidRPr="00CF4EDF">
        <w:rPr>
          <w:noProof/>
        </w:rPr>
        <w:t xml:space="preserve">see </w:t>
      </w:r>
      <w:r w:rsidR="004D654E">
        <w:rPr>
          <w:noProof/>
        </w:rPr>
        <w:t xml:space="preserve">section 5.2 </w:t>
      </w:r>
      <w:r w:rsidRPr="004D654E">
        <w:rPr>
          <w:noProof/>
        </w:rPr>
        <w:t>PHARMACOKINETIC</w:t>
      </w:r>
      <w:r w:rsidR="004D654E">
        <w:rPr>
          <w:noProof/>
        </w:rPr>
        <w:t xml:space="preserve"> PROPERTIES </w:t>
      </w:r>
      <w:r w:rsidRPr="004D654E">
        <w:rPr>
          <w:noProof/>
        </w:rPr>
        <w:t xml:space="preserve">and </w:t>
      </w:r>
      <w:r w:rsidR="004D654E">
        <w:rPr>
          <w:noProof/>
        </w:rPr>
        <w:t xml:space="preserve">section 4.2 </w:t>
      </w:r>
      <w:r w:rsidRPr="004D654E">
        <w:rPr>
          <w:noProof/>
        </w:rPr>
        <w:t xml:space="preserve">DOSE AND </w:t>
      </w:r>
      <w:r w:rsidR="004D654E">
        <w:rPr>
          <w:noProof/>
        </w:rPr>
        <w:t xml:space="preserve">METHOD OF </w:t>
      </w:r>
      <w:r w:rsidRPr="004D654E">
        <w:rPr>
          <w:noProof/>
        </w:rPr>
        <w:t>ADMINISTRATION).</w:t>
      </w:r>
    </w:p>
    <w:p w14:paraId="33D61FCD" w14:textId="1BD69F56" w:rsidR="001A3992" w:rsidRDefault="001A3992" w:rsidP="00AF5EF6">
      <w:pPr>
        <w:pStyle w:val="Heading3"/>
      </w:pPr>
      <w:r w:rsidRPr="00497C85">
        <w:t>Use in the elderly</w:t>
      </w:r>
    </w:p>
    <w:p w14:paraId="13AB5740" w14:textId="409E01F1" w:rsidR="00D430C7" w:rsidRPr="00D430C7" w:rsidRDefault="00971AD4" w:rsidP="00D430C7">
      <w:r>
        <w:rPr>
          <w:noProof/>
        </w:rPr>
        <w:t>No data available</w:t>
      </w:r>
      <w:r w:rsidR="00F9426B">
        <w:rPr>
          <w:noProof/>
        </w:rPr>
        <w:t xml:space="preserve">. </w:t>
      </w:r>
    </w:p>
    <w:p w14:paraId="388EC713" w14:textId="6D68BBA0" w:rsidR="001A3992" w:rsidRDefault="001A3992" w:rsidP="00AF5EF6">
      <w:pPr>
        <w:pStyle w:val="Heading3"/>
      </w:pPr>
      <w:r w:rsidRPr="00497C85">
        <w:t>Paediatric use</w:t>
      </w:r>
    </w:p>
    <w:p w14:paraId="462BE054" w14:textId="132B850B" w:rsidR="001F5193" w:rsidRDefault="001F5193" w:rsidP="001F5193">
      <w:pPr>
        <w:rPr>
          <w:noProof/>
        </w:rPr>
      </w:pPr>
      <w:r w:rsidRPr="00B912BF">
        <w:rPr>
          <w:noProof/>
        </w:rPr>
        <w:t>The safety and efficacy of buprenorphine in children below the age of 16 years ha</w:t>
      </w:r>
      <w:r>
        <w:rPr>
          <w:noProof/>
        </w:rPr>
        <w:t>s</w:t>
      </w:r>
      <w:r w:rsidRPr="00B912BF">
        <w:rPr>
          <w:noProof/>
        </w:rPr>
        <w:t xml:space="preserve"> not been established. Due to </w:t>
      </w:r>
      <w:r w:rsidR="00E33A5D" w:rsidRPr="000742FA">
        <w:rPr>
          <w:noProof/>
        </w:rPr>
        <w:t xml:space="preserve">the limited amount </w:t>
      </w:r>
      <w:r w:rsidRPr="00B912BF">
        <w:rPr>
          <w:noProof/>
        </w:rPr>
        <w:t>of data in adolescents (</w:t>
      </w:r>
      <w:r>
        <w:rPr>
          <w:noProof/>
        </w:rPr>
        <w:t xml:space="preserve">from </w:t>
      </w:r>
      <w:r w:rsidRPr="00B912BF">
        <w:rPr>
          <w:noProof/>
        </w:rPr>
        <w:t>16 </w:t>
      </w:r>
      <w:r>
        <w:rPr>
          <w:noProof/>
        </w:rPr>
        <w:t>up to</w:t>
      </w:r>
      <w:r w:rsidRPr="00B912BF">
        <w:rPr>
          <w:noProof/>
        </w:rPr>
        <w:t> 18 years), patients in this age group should be more closely monitored during treatment.</w:t>
      </w:r>
    </w:p>
    <w:p w14:paraId="4E912FBF" w14:textId="77777777" w:rsidR="00FD7FE9" w:rsidRDefault="00FD7FE9" w:rsidP="00FD7FE9">
      <w:pPr>
        <w:rPr>
          <w:rFonts w:asciiTheme="majorHAnsi" w:hAnsiTheme="majorHAnsi"/>
          <w:b/>
          <w:lang w:val="en-GB"/>
        </w:rPr>
      </w:pPr>
      <w:r w:rsidRPr="003544F1">
        <w:rPr>
          <w:rFonts w:asciiTheme="majorHAnsi" w:hAnsiTheme="majorHAnsi"/>
          <w:b/>
          <w:lang w:val="en-GB"/>
        </w:rPr>
        <w:t>Neonatal Abstinence Syndrome</w:t>
      </w:r>
    </w:p>
    <w:p w14:paraId="32E187E2" w14:textId="5785A019" w:rsidR="00FD7FE9" w:rsidRPr="003544F1" w:rsidRDefault="00FD7FE9" w:rsidP="00FD7FE9">
      <w:pPr>
        <w:rPr>
          <w:rFonts w:cstheme="minorHAnsi"/>
          <w:b/>
          <w:lang w:val="en-GB"/>
        </w:rPr>
      </w:pPr>
      <w:r w:rsidRPr="003544F1">
        <w:rPr>
          <w:iCs/>
        </w:rPr>
        <w:t xml:space="preserve">While </w:t>
      </w:r>
      <w:proofErr w:type="spellStart"/>
      <w:r w:rsidR="00196AF6">
        <w:rPr>
          <w:iCs/>
        </w:rPr>
        <w:t>Buvidal</w:t>
      </w:r>
      <w:proofErr w:type="spellEnd"/>
      <w:r w:rsidR="00196AF6">
        <w:rPr>
          <w:iCs/>
        </w:rPr>
        <w:t xml:space="preserve"> Weekly</w:t>
      </w:r>
      <w:r w:rsidRPr="003544F1">
        <w:rPr>
          <w:iCs/>
        </w:rPr>
        <w:t xml:space="preserve"> is contraindicated in pregnancy</w:t>
      </w:r>
      <w:r w:rsidR="00541670">
        <w:rPr>
          <w:iCs/>
        </w:rPr>
        <w:t>,</w:t>
      </w:r>
      <w:r w:rsidRPr="003544F1">
        <w:rPr>
          <w:iCs/>
        </w:rPr>
        <w:t xml:space="preserve"> chronic use of buprenorphine by the mother at the end of pregnancy may result in a withdrawal syndrome (e.g. hypertonia, neonatal tremor, neonatal agitation, myoclonus, convulsions, apnoea or bradycardia) in the neonate. In many reported cases with withdrawal was serious and required treatment. The syndrome is generally delayed for several hours to several days after birth (see </w:t>
      </w:r>
      <w:r>
        <w:rPr>
          <w:iCs/>
        </w:rPr>
        <w:t xml:space="preserve">Section 4.3 </w:t>
      </w:r>
      <w:r w:rsidRPr="003544F1">
        <w:rPr>
          <w:iCs/>
        </w:rPr>
        <w:t xml:space="preserve">CONTRAINDICATIONS and </w:t>
      </w:r>
      <w:r>
        <w:rPr>
          <w:iCs/>
        </w:rPr>
        <w:t xml:space="preserve">Section 4.6 </w:t>
      </w:r>
      <w:r w:rsidRPr="003544F1">
        <w:rPr>
          <w:iCs/>
        </w:rPr>
        <w:t>USE IN PREGNANCY)</w:t>
      </w:r>
      <w:r w:rsidR="00A541E3">
        <w:rPr>
          <w:iCs/>
        </w:rPr>
        <w:t>.</w:t>
      </w:r>
    </w:p>
    <w:p w14:paraId="5674ABB9" w14:textId="488BCCA5" w:rsidR="001A1943" w:rsidRDefault="001A1943" w:rsidP="001A1943">
      <w:pPr>
        <w:pStyle w:val="Heading3"/>
      </w:pPr>
      <w:r>
        <w:t>Allergic reactions</w:t>
      </w:r>
    </w:p>
    <w:p w14:paraId="5F398B30" w14:textId="3C5BB0D4" w:rsidR="00DE6613" w:rsidRPr="00B912BF" w:rsidRDefault="001A1943" w:rsidP="001F5193">
      <w:pPr>
        <w:rPr>
          <w:noProof/>
        </w:rPr>
      </w:pPr>
      <w:r>
        <w:rPr>
          <w:noProof/>
        </w:rPr>
        <w:t xml:space="preserve">Cases of acute and chronic hypersensitivity to buprenorphine have been reported. The most common signs and symptons include rashes, hives and puritis. Cases of bronchospasm, angioneurotic oedema, and anaphylactic shock have been reported. A history of hypersensitivity to buprenorphine is a contraindication to </w:t>
      </w:r>
      <w:r w:rsidR="00196AF6">
        <w:rPr>
          <w:noProof/>
        </w:rPr>
        <w:t>Buvidal Weekly</w:t>
      </w:r>
      <w:r>
        <w:rPr>
          <w:noProof/>
        </w:rPr>
        <w:t>.</w:t>
      </w:r>
    </w:p>
    <w:p w14:paraId="5878084E" w14:textId="3F0B3A84" w:rsidR="001A3992" w:rsidRDefault="001A3992" w:rsidP="00AF5EF6">
      <w:pPr>
        <w:pStyle w:val="Heading3"/>
      </w:pPr>
      <w:r w:rsidRPr="00497C85">
        <w:lastRenderedPageBreak/>
        <w:t>Effects on laboratory tests</w:t>
      </w:r>
    </w:p>
    <w:p w14:paraId="143180B8" w14:textId="5ECF62CA" w:rsidR="00CA1E22" w:rsidRPr="004D654E" w:rsidRDefault="00775E88" w:rsidP="00775E88">
      <w:pPr>
        <w:rPr>
          <w:rFonts w:cstheme="minorHAnsi"/>
          <w:lang w:val="en-GB"/>
        </w:rPr>
      </w:pPr>
      <w:r>
        <w:rPr>
          <w:lang w:val="en-GB"/>
        </w:rPr>
        <w:t xml:space="preserve">Athletes should be aware that this medicine may cause a positive reaction to “anti-doping” tests. </w:t>
      </w:r>
    </w:p>
    <w:p w14:paraId="0FE38177" w14:textId="7613AEFD" w:rsidR="001A3992" w:rsidRDefault="001A3992" w:rsidP="001A3992">
      <w:pPr>
        <w:pStyle w:val="Heading2"/>
        <w:keepNext/>
        <w:keepLines/>
        <w:spacing w:before="0"/>
        <w:rPr>
          <w:rFonts w:cstheme="minorHAnsi"/>
        </w:rPr>
      </w:pPr>
      <w:r w:rsidRPr="00497C85">
        <w:rPr>
          <w:rFonts w:cstheme="minorHAnsi"/>
        </w:rPr>
        <w:t>Interactions with other medicines and other forms of interactions</w:t>
      </w:r>
    </w:p>
    <w:p w14:paraId="09E0AC79" w14:textId="249B9560" w:rsidR="008C6B8B" w:rsidRPr="00106229" w:rsidRDefault="008C6B8B" w:rsidP="008C6B8B">
      <w:pPr>
        <w:rPr>
          <w:i/>
          <w:noProof/>
        </w:rPr>
      </w:pPr>
      <w:r w:rsidRPr="000643D3">
        <w:rPr>
          <w:noProof/>
        </w:rPr>
        <w:t>No interacti</w:t>
      </w:r>
      <w:r>
        <w:rPr>
          <w:noProof/>
        </w:rPr>
        <w:t>on studies have been performed with</w:t>
      </w:r>
      <w:r w:rsidRPr="00D141AD">
        <w:rPr>
          <w:noProof/>
        </w:rPr>
        <w:t xml:space="preserve"> </w:t>
      </w:r>
      <w:proofErr w:type="spellStart"/>
      <w:r w:rsidR="00196AF6">
        <w:t>Buvidal</w:t>
      </w:r>
      <w:proofErr w:type="spellEnd"/>
      <w:r w:rsidR="00196AF6">
        <w:t xml:space="preserve"> Weekly</w:t>
      </w:r>
      <w:r w:rsidRPr="00106229">
        <w:rPr>
          <w:noProof/>
        </w:rPr>
        <w:t>.</w:t>
      </w:r>
    </w:p>
    <w:p w14:paraId="0B455B7A" w14:textId="77777777" w:rsidR="008C6B8B" w:rsidRPr="00073A4A" w:rsidRDefault="008C6B8B" w:rsidP="00073A4A">
      <w:pPr>
        <w:pStyle w:val="Heading3"/>
      </w:pPr>
      <w:r w:rsidRPr="00073A4A">
        <w:t>Buprenorphine should be used cautiously when co-administered with:</w:t>
      </w:r>
    </w:p>
    <w:p w14:paraId="7ED30FAA" w14:textId="550DD70B" w:rsidR="008C6B8B" w:rsidRPr="001413A4" w:rsidRDefault="008C6B8B" w:rsidP="00AF5EF6">
      <w:pPr>
        <w:pStyle w:val="ListParagraph"/>
      </w:pPr>
      <w:r w:rsidRPr="001413A4">
        <w:t>benzodiazepines: this combination may result in death due to respiratory depression of central origin. Therefore, dosages must be closely monitored</w:t>
      </w:r>
      <w:r w:rsidR="003852BA">
        <w:t>,</w:t>
      </w:r>
      <w:r w:rsidRPr="001413A4">
        <w:t xml:space="preserve"> and this combination must be avoided in cases where there is a risk of misuse. Patients should be warned that it is extremely dangerous to self-administer non-prescribed benzodiazepines whilst taking this product and should also be cautioned to use benzodiazepines concurrently with this product only as directed by their doctor</w:t>
      </w:r>
      <w:r w:rsidRPr="001413A4">
        <w:rPr>
          <w:rStyle w:val="CommentReference"/>
          <w:sz w:val="24"/>
        </w:rPr>
        <w:t xml:space="preserve"> </w:t>
      </w:r>
      <w:r w:rsidRPr="004D654E">
        <w:t xml:space="preserve">(see </w:t>
      </w:r>
      <w:r w:rsidR="004D654E">
        <w:t xml:space="preserve">section 4.4 SPECIAL WARNINGS AND </w:t>
      </w:r>
      <w:r w:rsidRPr="004D654E">
        <w:t>PRECAUTIONS</w:t>
      </w:r>
      <w:r w:rsidR="004D654E">
        <w:t xml:space="preserve"> FOR USE</w:t>
      </w:r>
      <w:r w:rsidRPr="004D654E">
        <w:t>).</w:t>
      </w:r>
    </w:p>
    <w:p w14:paraId="3C075031" w14:textId="677A5E2B" w:rsidR="0044626A" w:rsidRDefault="0044626A" w:rsidP="0044626A">
      <w:pPr>
        <w:pStyle w:val="ListParagraph"/>
        <w:rPr>
          <w:noProof/>
        </w:rPr>
      </w:pPr>
      <w:r w:rsidRPr="00B91A27">
        <w:rPr>
          <w:noProof/>
        </w:rPr>
        <w:t>gabapentinoids:</w:t>
      </w:r>
      <w:r>
        <w:rPr>
          <w:noProof/>
        </w:rPr>
        <w:t xml:space="preserve"> t</w:t>
      </w:r>
      <w:r w:rsidRPr="00674528">
        <w:rPr>
          <w:noProof/>
        </w:rPr>
        <w:t>his combination may result in death due to respiratory depression. Therefore, dosages must be closely monitored and this combination must be avoided in cases where there is a risk of misuse. Patients should be cautioned to use gabapent</w:t>
      </w:r>
      <w:r w:rsidR="003144C4">
        <w:rPr>
          <w:noProof/>
        </w:rPr>
        <w:t>in</w:t>
      </w:r>
      <w:r w:rsidRPr="00674528">
        <w:rPr>
          <w:noProof/>
        </w:rPr>
        <w:t>oids concurrently with this product</w:t>
      </w:r>
      <w:r w:rsidRPr="00674528">
        <w:rPr>
          <w:i/>
        </w:rPr>
        <w:t xml:space="preserve"> </w:t>
      </w:r>
      <w:r w:rsidRPr="00674528">
        <w:rPr>
          <w:noProof/>
        </w:rPr>
        <w:t xml:space="preserve">only as directed by their physician (see section 4.4). </w:t>
      </w:r>
    </w:p>
    <w:p w14:paraId="020CDD61" w14:textId="58AF8888" w:rsidR="008C6B8B" w:rsidRPr="004D654E" w:rsidRDefault="008C6B8B" w:rsidP="00AF5EF6">
      <w:pPr>
        <w:pStyle w:val="ListParagraph"/>
      </w:pPr>
      <w:r w:rsidRPr="004D654E">
        <w:t xml:space="preserve">alcoholic drinks or medications containing alcohol as alcohol increases the sedative effect of buprenorphine (see </w:t>
      </w:r>
      <w:r w:rsidR="008629ED">
        <w:t xml:space="preserve">section 4.4 SPECIAL WARNINGS AND </w:t>
      </w:r>
      <w:r w:rsidR="008629ED" w:rsidRPr="004D654E">
        <w:t>PRECAUTIONS</w:t>
      </w:r>
      <w:r w:rsidR="008629ED">
        <w:t xml:space="preserve"> FOR USE</w:t>
      </w:r>
      <w:r w:rsidR="008629ED" w:rsidRPr="004D654E">
        <w:t>)</w:t>
      </w:r>
      <w:r w:rsidRPr="004D654E">
        <w:t>.</w:t>
      </w:r>
    </w:p>
    <w:p w14:paraId="42958604" w14:textId="1B12C478" w:rsidR="008C6B8B" w:rsidRPr="004D654E" w:rsidRDefault="008C6B8B" w:rsidP="00AF5EF6">
      <w:pPr>
        <w:pStyle w:val="ListParagraph"/>
      </w:pPr>
      <w:r w:rsidRPr="004D654E">
        <w:t>other central nervous system depressants: other opioid derivatives (</w:t>
      </w:r>
      <w:proofErr w:type="spellStart"/>
      <w:r w:rsidRPr="004D654E">
        <w:t>eg</w:t>
      </w:r>
      <w:proofErr w:type="spellEnd"/>
      <w:r w:rsidRPr="004D654E">
        <w:t xml:space="preserve"> methadone, analgesics and antitussives); certain antidepressants, sedative H</w:t>
      </w:r>
      <w:r w:rsidRPr="004D654E">
        <w:rPr>
          <w:vertAlign w:val="subscript"/>
        </w:rPr>
        <w:t>1</w:t>
      </w:r>
      <w:r w:rsidRPr="004D654E">
        <w:t>-receptor antagonists, barbiturates, anxiolytics other than benzodiazepines, neuroleptics, clonidine and related substances. These combinations increase centr</w:t>
      </w:r>
      <w:r w:rsidRPr="005D466E">
        <w:t>al nervous system depression. The reduced level of alertness can make driving and usin</w:t>
      </w:r>
      <w:r w:rsidRPr="0057115C">
        <w:t xml:space="preserve">g machinery hazardous </w:t>
      </w:r>
      <w:r w:rsidRPr="004D654E">
        <w:t xml:space="preserve">(see </w:t>
      </w:r>
      <w:r w:rsidR="008629ED">
        <w:t xml:space="preserve">section 4.4 SPECIAL WARNINGS AND </w:t>
      </w:r>
      <w:r w:rsidR="008629ED" w:rsidRPr="004D654E">
        <w:t>PRECAUTIONS</w:t>
      </w:r>
      <w:r w:rsidR="008629ED">
        <w:t xml:space="preserve"> FOR USE</w:t>
      </w:r>
      <w:r w:rsidR="008629ED" w:rsidRPr="004D654E">
        <w:t>)</w:t>
      </w:r>
      <w:r w:rsidRPr="004D654E">
        <w:t>.</w:t>
      </w:r>
    </w:p>
    <w:p w14:paraId="7D430EA2" w14:textId="77777777" w:rsidR="008C6B8B" w:rsidRPr="001413A4" w:rsidRDefault="008C6B8B" w:rsidP="00AF5EF6">
      <w:pPr>
        <w:pStyle w:val="ListParagraph"/>
      </w:pPr>
      <w:r w:rsidRPr="001413A4">
        <w:t>opioid analgesics: adequate analgesia may be difficult to achieve when administering a full opioid agonist in patients receiving buprenorphine. The potential for overdose also exists with a full agonist, especially when attempting to overcome buprenorphine partial agonist effects, or when buprenorphine plasma levels are declining.</w:t>
      </w:r>
    </w:p>
    <w:p w14:paraId="10956320" w14:textId="58CAA1D9" w:rsidR="008C6B8B" w:rsidRPr="001413A4" w:rsidRDefault="008C6B8B" w:rsidP="00AF5EF6">
      <w:pPr>
        <w:pStyle w:val="ListParagraph"/>
      </w:pPr>
      <w:r w:rsidRPr="001413A4">
        <w:t xml:space="preserve">naltrexone and </w:t>
      </w:r>
      <w:proofErr w:type="spellStart"/>
      <w:r w:rsidRPr="001413A4">
        <w:t>nalmefene</w:t>
      </w:r>
      <w:proofErr w:type="spellEnd"/>
      <w:r w:rsidRPr="001413A4">
        <w:t>: these opioid antagonists can block the pharmacological effects of buprenorphine. For opioid-dependent patients currently receiving buprenorphine treatment, naltrexone may precipitate a sudden onset of prolonged and intense opioid withdrawal symptoms. For patients currently receiving naltrexone treatment, the intended therapeutic effects of buprenorphine administration may be blocked by naltrexone.</w:t>
      </w:r>
    </w:p>
    <w:p w14:paraId="4E088948" w14:textId="77777777" w:rsidR="008C6B8B" w:rsidRPr="001413A4" w:rsidRDefault="008C6B8B" w:rsidP="00AF5EF6">
      <w:pPr>
        <w:pStyle w:val="ListParagraph"/>
      </w:pPr>
      <w:r w:rsidRPr="001413A4">
        <w:t xml:space="preserve">CYP3A4 inhibitors: an interaction study of buprenorphine with ketoconazole (a potent inhibitor of CYP3A4) resulted in increased </w:t>
      </w:r>
      <w:proofErr w:type="spellStart"/>
      <w:r w:rsidRPr="001413A4">
        <w:t>Cmax</w:t>
      </w:r>
      <w:proofErr w:type="spellEnd"/>
      <w:r w:rsidRPr="001413A4">
        <w:t xml:space="preserve"> (approximately 50%) and AUC (approximately 70%) of buprenorphine and, to a lesser extent, of the metabolite, </w:t>
      </w:r>
      <w:proofErr w:type="spellStart"/>
      <w:r w:rsidRPr="001413A4">
        <w:t>norbuprenorphine</w:t>
      </w:r>
      <w:proofErr w:type="spellEnd"/>
      <w:r w:rsidRPr="001413A4">
        <w:t>. Patients receiving buprenorphine should be closely monitored and may require dose reduction if combined with potent CYP3A4 inhibitors (</w:t>
      </w:r>
      <w:proofErr w:type="spellStart"/>
      <w:r w:rsidRPr="001413A4">
        <w:t>eg</w:t>
      </w:r>
      <w:proofErr w:type="spellEnd"/>
      <w:r w:rsidRPr="001413A4">
        <w:t xml:space="preserve"> protease inhibitors like ritonavir, nelfinavir or </w:t>
      </w:r>
      <w:proofErr w:type="spellStart"/>
      <w:r w:rsidRPr="001413A4">
        <w:t>indinavir</w:t>
      </w:r>
      <w:proofErr w:type="spellEnd"/>
      <w:r w:rsidRPr="001413A4">
        <w:t xml:space="preserve">, or azole antifungals such as ketoconazole or </w:t>
      </w:r>
      <w:proofErr w:type="spellStart"/>
      <w:r w:rsidRPr="001413A4">
        <w:t>itraconazole</w:t>
      </w:r>
      <w:proofErr w:type="spellEnd"/>
      <w:r w:rsidRPr="001413A4">
        <w:t>, or macrolide antibiotics).</w:t>
      </w:r>
    </w:p>
    <w:p w14:paraId="38877403" w14:textId="77777777" w:rsidR="008C6B8B" w:rsidRPr="001413A4" w:rsidRDefault="008C6B8B" w:rsidP="00AF5EF6">
      <w:pPr>
        <w:pStyle w:val="ListParagraph"/>
      </w:pPr>
      <w:r w:rsidRPr="001413A4">
        <w:t>CYP3A4 inducers: Concomitant use of CYP3A4 inducers with buprenorphine may decrease buprenorphine plasma concentrations, potentially resulting in sub-optimal treatment of opioid dependence with buprenorphine. It is recommended that patients receiving buprenorphine should be closely monitored if inducers (</w:t>
      </w:r>
      <w:proofErr w:type="spellStart"/>
      <w:r w:rsidRPr="001413A4">
        <w:t>eg</w:t>
      </w:r>
      <w:proofErr w:type="spellEnd"/>
      <w:r w:rsidRPr="001413A4">
        <w:t xml:space="preserve"> phenobarbital, carbamazepine, phenytoin or rifampicin) are co</w:t>
      </w:r>
      <w:r w:rsidRPr="001413A4">
        <w:noBreakHyphen/>
        <w:t>administered. The dose of either buprenorphine or the CYP3A4 inducer may need to be adjusted accordingly.</w:t>
      </w:r>
    </w:p>
    <w:p w14:paraId="3F7A5D4C" w14:textId="5FD034B0" w:rsidR="008C6B8B" w:rsidRDefault="008C6B8B" w:rsidP="00AF5EF6">
      <w:pPr>
        <w:pStyle w:val="ListParagraph"/>
      </w:pPr>
      <w:r w:rsidRPr="001413A4">
        <w:lastRenderedPageBreak/>
        <w:t>monoamine oxidase inhibitors (MAOI): possible exacerbation of the opioid effects, based on experience with morphine.</w:t>
      </w:r>
    </w:p>
    <w:p w14:paraId="4A5299E0" w14:textId="77777777" w:rsidR="00073A4A" w:rsidRPr="001413A4" w:rsidRDefault="00073A4A" w:rsidP="00073A4A">
      <w:pPr>
        <w:pStyle w:val="ListParagraph"/>
        <w:numPr>
          <w:ilvl w:val="0"/>
          <w:numId w:val="0"/>
        </w:numPr>
        <w:ind w:left="426"/>
      </w:pPr>
    </w:p>
    <w:p w14:paraId="25EA5FA4" w14:textId="77777777" w:rsidR="001A3992" w:rsidRPr="00497C85" w:rsidRDefault="001A3992" w:rsidP="001A3992">
      <w:pPr>
        <w:pStyle w:val="Heading2"/>
        <w:spacing w:before="0"/>
        <w:rPr>
          <w:rFonts w:cstheme="minorHAnsi"/>
        </w:rPr>
      </w:pPr>
      <w:r w:rsidRPr="00497C85">
        <w:rPr>
          <w:rFonts w:cstheme="minorHAnsi"/>
        </w:rPr>
        <w:t xml:space="preserve">Fertility, pregnancy and lactation </w:t>
      </w:r>
    </w:p>
    <w:p w14:paraId="2B63CCE7" w14:textId="7481DB95" w:rsidR="001A3992" w:rsidRDefault="001A3992" w:rsidP="00AF5EF6">
      <w:pPr>
        <w:pStyle w:val="Heading3"/>
      </w:pPr>
      <w:r w:rsidRPr="00497C85">
        <w:t>Effects on fertility</w:t>
      </w:r>
    </w:p>
    <w:p w14:paraId="5D1A2B50" w14:textId="77777777" w:rsidR="003C77B3" w:rsidRPr="001413A4" w:rsidRDefault="003C77B3" w:rsidP="00073A4A">
      <w:pPr>
        <w:rPr>
          <w:lang w:val="en-US"/>
        </w:rPr>
      </w:pPr>
      <w:r w:rsidRPr="001413A4">
        <w:rPr>
          <w:lang w:val="en-US"/>
        </w:rPr>
        <w:t xml:space="preserve">There are no or limited data on effects of buprenorphine on human fertility. </w:t>
      </w:r>
    </w:p>
    <w:p w14:paraId="4FFC7DEB" w14:textId="5E1EBA39" w:rsidR="003C77B3" w:rsidRPr="001413A4" w:rsidRDefault="003C77B3" w:rsidP="00073A4A">
      <w:pPr>
        <w:rPr>
          <w:noProof/>
          <w:lang w:val="en-US"/>
        </w:rPr>
      </w:pPr>
      <w:r w:rsidRPr="001413A4">
        <w:rPr>
          <w:noProof/>
          <w:lang w:val="en-US"/>
        </w:rPr>
        <w:t xml:space="preserve">An effect of buprenorphine on fertility in animals has not been seen. </w:t>
      </w:r>
    </w:p>
    <w:p w14:paraId="247782C1" w14:textId="3A045B61" w:rsidR="003C77B3" w:rsidRPr="001413A4" w:rsidRDefault="003C77B3" w:rsidP="00073A4A">
      <w:pPr>
        <w:rPr>
          <w:lang w:val="en-US"/>
        </w:rPr>
      </w:pPr>
      <w:r w:rsidRPr="001413A4">
        <w:rPr>
          <w:lang w:val="en-US"/>
        </w:rPr>
        <w:t>There were no effects on mating performance or on fertility of male rats following short term treatment with buprenorphine at systemic exposures up to 38 times the maximum anticipated human exposure (based on plasma AUC).</w:t>
      </w:r>
    </w:p>
    <w:p w14:paraId="2EB887D8" w14:textId="31D38328" w:rsidR="001A3992" w:rsidRDefault="001A3992" w:rsidP="00AF5EF6">
      <w:pPr>
        <w:pStyle w:val="Heading3"/>
      </w:pPr>
      <w:r w:rsidRPr="00497C85">
        <w:t xml:space="preserve">Use in pregnancy </w:t>
      </w:r>
      <w:r w:rsidR="00497C85" w:rsidRPr="00497C85">
        <w:t>– Pregnancy Category C</w:t>
      </w:r>
    </w:p>
    <w:p w14:paraId="6BD0D7B8" w14:textId="7FBE4DFA" w:rsidR="003C77B3" w:rsidRDefault="00290EA1" w:rsidP="00073A4A">
      <w:r>
        <w:rPr>
          <w:noProof/>
        </w:rPr>
        <w:t>Buvidal Weekly</w:t>
      </w:r>
      <w:r w:rsidR="005151CA">
        <w:rPr>
          <w:noProof/>
        </w:rPr>
        <w:t xml:space="preserve"> </w:t>
      </w:r>
      <w:r w:rsidR="005151CA">
        <w:t>is contraindicated in pregnant women (see section 4.3 CONTRAINDICATIONS)</w:t>
      </w:r>
      <w:r w:rsidR="003C77B3" w:rsidRPr="0068227E">
        <w:t>.</w:t>
      </w:r>
    </w:p>
    <w:p w14:paraId="48BC4ACE" w14:textId="0B20FDE7" w:rsidR="005151CA" w:rsidRDefault="005151CA" w:rsidP="00073A4A">
      <w:pPr>
        <w:rPr>
          <w:noProof/>
        </w:rPr>
      </w:pPr>
      <w:r>
        <w:rPr>
          <w:noProof/>
        </w:rPr>
        <w:t>There are no adequ</w:t>
      </w:r>
      <w:r w:rsidR="003466EE">
        <w:rPr>
          <w:noProof/>
        </w:rPr>
        <w:t>a</w:t>
      </w:r>
      <w:r>
        <w:rPr>
          <w:noProof/>
        </w:rPr>
        <w:t xml:space="preserve">te and well controlled studies in pregnant women. </w:t>
      </w:r>
    </w:p>
    <w:p w14:paraId="545B87FE" w14:textId="078E0BAB" w:rsidR="0005646C" w:rsidRDefault="0005646C" w:rsidP="00073A4A">
      <w:pPr>
        <w:rPr>
          <w:noProof/>
        </w:rPr>
      </w:pPr>
      <w:r>
        <w:rPr>
          <w:noProof/>
        </w:rPr>
        <w:t>Buprenorphine readily crosses the placental barrier and may cause resp</w:t>
      </w:r>
      <w:r w:rsidR="00CD2A45">
        <w:rPr>
          <w:noProof/>
        </w:rPr>
        <w:t>iratory</w:t>
      </w:r>
      <w:r>
        <w:rPr>
          <w:noProof/>
        </w:rPr>
        <w:t xml:space="preserve"> depression in neonates. During the last three months of pregnancy, chronic use of buprenorphine may be responsible for a withdrawal syndrome in neonates.</w:t>
      </w:r>
    </w:p>
    <w:p w14:paraId="645552C4" w14:textId="2B573D98" w:rsidR="0005646C" w:rsidRDefault="0005646C" w:rsidP="00073A4A">
      <w:pPr>
        <w:rPr>
          <w:noProof/>
        </w:rPr>
      </w:pPr>
      <w:r>
        <w:rPr>
          <w:noProof/>
        </w:rPr>
        <w:t>Treat</w:t>
      </w:r>
      <w:r w:rsidR="002230BD">
        <w:rPr>
          <w:noProof/>
        </w:rPr>
        <w:t>ment</w:t>
      </w:r>
      <w:r>
        <w:rPr>
          <w:noProof/>
        </w:rPr>
        <w:t xml:space="preserve"> with buprenorphine during pregnancy was associated with difficult parturition and f</w:t>
      </w:r>
      <w:r w:rsidR="001E66BA">
        <w:rPr>
          <w:noProof/>
        </w:rPr>
        <w:t>o</w:t>
      </w:r>
      <w:r>
        <w:rPr>
          <w:noProof/>
        </w:rPr>
        <w:t>etotoxicity, including post-implementation loss and decreased</w:t>
      </w:r>
      <w:r w:rsidR="00CD2A45">
        <w:rPr>
          <w:noProof/>
        </w:rPr>
        <w:t xml:space="preserve"> </w:t>
      </w:r>
      <w:r>
        <w:rPr>
          <w:noProof/>
        </w:rPr>
        <w:t xml:space="preserve">post-natal survival, in rats and rabbits at systemic exposures </w:t>
      </w:r>
      <w:r w:rsidR="00CD4B82">
        <w:rPr>
          <w:noProof/>
        </w:rPr>
        <w:t xml:space="preserve">higher </w:t>
      </w:r>
      <w:r w:rsidR="00CB0644">
        <w:rPr>
          <w:noProof/>
        </w:rPr>
        <w:t>than</w:t>
      </w:r>
      <w:r>
        <w:rPr>
          <w:noProof/>
        </w:rPr>
        <w:t xml:space="preserve"> the maximum anticipated human exposure of </w:t>
      </w:r>
      <w:r w:rsidR="00CD4B82">
        <w:rPr>
          <w:noProof/>
        </w:rPr>
        <w:t>bupreno</w:t>
      </w:r>
      <w:r w:rsidR="00A541E3">
        <w:rPr>
          <w:noProof/>
        </w:rPr>
        <w:t>r</w:t>
      </w:r>
      <w:r w:rsidR="00CD4B82">
        <w:rPr>
          <w:noProof/>
        </w:rPr>
        <w:t xml:space="preserve">phine by </w:t>
      </w:r>
      <w:r w:rsidR="00290EA1">
        <w:rPr>
          <w:noProof/>
        </w:rPr>
        <w:t>Buvidal Weekly</w:t>
      </w:r>
      <w:r w:rsidR="005D5542">
        <w:rPr>
          <w:noProof/>
        </w:rPr>
        <w:t>.</w:t>
      </w:r>
      <w:r>
        <w:rPr>
          <w:noProof/>
        </w:rPr>
        <w:t xml:space="preserve"> </w:t>
      </w:r>
      <w:r w:rsidR="009A2D12">
        <w:rPr>
          <w:noProof/>
        </w:rPr>
        <w:t xml:space="preserve">No teratogenic effects were </w:t>
      </w:r>
      <w:r>
        <w:rPr>
          <w:noProof/>
        </w:rPr>
        <w:t xml:space="preserve">evident in </w:t>
      </w:r>
      <w:r w:rsidR="009A2D12">
        <w:rPr>
          <w:noProof/>
        </w:rPr>
        <w:t xml:space="preserve">the </w:t>
      </w:r>
      <w:r>
        <w:rPr>
          <w:noProof/>
        </w:rPr>
        <w:t>animal studies.</w:t>
      </w:r>
    </w:p>
    <w:p w14:paraId="5FC50BE0" w14:textId="06A49D8B" w:rsidR="0005646C" w:rsidRPr="0005646C" w:rsidRDefault="0005646C" w:rsidP="00073A4A">
      <w:pPr>
        <w:rPr>
          <w:noProof/>
        </w:rPr>
      </w:pPr>
      <w:r>
        <w:rPr>
          <w:noProof/>
        </w:rPr>
        <w:t xml:space="preserve">Maternal oral administration at high doses (80mg/kg/day) during gestation and lactation resulted in a delayed postnatal </w:t>
      </w:r>
      <w:r w:rsidR="00250BDA">
        <w:rPr>
          <w:noProof/>
        </w:rPr>
        <w:t>development</w:t>
      </w:r>
      <w:r>
        <w:rPr>
          <w:noProof/>
        </w:rPr>
        <w:t xml:space="preserve"> of s</w:t>
      </w:r>
      <w:r w:rsidR="002230BD">
        <w:rPr>
          <w:noProof/>
        </w:rPr>
        <w:t>o</w:t>
      </w:r>
      <w:r>
        <w:rPr>
          <w:noProof/>
        </w:rPr>
        <w:t>me neurological functions (surface righting reflex and startle response</w:t>
      </w:r>
      <w:r w:rsidR="004702A3">
        <w:rPr>
          <w:noProof/>
        </w:rPr>
        <w:t xml:space="preserve">) </w:t>
      </w:r>
      <w:r>
        <w:rPr>
          <w:noProof/>
        </w:rPr>
        <w:t>in neonatal rats with NOEL of 8mg/kg/day</w:t>
      </w:r>
      <w:r w:rsidR="005D5542">
        <w:rPr>
          <w:noProof/>
        </w:rPr>
        <w:t xml:space="preserve"> </w:t>
      </w:r>
      <w:r w:rsidR="004702A3">
        <w:rPr>
          <w:noProof/>
        </w:rPr>
        <w:t>PO.</w:t>
      </w:r>
    </w:p>
    <w:p w14:paraId="78403FB5" w14:textId="23F12957" w:rsidR="001A3992" w:rsidRDefault="001A3992" w:rsidP="00AF5EF6">
      <w:pPr>
        <w:pStyle w:val="Heading3"/>
      </w:pPr>
      <w:r w:rsidRPr="00497C85">
        <w:t xml:space="preserve">Use in lactation. </w:t>
      </w:r>
    </w:p>
    <w:p w14:paraId="22A876CE" w14:textId="4CE2C69C" w:rsidR="003C77B3" w:rsidRPr="00690CC4" w:rsidRDefault="0014431A" w:rsidP="003C77B3">
      <w:pPr>
        <w:rPr>
          <w:szCs w:val="24"/>
          <w:lang w:val="en-GB"/>
        </w:rPr>
      </w:pPr>
      <w:r>
        <w:rPr>
          <w:szCs w:val="24"/>
        </w:rPr>
        <w:t xml:space="preserve">Animal studies </w:t>
      </w:r>
      <w:r w:rsidR="007C1820">
        <w:rPr>
          <w:szCs w:val="24"/>
        </w:rPr>
        <w:t>indicate buprenorphine has the potential</w:t>
      </w:r>
      <w:r w:rsidR="00E04AC9">
        <w:rPr>
          <w:szCs w:val="24"/>
        </w:rPr>
        <w:t xml:space="preserve"> to inhibit lactation or milk production</w:t>
      </w:r>
      <w:r w:rsidR="003C77B3">
        <w:rPr>
          <w:szCs w:val="24"/>
        </w:rPr>
        <w:t>.</w:t>
      </w:r>
      <w:r w:rsidR="00E04AC9">
        <w:rPr>
          <w:szCs w:val="24"/>
        </w:rPr>
        <w:t xml:space="preserve"> Decreases in postnatal survival, growth and development were also observed in animals treated with buprenorphine during lactation. Because buprenorphine passes into the mother’s milk. </w:t>
      </w:r>
      <w:proofErr w:type="spellStart"/>
      <w:r w:rsidR="00290EA1">
        <w:rPr>
          <w:szCs w:val="24"/>
        </w:rPr>
        <w:t>Buvidal</w:t>
      </w:r>
      <w:proofErr w:type="spellEnd"/>
      <w:r w:rsidR="00290EA1">
        <w:rPr>
          <w:szCs w:val="24"/>
        </w:rPr>
        <w:t xml:space="preserve"> Weekly</w:t>
      </w:r>
      <w:r w:rsidR="00E04AC9">
        <w:rPr>
          <w:szCs w:val="24"/>
        </w:rPr>
        <w:t xml:space="preserve"> should not be used in breast-feeding women.</w:t>
      </w:r>
    </w:p>
    <w:p w14:paraId="53D90594" w14:textId="77777777" w:rsidR="001A3992" w:rsidRPr="00497C85" w:rsidRDefault="001A3992" w:rsidP="001A3992">
      <w:pPr>
        <w:pStyle w:val="Heading2"/>
        <w:spacing w:before="0"/>
        <w:rPr>
          <w:rFonts w:cstheme="minorHAnsi"/>
        </w:rPr>
      </w:pPr>
      <w:r w:rsidRPr="00497C85">
        <w:rPr>
          <w:rFonts w:cstheme="minorHAnsi"/>
        </w:rPr>
        <w:t xml:space="preserve">Effects on ability to drive and use machines </w:t>
      </w:r>
    </w:p>
    <w:p w14:paraId="68A4710D" w14:textId="195A7BF2" w:rsidR="008034A5" w:rsidRPr="00252E3D" w:rsidRDefault="008034A5" w:rsidP="008034A5">
      <w:pPr>
        <w:rPr>
          <w:noProof/>
        </w:rPr>
      </w:pPr>
      <w:r w:rsidRPr="00252E3D">
        <w:t xml:space="preserve">Buprenorphine </w:t>
      </w:r>
      <w:r w:rsidRPr="00252E3D">
        <w:rPr>
          <w:noProof/>
        </w:rPr>
        <w:t>has moderate influence on the ability to drive and use machines when administered to opioid</w:t>
      </w:r>
      <w:r>
        <w:rPr>
          <w:noProof/>
        </w:rPr>
        <w:t>-</w:t>
      </w:r>
      <w:r w:rsidRPr="00252E3D">
        <w:rPr>
          <w:noProof/>
        </w:rPr>
        <w:t xml:space="preserve">dependent patients. </w:t>
      </w:r>
      <w:r w:rsidRPr="00252E3D">
        <w:t xml:space="preserve">Buprenorphine </w:t>
      </w:r>
      <w:r w:rsidRPr="00252E3D">
        <w:rPr>
          <w:noProof/>
        </w:rPr>
        <w:t xml:space="preserve">may cause drowsiness, dizziness or impaired thinking, especially during treatment induction and dose adjustment. If taken together with alcohol or central nervous system depressants, the effect is likely </w:t>
      </w:r>
      <w:r>
        <w:rPr>
          <w:noProof/>
        </w:rPr>
        <w:t>exagerated</w:t>
      </w:r>
      <w:r w:rsidRPr="00252E3D">
        <w:rPr>
          <w:noProof/>
        </w:rPr>
        <w:t xml:space="preserve"> </w:t>
      </w:r>
      <w:r w:rsidRPr="00CF4EDF">
        <w:rPr>
          <w:noProof/>
        </w:rPr>
        <w:t xml:space="preserve">(see </w:t>
      </w:r>
      <w:r w:rsidR="00215559">
        <w:rPr>
          <w:rFonts w:cstheme="minorHAnsi"/>
        </w:rPr>
        <w:t xml:space="preserve">section 4.4 SPECIAL WARNINGS AND </w:t>
      </w:r>
      <w:r w:rsidR="00215559" w:rsidRPr="004D654E">
        <w:rPr>
          <w:rFonts w:cstheme="minorHAnsi"/>
        </w:rPr>
        <w:t>PRECAUTIONS</w:t>
      </w:r>
      <w:r w:rsidR="00215559">
        <w:rPr>
          <w:rFonts w:cstheme="minorHAnsi"/>
        </w:rPr>
        <w:t xml:space="preserve"> FOR USE</w:t>
      </w:r>
      <w:r w:rsidR="00215559" w:rsidRPr="004D654E">
        <w:rPr>
          <w:rFonts w:cstheme="minorHAnsi"/>
        </w:rPr>
        <w:t>)</w:t>
      </w:r>
      <w:r w:rsidRPr="00CF4EDF">
        <w:rPr>
          <w:noProof/>
        </w:rPr>
        <w:t xml:space="preserve"> and </w:t>
      </w:r>
      <w:r w:rsidR="00197133">
        <w:rPr>
          <w:noProof/>
        </w:rPr>
        <w:t xml:space="preserve">section 4.5 </w:t>
      </w:r>
      <w:r w:rsidRPr="00CF4EDF">
        <w:rPr>
          <w:noProof/>
        </w:rPr>
        <w:t>INTERACTIONS WITH OTHER MEDICINES</w:t>
      </w:r>
      <w:r w:rsidR="00197133">
        <w:rPr>
          <w:noProof/>
        </w:rPr>
        <w:t xml:space="preserve"> AND OTHER FORMS OF INTERACTION</w:t>
      </w:r>
      <w:r w:rsidR="00E62E2D">
        <w:rPr>
          <w:noProof/>
        </w:rPr>
        <w:t>S</w:t>
      </w:r>
      <w:r w:rsidRPr="00CF4EDF">
        <w:rPr>
          <w:noProof/>
        </w:rPr>
        <w:t>).</w:t>
      </w:r>
      <w:r w:rsidRPr="00252E3D">
        <w:rPr>
          <w:noProof/>
        </w:rPr>
        <w:t xml:space="preserve"> Patients should be cautioned about operating hazardous machinery in case buprenorphine may affect their ability to engage in such activities.</w:t>
      </w:r>
    </w:p>
    <w:p w14:paraId="73D7FA26" w14:textId="77777777" w:rsidR="001A3992" w:rsidRPr="00497C85" w:rsidRDefault="001A3992" w:rsidP="001A3992">
      <w:pPr>
        <w:pStyle w:val="Heading2"/>
        <w:keepNext/>
        <w:keepLines/>
        <w:spacing w:before="0"/>
        <w:rPr>
          <w:rFonts w:cstheme="minorHAnsi"/>
        </w:rPr>
      </w:pPr>
      <w:r w:rsidRPr="00497C85">
        <w:rPr>
          <w:rFonts w:cstheme="minorHAnsi"/>
        </w:rPr>
        <w:lastRenderedPageBreak/>
        <w:t>Adverse effects (Undesirable effects)</w:t>
      </w:r>
    </w:p>
    <w:p w14:paraId="7935E7FF" w14:textId="77777777" w:rsidR="00406F19" w:rsidRDefault="00406F19" w:rsidP="00406F19">
      <w:pPr>
        <w:rPr>
          <w:noProof/>
        </w:rPr>
      </w:pPr>
      <w:r w:rsidRPr="00D13415">
        <w:rPr>
          <w:noProof/>
        </w:rPr>
        <w:t xml:space="preserve">The adverse </w:t>
      </w:r>
      <w:r>
        <w:rPr>
          <w:noProof/>
        </w:rPr>
        <w:t xml:space="preserve">events </w:t>
      </w:r>
      <w:r w:rsidRPr="00D13415">
        <w:rPr>
          <w:noProof/>
        </w:rPr>
        <w:t xml:space="preserve">most frequently reported in </w:t>
      </w:r>
      <w:r>
        <w:rPr>
          <w:noProof/>
        </w:rPr>
        <w:t xml:space="preserve">the double-blind, pivotal phase 3 efficacy </w:t>
      </w:r>
      <w:r w:rsidRPr="00D13415">
        <w:rPr>
          <w:noProof/>
        </w:rPr>
        <w:t xml:space="preserve">clinical trial were </w:t>
      </w:r>
      <w:r>
        <w:rPr>
          <w:noProof/>
        </w:rPr>
        <w:t xml:space="preserve">constipation, symptoms commonly associated with drug withdrawal, such as headache, nausea, insomnia and vomiting, injection site related events such as injection site </w:t>
      </w:r>
      <w:r w:rsidRPr="00C53BA9">
        <w:t>pain, injection site pruritus and injection site erythema, urinary tract infection and upper respiratory tract infection</w:t>
      </w:r>
      <w:r>
        <w:rPr>
          <w:noProof/>
        </w:rPr>
        <w:t xml:space="preserve">. </w:t>
      </w:r>
    </w:p>
    <w:p w14:paraId="2412140E" w14:textId="5557AA52" w:rsidR="00406F19" w:rsidRDefault="00406F19" w:rsidP="00406F19">
      <w:r>
        <w:rPr>
          <w:noProof/>
        </w:rPr>
        <w:fldChar w:fldCharType="begin"/>
      </w:r>
      <w:r>
        <w:rPr>
          <w:noProof/>
        </w:rPr>
        <w:instrText xml:space="preserve"> REF _Ref493244539 \h </w:instrText>
      </w:r>
      <w:r>
        <w:rPr>
          <w:noProof/>
        </w:rPr>
      </w:r>
      <w:r>
        <w:rPr>
          <w:noProof/>
        </w:rPr>
        <w:fldChar w:fldCharType="separate"/>
      </w:r>
      <w:r w:rsidR="003C205E" w:rsidRPr="00073A4A">
        <w:t xml:space="preserve">Table </w:t>
      </w:r>
      <w:r>
        <w:rPr>
          <w:noProof/>
        </w:rPr>
        <w:fldChar w:fldCharType="end"/>
      </w:r>
      <w:r w:rsidR="004F1986">
        <w:rPr>
          <w:noProof/>
        </w:rPr>
        <w:t>3</w:t>
      </w:r>
      <w:r>
        <w:rPr>
          <w:noProof/>
        </w:rPr>
        <w:t xml:space="preserve"> provides a </w:t>
      </w:r>
      <w:r w:rsidRPr="00F72079">
        <w:t xml:space="preserve">summary </w:t>
      </w:r>
      <w:r>
        <w:t xml:space="preserve">of </w:t>
      </w:r>
      <w:r w:rsidRPr="00F72079">
        <w:t xml:space="preserve">Treatment-Emergent Adverse Events </w:t>
      </w:r>
      <w:r>
        <w:t>(TEAEs) r</w:t>
      </w:r>
      <w:r w:rsidRPr="00F72079">
        <w:t xml:space="preserve">eported for at </w:t>
      </w:r>
      <w:r>
        <w:t>l</w:t>
      </w:r>
      <w:r w:rsidRPr="00F72079">
        <w:t xml:space="preserve">east 1% of </w:t>
      </w:r>
      <w:r>
        <w:t>p</w:t>
      </w:r>
      <w:r w:rsidRPr="00F72079">
        <w:t xml:space="preserve">atients in </w:t>
      </w:r>
      <w:r>
        <w:t>e</w:t>
      </w:r>
      <w:r w:rsidRPr="00F72079">
        <w:t xml:space="preserve">ither </w:t>
      </w:r>
      <w:r>
        <w:t>t</w:t>
      </w:r>
      <w:r w:rsidRPr="00F72079">
        <w:t xml:space="preserve">reatment </w:t>
      </w:r>
      <w:r>
        <w:t>g</w:t>
      </w:r>
      <w:r w:rsidRPr="00F72079">
        <w:t>roup by System Organ Class and Preferred Term (HS-11-421 safety population)</w:t>
      </w:r>
      <w:r>
        <w:t>.</w:t>
      </w:r>
    </w:p>
    <w:p w14:paraId="64981EA5" w14:textId="77777777" w:rsidR="00406F19" w:rsidRDefault="00406F19" w:rsidP="00406F19">
      <w:r>
        <w:t xml:space="preserve">The pattern of TEAEs and </w:t>
      </w:r>
      <w:r w:rsidRPr="000D77D4">
        <w:t>serious adverse events</w:t>
      </w:r>
      <w:r>
        <w:t xml:space="preserve"> (SAEs) was comparable between treatment groups and was consistent with the safety profile of SL BPN.</w:t>
      </w:r>
    </w:p>
    <w:p w14:paraId="3ADC9DAC" w14:textId="73373599" w:rsidR="00406F19" w:rsidRDefault="00406F19" w:rsidP="00406F19">
      <w:r>
        <w:t xml:space="preserve">Overall in study HS-11-421, 247 subjects (57.7%) experienced at least 1 TEAE during the study (119 [55.3%], SL BPN/NX; 128 [60.1%], </w:t>
      </w:r>
      <w:proofErr w:type="spellStart"/>
      <w:r w:rsidR="00B35878">
        <w:t>Buvidal</w:t>
      </w:r>
      <w:proofErr w:type="spellEnd"/>
      <w:r>
        <w:t xml:space="preserve">, and 88 (20.6%) subjects had at least 1 injection site TEAE (48 [22.3%], SL BPN/NX; 40 [18.8%], </w:t>
      </w:r>
      <w:proofErr w:type="spellStart"/>
      <w:r w:rsidR="004E0E67">
        <w:t>Buvidal</w:t>
      </w:r>
      <w:proofErr w:type="spellEnd"/>
      <w:r>
        <w:t>). Approximately 30% of all subjects had at least 1 study drug-related TEAE (18.0%, injection site TEAE; 18.0%, non-injection site TEAE).</w:t>
      </w:r>
    </w:p>
    <w:p w14:paraId="3CE4F1AE" w14:textId="515B383C" w:rsidR="00091288" w:rsidRDefault="00091288" w:rsidP="00091288">
      <w:pPr>
        <w:keepNext/>
      </w:pPr>
      <w:r>
        <w:t>Overall (across both treatment groups), the most common TEAEs (regardless of drug attribution) were injection site pain (8.4%), headache (7.7%), constipation (7.5%), nausea (7.5%), injection site pruritus (6.1%), and injection site erythema (5.6%). Other injection site TEAEs that occurred in &gt;1% of all subjects were injection site reaction (3.5%), injection site swelling (3.5%), injection site induration (2.3%), injection site inflammation (2.3%), injection site bruising (1.2%) and injection site ulcer (1.2%).</w:t>
      </w:r>
    </w:p>
    <w:p w14:paraId="11E5BD45" w14:textId="233396E8" w:rsidR="00091288" w:rsidRDefault="00091288" w:rsidP="00091288">
      <w:r>
        <w:t xml:space="preserve">Incidences of injection site TEAEs were generally comparable between treatment groups, </w:t>
      </w:r>
      <w:proofErr w:type="spellStart"/>
      <w:r>
        <w:t>ie</w:t>
      </w:r>
      <w:proofErr w:type="spellEnd"/>
      <w:r>
        <w:t xml:space="preserve">, after injection of active </w:t>
      </w:r>
      <w:proofErr w:type="spellStart"/>
      <w:r w:rsidR="004E0E67" w:rsidRPr="00B35878">
        <w:t>Buvidal</w:t>
      </w:r>
      <w:proofErr w:type="spellEnd"/>
      <w:r w:rsidRPr="00B35878">
        <w:t xml:space="preserve"> or placebo </w:t>
      </w:r>
      <w:proofErr w:type="spellStart"/>
      <w:r w:rsidR="004E0E67" w:rsidRPr="00B35878">
        <w:t>Buvidal</w:t>
      </w:r>
      <w:proofErr w:type="spellEnd"/>
      <w:r w:rsidRPr="00B35878">
        <w:t xml:space="preserve">. The incidence of injection site inflammation was slightly higher in the SL BPN/NX group (3.7%) than in the </w:t>
      </w:r>
      <w:proofErr w:type="spellStart"/>
      <w:r w:rsidR="004E0E67" w:rsidRPr="00B35878">
        <w:t>Buvidal</w:t>
      </w:r>
      <w:proofErr w:type="spellEnd"/>
      <w:r>
        <w:t xml:space="preserve"> group (0.9%). Injection site TEAEs, which were generally characterised as injection site pain, pruritus, and erythema, were all mild or moderate in intensity, with most being mild.</w:t>
      </w:r>
    </w:p>
    <w:p w14:paraId="101402C4" w14:textId="2686DF95" w:rsidR="00091288" w:rsidRPr="00073A4A" w:rsidRDefault="00091288" w:rsidP="00073A4A">
      <w:pPr>
        <w:pStyle w:val="Caption"/>
      </w:pPr>
      <w:bookmarkStart w:id="2" w:name="_Ref493244539"/>
      <w:r w:rsidRPr="00073A4A">
        <w:t xml:space="preserve">Table </w:t>
      </w:r>
      <w:bookmarkEnd w:id="2"/>
      <w:r w:rsidR="004F1986" w:rsidRPr="00073A4A">
        <w:t>3</w:t>
      </w:r>
      <w:r w:rsidRPr="00073A4A">
        <w:t xml:space="preserve"> Summary of Treatment-Emergent Adverse Events Reported for at Least 1% of Patients in Either Treatment Group by System Organ Class and Preferred Term (HS-11-421 safety population).</w:t>
      </w:r>
    </w:p>
    <w:tbl>
      <w:tblPr>
        <w:tblW w:w="9458" w:type="dxa"/>
        <w:jc w:val="center"/>
        <w:tblLayout w:type="fixed"/>
        <w:tblCellMar>
          <w:left w:w="0" w:type="dxa"/>
          <w:right w:w="0" w:type="dxa"/>
        </w:tblCellMar>
        <w:tblLook w:val="0000" w:firstRow="0" w:lastRow="0" w:firstColumn="0" w:lastColumn="0" w:noHBand="0" w:noVBand="0"/>
      </w:tblPr>
      <w:tblGrid>
        <w:gridCol w:w="1918"/>
        <w:gridCol w:w="3543"/>
        <w:gridCol w:w="1276"/>
        <w:gridCol w:w="1417"/>
        <w:gridCol w:w="1304"/>
      </w:tblGrid>
      <w:tr w:rsidR="00276BC7" w:rsidRPr="00276BC7" w14:paraId="798CE058" w14:textId="77777777" w:rsidTr="001566B2">
        <w:trPr>
          <w:tblHeader/>
          <w:jc w:val="center"/>
        </w:trPr>
        <w:tc>
          <w:tcPr>
            <w:tcW w:w="1918" w:type="dxa"/>
            <w:tcBorders>
              <w:top w:val="single" w:sz="4" w:space="0" w:color="000000"/>
              <w:left w:val="single" w:sz="4" w:space="0" w:color="000000"/>
              <w:bottom w:val="single" w:sz="4" w:space="0" w:color="000000"/>
              <w:right w:val="nil"/>
            </w:tcBorders>
            <w:shd w:val="clear" w:color="auto" w:fill="FFFFFF"/>
            <w:tcMar>
              <w:left w:w="67" w:type="dxa"/>
              <w:right w:w="67" w:type="dxa"/>
            </w:tcMar>
          </w:tcPr>
          <w:p w14:paraId="6663E1A5" w14:textId="02209A2B" w:rsidR="00276BC7" w:rsidRPr="00F97A17" w:rsidRDefault="00276BC7" w:rsidP="00073A4A">
            <w:pPr>
              <w:pStyle w:val="TableHeader"/>
            </w:pPr>
            <w:bookmarkStart w:id="3" w:name="_Hlk505863865"/>
            <w:r w:rsidRPr="00F97A17">
              <w:t>SYSTEM ORGAN CLASS</w:t>
            </w:r>
          </w:p>
        </w:tc>
        <w:tc>
          <w:tcPr>
            <w:tcW w:w="3543" w:type="dxa"/>
            <w:tcBorders>
              <w:top w:val="single" w:sz="4" w:space="0" w:color="000000"/>
              <w:left w:val="single" w:sz="4" w:space="0" w:color="000000"/>
              <w:bottom w:val="single" w:sz="4" w:space="0" w:color="000000"/>
              <w:right w:val="nil"/>
            </w:tcBorders>
            <w:shd w:val="clear" w:color="auto" w:fill="FFFFFF"/>
            <w:tcMar>
              <w:left w:w="67" w:type="dxa"/>
              <w:right w:w="67" w:type="dxa"/>
            </w:tcMar>
          </w:tcPr>
          <w:p w14:paraId="20D4732D" w14:textId="77777777" w:rsidR="00276BC7" w:rsidRPr="00F97A17" w:rsidRDefault="00276BC7" w:rsidP="00073A4A">
            <w:pPr>
              <w:pStyle w:val="TableHeader"/>
            </w:pPr>
            <w:r w:rsidRPr="00F97A17">
              <w:t>PREFERRED TERM</w:t>
            </w:r>
          </w:p>
        </w:tc>
        <w:tc>
          <w:tcPr>
            <w:tcW w:w="1276" w:type="dxa"/>
            <w:tcBorders>
              <w:top w:val="single" w:sz="4" w:space="0" w:color="000000"/>
              <w:left w:val="single" w:sz="4" w:space="0" w:color="000000"/>
              <w:bottom w:val="single" w:sz="4" w:space="0" w:color="000000"/>
              <w:right w:val="nil"/>
            </w:tcBorders>
            <w:shd w:val="clear" w:color="auto" w:fill="FFFFFF"/>
            <w:tcMar>
              <w:left w:w="67" w:type="dxa"/>
              <w:right w:w="67" w:type="dxa"/>
            </w:tcMar>
          </w:tcPr>
          <w:p w14:paraId="11533EF8" w14:textId="77777777" w:rsidR="00276BC7" w:rsidRPr="00F97A17" w:rsidRDefault="00276BC7" w:rsidP="00073A4A">
            <w:pPr>
              <w:pStyle w:val="TableHeader"/>
            </w:pPr>
            <w:r w:rsidRPr="00F97A17">
              <w:t>SL BPN</w:t>
            </w:r>
            <w:r w:rsidRPr="00F97A17">
              <w:br/>
              <w:t>(N=215)</w:t>
            </w:r>
          </w:p>
        </w:tc>
        <w:tc>
          <w:tcPr>
            <w:tcW w:w="1417" w:type="dxa"/>
            <w:tcBorders>
              <w:top w:val="single" w:sz="4" w:space="0" w:color="000000"/>
              <w:left w:val="single" w:sz="4" w:space="0" w:color="000000"/>
              <w:bottom w:val="single" w:sz="4" w:space="0" w:color="000000"/>
              <w:right w:val="nil"/>
            </w:tcBorders>
            <w:shd w:val="clear" w:color="auto" w:fill="FFFFFF"/>
            <w:tcMar>
              <w:left w:w="67" w:type="dxa"/>
              <w:right w:w="67" w:type="dxa"/>
            </w:tcMar>
          </w:tcPr>
          <w:p w14:paraId="41A37DB8" w14:textId="2AC3DFFA" w:rsidR="00276BC7" w:rsidRPr="00F97A17" w:rsidRDefault="004E0E67" w:rsidP="00073A4A">
            <w:pPr>
              <w:pStyle w:val="TableHeader"/>
            </w:pPr>
            <w:r>
              <w:t>BUVIDAL</w:t>
            </w:r>
            <w:r w:rsidR="00276BC7" w:rsidRPr="00F97A17">
              <w:br/>
              <w:t>(N=213)</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Mar>
              <w:left w:w="67" w:type="dxa"/>
              <w:right w:w="67" w:type="dxa"/>
            </w:tcMar>
          </w:tcPr>
          <w:p w14:paraId="381ADC94" w14:textId="77777777" w:rsidR="00276BC7" w:rsidRPr="00F97A17" w:rsidRDefault="00276BC7" w:rsidP="00073A4A">
            <w:pPr>
              <w:pStyle w:val="TableHeader"/>
            </w:pPr>
            <w:r w:rsidRPr="00F97A17">
              <w:t>TOTAL</w:t>
            </w:r>
            <w:r w:rsidRPr="00F97A17">
              <w:br/>
              <w:t>(N=428)</w:t>
            </w:r>
          </w:p>
        </w:tc>
      </w:tr>
      <w:tr w:rsidR="00276BC7" w:rsidRPr="00276BC7" w14:paraId="1AD7B20F" w14:textId="77777777" w:rsidTr="001566B2">
        <w:trPr>
          <w:jc w:val="center"/>
        </w:trPr>
        <w:tc>
          <w:tcPr>
            <w:tcW w:w="1918" w:type="dxa"/>
            <w:tcBorders>
              <w:top w:val="nil"/>
              <w:left w:val="single" w:sz="4" w:space="0" w:color="000000"/>
              <w:bottom w:val="single" w:sz="4" w:space="0" w:color="000000"/>
              <w:right w:val="nil"/>
            </w:tcBorders>
            <w:shd w:val="clear" w:color="auto" w:fill="FFFFFF"/>
            <w:tcMar>
              <w:left w:w="67" w:type="dxa"/>
              <w:right w:w="67" w:type="dxa"/>
            </w:tcMar>
          </w:tcPr>
          <w:p w14:paraId="2C879438" w14:textId="77777777" w:rsidR="00276BC7" w:rsidRPr="00F97A17" w:rsidRDefault="00276BC7" w:rsidP="00073A4A">
            <w:pPr>
              <w:pStyle w:val="Tabletext"/>
            </w:pPr>
            <w:r w:rsidRPr="00F97A17">
              <w:t>At least one AE</w:t>
            </w: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684DF2BF" w14:textId="77777777" w:rsidR="00276BC7" w:rsidRPr="00F97A17" w:rsidRDefault="00276BC7" w:rsidP="00073A4A">
            <w:pPr>
              <w:pStyle w:val="Tabletext"/>
            </w:pP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1667164" w14:textId="77777777" w:rsidR="00276BC7" w:rsidRPr="00F97A17" w:rsidRDefault="00276BC7" w:rsidP="00073A4A">
            <w:pPr>
              <w:pStyle w:val="Tabletext"/>
            </w:pPr>
            <w:r w:rsidRPr="00F97A17">
              <w:t>119 (55.3%)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218C14D" w14:textId="77777777" w:rsidR="00276BC7" w:rsidRPr="00F97A17" w:rsidRDefault="00276BC7" w:rsidP="00073A4A">
            <w:pPr>
              <w:pStyle w:val="Tabletext"/>
            </w:pPr>
            <w:r w:rsidRPr="00F97A17">
              <w:t>128 (60.1%)</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ABC74C0" w14:textId="77777777" w:rsidR="00276BC7" w:rsidRPr="00F97A17" w:rsidRDefault="00276BC7" w:rsidP="00073A4A">
            <w:pPr>
              <w:pStyle w:val="Tabletext"/>
            </w:pPr>
            <w:r w:rsidRPr="00F97A17">
              <w:t>247 (57.7%)</w:t>
            </w:r>
          </w:p>
        </w:tc>
      </w:tr>
      <w:tr w:rsidR="00276BC7" w:rsidRPr="00276BC7" w14:paraId="48EFCF04"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FD6A7CA" w14:textId="77777777" w:rsidR="00276BC7" w:rsidRPr="00F97A17" w:rsidRDefault="00276BC7" w:rsidP="00073A4A">
            <w:pPr>
              <w:pStyle w:val="Tabletext"/>
            </w:pPr>
            <w:r w:rsidRPr="00F97A17">
              <w:t>Cardiac disorders</w:t>
            </w:r>
          </w:p>
        </w:tc>
      </w:tr>
      <w:tr w:rsidR="00276BC7" w:rsidRPr="00276BC7" w14:paraId="605921B2" w14:textId="77777777" w:rsidTr="001566B2">
        <w:trPr>
          <w:jc w:val="center"/>
        </w:trPr>
        <w:tc>
          <w:tcPr>
            <w:tcW w:w="1918" w:type="dxa"/>
            <w:tcBorders>
              <w:top w:val="nil"/>
              <w:left w:val="single" w:sz="4" w:space="0" w:color="000000"/>
              <w:bottom w:val="single" w:sz="4" w:space="0" w:color="000000"/>
              <w:right w:val="nil"/>
            </w:tcBorders>
            <w:shd w:val="clear" w:color="auto" w:fill="FFFFFF"/>
            <w:tcMar>
              <w:left w:w="67" w:type="dxa"/>
              <w:right w:w="67" w:type="dxa"/>
            </w:tcMar>
          </w:tcPr>
          <w:p w14:paraId="32E5B61A" w14:textId="77777777" w:rsidR="00276BC7" w:rsidRPr="00F97A1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3187E1A2" w14:textId="77777777" w:rsidR="00276BC7" w:rsidRPr="00F97A17" w:rsidRDefault="00276BC7" w:rsidP="00073A4A">
            <w:pPr>
              <w:pStyle w:val="Tabletext"/>
            </w:pPr>
            <w:r w:rsidRPr="00F97A17">
              <w:t>Tachycardia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4E7C3B1" w14:textId="77777777" w:rsidR="00276BC7" w:rsidRPr="00F97A17" w:rsidRDefault="00276BC7" w:rsidP="00073A4A">
            <w:pPr>
              <w:pStyle w:val="Tabletext"/>
            </w:pPr>
            <w:r w:rsidRPr="00F97A17">
              <w:t>5 (2.3%)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A4B2DDA" w14:textId="77777777" w:rsidR="00276BC7" w:rsidRPr="00F97A17" w:rsidRDefault="00276BC7" w:rsidP="00073A4A">
            <w:pPr>
              <w:pStyle w:val="Tabletext"/>
            </w:pPr>
            <w:r w:rsidRPr="00F97A17">
              <w:t>5 (2.3%)</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12AC1CA" w14:textId="77777777" w:rsidR="00276BC7" w:rsidRPr="00F97A17" w:rsidRDefault="00276BC7" w:rsidP="00073A4A">
            <w:pPr>
              <w:pStyle w:val="Tabletext"/>
            </w:pPr>
            <w:r w:rsidRPr="00F97A17">
              <w:t>10 (2.3%)</w:t>
            </w:r>
          </w:p>
        </w:tc>
      </w:tr>
      <w:tr w:rsidR="00276BC7" w:rsidRPr="00276BC7" w14:paraId="6B8388CB"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66E9629" w14:textId="77777777" w:rsidR="00276BC7" w:rsidRPr="00F97A17" w:rsidRDefault="00276BC7" w:rsidP="00073A4A">
            <w:pPr>
              <w:pStyle w:val="Tabletext"/>
            </w:pPr>
            <w:r w:rsidRPr="00F97A17">
              <w:t>Ear and labyrinth disorders</w:t>
            </w:r>
          </w:p>
        </w:tc>
      </w:tr>
      <w:tr w:rsidR="00276BC7" w:rsidRPr="00276BC7" w14:paraId="0D5CA6D8" w14:textId="77777777" w:rsidTr="001566B2">
        <w:trPr>
          <w:jc w:val="center"/>
        </w:trPr>
        <w:tc>
          <w:tcPr>
            <w:tcW w:w="1918" w:type="dxa"/>
            <w:tcBorders>
              <w:top w:val="nil"/>
              <w:left w:val="single" w:sz="4" w:space="0" w:color="000000"/>
              <w:bottom w:val="single" w:sz="4" w:space="0" w:color="auto"/>
              <w:right w:val="nil"/>
            </w:tcBorders>
            <w:shd w:val="clear" w:color="auto" w:fill="FFFFFF"/>
            <w:tcMar>
              <w:left w:w="67" w:type="dxa"/>
              <w:right w:w="67" w:type="dxa"/>
            </w:tcMar>
          </w:tcPr>
          <w:p w14:paraId="3023D526" w14:textId="77777777" w:rsidR="00276BC7" w:rsidRPr="00F97A17" w:rsidRDefault="00276BC7" w:rsidP="00073A4A">
            <w:pPr>
              <w:pStyle w:val="Tabletext"/>
            </w:pPr>
          </w:p>
        </w:tc>
        <w:tc>
          <w:tcPr>
            <w:tcW w:w="3543" w:type="dxa"/>
            <w:tcBorders>
              <w:top w:val="nil"/>
              <w:left w:val="single" w:sz="4" w:space="0" w:color="000000"/>
              <w:bottom w:val="single" w:sz="4" w:space="0" w:color="auto"/>
              <w:right w:val="nil"/>
            </w:tcBorders>
            <w:shd w:val="clear" w:color="auto" w:fill="FFFFFF"/>
            <w:tcMar>
              <w:left w:w="67" w:type="dxa"/>
              <w:right w:w="67" w:type="dxa"/>
            </w:tcMar>
          </w:tcPr>
          <w:p w14:paraId="69B4E0F4" w14:textId="77777777" w:rsidR="00276BC7" w:rsidRPr="00F97A17" w:rsidRDefault="00276BC7" w:rsidP="00073A4A">
            <w:pPr>
              <w:pStyle w:val="Tabletext"/>
            </w:pPr>
            <w:r w:rsidRPr="00F97A17">
              <w:t>Ear pain</w:t>
            </w:r>
          </w:p>
        </w:tc>
        <w:tc>
          <w:tcPr>
            <w:tcW w:w="1276" w:type="dxa"/>
            <w:tcBorders>
              <w:top w:val="nil"/>
              <w:left w:val="single" w:sz="4" w:space="0" w:color="000000"/>
              <w:bottom w:val="single" w:sz="4" w:space="0" w:color="auto"/>
              <w:right w:val="nil"/>
            </w:tcBorders>
            <w:shd w:val="clear" w:color="auto" w:fill="FFFFFF"/>
            <w:tcMar>
              <w:left w:w="67" w:type="dxa"/>
              <w:right w:w="67" w:type="dxa"/>
            </w:tcMar>
          </w:tcPr>
          <w:p w14:paraId="5B26DBC9" w14:textId="77777777" w:rsidR="00276BC7" w:rsidRPr="00F97A17" w:rsidRDefault="00276BC7" w:rsidP="00073A4A">
            <w:pPr>
              <w:pStyle w:val="Tabletext"/>
            </w:pPr>
            <w:r w:rsidRPr="00F97A17">
              <w:t>1 (0.5%)</w:t>
            </w:r>
          </w:p>
        </w:tc>
        <w:tc>
          <w:tcPr>
            <w:tcW w:w="1417" w:type="dxa"/>
            <w:tcBorders>
              <w:top w:val="nil"/>
              <w:left w:val="single" w:sz="4" w:space="0" w:color="000000"/>
              <w:bottom w:val="single" w:sz="4" w:space="0" w:color="auto"/>
              <w:right w:val="nil"/>
            </w:tcBorders>
            <w:shd w:val="clear" w:color="auto" w:fill="FFFFFF"/>
            <w:tcMar>
              <w:left w:w="67" w:type="dxa"/>
              <w:right w:w="67" w:type="dxa"/>
            </w:tcMar>
          </w:tcPr>
          <w:p w14:paraId="7CCAA47A" w14:textId="77777777" w:rsidR="00276BC7" w:rsidRPr="00F97A17" w:rsidRDefault="00276BC7" w:rsidP="00073A4A">
            <w:pPr>
              <w:pStyle w:val="Tabletext"/>
            </w:pPr>
            <w:r w:rsidRPr="00F97A17">
              <w:t>3 (1.4%)</w:t>
            </w:r>
          </w:p>
        </w:tc>
        <w:tc>
          <w:tcPr>
            <w:tcW w:w="1304" w:type="dxa"/>
            <w:tcBorders>
              <w:top w:val="nil"/>
              <w:left w:val="single" w:sz="4" w:space="0" w:color="000000"/>
              <w:bottom w:val="single" w:sz="4" w:space="0" w:color="auto"/>
              <w:right w:val="single" w:sz="4" w:space="0" w:color="000000"/>
            </w:tcBorders>
            <w:shd w:val="clear" w:color="auto" w:fill="FFFFFF"/>
            <w:tcMar>
              <w:left w:w="67" w:type="dxa"/>
              <w:right w:w="67" w:type="dxa"/>
            </w:tcMar>
          </w:tcPr>
          <w:p w14:paraId="0514E332" w14:textId="77777777" w:rsidR="00276BC7" w:rsidRPr="00F97A17" w:rsidRDefault="00276BC7" w:rsidP="00073A4A">
            <w:pPr>
              <w:pStyle w:val="Tabletext"/>
            </w:pPr>
            <w:r w:rsidRPr="00F97A17">
              <w:t>4 (0.9%)</w:t>
            </w:r>
          </w:p>
        </w:tc>
      </w:tr>
      <w:tr w:rsidR="00276BC7" w:rsidRPr="00276BC7" w14:paraId="6BD81C43" w14:textId="77777777" w:rsidTr="001566B2">
        <w:trPr>
          <w:jc w:val="center"/>
        </w:trPr>
        <w:tc>
          <w:tcPr>
            <w:tcW w:w="9458" w:type="dxa"/>
            <w:gridSpan w:val="5"/>
            <w:tcBorders>
              <w:top w:val="single" w:sz="4" w:space="0" w:color="auto"/>
              <w:left w:val="single" w:sz="4" w:space="0" w:color="000000"/>
              <w:bottom w:val="single" w:sz="4" w:space="0" w:color="auto"/>
              <w:right w:val="single" w:sz="4" w:space="0" w:color="000000"/>
            </w:tcBorders>
            <w:shd w:val="clear" w:color="auto" w:fill="FFFFFF"/>
            <w:tcMar>
              <w:left w:w="67" w:type="dxa"/>
              <w:right w:w="67" w:type="dxa"/>
            </w:tcMar>
          </w:tcPr>
          <w:p w14:paraId="3679705B" w14:textId="77777777" w:rsidR="00276BC7" w:rsidRPr="00F97A17" w:rsidRDefault="00276BC7" w:rsidP="00073A4A">
            <w:pPr>
              <w:pStyle w:val="Tabletext"/>
            </w:pPr>
            <w:r w:rsidRPr="00F97A17">
              <w:t>Gastrointestinal disorders</w:t>
            </w:r>
          </w:p>
        </w:tc>
      </w:tr>
      <w:tr w:rsidR="00276BC7" w:rsidRPr="00276BC7" w14:paraId="14767C34"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5CC121EF" w14:textId="77777777" w:rsidR="00276BC7" w:rsidRPr="00F97A17" w:rsidRDefault="00276BC7" w:rsidP="00073A4A">
            <w:pPr>
              <w:pStyle w:val="Tabletext"/>
            </w:pPr>
          </w:p>
        </w:tc>
        <w:tc>
          <w:tcPr>
            <w:tcW w:w="3543" w:type="dxa"/>
            <w:tcBorders>
              <w:top w:val="single" w:sz="4" w:space="0" w:color="auto"/>
              <w:left w:val="single" w:sz="4" w:space="0" w:color="auto"/>
              <w:bottom w:val="single" w:sz="4" w:space="0" w:color="000000"/>
              <w:right w:val="nil"/>
            </w:tcBorders>
            <w:shd w:val="clear" w:color="auto" w:fill="FFFFFF"/>
            <w:tcMar>
              <w:left w:w="67" w:type="dxa"/>
              <w:right w:w="67" w:type="dxa"/>
            </w:tcMar>
          </w:tcPr>
          <w:p w14:paraId="783FC7BB" w14:textId="77777777" w:rsidR="00276BC7" w:rsidRPr="00F97A17" w:rsidRDefault="00276BC7" w:rsidP="00073A4A">
            <w:pPr>
              <w:pStyle w:val="Tabletext"/>
            </w:pPr>
            <w:r w:rsidRPr="00F97A17">
              <w:t>Abdominal pain</w:t>
            </w:r>
          </w:p>
        </w:tc>
        <w:tc>
          <w:tcPr>
            <w:tcW w:w="1276"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41DE3F14" w14:textId="77777777" w:rsidR="00276BC7" w:rsidRPr="00F97A17" w:rsidRDefault="00276BC7" w:rsidP="00073A4A">
            <w:pPr>
              <w:pStyle w:val="Tabletext"/>
            </w:pPr>
            <w:r w:rsidRPr="00F97A17">
              <w:t>3 (1.4%)</w:t>
            </w:r>
          </w:p>
        </w:tc>
        <w:tc>
          <w:tcPr>
            <w:tcW w:w="1417"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0626BCB5" w14:textId="77777777" w:rsidR="00276BC7" w:rsidRPr="00F97A17" w:rsidRDefault="00276BC7" w:rsidP="00073A4A">
            <w:pPr>
              <w:pStyle w:val="Tabletext"/>
            </w:pPr>
            <w:r w:rsidRPr="00F97A17">
              <w:t>1 (0.5%)</w:t>
            </w:r>
          </w:p>
        </w:tc>
        <w:tc>
          <w:tcPr>
            <w:tcW w:w="1304" w:type="dxa"/>
            <w:tcBorders>
              <w:top w:val="single" w:sz="4" w:space="0" w:color="auto"/>
              <w:left w:val="single" w:sz="4" w:space="0" w:color="000000"/>
              <w:bottom w:val="single" w:sz="4" w:space="0" w:color="000000"/>
              <w:right w:val="single" w:sz="4" w:space="0" w:color="000000"/>
            </w:tcBorders>
            <w:shd w:val="clear" w:color="auto" w:fill="FFFFFF"/>
            <w:tcMar>
              <w:left w:w="67" w:type="dxa"/>
              <w:right w:w="67" w:type="dxa"/>
            </w:tcMar>
          </w:tcPr>
          <w:p w14:paraId="17222873" w14:textId="77777777" w:rsidR="00276BC7" w:rsidRPr="00F97A17" w:rsidRDefault="00276BC7" w:rsidP="00073A4A">
            <w:pPr>
              <w:pStyle w:val="Tabletext"/>
            </w:pPr>
            <w:r w:rsidRPr="00F97A17">
              <w:t>4 (0.9%)</w:t>
            </w:r>
          </w:p>
        </w:tc>
      </w:tr>
      <w:tr w:rsidR="00276BC7" w:rsidRPr="00276BC7" w14:paraId="686AE7A8"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08781C0" w14:textId="77777777" w:rsidR="00276BC7" w:rsidRPr="00197133"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98978B2" w14:textId="77777777" w:rsidR="00276BC7" w:rsidRPr="00197133" w:rsidRDefault="00276BC7" w:rsidP="00073A4A">
            <w:pPr>
              <w:pStyle w:val="Tabletext"/>
            </w:pPr>
            <w:r w:rsidRPr="00197133">
              <w:t>Abdominal pain upper</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79E80540" w14:textId="77777777" w:rsidR="00276BC7" w:rsidRPr="00197133" w:rsidRDefault="00276BC7" w:rsidP="00073A4A">
            <w:pPr>
              <w:pStyle w:val="Tabletext"/>
            </w:pPr>
            <w:r w:rsidRPr="00197133">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51E581E" w14:textId="77777777" w:rsidR="00276BC7" w:rsidRPr="00197133" w:rsidRDefault="00276BC7" w:rsidP="00073A4A">
            <w:pPr>
              <w:pStyle w:val="Tabletext"/>
            </w:pPr>
            <w:r w:rsidRPr="00197133">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8275816" w14:textId="77777777" w:rsidR="00276BC7" w:rsidRPr="00197133" w:rsidRDefault="00276BC7" w:rsidP="00073A4A">
            <w:pPr>
              <w:pStyle w:val="Tabletext"/>
            </w:pPr>
            <w:r w:rsidRPr="00197133">
              <w:t>5 (1.2%)</w:t>
            </w:r>
          </w:p>
        </w:tc>
      </w:tr>
      <w:tr w:rsidR="00276BC7" w:rsidRPr="00276BC7" w14:paraId="06945261"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6846038D" w14:textId="77777777" w:rsidR="00276BC7" w:rsidRPr="00197133"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1032B29" w14:textId="77777777" w:rsidR="00276BC7" w:rsidRPr="00197133" w:rsidRDefault="00276BC7" w:rsidP="00073A4A">
            <w:pPr>
              <w:pStyle w:val="Tabletext"/>
            </w:pPr>
            <w:r w:rsidRPr="00197133">
              <w:t>Constipation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19BB629" w14:textId="77777777" w:rsidR="00276BC7" w:rsidRPr="00197133" w:rsidRDefault="00276BC7" w:rsidP="00073A4A">
            <w:pPr>
              <w:pStyle w:val="Tabletext"/>
            </w:pPr>
            <w:r w:rsidRPr="00197133">
              <w:t>16 (7.4%)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DA81CCF" w14:textId="77777777" w:rsidR="00276BC7" w:rsidRPr="00197133" w:rsidRDefault="00276BC7" w:rsidP="00073A4A">
            <w:pPr>
              <w:pStyle w:val="Tabletext"/>
            </w:pPr>
            <w:r w:rsidRPr="00197133">
              <w:t>16 (7.5%)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56609D8" w14:textId="77777777" w:rsidR="00276BC7" w:rsidRPr="00197133" w:rsidRDefault="00276BC7" w:rsidP="00073A4A">
            <w:pPr>
              <w:pStyle w:val="Tabletext"/>
            </w:pPr>
            <w:r w:rsidRPr="00197133">
              <w:t>32 (7.5%)</w:t>
            </w:r>
          </w:p>
        </w:tc>
      </w:tr>
      <w:tr w:rsidR="00276BC7" w:rsidRPr="00276BC7" w14:paraId="452D58E4"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0328FB7B" w14:textId="77777777" w:rsidR="00276BC7" w:rsidRPr="00197133"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56443F8D" w14:textId="77777777" w:rsidR="00276BC7" w:rsidRPr="00197133" w:rsidRDefault="00276BC7" w:rsidP="00073A4A">
            <w:pPr>
              <w:pStyle w:val="Tabletext"/>
            </w:pPr>
            <w:r w:rsidRPr="00197133">
              <w:t>Diarrhoea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346E1F7" w14:textId="77777777" w:rsidR="00276BC7" w:rsidRPr="00197133" w:rsidRDefault="00276BC7" w:rsidP="00073A4A">
            <w:pPr>
              <w:pStyle w:val="Tabletext"/>
            </w:pPr>
            <w:r w:rsidRPr="00197133">
              <w:t>7 (3.3%)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1576DC4" w14:textId="77777777" w:rsidR="00276BC7" w:rsidRPr="00197133" w:rsidRDefault="00276BC7" w:rsidP="00073A4A">
            <w:pPr>
              <w:pStyle w:val="Tabletext"/>
            </w:pPr>
            <w:r w:rsidRPr="00197133">
              <w:t>6 (2.8%)</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21AB20D" w14:textId="77777777" w:rsidR="00276BC7" w:rsidRPr="00197133" w:rsidRDefault="00276BC7" w:rsidP="00073A4A">
            <w:pPr>
              <w:pStyle w:val="Tabletext"/>
            </w:pPr>
            <w:r w:rsidRPr="00197133">
              <w:t>13 (3.0%)</w:t>
            </w:r>
          </w:p>
        </w:tc>
      </w:tr>
      <w:tr w:rsidR="00276BC7" w:rsidRPr="00276BC7" w14:paraId="559BAF58"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77B7F732" w14:textId="77777777" w:rsidR="00276BC7" w:rsidRPr="00197133"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793273B" w14:textId="77777777" w:rsidR="00276BC7" w:rsidRPr="00197133" w:rsidRDefault="00276BC7" w:rsidP="00073A4A">
            <w:pPr>
              <w:pStyle w:val="Tabletext"/>
            </w:pPr>
            <w:r w:rsidRPr="00197133">
              <w:t>Nausea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354FC32" w14:textId="77777777" w:rsidR="00276BC7" w:rsidRPr="00197133" w:rsidRDefault="00276BC7" w:rsidP="00073A4A">
            <w:pPr>
              <w:pStyle w:val="Tabletext"/>
            </w:pPr>
            <w:r w:rsidRPr="00197133">
              <w:t>17 (7.9%)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E5BC402" w14:textId="77777777" w:rsidR="00276BC7" w:rsidRPr="00197133" w:rsidRDefault="00276BC7" w:rsidP="00073A4A">
            <w:pPr>
              <w:pStyle w:val="Tabletext"/>
            </w:pPr>
            <w:r w:rsidRPr="00197133">
              <w:t>15 (7.0%)</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17B6341" w14:textId="77777777" w:rsidR="00276BC7" w:rsidRPr="00197133" w:rsidRDefault="00276BC7" w:rsidP="00073A4A">
            <w:pPr>
              <w:pStyle w:val="Tabletext"/>
            </w:pPr>
            <w:r w:rsidRPr="00197133">
              <w:t>32 (7.5%)</w:t>
            </w:r>
          </w:p>
        </w:tc>
      </w:tr>
      <w:tr w:rsidR="00276BC7" w:rsidRPr="00276BC7" w14:paraId="6E9BB561"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50A2B10A" w14:textId="77777777" w:rsidR="00276BC7" w:rsidRPr="00197133"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C6E9FF5" w14:textId="77777777" w:rsidR="00276BC7" w:rsidRPr="00197133" w:rsidRDefault="00276BC7" w:rsidP="00073A4A">
            <w:pPr>
              <w:pStyle w:val="Tabletext"/>
            </w:pPr>
            <w:r w:rsidRPr="00197133">
              <w:t>Toothache</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0AFB2CE2" w14:textId="77777777" w:rsidR="00276BC7" w:rsidRPr="00197133" w:rsidRDefault="00276BC7" w:rsidP="00073A4A">
            <w:pPr>
              <w:pStyle w:val="Tabletext"/>
            </w:pPr>
            <w:r w:rsidRPr="00197133">
              <w:t>8 (3.7%)</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0F59A63" w14:textId="77777777" w:rsidR="00276BC7" w:rsidRPr="00197133" w:rsidRDefault="00276BC7" w:rsidP="00073A4A">
            <w:pPr>
              <w:pStyle w:val="Tabletext"/>
            </w:pPr>
            <w:r w:rsidRPr="00197133">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4930C253" w14:textId="77777777" w:rsidR="00276BC7" w:rsidRPr="00197133" w:rsidRDefault="00276BC7" w:rsidP="00073A4A">
            <w:pPr>
              <w:pStyle w:val="Tabletext"/>
            </w:pPr>
            <w:r w:rsidRPr="00197133">
              <w:t>11 (2.6%)</w:t>
            </w:r>
          </w:p>
        </w:tc>
      </w:tr>
      <w:tr w:rsidR="00276BC7" w:rsidRPr="00276BC7" w14:paraId="0910054E" w14:textId="77777777" w:rsidTr="001566B2">
        <w:trPr>
          <w:jc w:val="center"/>
        </w:trPr>
        <w:tc>
          <w:tcPr>
            <w:tcW w:w="1918" w:type="dxa"/>
            <w:tcBorders>
              <w:left w:val="single" w:sz="4" w:space="0" w:color="000000"/>
              <w:bottom w:val="single" w:sz="4" w:space="0" w:color="auto"/>
              <w:right w:val="nil"/>
            </w:tcBorders>
            <w:shd w:val="clear" w:color="auto" w:fill="FFFFFF"/>
            <w:tcMar>
              <w:left w:w="67" w:type="dxa"/>
              <w:right w:w="67" w:type="dxa"/>
            </w:tcMar>
          </w:tcPr>
          <w:p w14:paraId="668A3229" w14:textId="77777777" w:rsidR="00276BC7" w:rsidRPr="00197133" w:rsidRDefault="00276BC7" w:rsidP="00073A4A">
            <w:pPr>
              <w:pStyle w:val="Tabletext"/>
            </w:pPr>
          </w:p>
        </w:tc>
        <w:tc>
          <w:tcPr>
            <w:tcW w:w="3543" w:type="dxa"/>
            <w:tcBorders>
              <w:top w:val="nil"/>
              <w:left w:val="single" w:sz="4" w:space="0" w:color="000000"/>
              <w:bottom w:val="single" w:sz="4" w:space="0" w:color="auto"/>
              <w:right w:val="nil"/>
            </w:tcBorders>
            <w:shd w:val="clear" w:color="auto" w:fill="FFFFFF"/>
            <w:tcMar>
              <w:left w:w="67" w:type="dxa"/>
              <w:right w:w="67" w:type="dxa"/>
            </w:tcMar>
          </w:tcPr>
          <w:p w14:paraId="5EB34CB3" w14:textId="77777777" w:rsidR="00276BC7" w:rsidRPr="00197133" w:rsidRDefault="00276BC7" w:rsidP="00073A4A">
            <w:pPr>
              <w:pStyle w:val="Tabletext"/>
            </w:pPr>
            <w:r w:rsidRPr="00197133">
              <w:t>Vomiting</w:t>
            </w:r>
          </w:p>
        </w:tc>
        <w:tc>
          <w:tcPr>
            <w:tcW w:w="1276" w:type="dxa"/>
            <w:tcBorders>
              <w:top w:val="nil"/>
              <w:left w:val="single" w:sz="4" w:space="0" w:color="000000"/>
              <w:bottom w:val="single" w:sz="4" w:space="0" w:color="auto"/>
              <w:right w:val="nil"/>
            </w:tcBorders>
            <w:shd w:val="clear" w:color="auto" w:fill="FFFFFF"/>
            <w:tcMar>
              <w:left w:w="67" w:type="dxa"/>
              <w:right w:w="67" w:type="dxa"/>
            </w:tcMar>
          </w:tcPr>
          <w:p w14:paraId="1F9247E5" w14:textId="77777777" w:rsidR="00276BC7" w:rsidRPr="00197133" w:rsidRDefault="00276BC7" w:rsidP="00073A4A">
            <w:pPr>
              <w:pStyle w:val="Tabletext"/>
            </w:pPr>
            <w:r w:rsidRPr="00197133">
              <w:t>8 (3.7%)</w:t>
            </w:r>
          </w:p>
        </w:tc>
        <w:tc>
          <w:tcPr>
            <w:tcW w:w="1417" w:type="dxa"/>
            <w:tcBorders>
              <w:top w:val="nil"/>
              <w:left w:val="single" w:sz="4" w:space="0" w:color="000000"/>
              <w:bottom w:val="single" w:sz="4" w:space="0" w:color="auto"/>
              <w:right w:val="nil"/>
            </w:tcBorders>
            <w:shd w:val="clear" w:color="auto" w:fill="FFFFFF"/>
            <w:tcMar>
              <w:left w:w="67" w:type="dxa"/>
              <w:right w:w="67" w:type="dxa"/>
            </w:tcMar>
          </w:tcPr>
          <w:p w14:paraId="49DCE000" w14:textId="77777777" w:rsidR="00276BC7" w:rsidRPr="00197133" w:rsidRDefault="00276BC7" w:rsidP="00073A4A">
            <w:pPr>
              <w:pStyle w:val="Tabletext"/>
            </w:pPr>
            <w:r w:rsidRPr="00197133">
              <w:t>9 (4.2%)</w:t>
            </w:r>
          </w:p>
        </w:tc>
        <w:tc>
          <w:tcPr>
            <w:tcW w:w="1304" w:type="dxa"/>
            <w:tcBorders>
              <w:top w:val="nil"/>
              <w:left w:val="single" w:sz="4" w:space="0" w:color="000000"/>
              <w:bottom w:val="single" w:sz="4" w:space="0" w:color="auto"/>
              <w:right w:val="single" w:sz="4" w:space="0" w:color="000000"/>
            </w:tcBorders>
            <w:shd w:val="clear" w:color="auto" w:fill="FFFFFF"/>
            <w:tcMar>
              <w:left w:w="67" w:type="dxa"/>
              <w:right w:w="67" w:type="dxa"/>
            </w:tcMar>
          </w:tcPr>
          <w:p w14:paraId="398A489A" w14:textId="77777777" w:rsidR="00276BC7" w:rsidRPr="00197133" w:rsidRDefault="00276BC7" w:rsidP="00073A4A">
            <w:pPr>
              <w:pStyle w:val="Tabletext"/>
            </w:pPr>
            <w:r w:rsidRPr="00197133">
              <w:t>17 (4.0%)</w:t>
            </w:r>
          </w:p>
        </w:tc>
      </w:tr>
      <w:tr w:rsidR="00276BC7" w:rsidRPr="00276BC7" w14:paraId="3CFF0CBF" w14:textId="77777777" w:rsidTr="001566B2">
        <w:trPr>
          <w:jc w:val="center"/>
        </w:trPr>
        <w:tc>
          <w:tcPr>
            <w:tcW w:w="9458" w:type="dxa"/>
            <w:gridSpan w:val="5"/>
            <w:tcBorders>
              <w:top w:val="single" w:sz="4" w:space="0" w:color="auto"/>
              <w:left w:val="single" w:sz="4" w:space="0" w:color="000000"/>
              <w:bottom w:val="single" w:sz="4" w:space="0" w:color="auto"/>
              <w:right w:val="single" w:sz="4" w:space="0" w:color="000000"/>
            </w:tcBorders>
            <w:shd w:val="clear" w:color="auto" w:fill="FFFFFF"/>
            <w:tcMar>
              <w:left w:w="67" w:type="dxa"/>
              <w:right w:w="67" w:type="dxa"/>
            </w:tcMar>
          </w:tcPr>
          <w:p w14:paraId="46A82E25" w14:textId="77777777" w:rsidR="00276BC7" w:rsidRPr="00197133" w:rsidRDefault="00276BC7" w:rsidP="00073A4A">
            <w:pPr>
              <w:pStyle w:val="Tabletext"/>
            </w:pPr>
            <w:r w:rsidRPr="00197133">
              <w:t>General disorders and administration site conditions</w:t>
            </w:r>
          </w:p>
        </w:tc>
      </w:tr>
      <w:tr w:rsidR="00276BC7" w:rsidRPr="00276BC7" w14:paraId="2D959450"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1F98C3EB" w14:textId="77777777" w:rsidR="00276BC7" w:rsidRPr="00197133" w:rsidRDefault="00276BC7" w:rsidP="00073A4A">
            <w:pPr>
              <w:pStyle w:val="Tabletext"/>
            </w:pPr>
          </w:p>
        </w:tc>
        <w:tc>
          <w:tcPr>
            <w:tcW w:w="3543" w:type="dxa"/>
            <w:tcBorders>
              <w:top w:val="single" w:sz="4" w:space="0" w:color="auto"/>
              <w:left w:val="single" w:sz="4" w:space="0" w:color="auto"/>
              <w:bottom w:val="single" w:sz="4" w:space="0" w:color="000000"/>
              <w:right w:val="nil"/>
            </w:tcBorders>
            <w:shd w:val="clear" w:color="auto" w:fill="FFFFFF"/>
            <w:tcMar>
              <w:left w:w="67" w:type="dxa"/>
              <w:right w:w="67" w:type="dxa"/>
            </w:tcMar>
          </w:tcPr>
          <w:p w14:paraId="42A0E19E" w14:textId="77777777" w:rsidR="00276BC7" w:rsidRPr="00197133" w:rsidRDefault="00276BC7" w:rsidP="00073A4A">
            <w:pPr>
              <w:pStyle w:val="Tabletext"/>
            </w:pPr>
            <w:r w:rsidRPr="00197133">
              <w:t>Drug withdrawal syndrome</w:t>
            </w:r>
          </w:p>
        </w:tc>
        <w:tc>
          <w:tcPr>
            <w:tcW w:w="1276"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30FC3CAC" w14:textId="77777777" w:rsidR="00276BC7" w:rsidRPr="00197133" w:rsidRDefault="00276BC7" w:rsidP="00073A4A">
            <w:pPr>
              <w:pStyle w:val="Tabletext"/>
            </w:pPr>
            <w:r w:rsidRPr="00197133">
              <w:t>3 (1.4%)</w:t>
            </w:r>
          </w:p>
        </w:tc>
        <w:tc>
          <w:tcPr>
            <w:tcW w:w="1417" w:type="dxa"/>
            <w:tcBorders>
              <w:top w:val="single" w:sz="4" w:space="0" w:color="auto"/>
              <w:left w:val="single" w:sz="4" w:space="0" w:color="000000"/>
              <w:bottom w:val="single" w:sz="4" w:space="0" w:color="000000"/>
              <w:right w:val="nil"/>
            </w:tcBorders>
            <w:shd w:val="clear" w:color="auto" w:fill="FFFFFF"/>
            <w:tcMar>
              <w:left w:w="67" w:type="dxa"/>
              <w:right w:w="67" w:type="dxa"/>
            </w:tcMar>
          </w:tcPr>
          <w:p w14:paraId="57B056E5" w14:textId="77777777" w:rsidR="00276BC7" w:rsidRPr="00197133" w:rsidRDefault="00276BC7" w:rsidP="00073A4A">
            <w:pPr>
              <w:pStyle w:val="Tabletext"/>
            </w:pPr>
            <w:r w:rsidRPr="00197133">
              <w:t>0 (0.0%)</w:t>
            </w:r>
          </w:p>
        </w:tc>
        <w:tc>
          <w:tcPr>
            <w:tcW w:w="1304" w:type="dxa"/>
            <w:tcBorders>
              <w:top w:val="single" w:sz="4" w:space="0" w:color="auto"/>
              <w:left w:val="single" w:sz="4" w:space="0" w:color="000000"/>
              <w:bottom w:val="single" w:sz="4" w:space="0" w:color="000000"/>
              <w:right w:val="single" w:sz="4" w:space="0" w:color="000000"/>
            </w:tcBorders>
            <w:shd w:val="clear" w:color="auto" w:fill="FFFFFF"/>
            <w:tcMar>
              <w:left w:w="67" w:type="dxa"/>
              <w:right w:w="67" w:type="dxa"/>
            </w:tcMar>
          </w:tcPr>
          <w:p w14:paraId="230262D0" w14:textId="77777777" w:rsidR="00276BC7" w:rsidRPr="00197133" w:rsidRDefault="00276BC7" w:rsidP="00073A4A">
            <w:pPr>
              <w:pStyle w:val="Tabletext"/>
            </w:pPr>
            <w:r w:rsidRPr="00197133">
              <w:t>3 (0.7%)</w:t>
            </w:r>
          </w:p>
        </w:tc>
      </w:tr>
      <w:tr w:rsidR="00276BC7" w:rsidRPr="00276BC7" w14:paraId="6D7A1263" w14:textId="77777777" w:rsidTr="0059009B">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5E67973A"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472187ED" w14:textId="77777777" w:rsidR="00276BC7" w:rsidRPr="00AB6B77" w:rsidRDefault="00276BC7" w:rsidP="00073A4A">
            <w:pPr>
              <w:pStyle w:val="Tabletext"/>
            </w:pPr>
            <w:r w:rsidRPr="00AB6B77">
              <w:t>Fatigue</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C68729A"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7E01602C"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5D37D49" w14:textId="77777777" w:rsidR="00276BC7" w:rsidRPr="00AB6B77" w:rsidRDefault="00276BC7" w:rsidP="00073A4A">
            <w:pPr>
              <w:pStyle w:val="Tabletext"/>
            </w:pPr>
            <w:r w:rsidRPr="00AB6B77">
              <w:t>6 (1.4%)</w:t>
            </w:r>
          </w:p>
        </w:tc>
      </w:tr>
      <w:tr w:rsidR="00276BC7" w:rsidRPr="00276BC7" w14:paraId="2A3246F4" w14:textId="77777777" w:rsidTr="0059009B">
        <w:trPr>
          <w:jc w:val="center"/>
        </w:trPr>
        <w:tc>
          <w:tcPr>
            <w:tcW w:w="1918" w:type="dxa"/>
            <w:tcBorders>
              <w:top w:val="nil"/>
              <w:left w:val="single" w:sz="4" w:space="0" w:color="auto"/>
              <w:bottom w:val="single" w:sz="4" w:space="0" w:color="auto"/>
              <w:right w:val="single" w:sz="4" w:space="0" w:color="auto"/>
            </w:tcBorders>
            <w:shd w:val="clear" w:color="auto" w:fill="FFFFFF"/>
            <w:tcMar>
              <w:left w:w="67" w:type="dxa"/>
              <w:right w:w="67" w:type="dxa"/>
            </w:tcMar>
          </w:tcPr>
          <w:p w14:paraId="7F205AFE"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174FCC5E" w14:textId="77777777" w:rsidR="00276BC7" w:rsidRPr="00AB6B77" w:rsidRDefault="00276BC7" w:rsidP="00073A4A">
            <w:pPr>
              <w:pStyle w:val="Tabletext"/>
            </w:pPr>
            <w:r w:rsidRPr="00AB6B77">
              <w:t>Injection site bruising</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B6002FE"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D5FCA1A"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ED91CCA" w14:textId="77777777" w:rsidR="00276BC7" w:rsidRPr="00AB6B77" w:rsidRDefault="00276BC7" w:rsidP="00073A4A">
            <w:pPr>
              <w:pStyle w:val="Tabletext"/>
            </w:pPr>
            <w:r w:rsidRPr="00AB6B77">
              <w:t>5 (1.2%)</w:t>
            </w:r>
          </w:p>
        </w:tc>
      </w:tr>
      <w:tr w:rsidR="00276BC7" w:rsidRPr="00276BC7" w14:paraId="40D8E802" w14:textId="77777777" w:rsidTr="0059009B">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65D8C2C0"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47B41DDC" w14:textId="77777777" w:rsidR="00276BC7" w:rsidRPr="00AB6B77" w:rsidRDefault="00276BC7" w:rsidP="00073A4A">
            <w:pPr>
              <w:pStyle w:val="Tabletext"/>
            </w:pPr>
            <w:r w:rsidRPr="00AB6B77">
              <w:t>Injection site erythema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3EA6027" w14:textId="77777777" w:rsidR="00276BC7" w:rsidRPr="00AB6B77" w:rsidRDefault="00276BC7" w:rsidP="00073A4A">
            <w:pPr>
              <w:pStyle w:val="Tabletext"/>
            </w:pPr>
            <w:r w:rsidRPr="00AB6B77">
              <w:t>12 (5.6%)</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177B334" w14:textId="77777777" w:rsidR="00276BC7" w:rsidRPr="00AB6B77" w:rsidRDefault="00276BC7" w:rsidP="00073A4A">
            <w:pPr>
              <w:pStyle w:val="Tabletext"/>
            </w:pPr>
            <w:r w:rsidRPr="00AB6B77">
              <w:t>12 (5.6%)</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8228F1B" w14:textId="77777777" w:rsidR="00276BC7" w:rsidRPr="00AB6B77" w:rsidRDefault="00276BC7" w:rsidP="00073A4A">
            <w:pPr>
              <w:pStyle w:val="Tabletext"/>
            </w:pPr>
            <w:r w:rsidRPr="00AB6B77">
              <w:t>24 (5.6%)</w:t>
            </w:r>
          </w:p>
        </w:tc>
      </w:tr>
      <w:tr w:rsidR="00276BC7" w:rsidRPr="00276BC7" w14:paraId="16E2FBA0"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5C496F77"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84600CD" w14:textId="77777777" w:rsidR="00276BC7" w:rsidRPr="00AB6B77" w:rsidRDefault="00276BC7" w:rsidP="00073A4A">
            <w:pPr>
              <w:pStyle w:val="Tabletext"/>
            </w:pPr>
            <w:r w:rsidRPr="00AB6B77">
              <w:t>Injection site induration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0099606A" w14:textId="77777777" w:rsidR="00276BC7" w:rsidRPr="00AB6B77" w:rsidRDefault="00276BC7" w:rsidP="00073A4A">
            <w:pPr>
              <w:pStyle w:val="Tabletext"/>
            </w:pPr>
            <w:r w:rsidRPr="00AB6B77">
              <w:t>6 (2.8%)</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17146EDE"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5EE0282" w14:textId="77777777" w:rsidR="00276BC7" w:rsidRPr="00AB6B77" w:rsidRDefault="00276BC7" w:rsidP="00073A4A">
            <w:pPr>
              <w:pStyle w:val="Tabletext"/>
            </w:pPr>
            <w:r w:rsidRPr="00AB6B77">
              <w:t>10 (2.3%)</w:t>
            </w:r>
          </w:p>
        </w:tc>
      </w:tr>
      <w:tr w:rsidR="00276BC7" w:rsidRPr="00276BC7" w14:paraId="37ACBDD8"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1CDBE269"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3A899798" w14:textId="77777777" w:rsidR="00276BC7" w:rsidRPr="00AB6B77" w:rsidRDefault="00276BC7" w:rsidP="00073A4A">
            <w:pPr>
              <w:pStyle w:val="Tabletext"/>
            </w:pPr>
            <w:r w:rsidRPr="00AB6B77">
              <w:t>Injection site inflammation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B898250" w14:textId="77777777" w:rsidR="00276BC7" w:rsidRPr="00AB6B77" w:rsidRDefault="00276BC7" w:rsidP="00073A4A">
            <w:pPr>
              <w:pStyle w:val="Tabletext"/>
            </w:pPr>
            <w:r w:rsidRPr="00AB6B77">
              <w:t>8 (3.7%)</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7559225B"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7880174" w14:textId="77777777" w:rsidR="00276BC7" w:rsidRPr="00AB6B77" w:rsidRDefault="00276BC7" w:rsidP="00073A4A">
            <w:pPr>
              <w:pStyle w:val="Tabletext"/>
            </w:pPr>
            <w:r w:rsidRPr="00AB6B77">
              <w:t>10 (2.3%)</w:t>
            </w:r>
          </w:p>
        </w:tc>
      </w:tr>
      <w:tr w:rsidR="00276BC7" w:rsidRPr="00276BC7" w14:paraId="1F87821B"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78FBE74D"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2E55B06" w14:textId="77777777" w:rsidR="00276BC7" w:rsidRPr="00AB6B77" w:rsidRDefault="00276BC7" w:rsidP="00073A4A">
            <w:pPr>
              <w:pStyle w:val="Tabletext"/>
            </w:pPr>
            <w:r w:rsidRPr="00AB6B77">
              <w:t>Injection site mass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3E1DE4D" w14:textId="77777777" w:rsidR="00276BC7" w:rsidRPr="00AB6B77" w:rsidRDefault="00276BC7" w:rsidP="00073A4A">
            <w:pPr>
              <w:pStyle w:val="Tabletext"/>
            </w:pPr>
            <w:r w:rsidRPr="00AB6B77">
              <w:t>1 (0.5%)</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B1A2A2E"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5D10A5D" w14:textId="77777777" w:rsidR="00276BC7" w:rsidRPr="00AB6B77" w:rsidRDefault="00276BC7" w:rsidP="00073A4A">
            <w:pPr>
              <w:pStyle w:val="Tabletext"/>
            </w:pPr>
            <w:r w:rsidRPr="00AB6B77">
              <w:t>4 (0.9%)</w:t>
            </w:r>
          </w:p>
        </w:tc>
      </w:tr>
      <w:tr w:rsidR="00276BC7" w:rsidRPr="00276BC7" w14:paraId="6DEFB935"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C970400"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388144B3" w14:textId="77777777" w:rsidR="00276BC7" w:rsidRPr="00AB6B77" w:rsidRDefault="00276BC7" w:rsidP="00073A4A">
            <w:pPr>
              <w:pStyle w:val="Tabletext"/>
            </w:pPr>
            <w:r w:rsidRPr="00AB6B77">
              <w:t>Injection site pain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235528E" w14:textId="77777777" w:rsidR="00276BC7" w:rsidRPr="00AB6B77" w:rsidRDefault="00276BC7" w:rsidP="00073A4A">
            <w:pPr>
              <w:pStyle w:val="Tabletext"/>
            </w:pPr>
            <w:r w:rsidRPr="00AB6B77">
              <w:t>17 (7.9%)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2ACEF05" w14:textId="77777777" w:rsidR="00276BC7" w:rsidRPr="00AB6B77" w:rsidRDefault="00276BC7" w:rsidP="00073A4A">
            <w:pPr>
              <w:pStyle w:val="Tabletext"/>
            </w:pPr>
            <w:r w:rsidRPr="00AB6B77">
              <w:t>19 (8.9%)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F5A8010" w14:textId="77777777" w:rsidR="00276BC7" w:rsidRPr="00AB6B77" w:rsidRDefault="00276BC7" w:rsidP="00073A4A">
            <w:pPr>
              <w:pStyle w:val="Tabletext"/>
            </w:pPr>
            <w:r w:rsidRPr="00AB6B77">
              <w:t>36 (8.4%)</w:t>
            </w:r>
          </w:p>
        </w:tc>
      </w:tr>
      <w:tr w:rsidR="00276BC7" w:rsidRPr="00276BC7" w14:paraId="00C1C225" w14:textId="77777777" w:rsidTr="0059009B">
        <w:trPr>
          <w:jc w:val="center"/>
        </w:trPr>
        <w:tc>
          <w:tcPr>
            <w:tcW w:w="1918" w:type="dxa"/>
            <w:tcBorders>
              <w:left w:val="single" w:sz="4" w:space="0" w:color="000000"/>
              <w:right w:val="nil"/>
            </w:tcBorders>
            <w:shd w:val="clear" w:color="auto" w:fill="FFFFFF"/>
            <w:tcMar>
              <w:left w:w="67" w:type="dxa"/>
              <w:right w:w="67" w:type="dxa"/>
            </w:tcMar>
          </w:tcPr>
          <w:p w14:paraId="20A10677" w14:textId="77777777" w:rsidR="00276BC7" w:rsidRPr="00AB6B7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5C81BF65" w14:textId="77777777" w:rsidR="00276BC7" w:rsidRPr="00AB6B77" w:rsidRDefault="00276BC7" w:rsidP="00073A4A">
            <w:pPr>
              <w:pStyle w:val="Tabletext"/>
            </w:pPr>
            <w:r w:rsidRPr="00AB6B77">
              <w:t>Injection site pruritus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7898806C" w14:textId="77777777" w:rsidR="00276BC7" w:rsidRPr="00AB6B77" w:rsidRDefault="00276BC7" w:rsidP="00073A4A">
            <w:pPr>
              <w:pStyle w:val="Tabletext"/>
            </w:pPr>
            <w:r w:rsidRPr="00AB6B77">
              <w:t>13 (6.0%)</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D839D4F" w14:textId="77777777" w:rsidR="00276BC7" w:rsidRPr="00AB6B77" w:rsidRDefault="00276BC7" w:rsidP="00073A4A">
            <w:pPr>
              <w:pStyle w:val="Tabletext"/>
            </w:pPr>
            <w:r w:rsidRPr="00AB6B77">
              <w:t>13 (6.1%)</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D368CBC" w14:textId="77777777" w:rsidR="00276BC7" w:rsidRPr="00AB6B77" w:rsidRDefault="00276BC7" w:rsidP="00073A4A">
            <w:pPr>
              <w:pStyle w:val="Tabletext"/>
            </w:pPr>
            <w:r w:rsidRPr="00AB6B77">
              <w:t>26 (6.1%)</w:t>
            </w:r>
          </w:p>
        </w:tc>
      </w:tr>
      <w:tr w:rsidR="00276BC7" w:rsidRPr="00276BC7" w14:paraId="1551B2E7" w14:textId="77777777" w:rsidTr="0059009B">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441C19C" w14:textId="77777777" w:rsidR="00276BC7" w:rsidRPr="00AB6B77" w:rsidRDefault="00276BC7" w:rsidP="00073A4A">
            <w:pPr>
              <w:pStyle w:val="Tabletext"/>
            </w:pPr>
          </w:p>
        </w:tc>
        <w:tc>
          <w:tcPr>
            <w:tcW w:w="3543" w:type="dxa"/>
            <w:tcBorders>
              <w:top w:val="nil"/>
              <w:left w:val="single" w:sz="4" w:space="0" w:color="auto"/>
              <w:bottom w:val="single" w:sz="4" w:space="0" w:color="auto"/>
              <w:right w:val="nil"/>
            </w:tcBorders>
            <w:shd w:val="clear" w:color="auto" w:fill="FFFFFF"/>
            <w:tcMar>
              <w:left w:w="67" w:type="dxa"/>
              <w:right w:w="67" w:type="dxa"/>
            </w:tcMar>
          </w:tcPr>
          <w:p w14:paraId="09AD520C" w14:textId="77777777" w:rsidR="00276BC7" w:rsidRPr="00AB6B77" w:rsidRDefault="00276BC7" w:rsidP="00073A4A">
            <w:pPr>
              <w:pStyle w:val="Tabletext"/>
            </w:pPr>
            <w:r w:rsidRPr="00AB6B77">
              <w:t>Injection site reaction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9314334" w14:textId="77777777" w:rsidR="00276BC7" w:rsidRPr="00AB6B77" w:rsidRDefault="00276BC7" w:rsidP="00073A4A">
            <w:pPr>
              <w:pStyle w:val="Tabletext"/>
            </w:pPr>
            <w:r w:rsidRPr="00AB6B77">
              <w:t>7 (3.3%)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1EC03DC" w14:textId="77777777" w:rsidR="00276BC7" w:rsidRPr="00AB6B77" w:rsidRDefault="00276BC7" w:rsidP="00073A4A">
            <w:pPr>
              <w:pStyle w:val="Tabletext"/>
            </w:pPr>
            <w:r w:rsidRPr="00AB6B77">
              <w:t>8 (3.8%)</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65CE889" w14:textId="77777777" w:rsidR="00276BC7" w:rsidRPr="00AB6B77" w:rsidRDefault="00276BC7" w:rsidP="00073A4A">
            <w:pPr>
              <w:pStyle w:val="Tabletext"/>
            </w:pPr>
            <w:r w:rsidRPr="00AB6B77">
              <w:t>15 (3.5%)</w:t>
            </w:r>
          </w:p>
        </w:tc>
      </w:tr>
      <w:tr w:rsidR="00276BC7" w:rsidRPr="00276BC7" w14:paraId="2A00BBD6" w14:textId="77777777" w:rsidTr="0059009B">
        <w:trPr>
          <w:jc w:val="center"/>
        </w:trPr>
        <w:tc>
          <w:tcPr>
            <w:tcW w:w="1918" w:type="dxa"/>
            <w:tcBorders>
              <w:left w:val="single" w:sz="4" w:space="0" w:color="auto"/>
              <w:right w:val="single" w:sz="4" w:space="0" w:color="auto"/>
            </w:tcBorders>
            <w:shd w:val="clear" w:color="auto" w:fill="FFFFFF"/>
            <w:tcMar>
              <w:left w:w="67" w:type="dxa"/>
              <w:right w:w="67" w:type="dxa"/>
            </w:tcMar>
          </w:tcPr>
          <w:p w14:paraId="7A49074E" w14:textId="77777777" w:rsidR="00276BC7" w:rsidRPr="00AB6B77" w:rsidRDefault="00276BC7" w:rsidP="00073A4A">
            <w:pPr>
              <w:pStyle w:val="Tabletext"/>
            </w:pPr>
          </w:p>
        </w:tc>
        <w:tc>
          <w:tcPr>
            <w:tcW w:w="3543" w:type="dxa"/>
            <w:tcBorders>
              <w:top w:val="single" w:sz="4" w:space="0" w:color="auto"/>
              <w:left w:val="single" w:sz="4" w:space="0" w:color="auto"/>
              <w:bottom w:val="single" w:sz="4" w:space="0" w:color="000000"/>
              <w:right w:val="nil"/>
            </w:tcBorders>
            <w:shd w:val="clear" w:color="auto" w:fill="FFFFFF"/>
            <w:tcMar>
              <w:left w:w="67" w:type="dxa"/>
              <w:right w:w="67" w:type="dxa"/>
            </w:tcMar>
          </w:tcPr>
          <w:p w14:paraId="5EAA2ECD" w14:textId="77777777" w:rsidR="00276BC7" w:rsidRPr="00AB6B77" w:rsidRDefault="00276BC7" w:rsidP="00073A4A">
            <w:pPr>
              <w:pStyle w:val="Tabletext"/>
            </w:pPr>
            <w:r w:rsidRPr="00AB6B77">
              <w:t>Injection site swelling</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1D244DD" w14:textId="77777777" w:rsidR="00276BC7" w:rsidRPr="00AB6B77" w:rsidRDefault="00276BC7" w:rsidP="00073A4A">
            <w:pPr>
              <w:pStyle w:val="Tabletext"/>
            </w:pPr>
            <w:r w:rsidRPr="00AB6B77">
              <w:t>6 (2.8%)</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AA8BCAF" w14:textId="77777777" w:rsidR="00276BC7" w:rsidRPr="00AB6B77" w:rsidRDefault="00276BC7" w:rsidP="00073A4A">
            <w:pPr>
              <w:pStyle w:val="Tabletext"/>
            </w:pPr>
            <w:r w:rsidRPr="00AB6B77">
              <w:t>9 (4.2%)</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65B5CB6" w14:textId="77777777" w:rsidR="00276BC7" w:rsidRPr="00AB6B77" w:rsidRDefault="00276BC7" w:rsidP="00073A4A">
            <w:pPr>
              <w:pStyle w:val="Tabletext"/>
            </w:pPr>
            <w:r w:rsidRPr="00AB6B77">
              <w:t>15 (3.5%)</w:t>
            </w:r>
          </w:p>
        </w:tc>
      </w:tr>
      <w:tr w:rsidR="00276BC7" w:rsidRPr="00276BC7" w14:paraId="7A118C16"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7932D52F"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2E29611D" w14:textId="77777777" w:rsidR="00276BC7" w:rsidRPr="00AB6B77" w:rsidRDefault="00276BC7" w:rsidP="00073A4A">
            <w:pPr>
              <w:pStyle w:val="Tabletext"/>
            </w:pPr>
            <w:r w:rsidRPr="00AB6B77">
              <w:t>Injection site ulcer</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047F64E3"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64E19A8"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D3AF68F" w14:textId="77777777" w:rsidR="00276BC7" w:rsidRPr="00AB6B77" w:rsidRDefault="00276BC7" w:rsidP="00073A4A">
            <w:pPr>
              <w:pStyle w:val="Tabletext"/>
            </w:pPr>
            <w:r w:rsidRPr="00AB6B77">
              <w:t>5 (1.2%)</w:t>
            </w:r>
          </w:p>
        </w:tc>
      </w:tr>
      <w:tr w:rsidR="00276BC7" w:rsidRPr="00276BC7" w14:paraId="2605BB5D"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0E38146B"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1873FA0E" w14:textId="77777777" w:rsidR="00276BC7" w:rsidRPr="00AB6B77" w:rsidRDefault="00276BC7" w:rsidP="00073A4A">
            <w:pPr>
              <w:pStyle w:val="Tabletext"/>
            </w:pPr>
            <w:r w:rsidRPr="00AB6B77">
              <w:t>Oedema peripheral</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344CB2DE"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7D76C8EF"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107744E" w14:textId="77777777" w:rsidR="00276BC7" w:rsidRPr="00AB6B77" w:rsidRDefault="00276BC7" w:rsidP="00073A4A">
            <w:pPr>
              <w:pStyle w:val="Tabletext"/>
            </w:pPr>
            <w:r w:rsidRPr="00AB6B77">
              <w:t>5 (1.2%)</w:t>
            </w:r>
          </w:p>
        </w:tc>
      </w:tr>
      <w:tr w:rsidR="00276BC7" w:rsidRPr="00276BC7" w14:paraId="778D95B1" w14:textId="77777777" w:rsidTr="001566B2">
        <w:trPr>
          <w:jc w:val="center"/>
        </w:trPr>
        <w:tc>
          <w:tcPr>
            <w:tcW w:w="1918" w:type="dxa"/>
            <w:tcBorders>
              <w:left w:val="single" w:sz="4" w:space="0" w:color="000000"/>
              <w:bottom w:val="single" w:sz="4" w:space="0" w:color="000000"/>
              <w:right w:val="nil"/>
            </w:tcBorders>
            <w:shd w:val="clear" w:color="auto" w:fill="FFFFFF"/>
            <w:tcMar>
              <w:left w:w="67" w:type="dxa"/>
              <w:right w:w="67" w:type="dxa"/>
            </w:tcMar>
          </w:tcPr>
          <w:p w14:paraId="44F1AF42" w14:textId="77777777" w:rsidR="00276BC7" w:rsidRPr="00AB6B7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06DD53F7" w14:textId="77777777" w:rsidR="00276BC7" w:rsidRPr="00AB6B77" w:rsidRDefault="00276BC7" w:rsidP="00073A4A">
            <w:pPr>
              <w:pStyle w:val="Tabletext"/>
            </w:pPr>
            <w:r w:rsidRPr="00AB6B77">
              <w:t>Pyrexia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73EAEE2A"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16BFAD62"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26B4046" w14:textId="77777777" w:rsidR="00276BC7" w:rsidRPr="00AB6B77" w:rsidRDefault="00276BC7" w:rsidP="00073A4A">
            <w:pPr>
              <w:pStyle w:val="Tabletext"/>
            </w:pPr>
            <w:r w:rsidRPr="00AB6B77">
              <w:t>6 (1.4%)</w:t>
            </w:r>
          </w:p>
        </w:tc>
      </w:tr>
      <w:tr w:rsidR="00276BC7" w:rsidRPr="00276BC7" w14:paraId="6662936B"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DB4A675" w14:textId="77777777" w:rsidR="00276BC7" w:rsidRPr="00AB6B77" w:rsidRDefault="00276BC7" w:rsidP="00073A4A">
            <w:pPr>
              <w:pStyle w:val="Tabletext"/>
            </w:pPr>
            <w:r w:rsidRPr="00AB6B77">
              <w:t>Infections and infestations</w:t>
            </w:r>
          </w:p>
        </w:tc>
      </w:tr>
      <w:tr w:rsidR="00276BC7" w:rsidRPr="00276BC7" w14:paraId="067E152B" w14:textId="77777777" w:rsidTr="001566B2">
        <w:trPr>
          <w:jc w:val="center"/>
        </w:trPr>
        <w:tc>
          <w:tcPr>
            <w:tcW w:w="1918" w:type="dxa"/>
            <w:tcBorders>
              <w:top w:val="nil"/>
              <w:left w:val="single" w:sz="4" w:space="0" w:color="000000"/>
              <w:right w:val="nil"/>
            </w:tcBorders>
            <w:shd w:val="clear" w:color="auto" w:fill="FFFFFF"/>
            <w:tcMar>
              <w:left w:w="67" w:type="dxa"/>
              <w:right w:w="67" w:type="dxa"/>
            </w:tcMar>
          </w:tcPr>
          <w:p w14:paraId="6EBE638F" w14:textId="77777777" w:rsidR="00276BC7" w:rsidRPr="00AB6B7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18FE502D" w14:textId="77777777" w:rsidR="00276BC7" w:rsidRPr="00AB6B77" w:rsidRDefault="00276BC7" w:rsidP="00073A4A">
            <w:pPr>
              <w:pStyle w:val="Tabletext"/>
            </w:pPr>
            <w:r w:rsidRPr="00AB6B77">
              <w:t>Cellulitis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F567F20" w14:textId="77777777" w:rsidR="00276BC7" w:rsidRPr="00AB6B77" w:rsidRDefault="00276BC7" w:rsidP="00073A4A">
            <w:pPr>
              <w:pStyle w:val="Tabletext"/>
            </w:pPr>
            <w:r w:rsidRPr="00AB6B77">
              <w:t>7 (3.3%)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457D1FA"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81F5EA1" w14:textId="77777777" w:rsidR="00276BC7" w:rsidRPr="00AB6B77" w:rsidRDefault="00276BC7" w:rsidP="00073A4A">
            <w:pPr>
              <w:pStyle w:val="Tabletext"/>
            </w:pPr>
            <w:r w:rsidRPr="00AB6B77">
              <w:t>8 (1.9%)</w:t>
            </w:r>
          </w:p>
        </w:tc>
      </w:tr>
      <w:tr w:rsidR="00276BC7" w:rsidRPr="00276BC7" w14:paraId="60F8996F"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DFEBB75"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206A511F" w14:textId="77777777" w:rsidR="00276BC7" w:rsidRPr="00AB6B77" w:rsidRDefault="00276BC7" w:rsidP="00073A4A">
            <w:pPr>
              <w:pStyle w:val="Tabletext"/>
            </w:pPr>
            <w:r w:rsidRPr="00AB6B77">
              <w:t>Gastroenteritis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29B6CF08"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531254B"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970A1B6" w14:textId="77777777" w:rsidR="00276BC7" w:rsidRPr="00AB6B77" w:rsidRDefault="00276BC7" w:rsidP="00073A4A">
            <w:pPr>
              <w:pStyle w:val="Tabletext"/>
            </w:pPr>
            <w:r w:rsidRPr="00AB6B77">
              <w:t>5 (1.2%)</w:t>
            </w:r>
          </w:p>
        </w:tc>
      </w:tr>
      <w:tr w:rsidR="00276BC7" w:rsidRPr="00276BC7" w14:paraId="521B24E9"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3C231AC1"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29C63961" w14:textId="77777777" w:rsidR="00276BC7" w:rsidRPr="00AB6B77" w:rsidRDefault="00276BC7" w:rsidP="00073A4A">
            <w:pPr>
              <w:pStyle w:val="Tabletext"/>
            </w:pPr>
            <w:r w:rsidRPr="00AB6B77">
              <w:t>Gastroenteritis viral</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3493FADB"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C0B7B60"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4F88E738" w14:textId="77777777" w:rsidR="00276BC7" w:rsidRPr="00AB6B77" w:rsidRDefault="00276BC7" w:rsidP="00073A4A">
            <w:pPr>
              <w:pStyle w:val="Tabletext"/>
            </w:pPr>
            <w:r w:rsidRPr="00AB6B77">
              <w:t>4 (0.9%)</w:t>
            </w:r>
          </w:p>
        </w:tc>
      </w:tr>
      <w:tr w:rsidR="00276BC7" w:rsidRPr="00276BC7" w14:paraId="2202DEED"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7663E91D"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1F30201" w14:textId="77777777" w:rsidR="00276BC7" w:rsidRPr="00AB6B77" w:rsidRDefault="00276BC7" w:rsidP="00073A4A">
            <w:pPr>
              <w:pStyle w:val="Tabletext"/>
            </w:pPr>
            <w:proofErr w:type="spellStart"/>
            <w:r w:rsidRPr="00AB6B77">
              <w:t>Nasopharyngitis</w:t>
            </w:r>
            <w:proofErr w:type="spellEnd"/>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2A0E5F7" w14:textId="77777777" w:rsidR="00276BC7" w:rsidRPr="00AB6B77" w:rsidRDefault="00276BC7" w:rsidP="00073A4A">
            <w:pPr>
              <w:pStyle w:val="Tabletext"/>
            </w:pPr>
            <w:r w:rsidRPr="00AB6B77">
              <w:t>2 (0.9%)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41A2E31C"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0EF93B9" w14:textId="77777777" w:rsidR="00276BC7" w:rsidRPr="00AB6B77" w:rsidRDefault="00276BC7" w:rsidP="00073A4A">
            <w:pPr>
              <w:pStyle w:val="Tabletext"/>
            </w:pPr>
            <w:r w:rsidRPr="00AB6B77">
              <w:t>6 (1.4%)</w:t>
            </w:r>
          </w:p>
        </w:tc>
      </w:tr>
      <w:tr w:rsidR="00276BC7" w:rsidRPr="00276BC7" w14:paraId="562B7B81"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632EDED8"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1827FFE1" w14:textId="77777777" w:rsidR="00276BC7" w:rsidRPr="00AB6B77" w:rsidRDefault="00276BC7" w:rsidP="00073A4A">
            <w:pPr>
              <w:pStyle w:val="Tabletext"/>
            </w:pPr>
            <w:r w:rsidRPr="00AB6B77">
              <w:t>Oral herpes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190146F" w14:textId="77777777" w:rsidR="00276BC7" w:rsidRPr="00AB6B77" w:rsidRDefault="00276BC7" w:rsidP="00073A4A">
            <w:pPr>
              <w:pStyle w:val="Tabletext"/>
            </w:pPr>
            <w:r w:rsidRPr="00AB6B77">
              <w:t>1 (0.5%)</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1F6CBAEC"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94BA5FC" w14:textId="77777777" w:rsidR="00276BC7" w:rsidRPr="00AB6B77" w:rsidRDefault="00276BC7" w:rsidP="00073A4A">
            <w:pPr>
              <w:pStyle w:val="Tabletext"/>
            </w:pPr>
            <w:r w:rsidRPr="00AB6B77">
              <w:t>4 (0.9%)</w:t>
            </w:r>
          </w:p>
        </w:tc>
      </w:tr>
      <w:tr w:rsidR="00276BC7" w:rsidRPr="00276BC7" w14:paraId="2EC638FE"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5D2DDE3A"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43B33328" w14:textId="77777777" w:rsidR="00276BC7" w:rsidRPr="00AB6B77" w:rsidRDefault="00276BC7" w:rsidP="00073A4A">
            <w:pPr>
              <w:pStyle w:val="Tabletext"/>
            </w:pPr>
            <w:r w:rsidRPr="00AB6B77">
              <w:t>Pneumonia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CBE6870"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FB96189"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45DF9E3C" w14:textId="77777777" w:rsidR="00276BC7" w:rsidRPr="00AB6B77" w:rsidRDefault="00276BC7" w:rsidP="00073A4A">
            <w:pPr>
              <w:pStyle w:val="Tabletext"/>
            </w:pPr>
            <w:r w:rsidRPr="00AB6B77">
              <w:t>5 (1.2%)</w:t>
            </w:r>
          </w:p>
        </w:tc>
      </w:tr>
      <w:tr w:rsidR="00276BC7" w:rsidRPr="00276BC7" w14:paraId="69EBF396"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05852FE9"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18BA3A2" w14:textId="77777777" w:rsidR="00276BC7" w:rsidRPr="00AB6B77" w:rsidRDefault="00276BC7" w:rsidP="00073A4A">
            <w:pPr>
              <w:pStyle w:val="Tabletext"/>
            </w:pPr>
            <w:r w:rsidRPr="00AB6B77">
              <w:t>Subcutaneous abscess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5115B36"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45E50CE5" w14:textId="77777777" w:rsidR="00276BC7" w:rsidRPr="00AB6B77" w:rsidRDefault="00276BC7" w:rsidP="00073A4A">
            <w:pPr>
              <w:pStyle w:val="Tabletext"/>
            </w:pPr>
            <w:r w:rsidRPr="00AB6B77">
              <w:t>0 (0.0%)</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F2C84B4" w14:textId="77777777" w:rsidR="00276BC7" w:rsidRPr="00AB6B77" w:rsidRDefault="00276BC7" w:rsidP="00073A4A">
            <w:pPr>
              <w:pStyle w:val="Tabletext"/>
            </w:pPr>
            <w:r w:rsidRPr="00AB6B77">
              <w:t>3 (0.7%)</w:t>
            </w:r>
          </w:p>
        </w:tc>
      </w:tr>
      <w:tr w:rsidR="00276BC7" w:rsidRPr="00276BC7" w14:paraId="03C30B5B"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1BECA79F"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0E74857" w14:textId="77777777" w:rsidR="00276BC7" w:rsidRPr="00AB6B77" w:rsidRDefault="00276BC7" w:rsidP="00073A4A">
            <w:pPr>
              <w:pStyle w:val="Tabletext"/>
            </w:pPr>
            <w:r w:rsidRPr="00AB6B77">
              <w:t>Tooth abscess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23CF19AF"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B190D83"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B284A9B" w14:textId="77777777" w:rsidR="00276BC7" w:rsidRPr="00AB6B77" w:rsidRDefault="00276BC7" w:rsidP="00073A4A">
            <w:pPr>
              <w:pStyle w:val="Tabletext"/>
            </w:pPr>
            <w:r w:rsidRPr="00AB6B77">
              <w:t>6 (1.4%)</w:t>
            </w:r>
          </w:p>
        </w:tc>
      </w:tr>
      <w:tr w:rsidR="00276BC7" w:rsidRPr="00276BC7" w14:paraId="42EF83E3"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6C975D06"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5D8AD83" w14:textId="77777777" w:rsidR="00276BC7" w:rsidRPr="00AB6B77" w:rsidRDefault="00276BC7" w:rsidP="00073A4A">
            <w:pPr>
              <w:pStyle w:val="Tabletext"/>
            </w:pPr>
            <w:r w:rsidRPr="00AB6B77">
              <w:t>Upper respiratory tract infection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48537A8" w14:textId="77777777" w:rsidR="00276BC7" w:rsidRPr="00AB6B77" w:rsidRDefault="00276BC7" w:rsidP="00073A4A">
            <w:pPr>
              <w:pStyle w:val="Tabletext"/>
            </w:pPr>
            <w:r w:rsidRPr="00AB6B77">
              <w:t>9 (4.2%)</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5B5034B" w14:textId="77777777" w:rsidR="00276BC7" w:rsidRPr="00AB6B77" w:rsidRDefault="00276BC7" w:rsidP="00073A4A">
            <w:pPr>
              <w:pStyle w:val="Tabletext"/>
            </w:pPr>
            <w:r w:rsidRPr="00AB6B77">
              <w:t>9 (4.2%)</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C4C3739" w14:textId="77777777" w:rsidR="00276BC7" w:rsidRPr="00AB6B77" w:rsidRDefault="00276BC7" w:rsidP="00073A4A">
            <w:pPr>
              <w:pStyle w:val="Tabletext"/>
            </w:pPr>
            <w:r w:rsidRPr="00AB6B77">
              <w:t>18 (4.2%)</w:t>
            </w:r>
          </w:p>
        </w:tc>
      </w:tr>
      <w:tr w:rsidR="00276BC7" w:rsidRPr="00276BC7" w14:paraId="1B79C850"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79A370CE"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E2B8AC5" w14:textId="77777777" w:rsidR="00276BC7" w:rsidRPr="00AB6B77" w:rsidRDefault="00276BC7" w:rsidP="00073A4A">
            <w:pPr>
              <w:pStyle w:val="Tabletext"/>
            </w:pPr>
            <w:r w:rsidRPr="00AB6B77">
              <w:t>Urinary tract infection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37776BD4" w14:textId="77777777" w:rsidR="00276BC7" w:rsidRPr="00AB6B77" w:rsidRDefault="00276BC7" w:rsidP="00073A4A">
            <w:pPr>
              <w:pStyle w:val="Tabletext"/>
            </w:pPr>
            <w:r w:rsidRPr="00AB6B77">
              <w:t>10 (4.7%)</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7B7069B2" w14:textId="77777777" w:rsidR="00276BC7" w:rsidRPr="00AB6B77" w:rsidRDefault="00276BC7" w:rsidP="00073A4A">
            <w:pPr>
              <w:pStyle w:val="Tabletext"/>
            </w:pPr>
            <w:r w:rsidRPr="00AB6B77">
              <w:t>11 (5.2%)</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293CF05" w14:textId="77777777" w:rsidR="00276BC7" w:rsidRPr="00AB6B77" w:rsidRDefault="00276BC7" w:rsidP="00073A4A">
            <w:pPr>
              <w:pStyle w:val="Tabletext"/>
            </w:pPr>
            <w:r w:rsidRPr="00AB6B77">
              <w:t>21 (4.9%)</w:t>
            </w:r>
          </w:p>
        </w:tc>
      </w:tr>
      <w:tr w:rsidR="00276BC7" w:rsidRPr="00276BC7" w14:paraId="2194FBB2" w14:textId="77777777" w:rsidTr="001566B2">
        <w:trPr>
          <w:jc w:val="center"/>
        </w:trPr>
        <w:tc>
          <w:tcPr>
            <w:tcW w:w="1918" w:type="dxa"/>
            <w:tcBorders>
              <w:left w:val="single" w:sz="4" w:space="0" w:color="000000"/>
              <w:bottom w:val="single" w:sz="4" w:space="0" w:color="000000"/>
              <w:right w:val="nil"/>
            </w:tcBorders>
            <w:shd w:val="clear" w:color="auto" w:fill="FFFFFF"/>
            <w:tcMar>
              <w:left w:w="67" w:type="dxa"/>
              <w:right w:w="67" w:type="dxa"/>
            </w:tcMar>
          </w:tcPr>
          <w:p w14:paraId="2A066235" w14:textId="77777777" w:rsidR="00276BC7" w:rsidRPr="00AB6B7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51F2471F" w14:textId="77777777" w:rsidR="00276BC7" w:rsidRPr="00AB6B77" w:rsidRDefault="00276BC7" w:rsidP="00073A4A">
            <w:pPr>
              <w:pStyle w:val="Tabletext"/>
            </w:pPr>
            <w:r w:rsidRPr="00AB6B77">
              <w:t>Viral infection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69F4F1F"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8AB3074"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A6EA3F7" w14:textId="77777777" w:rsidR="00276BC7" w:rsidRPr="00AB6B77" w:rsidRDefault="00276BC7" w:rsidP="00073A4A">
            <w:pPr>
              <w:pStyle w:val="Tabletext"/>
            </w:pPr>
            <w:r w:rsidRPr="00AB6B77">
              <w:t>5 (1.2%)</w:t>
            </w:r>
          </w:p>
        </w:tc>
      </w:tr>
      <w:tr w:rsidR="00276BC7" w:rsidRPr="00276BC7" w14:paraId="73AE29CE"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B88A1A5" w14:textId="77777777" w:rsidR="00276BC7" w:rsidRPr="00AB6B77" w:rsidRDefault="00276BC7" w:rsidP="00073A4A">
            <w:pPr>
              <w:pStyle w:val="Tabletext"/>
            </w:pPr>
            <w:r w:rsidRPr="00AB6B77">
              <w:t>Injury, poisoning and procedural complications</w:t>
            </w:r>
          </w:p>
        </w:tc>
      </w:tr>
      <w:tr w:rsidR="00276BC7" w:rsidRPr="00276BC7" w14:paraId="5309B3BC"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7B86AF34"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8FC6954" w14:textId="77777777" w:rsidR="00276BC7" w:rsidRPr="00AB6B77" w:rsidRDefault="00276BC7" w:rsidP="00073A4A">
            <w:pPr>
              <w:pStyle w:val="Tabletext"/>
            </w:pPr>
            <w:r w:rsidRPr="00AB6B77">
              <w:t>Accidental overdose</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0661BD12"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E9F1143" w14:textId="77777777" w:rsidR="00276BC7" w:rsidRPr="00AB6B77" w:rsidRDefault="00276BC7" w:rsidP="00073A4A">
            <w:pPr>
              <w:pStyle w:val="Tabletext"/>
            </w:pPr>
            <w:r w:rsidRPr="00AB6B77">
              <w:t>0 (0.0%)</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7661A3E" w14:textId="77777777" w:rsidR="00276BC7" w:rsidRPr="00AB6B77" w:rsidRDefault="00276BC7" w:rsidP="00073A4A">
            <w:pPr>
              <w:pStyle w:val="Tabletext"/>
            </w:pPr>
            <w:r w:rsidRPr="00AB6B77">
              <w:t>4 (0.9%)</w:t>
            </w:r>
          </w:p>
        </w:tc>
      </w:tr>
      <w:tr w:rsidR="00276BC7" w:rsidRPr="00276BC7" w14:paraId="440583E0" w14:textId="77777777" w:rsidTr="001566B2">
        <w:trPr>
          <w:jc w:val="center"/>
        </w:trPr>
        <w:tc>
          <w:tcPr>
            <w:tcW w:w="1918" w:type="dxa"/>
            <w:tcBorders>
              <w:top w:val="nil"/>
              <w:left w:val="single" w:sz="4" w:space="0" w:color="auto"/>
              <w:bottom w:val="single" w:sz="4" w:space="0" w:color="auto"/>
              <w:right w:val="single" w:sz="4" w:space="0" w:color="auto"/>
            </w:tcBorders>
            <w:shd w:val="clear" w:color="auto" w:fill="FFFFFF"/>
            <w:tcMar>
              <w:left w:w="67" w:type="dxa"/>
              <w:right w:w="67" w:type="dxa"/>
            </w:tcMar>
          </w:tcPr>
          <w:p w14:paraId="36410CC3"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8936A08" w14:textId="77777777" w:rsidR="00276BC7" w:rsidRPr="00AB6B77" w:rsidRDefault="00276BC7" w:rsidP="00073A4A">
            <w:pPr>
              <w:pStyle w:val="Tabletext"/>
            </w:pPr>
            <w:r w:rsidRPr="00AB6B77">
              <w:t>Laceration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A57A2E7"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1F114446"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474E86D" w14:textId="77777777" w:rsidR="00276BC7" w:rsidRPr="00AB6B77" w:rsidRDefault="00276BC7" w:rsidP="00073A4A">
            <w:pPr>
              <w:pStyle w:val="Tabletext"/>
            </w:pPr>
            <w:r w:rsidRPr="00AB6B77">
              <w:t>7 (1.6%)</w:t>
            </w:r>
          </w:p>
        </w:tc>
      </w:tr>
      <w:tr w:rsidR="00276BC7" w:rsidRPr="00276BC7" w14:paraId="15888D89"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2A0FFF8" w14:textId="77777777" w:rsidR="00276BC7" w:rsidRPr="00AB6B77" w:rsidRDefault="00276BC7" w:rsidP="00073A4A">
            <w:pPr>
              <w:pStyle w:val="Tabletext"/>
            </w:pPr>
            <w:r w:rsidRPr="00AB6B77">
              <w:t>Investigations</w:t>
            </w:r>
          </w:p>
        </w:tc>
      </w:tr>
      <w:tr w:rsidR="00276BC7" w:rsidRPr="00276BC7" w14:paraId="7F7E1139"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32AA7C57"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5170D897" w14:textId="77777777" w:rsidR="00276BC7" w:rsidRPr="00AB6B77" w:rsidRDefault="00276BC7" w:rsidP="00073A4A">
            <w:pPr>
              <w:pStyle w:val="Tabletext"/>
            </w:pPr>
            <w:r w:rsidRPr="00AB6B77">
              <w:t>Alanine aminotransferase increased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71320187"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6718EBB"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D7D6AFB" w14:textId="77777777" w:rsidR="00276BC7" w:rsidRPr="00AB6B77" w:rsidRDefault="00276BC7" w:rsidP="00073A4A">
            <w:pPr>
              <w:pStyle w:val="Tabletext"/>
            </w:pPr>
            <w:r w:rsidRPr="00AB6B77">
              <w:t>8 (1.9%)</w:t>
            </w:r>
          </w:p>
        </w:tc>
      </w:tr>
      <w:tr w:rsidR="00276BC7" w:rsidRPr="00276BC7" w14:paraId="60BBDCD5"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267A33B"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CEDDB15" w14:textId="77777777" w:rsidR="00276BC7" w:rsidRPr="00AB6B77" w:rsidRDefault="00276BC7" w:rsidP="00073A4A">
            <w:pPr>
              <w:pStyle w:val="Tabletext"/>
            </w:pPr>
            <w:r w:rsidRPr="00AB6B77">
              <w:t>Aspartate aminotransferase increased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BFAADDD" w14:textId="77777777" w:rsidR="00276BC7" w:rsidRPr="00AB6B77" w:rsidRDefault="00276BC7" w:rsidP="00073A4A">
            <w:pPr>
              <w:pStyle w:val="Tabletext"/>
            </w:pPr>
            <w:r w:rsidRPr="00AB6B77">
              <w:t>4 (1.9%)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AECCD3A"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98A1106" w14:textId="77777777" w:rsidR="00276BC7" w:rsidRPr="00AB6B77" w:rsidRDefault="00276BC7" w:rsidP="00073A4A">
            <w:pPr>
              <w:pStyle w:val="Tabletext"/>
            </w:pPr>
            <w:r w:rsidRPr="00AB6B77">
              <w:t>8 (1.9%)</w:t>
            </w:r>
          </w:p>
        </w:tc>
      </w:tr>
      <w:tr w:rsidR="00276BC7" w:rsidRPr="00276BC7" w14:paraId="14D81C60" w14:textId="77777777" w:rsidTr="0059009B">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2213C66D"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BAFFE6A" w14:textId="77777777" w:rsidR="00276BC7" w:rsidRPr="00AB6B77" w:rsidRDefault="00276BC7" w:rsidP="00073A4A">
            <w:pPr>
              <w:pStyle w:val="Tabletext"/>
            </w:pPr>
            <w:r w:rsidRPr="00AB6B77">
              <w:t>Blood glucose increased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9C018E6"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9881B14"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5839AD8" w14:textId="77777777" w:rsidR="00276BC7" w:rsidRPr="00AB6B77" w:rsidRDefault="00276BC7" w:rsidP="00073A4A">
            <w:pPr>
              <w:pStyle w:val="Tabletext"/>
            </w:pPr>
            <w:r w:rsidRPr="00AB6B77">
              <w:t>4 (0.9%)</w:t>
            </w:r>
          </w:p>
        </w:tc>
      </w:tr>
      <w:tr w:rsidR="00276BC7" w:rsidRPr="00276BC7" w14:paraId="5946BD3B" w14:textId="77777777" w:rsidTr="0059009B">
        <w:trPr>
          <w:jc w:val="center"/>
        </w:trPr>
        <w:tc>
          <w:tcPr>
            <w:tcW w:w="1918" w:type="dxa"/>
            <w:tcBorders>
              <w:top w:val="nil"/>
              <w:left w:val="single" w:sz="4" w:space="0" w:color="auto"/>
              <w:bottom w:val="single" w:sz="4" w:space="0" w:color="auto"/>
              <w:right w:val="single" w:sz="4" w:space="0" w:color="auto"/>
            </w:tcBorders>
            <w:shd w:val="clear" w:color="auto" w:fill="FFFFFF"/>
            <w:tcMar>
              <w:left w:w="67" w:type="dxa"/>
              <w:right w:w="67" w:type="dxa"/>
            </w:tcMar>
          </w:tcPr>
          <w:p w14:paraId="41C5426D"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4792283D" w14:textId="77777777" w:rsidR="00276BC7" w:rsidRPr="00AB6B77" w:rsidRDefault="00276BC7" w:rsidP="00073A4A">
            <w:pPr>
              <w:pStyle w:val="Tabletext"/>
            </w:pPr>
            <w:r w:rsidRPr="00AB6B77">
              <w:t>Gamma-</w:t>
            </w:r>
            <w:proofErr w:type="spellStart"/>
            <w:r w:rsidRPr="00AB6B77">
              <w:t>glutamyltransferase</w:t>
            </w:r>
            <w:proofErr w:type="spellEnd"/>
            <w:r w:rsidRPr="00AB6B77">
              <w:t xml:space="preserve"> increased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D1E816E"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6582790" w14:textId="77777777" w:rsidR="00276BC7" w:rsidRPr="00AB6B77" w:rsidRDefault="00276BC7" w:rsidP="00073A4A">
            <w:pPr>
              <w:pStyle w:val="Tabletext"/>
            </w:pPr>
            <w:r w:rsidRPr="00AB6B77">
              <w:t>2 (0.9%)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EF2878C" w14:textId="77777777" w:rsidR="00276BC7" w:rsidRPr="00AB6B77" w:rsidRDefault="00276BC7" w:rsidP="00073A4A">
            <w:pPr>
              <w:pStyle w:val="Tabletext"/>
            </w:pPr>
            <w:r w:rsidRPr="00AB6B77">
              <w:t>5 (1.2%)</w:t>
            </w:r>
          </w:p>
        </w:tc>
      </w:tr>
      <w:tr w:rsidR="00276BC7" w:rsidRPr="00276BC7" w14:paraId="2DEDD5E4" w14:textId="77777777" w:rsidTr="0059009B">
        <w:trPr>
          <w:jc w:val="center"/>
        </w:trPr>
        <w:tc>
          <w:tcPr>
            <w:tcW w:w="19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tcPr>
          <w:p w14:paraId="09D66331"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0A811B7" w14:textId="77777777" w:rsidR="00276BC7" w:rsidRPr="00AB6B77" w:rsidRDefault="00276BC7" w:rsidP="00073A4A">
            <w:pPr>
              <w:pStyle w:val="Tabletext"/>
            </w:pPr>
            <w:r w:rsidRPr="00AB6B77">
              <w:t>Weight decreased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ABC54D3"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60EF719"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72A5438" w14:textId="77777777" w:rsidR="00276BC7" w:rsidRPr="00AB6B77" w:rsidRDefault="00276BC7" w:rsidP="00073A4A">
            <w:pPr>
              <w:pStyle w:val="Tabletext"/>
            </w:pPr>
            <w:r w:rsidRPr="00AB6B77">
              <w:t>6 (1.4%)</w:t>
            </w:r>
          </w:p>
        </w:tc>
      </w:tr>
      <w:tr w:rsidR="00276BC7" w:rsidRPr="00276BC7" w14:paraId="044C3FC4"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83354E3" w14:textId="77777777" w:rsidR="00276BC7" w:rsidRPr="00AB6B77" w:rsidRDefault="00276BC7" w:rsidP="00073A4A">
            <w:pPr>
              <w:pStyle w:val="Tabletext"/>
            </w:pPr>
            <w:r w:rsidRPr="00AB6B77">
              <w:t>Musculoskeletal and connective tissue disorders</w:t>
            </w:r>
          </w:p>
        </w:tc>
      </w:tr>
      <w:tr w:rsidR="00276BC7" w:rsidRPr="00276BC7" w14:paraId="3D4FFAA9"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7C36F7A0"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3C6A285" w14:textId="77777777" w:rsidR="00276BC7" w:rsidRPr="00AB6B77" w:rsidRDefault="00276BC7" w:rsidP="00073A4A">
            <w:pPr>
              <w:pStyle w:val="Tabletext"/>
            </w:pPr>
            <w:r w:rsidRPr="00AB6B77">
              <w:t>Arthralgia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655A9A6"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F5A1D46" w14:textId="77777777" w:rsidR="00276BC7" w:rsidRPr="00AB6B77" w:rsidRDefault="00276BC7" w:rsidP="00073A4A">
            <w:pPr>
              <w:pStyle w:val="Tabletext"/>
            </w:pPr>
            <w:r w:rsidRPr="00AB6B77">
              <w:t>7 (3.3%)</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F21C359" w14:textId="77777777" w:rsidR="00276BC7" w:rsidRPr="00AB6B77" w:rsidRDefault="00276BC7" w:rsidP="00073A4A">
            <w:pPr>
              <w:pStyle w:val="Tabletext"/>
            </w:pPr>
            <w:r w:rsidRPr="00AB6B77">
              <w:t>10 (2.3%)</w:t>
            </w:r>
          </w:p>
        </w:tc>
      </w:tr>
      <w:tr w:rsidR="00276BC7" w:rsidRPr="00276BC7" w14:paraId="2DCA21C0"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404FEA41"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54DA96AE" w14:textId="77777777" w:rsidR="00276BC7" w:rsidRPr="00AB6B77" w:rsidRDefault="00276BC7" w:rsidP="00073A4A">
            <w:pPr>
              <w:pStyle w:val="Tabletext"/>
            </w:pPr>
            <w:r w:rsidRPr="00AB6B77">
              <w:t>Back pain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0D36D99" w14:textId="77777777" w:rsidR="00276BC7" w:rsidRPr="00AB6B77" w:rsidRDefault="00276BC7" w:rsidP="00073A4A">
            <w:pPr>
              <w:pStyle w:val="Tabletext"/>
            </w:pPr>
            <w:r w:rsidRPr="00AB6B77">
              <w:t>6 (2.8%)</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A205F00"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6E9435D" w14:textId="77777777" w:rsidR="00276BC7" w:rsidRPr="00AB6B77" w:rsidRDefault="00276BC7" w:rsidP="00073A4A">
            <w:pPr>
              <w:pStyle w:val="Tabletext"/>
            </w:pPr>
            <w:r w:rsidRPr="00AB6B77">
              <w:t>9 (2.1%)</w:t>
            </w:r>
          </w:p>
        </w:tc>
      </w:tr>
      <w:tr w:rsidR="00276BC7" w:rsidRPr="00276BC7" w14:paraId="76AFE413"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3E7D89DB"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11E7EDB" w14:textId="77777777" w:rsidR="00276BC7" w:rsidRPr="00AB6B77" w:rsidRDefault="00276BC7" w:rsidP="00073A4A">
            <w:pPr>
              <w:pStyle w:val="Tabletext"/>
            </w:pPr>
            <w:r w:rsidRPr="00AB6B77">
              <w:t>Muscle spasms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39F591C4"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1CE5EFEF"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C327499" w14:textId="77777777" w:rsidR="00276BC7" w:rsidRPr="00AB6B77" w:rsidRDefault="00276BC7" w:rsidP="00073A4A">
            <w:pPr>
              <w:pStyle w:val="Tabletext"/>
            </w:pPr>
            <w:r w:rsidRPr="00AB6B77">
              <w:t>6 (1.4%)</w:t>
            </w:r>
          </w:p>
        </w:tc>
      </w:tr>
      <w:tr w:rsidR="00276BC7" w:rsidRPr="00276BC7" w14:paraId="5002EA4F"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54CDAC94"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1629762" w14:textId="77777777" w:rsidR="00276BC7" w:rsidRPr="00AB6B77" w:rsidRDefault="00276BC7" w:rsidP="00073A4A">
            <w:pPr>
              <w:pStyle w:val="Tabletext"/>
            </w:pPr>
            <w:r w:rsidRPr="00AB6B77">
              <w:t>Musculoskeletal pain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E5680D6" w14:textId="77777777" w:rsidR="00276BC7" w:rsidRPr="00AB6B77" w:rsidRDefault="00276BC7" w:rsidP="00073A4A">
            <w:pPr>
              <w:pStyle w:val="Tabletext"/>
            </w:pPr>
            <w:r w:rsidRPr="00AB6B77">
              <w:t>5 (2.3%)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79983DD" w14:textId="77777777" w:rsidR="00276BC7" w:rsidRPr="00AB6B77" w:rsidRDefault="00276BC7" w:rsidP="00073A4A">
            <w:pPr>
              <w:pStyle w:val="Tabletext"/>
            </w:pPr>
            <w:r w:rsidRPr="00AB6B77">
              <w:t>0 (0.0%)</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7645AFA" w14:textId="77777777" w:rsidR="00276BC7" w:rsidRPr="00AB6B77" w:rsidRDefault="00276BC7" w:rsidP="00073A4A">
            <w:pPr>
              <w:pStyle w:val="Tabletext"/>
            </w:pPr>
            <w:r w:rsidRPr="00AB6B77">
              <w:t>5 (1.2%)</w:t>
            </w:r>
          </w:p>
        </w:tc>
      </w:tr>
      <w:tr w:rsidR="00276BC7" w:rsidRPr="00276BC7" w14:paraId="3ABCA88D" w14:textId="77777777" w:rsidTr="001566B2">
        <w:trPr>
          <w:jc w:val="center"/>
        </w:trPr>
        <w:tc>
          <w:tcPr>
            <w:tcW w:w="1918" w:type="dxa"/>
            <w:tcBorders>
              <w:top w:val="nil"/>
              <w:left w:val="single" w:sz="4" w:space="0" w:color="auto"/>
              <w:right w:val="single" w:sz="4" w:space="0" w:color="auto"/>
            </w:tcBorders>
            <w:shd w:val="clear" w:color="auto" w:fill="FFFFFF"/>
            <w:tcMar>
              <w:left w:w="67" w:type="dxa"/>
              <w:right w:w="67" w:type="dxa"/>
            </w:tcMar>
          </w:tcPr>
          <w:p w14:paraId="1AE3A91A"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2ADAFA1A" w14:textId="77777777" w:rsidR="00276BC7" w:rsidRPr="00AB6B77" w:rsidRDefault="00276BC7" w:rsidP="00073A4A">
            <w:pPr>
              <w:pStyle w:val="Tabletext"/>
            </w:pPr>
            <w:r w:rsidRPr="00AB6B77">
              <w:t>Neck pain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2DB97F01" w14:textId="77777777" w:rsidR="00276BC7" w:rsidRPr="00AB6B77" w:rsidRDefault="00276BC7" w:rsidP="00073A4A">
            <w:pPr>
              <w:pStyle w:val="Tabletext"/>
            </w:pPr>
            <w:r w:rsidRPr="00AB6B77">
              <w:t>1 (0.5%)</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404A0EBF"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42496DE" w14:textId="77777777" w:rsidR="00276BC7" w:rsidRPr="00AB6B77" w:rsidRDefault="00276BC7" w:rsidP="00073A4A">
            <w:pPr>
              <w:pStyle w:val="Tabletext"/>
            </w:pPr>
            <w:r w:rsidRPr="00AB6B77">
              <w:t>4 (0.9%)</w:t>
            </w:r>
          </w:p>
        </w:tc>
      </w:tr>
      <w:tr w:rsidR="00276BC7" w:rsidRPr="00276BC7" w14:paraId="7EFA59B9" w14:textId="77777777" w:rsidTr="001566B2">
        <w:trPr>
          <w:jc w:val="center"/>
        </w:trPr>
        <w:tc>
          <w:tcPr>
            <w:tcW w:w="1918" w:type="dxa"/>
            <w:tcBorders>
              <w:top w:val="nil"/>
              <w:left w:val="single" w:sz="4" w:space="0" w:color="auto"/>
              <w:bottom w:val="single" w:sz="4" w:space="0" w:color="auto"/>
              <w:right w:val="single" w:sz="4" w:space="0" w:color="auto"/>
            </w:tcBorders>
            <w:shd w:val="clear" w:color="auto" w:fill="FFFFFF"/>
            <w:tcMar>
              <w:left w:w="67" w:type="dxa"/>
              <w:right w:w="67" w:type="dxa"/>
            </w:tcMar>
          </w:tcPr>
          <w:p w14:paraId="729B0442"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3FFF4C6A" w14:textId="77777777" w:rsidR="00276BC7" w:rsidRPr="00AB6B77" w:rsidRDefault="00276BC7" w:rsidP="00073A4A">
            <w:pPr>
              <w:pStyle w:val="Tabletext"/>
            </w:pPr>
            <w:r w:rsidRPr="00AB6B77">
              <w:t>Pain in extremity</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02362D6" w14:textId="77777777" w:rsidR="00276BC7" w:rsidRPr="00AB6B77" w:rsidRDefault="00276BC7" w:rsidP="00073A4A">
            <w:pPr>
              <w:pStyle w:val="Tabletext"/>
            </w:pPr>
            <w:r w:rsidRPr="00AB6B77">
              <w:t>2 (0.9%)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28938DE6"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FB78872" w14:textId="77777777" w:rsidR="00276BC7" w:rsidRPr="00AB6B77" w:rsidRDefault="00276BC7" w:rsidP="00073A4A">
            <w:pPr>
              <w:pStyle w:val="Tabletext"/>
            </w:pPr>
            <w:r w:rsidRPr="00AB6B77">
              <w:t>6 (1.4%)</w:t>
            </w:r>
          </w:p>
        </w:tc>
      </w:tr>
      <w:tr w:rsidR="00276BC7" w:rsidRPr="00276BC7" w14:paraId="7060B260"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5510604" w14:textId="77777777" w:rsidR="00276BC7" w:rsidRPr="00AB6B77" w:rsidRDefault="00276BC7" w:rsidP="00073A4A">
            <w:pPr>
              <w:pStyle w:val="Tabletext"/>
            </w:pPr>
            <w:r w:rsidRPr="00AB6B77">
              <w:t>Nervous system disorders</w:t>
            </w:r>
          </w:p>
        </w:tc>
      </w:tr>
      <w:tr w:rsidR="00276BC7" w:rsidRPr="00276BC7" w14:paraId="40933E2D"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48A7EE6E"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D72DEFB" w14:textId="77777777" w:rsidR="00276BC7" w:rsidRPr="00AB6B77" w:rsidRDefault="00276BC7" w:rsidP="00073A4A">
            <w:pPr>
              <w:pStyle w:val="Tabletext"/>
            </w:pPr>
            <w:r w:rsidRPr="00AB6B77">
              <w:t>Dizziness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AE12809" w14:textId="77777777" w:rsidR="00276BC7" w:rsidRPr="00AB6B77" w:rsidRDefault="00276BC7" w:rsidP="00073A4A">
            <w:pPr>
              <w:pStyle w:val="Tabletext"/>
            </w:pPr>
            <w:r w:rsidRPr="00AB6B77">
              <w:t>2 (0.9%)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AC9CDFD"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AF05255" w14:textId="77777777" w:rsidR="00276BC7" w:rsidRPr="00AB6B77" w:rsidRDefault="00276BC7" w:rsidP="00073A4A">
            <w:pPr>
              <w:pStyle w:val="Tabletext"/>
            </w:pPr>
            <w:r w:rsidRPr="00AB6B77">
              <w:t>5 (1.2%)</w:t>
            </w:r>
          </w:p>
        </w:tc>
      </w:tr>
      <w:tr w:rsidR="00276BC7" w:rsidRPr="00276BC7" w14:paraId="7406F302" w14:textId="77777777" w:rsidTr="001566B2">
        <w:trPr>
          <w:jc w:val="center"/>
        </w:trPr>
        <w:tc>
          <w:tcPr>
            <w:tcW w:w="1918" w:type="dxa"/>
            <w:tcBorders>
              <w:left w:val="single" w:sz="4" w:space="0" w:color="auto"/>
              <w:bottom w:val="single" w:sz="4" w:space="0" w:color="auto"/>
              <w:right w:val="single" w:sz="4" w:space="0" w:color="auto"/>
            </w:tcBorders>
            <w:shd w:val="clear" w:color="auto" w:fill="FFFFFF"/>
            <w:tcMar>
              <w:left w:w="67" w:type="dxa"/>
              <w:right w:w="67" w:type="dxa"/>
            </w:tcMar>
          </w:tcPr>
          <w:p w14:paraId="6BC52022"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46EA5C0" w14:textId="77777777" w:rsidR="00276BC7" w:rsidRPr="00AB6B77" w:rsidRDefault="00276BC7" w:rsidP="00073A4A">
            <w:pPr>
              <w:pStyle w:val="Tabletext"/>
            </w:pPr>
            <w:r w:rsidRPr="00AB6B77">
              <w:t>Headache</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23D971B8" w14:textId="77777777" w:rsidR="00276BC7" w:rsidRPr="00AB6B77" w:rsidRDefault="00276BC7" w:rsidP="00073A4A">
            <w:pPr>
              <w:pStyle w:val="Tabletext"/>
            </w:pPr>
            <w:r w:rsidRPr="00AB6B77">
              <w:t>17 (7.9%)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7EC77CF" w14:textId="77777777" w:rsidR="00276BC7" w:rsidRPr="00AB6B77" w:rsidRDefault="00276BC7" w:rsidP="00073A4A">
            <w:pPr>
              <w:pStyle w:val="Tabletext"/>
            </w:pPr>
            <w:r w:rsidRPr="00AB6B77">
              <w:t>16 (7.5%)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5BD237A" w14:textId="77777777" w:rsidR="00276BC7" w:rsidRPr="00AB6B77" w:rsidRDefault="00276BC7" w:rsidP="00073A4A">
            <w:pPr>
              <w:pStyle w:val="Tabletext"/>
            </w:pPr>
            <w:r w:rsidRPr="00AB6B77">
              <w:t>33 (7.7%)</w:t>
            </w:r>
          </w:p>
        </w:tc>
      </w:tr>
      <w:tr w:rsidR="00276BC7" w:rsidRPr="00276BC7" w14:paraId="51612DB0" w14:textId="77777777" w:rsidTr="001566B2">
        <w:trPr>
          <w:jc w:val="center"/>
        </w:trPr>
        <w:tc>
          <w:tcPr>
            <w:tcW w:w="1918" w:type="dxa"/>
            <w:tcBorders>
              <w:top w:val="single" w:sz="4" w:space="0" w:color="auto"/>
              <w:left w:val="single" w:sz="4" w:space="0" w:color="auto"/>
              <w:bottom w:val="single" w:sz="4" w:space="0" w:color="auto"/>
              <w:right w:val="single" w:sz="4" w:space="0" w:color="auto"/>
            </w:tcBorders>
            <w:shd w:val="clear" w:color="auto" w:fill="FFFFFF"/>
            <w:tcMar>
              <w:left w:w="67" w:type="dxa"/>
              <w:right w:w="67" w:type="dxa"/>
            </w:tcMar>
          </w:tcPr>
          <w:p w14:paraId="49A57EF3"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D04076B" w14:textId="77777777" w:rsidR="00276BC7" w:rsidRPr="00AB6B77" w:rsidRDefault="00276BC7" w:rsidP="00073A4A">
            <w:pPr>
              <w:pStyle w:val="Tabletext"/>
            </w:pPr>
            <w:proofErr w:type="spellStart"/>
            <w:r w:rsidRPr="00AB6B77">
              <w:t>Hypoaesthesia</w:t>
            </w:r>
            <w:proofErr w:type="spellEnd"/>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4E9D773A" w14:textId="77777777" w:rsidR="00276BC7" w:rsidRPr="00AB6B77" w:rsidRDefault="00276BC7" w:rsidP="00073A4A">
            <w:pPr>
              <w:pStyle w:val="Tabletext"/>
            </w:pPr>
            <w:r w:rsidRPr="00AB6B77">
              <w:t>0 (0.0%)</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9F3C085" w14:textId="77777777" w:rsidR="00276BC7" w:rsidRPr="00AB6B77" w:rsidRDefault="00276BC7" w:rsidP="00073A4A">
            <w:pPr>
              <w:pStyle w:val="Tabletext"/>
            </w:pPr>
            <w:r w:rsidRPr="00AB6B7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72D56A0" w14:textId="77777777" w:rsidR="00276BC7" w:rsidRPr="00AB6B77" w:rsidRDefault="00276BC7" w:rsidP="00073A4A">
            <w:pPr>
              <w:pStyle w:val="Tabletext"/>
            </w:pPr>
            <w:r w:rsidRPr="00AB6B77">
              <w:t>4 (0.9%)</w:t>
            </w:r>
          </w:p>
        </w:tc>
      </w:tr>
      <w:tr w:rsidR="00276BC7" w:rsidRPr="00276BC7" w14:paraId="015D0E5B"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822928E" w14:textId="77777777" w:rsidR="00276BC7" w:rsidRPr="00AB6B77" w:rsidRDefault="00276BC7" w:rsidP="00073A4A">
            <w:pPr>
              <w:pStyle w:val="Tabletext"/>
            </w:pPr>
            <w:r w:rsidRPr="00AB6B77">
              <w:t>Psychiatric disorders</w:t>
            </w:r>
          </w:p>
        </w:tc>
      </w:tr>
      <w:tr w:rsidR="00276BC7" w:rsidRPr="00276BC7" w14:paraId="59FE88FC"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69FC7872"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15A5A0E2" w14:textId="77777777" w:rsidR="00276BC7" w:rsidRPr="00AB6B77" w:rsidRDefault="00276BC7" w:rsidP="00073A4A">
            <w:pPr>
              <w:pStyle w:val="Tabletext"/>
            </w:pPr>
            <w:r w:rsidRPr="00AB6B77">
              <w:t>Anxiety</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0E19B986" w14:textId="77777777" w:rsidR="00276BC7" w:rsidRPr="00AB6B77" w:rsidRDefault="00276BC7" w:rsidP="00073A4A">
            <w:pPr>
              <w:pStyle w:val="Tabletext"/>
            </w:pPr>
            <w:r w:rsidRPr="00AB6B77">
              <w:t>7 (3.3%)</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BEEFEBC" w14:textId="77777777" w:rsidR="00276BC7" w:rsidRPr="00AB6B77" w:rsidRDefault="00276BC7" w:rsidP="00073A4A">
            <w:pPr>
              <w:pStyle w:val="Tabletext"/>
            </w:pPr>
            <w:r w:rsidRPr="00AB6B77">
              <w:t>6 (2.8%)</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6AAF167C" w14:textId="77777777" w:rsidR="00276BC7" w:rsidRPr="00AB6B77" w:rsidRDefault="00276BC7" w:rsidP="00073A4A">
            <w:pPr>
              <w:pStyle w:val="Tabletext"/>
            </w:pPr>
            <w:r w:rsidRPr="00AB6B77">
              <w:t>13 (3.0%)</w:t>
            </w:r>
          </w:p>
        </w:tc>
      </w:tr>
      <w:tr w:rsidR="00276BC7" w:rsidRPr="00276BC7" w14:paraId="6F789456" w14:textId="77777777" w:rsidTr="001566B2">
        <w:trPr>
          <w:jc w:val="center"/>
        </w:trPr>
        <w:tc>
          <w:tcPr>
            <w:tcW w:w="1918" w:type="dxa"/>
            <w:tcBorders>
              <w:left w:val="single" w:sz="4" w:space="0" w:color="auto"/>
              <w:right w:val="single" w:sz="4" w:space="0" w:color="auto"/>
            </w:tcBorders>
            <w:shd w:val="clear" w:color="auto" w:fill="FFFFFF"/>
            <w:tcMar>
              <w:left w:w="67" w:type="dxa"/>
              <w:right w:w="67" w:type="dxa"/>
            </w:tcMar>
          </w:tcPr>
          <w:p w14:paraId="14DA01A4"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0A7DBF1B" w14:textId="77777777" w:rsidR="00276BC7" w:rsidRPr="00AB6B77" w:rsidRDefault="00276BC7" w:rsidP="00073A4A">
            <w:pPr>
              <w:pStyle w:val="Tabletext"/>
            </w:pPr>
            <w:r w:rsidRPr="00AB6B77">
              <w:t>Depression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5193013" w14:textId="77777777" w:rsidR="00276BC7" w:rsidRPr="00AB6B77" w:rsidRDefault="00276BC7" w:rsidP="00073A4A">
            <w:pPr>
              <w:pStyle w:val="Tabletext"/>
            </w:pPr>
            <w:r w:rsidRPr="00AB6B77">
              <w:t>2 (0.9%)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02560466"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8F37913" w14:textId="77777777" w:rsidR="00276BC7" w:rsidRPr="00AB6B77" w:rsidRDefault="00276BC7" w:rsidP="00073A4A">
            <w:pPr>
              <w:pStyle w:val="Tabletext"/>
            </w:pPr>
            <w:r w:rsidRPr="00AB6B77">
              <w:t>5 (1.2%)</w:t>
            </w:r>
          </w:p>
        </w:tc>
      </w:tr>
      <w:tr w:rsidR="00276BC7" w:rsidRPr="00276BC7" w14:paraId="01CD9D18" w14:textId="77777777" w:rsidTr="001566B2">
        <w:trPr>
          <w:jc w:val="center"/>
        </w:trPr>
        <w:tc>
          <w:tcPr>
            <w:tcW w:w="1918" w:type="dxa"/>
            <w:tcBorders>
              <w:left w:val="single" w:sz="4" w:space="0" w:color="auto"/>
              <w:right w:val="single" w:sz="4" w:space="0" w:color="auto"/>
            </w:tcBorders>
            <w:shd w:val="clear" w:color="auto" w:fill="FFFFFF"/>
            <w:tcMar>
              <w:left w:w="67" w:type="dxa"/>
              <w:right w:w="67" w:type="dxa"/>
            </w:tcMar>
          </w:tcPr>
          <w:p w14:paraId="7FDF8E31"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3E5EDDD2" w14:textId="77777777" w:rsidR="00276BC7" w:rsidRPr="00AB6B77" w:rsidRDefault="00276BC7" w:rsidP="00073A4A">
            <w:pPr>
              <w:pStyle w:val="Tabletext"/>
            </w:pPr>
            <w:r w:rsidRPr="00AB6B77">
              <w:t>Insomnia</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58708A0B" w14:textId="77777777" w:rsidR="00276BC7" w:rsidRPr="00AB6B77" w:rsidRDefault="00276BC7" w:rsidP="00073A4A">
            <w:pPr>
              <w:pStyle w:val="Tabletext"/>
            </w:pPr>
            <w:r w:rsidRPr="00AB6B77">
              <w:t>6 (2.8%)</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706CB025" w14:textId="77777777" w:rsidR="00276BC7" w:rsidRPr="00AB6B77" w:rsidRDefault="00276BC7" w:rsidP="00073A4A">
            <w:pPr>
              <w:pStyle w:val="Tabletext"/>
            </w:pPr>
            <w:r w:rsidRPr="00AB6B77">
              <w:t>12 (5.6%)</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14AE67B7" w14:textId="77777777" w:rsidR="00276BC7" w:rsidRPr="00AB6B77" w:rsidRDefault="00276BC7" w:rsidP="00073A4A">
            <w:pPr>
              <w:pStyle w:val="Tabletext"/>
            </w:pPr>
            <w:r w:rsidRPr="00AB6B77">
              <w:t>18 (4.2%)</w:t>
            </w:r>
          </w:p>
        </w:tc>
      </w:tr>
      <w:tr w:rsidR="00276BC7" w:rsidRPr="00276BC7" w14:paraId="15377DCD" w14:textId="77777777" w:rsidTr="001566B2">
        <w:trPr>
          <w:jc w:val="center"/>
        </w:trPr>
        <w:tc>
          <w:tcPr>
            <w:tcW w:w="1918" w:type="dxa"/>
            <w:tcBorders>
              <w:left w:val="single" w:sz="4" w:space="0" w:color="auto"/>
              <w:bottom w:val="single" w:sz="4" w:space="0" w:color="auto"/>
              <w:right w:val="single" w:sz="4" w:space="0" w:color="auto"/>
            </w:tcBorders>
            <w:shd w:val="clear" w:color="auto" w:fill="FFFFFF"/>
            <w:tcMar>
              <w:left w:w="67" w:type="dxa"/>
              <w:right w:w="67" w:type="dxa"/>
            </w:tcMar>
          </w:tcPr>
          <w:p w14:paraId="48104B61"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3428A1C8" w14:textId="77777777" w:rsidR="00276BC7" w:rsidRPr="00AB6B77" w:rsidRDefault="00276BC7" w:rsidP="00073A4A">
            <w:pPr>
              <w:pStyle w:val="Tabletext"/>
            </w:pPr>
            <w:r w:rsidRPr="00AB6B77">
              <w:t>Libido decreased</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15D34276"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4A9634F" w14:textId="77777777" w:rsidR="00276BC7" w:rsidRPr="00AB6B77" w:rsidRDefault="00276BC7" w:rsidP="00073A4A">
            <w:pPr>
              <w:pStyle w:val="Tabletext"/>
            </w:pPr>
            <w:r w:rsidRPr="00AB6B77">
              <w:t>0 (0.0%)</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5153C19D" w14:textId="77777777" w:rsidR="00276BC7" w:rsidRPr="00AB6B77" w:rsidRDefault="00276BC7" w:rsidP="00073A4A">
            <w:pPr>
              <w:pStyle w:val="Tabletext"/>
            </w:pPr>
            <w:r w:rsidRPr="00AB6B77">
              <w:t>3 (0.7%)</w:t>
            </w:r>
          </w:p>
        </w:tc>
      </w:tr>
      <w:tr w:rsidR="00276BC7" w:rsidRPr="00276BC7" w14:paraId="522E57DB"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0CE1EC2E" w14:textId="77777777" w:rsidR="00276BC7" w:rsidRPr="00AB6B77" w:rsidRDefault="00276BC7" w:rsidP="00073A4A">
            <w:pPr>
              <w:pStyle w:val="Tabletext"/>
            </w:pPr>
            <w:r w:rsidRPr="00AB6B77">
              <w:t>Respiratory, thoracic and mediastinal disorders</w:t>
            </w:r>
          </w:p>
        </w:tc>
      </w:tr>
      <w:tr w:rsidR="00276BC7" w:rsidRPr="00276BC7" w14:paraId="50EF7264" w14:textId="77777777" w:rsidTr="001566B2">
        <w:trPr>
          <w:jc w:val="center"/>
        </w:trPr>
        <w:tc>
          <w:tcPr>
            <w:tcW w:w="1918" w:type="dxa"/>
            <w:tcBorders>
              <w:top w:val="single" w:sz="4" w:space="0" w:color="auto"/>
              <w:left w:val="single" w:sz="4" w:space="0" w:color="auto"/>
              <w:right w:val="single" w:sz="4" w:space="0" w:color="auto"/>
            </w:tcBorders>
            <w:shd w:val="clear" w:color="auto" w:fill="FFFFFF"/>
            <w:tcMar>
              <w:left w:w="67" w:type="dxa"/>
              <w:right w:w="67" w:type="dxa"/>
            </w:tcMar>
          </w:tcPr>
          <w:p w14:paraId="56ED60C5" w14:textId="77777777" w:rsidR="00276BC7" w:rsidRPr="00F97A1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6BA65B34" w14:textId="77777777" w:rsidR="00276BC7" w:rsidRPr="00F97A17" w:rsidRDefault="00276BC7" w:rsidP="00073A4A">
            <w:pPr>
              <w:pStyle w:val="Tabletext"/>
            </w:pPr>
            <w:r w:rsidRPr="00F97A17">
              <w:t>Cough</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805BA79" w14:textId="77777777" w:rsidR="00276BC7" w:rsidRPr="00F97A17" w:rsidRDefault="00276BC7" w:rsidP="00073A4A">
            <w:pPr>
              <w:pStyle w:val="Tabletext"/>
            </w:pPr>
            <w:r w:rsidRPr="00F97A17">
              <w:t>2 (0.9%)</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3ECF930B" w14:textId="77777777" w:rsidR="00276BC7" w:rsidRPr="00F97A17" w:rsidRDefault="00276BC7" w:rsidP="00073A4A">
            <w:pPr>
              <w:pStyle w:val="Tabletext"/>
            </w:pPr>
            <w:r w:rsidRPr="00F97A17">
              <w:t>4 (1.9%)</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3C48D3BB" w14:textId="77777777" w:rsidR="00276BC7" w:rsidRPr="00F97A17" w:rsidRDefault="00276BC7" w:rsidP="00073A4A">
            <w:pPr>
              <w:pStyle w:val="Tabletext"/>
            </w:pPr>
            <w:r w:rsidRPr="00F97A17">
              <w:t>6 (1.4%)</w:t>
            </w:r>
          </w:p>
        </w:tc>
      </w:tr>
      <w:tr w:rsidR="00276BC7" w:rsidRPr="00276BC7" w14:paraId="3789E792" w14:textId="77777777" w:rsidTr="001566B2">
        <w:trPr>
          <w:jc w:val="center"/>
        </w:trPr>
        <w:tc>
          <w:tcPr>
            <w:tcW w:w="1918" w:type="dxa"/>
            <w:tcBorders>
              <w:top w:val="nil"/>
              <w:left w:val="single" w:sz="4" w:space="0" w:color="auto"/>
              <w:bottom w:val="single" w:sz="4" w:space="0" w:color="auto"/>
              <w:right w:val="single" w:sz="4" w:space="0" w:color="auto"/>
            </w:tcBorders>
            <w:shd w:val="clear" w:color="auto" w:fill="FFFFFF"/>
            <w:tcMar>
              <w:left w:w="67" w:type="dxa"/>
              <w:right w:w="67" w:type="dxa"/>
            </w:tcMar>
          </w:tcPr>
          <w:p w14:paraId="0D044EC8" w14:textId="77777777" w:rsidR="00276BC7" w:rsidRPr="00AB6B77" w:rsidRDefault="00276BC7" w:rsidP="00073A4A">
            <w:pPr>
              <w:pStyle w:val="Tabletext"/>
            </w:pPr>
          </w:p>
        </w:tc>
        <w:tc>
          <w:tcPr>
            <w:tcW w:w="3543" w:type="dxa"/>
            <w:tcBorders>
              <w:top w:val="nil"/>
              <w:left w:val="single" w:sz="4" w:space="0" w:color="auto"/>
              <w:bottom w:val="single" w:sz="4" w:space="0" w:color="000000"/>
              <w:right w:val="nil"/>
            </w:tcBorders>
            <w:shd w:val="clear" w:color="auto" w:fill="FFFFFF"/>
            <w:tcMar>
              <w:left w:w="67" w:type="dxa"/>
              <w:right w:w="67" w:type="dxa"/>
            </w:tcMar>
          </w:tcPr>
          <w:p w14:paraId="794F0A12" w14:textId="77777777" w:rsidR="00276BC7" w:rsidRPr="00AB6B77" w:rsidRDefault="00276BC7" w:rsidP="00073A4A">
            <w:pPr>
              <w:pStyle w:val="Tabletext"/>
            </w:pPr>
            <w:r w:rsidRPr="00AB6B77">
              <w:t>Nasal congestion</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8425650" w14:textId="77777777" w:rsidR="00276BC7" w:rsidRPr="00AB6B77" w:rsidRDefault="00276BC7" w:rsidP="00073A4A">
            <w:pPr>
              <w:pStyle w:val="Tabletext"/>
            </w:pPr>
            <w:r w:rsidRPr="00AB6B77">
              <w:t>0 (0.0%)</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53F62BFB" w14:textId="77777777" w:rsidR="00276BC7" w:rsidRPr="00AB6B77" w:rsidRDefault="00276BC7" w:rsidP="00073A4A">
            <w:pPr>
              <w:pStyle w:val="Tabletext"/>
            </w:pPr>
            <w:r w:rsidRPr="00AB6B77">
              <w:t>3 (1.4%)</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26020BC2" w14:textId="77777777" w:rsidR="00276BC7" w:rsidRPr="00AB6B77" w:rsidRDefault="00276BC7" w:rsidP="00073A4A">
            <w:pPr>
              <w:pStyle w:val="Tabletext"/>
            </w:pPr>
            <w:r w:rsidRPr="00AB6B77">
              <w:t>3 (0.7%)</w:t>
            </w:r>
          </w:p>
        </w:tc>
      </w:tr>
      <w:tr w:rsidR="00276BC7" w:rsidRPr="00276BC7" w14:paraId="60876DF0" w14:textId="77777777" w:rsidTr="001566B2">
        <w:trPr>
          <w:jc w:val="center"/>
        </w:trPr>
        <w:tc>
          <w:tcPr>
            <w:tcW w:w="9458" w:type="dxa"/>
            <w:gridSpan w:val="5"/>
            <w:tcBorders>
              <w:top w:val="nil"/>
              <w:left w:val="single" w:sz="4" w:space="0" w:color="000000"/>
              <w:bottom w:val="single" w:sz="4" w:space="0" w:color="000000"/>
              <w:right w:val="single" w:sz="4" w:space="0" w:color="000000"/>
            </w:tcBorders>
            <w:shd w:val="clear" w:color="auto" w:fill="FFFFFF"/>
            <w:tcMar>
              <w:left w:w="67" w:type="dxa"/>
              <w:right w:w="67" w:type="dxa"/>
            </w:tcMar>
          </w:tcPr>
          <w:p w14:paraId="40859A90" w14:textId="77777777" w:rsidR="00276BC7" w:rsidRPr="00AB6B77" w:rsidRDefault="00276BC7" w:rsidP="00073A4A">
            <w:pPr>
              <w:pStyle w:val="Tabletext"/>
            </w:pPr>
            <w:r w:rsidRPr="00AB6B77">
              <w:t>Skin and subcutaneous tissue disorders</w:t>
            </w:r>
          </w:p>
        </w:tc>
      </w:tr>
      <w:tr w:rsidR="00276BC7" w:rsidRPr="00276BC7" w14:paraId="165B1859" w14:textId="77777777" w:rsidTr="001566B2">
        <w:trPr>
          <w:jc w:val="center"/>
        </w:trPr>
        <w:tc>
          <w:tcPr>
            <w:tcW w:w="1918" w:type="dxa"/>
            <w:tcBorders>
              <w:top w:val="nil"/>
              <w:left w:val="single" w:sz="4" w:space="0" w:color="000000"/>
              <w:bottom w:val="single" w:sz="4" w:space="0" w:color="000000"/>
              <w:right w:val="nil"/>
            </w:tcBorders>
            <w:shd w:val="clear" w:color="auto" w:fill="FFFFFF"/>
            <w:tcMar>
              <w:left w:w="67" w:type="dxa"/>
              <w:right w:w="67" w:type="dxa"/>
            </w:tcMar>
          </w:tcPr>
          <w:p w14:paraId="4691720B" w14:textId="77777777" w:rsidR="00276BC7" w:rsidRPr="00AB6B77" w:rsidRDefault="00276BC7" w:rsidP="00073A4A">
            <w:pPr>
              <w:pStyle w:val="Tabletext"/>
            </w:pPr>
          </w:p>
        </w:tc>
        <w:tc>
          <w:tcPr>
            <w:tcW w:w="3543" w:type="dxa"/>
            <w:tcBorders>
              <w:top w:val="nil"/>
              <w:left w:val="single" w:sz="4" w:space="0" w:color="000000"/>
              <w:bottom w:val="single" w:sz="4" w:space="0" w:color="000000"/>
              <w:right w:val="nil"/>
            </w:tcBorders>
            <w:shd w:val="clear" w:color="auto" w:fill="FFFFFF"/>
            <w:tcMar>
              <w:left w:w="67" w:type="dxa"/>
              <w:right w:w="67" w:type="dxa"/>
            </w:tcMar>
          </w:tcPr>
          <w:p w14:paraId="54D0F260" w14:textId="77777777" w:rsidR="00276BC7" w:rsidRPr="00AB6B77" w:rsidRDefault="00276BC7" w:rsidP="00073A4A">
            <w:pPr>
              <w:pStyle w:val="Tabletext"/>
            </w:pPr>
            <w:r w:rsidRPr="00AB6B77">
              <w:t>Hyperhidrosis</w:t>
            </w:r>
          </w:p>
        </w:tc>
        <w:tc>
          <w:tcPr>
            <w:tcW w:w="1276" w:type="dxa"/>
            <w:tcBorders>
              <w:top w:val="nil"/>
              <w:left w:val="single" w:sz="4" w:space="0" w:color="000000"/>
              <w:bottom w:val="single" w:sz="4" w:space="0" w:color="000000"/>
              <w:right w:val="nil"/>
            </w:tcBorders>
            <w:shd w:val="clear" w:color="auto" w:fill="FFFFFF"/>
            <w:tcMar>
              <w:left w:w="67" w:type="dxa"/>
              <w:right w:w="67" w:type="dxa"/>
            </w:tcMar>
          </w:tcPr>
          <w:p w14:paraId="6EEF39AB" w14:textId="77777777" w:rsidR="00276BC7" w:rsidRPr="00AB6B77" w:rsidRDefault="00276BC7" w:rsidP="00073A4A">
            <w:pPr>
              <w:pStyle w:val="Tabletext"/>
            </w:pPr>
            <w:r w:rsidRPr="00AB6B77">
              <w:t>3 (1.4%)</w:t>
            </w:r>
          </w:p>
        </w:tc>
        <w:tc>
          <w:tcPr>
            <w:tcW w:w="1417" w:type="dxa"/>
            <w:tcBorders>
              <w:top w:val="nil"/>
              <w:left w:val="single" w:sz="4" w:space="0" w:color="000000"/>
              <w:bottom w:val="single" w:sz="4" w:space="0" w:color="000000"/>
              <w:right w:val="nil"/>
            </w:tcBorders>
            <w:shd w:val="clear" w:color="auto" w:fill="FFFFFF"/>
            <w:tcMar>
              <w:left w:w="67" w:type="dxa"/>
              <w:right w:w="67" w:type="dxa"/>
            </w:tcMar>
          </w:tcPr>
          <w:p w14:paraId="6A844B6E" w14:textId="77777777" w:rsidR="00276BC7" w:rsidRPr="00AB6B77" w:rsidRDefault="00276BC7" w:rsidP="00073A4A">
            <w:pPr>
              <w:pStyle w:val="Tabletext"/>
            </w:pPr>
            <w:r w:rsidRPr="00AB6B77">
              <w:t>1 (0.5%)</w:t>
            </w:r>
          </w:p>
        </w:tc>
        <w:tc>
          <w:tcPr>
            <w:tcW w:w="1304" w:type="dxa"/>
            <w:tcBorders>
              <w:top w:val="nil"/>
              <w:left w:val="single" w:sz="4" w:space="0" w:color="000000"/>
              <w:bottom w:val="single" w:sz="4" w:space="0" w:color="000000"/>
              <w:right w:val="single" w:sz="4" w:space="0" w:color="000000"/>
            </w:tcBorders>
            <w:shd w:val="clear" w:color="auto" w:fill="FFFFFF"/>
            <w:tcMar>
              <w:left w:w="67" w:type="dxa"/>
              <w:right w:w="67" w:type="dxa"/>
            </w:tcMar>
          </w:tcPr>
          <w:p w14:paraId="704EB3F8" w14:textId="77777777" w:rsidR="00276BC7" w:rsidRPr="00AB6B77" w:rsidRDefault="00276BC7" w:rsidP="00073A4A">
            <w:pPr>
              <w:pStyle w:val="Tabletext"/>
            </w:pPr>
            <w:r w:rsidRPr="00AB6B77">
              <w:t>4 (0.9%)</w:t>
            </w:r>
          </w:p>
        </w:tc>
      </w:tr>
      <w:bookmarkEnd w:id="3"/>
    </w:tbl>
    <w:p w14:paraId="74432BE3" w14:textId="0B0E18C0" w:rsidR="0059009B" w:rsidRDefault="0059009B" w:rsidP="00AB6B77"/>
    <w:p w14:paraId="191FA524" w14:textId="6AA79A78" w:rsidR="001566B2" w:rsidRPr="00073A4A" w:rsidRDefault="001566B2" w:rsidP="00073A4A">
      <w:pPr>
        <w:pStyle w:val="Caption"/>
      </w:pPr>
      <w:r w:rsidRPr="00073A4A">
        <w:t xml:space="preserve">Table </w:t>
      </w:r>
      <w:r w:rsidR="00AB6B77" w:rsidRPr="00073A4A">
        <w:t>4</w:t>
      </w:r>
      <w:r w:rsidRPr="00073A4A">
        <w:t xml:space="preserve"> Summary of Uncommon (&lt;1%) Adverse Reactions observed in the pivotal phase 3 efficacy </w:t>
      </w:r>
      <w:r w:rsidRPr="00073A4A">
        <w:lastRenderedPageBreak/>
        <w:t>clinical trial (HS-11-421 safety population listed by body system</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1566B2" w:rsidRPr="001566B2" w14:paraId="46C174B2" w14:textId="77777777" w:rsidTr="001566B2">
        <w:tc>
          <w:tcPr>
            <w:tcW w:w="4962" w:type="dxa"/>
            <w:shd w:val="clear" w:color="auto" w:fill="auto"/>
          </w:tcPr>
          <w:p w14:paraId="149196DA" w14:textId="77777777" w:rsidR="001566B2" w:rsidRPr="00AB6B77" w:rsidRDefault="001566B2" w:rsidP="00073A4A">
            <w:pPr>
              <w:pStyle w:val="TableHeader"/>
              <w:rPr>
                <w:lang w:val="en-US"/>
              </w:rPr>
            </w:pPr>
            <w:r w:rsidRPr="00AB6B77">
              <w:t>System Organ Class</w:t>
            </w:r>
          </w:p>
        </w:tc>
        <w:tc>
          <w:tcPr>
            <w:tcW w:w="4536" w:type="dxa"/>
            <w:shd w:val="clear" w:color="auto" w:fill="auto"/>
          </w:tcPr>
          <w:p w14:paraId="3054F82C" w14:textId="77777777" w:rsidR="001566B2" w:rsidRPr="00AB6B77" w:rsidRDefault="001566B2" w:rsidP="00073A4A">
            <w:pPr>
              <w:pStyle w:val="TableHeader"/>
              <w:rPr>
                <w:lang w:val="en-US" w:eastAsia="sv-SE"/>
              </w:rPr>
            </w:pPr>
            <w:r w:rsidRPr="00AB6B77">
              <w:rPr>
                <w:bCs/>
                <w:lang w:val="en-US" w:eastAsia="sv-SE"/>
              </w:rPr>
              <w:t>Uncommon</w:t>
            </w:r>
            <w:r w:rsidRPr="00AB6B77">
              <w:rPr>
                <w:bCs/>
                <w:lang w:eastAsia="sv-SE"/>
              </w:rPr>
              <w:t xml:space="preserve"> </w:t>
            </w:r>
            <w:r w:rsidRPr="00AB6B77">
              <w:rPr>
                <w:noProof/>
              </w:rPr>
              <w:t>(≥</w:t>
            </w:r>
            <w:r w:rsidRPr="00AB6B77">
              <w:rPr>
                <w:rFonts w:hint="eastAsia"/>
                <w:noProof/>
              </w:rPr>
              <w:t> </w:t>
            </w:r>
            <w:r w:rsidRPr="00AB6B77">
              <w:rPr>
                <w:noProof/>
              </w:rPr>
              <w:t>1/1000 to &lt;</w:t>
            </w:r>
            <w:r w:rsidRPr="00AB6B77">
              <w:rPr>
                <w:rFonts w:hint="eastAsia"/>
                <w:noProof/>
              </w:rPr>
              <w:t> </w:t>
            </w:r>
            <w:r w:rsidRPr="00AB6B77">
              <w:rPr>
                <w:noProof/>
              </w:rPr>
              <w:t>1/100)</w:t>
            </w:r>
          </w:p>
        </w:tc>
      </w:tr>
      <w:tr w:rsidR="001566B2" w:rsidRPr="001566B2" w14:paraId="467A6B8B" w14:textId="77777777" w:rsidTr="001566B2">
        <w:tc>
          <w:tcPr>
            <w:tcW w:w="4962" w:type="dxa"/>
            <w:shd w:val="clear" w:color="auto" w:fill="auto"/>
            <w:hideMark/>
          </w:tcPr>
          <w:p w14:paraId="06A699CC" w14:textId="77777777" w:rsidR="001566B2" w:rsidRPr="00AB6B77" w:rsidRDefault="001566B2" w:rsidP="00073A4A">
            <w:pPr>
              <w:pStyle w:val="Tabletext"/>
            </w:pPr>
            <w:r w:rsidRPr="00AB6B77">
              <w:t>Infections and infestations</w:t>
            </w:r>
          </w:p>
        </w:tc>
        <w:tc>
          <w:tcPr>
            <w:tcW w:w="4536" w:type="dxa"/>
            <w:shd w:val="clear" w:color="auto" w:fill="auto"/>
          </w:tcPr>
          <w:p w14:paraId="4066E560" w14:textId="77777777" w:rsidR="001566B2" w:rsidRPr="00AB6B77" w:rsidRDefault="001566B2" w:rsidP="00073A4A">
            <w:pPr>
              <w:pStyle w:val="Tabletext"/>
            </w:pPr>
            <w:r w:rsidRPr="00AB6B77">
              <w:t xml:space="preserve">Injection site cellulitis </w:t>
            </w:r>
          </w:p>
        </w:tc>
      </w:tr>
      <w:tr w:rsidR="001566B2" w:rsidRPr="001566B2" w14:paraId="7E78424A" w14:textId="77777777" w:rsidTr="001566B2">
        <w:tc>
          <w:tcPr>
            <w:tcW w:w="4962" w:type="dxa"/>
            <w:shd w:val="clear" w:color="auto" w:fill="auto"/>
            <w:hideMark/>
          </w:tcPr>
          <w:p w14:paraId="617C7AE7" w14:textId="77777777" w:rsidR="001566B2" w:rsidRPr="00AB6B77" w:rsidRDefault="001566B2" w:rsidP="00073A4A">
            <w:pPr>
              <w:pStyle w:val="Tabletext"/>
            </w:pPr>
            <w:r w:rsidRPr="00AB6B77">
              <w:t>Psychiatric disorders</w:t>
            </w:r>
          </w:p>
        </w:tc>
        <w:tc>
          <w:tcPr>
            <w:tcW w:w="4536" w:type="dxa"/>
            <w:shd w:val="clear" w:color="auto" w:fill="auto"/>
          </w:tcPr>
          <w:p w14:paraId="7F83CDBA" w14:textId="77777777" w:rsidR="001566B2" w:rsidRPr="00AB6B77" w:rsidRDefault="001566B2" w:rsidP="00073A4A">
            <w:pPr>
              <w:pStyle w:val="Tabletext"/>
            </w:pPr>
            <w:r w:rsidRPr="00AB6B77">
              <w:t>Anxiety</w:t>
            </w:r>
          </w:p>
        </w:tc>
      </w:tr>
      <w:tr w:rsidR="001566B2" w:rsidRPr="001566B2" w14:paraId="57EEF466" w14:textId="77777777" w:rsidTr="001566B2">
        <w:tc>
          <w:tcPr>
            <w:tcW w:w="4962" w:type="dxa"/>
            <w:shd w:val="clear" w:color="auto" w:fill="auto"/>
            <w:hideMark/>
          </w:tcPr>
          <w:p w14:paraId="66941C79" w14:textId="77777777" w:rsidR="001566B2" w:rsidRPr="00AB6B77" w:rsidRDefault="001566B2" w:rsidP="00073A4A">
            <w:pPr>
              <w:pStyle w:val="Tabletext"/>
            </w:pPr>
            <w:r w:rsidRPr="00AB6B77">
              <w:t>Nervous system disorders</w:t>
            </w:r>
          </w:p>
        </w:tc>
        <w:tc>
          <w:tcPr>
            <w:tcW w:w="4536" w:type="dxa"/>
            <w:shd w:val="clear" w:color="auto" w:fill="auto"/>
          </w:tcPr>
          <w:p w14:paraId="5B153715" w14:textId="77777777" w:rsidR="001566B2" w:rsidRPr="00AB6B77" w:rsidRDefault="001566B2" w:rsidP="00073A4A">
            <w:pPr>
              <w:pStyle w:val="Tabletext"/>
            </w:pPr>
            <w:r w:rsidRPr="00AB6B77">
              <w:t>Dizziness</w:t>
            </w:r>
            <w:r w:rsidRPr="00AB6B77">
              <w:br/>
              <w:t>Sedation</w:t>
            </w:r>
            <w:r w:rsidRPr="00AB6B77">
              <w:br/>
              <w:t>Somnolence</w:t>
            </w:r>
          </w:p>
        </w:tc>
      </w:tr>
      <w:tr w:rsidR="001566B2" w:rsidRPr="001566B2" w14:paraId="47487F85" w14:textId="77777777" w:rsidTr="001566B2">
        <w:tc>
          <w:tcPr>
            <w:tcW w:w="4962" w:type="dxa"/>
            <w:shd w:val="clear" w:color="auto" w:fill="auto"/>
            <w:hideMark/>
          </w:tcPr>
          <w:p w14:paraId="0522C9BF" w14:textId="77777777" w:rsidR="001566B2" w:rsidRPr="00AB6B77" w:rsidRDefault="001566B2" w:rsidP="00073A4A">
            <w:pPr>
              <w:pStyle w:val="Tabletext"/>
              <w:rPr>
                <w:lang w:val="sv-SE"/>
              </w:rPr>
            </w:pPr>
            <w:r w:rsidRPr="00AB6B77">
              <w:rPr>
                <w:lang w:val="sv-SE"/>
              </w:rPr>
              <w:t>Ear and labyrinth disorders</w:t>
            </w:r>
          </w:p>
        </w:tc>
        <w:tc>
          <w:tcPr>
            <w:tcW w:w="4536" w:type="dxa"/>
            <w:shd w:val="clear" w:color="auto" w:fill="auto"/>
          </w:tcPr>
          <w:p w14:paraId="22A24BF3" w14:textId="77777777" w:rsidR="001566B2" w:rsidRPr="00AB6B77" w:rsidRDefault="001566B2" w:rsidP="00073A4A">
            <w:pPr>
              <w:pStyle w:val="Tabletext"/>
              <w:rPr>
                <w:lang w:val="sv-SE"/>
              </w:rPr>
            </w:pPr>
            <w:r w:rsidRPr="00AB6B77">
              <w:rPr>
                <w:lang w:val="sv-SE"/>
              </w:rPr>
              <w:t>Vertigo</w:t>
            </w:r>
          </w:p>
        </w:tc>
      </w:tr>
      <w:tr w:rsidR="001566B2" w:rsidRPr="001566B2" w14:paraId="3C723174" w14:textId="77777777" w:rsidTr="001566B2">
        <w:tc>
          <w:tcPr>
            <w:tcW w:w="4962" w:type="dxa"/>
            <w:shd w:val="clear" w:color="auto" w:fill="auto"/>
            <w:hideMark/>
          </w:tcPr>
          <w:p w14:paraId="4350EDC7" w14:textId="77777777" w:rsidR="001566B2" w:rsidRPr="00AB6B77" w:rsidRDefault="001566B2" w:rsidP="00073A4A">
            <w:pPr>
              <w:pStyle w:val="Tabletext"/>
            </w:pPr>
            <w:r w:rsidRPr="00AB6B77">
              <w:t>Gastrointestinal disorders</w:t>
            </w:r>
          </w:p>
        </w:tc>
        <w:tc>
          <w:tcPr>
            <w:tcW w:w="4536" w:type="dxa"/>
            <w:shd w:val="clear" w:color="auto" w:fill="auto"/>
          </w:tcPr>
          <w:p w14:paraId="12BECAAE" w14:textId="77777777" w:rsidR="001566B2" w:rsidRPr="00AB6B77" w:rsidRDefault="001566B2" w:rsidP="00073A4A">
            <w:pPr>
              <w:pStyle w:val="Tabletext"/>
            </w:pPr>
            <w:r w:rsidRPr="00AB6B77">
              <w:t>Diarrhoea</w:t>
            </w:r>
            <w:r w:rsidRPr="00AB6B77">
              <w:br/>
              <w:t>Dry mouth</w:t>
            </w:r>
          </w:p>
        </w:tc>
      </w:tr>
      <w:tr w:rsidR="001566B2" w:rsidRPr="001566B2" w14:paraId="7F222EC2" w14:textId="77777777" w:rsidTr="001566B2">
        <w:tc>
          <w:tcPr>
            <w:tcW w:w="4962" w:type="dxa"/>
            <w:shd w:val="clear" w:color="auto" w:fill="auto"/>
          </w:tcPr>
          <w:p w14:paraId="03E00A7B" w14:textId="77777777" w:rsidR="001566B2" w:rsidRPr="00AB6B77" w:rsidRDefault="001566B2" w:rsidP="00073A4A">
            <w:pPr>
              <w:pStyle w:val="Tabletext"/>
            </w:pPr>
            <w:r w:rsidRPr="00AB6B77">
              <w:t>Hepatobiliary disorders</w:t>
            </w:r>
          </w:p>
        </w:tc>
        <w:tc>
          <w:tcPr>
            <w:tcW w:w="4536" w:type="dxa"/>
            <w:shd w:val="clear" w:color="auto" w:fill="auto"/>
          </w:tcPr>
          <w:p w14:paraId="44FED445" w14:textId="77777777" w:rsidR="001566B2" w:rsidRPr="00AB6B77" w:rsidRDefault="001566B2" w:rsidP="00073A4A">
            <w:pPr>
              <w:pStyle w:val="Tabletext"/>
            </w:pPr>
            <w:r w:rsidRPr="00AB6B77">
              <w:t>Alanine aminotransferase increased</w:t>
            </w:r>
            <w:r w:rsidRPr="00AB6B77">
              <w:br/>
              <w:t>Aspartate aminotransferase increased</w:t>
            </w:r>
            <w:r w:rsidRPr="00AB6B77">
              <w:br/>
              <w:t>Hepatic enzymes increased</w:t>
            </w:r>
          </w:p>
        </w:tc>
      </w:tr>
      <w:tr w:rsidR="001566B2" w:rsidRPr="001566B2" w14:paraId="77F3D380" w14:textId="77777777" w:rsidTr="001566B2">
        <w:tc>
          <w:tcPr>
            <w:tcW w:w="4962" w:type="dxa"/>
            <w:shd w:val="clear" w:color="auto" w:fill="auto"/>
            <w:hideMark/>
          </w:tcPr>
          <w:p w14:paraId="5D68C48E" w14:textId="77777777" w:rsidR="001566B2" w:rsidRPr="00AB6B77" w:rsidRDefault="001566B2" w:rsidP="00073A4A">
            <w:pPr>
              <w:pStyle w:val="Tabletext"/>
            </w:pPr>
            <w:r w:rsidRPr="00AB6B77">
              <w:t>Skin and subcutaneous tissue disorders</w:t>
            </w:r>
          </w:p>
        </w:tc>
        <w:tc>
          <w:tcPr>
            <w:tcW w:w="4536" w:type="dxa"/>
            <w:shd w:val="clear" w:color="auto" w:fill="auto"/>
          </w:tcPr>
          <w:p w14:paraId="17497400" w14:textId="77777777" w:rsidR="001566B2" w:rsidRPr="00AB6B77" w:rsidRDefault="001566B2" w:rsidP="00073A4A">
            <w:pPr>
              <w:pStyle w:val="Tabletext"/>
            </w:pPr>
            <w:r w:rsidRPr="00AB6B77">
              <w:t>Rash macular</w:t>
            </w:r>
          </w:p>
        </w:tc>
      </w:tr>
      <w:tr w:rsidR="001566B2" w:rsidRPr="001566B2" w14:paraId="510C061B" w14:textId="77777777" w:rsidTr="001566B2">
        <w:tc>
          <w:tcPr>
            <w:tcW w:w="4962" w:type="dxa"/>
            <w:shd w:val="clear" w:color="auto" w:fill="auto"/>
            <w:hideMark/>
          </w:tcPr>
          <w:p w14:paraId="6005DBD8" w14:textId="77777777" w:rsidR="001566B2" w:rsidRPr="00AB6B77" w:rsidRDefault="001566B2" w:rsidP="00073A4A">
            <w:pPr>
              <w:pStyle w:val="Tabletext"/>
            </w:pPr>
            <w:r w:rsidRPr="00AB6B77">
              <w:t>Musculoskeletal and connective tissue disorders</w:t>
            </w:r>
          </w:p>
        </w:tc>
        <w:tc>
          <w:tcPr>
            <w:tcW w:w="4536" w:type="dxa"/>
            <w:shd w:val="clear" w:color="auto" w:fill="auto"/>
          </w:tcPr>
          <w:p w14:paraId="5BCFE188" w14:textId="77777777" w:rsidR="001566B2" w:rsidRPr="00AB6B77" w:rsidRDefault="001566B2" w:rsidP="00073A4A">
            <w:pPr>
              <w:pStyle w:val="Tabletext"/>
            </w:pPr>
            <w:r w:rsidRPr="00AB6B77">
              <w:t>Arthralgia</w:t>
            </w:r>
          </w:p>
        </w:tc>
      </w:tr>
      <w:tr w:rsidR="001566B2" w:rsidRPr="001566B2" w14:paraId="376D4258" w14:textId="77777777" w:rsidTr="001566B2">
        <w:tc>
          <w:tcPr>
            <w:tcW w:w="4962" w:type="dxa"/>
            <w:shd w:val="clear" w:color="auto" w:fill="auto"/>
            <w:hideMark/>
          </w:tcPr>
          <w:p w14:paraId="555322A2" w14:textId="77777777" w:rsidR="001566B2" w:rsidRPr="00AB6B77" w:rsidRDefault="001566B2" w:rsidP="00073A4A">
            <w:pPr>
              <w:pStyle w:val="Tabletext"/>
            </w:pPr>
            <w:r w:rsidRPr="00AB6B77">
              <w:t>General disorders and administration site conditions</w:t>
            </w:r>
          </w:p>
        </w:tc>
        <w:tc>
          <w:tcPr>
            <w:tcW w:w="4536" w:type="dxa"/>
            <w:shd w:val="clear" w:color="auto" w:fill="auto"/>
          </w:tcPr>
          <w:p w14:paraId="71647F1C" w14:textId="77777777" w:rsidR="001566B2" w:rsidRPr="00AB6B77" w:rsidRDefault="001566B2" w:rsidP="00073A4A">
            <w:pPr>
              <w:pStyle w:val="Tabletext"/>
              <w:rPr>
                <w:highlight w:val="yellow"/>
              </w:rPr>
            </w:pPr>
            <w:r w:rsidRPr="00AB6B77">
              <w:t>Injection site inflammation</w:t>
            </w:r>
            <w:r w:rsidRPr="00AB6B77">
              <w:br/>
              <w:t>Injection site bruising</w:t>
            </w:r>
            <w:r w:rsidRPr="00AB6B77">
              <w:br/>
              <w:t xml:space="preserve">Injection site </w:t>
            </w:r>
            <w:proofErr w:type="spellStart"/>
            <w:r w:rsidRPr="00AB6B77">
              <w:t>urticaria</w:t>
            </w:r>
            <w:proofErr w:type="spellEnd"/>
            <w:r w:rsidRPr="00AB6B77">
              <w:br/>
              <w:t>Oedema peripheral</w:t>
            </w:r>
          </w:p>
        </w:tc>
      </w:tr>
      <w:tr w:rsidR="001566B2" w:rsidRPr="001566B2" w14:paraId="5CB1BCDD" w14:textId="77777777" w:rsidTr="001566B2">
        <w:tc>
          <w:tcPr>
            <w:tcW w:w="4962" w:type="dxa"/>
            <w:shd w:val="clear" w:color="auto" w:fill="auto"/>
            <w:hideMark/>
          </w:tcPr>
          <w:p w14:paraId="7596F678" w14:textId="77777777" w:rsidR="001566B2" w:rsidRPr="00AB6B77" w:rsidRDefault="001566B2" w:rsidP="00073A4A">
            <w:pPr>
              <w:pStyle w:val="Tabletext"/>
            </w:pPr>
            <w:r w:rsidRPr="00AB6B77">
              <w:t>Injury, poisoning and procedural complications</w:t>
            </w:r>
          </w:p>
        </w:tc>
        <w:tc>
          <w:tcPr>
            <w:tcW w:w="4536" w:type="dxa"/>
            <w:shd w:val="clear" w:color="auto" w:fill="auto"/>
          </w:tcPr>
          <w:p w14:paraId="3B7A44E4" w14:textId="77777777" w:rsidR="001566B2" w:rsidRPr="00AB6B77" w:rsidRDefault="001566B2" w:rsidP="00073A4A">
            <w:pPr>
              <w:pStyle w:val="Tabletext"/>
            </w:pPr>
            <w:r w:rsidRPr="00AB6B77">
              <w:t>Procedural dizziness</w:t>
            </w:r>
          </w:p>
        </w:tc>
      </w:tr>
    </w:tbl>
    <w:p w14:paraId="7B1AD956" w14:textId="070CFE04" w:rsidR="00406F19" w:rsidRDefault="00406F19" w:rsidP="00497C85">
      <w:pPr>
        <w:rPr>
          <w:rFonts w:asciiTheme="majorHAnsi" w:hAnsiTheme="majorHAnsi" w:cstheme="minorHAnsi"/>
          <w:lang w:val="en"/>
        </w:rPr>
      </w:pPr>
    </w:p>
    <w:p w14:paraId="522B212D" w14:textId="77777777" w:rsidR="001566B2" w:rsidRPr="001566B2" w:rsidRDefault="001566B2" w:rsidP="00073A4A">
      <w:pPr>
        <w:pStyle w:val="Heading3"/>
        <w:rPr>
          <w:noProof/>
        </w:rPr>
      </w:pPr>
      <w:r w:rsidRPr="001566B2">
        <w:rPr>
          <w:noProof/>
        </w:rPr>
        <w:t>Adverse reactions reported with buprenorphine</w:t>
      </w:r>
    </w:p>
    <w:p w14:paraId="69DB9FED" w14:textId="32EA3912" w:rsidR="001566B2" w:rsidRDefault="001566B2" w:rsidP="00073A4A">
      <w:pPr>
        <w:rPr>
          <w:noProof/>
        </w:rPr>
      </w:pPr>
      <w:r>
        <w:rPr>
          <w:noProof/>
        </w:rPr>
        <w:t>The</w:t>
      </w:r>
      <w:r w:rsidRPr="00252E3D">
        <w:rPr>
          <w:noProof/>
        </w:rPr>
        <w:t xml:space="preserve"> following adverse reactions have been </w:t>
      </w:r>
      <w:r>
        <w:rPr>
          <w:noProof/>
        </w:rPr>
        <w:t>reported</w:t>
      </w:r>
      <w:r w:rsidRPr="00252E3D">
        <w:rPr>
          <w:noProof/>
        </w:rPr>
        <w:t xml:space="preserve"> with the use of buprenorphine products and </w:t>
      </w:r>
      <w:r>
        <w:rPr>
          <w:noProof/>
        </w:rPr>
        <w:t>may</w:t>
      </w:r>
      <w:r w:rsidRPr="00252E3D">
        <w:rPr>
          <w:noProof/>
        </w:rPr>
        <w:t xml:space="preserve"> occur with </w:t>
      </w:r>
      <w:r w:rsidR="00290EA1">
        <w:rPr>
          <w:noProof/>
        </w:rPr>
        <w:t>Buvidal Weekly</w:t>
      </w:r>
      <w:r>
        <w:rPr>
          <w:noProof/>
        </w:rPr>
        <w:t xml:space="preserve">. </w:t>
      </w:r>
    </w:p>
    <w:p w14:paraId="29933BEA" w14:textId="77777777" w:rsidR="001566B2" w:rsidRPr="004B3F7F" w:rsidRDefault="001566B2" w:rsidP="00073A4A">
      <w:pPr>
        <w:rPr>
          <w:noProof/>
        </w:rPr>
      </w:pPr>
      <w:r w:rsidRPr="004B3F7F">
        <w:rPr>
          <w:noProof/>
        </w:rPr>
        <w:t xml:space="preserve">Very common: </w:t>
      </w:r>
      <w:r>
        <w:rPr>
          <w:noProof/>
        </w:rPr>
        <w:t xml:space="preserve">Insomnia, headache, nausea, </w:t>
      </w:r>
      <w:r w:rsidRPr="004B3F7F">
        <w:rPr>
          <w:noProof/>
        </w:rPr>
        <w:t>hyperhidrosis</w:t>
      </w:r>
      <w:r>
        <w:rPr>
          <w:noProof/>
        </w:rPr>
        <w:t>,</w:t>
      </w:r>
      <w:r w:rsidRPr="004B3F7F">
        <w:rPr>
          <w:noProof/>
        </w:rPr>
        <w:t xml:space="preserve"> </w:t>
      </w:r>
      <w:r>
        <w:rPr>
          <w:noProof/>
        </w:rPr>
        <w:t>d</w:t>
      </w:r>
      <w:r w:rsidRPr="004B3F7F">
        <w:rPr>
          <w:noProof/>
        </w:rPr>
        <w:t>rug withdrawal syndrome, and pain</w:t>
      </w:r>
      <w:r>
        <w:rPr>
          <w:noProof/>
        </w:rPr>
        <w:t>.</w:t>
      </w:r>
    </w:p>
    <w:p w14:paraId="106E3A4E" w14:textId="77777777" w:rsidR="001566B2" w:rsidRDefault="001566B2" w:rsidP="00073A4A">
      <w:pPr>
        <w:rPr>
          <w:noProof/>
        </w:rPr>
      </w:pPr>
      <w:r w:rsidRPr="004B3F7F">
        <w:rPr>
          <w:noProof/>
        </w:rPr>
        <w:t xml:space="preserve">Common: </w:t>
      </w:r>
      <w:r>
        <w:rPr>
          <w:noProof/>
        </w:rPr>
        <w:t>B</w:t>
      </w:r>
      <w:r w:rsidRPr="004B3F7F">
        <w:rPr>
          <w:noProof/>
        </w:rPr>
        <w:t xml:space="preserve">ronchitis, infection, influenza, pharyngitis, rhinitis, lymphadenopathy, decreased appetite, agitation, </w:t>
      </w:r>
      <w:r>
        <w:rPr>
          <w:noProof/>
        </w:rPr>
        <w:t xml:space="preserve">anxiety, </w:t>
      </w:r>
      <w:r w:rsidRPr="004B3F7F">
        <w:rPr>
          <w:noProof/>
        </w:rPr>
        <w:t xml:space="preserve">depression, hostility, nervousness, paranoia, thinking abnormal, </w:t>
      </w:r>
      <w:r>
        <w:rPr>
          <w:noProof/>
        </w:rPr>
        <w:t xml:space="preserve">dizziness, </w:t>
      </w:r>
      <w:r w:rsidRPr="004B3F7F">
        <w:rPr>
          <w:noProof/>
        </w:rPr>
        <w:t xml:space="preserve">hypertonia, migraine, paraesthesia, </w:t>
      </w:r>
      <w:r>
        <w:rPr>
          <w:noProof/>
        </w:rPr>
        <w:t xml:space="preserve">somnolence, </w:t>
      </w:r>
      <w:r w:rsidRPr="004B3F7F">
        <w:rPr>
          <w:noProof/>
        </w:rPr>
        <w:t xml:space="preserve">syncope, tremor, lacrimal disorder, mydriasis, palpitations, vasodilatation, cough, dysnpoea, yawning, abdominal pain, </w:t>
      </w:r>
      <w:r>
        <w:rPr>
          <w:noProof/>
        </w:rPr>
        <w:t xml:space="preserve">constipation, diarrhoea, dry mouth, </w:t>
      </w:r>
      <w:r w:rsidRPr="004B3F7F">
        <w:rPr>
          <w:noProof/>
        </w:rPr>
        <w:t xml:space="preserve">dyspepsia, gastrointestinal disorder, flatulence, </w:t>
      </w:r>
      <w:r>
        <w:rPr>
          <w:noProof/>
        </w:rPr>
        <w:t xml:space="preserve">vomiting, </w:t>
      </w:r>
      <w:r w:rsidRPr="004B3F7F">
        <w:rPr>
          <w:noProof/>
        </w:rPr>
        <w:t xml:space="preserve">rash, </w:t>
      </w:r>
      <w:r>
        <w:rPr>
          <w:noProof/>
        </w:rPr>
        <w:t xml:space="preserve">arthralgia, </w:t>
      </w:r>
      <w:r w:rsidRPr="004B3F7F">
        <w:rPr>
          <w:noProof/>
        </w:rPr>
        <w:t>back pain, bone pain, muscle spasms, myalgia, neck pain, dysmenorrhoea, asthenia, chest pain, chills, malaise</w:t>
      </w:r>
      <w:r>
        <w:rPr>
          <w:noProof/>
        </w:rPr>
        <w:t>, oedema peripheral</w:t>
      </w:r>
      <w:r w:rsidRPr="004B3F7F">
        <w:rPr>
          <w:noProof/>
        </w:rPr>
        <w:t xml:space="preserve"> and pyrexia.</w:t>
      </w:r>
      <w:r>
        <w:rPr>
          <w:noProof/>
        </w:rPr>
        <w:t xml:space="preserve"> </w:t>
      </w:r>
    </w:p>
    <w:p w14:paraId="6FBF81F3" w14:textId="77777777" w:rsidR="001566B2" w:rsidRPr="007C5C7F" w:rsidRDefault="001566B2" w:rsidP="00073A4A">
      <w:r w:rsidRPr="007C5C7F">
        <w:t>In addition, hallucination, urinary retention and vertigo have been reported with the use of buprenorphine products.</w:t>
      </w:r>
    </w:p>
    <w:p w14:paraId="7E23111B" w14:textId="77777777" w:rsidR="006871CD" w:rsidRPr="002B424E" w:rsidRDefault="006871CD" w:rsidP="006871CD">
      <w:pPr>
        <w:pStyle w:val="Heading3"/>
      </w:pPr>
      <w:r>
        <w:t>Reporting suspected adverse effects</w:t>
      </w:r>
    </w:p>
    <w:p w14:paraId="3FA47D44" w14:textId="51BDD82B" w:rsidR="00497C85" w:rsidRPr="008123CB" w:rsidRDefault="00497C85" w:rsidP="00497C85">
      <w:pPr>
        <w:rPr>
          <w:rFonts w:cstheme="minorHAnsi"/>
        </w:rPr>
      </w:pPr>
      <w:r w:rsidRPr="00376086">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376086">
          <w:rPr>
            <w:rStyle w:val="Hyperlink"/>
            <w:rFonts w:cstheme="minorHAnsi"/>
            <w:lang w:val="en"/>
          </w:rPr>
          <w:t>www.tga.gov.au/reporting-problems</w:t>
        </w:r>
      </w:hyperlink>
      <w:r w:rsidRPr="008123CB">
        <w:rPr>
          <w:rFonts w:cstheme="minorHAnsi"/>
          <w:lang w:val="en"/>
        </w:rPr>
        <w:t>.</w:t>
      </w:r>
    </w:p>
    <w:p w14:paraId="24665E1D" w14:textId="54BB3967" w:rsidR="001A3992" w:rsidRPr="00497C85" w:rsidRDefault="001A3992" w:rsidP="001A3992">
      <w:pPr>
        <w:pStyle w:val="Heading2"/>
        <w:keepNext/>
        <w:keepLines/>
        <w:spacing w:before="0"/>
        <w:rPr>
          <w:rFonts w:cstheme="minorHAnsi"/>
        </w:rPr>
      </w:pPr>
      <w:r w:rsidRPr="00497C85">
        <w:rPr>
          <w:rFonts w:cstheme="minorHAnsi"/>
        </w:rPr>
        <w:lastRenderedPageBreak/>
        <w:t>Overdose</w:t>
      </w:r>
    </w:p>
    <w:p w14:paraId="6A679635" w14:textId="768E891B" w:rsidR="00215FA7" w:rsidRPr="00215FA7" w:rsidRDefault="00215FA7" w:rsidP="00073A4A">
      <w:pPr>
        <w:pStyle w:val="Heading3"/>
      </w:pPr>
      <w:r w:rsidRPr="00215FA7">
        <w:t>Symptoms</w:t>
      </w:r>
    </w:p>
    <w:p w14:paraId="480BFC13" w14:textId="541FFE32" w:rsidR="00215FA7" w:rsidRDefault="00215FA7" w:rsidP="00215FA7">
      <w:pPr>
        <w:rPr>
          <w:i/>
          <w:noProof/>
        </w:rPr>
      </w:pPr>
      <w:r w:rsidRPr="00C364F3">
        <w:t xml:space="preserve">Respiratory depression, as a result of central nervous system depression, is the primary symptom requiring intervention in the case of buprenorphine overdose because it may lead to respiratory arrest and death. Preliminary symptoms of overdose may also include excessive sweating, somnolence, amblyopia, </w:t>
      </w:r>
      <w:proofErr w:type="spellStart"/>
      <w:r w:rsidRPr="00C364F3">
        <w:t>miosis</w:t>
      </w:r>
      <w:proofErr w:type="spellEnd"/>
      <w:r w:rsidRPr="00C364F3">
        <w:t>, hypotension, nausea, vomiting and / or speech disorders</w:t>
      </w:r>
      <w:r w:rsidRPr="00252E3D">
        <w:rPr>
          <w:noProof/>
        </w:rPr>
        <w:t>.</w:t>
      </w:r>
    </w:p>
    <w:p w14:paraId="256EB6E1" w14:textId="77777777" w:rsidR="00215FA7" w:rsidRPr="00215FA7" w:rsidRDefault="00215FA7" w:rsidP="00073A4A">
      <w:pPr>
        <w:pStyle w:val="Heading3"/>
        <w:rPr>
          <w:noProof/>
        </w:rPr>
      </w:pPr>
      <w:r w:rsidRPr="00215FA7">
        <w:rPr>
          <w:noProof/>
        </w:rPr>
        <w:t>Treatment</w:t>
      </w:r>
    </w:p>
    <w:p w14:paraId="32A6D1BB" w14:textId="429D3E60" w:rsidR="00215FA7" w:rsidRPr="00252E3D" w:rsidRDefault="00215FA7" w:rsidP="00073A4A">
      <w:pPr>
        <w:rPr>
          <w:noProof/>
        </w:rPr>
      </w:pPr>
      <w:r w:rsidRPr="00252E3D">
        <w:rPr>
          <w:noProof/>
        </w:rPr>
        <w:t>General supportive measures should be instituted, including close monitoring of respiratory and cardiac status of the patient. Symptomatic treatment of respiratory depression, following standard intensive care measures, should be instituted. A patent airway and assisted or controlled ventilation must be assured. The patient should be transferred to an environment within which full resuscitation facilities are available.</w:t>
      </w:r>
      <w:r>
        <w:rPr>
          <w:noProof/>
        </w:rPr>
        <w:t xml:space="preserve"> </w:t>
      </w:r>
      <w:r w:rsidRPr="00933531">
        <w:rPr>
          <w:noProof/>
        </w:rPr>
        <w:t>If the patient vomits, precautions must be taken to prevent aspiration.</w:t>
      </w:r>
      <w:r>
        <w:rPr>
          <w:noProof/>
        </w:rPr>
        <w:t xml:space="preserve"> </w:t>
      </w:r>
      <w:r w:rsidRPr="00252E3D">
        <w:rPr>
          <w:noProof/>
        </w:rPr>
        <w:t>U</w:t>
      </w:r>
      <w:r>
        <w:rPr>
          <w:noProof/>
        </w:rPr>
        <w:t>se of an opioid antagonist (ie</w:t>
      </w:r>
      <w:r w:rsidRPr="00252E3D">
        <w:rPr>
          <w:noProof/>
        </w:rPr>
        <w:t xml:space="preserve"> naloxone) is recommended, despite the </w:t>
      </w:r>
      <w:r>
        <w:rPr>
          <w:noProof/>
        </w:rPr>
        <w:t xml:space="preserve">modest </w:t>
      </w:r>
      <w:r w:rsidRPr="00252E3D">
        <w:rPr>
          <w:noProof/>
        </w:rPr>
        <w:t>effect it may have in reversing the respiratory symptoms of buprenorphine compared with its effects on full agonist opioid agents.</w:t>
      </w:r>
    </w:p>
    <w:p w14:paraId="44C8C6EE" w14:textId="2B1D7C91" w:rsidR="00215FA7" w:rsidRDefault="00215FA7" w:rsidP="00073A4A">
      <w:r w:rsidRPr="00252E3D">
        <w:rPr>
          <w:noProof/>
        </w:rPr>
        <w:t xml:space="preserve">The long duration of action of buprenorphine </w:t>
      </w:r>
      <w:r>
        <w:rPr>
          <w:noProof/>
        </w:rPr>
        <w:t xml:space="preserve">and the </w:t>
      </w:r>
      <w:r w:rsidR="00673C69">
        <w:rPr>
          <w:noProof/>
        </w:rPr>
        <w:t>modified</w:t>
      </w:r>
      <w:r>
        <w:rPr>
          <w:noProof/>
        </w:rPr>
        <w:t xml:space="preserve"> release from</w:t>
      </w:r>
      <w:r w:rsidRPr="00D41099">
        <w:rPr>
          <w:noProof/>
        </w:rPr>
        <w:t xml:space="preserve"> </w:t>
      </w:r>
      <w:proofErr w:type="spellStart"/>
      <w:r w:rsidR="00290EA1">
        <w:t>Buvidal</w:t>
      </w:r>
      <w:proofErr w:type="spellEnd"/>
      <w:r w:rsidR="00290EA1">
        <w:t xml:space="preserve"> Weekly</w:t>
      </w:r>
      <w:r w:rsidRPr="00C71884">
        <w:t>,</w:t>
      </w:r>
      <w:r>
        <w:rPr>
          <w:i/>
        </w:rPr>
        <w:t xml:space="preserve"> </w:t>
      </w:r>
      <w:r w:rsidRPr="00252E3D">
        <w:rPr>
          <w:noProof/>
        </w:rPr>
        <w:t>should be taken into consideration when determining length of treatment needed to reverse the effects of an overdose. Naloxone can be cleared more rapidly than buprenorphine, allowing for a return of previously controlled buprenorphine overdose symptoms.</w:t>
      </w:r>
    </w:p>
    <w:p w14:paraId="658463B0" w14:textId="53FAF692" w:rsidR="00215FA7" w:rsidRDefault="00215FA7" w:rsidP="00073A4A">
      <w:r>
        <w:t>For information on the management of overdose,</w:t>
      </w:r>
      <w:r w:rsidRPr="00CF0AF7">
        <w:t xml:space="preserve"> contact the Poisons Information Centre on 131126 </w:t>
      </w:r>
      <w:r>
        <w:t xml:space="preserve">(Australia) </w:t>
      </w:r>
      <w:r w:rsidRPr="00CF0AF7">
        <w:t>for advice.</w:t>
      </w:r>
    </w:p>
    <w:p w14:paraId="469D9748" w14:textId="77777777" w:rsidR="001A3992" w:rsidRPr="00497C85" w:rsidRDefault="001A3992" w:rsidP="00AF5EF6">
      <w:pPr>
        <w:pStyle w:val="Heading1"/>
        <w:rPr>
          <w:lang w:val="en-US"/>
        </w:rPr>
      </w:pPr>
      <w:r w:rsidRPr="00497C85">
        <w:rPr>
          <w:lang w:val="en-US"/>
        </w:rPr>
        <w:t>Pharmacological properties</w:t>
      </w:r>
    </w:p>
    <w:p w14:paraId="26C17B53" w14:textId="77777777" w:rsidR="001A3992" w:rsidRPr="00497C85" w:rsidRDefault="001A3992" w:rsidP="001A3992">
      <w:pPr>
        <w:pStyle w:val="Heading2"/>
        <w:spacing w:before="0"/>
        <w:rPr>
          <w:rFonts w:cstheme="minorHAnsi"/>
          <w:lang w:val="en-US"/>
        </w:rPr>
      </w:pPr>
      <w:proofErr w:type="spellStart"/>
      <w:r w:rsidRPr="00497C85">
        <w:rPr>
          <w:rFonts w:cstheme="minorHAnsi"/>
          <w:lang w:val="en-US"/>
        </w:rPr>
        <w:t>Pharmacodynamic</w:t>
      </w:r>
      <w:proofErr w:type="spellEnd"/>
      <w:r w:rsidRPr="00497C85">
        <w:rPr>
          <w:rFonts w:cstheme="minorHAnsi"/>
          <w:lang w:val="en-US"/>
        </w:rPr>
        <w:t xml:space="preserve"> properties </w:t>
      </w:r>
    </w:p>
    <w:p w14:paraId="67A4F4A5" w14:textId="552022DA" w:rsidR="001A3992" w:rsidRDefault="001A3992" w:rsidP="00082A02">
      <w:pPr>
        <w:pStyle w:val="Heading3"/>
        <w:spacing w:before="0" w:line="240" w:lineRule="auto"/>
      </w:pPr>
      <w:r w:rsidRPr="00497C85">
        <w:t>Mechanism of action</w:t>
      </w:r>
    </w:p>
    <w:p w14:paraId="2B4F2ED1" w14:textId="0922BF29" w:rsidR="00082A02" w:rsidRPr="00082A02" w:rsidRDefault="004C68D2" w:rsidP="00082A02">
      <w:pPr>
        <w:spacing w:after="0" w:line="240" w:lineRule="auto"/>
        <w:rPr>
          <w:strike/>
        </w:rPr>
      </w:pPr>
      <w:r>
        <w:t>B</w:t>
      </w:r>
      <w:r w:rsidR="00082A02" w:rsidRPr="00EA0738">
        <w:t xml:space="preserve">uprenorphine </w:t>
      </w:r>
      <w:r w:rsidR="00082A02" w:rsidRPr="004C68D2">
        <w:t>is a high-affinity partial agonist at the human μ (mu) opioid receptor and is a high-affinity antagonist at the δ (delta) and κ (kappa) opioid receptors, as well as being a moderate-affinity partial agonist for nocicepti</w:t>
      </w:r>
      <w:r w:rsidR="003144C4" w:rsidRPr="004C68D2">
        <w:t>o</w:t>
      </w:r>
      <w:r w:rsidR="00082A02" w:rsidRPr="004C68D2">
        <w:t>n opioid receptors</w:t>
      </w:r>
      <w:r w:rsidR="00082A02" w:rsidRPr="00EA0738">
        <w:t xml:space="preserve">. </w:t>
      </w:r>
      <w:r w:rsidR="00082A02" w:rsidRPr="00FB63B3">
        <w:rPr>
          <w:strike/>
        </w:rPr>
        <w:t xml:space="preserve"> </w:t>
      </w:r>
    </w:p>
    <w:p w14:paraId="785B110A" w14:textId="77777777" w:rsidR="00082A02" w:rsidRDefault="00082A02" w:rsidP="00B34A5C"/>
    <w:p w14:paraId="11A79880" w14:textId="50442C52" w:rsidR="00B34A5C" w:rsidRDefault="00B34A5C" w:rsidP="00B34A5C">
      <w:r w:rsidRPr="00982769">
        <w:t>Its activity in opioid maintenance treatment is attributed to its slowly reversible properties with the μ-opioid receptors which, over a prolonged</w:t>
      </w:r>
      <w:r w:rsidR="00E024E7">
        <w:t xml:space="preserve"> </w:t>
      </w:r>
      <w:r w:rsidRPr="00982769">
        <w:t xml:space="preserve">period, might minimise the need of </w:t>
      </w:r>
      <w:r>
        <w:t>illicit opioids for patients with opioid dependence.</w:t>
      </w:r>
    </w:p>
    <w:p w14:paraId="65921A93" w14:textId="0D7BD45A" w:rsidR="00B34A5C" w:rsidRDefault="00B34A5C" w:rsidP="00B34A5C">
      <w:r w:rsidRPr="00982769">
        <w:t>Opioid agonist ceiling effects were observed during clinical pharmacology studies in opioid-dependent persons.</w:t>
      </w:r>
    </w:p>
    <w:p w14:paraId="4C610146" w14:textId="77777777" w:rsidR="006F41CB" w:rsidRPr="006F41CB" w:rsidRDefault="006F41CB" w:rsidP="006F41CB">
      <w:pPr>
        <w:rPr>
          <w:rFonts w:asciiTheme="majorHAnsi" w:hAnsiTheme="majorHAnsi"/>
          <w:b/>
        </w:rPr>
      </w:pPr>
      <w:proofErr w:type="spellStart"/>
      <w:r w:rsidRPr="006F41CB">
        <w:rPr>
          <w:rFonts w:asciiTheme="majorHAnsi" w:hAnsiTheme="majorHAnsi"/>
          <w:b/>
        </w:rPr>
        <w:t>Pharmacodynamic</w:t>
      </w:r>
      <w:proofErr w:type="spellEnd"/>
      <w:r w:rsidRPr="006F41CB">
        <w:rPr>
          <w:rFonts w:asciiTheme="majorHAnsi" w:hAnsiTheme="majorHAnsi"/>
          <w:b/>
        </w:rPr>
        <w:t xml:space="preserve"> effects</w:t>
      </w:r>
    </w:p>
    <w:p w14:paraId="623DBFD3" w14:textId="3A860332" w:rsidR="006F41CB" w:rsidRDefault="006F41CB" w:rsidP="006F41CB">
      <w:r>
        <w:t xml:space="preserve">The </w:t>
      </w:r>
      <w:r w:rsidRPr="0052258A">
        <w:t xml:space="preserve">blockade of subjective opioid effects </w:t>
      </w:r>
      <w:r>
        <w:t xml:space="preserve">of </w:t>
      </w:r>
      <w:proofErr w:type="spellStart"/>
      <w:r w:rsidR="003250A9">
        <w:t>Buvidal</w:t>
      </w:r>
      <w:proofErr w:type="spellEnd"/>
      <w:r w:rsidR="003250A9">
        <w:t xml:space="preserve"> Weekly</w:t>
      </w:r>
      <w:r>
        <w:t xml:space="preserve"> was investigated in a </w:t>
      </w:r>
      <w:r w:rsidRPr="0052258A">
        <w:t>multiple-dose</w:t>
      </w:r>
      <w:r>
        <w:t>,</w:t>
      </w:r>
      <w:r w:rsidRPr="0052258A">
        <w:t xml:space="preserve"> opioid challenge study in </w:t>
      </w:r>
      <w:r>
        <w:t>47 </w:t>
      </w:r>
      <w:r w:rsidRPr="0052258A">
        <w:t>patients with modera</w:t>
      </w:r>
      <w:r>
        <w:t>te to severe opioid dependence</w:t>
      </w:r>
      <w:r w:rsidRPr="0052258A">
        <w:t>.</w:t>
      </w:r>
      <w:r>
        <w:t xml:space="preserve"> After stabilisation on immediate-release</w:t>
      </w:r>
      <w:r w:rsidRPr="003321FF">
        <w:t xml:space="preserve"> morphine, all patients completed a 3-day qualification/baseline hydromorphone chal</w:t>
      </w:r>
      <w:r>
        <w:t>lenge session, which included intramuscular administration of 3 </w:t>
      </w:r>
      <w:r w:rsidRPr="003321FF">
        <w:t>doses of hydromorphone (0</w:t>
      </w:r>
      <w:r>
        <w:t> mg [placebo]</w:t>
      </w:r>
      <w:r w:rsidRPr="003321FF">
        <w:t>, 6</w:t>
      </w:r>
      <w:r>
        <w:t> mg and 18 </w:t>
      </w:r>
      <w:r w:rsidRPr="003321FF">
        <w:t xml:space="preserve">mg) once daily </w:t>
      </w:r>
      <w:r>
        <w:t xml:space="preserve">for 3 consecutive days in a </w:t>
      </w:r>
      <w:r>
        <w:lastRenderedPageBreak/>
        <w:t>randomis</w:t>
      </w:r>
      <w:r w:rsidRPr="003321FF">
        <w:t>ed, double-blind, crossover manner.</w:t>
      </w:r>
      <w:r>
        <w:t xml:space="preserve"> </w:t>
      </w:r>
      <w:r w:rsidRPr="003321FF">
        <w:t xml:space="preserve">Following the qualification phase, eligible </w:t>
      </w:r>
      <w:r>
        <w:t xml:space="preserve">patients received 2 randomised </w:t>
      </w:r>
      <w:r w:rsidRPr="003321FF">
        <w:t>dose</w:t>
      </w:r>
      <w:r>
        <w:t>s</w:t>
      </w:r>
      <w:r w:rsidRPr="003321FF">
        <w:t xml:space="preserve"> of </w:t>
      </w:r>
      <w:r>
        <w:t xml:space="preserve">24 mg or 32 mg </w:t>
      </w:r>
      <w:proofErr w:type="spellStart"/>
      <w:r w:rsidR="004E0E67">
        <w:t>Buvidal</w:t>
      </w:r>
      <w:proofErr w:type="spellEnd"/>
      <w:r w:rsidR="002B046C">
        <w:t xml:space="preserve"> Weekly</w:t>
      </w:r>
      <w:r>
        <w:t xml:space="preserve">. Two </w:t>
      </w:r>
      <w:r w:rsidRPr="003321FF">
        <w:t>hydr</w:t>
      </w:r>
      <w:r>
        <w:t>omorphone challenge sessions (3 </w:t>
      </w:r>
      <w:r w:rsidRPr="003321FF">
        <w:t>consec</w:t>
      </w:r>
      <w:r>
        <w:t xml:space="preserve">utive days each) were conducted after each dose of </w:t>
      </w:r>
      <w:proofErr w:type="spellStart"/>
      <w:r w:rsidR="003250A9">
        <w:t>Buvidal</w:t>
      </w:r>
      <w:proofErr w:type="spellEnd"/>
      <w:r w:rsidR="003250A9">
        <w:t xml:space="preserve"> Weekly</w:t>
      </w:r>
      <w:r>
        <w:t>.</w:t>
      </w:r>
    </w:p>
    <w:p w14:paraId="75F4E2AE" w14:textId="16944F2D" w:rsidR="006F41CB" w:rsidRDefault="006F41CB" w:rsidP="006F41CB">
      <w:r>
        <w:t>The p</w:t>
      </w:r>
      <w:r w:rsidRPr="003321FF">
        <w:t xml:space="preserve">rimary endpoint was maximum rating </w:t>
      </w:r>
      <w:r>
        <w:t>(</w:t>
      </w:r>
      <w:proofErr w:type="spellStart"/>
      <w:r>
        <w:t>E</w:t>
      </w:r>
      <w:r w:rsidRPr="00456E0C">
        <w:rPr>
          <w:vertAlign w:val="subscript"/>
        </w:rPr>
        <w:t>max</w:t>
      </w:r>
      <w:proofErr w:type="spellEnd"/>
      <w:r>
        <w:t xml:space="preserve">) </w:t>
      </w:r>
      <w:r w:rsidRPr="003321FF">
        <w:t>on the visual analog</w:t>
      </w:r>
      <w:r>
        <w:t xml:space="preserve">ue scale (VAS) for drug liking. During the qualification/baseline phase, </w:t>
      </w:r>
      <w:r w:rsidRPr="008E227D">
        <w:t xml:space="preserve">patients </w:t>
      </w:r>
      <w:r>
        <w:t>could</w:t>
      </w:r>
      <w:r w:rsidRPr="008E227D">
        <w:t xml:space="preserve"> differ</w:t>
      </w:r>
      <w:r>
        <w:t>entiate between hydromorphone 6 mg or 18 </w:t>
      </w:r>
      <w:r w:rsidRPr="008E227D">
        <w:t>mg and placebo and showed an appropriate hydromorphone dose res</w:t>
      </w:r>
      <w:r>
        <w:t>ponse (</w:t>
      </w:r>
      <w:proofErr w:type="spellStart"/>
      <w:r>
        <w:t>ie</w:t>
      </w:r>
      <w:proofErr w:type="spellEnd"/>
      <w:r>
        <w:t xml:space="preserve"> increase in drug l</w:t>
      </w:r>
      <w:r w:rsidRPr="008E227D">
        <w:t xml:space="preserve">iking </w:t>
      </w:r>
      <w:proofErr w:type="spellStart"/>
      <w:r w:rsidRPr="008E227D">
        <w:t>E</w:t>
      </w:r>
      <w:r w:rsidRPr="008E227D">
        <w:rPr>
          <w:vertAlign w:val="subscript"/>
        </w:rPr>
        <w:t>max</w:t>
      </w:r>
      <w:proofErr w:type="spellEnd"/>
      <w:r w:rsidRPr="008E227D">
        <w:t xml:space="preserve"> with increasing dose of hydromorphone). </w:t>
      </w:r>
      <w:r>
        <w:t>M</w:t>
      </w:r>
      <w:r w:rsidRPr="00361DF4">
        <w:t xml:space="preserve">inimal differences in </w:t>
      </w:r>
      <w:proofErr w:type="spellStart"/>
      <w:r w:rsidRPr="00361DF4">
        <w:t>E</w:t>
      </w:r>
      <w:r w:rsidRPr="00767166">
        <w:rPr>
          <w:vertAlign w:val="subscript"/>
        </w:rPr>
        <w:t>max</w:t>
      </w:r>
      <w:proofErr w:type="spellEnd"/>
      <w:r w:rsidRPr="00361DF4">
        <w:t xml:space="preserve"> scores were observed between placebo and hydromorphone 6 mg or 18 mg</w:t>
      </w:r>
      <w:r>
        <w:t xml:space="preserve"> during the hydromorphone challenge sessions performed after each administration of 24 mg or 32 </w:t>
      </w:r>
      <w:r w:rsidRPr="00456E0C">
        <w:t xml:space="preserve">mg </w:t>
      </w:r>
      <w:proofErr w:type="spellStart"/>
      <w:r w:rsidR="004E0E67">
        <w:t>Buvidal</w:t>
      </w:r>
      <w:proofErr w:type="spellEnd"/>
      <w:r w:rsidR="00261868">
        <w:t xml:space="preserve"> Weekly</w:t>
      </w:r>
      <w:r>
        <w:t>.</w:t>
      </w:r>
      <w:r w:rsidRPr="00456E0C">
        <w:t xml:space="preserve"> The pre</w:t>
      </w:r>
      <w:r>
        <w:t>-defined upper bound of the 95% confidence interval (</w:t>
      </w:r>
      <w:r w:rsidRPr="00456E0C">
        <w:t>CI</w:t>
      </w:r>
      <w:r>
        <w:t>)</w:t>
      </w:r>
      <w:r w:rsidRPr="00456E0C">
        <w:t xml:space="preserve"> for complete</w:t>
      </w:r>
      <w:r>
        <w:t xml:space="preserve"> blockade of drug liking was 11 </w:t>
      </w:r>
      <w:r w:rsidRPr="00456E0C">
        <w:t xml:space="preserve">mm VAS </w:t>
      </w:r>
      <w:proofErr w:type="spellStart"/>
      <w:r>
        <w:t>E</w:t>
      </w:r>
      <w:r w:rsidRPr="00456E0C">
        <w:rPr>
          <w:vertAlign w:val="subscript"/>
        </w:rPr>
        <w:t>max</w:t>
      </w:r>
      <w:proofErr w:type="spellEnd"/>
      <w:r w:rsidRPr="00456E0C">
        <w:t xml:space="preserve"> between hydromorphone doses and placebo. Complete blockade (i.e. VAS </w:t>
      </w:r>
      <w:proofErr w:type="spellStart"/>
      <w:r>
        <w:t>E</w:t>
      </w:r>
      <w:r w:rsidRPr="00456E0C">
        <w:rPr>
          <w:vertAlign w:val="subscript"/>
        </w:rPr>
        <w:t>max</w:t>
      </w:r>
      <w:proofErr w:type="spellEnd"/>
      <w:r w:rsidRPr="00456E0C">
        <w:t xml:space="preserve"> ≤</w:t>
      </w:r>
      <w:r>
        <w:t> 11 </w:t>
      </w:r>
      <w:r w:rsidRPr="00456E0C">
        <w:t xml:space="preserve">mm between hydromorphone and placebo injections) was observed at all challenge sessions with </w:t>
      </w:r>
      <w:r>
        <w:t xml:space="preserve">both doses of </w:t>
      </w:r>
      <w:proofErr w:type="spellStart"/>
      <w:r w:rsidR="003250A9">
        <w:t>Buvidal</w:t>
      </w:r>
      <w:proofErr w:type="spellEnd"/>
      <w:r w:rsidR="003250A9">
        <w:t xml:space="preserve"> Weekly</w:t>
      </w:r>
      <w:r w:rsidRPr="00456E0C">
        <w:t xml:space="preserve">. </w:t>
      </w:r>
    </w:p>
    <w:p w14:paraId="4EA93608" w14:textId="77777777" w:rsidR="006F41CB" w:rsidRPr="00252E3D" w:rsidRDefault="006F41CB" w:rsidP="006F41CB">
      <w:r>
        <w:t>S</w:t>
      </w:r>
      <w:r w:rsidRPr="001B256F">
        <w:t xml:space="preserve">econdary VAS </w:t>
      </w:r>
      <w:proofErr w:type="spellStart"/>
      <w:r w:rsidRPr="001B256F">
        <w:t>E</w:t>
      </w:r>
      <w:r w:rsidRPr="001B256F">
        <w:rPr>
          <w:vertAlign w:val="subscript"/>
        </w:rPr>
        <w:t>max</w:t>
      </w:r>
      <w:proofErr w:type="spellEnd"/>
      <w:r>
        <w:t xml:space="preserve"> measures (including high, good drug effects, any drug effects, and desire to use</w:t>
      </w:r>
      <w:r w:rsidRPr="001B256F">
        <w:t xml:space="preserve">) were also blocked </w:t>
      </w:r>
      <w:r>
        <w:t xml:space="preserve">or suppressed </w:t>
      </w:r>
      <w:r w:rsidRPr="001B256F">
        <w:t>by</w:t>
      </w:r>
      <w:r>
        <w:t xml:space="preserve"> both weekly doses</w:t>
      </w:r>
      <w:r w:rsidRPr="001B256F">
        <w:t>.</w:t>
      </w:r>
    </w:p>
    <w:p w14:paraId="3E4A4172" w14:textId="7C759077" w:rsidR="001A3992" w:rsidRDefault="001A3992" w:rsidP="00AF5EF6">
      <w:pPr>
        <w:pStyle w:val="Heading3"/>
        <w:rPr>
          <w:lang w:val="en-US"/>
        </w:rPr>
      </w:pPr>
      <w:r w:rsidRPr="00497C85">
        <w:t>Clinical</w:t>
      </w:r>
      <w:r w:rsidRPr="00497C85">
        <w:rPr>
          <w:lang w:val="en-US"/>
        </w:rPr>
        <w:t xml:space="preserve"> trials</w:t>
      </w:r>
    </w:p>
    <w:p w14:paraId="21E5A291" w14:textId="77777777" w:rsidR="006F41CB" w:rsidRDefault="006F41CB" w:rsidP="00073A4A">
      <w:pPr>
        <w:pStyle w:val="Heading4"/>
      </w:pPr>
      <w:r>
        <w:t>Clinical efficacy</w:t>
      </w:r>
    </w:p>
    <w:p w14:paraId="37E1A5BA" w14:textId="52AE3528" w:rsidR="006F41CB" w:rsidRPr="00B7057B" w:rsidRDefault="006F41CB" w:rsidP="006F41CB">
      <w:r w:rsidRPr="005A4535">
        <w:rPr>
          <w:b/>
          <w:i/>
        </w:rPr>
        <w:t>Study HS-</w:t>
      </w:r>
      <w:r>
        <w:rPr>
          <w:b/>
          <w:i/>
        </w:rPr>
        <w:t>11-421</w:t>
      </w:r>
      <w:r w:rsidRPr="005A4535">
        <w:rPr>
          <w:b/>
          <w:i/>
        </w:rPr>
        <w:t>:</w:t>
      </w:r>
      <w:r>
        <w:t xml:space="preserve"> The efficacy and safety of </w:t>
      </w:r>
      <w:proofErr w:type="spellStart"/>
      <w:r w:rsidR="004E0E67">
        <w:t>Buvidal</w:t>
      </w:r>
      <w:proofErr w:type="spellEnd"/>
      <w:r>
        <w:t xml:space="preserve"> in the treatment of opioid dependence were established in a pivotal phase 3, randomised, double-blind, double-dummy, active-controlled, flexible-dose study in patients with moderate to severe opioid dependence</w:t>
      </w:r>
      <w:r w:rsidR="00C22B86" w:rsidRPr="00C22B86">
        <w:t xml:space="preserve"> </w:t>
      </w:r>
      <w:r w:rsidR="00C22B86">
        <w:t>who were not currently participating in opioid substitution treatment</w:t>
      </w:r>
      <w:r>
        <w:t xml:space="preserve">. In this study, 428 patients were randomised </w:t>
      </w:r>
      <w:r w:rsidRPr="0082147D">
        <w:t>to</w:t>
      </w:r>
      <w:r>
        <w:t xml:space="preserve"> one of two treatment groups. Patients in the </w:t>
      </w:r>
      <w:proofErr w:type="spellStart"/>
      <w:r w:rsidR="004E0E67">
        <w:t>Buvidal</w:t>
      </w:r>
      <w:proofErr w:type="spellEnd"/>
      <w:r>
        <w:t xml:space="preserve"> group (n = 213) received</w:t>
      </w:r>
      <w:r w:rsidRPr="0082147D">
        <w:t xml:space="preserve"> </w:t>
      </w:r>
      <w:r>
        <w:t>weekly injections</w:t>
      </w:r>
      <w:r w:rsidRPr="0082147D">
        <w:t xml:space="preserve"> </w:t>
      </w:r>
      <w:r>
        <w:t>(</w:t>
      </w:r>
      <w:r w:rsidR="00CC7911">
        <w:t>16</w:t>
      </w:r>
      <w:r>
        <w:t> mg to 32 mg</w:t>
      </w:r>
      <w:r w:rsidRPr="0082147D">
        <w:t>)</w:t>
      </w:r>
      <w:r>
        <w:t xml:space="preserve"> </w:t>
      </w:r>
      <w:r w:rsidR="00C22B86">
        <w:t xml:space="preserve">at the clinic </w:t>
      </w:r>
      <w:r>
        <w:t>during the first 12 weeks</w:t>
      </w:r>
      <w:r w:rsidR="0031315D">
        <w:t>,</w:t>
      </w:r>
      <w:r w:rsidRPr="0082147D">
        <w:t xml:space="preserve"> </w:t>
      </w:r>
      <w:r>
        <w:t xml:space="preserve">followed by </w:t>
      </w:r>
      <w:r w:rsidRPr="0082147D">
        <w:t xml:space="preserve">monthly </w:t>
      </w:r>
      <w:r w:rsidRPr="00F2250F">
        <w:t xml:space="preserve">injections </w:t>
      </w:r>
      <w:r>
        <w:t>(64 mg to 160 mg</w:t>
      </w:r>
      <w:r w:rsidRPr="0082147D">
        <w:t>)</w:t>
      </w:r>
      <w:r>
        <w:t xml:space="preserve"> during the last 12 weeks, plus daily </w:t>
      </w:r>
      <w:r w:rsidR="00C22B86">
        <w:t xml:space="preserve">take-home </w:t>
      </w:r>
      <w:r>
        <w:t>doses of sublingual placebo tablets during the complete treatment period. Patients in the sublingual</w:t>
      </w:r>
      <w:r w:rsidRPr="0082147D">
        <w:t xml:space="preserve"> bu</w:t>
      </w:r>
      <w:r>
        <w:t xml:space="preserve">prenorphine/naloxone group (n = 215) received </w:t>
      </w:r>
      <w:r w:rsidRPr="0082147D">
        <w:t xml:space="preserve">weekly </w:t>
      </w:r>
      <w:r w:rsidRPr="002779FB">
        <w:t xml:space="preserve">placebo injections </w:t>
      </w:r>
      <w:r w:rsidR="00C22B86">
        <w:t xml:space="preserve">at the clinic </w:t>
      </w:r>
      <w:r>
        <w:t>during the first 12 weeks</w:t>
      </w:r>
      <w:r w:rsidR="00C22B86">
        <w:t>, followed by</w:t>
      </w:r>
      <w:r w:rsidRPr="0082147D">
        <w:t xml:space="preserve"> monthly </w:t>
      </w:r>
      <w:r w:rsidRPr="000C5622">
        <w:t xml:space="preserve">placebo injections </w:t>
      </w:r>
      <w:r>
        <w:t>during the last 12 </w:t>
      </w:r>
      <w:r w:rsidRPr="0082147D">
        <w:t>weeks</w:t>
      </w:r>
      <w:r>
        <w:t xml:space="preserve">, plus </w:t>
      </w:r>
      <w:r w:rsidRPr="0082147D">
        <w:t xml:space="preserve">daily </w:t>
      </w:r>
      <w:r w:rsidR="00C22B86">
        <w:t xml:space="preserve">take-home </w:t>
      </w:r>
      <w:r>
        <w:t>sublingual</w:t>
      </w:r>
      <w:r w:rsidRPr="0082147D">
        <w:t xml:space="preserve"> bu</w:t>
      </w:r>
      <w:r>
        <w:t xml:space="preserve">prenorphine/naloxone tablets during the complete treatment period (8 mg to 24 mg during the first 12 weeks and 8 mg to 32 mg during the last 12 weeks). During the 12 weeks with monthly injections, patients in both groups could receive one additional 8 mg weekly </w:t>
      </w:r>
      <w:r w:rsidR="00B64106">
        <w:t xml:space="preserve">dose of </w:t>
      </w:r>
      <w:proofErr w:type="spellStart"/>
      <w:r w:rsidR="004E0E67">
        <w:t>Buvidal</w:t>
      </w:r>
      <w:proofErr w:type="spellEnd"/>
      <w:r>
        <w:t xml:space="preserve"> </w:t>
      </w:r>
      <w:r w:rsidR="00B64106">
        <w:t xml:space="preserve">Weekly </w:t>
      </w:r>
      <w:r>
        <w:t>per month, if needed. Patients attended 12 weekly visits during the first 12 weeks and 6 </w:t>
      </w:r>
      <w:r w:rsidRPr="006169D2">
        <w:t xml:space="preserve">visits during the </w:t>
      </w:r>
      <w:r>
        <w:t xml:space="preserve">last </w:t>
      </w:r>
      <w:r w:rsidRPr="006169D2">
        <w:t>12 week</w:t>
      </w:r>
      <w:r>
        <w:t>s (3 </w:t>
      </w:r>
      <w:r w:rsidRPr="006169D2">
        <w:t>scheduled monthly visits and</w:t>
      </w:r>
      <w:r w:rsidRPr="00C41AB6">
        <w:t xml:space="preserve"> </w:t>
      </w:r>
      <w:r>
        <w:t>3 </w:t>
      </w:r>
      <w:r w:rsidRPr="006169D2">
        <w:t>random urine toxicology visits</w:t>
      </w:r>
      <w:r>
        <w:t>)</w:t>
      </w:r>
      <w:r w:rsidRPr="006169D2">
        <w:t>. At each visit, efficacy and safety outcome measures were assessed</w:t>
      </w:r>
      <w:r>
        <w:t xml:space="preserve">. </w:t>
      </w:r>
      <w:r w:rsidR="00B17CBA">
        <w:t xml:space="preserve">The primary endpoint of the study was to demonstrate non-inferiority in mean percentage of urine samples negative for illicit </w:t>
      </w:r>
      <w:r w:rsidR="00B17CBA" w:rsidRPr="000355F7">
        <w:t>opioids during treatment w</w:t>
      </w:r>
      <w:r w:rsidR="00B17CBA">
        <w:t>eeks </w:t>
      </w:r>
      <w:r w:rsidR="00B17CBA" w:rsidRPr="000355F7">
        <w:t xml:space="preserve">1 to 24 for the </w:t>
      </w:r>
      <w:proofErr w:type="spellStart"/>
      <w:r w:rsidR="00B17CBA">
        <w:t>Buvidal</w:t>
      </w:r>
      <w:proofErr w:type="spellEnd"/>
      <w:r w:rsidR="00B17CBA" w:rsidRPr="000355F7">
        <w:t xml:space="preserve"> group compared with the sublingual buprenorphine/naloxone group</w:t>
      </w:r>
      <w:r w:rsidR="00B17CBA">
        <w:t>. Non</w:t>
      </w:r>
      <w:r w:rsidR="00B17CBA" w:rsidRPr="001A3B82">
        <w:t xml:space="preserve">-inferiority was to be concluded if the lower limit of the two-sided 95% </w:t>
      </w:r>
      <w:r w:rsidR="00B17CBA">
        <w:t>confidence interval (</w:t>
      </w:r>
      <w:r w:rsidR="00B17CBA" w:rsidRPr="001A3B82">
        <w:t>CI</w:t>
      </w:r>
      <w:r w:rsidR="00B17CBA">
        <w:t>)</w:t>
      </w:r>
      <w:r w:rsidR="00B17CBA" w:rsidRPr="001A3B82">
        <w:t xml:space="preserve"> for the difference (</w:t>
      </w:r>
      <w:proofErr w:type="spellStart"/>
      <w:r w:rsidR="00B17CBA" w:rsidRPr="001A3B82">
        <w:t>B</w:t>
      </w:r>
      <w:r w:rsidR="00B17CBA">
        <w:t>uvidal</w:t>
      </w:r>
      <w:proofErr w:type="spellEnd"/>
      <w:r w:rsidR="00B17CBA" w:rsidRPr="001A3B82">
        <w:t xml:space="preserve"> and </w:t>
      </w:r>
      <w:r w:rsidR="00B17CBA">
        <w:t xml:space="preserve">sublingual </w:t>
      </w:r>
      <w:r w:rsidR="00B17CBA" w:rsidRPr="001A3B82">
        <w:t>buprenorphine/naloxone) in percent negative urine samples was above -11%.</w:t>
      </w:r>
    </w:p>
    <w:p w14:paraId="669FA503" w14:textId="1F28461C" w:rsidR="006F41CB" w:rsidRDefault="006F41CB" w:rsidP="006F41CB">
      <w:r>
        <w:t xml:space="preserve">The study met the primary endpoint of non-inferiority in mean percentage </w:t>
      </w:r>
      <w:r w:rsidR="000E373A">
        <w:t xml:space="preserve">of </w:t>
      </w:r>
      <w:r>
        <w:t xml:space="preserve">urine samples negative for illicit </w:t>
      </w:r>
      <w:r w:rsidRPr="000355F7">
        <w:t>opioids (p &lt;0.001). The L</w:t>
      </w:r>
      <w:r>
        <w:t xml:space="preserve">east </w:t>
      </w:r>
      <w:r w:rsidRPr="000355F7">
        <w:t>S</w:t>
      </w:r>
      <w:r>
        <w:t>quares</w:t>
      </w:r>
      <w:r w:rsidRPr="000355F7">
        <w:t xml:space="preserve"> mean (95% CI) was 35.1% (30.3%, 40.0%) in the </w:t>
      </w:r>
      <w:proofErr w:type="spellStart"/>
      <w:r w:rsidR="004E0E67">
        <w:t>Buvidal</w:t>
      </w:r>
      <w:proofErr w:type="spellEnd"/>
      <w:r w:rsidRPr="000355F7">
        <w:t xml:space="preserve"> group and 28.4% (23.5%, 33.3%) in the sublingual buprenorphine/naloxone group. The </w:t>
      </w:r>
      <w:r w:rsidRPr="000355F7">
        <w:lastRenderedPageBreak/>
        <w:t xml:space="preserve">difference between treatment groups was 6.7% </w:t>
      </w:r>
      <w:r>
        <w:t>(</w:t>
      </w:r>
      <w:proofErr w:type="spellStart"/>
      <w:r w:rsidR="004E0E67">
        <w:t>Buvidal</w:t>
      </w:r>
      <w:proofErr w:type="spellEnd"/>
      <w:r w:rsidRPr="000355F7">
        <w:t xml:space="preserve"> </w:t>
      </w:r>
      <w:r w:rsidR="003045F0">
        <w:t>vs</w:t>
      </w:r>
      <w:r w:rsidRPr="000355F7">
        <w:t xml:space="preserve"> sublingual buprenorphine/naloxone) with a 95% CI of -0.1</w:t>
      </w:r>
      <w:r w:rsidR="000E373A">
        <w:t>%</w:t>
      </w:r>
      <w:r w:rsidRPr="000355F7">
        <w:t>, 13.6</w:t>
      </w:r>
      <w:r w:rsidR="000E373A">
        <w:t>%</w:t>
      </w:r>
      <w:r w:rsidRPr="000355F7">
        <w:t xml:space="preserve">. </w:t>
      </w:r>
      <w:r w:rsidRPr="009F0668">
        <w:fldChar w:fldCharType="begin"/>
      </w:r>
      <w:r w:rsidRPr="009F0668">
        <w:instrText xml:space="preserve"> REF _Ref487628950 \h </w:instrText>
      </w:r>
      <w:r w:rsidR="005D466E" w:rsidRPr="009F0668">
        <w:instrText xml:space="preserve"> \* MERGEFORMAT </w:instrText>
      </w:r>
      <w:r w:rsidRPr="009F0668">
        <w:fldChar w:fldCharType="separate"/>
      </w:r>
      <w:r w:rsidR="003C205E" w:rsidRPr="009F0668">
        <w:t xml:space="preserve">Figure </w:t>
      </w:r>
      <w:r w:rsidR="003C205E">
        <w:rPr>
          <w:noProof/>
        </w:rPr>
        <w:t>1</w:t>
      </w:r>
      <w:r w:rsidRPr="009F0668">
        <w:fldChar w:fldCharType="end"/>
      </w:r>
      <w:r>
        <w:t xml:space="preserve"> </w:t>
      </w:r>
      <w:r w:rsidRPr="000355F7">
        <w:t>shows percent</w:t>
      </w:r>
      <w:r w:rsidR="000E373A">
        <w:t>age of</w:t>
      </w:r>
      <w:r w:rsidRPr="000355F7">
        <w:t xml:space="preserve"> patients with urine samples negative for illicit opioids over the 24</w:t>
      </w:r>
      <w:r w:rsidRPr="000355F7">
        <w:noBreakHyphen/>
        <w:t>week treatment period.</w:t>
      </w:r>
    </w:p>
    <w:p w14:paraId="67A5776D" w14:textId="4F06FC18" w:rsidR="005B74A7" w:rsidRDefault="005B74A7" w:rsidP="006F41CB">
      <w:pPr>
        <w:rPr>
          <w:lang w:val="en-GB"/>
        </w:rPr>
      </w:pPr>
      <w:r>
        <w:rPr>
          <w:noProof/>
          <w:lang w:eastAsia="en-AU"/>
        </w:rPr>
        <w:drawing>
          <wp:inline distT="0" distB="0" distL="0" distR="0" wp14:anchorId="5A01F2B8" wp14:editId="17C95A0F">
            <wp:extent cx="3614400" cy="30636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4400" cy="3063600"/>
                    </a:xfrm>
                    <a:prstGeom prst="rect">
                      <a:avLst/>
                    </a:prstGeom>
                    <a:noFill/>
                  </pic:spPr>
                </pic:pic>
              </a:graphicData>
            </a:graphic>
          </wp:inline>
        </w:drawing>
      </w:r>
    </w:p>
    <w:p w14:paraId="4B9017BA" w14:textId="77777777" w:rsidR="0004690C" w:rsidRPr="005A4535" w:rsidRDefault="0004690C" w:rsidP="00335A40">
      <w:pPr>
        <w:rPr>
          <w:sz w:val="20"/>
        </w:rPr>
      </w:pPr>
      <w:r w:rsidRPr="006C6B73">
        <w:rPr>
          <w:sz w:val="20"/>
        </w:rPr>
        <w:t>SL BPN/NX=sublingual buprenorphine/naloxone</w:t>
      </w:r>
      <w:r>
        <w:rPr>
          <w:sz w:val="20"/>
        </w:rPr>
        <w:br/>
      </w:r>
      <w:r w:rsidRPr="00BE6014">
        <w:rPr>
          <w:sz w:val="20"/>
        </w:rPr>
        <w:t>* p</w:t>
      </w:r>
      <w:r>
        <w:rPr>
          <w:sz w:val="20"/>
        </w:rPr>
        <w:t> </w:t>
      </w:r>
      <w:r w:rsidRPr="00BE6014">
        <w:rPr>
          <w:sz w:val="20"/>
        </w:rPr>
        <w:t>&lt;</w:t>
      </w:r>
      <w:r>
        <w:rPr>
          <w:sz w:val="20"/>
        </w:rPr>
        <w:t> </w:t>
      </w:r>
      <w:r w:rsidRPr="00BE6014">
        <w:rPr>
          <w:sz w:val="20"/>
        </w:rPr>
        <w:t>0.05 (Chi-square test)</w:t>
      </w:r>
    </w:p>
    <w:p w14:paraId="1F762603" w14:textId="6D2F4458" w:rsidR="0004690C" w:rsidRDefault="0004690C" w:rsidP="0004690C">
      <w:pPr>
        <w:pStyle w:val="Caption"/>
        <w:rPr>
          <w:lang w:val="en-GB"/>
        </w:rPr>
      </w:pPr>
      <w:bookmarkStart w:id="4" w:name="_Ref487628950"/>
      <w:r w:rsidRPr="009F0668">
        <w:t xml:space="preserve">Figure </w:t>
      </w:r>
      <w:r w:rsidRPr="009F0668">
        <w:fldChar w:fldCharType="begin"/>
      </w:r>
      <w:r w:rsidRPr="009F0668">
        <w:instrText xml:space="preserve"> SEQ Figure \* ARABIC </w:instrText>
      </w:r>
      <w:r w:rsidRPr="009F0668">
        <w:fldChar w:fldCharType="separate"/>
      </w:r>
      <w:r w:rsidR="003C205E">
        <w:rPr>
          <w:noProof/>
        </w:rPr>
        <w:t>1</w:t>
      </w:r>
      <w:r w:rsidRPr="009F0668">
        <w:fldChar w:fldCharType="end"/>
      </w:r>
      <w:bookmarkEnd w:id="4"/>
      <w:r w:rsidRPr="009F0668">
        <w:t xml:space="preserve"> Percent</w:t>
      </w:r>
      <w:r w:rsidRPr="005A4535">
        <w:t xml:space="preserve"> patients with urine samples negative for illicit opioids by assessment time point of urine toxicology samples (missing data imputed as positive).</w:t>
      </w:r>
    </w:p>
    <w:p w14:paraId="129D13BD" w14:textId="76A9B39D" w:rsidR="0004690C" w:rsidRDefault="0004690C" w:rsidP="0004690C">
      <w:pPr>
        <w:tabs>
          <w:tab w:val="left" w:pos="4395"/>
        </w:tabs>
        <w:autoSpaceDE w:val="0"/>
        <w:autoSpaceDN w:val="0"/>
        <w:adjustRightInd w:val="0"/>
      </w:pPr>
      <w:r w:rsidRPr="000355F7">
        <w:t xml:space="preserve">Superiority of </w:t>
      </w:r>
      <w:proofErr w:type="spellStart"/>
      <w:r w:rsidR="004E0E67">
        <w:t>Buvidal</w:t>
      </w:r>
      <w:proofErr w:type="spellEnd"/>
      <w:r w:rsidRPr="000355F7">
        <w:t xml:space="preserve"> versus sublingual buprenorphine/naloxone was met for the secondary endpoint cumulative distribution function (CDF) for percentage of opioid-negative urine samples during treatment weeks 4 to 24. The median CDF was 26.7% for </w:t>
      </w:r>
      <w:proofErr w:type="spellStart"/>
      <w:r w:rsidR="004E0E67">
        <w:t>Buvidal</w:t>
      </w:r>
      <w:proofErr w:type="spellEnd"/>
      <w:r w:rsidRPr="000355F7">
        <w:rPr>
          <w:i/>
        </w:rPr>
        <w:t xml:space="preserve"> </w:t>
      </w:r>
      <w:r w:rsidRPr="000355F7">
        <w:t>and 6.7% for sublingual buprenorphine/naloxone (p = 0.008)</w:t>
      </w:r>
      <w:r>
        <w:t xml:space="preserve">, </w:t>
      </w:r>
      <w:r w:rsidRPr="009F0668">
        <w:fldChar w:fldCharType="begin"/>
      </w:r>
      <w:r w:rsidRPr="009F0668">
        <w:instrText xml:space="preserve"> REF _Ref487629252 \h </w:instrText>
      </w:r>
      <w:r w:rsidR="009F0668">
        <w:instrText xml:space="preserve"> \* MERGEFORMAT </w:instrText>
      </w:r>
      <w:r w:rsidRPr="009F0668">
        <w:fldChar w:fldCharType="separate"/>
      </w:r>
      <w:r w:rsidR="003C205E" w:rsidRPr="00EB171B">
        <w:t xml:space="preserve">Figure </w:t>
      </w:r>
      <w:r w:rsidR="003C205E">
        <w:rPr>
          <w:noProof/>
        </w:rPr>
        <w:t>2</w:t>
      </w:r>
      <w:r w:rsidRPr="009F0668">
        <w:fldChar w:fldCharType="end"/>
      </w:r>
      <w:r w:rsidRPr="009F0668">
        <w:t>. A</w:t>
      </w:r>
      <w:r w:rsidRPr="000355F7">
        <w:t xml:space="preserve"> closed testing procedure controlling for overall type 1 error rate (5%, two</w:t>
      </w:r>
      <w:r w:rsidRPr="000355F7">
        <w:noBreakHyphen/>
        <w:t>sided) with a pre-specified test order was applied, where testing for superiority only was applicable if the primary outcome demonstrated non-inferiority.</w:t>
      </w:r>
    </w:p>
    <w:p w14:paraId="32242A7D" w14:textId="307EDA66" w:rsidR="007A7116" w:rsidRDefault="007A7116">
      <w:pPr>
        <w:spacing w:after="200"/>
        <w:rPr>
          <w:b/>
        </w:rPr>
      </w:pPr>
      <w:r>
        <w:rPr>
          <w:b/>
        </w:rPr>
        <w:br w:type="page"/>
      </w:r>
    </w:p>
    <w:p w14:paraId="2F0AFA8D" w14:textId="3E1B17F6" w:rsidR="0004690C" w:rsidRPr="005A4535" w:rsidRDefault="005B74A7" w:rsidP="0004690C">
      <w:r>
        <w:rPr>
          <w:noProof/>
          <w:lang w:eastAsia="en-AU"/>
        </w:rPr>
        <w:lastRenderedPageBreak/>
        <w:drawing>
          <wp:inline distT="0" distB="0" distL="0" distR="0" wp14:anchorId="418DFAD0" wp14:editId="7EDBE449">
            <wp:extent cx="3614400" cy="30636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4400" cy="3063600"/>
                    </a:xfrm>
                    <a:prstGeom prst="rect">
                      <a:avLst/>
                    </a:prstGeom>
                    <a:noFill/>
                  </pic:spPr>
                </pic:pic>
              </a:graphicData>
            </a:graphic>
          </wp:inline>
        </w:drawing>
      </w:r>
    </w:p>
    <w:p w14:paraId="533AB23D" w14:textId="1B5E93B1" w:rsidR="0004690C" w:rsidRPr="005A4535" w:rsidRDefault="0004690C" w:rsidP="0004690C">
      <w:pPr>
        <w:autoSpaceDE w:val="0"/>
        <w:autoSpaceDN w:val="0"/>
        <w:adjustRightInd w:val="0"/>
        <w:rPr>
          <w:sz w:val="20"/>
        </w:rPr>
      </w:pPr>
      <w:r w:rsidRPr="006C6B73">
        <w:rPr>
          <w:sz w:val="20"/>
        </w:rPr>
        <w:t>SL BPN/NX=sublingual buprenorphine/naloxone</w:t>
      </w:r>
    </w:p>
    <w:p w14:paraId="0DD49EC9" w14:textId="67CE8158" w:rsidR="0004690C" w:rsidRDefault="0004690C" w:rsidP="0004690C">
      <w:pPr>
        <w:pStyle w:val="Caption"/>
        <w:rPr>
          <w:lang w:val="en-GB"/>
        </w:rPr>
      </w:pPr>
      <w:bookmarkStart w:id="5" w:name="_Ref487629252"/>
      <w:r w:rsidRPr="00EB171B">
        <w:t xml:space="preserve">Figure </w:t>
      </w:r>
      <w:r w:rsidRPr="00EB171B">
        <w:fldChar w:fldCharType="begin"/>
      </w:r>
      <w:r w:rsidRPr="00EB171B">
        <w:instrText xml:space="preserve"> SEQ Figure \* ARABIC </w:instrText>
      </w:r>
      <w:r w:rsidRPr="00EB171B">
        <w:fldChar w:fldCharType="separate"/>
      </w:r>
      <w:r w:rsidR="003C205E">
        <w:rPr>
          <w:noProof/>
        </w:rPr>
        <w:t>2</w:t>
      </w:r>
      <w:r w:rsidRPr="00EB171B">
        <w:fldChar w:fldCharType="end"/>
      </w:r>
      <w:bookmarkEnd w:id="5"/>
      <w:r>
        <w:t xml:space="preserve"> </w:t>
      </w:r>
      <w:r w:rsidRPr="00E3498B">
        <w:t>Cum</w:t>
      </w:r>
      <w:r w:rsidRPr="005A4535">
        <w:t>ulative percentage of patients with opioid-negative urine samples for treatment weeks 4 to 24.</w:t>
      </w:r>
    </w:p>
    <w:p w14:paraId="255422A2" w14:textId="5E1F6038" w:rsidR="0004690C" w:rsidRDefault="0004690C" w:rsidP="0004690C">
      <w:pPr>
        <w:autoSpaceDE w:val="0"/>
        <w:autoSpaceDN w:val="0"/>
        <w:adjustRightInd w:val="0"/>
      </w:pPr>
      <w:r>
        <w:t xml:space="preserve">When the primary analysis was repeated in a </w:t>
      </w:r>
      <w:r>
        <w:rPr>
          <w:i/>
        </w:rPr>
        <w:t>post </w:t>
      </w:r>
      <w:r w:rsidRPr="006A2A26">
        <w:rPr>
          <w:i/>
        </w:rPr>
        <w:t>hoc</w:t>
      </w:r>
      <w:r>
        <w:t xml:space="preserve"> analysis without imputation of missing urine samples, a significant difference between treatment groups of 8.7% (95% CI: 0.9%, 16.4%) was demonstrated for </w:t>
      </w:r>
      <w:proofErr w:type="spellStart"/>
      <w:r w:rsidR="004E0E67">
        <w:t>Buvidal</w:t>
      </w:r>
      <w:proofErr w:type="spellEnd"/>
      <w:r w:rsidR="00D2409B">
        <w:t xml:space="preserve"> </w:t>
      </w:r>
      <w:r>
        <w:t xml:space="preserve">compared to sublingual buprenorphine/naloxone (p = 0.028). </w:t>
      </w:r>
      <w:r w:rsidRPr="006A2A26">
        <w:rPr>
          <w:i/>
        </w:rPr>
        <w:t xml:space="preserve">Post hoc </w:t>
      </w:r>
      <w:r>
        <w:t xml:space="preserve">sensitivity analyses of CDF for urine samples negative for illicit opioids over the full treatment period (weeks 1 to 24) confirmed superiority of </w:t>
      </w:r>
      <w:proofErr w:type="spellStart"/>
      <w:r w:rsidR="004E0E67">
        <w:t>Buvidal</w:t>
      </w:r>
      <w:proofErr w:type="spellEnd"/>
      <w:r w:rsidR="00D2409B">
        <w:t xml:space="preserve"> </w:t>
      </w:r>
      <w:r>
        <w:t>(median 22.2%) compared to sublingual buprenorphine/naloxone (median 5.6%) (p = 0.011).</w:t>
      </w:r>
    </w:p>
    <w:p w14:paraId="27C175BF" w14:textId="74BB1BB5" w:rsidR="0004690C" w:rsidRDefault="0004690C" w:rsidP="0004690C">
      <w:pPr>
        <w:autoSpaceDE w:val="0"/>
        <w:autoSpaceDN w:val="0"/>
        <w:adjustRightInd w:val="0"/>
      </w:pPr>
      <w:r>
        <w:t xml:space="preserve">Of the 428 randomised patients, 69.0% (147/213) of the patients in the </w:t>
      </w:r>
      <w:proofErr w:type="spellStart"/>
      <w:r w:rsidR="004E0E67">
        <w:t>Buvidal</w:t>
      </w:r>
      <w:proofErr w:type="spellEnd"/>
      <w:r w:rsidR="00D2409B">
        <w:t xml:space="preserve"> </w:t>
      </w:r>
      <w:r>
        <w:t>treatment group and 72.6% (156/215) of the patients in the sublingual buprenorphine/naloxone treatment group completed the 24</w:t>
      </w:r>
      <w:r>
        <w:noBreakHyphen/>
        <w:t xml:space="preserve">week treatment period. </w:t>
      </w:r>
    </w:p>
    <w:p w14:paraId="69632279" w14:textId="77777777" w:rsidR="00A124DC" w:rsidRDefault="00A124DC" w:rsidP="00A124DC">
      <w:pPr>
        <w:autoSpaceDE w:val="0"/>
        <w:autoSpaceDN w:val="0"/>
        <w:adjustRightInd w:val="0"/>
      </w:pPr>
      <w:bookmarkStart w:id="6" w:name="_Hlk524432906"/>
      <w:r>
        <w:t xml:space="preserve">During the first 12 weeks of the study, excluding the first week of initiation, the median </w:t>
      </w:r>
      <w:proofErr w:type="spellStart"/>
      <w:r>
        <w:t>Buvidal</w:t>
      </w:r>
      <w:proofErr w:type="spellEnd"/>
      <w:r>
        <w:t xml:space="preserve"> Weekly dose was 24 mg (range 16 to 32 mg) and the median daily sublingual</w:t>
      </w:r>
      <w:r w:rsidRPr="0082147D">
        <w:t xml:space="preserve"> bu</w:t>
      </w:r>
      <w:r>
        <w:t xml:space="preserve">prenorphine/naloxone dose was 16 mg (range 8 to 24 mg). </w:t>
      </w:r>
      <w:bookmarkEnd w:id="6"/>
      <w:r>
        <w:t xml:space="preserve">During the last 12 weeks of the study, the median </w:t>
      </w:r>
      <w:proofErr w:type="spellStart"/>
      <w:r>
        <w:t>Buvidal</w:t>
      </w:r>
      <w:proofErr w:type="spellEnd"/>
      <w:r>
        <w:t xml:space="preserve"> Monthly dose was 96 mg (range 64 to 160 mg) and the median daily sublingual</w:t>
      </w:r>
      <w:r w:rsidRPr="0082147D">
        <w:t xml:space="preserve"> bu</w:t>
      </w:r>
      <w:r>
        <w:t>prenorphine/naloxone dose was 16 mg (range 8 to 32 mg).</w:t>
      </w:r>
    </w:p>
    <w:p w14:paraId="43CEF282" w14:textId="7B5AD585" w:rsidR="0004690C" w:rsidRDefault="0004690C" w:rsidP="0004690C">
      <w:pPr>
        <w:autoSpaceDE w:val="0"/>
        <w:autoSpaceDN w:val="0"/>
        <w:adjustRightInd w:val="0"/>
      </w:pPr>
      <w:r w:rsidRPr="005A4535">
        <w:rPr>
          <w:b/>
          <w:i/>
        </w:rPr>
        <w:t>Study HS-14-499:</w:t>
      </w:r>
      <w:r>
        <w:t xml:space="preserve"> A long-term, open-labe</w:t>
      </w:r>
      <w:r w:rsidRPr="00D76494">
        <w:t xml:space="preserve">l, phase 3 </w:t>
      </w:r>
      <w:r>
        <w:t xml:space="preserve">safety study with flexible dosing of weekly and monthly </w:t>
      </w:r>
      <w:proofErr w:type="spellStart"/>
      <w:r w:rsidR="004E0E67">
        <w:t>Buvidal</w:t>
      </w:r>
      <w:proofErr w:type="spellEnd"/>
      <w:r w:rsidRPr="000355F7">
        <w:t xml:space="preserve"> </w:t>
      </w:r>
      <w:r>
        <w:t>for 48 weeks was conducted. The study enrolled a total of 227 patients with moderate to severe opioid dependence, of which 190 patients were transferred from sublingual buprenorphine (with or without naloxone), and 37 patients were new to buprenorphine treatment. During the 48</w:t>
      </w:r>
      <w:r>
        <w:noBreakHyphen/>
        <w:t xml:space="preserve">week treatment period, patients could switch between weekly and monthly injections with </w:t>
      </w:r>
      <w:proofErr w:type="spellStart"/>
      <w:r w:rsidR="004E0E67">
        <w:t>Buvidal</w:t>
      </w:r>
      <w:proofErr w:type="spellEnd"/>
      <w:r w:rsidRPr="000355F7">
        <w:t xml:space="preserve"> </w:t>
      </w:r>
      <w:r>
        <w:t xml:space="preserve">and between doses (8 mg to 32 mg weekly </w:t>
      </w:r>
      <w:proofErr w:type="spellStart"/>
      <w:r w:rsidR="004E0E67">
        <w:t>Buvidal</w:t>
      </w:r>
      <w:proofErr w:type="spellEnd"/>
      <w:r>
        <w:t xml:space="preserve"> and 64 mg to 160 mg monthly </w:t>
      </w:r>
      <w:proofErr w:type="spellStart"/>
      <w:r w:rsidR="004E0E67">
        <w:t>Buvidal</w:t>
      </w:r>
      <w:proofErr w:type="spellEnd"/>
      <w:r w:rsidRPr="001B256F">
        <w:t>)</w:t>
      </w:r>
      <w:r>
        <w:t xml:space="preserve"> according to the physician’s clinical judgement</w:t>
      </w:r>
      <w:r w:rsidRPr="001B256F">
        <w:t>.</w:t>
      </w:r>
      <w:r>
        <w:t xml:space="preserve"> </w:t>
      </w:r>
      <w:r w:rsidR="00165499">
        <w:t xml:space="preserve">The mean duration of treatment with </w:t>
      </w:r>
      <w:proofErr w:type="spellStart"/>
      <w:r w:rsidR="00165499">
        <w:t>Buvidal</w:t>
      </w:r>
      <w:proofErr w:type="spellEnd"/>
      <w:r w:rsidR="00165499">
        <w:t xml:space="preserve"> Weekly was 162.5 days (median 112 days; range 7 to 336 days) and the mean duration of treatment with </w:t>
      </w:r>
      <w:proofErr w:type="spellStart"/>
      <w:r w:rsidR="00165499">
        <w:t>Buvidal</w:t>
      </w:r>
      <w:proofErr w:type="spellEnd"/>
      <w:r w:rsidR="00165499">
        <w:t xml:space="preserve"> Monthly was 239.6 days (median 280 days; range 28 to 336 days). The </w:t>
      </w:r>
      <w:r w:rsidR="00165499">
        <w:lastRenderedPageBreak/>
        <w:t xml:space="preserve">median doses that the patients were stabilised on were 24 mg </w:t>
      </w:r>
      <w:proofErr w:type="spellStart"/>
      <w:r w:rsidR="00165499">
        <w:t>Buvidal</w:t>
      </w:r>
      <w:proofErr w:type="spellEnd"/>
      <w:r w:rsidR="00165499">
        <w:t xml:space="preserve"> Weekly (range </w:t>
      </w:r>
      <w:r w:rsidR="005A28F3">
        <w:t>16</w:t>
      </w:r>
      <w:r w:rsidR="00165499">
        <w:t xml:space="preserve"> to 32 mg) or 96 mg </w:t>
      </w:r>
      <w:proofErr w:type="spellStart"/>
      <w:r w:rsidR="00165499">
        <w:t>Buvidal</w:t>
      </w:r>
      <w:proofErr w:type="spellEnd"/>
      <w:r w:rsidR="00165499">
        <w:t xml:space="preserve"> Monthly (range 64 to 160 mg). </w:t>
      </w:r>
    </w:p>
    <w:p w14:paraId="753A420F" w14:textId="22454D58" w:rsidR="0004690C" w:rsidRDefault="0004690C" w:rsidP="0004690C">
      <w:pPr>
        <w:autoSpaceDE w:val="0"/>
        <w:autoSpaceDN w:val="0"/>
        <w:adjustRightInd w:val="0"/>
      </w:pPr>
      <w:r w:rsidRPr="002F2576">
        <w:t xml:space="preserve">For patients who were transferred from sublingual buprenorphine, the percentage of patients with illicit opioid-negative urine samples was </w:t>
      </w:r>
      <w:r>
        <w:t>78.8</w:t>
      </w:r>
      <w:r w:rsidRPr="002F2576">
        <w:t xml:space="preserve">% at baseline and 84.0% at the end of the </w:t>
      </w:r>
      <w:r>
        <w:t>48</w:t>
      </w:r>
      <w:r>
        <w:noBreakHyphen/>
      </w:r>
      <w:r w:rsidRPr="002F2576">
        <w:t xml:space="preserve">week treatment period. </w:t>
      </w:r>
      <w:r>
        <w:t>For</w:t>
      </w:r>
      <w:r w:rsidRPr="002F2576">
        <w:t xml:space="preserve"> the new-to-treatment patients</w:t>
      </w:r>
      <w:r>
        <w:t xml:space="preserve">, the percentage of patients with </w:t>
      </w:r>
      <w:r w:rsidRPr="002F2576">
        <w:t>illicit opioid-negative urine samples w</w:t>
      </w:r>
      <w:r>
        <w:t>as</w:t>
      </w:r>
      <w:r w:rsidRPr="002F2576">
        <w:t xml:space="preserve"> 0.0% at baseline and 63.0% at the end of the </w:t>
      </w:r>
      <w:r>
        <w:t>48</w:t>
      </w:r>
      <w:r>
        <w:noBreakHyphen/>
        <w:t xml:space="preserve">week </w:t>
      </w:r>
      <w:r w:rsidRPr="002F2576">
        <w:t>treatment period. Overall, 156 patients (68.</w:t>
      </w:r>
      <w:r w:rsidR="007441EE" w:rsidRPr="002D5274">
        <w:t>7</w:t>
      </w:r>
      <w:r w:rsidRPr="002F2576">
        <w:t xml:space="preserve">%) completed </w:t>
      </w:r>
      <w:r>
        <w:t>the 48</w:t>
      </w:r>
      <w:r>
        <w:noBreakHyphen/>
        <w:t>week</w:t>
      </w:r>
      <w:r w:rsidRPr="002F2576">
        <w:t xml:space="preserve"> treatment</w:t>
      </w:r>
      <w:r>
        <w:t xml:space="preserve"> period</w:t>
      </w:r>
      <w:r w:rsidRPr="002F2576">
        <w:t>.</w:t>
      </w:r>
    </w:p>
    <w:p w14:paraId="57053BAC" w14:textId="05EBDFA8" w:rsidR="0004690C" w:rsidRPr="0008000F" w:rsidRDefault="0004690C" w:rsidP="0004690C">
      <w:pPr>
        <w:autoSpaceDE w:val="0"/>
        <w:autoSpaceDN w:val="0"/>
        <w:adjustRightInd w:val="0"/>
      </w:pPr>
      <w:r>
        <w:t xml:space="preserve">No illicit drug overdoses were reported for the 440 patients treated </w:t>
      </w:r>
      <w:proofErr w:type="spellStart"/>
      <w:r w:rsidR="004E0E67">
        <w:t>Buvidal</w:t>
      </w:r>
      <w:proofErr w:type="spellEnd"/>
      <w:r>
        <w:rPr>
          <w:i/>
        </w:rPr>
        <w:t xml:space="preserve"> </w:t>
      </w:r>
      <w:r>
        <w:t>in the two phase 3 studies.</w:t>
      </w:r>
    </w:p>
    <w:p w14:paraId="41BD94A5" w14:textId="1654AC05" w:rsidR="001A3992" w:rsidRPr="00497C85" w:rsidRDefault="001A3992" w:rsidP="001A3992">
      <w:pPr>
        <w:pStyle w:val="Heading2"/>
        <w:keepNext/>
        <w:spacing w:before="0"/>
        <w:rPr>
          <w:rFonts w:cstheme="minorHAnsi"/>
          <w:lang w:val="en-US"/>
        </w:rPr>
      </w:pPr>
      <w:r w:rsidRPr="00497C85">
        <w:rPr>
          <w:rFonts w:cstheme="minorHAnsi"/>
          <w:lang w:val="en-US"/>
        </w:rPr>
        <w:t xml:space="preserve">Pharmacokinetic properties </w:t>
      </w:r>
    </w:p>
    <w:p w14:paraId="20FC5CCE" w14:textId="11617181" w:rsidR="001A3992" w:rsidRDefault="001A3992" w:rsidP="00AF5EF6">
      <w:pPr>
        <w:pStyle w:val="Heading3"/>
      </w:pPr>
      <w:r w:rsidRPr="00497C85">
        <w:t>Absorption</w:t>
      </w:r>
    </w:p>
    <w:p w14:paraId="297F6618" w14:textId="5EE01F98" w:rsidR="004A4AFD" w:rsidRPr="004A33EC" w:rsidRDefault="004E0E67" w:rsidP="004A4AFD">
      <w:pPr>
        <w:keepNext/>
        <w:numPr>
          <w:ilvl w:val="12"/>
          <w:numId w:val="0"/>
        </w:numPr>
        <w:ind w:right="-2"/>
      </w:pPr>
      <w:proofErr w:type="spellStart"/>
      <w:r>
        <w:t>Buvidal</w:t>
      </w:r>
      <w:proofErr w:type="spellEnd"/>
      <w:r w:rsidR="004A4AFD" w:rsidRPr="004A33EC">
        <w:t xml:space="preserve"> </w:t>
      </w:r>
      <w:r w:rsidR="00E2649E">
        <w:t xml:space="preserve">Weekly </w:t>
      </w:r>
      <w:r w:rsidR="004A4AFD" w:rsidRPr="004A33EC">
        <w:t xml:space="preserve">is a </w:t>
      </w:r>
      <w:r w:rsidR="00673C69">
        <w:t>modified</w:t>
      </w:r>
      <w:r w:rsidR="00177D15">
        <w:t xml:space="preserve"> </w:t>
      </w:r>
      <w:r w:rsidR="004A4AFD" w:rsidRPr="004A33EC">
        <w:t>release formulation of buprenorphine designed for administration by subcutaneous injection once a week. After injection, the buprenorphine plasma concentration increases with a median time to maximum plasma concentration (</w:t>
      </w:r>
      <w:proofErr w:type="spellStart"/>
      <w:r w:rsidR="004A4AFD" w:rsidRPr="004A33EC">
        <w:t>t</w:t>
      </w:r>
      <w:r w:rsidR="004A4AFD" w:rsidRPr="004A33EC">
        <w:rPr>
          <w:vertAlign w:val="subscript"/>
        </w:rPr>
        <w:t>max</w:t>
      </w:r>
      <w:proofErr w:type="spellEnd"/>
      <w:r w:rsidR="004A4AFD" w:rsidRPr="004A33EC">
        <w:t>) of about 24 hours.</w:t>
      </w:r>
      <w:r w:rsidR="004A4AFD" w:rsidRPr="004A33EC">
        <w:rPr>
          <w:i/>
        </w:rPr>
        <w:t xml:space="preserve"> </w:t>
      </w:r>
      <w:proofErr w:type="spellStart"/>
      <w:r>
        <w:t>Buvidal</w:t>
      </w:r>
      <w:proofErr w:type="spellEnd"/>
      <w:r w:rsidR="00D60301">
        <w:t xml:space="preserve"> </w:t>
      </w:r>
      <w:r w:rsidR="009F0014">
        <w:t xml:space="preserve">Weekly </w:t>
      </w:r>
      <w:r w:rsidR="004A4AFD" w:rsidRPr="004A33EC">
        <w:t>has complete absolute bioavailability, and a 6 to 9</w:t>
      </w:r>
      <w:r w:rsidR="004A4AFD" w:rsidRPr="004A33EC">
        <w:noBreakHyphen/>
        <w:t xml:space="preserve">fold higher bioavailability compared to sublingual buprenorphine. Steady-state exposure is reached at the fourth weekly dose. </w:t>
      </w:r>
    </w:p>
    <w:p w14:paraId="177C7B51" w14:textId="5728F511" w:rsidR="004A4AFD" w:rsidRDefault="004A4AFD" w:rsidP="004A4AFD">
      <w:r w:rsidRPr="004A33EC">
        <w:t>Dose-proportional increase</w:t>
      </w:r>
      <w:r>
        <w:t>s</w:t>
      </w:r>
      <w:r w:rsidRPr="004A33EC">
        <w:t xml:space="preserve"> in exposure and time-independent pharmacokinetics are observed for</w:t>
      </w:r>
      <w:r w:rsidR="009F0014">
        <w:t xml:space="preserve"> </w:t>
      </w:r>
      <w:proofErr w:type="spellStart"/>
      <w:r w:rsidR="009F0014">
        <w:t>Buvidal</w:t>
      </w:r>
      <w:proofErr w:type="spellEnd"/>
      <w:r w:rsidRPr="004A33EC">
        <w:t xml:space="preserve"> </w:t>
      </w:r>
      <w:r w:rsidR="009F0014">
        <w:t>W</w:t>
      </w:r>
      <w:r w:rsidRPr="004A33EC">
        <w:t>eekly (8 mg to 32 mg).</w:t>
      </w:r>
    </w:p>
    <w:p w14:paraId="0C80FCAB" w14:textId="05D91C54" w:rsidR="001A3992" w:rsidRDefault="001A3992" w:rsidP="00AF5EF6">
      <w:pPr>
        <w:pStyle w:val="Heading3"/>
      </w:pPr>
      <w:r w:rsidRPr="00497C85">
        <w:t>Distribution</w:t>
      </w:r>
    </w:p>
    <w:p w14:paraId="44EA9BEF" w14:textId="1C0CE3D6" w:rsidR="00082A02" w:rsidRPr="00FB63B3" w:rsidRDefault="00082A02" w:rsidP="00082A02">
      <w:r w:rsidRPr="00FB63B3">
        <w:t xml:space="preserve">Buprenorphine is </w:t>
      </w:r>
      <w:r w:rsidRPr="004B16A4">
        <w:t>lipophilic and has a large volume of distribution</w:t>
      </w:r>
      <w:r w:rsidR="0063482F">
        <w:t>.</w:t>
      </w:r>
      <w:r w:rsidRPr="004B16A4">
        <w:t xml:space="preserve"> Buprenorphine is highly protein bound (</w:t>
      </w:r>
      <w:r w:rsidRPr="00FB63B3">
        <w:t xml:space="preserve">96%), primarily to </w:t>
      </w:r>
      <w:r>
        <w:t>α</w:t>
      </w:r>
      <w:r w:rsidRPr="00FB63B3">
        <w:t xml:space="preserve">-(alpha) and </w:t>
      </w:r>
      <w:r>
        <w:t>β</w:t>
      </w:r>
      <w:r w:rsidRPr="00FB63B3">
        <w:t xml:space="preserve">-(beta) globulin. </w:t>
      </w:r>
    </w:p>
    <w:p w14:paraId="4B69D794" w14:textId="4A790CB4" w:rsidR="001A3992" w:rsidRDefault="001A3992" w:rsidP="00AF5EF6">
      <w:pPr>
        <w:pStyle w:val="Heading3"/>
      </w:pPr>
      <w:r w:rsidRPr="00497C85">
        <w:t>Metabolism</w:t>
      </w:r>
    </w:p>
    <w:p w14:paraId="1AFCE151" w14:textId="45355766" w:rsidR="005C4FDB" w:rsidRPr="001A0C33" w:rsidRDefault="005C4FDB" w:rsidP="005C4FDB">
      <w:pPr>
        <w:keepNext/>
      </w:pPr>
      <w:r w:rsidRPr="001A0C33">
        <w:t>Buprenorphine is metabolised by N-</w:t>
      </w:r>
      <w:proofErr w:type="spellStart"/>
      <w:r w:rsidRPr="001A0C33">
        <w:t>dealkylation</w:t>
      </w:r>
      <w:proofErr w:type="spellEnd"/>
      <w:r w:rsidRPr="001A0C33">
        <w:t xml:space="preserve"> to </w:t>
      </w:r>
      <w:proofErr w:type="spellStart"/>
      <w:r w:rsidRPr="001A0C33">
        <w:t>norbuprenorphine</w:t>
      </w:r>
      <w:proofErr w:type="spellEnd"/>
      <w:r w:rsidRPr="001A0C33">
        <w:t xml:space="preserve"> via cytochrome P450 CYP3A4 and both parent molecule and metabolite </w:t>
      </w:r>
      <w:r w:rsidRPr="004B16A4">
        <w:t xml:space="preserve">then undergo </w:t>
      </w:r>
      <w:proofErr w:type="spellStart"/>
      <w:r w:rsidRPr="004B16A4">
        <w:t>glucuronidation</w:t>
      </w:r>
      <w:proofErr w:type="spellEnd"/>
      <w:r w:rsidRPr="004B16A4">
        <w:t xml:space="preserve">. The </w:t>
      </w:r>
      <w:proofErr w:type="spellStart"/>
      <w:r w:rsidRPr="004B16A4">
        <w:t>nor</w:t>
      </w:r>
      <w:r w:rsidR="008123CB" w:rsidRPr="004B16A4">
        <w:t>b</w:t>
      </w:r>
      <w:r w:rsidRPr="004B16A4">
        <w:t>uprenorphine</w:t>
      </w:r>
      <w:proofErr w:type="spellEnd"/>
      <w:r w:rsidRPr="004B16A4">
        <w:t xml:space="preserve"> metabolite can show high affinity for and biological activity at opioid receptors</w:t>
      </w:r>
      <w:r w:rsidRPr="004B16A4">
        <w:rPr>
          <w:strike/>
        </w:rPr>
        <w:t>.</w:t>
      </w:r>
      <w:r w:rsidRPr="001A0C33">
        <w:t xml:space="preserve"> </w:t>
      </w:r>
    </w:p>
    <w:p w14:paraId="2E4670A7" w14:textId="4FB033AF" w:rsidR="00C743CC" w:rsidRPr="00252E3D" w:rsidRDefault="00C743CC" w:rsidP="00C743CC">
      <w:pPr>
        <w:numPr>
          <w:ilvl w:val="12"/>
          <w:numId w:val="0"/>
        </w:numPr>
        <w:ind w:right="-2"/>
      </w:pPr>
      <w:r w:rsidRPr="00962DCF">
        <w:t xml:space="preserve">Subcutaneous administration of </w:t>
      </w:r>
      <w:proofErr w:type="spellStart"/>
      <w:r w:rsidR="004E0E67">
        <w:t>Buvidal</w:t>
      </w:r>
      <w:proofErr w:type="spellEnd"/>
      <w:r w:rsidRPr="0062156F">
        <w:t xml:space="preserve"> </w:t>
      </w:r>
      <w:r w:rsidR="009E28F6">
        <w:t xml:space="preserve">Weekly </w:t>
      </w:r>
      <w:r w:rsidRPr="00962DCF">
        <w:t xml:space="preserve">results in significantly lower plasma concentrations of </w:t>
      </w:r>
      <w:proofErr w:type="spellStart"/>
      <w:r w:rsidRPr="00962DCF">
        <w:t>norbuprenorphine</w:t>
      </w:r>
      <w:proofErr w:type="spellEnd"/>
      <w:r w:rsidRPr="00962DCF">
        <w:t xml:space="preserve"> metabolite compared to administration of sublingual buprenorphine, due to avoidance of first-pass metabolism.</w:t>
      </w:r>
    </w:p>
    <w:p w14:paraId="36803018" w14:textId="6D149D8D" w:rsidR="001A3992" w:rsidRDefault="001A3992" w:rsidP="00AF5EF6">
      <w:pPr>
        <w:pStyle w:val="Heading3"/>
      </w:pPr>
      <w:r w:rsidRPr="00497C85">
        <w:t>Excretion</w:t>
      </w:r>
    </w:p>
    <w:p w14:paraId="10E609B3" w14:textId="78835915" w:rsidR="005C4FDB" w:rsidRDefault="005C4FDB" w:rsidP="00C743CC">
      <w:pPr>
        <w:numPr>
          <w:ilvl w:val="12"/>
          <w:numId w:val="0"/>
        </w:numPr>
        <w:ind w:right="-2"/>
      </w:pPr>
      <w:r w:rsidRPr="004B16A4">
        <w:t xml:space="preserve">The rate of release of buprenorphine from </w:t>
      </w:r>
      <w:proofErr w:type="spellStart"/>
      <w:r w:rsidR="004E0E67" w:rsidRPr="004B16A4">
        <w:t>Buvidal</w:t>
      </w:r>
      <w:proofErr w:type="spellEnd"/>
      <w:r w:rsidRPr="004B16A4">
        <w:t xml:space="preserve"> </w:t>
      </w:r>
      <w:r w:rsidR="009E28F6">
        <w:t xml:space="preserve">Weekly </w:t>
      </w:r>
      <w:r w:rsidRPr="004B16A4">
        <w:t>controls its elimination</w:t>
      </w:r>
      <w:r w:rsidR="009E28F6">
        <w:t xml:space="preserve"> with</w:t>
      </w:r>
      <w:r w:rsidRPr="004B16A4">
        <w:t xml:space="preserve"> a terminal half-life in plasma</w:t>
      </w:r>
      <w:r w:rsidRPr="00BD4EC8">
        <w:t xml:space="preserve"> ranging from 3 to 5 days.</w:t>
      </w:r>
    </w:p>
    <w:p w14:paraId="6EC2609B" w14:textId="26070DC2" w:rsidR="00C743CC" w:rsidRDefault="00C743CC" w:rsidP="00C743CC">
      <w:pPr>
        <w:numPr>
          <w:ilvl w:val="12"/>
          <w:numId w:val="0"/>
        </w:numPr>
        <w:ind w:right="-2"/>
      </w:pPr>
      <w:r w:rsidRPr="00252E3D">
        <w:t>Buprenorphine is</w:t>
      </w:r>
      <w:r>
        <w:t xml:space="preserve"> primarily </w:t>
      </w:r>
      <w:r w:rsidRPr="00252E3D">
        <w:t xml:space="preserve">eliminated in the faeces by biliary excretion of the </w:t>
      </w:r>
      <w:proofErr w:type="spellStart"/>
      <w:r w:rsidRPr="00252E3D">
        <w:t>glucuroconjugated</w:t>
      </w:r>
      <w:proofErr w:type="spellEnd"/>
      <w:r w:rsidRPr="00252E3D">
        <w:t xml:space="preserve"> metabolites (70%), the </w:t>
      </w:r>
      <w:r>
        <w:t>remainder</w:t>
      </w:r>
      <w:r w:rsidRPr="00252E3D">
        <w:t xml:space="preserve"> being eliminated in the urine.</w:t>
      </w:r>
      <w:r>
        <w:t xml:space="preserve"> Total clearance of buprenorphine is approximately 68 L/h.</w:t>
      </w:r>
    </w:p>
    <w:p w14:paraId="74256EA2" w14:textId="77777777" w:rsidR="00D40187" w:rsidRDefault="00D40187" w:rsidP="00AF5EF6">
      <w:pPr>
        <w:pStyle w:val="Heading3"/>
      </w:pPr>
      <w:r>
        <w:t>Special Populations</w:t>
      </w:r>
    </w:p>
    <w:p w14:paraId="76E3511B" w14:textId="51959FEF" w:rsidR="00BD270E" w:rsidRPr="00CE2593" w:rsidRDefault="00BD270E" w:rsidP="00AF5EF6">
      <w:pPr>
        <w:pStyle w:val="Heading3"/>
      </w:pPr>
      <w:r w:rsidRPr="00CE2593">
        <w:t>Elderly</w:t>
      </w:r>
    </w:p>
    <w:p w14:paraId="09AB79D7" w14:textId="77777777" w:rsidR="00BD270E" w:rsidRPr="00252E3D" w:rsidRDefault="00BD270E" w:rsidP="00BD270E">
      <w:pPr>
        <w:numPr>
          <w:ilvl w:val="12"/>
          <w:numId w:val="0"/>
        </w:numPr>
        <w:ind w:right="-2"/>
      </w:pPr>
      <w:r w:rsidRPr="00252E3D">
        <w:t>No pharmacokinetic data in elderly patients</w:t>
      </w:r>
      <w:r>
        <w:t xml:space="preserve"> (&gt; 65 years)</w:t>
      </w:r>
      <w:r w:rsidRPr="00252E3D">
        <w:t xml:space="preserve"> are available.</w:t>
      </w:r>
    </w:p>
    <w:p w14:paraId="126DD87E" w14:textId="77777777" w:rsidR="00BD270E" w:rsidRPr="00783D3C" w:rsidRDefault="00BD270E" w:rsidP="00BD270E">
      <w:pPr>
        <w:keepNext/>
        <w:numPr>
          <w:ilvl w:val="12"/>
          <w:numId w:val="0"/>
        </w:numPr>
        <w:rPr>
          <w:rFonts w:asciiTheme="majorHAnsi" w:hAnsiTheme="majorHAnsi"/>
          <w:b/>
        </w:rPr>
      </w:pPr>
      <w:r w:rsidRPr="00783D3C">
        <w:rPr>
          <w:rFonts w:asciiTheme="majorHAnsi" w:hAnsiTheme="majorHAnsi"/>
          <w:b/>
        </w:rPr>
        <w:lastRenderedPageBreak/>
        <w:t>Renal impairment</w:t>
      </w:r>
    </w:p>
    <w:p w14:paraId="1B1713C5" w14:textId="77489474" w:rsidR="00BD270E" w:rsidRDefault="00BD270E" w:rsidP="00BD270E">
      <w:pPr>
        <w:numPr>
          <w:ilvl w:val="12"/>
          <w:numId w:val="0"/>
        </w:numPr>
        <w:ind w:right="-2"/>
      </w:pPr>
      <w:r w:rsidRPr="00252E3D">
        <w:t>Renal elimination plays a relative</w:t>
      </w:r>
      <w:r w:rsidR="000F20C4">
        <w:t>ly</w:t>
      </w:r>
      <w:r w:rsidRPr="00252E3D">
        <w:t xml:space="preserve"> small role (</w:t>
      </w:r>
      <w:r>
        <w:t>~</w:t>
      </w:r>
      <w:r w:rsidRPr="00252E3D">
        <w:t>30%) in the overall clearance of buprenorphine. No dose modification based on renal function is require</w:t>
      </w:r>
      <w:r>
        <w:t>d,</w:t>
      </w:r>
      <w:r w:rsidRPr="00252E3D">
        <w:t xml:space="preserve"> but caution is recommended when dosing subjects with severe renal impairment </w:t>
      </w:r>
      <w:r w:rsidRPr="00783D3C">
        <w:t xml:space="preserve">(see </w:t>
      </w:r>
      <w:r w:rsidR="00783D3C">
        <w:t xml:space="preserve">section 4.2 </w:t>
      </w:r>
      <w:r w:rsidRPr="00783D3C">
        <w:t xml:space="preserve">DOSE </w:t>
      </w:r>
      <w:r w:rsidR="00783D3C">
        <w:t xml:space="preserve">AND METHOD OF </w:t>
      </w:r>
      <w:r w:rsidRPr="00783D3C">
        <w:t xml:space="preserve">ADMINISTRATION and </w:t>
      </w:r>
      <w:r w:rsidR="00783D3C">
        <w:t xml:space="preserve">section 4.4 SPECIAL WARNINGS AND </w:t>
      </w:r>
      <w:r w:rsidRPr="00783D3C">
        <w:t>PRECAUTIONS</w:t>
      </w:r>
      <w:r w:rsidR="00783D3C">
        <w:t xml:space="preserve"> FOR USE</w:t>
      </w:r>
      <w:r w:rsidRPr="00783D3C">
        <w:t>).</w:t>
      </w:r>
    </w:p>
    <w:p w14:paraId="5F5E36AB" w14:textId="77777777" w:rsidR="00BD270E" w:rsidRPr="000031C9" w:rsidRDefault="00BD270E" w:rsidP="00BD270E">
      <w:pPr>
        <w:keepNext/>
        <w:numPr>
          <w:ilvl w:val="12"/>
          <w:numId w:val="0"/>
        </w:numPr>
        <w:rPr>
          <w:rFonts w:asciiTheme="majorHAnsi" w:hAnsiTheme="majorHAnsi"/>
          <w:b/>
        </w:rPr>
      </w:pPr>
      <w:r w:rsidRPr="000031C9">
        <w:rPr>
          <w:rFonts w:asciiTheme="majorHAnsi" w:hAnsiTheme="majorHAnsi"/>
          <w:b/>
        </w:rPr>
        <w:t>Hepatic impairment</w:t>
      </w:r>
    </w:p>
    <w:p w14:paraId="3C64309D" w14:textId="50400142" w:rsidR="00BD270E" w:rsidRDefault="00BD270E" w:rsidP="00BD270E">
      <w:pPr>
        <w:numPr>
          <w:ilvl w:val="12"/>
          <w:numId w:val="0"/>
        </w:numPr>
        <w:ind w:right="-2"/>
      </w:pPr>
      <w:r w:rsidRPr="00071DE2">
        <w:t xml:space="preserve">The effect of hepatic impairment on the pharmacokinetics of buprenorphine and naloxone has been evaluated in a post-marketing study of sublingual buprenorphine. Results are provided in </w:t>
      </w:r>
      <w:r w:rsidRPr="00071DE2">
        <w:fldChar w:fldCharType="begin"/>
      </w:r>
      <w:r w:rsidRPr="00071DE2">
        <w:instrText xml:space="preserve"> REF _Ref487451885 \h  \* MERGEFORMAT </w:instrText>
      </w:r>
      <w:r w:rsidRPr="00071DE2">
        <w:fldChar w:fldCharType="separate"/>
      </w:r>
      <w:r w:rsidR="003C205E">
        <w:t xml:space="preserve">Table </w:t>
      </w:r>
      <w:r w:rsidRPr="00071DE2">
        <w:fldChar w:fldCharType="end"/>
      </w:r>
      <w:r w:rsidR="000031C9">
        <w:t>5</w:t>
      </w:r>
      <w:r w:rsidRPr="00071DE2">
        <w:t xml:space="preserve"> below.</w:t>
      </w:r>
    </w:p>
    <w:p w14:paraId="6AA9BF7D" w14:textId="1CC72190" w:rsidR="00BD270E" w:rsidRDefault="00BD270E" w:rsidP="00BD270E">
      <w:pPr>
        <w:pStyle w:val="Caption"/>
      </w:pPr>
      <w:bookmarkStart w:id="7" w:name="_Ref487451885"/>
      <w:r>
        <w:t xml:space="preserve">Table </w:t>
      </w:r>
      <w:bookmarkEnd w:id="7"/>
      <w:r w:rsidR="000031C9">
        <w:t>5</w:t>
      </w:r>
      <w:r>
        <w:t xml:space="preserve"> </w:t>
      </w:r>
      <w:r w:rsidRPr="00760971">
        <w:t xml:space="preserve">Effect of hepatic impairment (change relative to healthy subjects) on pharmacokinetic parameters </w:t>
      </w:r>
      <w:r w:rsidRPr="000D3D1B">
        <w:t>of buprenorphine following sublingual buprenorphine/naloxone administration (2.0/0.5 mg) in healthy subjects,</w:t>
      </w:r>
      <w:r w:rsidRPr="00760971">
        <w:t xml:space="preserve"> and in subjects with varied degrees of hepatic impairment</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435"/>
        <w:gridCol w:w="2435"/>
        <w:gridCol w:w="2434"/>
      </w:tblGrid>
      <w:tr w:rsidR="00BD270E" w:rsidRPr="000D3D1B" w14:paraId="4B1EB99F" w14:textId="77777777" w:rsidTr="00D6178A">
        <w:tc>
          <w:tcPr>
            <w:tcW w:w="1053" w:type="pct"/>
            <w:shd w:val="clear" w:color="auto" w:fill="auto"/>
            <w:hideMark/>
          </w:tcPr>
          <w:p w14:paraId="4224A0EF" w14:textId="77777777" w:rsidR="00BD270E" w:rsidRPr="00073A4A" w:rsidRDefault="00BD270E" w:rsidP="00073A4A">
            <w:pPr>
              <w:pStyle w:val="TableHeader"/>
            </w:pPr>
            <w:r w:rsidRPr="00073A4A">
              <w:t>Pharmacokinetic Parameter</w:t>
            </w:r>
          </w:p>
        </w:tc>
        <w:tc>
          <w:tcPr>
            <w:tcW w:w="1316" w:type="pct"/>
            <w:shd w:val="clear" w:color="auto" w:fill="auto"/>
            <w:hideMark/>
          </w:tcPr>
          <w:p w14:paraId="123EC7F8" w14:textId="77777777" w:rsidR="00BD270E" w:rsidRPr="00073A4A" w:rsidRDefault="00BD270E" w:rsidP="00073A4A">
            <w:pPr>
              <w:pStyle w:val="TableHeader"/>
            </w:pPr>
            <w:r w:rsidRPr="00073A4A">
              <w:t>Mild Hepatic Impairment</w:t>
            </w:r>
            <w:r w:rsidRPr="00073A4A">
              <w:br/>
              <w:t>(Child-Pugh Class A)</w:t>
            </w:r>
            <w:r w:rsidRPr="00073A4A">
              <w:br/>
              <w:t>(n=9)</w:t>
            </w:r>
          </w:p>
        </w:tc>
        <w:tc>
          <w:tcPr>
            <w:tcW w:w="1316" w:type="pct"/>
            <w:shd w:val="clear" w:color="auto" w:fill="auto"/>
            <w:hideMark/>
          </w:tcPr>
          <w:p w14:paraId="0D8A3217" w14:textId="77777777" w:rsidR="00BD270E" w:rsidRPr="00073A4A" w:rsidRDefault="00BD270E" w:rsidP="00073A4A">
            <w:pPr>
              <w:pStyle w:val="TableHeader"/>
            </w:pPr>
            <w:r w:rsidRPr="00073A4A">
              <w:t>Moderate Hepatic Impairment</w:t>
            </w:r>
            <w:r w:rsidRPr="00073A4A">
              <w:br/>
              <w:t>(Child-Pugh Class B)</w:t>
            </w:r>
            <w:r w:rsidRPr="00073A4A">
              <w:br/>
              <w:t>(n=8)</w:t>
            </w:r>
          </w:p>
        </w:tc>
        <w:tc>
          <w:tcPr>
            <w:tcW w:w="1316" w:type="pct"/>
            <w:shd w:val="clear" w:color="auto" w:fill="auto"/>
            <w:hideMark/>
          </w:tcPr>
          <w:p w14:paraId="09B04A4A" w14:textId="77777777" w:rsidR="00BD270E" w:rsidRPr="00073A4A" w:rsidRDefault="00BD270E" w:rsidP="00073A4A">
            <w:pPr>
              <w:pStyle w:val="TableHeader"/>
            </w:pPr>
            <w:r w:rsidRPr="00073A4A">
              <w:t>Severe Hepatic Impairment</w:t>
            </w:r>
            <w:r w:rsidRPr="00073A4A">
              <w:br/>
              <w:t>(Child-Pugh Class C)</w:t>
            </w:r>
            <w:r w:rsidRPr="00073A4A">
              <w:br/>
              <w:t>(n=8)</w:t>
            </w:r>
          </w:p>
        </w:tc>
      </w:tr>
      <w:tr w:rsidR="00BD270E" w:rsidRPr="00760971" w14:paraId="197D03C2" w14:textId="77777777" w:rsidTr="00D40187">
        <w:tc>
          <w:tcPr>
            <w:tcW w:w="5000" w:type="pct"/>
            <w:gridSpan w:val="4"/>
            <w:shd w:val="clear" w:color="auto" w:fill="auto"/>
            <w:hideMark/>
          </w:tcPr>
          <w:p w14:paraId="74C3E033" w14:textId="77777777" w:rsidR="00BD270E" w:rsidRPr="00760971" w:rsidRDefault="00BD270E" w:rsidP="00D40187">
            <w:pPr>
              <w:pStyle w:val="TableHeader"/>
            </w:pPr>
            <w:r w:rsidRPr="00760971">
              <w:t>Buprenorphine</w:t>
            </w:r>
          </w:p>
        </w:tc>
      </w:tr>
      <w:tr w:rsidR="00BD270E" w:rsidRPr="00760971" w14:paraId="3449C6DD" w14:textId="77777777" w:rsidTr="00B428FB">
        <w:tc>
          <w:tcPr>
            <w:tcW w:w="1053" w:type="pct"/>
            <w:shd w:val="clear" w:color="auto" w:fill="auto"/>
            <w:hideMark/>
          </w:tcPr>
          <w:p w14:paraId="6C05ED6F" w14:textId="77777777" w:rsidR="00BD270E" w:rsidRPr="00760971" w:rsidRDefault="00BD270E" w:rsidP="00D40187">
            <w:pPr>
              <w:pStyle w:val="Tabletext"/>
            </w:pPr>
            <w:proofErr w:type="spellStart"/>
            <w:r w:rsidRPr="00760971">
              <w:t>C</w:t>
            </w:r>
            <w:r w:rsidRPr="00760971">
              <w:rPr>
                <w:vertAlign w:val="subscript"/>
              </w:rPr>
              <w:t>max</w:t>
            </w:r>
            <w:proofErr w:type="spellEnd"/>
          </w:p>
        </w:tc>
        <w:tc>
          <w:tcPr>
            <w:tcW w:w="1316" w:type="pct"/>
            <w:shd w:val="clear" w:color="auto" w:fill="auto"/>
            <w:hideMark/>
          </w:tcPr>
          <w:p w14:paraId="3A72B1DD" w14:textId="77777777" w:rsidR="00BD270E" w:rsidRPr="00760971" w:rsidRDefault="00BD270E" w:rsidP="00D40187">
            <w:pPr>
              <w:pStyle w:val="Tabletext"/>
            </w:pPr>
            <w:r w:rsidRPr="00760971">
              <w:t xml:space="preserve">1.2-fold increase </w:t>
            </w:r>
          </w:p>
        </w:tc>
        <w:tc>
          <w:tcPr>
            <w:tcW w:w="1316" w:type="pct"/>
            <w:shd w:val="clear" w:color="auto" w:fill="auto"/>
            <w:hideMark/>
          </w:tcPr>
          <w:p w14:paraId="5D1E2C8C" w14:textId="77777777" w:rsidR="00BD270E" w:rsidRPr="00760971" w:rsidRDefault="00BD270E" w:rsidP="00D40187">
            <w:pPr>
              <w:pStyle w:val="Tabletext"/>
            </w:pPr>
            <w:r w:rsidRPr="00760971">
              <w:t xml:space="preserve">1.1-fold increase </w:t>
            </w:r>
          </w:p>
        </w:tc>
        <w:tc>
          <w:tcPr>
            <w:tcW w:w="1316" w:type="pct"/>
            <w:shd w:val="clear" w:color="auto" w:fill="auto"/>
            <w:hideMark/>
          </w:tcPr>
          <w:p w14:paraId="699FD8B7" w14:textId="77777777" w:rsidR="00BD270E" w:rsidRPr="00760971" w:rsidRDefault="00BD270E" w:rsidP="00D40187">
            <w:pPr>
              <w:pStyle w:val="Tabletext"/>
            </w:pPr>
            <w:r w:rsidRPr="00760971">
              <w:t xml:space="preserve">1.7-fold increase </w:t>
            </w:r>
          </w:p>
        </w:tc>
      </w:tr>
      <w:tr w:rsidR="00BD270E" w:rsidRPr="00760971" w14:paraId="58AB2A40" w14:textId="77777777" w:rsidTr="00B428FB">
        <w:tc>
          <w:tcPr>
            <w:tcW w:w="1053" w:type="pct"/>
            <w:shd w:val="clear" w:color="auto" w:fill="auto"/>
            <w:hideMark/>
          </w:tcPr>
          <w:p w14:paraId="0D5ED2B9" w14:textId="77777777" w:rsidR="00BD270E" w:rsidRPr="00760971" w:rsidRDefault="00BD270E" w:rsidP="00D40187">
            <w:pPr>
              <w:pStyle w:val="Tabletext"/>
            </w:pPr>
            <w:proofErr w:type="spellStart"/>
            <w:r w:rsidRPr="00760971">
              <w:t>AUC</w:t>
            </w:r>
            <w:r w:rsidRPr="00760971">
              <w:rPr>
                <w:vertAlign w:val="subscript"/>
              </w:rPr>
              <w:t>last</w:t>
            </w:r>
            <w:proofErr w:type="spellEnd"/>
          </w:p>
        </w:tc>
        <w:tc>
          <w:tcPr>
            <w:tcW w:w="1316" w:type="pct"/>
            <w:shd w:val="clear" w:color="auto" w:fill="auto"/>
            <w:hideMark/>
          </w:tcPr>
          <w:p w14:paraId="09C6ACCC" w14:textId="77777777" w:rsidR="00BD270E" w:rsidRPr="00760971" w:rsidRDefault="00BD270E" w:rsidP="00D40187">
            <w:pPr>
              <w:pStyle w:val="Tabletext"/>
            </w:pPr>
            <w:r w:rsidRPr="00760971">
              <w:t xml:space="preserve">Similar to control </w:t>
            </w:r>
          </w:p>
        </w:tc>
        <w:tc>
          <w:tcPr>
            <w:tcW w:w="1316" w:type="pct"/>
            <w:shd w:val="clear" w:color="auto" w:fill="auto"/>
            <w:hideMark/>
          </w:tcPr>
          <w:p w14:paraId="25DFBA52" w14:textId="77777777" w:rsidR="00BD270E" w:rsidRPr="00760971" w:rsidRDefault="00BD270E" w:rsidP="00D40187">
            <w:pPr>
              <w:pStyle w:val="Tabletext"/>
            </w:pPr>
            <w:r w:rsidRPr="00760971">
              <w:t xml:space="preserve">1.6-fold increase </w:t>
            </w:r>
          </w:p>
        </w:tc>
        <w:tc>
          <w:tcPr>
            <w:tcW w:w="1316" w:type="pct"/>
            <w:shd w:val="clear" w:color="auto" w:fill="auto"/>
            <w:hideMark/>
          </w:tcPr>
          <w:p w14:paraId="12FB95B6" w14:textId="77777777" w:rsidR="00BD270E" w:rsidRPr="00760971" w:rsidRDefault="00BD270E" w:rsidP="00D40187">
            <w:pPr>
              <w:pStyle w:val="Tabletext"/>
            </w:pPr>
            <w:r w:rsidRPr="00760971">
              <w:t xml:space="preserve">2.8-fold increase </w:t>
            </w:r>
          </w:p>
        </w:tc>
      </w:tr>
    </w:tbl>
    <w:p w14:paraId="3980CFDD" w14:textId="7028A1E0" w:rsidR="00BD270E" w:rsidRDefault="00BD270E" w:rsidP="00C8510E">
      <w:pPr>
        <w:rPr>
          <w:lang w:val="en" w:eastAsia="sv-SE"/>
        </w:rPr>
      </w:pPr>
      <w:r w:rsidRPr="00736CE9">
        <w:rPr>
          <w:lang w:val="en" w:eastAsia="sv-SE"/>
        </w:rPr>
        <w:t>Overall, buprenorphine plasma exposure increased appr</w:t>
      </w:r>
      <w:r>
        <w:rPr>
          <w:lang w:val="en" w:eastAsia="sv-SE"/>
        </w:rPr>
        <w:t>oximately 3</w:t>
      </w:r>
      <w:r>
        <w:rPr>
          <w:lang w:val="en" w:eastAsia="sv-SE"/>
        </w:rPr>
        <w:noBreakHyphen/>
      </w:r>
      <w:r w:rsidRPr="00736CE9">
        <w:rPr>
          <w:lang w:val="en" w:eastAsia="sv-SE"/>
        </w:rPr>
        <w:t>fold in patients with severely impaired hepatic function</w:t>
      </w:r>
      <w:r>
        <w:rPr>
          <w:lang w:val="en" w:eastAsia="sv-SE"/>
        </w:rPr>
        <w:t xml:space="preserve"> </w:t>
      </w:r>
      <w:r w:rsidRPr="00CA1A66">
        <w:rPr>
          <w:lang w:val="en" w:eastAsia="sv-SE"/>
        </w:rPr>
        <w:t xml:space="preserve">(see </w:t>
      </w:r>
      <w:r w:rsidR="00CA1A66">
        <w:rPr>
          <w:lang w:val="en" w:eastAsia="sv-SE"/>
        </w:rPr>
        <w:t xml:space="preserve">section 4.2 </w:t>
      </w:r>
      <w:r w:rsidRPr="00CA1A66">
        <w:rPr>
          <w:lang w:val="en" w:eastAsia="sv-SE"/>
        </w:rPr>
        <w:t xml:space="preserve">DOSE </w:t>
      </w:r>
      <w:r w:rsidR="00CA1A66">
        <w:rPr>
          <w:lang w:val="en" w:eastAsia="sv-SE"/>
        </w:rPr>
        <w:t xml:space="preserve">AND METHOD OF </w:t>
      </w:r>
      <w:r w:rsidRPr="00CA1A66">
        <w:rPr>
          <w:lang w:val="en" w:eastAsia="sv-SE"/>
        </w:rPr>
        <w:t xml:space="preserve">ADMINISTRATION, </w:t>
      </w:r>
      <w:r w:rsidR="00CA1A66">
        <w:rPr>
          <w:lang w:val="en" w:eastAsia="sv-SE"/>
        </w:rPr>
        <w:t xml:space="preserve">section 4.3 </w:t>
      </w:r>
      <w:r w:rsidRPr="00CA1A66">
        <w:rPr>
          <w:lang w:val="en" w:eastAsia="sv-SE"/>
        </w:rPr>
        <w:t xml:space="preserve">CONTRAINDICATIONS and </w:t>
      </w:r>
      <w:r w:rsidR="00CA1A66">
        <w:rPr>
          <w:lang w:val="en" w:eastAsia="sv-SE"/>
        </w:rPr>
        <w:t xml:space="preserve">section 4.4 SPECIAL WARNINGS AND </w:t>
      </w:r>
      <w:r w:rsidRPr="00CA1A66">
        <w:rPr>
          <w:lang w:val="en" w:eastAsia="sv-SE"/>
        </w:rPr>
        <w:t>PRECAUTIONS</w:t>
      </w:r>
      <w:r w:rsidR="00CA1A66">
        <w:rPr>
          <w:lang w:val="en" w:eastAsia="sv-SE"/>
        </w:rPr>
        <w:t xml:space="preserve"> FOR USE</w:t>
      </w:r>
      <w:r w:rsidRPr="00CA1A66">
        <w:rPr>
          <w:lang w:val="en" w:eastAsia="sv-SE"/>
        </w:rPr>
        <w:t>).</w:t>
      </w:r>
      <w:r w:rsidRPr="00A55870">
        <w:rPr>
          <w:lang w:val="en" w:eastAsia="sv-SE"/>
        </w:rPr>
        <w:t xml:space="preserve"> </w:t>
      </w:r>
    </w:p>
    <w:p w14:paraId="6EC1CEB3" w14:textId="00194B48" w:rsidR="001A3992" w:rsidRDefault="001A3992" w:rsidP="001A3992">
      <w:pPr>
        <w:pStyle w:val="Heading2"/>
        <w:spacing w:before="0"/>
        <w:rPr>
          <w:rFonts w:cstheme="minorHAnsi"/>
          <w:lang w:val="en-US"/>
        </w:rPr>
      </w:pPr>
      <w:r w:rsidRPr="00497C85">
        <w:rPr>
          <w:rFonts w:cstheme="minorHAnsi"/>
          <w:lang w:val="en-US"/>
        </w:rPr>
        <w:t>Preclinical safety data</w:t>
      </w:r>
    </w:p>
    <w:p w14:paraId="2F545F5A" w14:textId="02A0F195" w:rsidR="00214196" w:rsidRDefault="00214196" w:rsidP="00214196">
      <w:pPr>
        <w:pStyle w:val="Heading3"/>
      </w:pPr>
      <w:r>
        <w:t>General</w:t>
      </w:r>
    </w:p>
    <w:p w14:paraId="13F552CC" w14:textId="61FD61CE" w:rsidR="00214196" w:rsidRPr="00214196" w:rsidRDefault="00214196" w:rsidP="00214196">
      <w:pPr>
        <w:rPr>
          <w:lang w:val="en-US"/>
        </w:rPr>
      </w:pPr>
      <w:r w:rsidRPr="00214196">
        <w:t xml:space="preserve">Chronic toxicity studies in rat and dog of the vehicle used for </w:t>
      </w:r>
      <w:proofErr w:type="spellStart"/>
      <w:r w:rsidR="003250A9">
        <w:t>Buvidal</w:t>
      </w:r>
      <w:proofErr w:type="spellEnd"/>
      <w:r w:rsidR="003250A9">
        <w:t xml:space="preserve"> Weekly</w:t>
      </w:r>
      <w:r w:rsidRPr="00214196">
        <w:t xml:space="preserve"> revealed no specific special hazard for humans</w:t>
      </w:r>
    </w:p>
    <w:p w14:paraId="176C4E52" w14:textId="5D3DA774" w:rsidR="00FF48EA" w:rsidRDefault="00FF48EA" w:rsidP="00FF48EA">
      <w:pPr>
        <w:pStyle w:val="Heading3"/>
      </w:pPr>
      <w:proofErr w:type="spellStart"/>
      <w:r>
        <w:t>Genotoxicity</w:t>
      </w:r>
      <w:proofErr w:type="spellEnd"/>
    </w:p>
    <w:p w14:paraId="618EA8D4" w14:textId="5798F780" w:rsidR="00BC185F" w:rsidRPr="00FA61BF" w:rsidRDefault="00BC185F" w:rsidP="00BC185F">
      <w:pPr>
        <w:spacing w:after="0" w:line="240" w:lineRule="auto"/>
      </w:pPr>
      <w:r w:rsidRPr="00FA61BF">
        <w:t xml:space="preserve">Buprenorphine has been shown to give negative results in mutagenicity and </w:t>
      </w:r>
      <w:proofErr w:type="spellStart"/>
      <w:r w:rsidRPr="00FA61BF">
        <w:t>clastogenicity</w:t>
      </w:r>
      <w:proofErr w:type="spellEnd"/>
      <w:r w:rsidRPr="00FA61BF">
        <w:t xml:space="preserve"> assays. Similarly, the other components of </w:t>
      </w:r>
      <w:proofErr w:type="spellStart"/>
      <w:r w:rsidR="003250A9">
        <w:t>Buvidal</w:t>
      </w:r>
      <w:proofErr w:type="spellEnd"/>
      <w:r w:rsidR="003250A9">
        <w:t xml:space="preserve"> Weekly</w:t>
      </w:r>
      <w:r w:rsidRPr="00FA61BF">
        <w:t xml:space="preserve"> have either been shown to lack in vitro mutagenic and </w:t>
      </w:r>
      <w:proofErr w:type="spellStart"/>
      <w:r w:rsidRPr="00FA61BF">
        <w:t>clastogenic</w:t>
      </w:r>
      <w:proofErr w:type="spellEnd"/>
      <w:r w:rsidRPr="00FA61BF">
        <w:t xml:space="preserve"> activity (i.e. glyceryl </w:t>
      </w:r>
      <w:proofErr w:type="spellStart"/>
      <w:r w:rsidRPr="00FA61BF">
        <w:t>dioleate</w:t>
      </w:r>
      <w:proofErr w:type="spellEnd"/>
      <w:r w:rsidRPr="00FA61BF">
        <w:t xml:space="preserve">, ethanol) or are generally recognised as safe (i.e. </w:t>
      </w:r>
      <w:proofErr w:type="spellStart"/>
      <w:r w:rsidRPr="00FA61BF">
        <w:t>phosphatidyl</w:t>
      </w:r>
      <w:proofErr w:type="spellEnd"/>
      <w:r w:rsidRPr="00FA61BF">
        <w:t xml:space="preserve"> choline). </w:t>
      </w:r>
    </w:p>
    <w:p w14:paraId="72A95ED5" w14:textId="4C41D9E3" w:rsidR="00BC185F" w:rsidRPr="00FA61BF" w:rsidRDefault="009F4594" w:rsidP="00BC185F">
      <w:pPr>
        <w:pStyle w:val="Heading3"/>
      </w:pPr>
      <w:r w:rsidRPr="00FA61BF">
        <w:t>Carcinogenicity</w:t>
      </w:r>
    </w:p>
    <w:p w14:paraId="4C40F2A4" w14:textId="225BCFEE" w:rsidR="00BC185F" w:rsidRPr="00FA61BF" w:rsidRDefault="00BC185F" w:rsidP="00BC185F">
      <w:pPr>
        <w:spacing w:after="0" w:line="240" w:lineRule="auto"/>
        <w:rPr>
          <w:strike/>
        </w:rPr>
      </w:pPr>
      <w:r w:rsidRPr="00FA61BF">
        <w:t xml:space="preserve">Buprenorphine and the other components of </w:t>
      </w:r>
      <w:proofErr w:type="spellStart"/>
      <w:r w:rsidR="003250A9">
        <w:t>Buvidal</w:t>
      </w:r>
      <w:proofErr w:type="spellEnd"/>
      <w:r w:rsidR="003250A9">
        <w:t xml:space="preserve"> Weekly</w:t>
      </w:r>
      <w:r w:rsidRPr="00FA61BF">
        <w:t xml:space="preserve"> are considered to have low carcinogenic potential.</w:t>
      </w:r>
    </w:p>
    <w:p w14:paraId="7ED73A87" w14:textId="77777777" w:rsidR="001A3992" w:rsidRPr="00497C85" w:rsidRDefault="001A3992" w:rsidP="00AF5EF6">
      <w:pPr>
        <w:pStyle w:val="Heading1"/>
        <w:rPr>
          <w:lang w:val="en-US"/>
        </w:rPr>
      </w:pPr>
      <w:r w:rsidRPr="00497C85">
        <w:rPr>
          <w:lang w:val="en-US"/>
        </w:rPr>
        <w:t>Pharmaceutical particulars</w:t>
      </w:r>
    </w:p>
    <w:p w14:paraId="21ED478E" w14:textId="546A563E" w:rsidR="001A3992" w:rsidRDefault="001A3992" w:rsidP="001A3992">
      <w:pPr>
        <w:pStyle w:val="Heading2"/>
        <w:spacing w:before="0"/>
        <w:rPr>
          <w:rFonts w:cstheme="minorHAnsi"/>
          <w:lang w:val="en-US"/>
        </w:rPr>
      </w:pPr>
      <w:r w:rsidRPr="00497C85">
        <w:rPr>
          <w:rFonts w:cstheme="minorHAnsi"/>
          <w:lang w:val="en-US"/>
        </w:rPr>
        <w:t xml:space="preserve">List of excipients </w:t>
      </w:r>
    </w:p>
    <w:p w14:paraId="3C217D07" w14:textId="07CCADDA" w:rsidR="00274C29" w:rsidRDefault="00274C29" w:rsidP="00274C29">
      <w:pPr>
        <w:keepNext/>
        <w:spacing w:after="0" w:line="240" w:lineRule="auto"/>
        <w:rPr>
          <w:noProof/>
        </w:rPr>
      </w:pPr>
      <w:r>
        <w:rPr>
          <w:noProof/>
        </w:rPr>
        <w:lastRenderedPageBreak/>
        <w:t>p</w:t>
      </w:r>
      <w:r w:rsidRPr="000A5F78">
        <w:rPr>
          <w:noProof/>
        </w:rPr>
        <w:t>hosphatidyl</w:t>
      </w:r>
      <w:r>
        <w:rPr>
          <w:noProof/>
        </w:rPr>
        <w:t xml:space="preserve"> </w:t>
      </w:r>
      <w:r w:rsidRPr="000A5F78">
        <w:rPr>
          <w:noProof/>
        </w:rPr>
        <w:t>choline</w:t>
      </w:r>
      <w:r>
        <w:rPr>
          <w:noProof/>
        </w:rPr>
        <w:t xml:space="preserve"> [soybean]</w:t>
      </w:r>
      <w:r w:rsidRPr="000A5F78">
        <w:rPr>
          <w:noProof/>
        </w:rPr>
        <w:t>,</w:t>
      </w:r>
      <w:r w:rsidR="00C8510E">
        <w:rPr>
          <w:noProof/>
        </w:rPr>
        <w:br/>
      </w:r>
      <w:r w:rsidRPr="000A5F78">
        <w:rPr>
          <w:noProof/>
        </w:rPr>
        <w:t>glyceryl dioleate</w:t>
      </w:r>
    </w:p>
    <w:p w14:paraId="29B36872" w14:textId="2D09C406" w:rsidR="005B3B77" w:rsidRDefault="005B3B77" w:rsidP="00274C29">
      <w:pPr>
        <w:keepNext/>
        <w:spacing w:after="0" w:line="240" w:lineRule="auto"/>
        <w:rPr>
          <w:noProof/>
        </w:rPr>
      </w:pPr>
      <w:r w:rsidRPr="000A5F78">
        <w:rPr>
          <w:noProof/>
        </w:rPr>
        <w:t xml:space="preserve">ethanol absolute </w:t>
      </w:r>
    </w:p>
    <w:p w14:paraId="3CA4A2B7" w14:textId="77777777" w:rsidR="00274C29" w:rsidRDefault="00274C29" w:rsidP="00274C29">
      <w:pPr>
        <w:keepNext/>
        <w:spacing w:after="0" w:line="240" w:lineRule="auto"/>
        <w:rPr>
          <w:noProof/>
        </w:rPr>
      </w:pPr>
    </w:p>
    <w:p w14:paraId="4B4A2685" w14:textId="77777777" w:rsidR="001A3992" w:rsidRPr="00497C85" w:rsidRDefault="001A3992" w:rsidP="001A3992">
      <w:pPr>
        <w:pStyle w:val="Heading2"/>
        <w:keepNext/>
        <w:keepLines/>
        <w:spacing w:before="0"/>
        <w:rPr>
          <w:rFonts w:cstheme="minorHAnsi"/>
          <w:lang w:val="en-US"/>
        </w:rPr>
      </w:pPr>
      <w:r w:rsidRPr="00497C85">
        <w:rPr>
          <w:rFonts w:cstheme="minorHAnsi"/>
          <w:lang w:val="en-US"/>
        </w:rPr>
        <w:t xml:space="preserve">Incompatibilities </w:t>
      </w:r>
    </w:p>
    <w:p w14:paraId="287E6489" w14:textId="77777777" w:rsidR="005B3B77" w:rsidRPr="006B4557" w:rsidRDefault="005B3B77" w:rsidP="005B3B77">
      <w:pPr>
        <w:rPr>
          <w:noProof/>
        </w:rPr>
      </w:pPr>
      <w:r>
        <w:t>This product must not be mixed with other medicinal products.</w:t>
      </w:r>
      <w:r w:rsidDel="00842BAD">
        <w:rPr>
          <w:noProof/>
        </w:rPr>
        <w:t xml:space="preserve"> </w:t>
      </w:r>
    </w:p>
    <w:p w14:paraId="0811184B" w14:textId="77777777" w:rsidR="001A3992" w:rsidRPr="00497C85" w:rsidRDefault="001A3992" w:rsidP="001A3992">
      <w:pPr>
        <w:pStyle w:val="Heading2"/>
        <w:spacing w:before="0"/>
        <w:rPr>
          <w:rFonts w:cstheme="minorHAnsi"/>
          <w:lang w:val="en-US"/>
        </w:rPr>
      </w:pPr>
      <w:r w:rsidRPr="00497C85">
        <w:rPr>
          <w:rFonts w:cstheme="minorHAnsi"/>
          <w:lang w:val="en-US"/>
        </w:rPr>
        <w:t xml:space="preserve">Shelf life </w:t>
      </w:r>
    </w:p>
    <w:p w14:paraId="0AB18EE8" w14:textId="061D759E" w:rsidR="00D40187" w:rsidRDefault="00497C85" w:rsidP="00C8510E">
      <w:pPr>
        <w:rPr>
          <w:lang w:val="en"/>
        </w:rPr>
      </w:pPr>
      <w:r w:rsidRPr="00497C85">
        <w:rPr>
          <w:lang w:val="en"/>
        </w:rPr>
        <w:t xml:space="preserve">In Australia, information on the shelf life can be found on the public summary of the Australian Register of Therapeutic Goods (ARTG). The expiry date can be found on the packaging. </w:t>
      </w:r>
    </w:p>
    <w:p w14:paraId="0ACF76C7" w14:textId="3C407D34" w:rsidR="00D40187" w:rsidRDefault="00D40187" w:rsidP="001A3992">
      <w:pPr>
        <w:pStyle w:val="Heading2"/>
        <w:spacing w:before="0"/>
        <w:rPr>
          <w:rFonts w:cstheme="minorHAnsi"/>
          <w:lang w:val="en-US"/>
        </w:rPr>
      </w:pPr>
      <w:r>
        <w:rPr>
          <w:rFonts w:cstheme="minorHAnsi"/>
          <w:lang w:val="en-US"/>
        </w:rPr>
        <w:t>SPECIAL PRECAUTIONS FOR STORAGE</w:t>
      </w:r>
    </w:p>
    <w:p w14:paraId="426C4531" w14:textId="77777777" w:rsidR="008E32C1" w:rsidRPr="00FD4ECF" w:rsidRDefault="008E32C1" w:rsidP="008E32C1">
      <w:pPr>
        <w:rPr>
          <w:noProof/>
        </w:rPr>
      </w:pPr>
      <w:r>
        <w:rPr>
          <w:noProof/>
        </w:rPr>
        <w:t>Store below 25°C</w:t>
      </w:r>
      <w:r>
        <w:rPr>
          <w:noProof/>
        </w:rPr>
        <w:br/>
        <w:t>Do not refrigerate or freeze</w:t>
      </w:r>
    </w:p>
    <w:p w14:paraId="462B5E93" w14:textId="3D91BA9B" w:rsidR="001A3992" w:rsidRDefault="001A3992" w:rsidP="001A3992">
      <w:pPr>
        <w:pStyle w:val="Heading2"/>
        <w:spacing w:before="0"/>
        <w:rPr>
          <w:rFonts w:cstheme="minorHAnsi"/>
          <w:lang w:val="en-US"/>
        </w:rPr>
      </w:pPr>
      <w:r w:rsidRPr="00497C85">
        <w:rPr>
          <w:rFonts w:cstheme="minorHAnsi"/>
          <w:lang w:val="en-US"/>
        </w:rPr>
        <w:t xml:space="preserve">Nature and contents of container </w:t>
      </w:r>
    </w:p>
    <w:p w14:paraId="443897FA" w14:textId="37449C8D" w:rsidR="008E32C1" w:rsidRPr="007D5F7A" w:rsidRDefault="003250A9" w:rsidP="008E32C1">
      <w:pPr>
        <w:rPr>
          <w:noProof/>
          <w:szCs w:val="24"/>
        </w:rPr>
      </w:pPr>
      <w:proofErr w:type="spellStart"/>
      <w:r>
        <w:rPr>
          <w:szCs w:val="24"/>
        </w:rPr>
        <w:t>Buvidal</w:t>
      </w:r>
      <w:proofErr w:type="spellEnd"/>
      <w:r>
        <w:rPr>
          <w:szCs w:val="24"/>
        </w:rPr>
        <w:t xml:space="preserve"> Weekly</w:t>
      </w:r>
      <w:r w:rsidR="008E32C1" w:rsidRPr="007D5F7A">
        <w:rPr>
          <w:i/>
          <w:szCs w:val="24"/>
        </w:rPr>
        <w:t xml:space="preserve"> </w:t>
      </w:r>
      <w:r w:rsidR="008E32C1" w:rsidRPr="007D5F7A">
        <w:rPr>
          <w:szCs w:val="24"/>
        </w:rPr>
        <w:t xml:space="preserve">injection solution for subcutaneous administration is supplied as a single dose </w:t>
      </w:r>
      <w:r w:rsidR="00FE6EC7">
        <w:rPr>
          <w:szCs w:val="24"/>
        </w:rPr>
        <w:t xml:space="preserve">in a </w:t>
      </w:r>
      <w:r w:rsidR="008E32C1" w:rsidRPr="007D5F7A">
        <w:rPr>
          <w:noProof/>
          <w:szCs w:val="24"/>
        </w:rPr>
        <w:t>1 ml pre-filled syringe (glass) with plunger stopper (fluoropolymer-coated bromobutyl rubber) with needle (</w:t>
      </w:r>
      <w:r w:rsidR="008E32C1" w:rsidRPr="007D5F7A">
        <w:rPr>
          <w:szCs w:val="24"/>
        </w:rPr>
        <w:t>½-</w:t>
      </w:r>
      <w:r w:rsidR="008E32C1" w:rsidRPr="007D5F7A">
        <w:rPr>
          <w:noProof/>
          <w:szCs w:val="24"/>
        </w:rPr>
        <w:t xml:space="preserve">inch, 23 gauge, 12 mm) and needle shield (styrene butadiene rubber). The filled syringe is assembled in a safety device for post-injection needlestick prevention. </w:t>
      </w:r>
    </w:p>
    <w:p w14:paraId="4A2B2A89" w14:textId="77777777" w:rsidR="008E32C1" w:rsidRPr="007D5F7A" w:rsidRDefault="008E32C1" w:rsidP="008E32C1">
      <w:pPr>
        <w:rPr>
          <w:szCs w:val="24"/>
        </w:rPr>
      </w:pPr>
      <w:r w:rsidRPr="007D5F7A">
        <w:rPr>
          <w:szCs w:val="24"/>
        </w:rPr>
        <w:t>Each pack contains a single (1) prefilled syringe in the following strengths:</w:t>
      </w:r>
    </w:p>
    <w:p w14:paraId="750BA601" w14:textId="42E4482D" w:rsidR="008E32C1" w:rsidRDefault="008E32C1" w:rsidP="008E32C1">
      <w:pPr>
        <w:rPr>
          <w:sz w:val="23"/>
          <w:szCs w:val="23"/>
        </w:rPr>
      </w:pPr>
      <w:r w:rsidRPr="007D5F7A">
        <w:rPr>
          <w:szCs w:val="24"/>
        </w:rPr>
        <w:t>Pre-filled syringe containing 8 mg buprenorphine in 0.16 ml solution</w:t>
      </w:r>
      <w:r>
        <w:rPr>
          <w:szCs w:val="24"/>
        </w:rPr>
        <w:br/>
      </w:r>
      <w:r>
        <w:t>P</w:t>
      </w:r>
      <w:r w:rsidRPr="00B5050D">
        <w:t>re-filled syringe contain</w:t>
      </w:r>
      <w:r>
        <w:t>ing</w:t>
      </w:r>
      <w:r w:rsidRPr="00B5050D">
        <w:t xml:space="preserve"> 16 mg buprenorphine in 0.32 ml solution</w:t>
      </w:r>
      <w:r>
        <w:br/>
        <w:t>P</w:t>
      </w:r>
      <w:r w:rsidRPr="00B5050D">
        <w:t>re-filled syringe contain</w:t>
      </w:r>
      <w:r>
        <w:t>ing</w:t>
      </w:r>
      <w:r w:rsidRPr="00B5050D">
        <w:t xml:space="preserve"> 24 mg buprenorphine in 0.48 ml solution</w:t>
      </w:r>
      <w:r>
        <w:br/>
        <w:t>P</w:t>
      </w:r>
      <w:r w:rsidRPr="00B5050D">
        <w:t>re-filled syringe contain</w:t>
      </w:r>
      <w:r>
        <w:t>ing</w:t>
      </w:r>
      <w:r w:rsidRPr="00B5050D">
        <w:t xml:space="preserve"> 32 mg buprenorphine in 0.64 ml solution</w:t>
      </w:r>
      <w:r>
        <w:br/>
      </w:r>
    </w:p>
    <w:p w14:paraId="08D7F556" w14:textId="7E89A880" w:rsidR="001A3992" w:rsidRPr="00894EAC" w:rsidRDefault="001A3992" w:rsidP="001A3992">
      <w:pPr>
        <w:pStyle w:val="Heading2"/>
        <w:spacing w:before="0"/>
        <w:rPr>
          <w:rFonts w:cstheme="minorHAnsi"/>
          <w:lang w:val="en-US"/>
        </w:rPr>
      </w:pPr>
      <w:r w:rsidRPr="00894EAC">
        <w:rPr>
          <w:rFonts w:cstheme="minorHAnsi"/>
          <w:lang w:val="en-US"/>
        </w:rPr>
        <w:t xml:space="preserve">Special precautions for disposal </w:t>
      </w:r>
    </w:p>
    <w:p w14:paraId="5A23A2FE" w14:textId="65CEA3D3" w:rsidR="0083421F" w:rsidRPr="006B4557" w:rsidRDefault="0083421F" w:rsidP="0083421F">
      <w:r>
        <w:t>In Australia, a</w:t>
      </w:r>
      <w:r w:rsidRPr="006B4557">
        <w:t xml:space="preserve">ny unused medicinal product or waste material should be disposed of in accordance with local requirements. </w:t>
      </w:r>
    </w:p>
    <w:p w14:paraId="6337F4AB" w14:textId="22BA9F9F" w:rsidR="00894EAC" w:rsidRPr="0021004F" w:rsidRDefault="00894EAC" w:rsidP="00894EAC">
      <w:pPr>
        <w:pStyle w:val="Heading3"/>
      </w:pPr>
      <w:r w:rsidRPr="0021004F">
        <w:t>Other information:</w:t>
      </w:r>
    </w:p>
    <w:p w14:paraId="74B22FB7" w14:textId="77777777" w:rsidR="00894EAC" w:rsidRPr="00073A4A" w:rsidRDefault="00894EAC" w:rsidP="00894EAC">
      <w:pPr>
        <w:pStyle w:val="ListParagraph"/>
      </w:pPr>
      <w:r w:rsidRPr="00073A4A">
        <w:t>Do not use if the safety syringe is broken or the packaging is damaged.</w:t>
      </w:r>
    </w:p>
    <w:p w14:paraId="72DD7963" w14:textId="77777777" w:rsidR="00894EAC" w:rsidRPr="00073A4A" w:rsidRDefault="00894EAC" w:rsidP="00894EAC">
      <w:pPr>
        <w:pStyle w:val="ListParagraph"/>
      </w:pPr>
      <w:r w:rsidRPr="00073A4A">
        <w:t>The needle cap of the safety syringe may contain rubber latex that may cause allergic reactions in latex sensitive individuals.</w:t>
      </w:r>
    </w:p>
    <w:p w14:paraId="3586B92F" w14:textId="77777777" w:rsidR="00894EAC" w:rsidRPr="00073A4A" w:rsidRDefault="00894EAC" w:rsidP="00894EAC">
      <w:pPr>
        <w:pStyle w:val="ListParagraph"/>
      </w:pPr>
      <w:r w:rsidRPr="00073A4A">
        <w:t>Handle the safety syringe carefully to avoid a needle stick injury. The safety syringe includes a needle protection safety device that will activate at the end of the injection. The needle protection will help to prevent needle stick injuries.</w:t>
      </w:r>
    </w:p>
    <w:p w14:paraId="0C7B2169" w14:textId="77777777" w:rsidR="00894EAC" w:rsidRPr="00073A4A" w:rsidRDefault="00894EAC" w:rsidP="00894EAC">
      <w:pPr>
        <w:pStyle w:val="ListParagraph"/>
      </w:pPr>
      <w:r w:rsidRPr="00073A4A">
        <w:t>Do not uncap the safety syringe until you are ready to inject. Once uncapped never try to recap the needle.</w:t>
      </w:r>
    </w:p>
    <w:p w14:paraId="6ABD6ABF" w14:textId="322F6EF7" w:rsidR="00894EAC" w:rsidRDefault="00894EAC" w:rsidP="00894EAC">
      <w:pPr>
        <w:pStyle w:val="ListParagraph"/>
      </w:pPr>
      <w:r w:rsidRPr="00073A4A">
        <w:t>Dispose of the used safety syringe immediately after use. Do not re-use the safety syringe.</w:t>
      </w:r>
    </w:p>
    <w:p w14:paraId="60C0D404" w14:textId="2570EAAE" w:rsidR="006272AD" w:rsidRDefault="006272AD">
      <w:pPr>
        <w:spacing w:after="200"/>
        <w:rPr>
          <w:rFonts w:cstheme="minorHAnsi"/>
        </w:rPr>
      </w:pPr>
      <w:r>
        <w:br w:type="page"/>
      </w:r>
    </w:p>
    <w:p w14:paraId="5CA269D3" w14:textId="1BFDDB65" w:rsidR="008B292D" w:rsidRPr="00D31AF8" w:rsidRDefault="008B292D" w:rsidP="008B292D">
      <w:pPr>
        <w:pStyle w:val="Heading3"/>
      </w:pPr>
      <w:r w:rsidRPr="00D31AF8">
        <w:lastRenderedPageBreak/>
        <w:t xml:space="preserve">ADMINISTRATION INSTRUCTIONS FOR HEALTH CARE PROFESSIONALS </w:t>
      </w:r>
    </w:p>
    <w:p w14:paraId="5DC2A5E2" w14:textId="77777777" w:rsidR="008B292D" w:rsidRPr="00D31AF8" w:rsidRDefault="008B292D" w:rsidP="008B292D">
      <w:pPr>
        <w:rPr>
          <w:rFonts w:asciiTheme="majorHAnsi" w:hAnsiTheme="majorHAnsi"/>
          <w:b/>
        </w:rPr>
      </w:pPr>
      <w:r w:rsidRPr="00D31AF8">
        <w:rPr>
          <w:rFonts w:asciiTheme="majorHAnsi" w:hAnsiTheme="majorHAnsi"/>
          <w:b/>
        </w:rPr>
        <w:t>Before administration</w:t>
      </w:r>
    </w:p>
    <w:p w14:paraId="0F62ADF7" w14:textId="77777777" w:rsidR="008B292D" w:rsidRDefault="008B292D" w:rsidP="008B292D">
      <w:r>
        <w:t>Safety syringe parts:</w:t>
      </w:r>
    </w:p>
    <w:p w14:paraId="57B88E8F" w14:textId="77777777" w:rsidR="008B292D" w:rsidRPr="00D31AF8" w:rsidRDefault="008B292D" w:rsidP="008B292D">
      <w:pPr>
        <w:pStyle w:val="Heading4"/>
      </w:pPr>
      <w:r w:rsidRPr="00D31AF8">
        <w:t>Figure 1</w:t>
      </w:r>
    </w:p>
    <w:tbl>
      <w:tblPr>
        <w:tblW w:w="0" w:type="auto"/>
        <w:tblLook w:val="04A0" w:firstRow="1" w:lastRow="0" w:firstColumn="1" w:lastColumn="0" w:noHBand="0" w:noVBand="1"/>
      </w:tblPr>
      <w:tblGrid>
        <w:gridCol w:w="4507"/>
        <w:gridCol w:w="4519"/>
      </w:tblGrid>
      <w:tr w:rsidR="008B292D" w:rsidRPr="000624CB" w14:paraId="4C91902D" w14:textId="77777777" w:rsidTr="00580A4D">
        <w:tc>
          <w:tcPr>
            <w:tcW w:w="4621" w:type="dxa"/>
            <w:shd w:val="clear" w:color="auto" w:fill="auto"/>
          </w:tcPr>
          <w:p w14:paraId="5E41D5C5" w14:textId="77777777" w:rsidR="008B292D" w:rsidRPr="000624CB" w:rsidRDefault="008B292D" w:rsidP="00580A4D">
            <w:pPr>
              <w:rPr>
                <w:b/>
                <w:noProof/>
              </w:rPr>
            </w:pPr>
            <w:r>
              <w:rPr>
                <w:noProof/>
                <w:lang w:eastAsia="en-AU"/>
              </w:rPr>
              <w:drawing>
                <wp:inline distT="0" distB="0" distL="0" distR="0" wp14:anchorId="1D4586A3" wp14:editId="0F4AEDB7">
                  <wp:extent cx="2619375" cy="1638300"/>
                  <wp:effectExtent l="0" t="0" r="9525" b="0"/>
                  <wp:docPr id="13" name="Picture 13" descr="a1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1v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638300"/>
                          </a:xfrm>
                          <a:prstGeom prst="rect">
                            <a:avLst/>
                          </a:prstGeom>
                          <a:noFill/>
                          <a:ln>
                            <a:noFill/>
                          </a:ln>
                        </pic:spPr>
                      </pic:pic>
                    </a:graphicData>
                  </a:graphic>
                </wp:inline>
              </w:drawing>
            </w:r>
          </w:p>
        </w:tc>
        <w:tc>
          <w:tcPr>
            <w:tcW w:w="4620" w:type="dxa"/>
            <w:shd w:val="clear" w:color="auto" w:fill="auto"/>
          </w:tcPr>
          <w:p w14:paraId="1EB2CDE5" w14:textId="77777777" w:rsidR="008B292D" w:rsidRPr="000624CB" w:rsidRDefault="008B292D" w:rsidP="00580A4D">
            <w:pPr>
              <w:rPr>
                <w:b/>
                <w:noProof/>
              </w:rPr>
            </w:pPr>
            <w:r>
              <w:rPr>
                <w:b/>
                <w:noProof/>
                <w:lang w:eastAsia="en-AU"/>
              </w:rPr>
              <w:drawing>
                <wp:inline distT="0" distB="0" distL="0" distR="0" wp14:anchorId="488E386E" wp14:editId="1317C196">
                  <wp:extent cx="2609850" cy="1628775"/>
                  <wp:effectExtent l="0" t="0" r="0" b="9525"/>
                  <wp:docPr id="14" name="Picture 1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9850" cy="1628775"/>
                          </a:xfrm>
                          <a:prstGeom prst="rect">
                            <a:avLst/>
                          </a:prstGeom>
                          <a:noFill/>
                          <a:ln>
                            <a:noFill/>
                          </a:ln>
                        </pic:spPr>
                      </pic:pic>
                    </a:graphicData>
                  </a:graphic>
                </wp:inline>
              </w:drawing>
            </w:r>
          </w:p>
        </w:tc>
      </w:tr>
      <w:tr w:rsidR="008B292D" w:rsidRPr="000624CB" w14:paraId="5D5CA221" w14:textId="77777777" w:rsidTr="00580A4D">
        <w:tc>
          <w:tcPr>
            <w:tcW w:w="9287" w:type="dxa"/>
            <w:gridSpan w:val="2"/>
            <w:shd w:val="clear" w:color="auto" w:fill="auto"/>
          </w:tcPr>
          <w:p w14:paraId="0754DADA" w14:textId="77777777" w:rsidR="008B292D" w:rsidRPr="000624CB" w:rsidRDefault="008B292D" w:rsidP="00580A4D">
            <w:pPr>
              <w:rPr>
                <w:b/>
                <w:noProof/>
              </w:rPr>
            </w:pPr>
            <w:r w:rsidRPr="000624CB">
              <w:rPr>
                <w:b/>
                <w:noProof/>
              </w:rPr>
              <w:t>Please note that the smallest injection volume is barely visible in the viewing window as the spring of the safety device is “covering” part of the glass cylinder close to the needle.</w:t>
            </w:r>
          </w:p>
        </w:tc>
      </w:tr>
    </w:tbl>
    <w:p w14:paraId="45C4AA06" w14:textId="77777777" w:rsidR="008B292D" w:rsidRPr="00D31AF8" w:rsidRDefault="008B292D" w:rsidP="008B292D">
      <w:pPr>
        <w:pStyle w:val="Heading3"/>
      </w:pPr>
      <w:r w:rsidRPr="00D31AF8">
        <w:t>Administration</w:t>
      </w:r>
    </w:p>
    <w:p w14:paraId="24BB8072" w14:textId="77777777" w:rsidR="008B292D" w:rsidRPr="00073A4A" w:rsidRDefault="008B292D" w:rsidP="008B292D">
      <w:pPr>
        <w:pStyle w:val="ListParagraph"/>
      </w:pPr>
      <w:r w:rsidRPr="00073A4A">
        <w:t>Take the syringe out of the cardboard box: pick up the syringe by the syringe guard body.</w:t>
      </w:r>
    </w:p>
    <w:p w14:paraId="483B6E34" w14:textId="77777777" w:rsidR="008B292D" w:rsidRPr="00073A4A" w:rsidRDefault="008B292D" w:rsidP="008B292D">
      <w:pPr>
        <w:pStyle w:val="ListParagraph"/>
      </w:pPr>
      <w:r w:rsidRPr="00073A4A">
        <w:t>While holding the syringe by the needle cap, insert the plunger rod into the plunger stopper by gently rotating the plunger rod clockwise until secured (see Figure 2)</w:t>
      </w:r>
    </w:p>
    <w:p w14:paraId="2AFFA419" w14:textId="77777777" w:rsidR="008B292D" w:rsidRPr="00D31AF8" w:rsidRDefault="008B292D" w:rsidP="008B292D">
      <w:pPr>
        <w:pStyle w:val="Heading4"/>
        <w:rPr>
          <w:noProof/>
        </w:rPr>
      </w:pPr>
      <w:r w:rsidRPr="00D31AF8">
        <w:rPr>
          <w:noProof/>
        </w:rPr>
        <w:t>Figure 2</w:t>
      </w:r>
    </w:p>
    <w:p w14:paraId="2C471971" w14:textId="77777777" w:rsidR="008B292D" w:rsidRDefault="008B292D" w:rsidP="008B292D">
      <w:pPr>
        <w:rPr>
          <w:noProof/>
        </w:rPr>
      </w:pPr>
      <w:r>
        <w:rPr>
          <w:noProof/>
          <w:lang w:eastAsia="en-AU"/>
        </w:rPr>
        <w:drawing>
          <wp:inline distT="0" distB="0" distL="0" distR="0" wp14:anchorId="116A4101" wp14:editId="344C8EF8">
            <wp:extent cx="2876550" cy="1800225"/>
            <wp:effectExtent l="0" t="0" r="0" b="9525"/>
            <wp:docPr id="15" name="Picture 15" descr="c-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v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6550" cy="1800225"/>
                    </a:xfrm>
                    <a:prstGeom prst="rect">
                      <a:avLst/>
                    </a:prstGeom>
                    <a:noFill/>
                    <a:ln>
                      <a:noFill/>
                    </a:ln>
                  </pic:spPr>
                </pic:pic>
              </a:graphicData>
            </a:graphic>
          </wp:inline>
        </w:drawing>
      </w:r>
    </w:p>
    <w:p w14:paraId="3EA7CD08" w14:textId="77777777" w:rsidR="008B292D" w:rsidRPr="00073A4A" w:rsidRDefault="008B292D" w:rsidP="008B292D">
      <w:pPr>
        <w:pStyle w:val="ListParagraph"/>
      </w:pPr>
      <w:r w:rsidRPr="00073A4A">
        <w:t>Inspect the safety syringe closely:</w:t>
      </w:r>
    </w:p>
    <w:p w14:paraId="46718299" w14:textId="77777777" w:rsidR="008B292D" w:rsidRPr="00073A4A" w:rsidRDefault="008B292D" w:rsidP="008B292D">
      <w:pPr>
        <w:pStyle w:val="ListParagraph"/>
      </w:pPr>
      <w:r w:rsidRPr="00073A4A">
        <w:t>Do not use the safety syringe after the expiration date shown on the cardboard box or on the syringe label.</w:t>
      </w:r>
    </w:p>
    <w:p w14:paraId="0BAC077E" w14:textId="77777777" w:rsidR="008B292D" w:rsidRPr="00073A4A" w:rsidRDefault="008B292D" w:rsidP="008B292D">
      <w:pPr>
        <w:pStyle w:val="ListParagraph"/>
      </w:pPr>
      <w:r w:rsidRPr="00073A4A">
        <w:t>A small air bubble may be seen, which is normal.</w:t>
      </w:r>
    </w:p>
    <w:p w14:paraId="61A8336E" w14:textId="77777777" w:rsidR="008B292D" w:rsidRPr="00073A4A" w:rsidRDefault="008B292D" w:rsidP="008B292D">
      <w:pPr>
        <w:pStyle w:val="ListParagraph"/>
      </w:pPr>
      <w:r w:rsidRPr="00073A4A">
        <w:t>The liquid should be clear. Do not use the safety syringe if the liquid contains visible particles or is cloudy.</w:t>
      </w:r>
    </w:p>
    <w:p w14:paraId="0CC9E7D1" w14:textId="77777777" w:rsidR="008B292D" w:rsidRPr="00073A4A" w:rsidRDefault="008B292D" w:rsidP="008B292D">
      <w:pPr>
        <w:pStyle w:val="ListParagraph"/>
      </w:pPr>
      <w:r w:rsidRPr="00073A4A">
        <w:t>Choose the injection site. Injections should be rotated and alternated between sites in the buttock, thigh, abdomen, or upper arm (see Figure 3). Injections on the waistline or within 5 cm of the navel should be avoided.</w:t>
      </w:r>
    </w:p>
    <w:p w14:paraId="38CF0322" w14:textId="77777777" w:rsidR="008B292D" w:rsidRPr="00D31AF8" w:rsidRDefault="008B292D" w:rsidP="008B292D">
      <w:pPr>
        <w:pStyle w:val="Heading4"/>
      </w:pPr>
      <w:r w:rsidRPr="00D31AF8">
        <w:lastRenderedPageBreak/>
        <w:t>Figure 3</w:t>
      </w:r>
    </w:p>
    <w:p w14:paraId="78B810C1" w14:textId="77777777" w:rsidR="008B292D" w:rsidRDefault="008B292D" w:rsidP="008B292D">
      <w:pPr>
        <w:tabs>
          <w:tab w:val="left" w:pos="709"/>
        </w:tabs>
      </w:pPr>
      <w:r>
        <w:rPr>
          <w:noProof/>
          <w:lang w:eastAsia="en-AU"/>
        </w:rPr>
        <w:drawing>
          <wp:inline distT="0" distB="0" distL="0" distR="0" wp14:anchorId="78157E22" wp14:editId="6B94C779">
            <wp:extent cx="3019425" cy="1885950"/>
            <wp:effectExtent l="0" t="0" r="9525" b="0"/>
            <wp:docPr id="16" name="Picture 16" descr="CAM2038_ANATOMY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M2038_ANATOMY_B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1885950"/>
                    </a:xfrm>
                    <a:prstGeom prst="rect">
                      <a:avLst/>
                    </a:prstGeom>
                    <a:noFill/>
                    <a:ln>
                      <a:noFill/>
                    </a:ln>
                  </pic:spPr>
                </pic:pic>
              </a:graphicData>
            </a:graphic>
          </wp:inline>
        </w:drawing>
      </w:r>
    </w:p>
    <w:p w14:paraId="4867C169" w14:textId="77777777" w:rsidR="008B292D" w:rsidRPr="00073A4A" w:rsidRDefault="008B292D" w:rsidP="008B292D">
      <w:pPr>
        <w:pStyle w:val="ListParagraph"/>
      </w:pPr>
      <w:r w:rsidRPr="00073A4A">
        <w:t>Put on gloves and clean the injection site with a circular motion using an alcohol wipe (not provided in the pack). Do not touch the cleaned area again before injecting.</w:t>
      </w:r>
    </w:p>
    <w:p w14:paraId="4F73B861" w14:textId="77777777" w:rsidR="008B292D" w:rsidRPr="00073A4A" w:rsidRDefault="008B292D" w:rsidP="008B292D">
      <w:pPr>
        <w:pStyle w:val="ListParagraph"/>
      </w:pPr>
      <w:r w:rsidRPr="00073A4A">
        <w:t>While holding the safety syringe by the syringe guard body as shown (see Figure 4), carefully pull the needle cap straight off. Immediately dispose of the needle cap (never try to recap the needle). A drop of liquid may be seen at the end of the needle. This is normal.</w:t>
      </w:r>
    </w:p>
    <w:p w14:paraId="257535E9" w14:textId="77777777" w:rsidR="008B292D" w:rsidRPr="0045184B" w:rsidRDefault="008B292D" w:rsidP="008B292D">
      <w:pPr>
        <w:pStyle w:val="Heading4"/>
        <w:rPr>
          <w:noProof/>
        </w:rPr>
      </w:pPr>
      <w:r w:rsidRPr="0045184B">
        <w:rPr>
          <w:noProof/>
        </w:rPr>
        <w:t>Figure 4</w:t>
      </w:r>
    </w:p>
    <w:p w14:paraId="1CA1E8DD" w14:textId="77777777" w:rsidR="008B292D" w:rsidRDefault="008B292D" w:rsidP="008B292D">
      <w:pPr>
        <w:rPr>
          <w:b/>
          <w:noProof/>
        </w:rPr>
      </w:pPr>
      <w:r>
        <w:rPr>
          <w:noProof/>
          <w:lang w:eastAsia="en-AU"/>
        </w:rPr>
        <w:drawing>
          <wp:inline distT="0" distB="0" distL="0" distR="0" wp14:anchorId="45B5672A" wp14:editId="5B4399FC">
            <wp:extent cx="3000375" cy="1866900"/>
            <wp:effectExtent l="0" t="0" r="9525" b="0"/>
            <wp:docPr id="17" name="Picture 17" descr="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_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00375" cy="1866900"/>
                    </a:xfrm>
                    <a:prstGeom prst="rect">
                      <a:avLst/>
                    </a:prstGeom>
                    <a:noFill/>
                    <a:ln>
                      <a:noFill/>
                    </a:ln>
                  </pic:spPr>
                </pic:pic>
              </a:graphicData>
            </a:graphic>
          </wp:inline>
        </w:drawing>
      </w:r>
    </w:p>
    <w:p w14:paraId="0A6F2920" w14:textId="77777777" w:rsidR="008B292D" w:rsidRDefault="008B292D" w:rsidP="008B292D">
      <w:pPr>
        <w:pStyle w:val="ListParagraph"/>
      </w:pPr>
      <w:r w:rsidRPr="002242A6">
        <w:t xml:space="preserve">Pinch the skin at the injection site between </w:t>
      </w:r>
      <w:r>
        <w:t>the</w:t>
      </w:r>
      <w:r w:rsidRPr="002242A6">
        <w:t xml:space="preserve"> thumb and finger</w:t>
      </w:r>
      <w:r>
        <w:t xml:space="preserve"> as shown (see Figure 5)</w:t>
      </w:r>
      <w:r w:rsidRPr="002242A6">
        <w:t>.</w:t>
      </w:r>
    </w:p>
    <w:p w14:paraId="658964FF" w14:textId="77777777" w:rsidR="008B292D" w:rsidRDefault="008B292D" w:rsidP="008B292D">
      <w:pPr>
        <w:pStyle w:val="ListParagraph"/>
      </w:pPr>
      <w:r w:rsidRPr="002242A6">
        <w:t xml:space="preserve">Hold the </w:t>
      </w:r>
      <w:r>
        <w:t xml:space="preserve">safety </w:t>
      </w:r>
      <w:r w:rsidRPr="002242A6">
        <w:t xml:space="preserve">syringe as shown and smoothly insert the needle at an angle of approximately 90° (see </w:t>
      </w:r>
      <w:r>
        <w:t>Figure 5</w:t>
      </w:r>
      <w:r w:rsidRPr="002242A6">
        <w:t>). Push the needle all the way in.</w:t>
      </w:r>
    </w:p>
    <w:p w14:paraId="62F48990" w14:textId="77777777" w:rsidR="008B292D" w:rsidRPr="001413A4" w:rsidRDefault="008B292D" w:rsidP="008B292D">
      <w:pPr>
        <w:pStyle w:val="Heading4"/>
      </w:pPr>
      <w:r w:rsidRPr="001413A4">
        <w:t>Figure 5</w:t>
      </w:r>
    </w:p>
    <w:p w14:paraId="5A4E4DF9" w14:textId="77777777" w:rsidR="008B292D" w:rsidRDefault="008B292D" w:rsidP="008B292D">
      <w:r>
        <w:rPr>
          <w:noProof/>
          <w:lang w:eastAsia="en-AU"/>
        </w:rPr>
        <w:drawing>
          <wp:inline distT="0" distB="0" distL="0" distR="0" wp14:anchorId="4B774FAF" wp14:editId="3B38BF12">
            <wp:extent cx="3019425" cy="1885950"/>
            <wp:effectExtent l="0" t="0" r="9525" b="0"/>
            <wp:docPr id="18" name="Picture 18" descr="f-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v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9425" cy="1885950"/>
                    </a:xfrm>
                    <a:prstGeom prst="rect">
                      <a:avLst/>
                    </a:prstGeom>
                    <a:noFill/>
                    <a:ln>
                      <a:noFill/>
                    </a:ln>
                  </pic:spPr>
                </pic:pic>
              </a:graphicData>
            </a:graphic>
          </wp:inline>
        </w:drawing>
      </w:r>
    </w:p>
    <w:p w14:paraId="0912428B" w14:textId="77777777" w:rsidR="008B292D" w:rsidRDefault="008B292D" w:rsidP="008B292D">
      <w:pPr>
        <w:pStyle w:val="ListParagraph"/>
      </w:pPr>
      <w:r w:rsidRPr="002242A6">
        <w:t xml:space="preserve">While holding the syringe as shown (see </w:t>
      </w:r>
      <w:r>
        <w:t>Figure 6</w:t>
      </w:r>
      <w:r w:rsidRPr="002242A6">
        <w:t>), slowly depress the plunger until the plunger head latches bet</w:t>
      </w:r>
      <w:r w:rsidRPr="00DB0818">
        <w:t>ween the syringe guard wings and all the solution is injected.</w:t>
      </w:r>
    </w:p>
    <w:p w14:paraId="1C8F965B" w14:textId="77777777" w:rsidR="008B292D" w:rsidRPr="001413A4" w:rsidRDefault="008B292D" w:rsidP="008B292D">
      <w:pPr>
        <w:pStyle w:val="Heading4"/>
      </w:pPr>
      <w:r w:rsidRPr="001413A4">
        <w:lastRenderedPageBreak/>
        <w:t>Figure 6</w:t>
      </w:r>
    </w:p>
    <w:p w14:paraId="4B87DBF4" w14:textId="77777777" w:rsidR="008B292D" w:rsidRDefault="008B292D" w:rsidP="008B292D">
      <w:r>
        <w:rPr>
          <w:noProof/>
          <w:lang w:eastAsia="en-AU"/>
        </w:rPr>
        <w:drawing>
          <wp:inline distT="0" distB="0" distL="0" distR="0" wp14:anchorId="0B06EEDB" wp14:editId="24060ED1">
            <wp:extent cx="2962275" cy="1847850"/>
            <wp:effectExtent l="0" t="0" r="9525" b="0"/>
            <wp:docPr id="19" name="Picture 19"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62275" cy="1847850"/>
                    </a:xfrm>
                    <a:prstGeom prst="rect">
                      <a:avLst/>
                    </a:prstGeom>
                    <a:noFill/>
                    <a:ln>
                      <a:noFill/>
                    </a:ln>
                  </pic:spPr>
                </pic:pic>
              </a:graphicData>
            </a:graphic>
          </wp:inline>
        </w:drawing>
      </w:r>
    </w:p>
    <w:p w14:paraId="360DF0A4" w14:textId="77777777" w:rsidR="008B292D" w:rsidRDefault="008B292D" w:rsidP="008B292D">
      <w:pPr>
        <w:pStyle w:val="ListParagraph"/>
      </w:pPr>
      <w:r w:rsidRPr="002242A6">
        <w:t xml:space="preserve">Gently pull the needle out of the skin. It is recommended that the plunger </w:t>
      </w:r>
      <w:r>
        <w:t xml:space="preserve">is kept </w:t>
      </w:r>
      <w:r w:rsidRPr="002242A6">
        <w:t xml:space="preserve">fully depressed while the needle </w:t>
      </w:r>
      <w:r>
        <w:t xml:space="preserve">is carefully lifted </w:t>
      </w:r>
      <w:r w:rsidRPr="002242A6">
        <w:t>straight out from the injection site</w:t>
      </w:r>
      <w:r>
        <w:t xml:space="preserve"> (see Figure 7)</w:t>
      </w:r>
      <w:r w:rsidRPr="002242A6">
        <w:t>.</w:t>
      </w:r>
    </w:p>
    <w:p w14:paraId="4FD5849E" w14:textId="77777777" w:rsidR="008B292D" w:rsidRPr="001413A4" w:rsidRDefault="008B292D" w:rsidP="008B292D">
      <w:pPr>
        <w:pStyle w:val="Heading4"/>
        <w:rPr>
          <w:noProof/>
        </w:rPr>
      </w:pPr>
      <w:r w:rsidRPr="001413A4">
        <w:rPr>
          <w:noProof/>
        </w:rPr>
        <w:t>Figure 7</w:t>
      </w:r>
    </w:p>
    <w:p w14:paraId="4D4D6E59" w14:textId="77777777" w:rsidR="008B292D" w:rsidRDefault="008B292D" w:rsidP="008B292D">
      <w:pPr>
        <w:rPr>
          <w:noProof/>
        </w:rPr>
      </w:pPr>
      <w:r>
        <w:rPr>
          <w:noProof/>
          <w:lang w:eastAsia="en-AU"/>
        </w:rPr>
        <w:drawing>
          <wp:inline distT="0" distB="0" distL="0" distR="0" wp14:anchorId="177337CD" wp14:editId="3A307F13">
            <wp:extent cx="2914650" cy="1828800"/>
            <wp:effectExtent l="0" t="0" r="0" b="0"/>
            <wp:docPr id="20" name="Picture 20" descr="h-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v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14650" cy="1828800"/>
                    </a:xfrm>
                    <a:prstGeom prst="rect">
                      <a:avLst/>
                    </a:prstGeom>
                    <a:noFill/>
                    <a:ln>
                      <a:noFill/>
                    </a:ln>
                  </pic:spPr>
                </pic:pic>
              </a:graphicData>
            </a:graphic>
          </wp:inline>
        </w:drawing>
      </w:r>
    </w:p>
    <w:p w14:paraId="2E8F3B14" w14:textId="77777777" w:rsidR="008B292D" w:rsidRDefault="008B292D" w:rsidP="008B292D">
      <w:pPr>
        <w:pStyle w:val="ListParagraph"/>
      </w:pPr>
      <w:r w:rsidRPr="002242A6">
        <w:t>As soon as</w:t>
      </w:r>
      <w:r>
        <w:t xml:space="preserve"> the needle has been</w:t>
      </w:r>
      <w:r w:rsidRPr="002242A6">
        <w:t xml:space="preserve"> completely </w:t>
      </w:r>
      <w:r>
        <w:t>removed</w:t>
      </w:r>
      <w:r w:rsidRPr="002242A6">
        <w:t xml:space="preserve"> from the skin, slowly take </w:t>
      </w:r>
      <w:r>
        <w:t>the</w:t>
      </w:r>
      <w:r w:rsidRPr="002242A6">
        <w:t xml:space="preserve"> thumb off</w:t>
      </w:r>
      <w:r w:rsidRPr="00DB0818">
        <w:t xml:space="preserve"> the plunger and allow the syringe guard to automatically cover the exposed needle (see </w:t>
      </w:r>
      <w:r w:rsidRPr="00CC724C">
        <w:t>Figure</w:t>
      </w:r>
      <w:r>
        <w:t> 8</w:t>
      </w:r>
      <w:r w:rsidRPr="00DB0818">
        <w:t xml:space="preserve">). There may be a small amount of blood at the injection site, if required wipe with a cotton </w:t>
      </w:r>
      <w:r>
        <w:t xml:space="preserve">ball or gauze. </w:t>
      </w:r>
    </w:p>
    <w:p w14:paraId="47DA3393" w14:textId="77777777" w:rsidR="008B292D" w:rsidRPr="001413A4" w:rsidRDefault="008B292D" w:rsidP="008B292D">
      <w:pPr>
        <w:pStyle w:val="Heading4"/>
      </w:pPr>
      <w:r w:rsidRPr="001413A4">
        <w:t>Figure 8</w:t>
      </w:r>
    </w:p>
    <w:p w14:paraId="18F968EB" w14:textId="77777777" w:rsidR="008B292D" w:rsidRDefault="008B292D" w:rsidP="008B292D">
      <w:r>
        <w:rPr>
          <w:noProof/>
          <w:lang w:eastAsia="en-AU"/>
        </w:rPr>
        <w:drawing>
          <wp:inline distT="0" distB="0" distL="0" distR="0" wp14:anchorId="7187E04E" wp14:editId="04B4F977">
            <wp:extent cx="2990850" cy="1885950"/>
            <wp:effectExtent l="0" t="0" r="0" b="0"/>
            <wp:docPr id="21" name="Picture 2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0850" cy="1885950"/>
                    </a:xfrm>
                    <a:prstGeom prst="rect">
                      <a:avLst/>
                    </a:prstGeom>
                    <a:noFill/>
                    <a:ln>
                      <a:noFill/>
                    </a:ln>
                  </pic:spPr>
                </pic:pic>
              </a:graphicData>
            </a:graphic>
          </wp:inline>
        </w:drawing>
      </w:r>
    </w:p>
    <w:p w14:paraId="333AC308" w14:textId="77777777" w:rsidR="008B292D" w:rsidRPr="001413A4" w:rsidRDefault="008B292D" w:rsidP="008B292D">
      <w:pPr>
        <w:pStyle w:val="Heading4"/>
      </w:pPr>
      <w:r w:rsidRPr="001413A4">
        <w:t>Disposing of the syringe</w:t>
      </w:r>
    </w:p>
    <w:p w14:paraId="47B2526F" w14:textId="77777777" w:rsidR="008B292D" w:rsidRDefault="008B292D" w:rsidP="008B292D"/>
    <w:p w14:paraId="7058E491" w14:textId="1B23CE69" w:rsidR="008B292D" w:rsidRPr="006B4557" w:rsidRDefault="008B292D" w:rsidP="008B292D">
      <w:r w:rsidRPr="006B4557">
        <w:t xml:space="preserve">Any unused medicinal product or waste material should be disposed of in accordance with local requirements. </w:t>
      </w:r>
    </w:p>
    <w:p w14:paraId="797D8AD5" w14:textId="3017067D" w:rsidR="00743261" w:rsidRPr="00497C85" w:rsidRDefault="00743261" w:rsidP="00497C85">
      <w:pPr>
        <w:rPr>
          <w:rFonts w:asciiTheme="majorHAnsi" w:hAnsiTheme="majorHAnsi" w:cstheme="minorHAnsi"/>
          <w:lang w:val="en-US"/>
        </w:rPr>
      </w:pPr>
    </w:p>
    <w:p w14:paraId="6E5026AF" w14:textId="77777777" w:rsidR="001A3992" w:rsidRPr="00497C85" w:rsidRDefault="001A3992" w:rsidP="00D6178A">
      <w:pPr>
        <w:pStyle w:val="Heading2"/>
        <w:keepNext/>
        <w:spacing w:before="0"/>
        <w:rPr>
          <w:rFonts w:cstheme="minorHAnsi"/>
          <w:lang w:val="en-US"/>
        </w:rPr>
      </w:pPr>
      <w:r w:rsidRPr="00497C85">
        <w:rPr>
          <w:rFonts w:cstheme="minorHAnsi"/>
          <w:lang w:val="en-US"/>
        </w:rPr>
        <w:t>Physicochemical properties</w:t>
      </w:r>
    </w:p>
    <w:p w14:paraId="13E8EF5A" w14:textId="21FB1428" w:rsidR="001A3992" w:rsidRDefault="001A3992" w:rsidP="00AF5EF6">
      <w:pPr>
        <w:pStyle w:val="Heading3"/>
        <w:rPr>
          <w:lang w:val="en-US"/>
        </w:rPr>
      </w:pPr>
      <w:r w:rsidRPr="00497C85">
        <w:rPr>
          <w:lang w:val="en-US"/>
        </w:rPr>
        <w:t>Chemical structure</w:t>
      </w:r>
    </w:p>
    <w:p w14:paraId="3840F542" w14:textId="2232A717" w:rsidR="008B3529" w:rsidRPr="008B3529" w:rsidRDefault="008B3529" w:rsidP="008B3529">
      <w:pPr>
        <w:jc w:val="center"/>
        <w:rPr>
          <w:lang w:val="en-US"/>
        </w:rPr>
      </w:pPr>
      <w:r w:rsidRPr="008B3529">
        <w:rPr>
          <w:rFonts w:ascii="Times New Roman" w:eastAsia="Times New Roman" w:hAnsi="Times New Roman" w:cs="Times New Roman"/>
          <w:noProof/>
          <w:sz w:val="24"/>
          <w:szCs w:val="20"/>
          <w:lang w:eastAsia="en-AU"/>
        </w:rPr>
        <w:drawing>
          <wp:inline distT="0" distB="0" distL="0" distR="0" wp14:anchorId="7474F836" wp14:editId="530C840C">
            <wp:extent cx="1790700" cy="1933575"/>
            <wp:effectExtent l="0" t="0" r="0" b="9525"/>
            <wp:docPr id="12" name="Picture 12" descr="RenderImage?maxscale=30&amp;width=200&amp;height=200&amp;superlistid=052485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2" descr="RenderImage?maxscale=30&amp;width=200&amp;height=200&amp;superlistid=05248579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0700" cy="1933575"/>
                    </a:xfrm>
                    <a:prstGeom prst="rect">
                      <a:avLst/>
                    </a:prstGeom>
                    <a:noFill/>
                    <a:ln>
                      <a:noFill/>
                    </a:ln>
                  </pic:spPr>
                </pic:pic>
              </a:graphicData>
            </a:graphic>
          </wp:inline>
        </w:drawing>
      </w:r>
    </w:p>
    <w:p w14:paraId="6A331933" w14:textId="07C73CBA" w:rsidR="001A3992" w:rsidRDefault="001A3992" w:rsidP="00AF5EF6">
      <w:pPr>
        <w:pStyle w:val="Heading3"/>
        <w:rPr>
          <w:lang w:val="en-US"/>
        </w:rPr>
      </w:pPr>
      <w:r w:rsidRPr="00497C85">
        <w:rPr>
          <w:lang w:val="en-US"/>
        </w:rPr>
        <w:t>CAS number</w:t>
      </w:r>
    </w:p>
    <w:p w14:paraId="0171705C" w14:textId="0B5AFDC6" w:rsidR="008B3529" w:rsidRPr="008B3529" w:rsidRDefault="008B3529" w:rsidP="008B3529">
      <w:pPr>
        <w:rPr>
          <w:lang w:val="en-US"/>
        </w:rPr>
      </w:pPr>
      <w:r>
        <w:rPr>
          <w:lang w:val="en-GB"/>
        </w:rPr>
        <w:t>52485-79-7</w:t>
      </w:r>
    </w:p>
    <w:p w14:paraId="455A9AA2" w14:textId="58D5CB59" w:rsidR="001A3992" w:rsidRDefault="001A3992" w:rsidP="00AF5EF6">
      <w:pPr>
        <w:pStyle w:val="Heading1"/>
        <w:rPr>
          <w:lang w:val="en-US"/>
        </w:rPr>
      </w:pPr>
      <w:r w:rsidRPr="00497C85">
        <w:rPr>
          <w:lang w:val="en-US"/>
        </w:rPr>
        <w:t>Medicine schedule (Poisons Standard)</w:t>
      </w:r>
    </w:p>
    <w:p w14:paraId="767CC80E" w14:textId="77777777" w:rsidR="008B3529" w:rsidRPr="00C62FB4" w:rsidRDefault="008B3529" w:rsidP="008B3529">
      <w:pPr>
        <w:tabs>
          <w:tab w:val="left" w:pos="392"/>
          <w:tab w:val="left" w:pos="3168"/>
          <w:tab w:val="left" w:pos="6768"/>
        </w:tabs>
        <w:jc w:val="both"/>
      </w:pPr>
      <w:r w:rsidRPr="00C62FB4">
        <w:t>Schedule 8</w:t>
      </w:r>
    </w:p>
    <w:p w14:paraId="3FEB2247" w14:textId="6A0619E6" w:rsidR="001A3992" w:rsidRDefault="001A3992" w:rsidP="00AF5EF6">
      <w:pPr>
        <w:pStyle w:val="Heading1"/>
        <w:rPr>
          <w:lang w:val="en-US"/>
        </w:rPr>
      </w:pPr>
      <w:r w:rsidRPr="00497C85">
        <w:rPr>
          <w:lang w:val="en-US"/>
        </w:rPr>
        <w:t>Sponsor</w:t>
      </w:r>
    </w:p>
    <w:p w14:paraId="0FA914D3" w14:textId="2CA1FED1" w:rsidR="000C3436" w:rsidRDefault="000C3436" w:rsidP="00973BCB">
      <w:pPr>
        <w:tabs>
          <w:tab w:val="left" w:pos="392"/>
          <w:tab w:val="left" w:pos="3168"/>
          <w:tab w:val="left" w:pos="6768"/>
        </w:tabs>
        <w:spacing w:after="0" w:line="240" w:lineRule="auto"/>
      </w:pPr>
      <w:bookmarkStart w:id="8" w:name="_Hlk531520366"/>
    </w:p>
    <w:p w14:paraId="0B584568" w14:textId="28B700DE" w:rsidR="00973BCB" w:rsidRDefault="00973BCB" w:rsidP="00973BCB">
      <w:pPr>
        <w:tabs>
          <w:tab w:val="left" w:pos="392"/>
          <w:tab w:val="left" w:pos="3168"/>
          <w:tab w:val="left" w:pos="6768"/>
        </w:tabs>
        <w:spacing w:after="0" w:line="240" w:lineRule="auto"/>
      </w:pPr>
      <w:proofErr w:type="spellStart"/>
      <w:r w:rsidRPr="00215154">
        <w:t>Camurus</w:t>
      </w:r>
      <w:proofErr w:type="spellEnd"/>
      <w:r w:rsidRPr="00215154">
        <w:t xml:space="preserve"> Pty Ltd</w:t>
      </w:r>
    </w:p>
    <w:p w14:paraId="546B5071" w14:textId="77777777" w:rsidR="00973BCB" w:rsidRDefault="00973BCB" w:rsidP="00973BCB">
      <w:pPr>
        <w:tabs>
          <w:tab w:val="left" w:pos="392"/>
          <w:tab w:val="left" w:pos="3168"/>
          <w:tab w:val="left" w:pos="6768"/>
        </w:tabs>
        <w:spacing w:after="0" w:line="240" w:lineRule="auto"/>
      </w:pPr>
      <w:r w:rsidRPr="000A6A82">
        <w:t xml:space="preserve">CCASA, Level 21, </w:t>
      </w:r>
    </w:p>
    <w:p w14:paraId="33F9D897" w14:textId="77777777" w:rsidR="00973BCB" w:rsidRDefault="00973BCB" w:rsidP="00973BCB">
      <w:pPr>
        <w:tabs>
          <w:tab w:val="left" w:pos="392"/>
          <w:tab w:val="left" w:pos="3168"/>
          <w:tab w:val="left" w:pos="6768"/>
        </w:tabs>
        <w:spacing w:after="0" w:line="240" w:lineRule="auto"/>
      </w:pPr>
      <w:r w:rsidRPr="000A6A82">
        <w:t xml:space="preserve">20 Bond Street, </w:t>
      </w:r>
    </w:p>
    <w:p w14:paraId="12F6F505" w14:textId="77777777" w:rsidR="00973BCB" w:rsidRDefault="00973BCB" w:rsidP="00973BCB">
      <w:pPr>
        <w:tabs>
          <w:tab w:val="left" w:pos="392"/>
          <w:tab w:val="left" w:pos="3168"/>
          <w:tab w:val="left" w:pos="6768"/>
        </w:tabs>
        <w:spacing w:after="0" w:line="240" w:lineRule="auto"/>
      </w:pPr>
      <w:r w:rsidRPr="000A6A82">
        <w:t xml:space="preserve">Sydney, </w:t>
      </w:r>
    </w:p>
    <w:p w14:paraId="27228454" w14:textId="77777777" w:rsidR="00973BCB" w:rsidRDefault="00973BCB" w:rsidP="00973BCB">
      <w:pPr>
        <w:tabs>
          <w:tab w:val="left" w:pos="392"/>
          <w:tab w:val="left" w:pos="3168"/>
          <w:tab w:val="left" w:pos="6768"/>
        </w:tabs>
        <w:spacing w:after="0" w:line="240" w:lineRule="auto"/>
      </w:pPr>
      <w:r w:rsidRPr="000A6A82">
        <w:t>NSW, 2000.</w:t>
      </w:r>
    </w:p>
    <w:p w14:paraId="723B573D" w14:textId="6AD6235A" w:rsidR="00973BCB" w:rsidRPr="00215154" w:rsidRDefault="00973BCB" w:rsidP="00973BCB">
      <w:pPr>
        <w:tabs>
          <w:tab w:val="left" w:pos="392"/>
          <w:tab w:val="left" w:pos="3168"/>
          <w:tab w:val="left" w:pos="6768"/>
        </w:tabs>
        <w:spacing w:after="0" w:line="240" w:lineRule="auto"/>
      </w:pPr>
      <w:r>
        <w:t xml:space="preserve">Phone </w:t>
      </w:r>
      <w:r w:rsidR="001F65DE">
        <w:t>Toll Free 1</w:t>
      </w:r>
      <w:r w:rsidR="00026A5B">
        <w:t xml:space="preserve"> </w:t>
      </w:r>
      <w:r w:rsidR="001F65DE">
        <w:t>800 14</w:t>
      </w:r>
      <w:r w:rsidR="00026A5B">
        <w:t xml:space="preserve"> </w:t>
      </w:r>
      <w:r w:rsidR="001F65DE">
        <w:t>2038</w:t>
      </w:r>
    </w:p>
    <w:p w14:paraId="3A8EC713" w14:textId="52FD927D" w:rsidR="001A3992" w:rsidRDefault="001A3992" w:rsidP="00AF5EF6">
      <w:pPr>
        <w:pStyle w:val="Heading1"/>
        <w:rPr>
          <w:lang w:val="en-US"/>
        </w:rPr>
      </w:pPr>
      <w:bookmarkStart w:id="9" w:name="_GoBack"/>
      <w:bookmarkEnd w:id="8"/>
      <w:bookmarkEnd w:id="9"/>
      <w:r w:rsidRPr="00497C85">
        <w:rPr>
          <w:lang w:val="en-US"/>
        </w:rPr>
        <w:t xml:space="preserve">Date of first approval  </w:t>
      </w:r>
    </w:p>
    <w:p w14:paraId="36E3B9B2" w14:textId="50DEAF7F" w:rsidR="008B3529" w:rsidRDefault="002821CC" w:rsidP="008B3529">
      <w:pPr>
        <w:rPr>
          <w:lang w:val="en-GB"/>
        </w:rPr>
      </w:pPr>
      <w:r>
        <w:rPr>
          <w:lang w:val="en-GB"/>
        </w:rPr>
        <w:t xml:space="preserve"> </w:t>
      </w:r>
      <w:r w:rsidR="00646312">
        <w:rPr>
          <w:lang w:val="en-GB"/>
        </w:rPr>
        <w:t>28 November 2018</w:t>
      </w:r>
    </w:p>
    <w:p w14:paraId="1277F01C" w14:textId="77777777" w:rsidR="001A3992" w:rsidRPr="00497C85" w:rsidRDefault="001A3992" w:rsidP="00AF5EF6">
      <w:pPr>
        <w:pStyle w:val="Heading1"/>
        <w:rPr>
          <w:lang w:val="en-US"/>
        </w:rPr>
      </w:pPr>
      <w:r w:rsidRPr="00497C85">
        <w:rPr>
          <w:lang w:val="en-US"/>
        </w:rPr>
        <w:t xml:space="preserve">Date of revision </w:t>
      </w:r>
    </w:p>
    <w:p w14:paraId="2BDDA276" w14:textId="0864CFCD" w:rsidR="00646312" w:rsidRDefault="00646312" w:rsidP="001A3992">
      <w:pPr>
        <w:pStyle w:val="Heading2"/>
        <w:numPr>
          <w:ilvl w:val="0"/>
          <w:numId w:val="0"/>
        </w:numPr>
        <w:spacing w:before="0"/>
        <w:rPr>
          <w:rFonts w:cstheme="minorHAnsi"/>
          <w:lang w:val="en-US"/>
        </w:rPr>
      </w:pPr>
      <w:r>
        <w:rPr>
          <w:rFonts w:cstheme="minorHAnsi"/>
          <w:lang w:val="en-US"/>
        </w:rPr>
        <w:t>TBA</w:t>
      </w:r>
    </w:p>
    <w:p w14:paraId="1E430B3C" w14:textId="09FF8D55" w:rsidR="001A3992" w:rsidRPr="00497C85" w:rsidRDefault="001A3992" w:rsidP="001A3992">
      <w:pPr>
        <w:pStyle w:val="Heading2"/>
        <w:numPr>
          <w:ilvl w:val="0"/>
          <w:numId w:val="0"/>
        </w:numPr>
        <w:spacing w:before="0"/>
        <w:rPr>
          <w:rFonts w:cstheme="minorHAnsi"/>
          <w:lang w:val="en-US"/>
        </w:rPr>
      </w:pPr>
      <w:r w:rsidRPr="00497C85">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497C85" w14:paraId="2BC8CBA9" w14:textId="77777777" w:rsidTr="00973B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0D12C4F5" w14:textId="77777777" w:rsidR="00ED0937" w:rsidRPr="00497C85" w:rsidRDefault="00ED0937" w:rsidP="006B2247">
            <w:pPr>
              <w:rPr>
                <w:rFonts w:cstheme="minorHAnsi"/>
                <w:sz w:val="20"/>
                <w:lang w:val="en-US"/>
              </w:rPr>
            </w:pPr>
            <w:r w:rsidRPr="00497C85">
              <w:rPr>
                <w:rFonts w:cstheme="minorHAnsi"/>
                <w:sz w:val="20"/>
                <w:lang w:val="en-US"/>
              </w:rPr>
              <w:t>Section Changed</w:t>
            </w:r>
          </w:p>
        </w:tc>
        <w:tc>
          <w:tcPr>
            <w:tcW w:w="7635" w:type="dxa"/>
            <w:shd w:val="clear" w:color="auto" w:fill="F2F2F2" w:themeFill="background1" w:themeFillShade="F2"/>
            <w:vAlign w:val="center"/>
          </w:tcPr>
          <w:p w14:paraId="241A9B69" w14:textId="77777777" w:rsidR="00ED0937" w:rsidRPr="00497C85" w:rsidRDefault="00ED0937" w:rsidP="006B2247">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497C85">
              <w:rPr>
                <w:rFonts w:cstheme="minorHAnsi"/>
                <w:sz w:val="20"/>
                <w:lang w:val="en-US"/>
              </w:rPr>
              <w:t>Summary of new information</w:t>
            </w:r>
          </w:p>
        </w:tc>
      </w:tr>
      <w:tr w:rsidR="00973BCB" w:rsidRPr="00497C85" w14:paraId="54F0AFFC" w14:textId="77777777" w:rsidTr="00973BCB">
        <w:tc>
          <w:tcPr>
            <w:cnfStyle w:val="001000000000" w:firstRow="0" w:lastRow="0" w:firstColumn="1" w:lastColumn="0" w:oddVBand="0" w:evenVBand="0" w:oddHBand="0" w:evenHBand="0" w:firstRowFirstColumn="0" w:firstRowLastColumn="0" w:lastRowFirstColumn="0" w:lastRowLastColumn="0"/>
            <w:tcW w:w="1371" w:type="dxa"/>
            <w:vAlign w:val="center"/>
          </w:tcPr>
          <w:p w14:paraId="5139D4EE" w14:textId="606082F3" w:rsidR="00973BCB" w:rsidRPr="00497C85" w:rsidRDefault="00973BCB" w:rsidP="00973BCB">
            <w:pPr>
              <w:rPr>
                <w:rFonts w:cstheme="minorHAnsi"/>
                <w:lang w:val="en-US"/>
              </w:rPr>
            </w:pPr>
            <w:r w:rsidRPr="007D1C86">
              <w:rPr>
                <w:rFonts w:asciiTheme="minorHAnsi" w:hAnsiTheme="minorHAnsi" w:cstheme="minorHAnsi"/>
                <w:lang w:val="en-US"/>
              </w:rPr>
              <w:t>8. Sponsor</w:t>
            </w:r>
          </w:p>
        </w:tc>
        <w:tc>
          <w:tcPr>
            <w:tcW w:w="7635" w:type="dxa"/>
            <w:vAlign w:val="center"/>
          </w:tcPr>
          <w:p w14:paraId="32AA93B1" w14:textId="718C9D6F" w:rsidR="00973BCB" w:rsidRPr="00497C85" w:rsidRDefault="00973BCB" w:rsidP="00973BCB">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Pr>
                <w:rFonts w:asciiTheme="majorHAnsi" w:hAnsiTheme="majorHAnsi" w:cstheme="minorHAnsi"/>
                <w:lang w:val="en-US"/>
              </w:rPr>
              <w:t xml:space="preserve">Name and contact details of sponsor. Change due to Transfer of sponsorship from </w:t>
            </w:r>
            <w:proofErr w:type="spellStart"/>
            <w:r>
              <w:rPr>
                <w:rFonts w:asciiTheme="majorHAnsi" w:hAnsiTheme="majorHAnsi" w:cstheme="minorHAnsi"/>
                <w:lang w:val="en-US"/>
              </w:rPr>
              <w:t>Easington</w:t>
            </w:r>
            <w:proofErr w:type="spellEnd"/>
            <w:r>
              <w:rPr>
                <w:rFonts w:asciiTheme="majorHAnsi" w:hAnsiTheme="majorHAnsi" w:cstheme="minorHAnsi"/>
                <w:lang w:val="en-US"/>
              </w:rPr>
              <w:t xml:space="preserve"> Pty Ltd to </w:t>
            </w:r>
            <w:proofErr w:type="spellStart"/>
            <w:r>
              <w:rPr>
                <w:rFonts w:asciiTheme="majorHAnsi" w:hAnsiTheme="majorHAnsi" w:cstheme="minorHAnsi"/>
                <w:lang w:val="en-US"/>
              </w:rPr>
              <w:t>Camurus</w:t>
            </w:r>
            <w:proofErr w:type="spellEnd"/>
            <w:r>
              <w:rPr>
                <w:rFonts w:asciiTheme="majorHAnsi" w:hAnsiTheme="majorHAnsi" w:cstheme="minorHAnsi"/>
                <w:lang w:val="en-US"/>
              </w:rPr>
              <w:t xml:space="preserve"> Pty Ltd</w:t>
            </w:r>
          </w:p>
        </w:tc>
      </w:tr>
    </w:tbl>
    <w:p w14:paraId="3AD3E9D9" w14:textId="77777777" w:rsidR="00960CD5" w:rsidRPr="00497C85" w:rsidRDefault="00960CD5" w:rsidP="00C36BBF">
      <w:pPr>
        <w:rPr>
          <w:rFonts w:asciiTheme="majorHAnsi" w:hAnsiTheme="majorHAnsi" w:cstheme="minorHAnsi"/>
        </w:rPr>
      </w:pPr>
    </w:p>
    <w:sectPr w:rsidR="00960CD5" w:rsidRPr="00497C8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548D2" w14:textId="77777777" w:rsidR="00DE4229" w:rsidRDefault="00DE4229" w:rsidP="001A3992">
      <w:pPr>
        <w:spacing w:after="0" w:line="240" w:lineRule="auto"/>
      </w:pPr>
      <w:r>
        <w:separator/>
      </w:r>
    </w:p>
  </w:endnote>
  <w:endnote w:type="continuationSeparator" w:id="0">
    <w:p w14:paraId="55EC613E" w14:textId="77777777" w:rsidR="00DE4229" w:rsidRDefault="00DE4229" w:rsidP="001A3992">
      <w:pPr>
        <w:spacing w:after="0" w:line="240" w:lineRule="auto"/>
      </w:pPr>
      <w:r>
        <w:continuationSeparator/>
      </w:r>
    </w:p>
  </w:endnote>
  <w:endnote w:type="continuationNotice" w:id="1">
    <w:p w14:paraId="15C9E8EB" w14:textId="77777777" w:rsidR="00DE4229" w:rsidRDefault="00DE4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BFE3D" w14:textId="77777777" w:rsidR="00C36BBF" w:rsidRDefault="00C36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5DC38" w14:textId="6B8C005C" w:rsidR="00973BCB" w:rsidRPr="0085013C" w:rsidRDefault="00973BCB" w:rsidP="0030513B">
    <w:pPr>
      <w:pStyle w:val="Footer"/>
      <w:tabs>
        <w:tab w:val="clear" w:pos="4513"/>
        <w:tab w:val="clear" w:pos="9026"/>
        <w:tab w:val="center" w:pos="4512"/>
        <w:tab w:val="right" w:pos="9025"/>
      </w:tabs>
      <w:ind w:right="360"/>
      <w:rPr>
        <w:sz w:val="20"/>
        <w:lang w:val="en-US"/>
      </w:rPr>
    </w:pPr>
    <w:r>
      <w:rPr>
        <w:sz w:val="20"/>
      </w:rPr>
      <w:fldChar w:fldCharType="begin"/>
    </w:r>
    <w:r>
      <w:rPr>
        <w:sz w:val="20"/>
      </w:rPr>
      <w:instrText xml:space="preserve"> FILENAME  \* Lower  \* MERGEFORMAT </w:instrText>
    </w:r>
    <w:r>
      <w:rPr>
        <w:sz w:val="20"/>
      </w:rPr>
      <w:fldChar w:fldCharType="separate"/>
    </w:r>
    <w:r>
      <w:rPr>
        <w:noProof/>
        <w:sz w:val="20"/>
      </w:rPr>
      <w:t>m1-3-1-1-pi-</w:t>
    </w:r>
    <w:r w:rsidR="00CB448C">
      <w:rPr>
        <w:noProof/>
        <w:sz w:val="20"/>
      </w:rPr>
      <w:t>clean-</w:t>
    </w:r>
    <w:r>
      <w:rPr>
        <w:noProof/>
        <w:sz w:val="20"/>
      </w:rPr>
      <w:t>q1w vs 1.1-2018-</w:t>
    </w:r>
    <w:r w:rsidR="00AD1F2D">
      <w:rPr>
        <w:noProof/>
        <w:sz w:val="20"/>
      </w:rPr>
      <w:t>12</w:t>
    </w:r>
    <w:r>
      <w:rPr>
        <w:noProof/>
        <w:sz w:val="20"/>
      </w:rPr>
      <w:t>-</w:t>
    </w:r>
    <w:r>
      <w:rPr>
        <w:sz w:val="20"/>
      </w:rPr>
      <w:fldChar w:fldCharType="end"/>
    </w:r>
    <w:r w:rsidR="00AD1F2D">
      <w:rPr>
        <w:sz w:val="20"/>
      </w:rPr>
      <w:t>02</w:t>
    </w:r>
    <w:r w:rsidRPr="0085013C">
      <w:rPr>
        <w:sz w:val="20"/>
        <w:lang w:val="en-US"/>
      </w:rPr>
      <w:t xml:space="preserve"> </w:t>
    </w:r>
    <w:r w:rsidRPr="005F2B19">
      <w:rPr>
        <w:sz w:val="20"/>
      </w:rPr>
      <w:fldChar w:fldCharType="begin"/>
    </w:r>
    <w:r w:rsidRPr="00E335E0">
      <w:rPr>
        <w:sz w:val="20"/>
        <w:lang w:val="en-US"/>
      </w:rPr>
      <w:instrText xml:space="preserve"> PAGE  \* Arabic  \* MERGEFORMAT </w:instrText>
    </w:r>
    <w:r w:rsidRPr="005F2B19">
      <w:rPr>
        <w:sz w:val="20"/>
      </w:rPr>
      <w:fldChar w:fldCharType="separate"/>
    </w:r>
    <w:r w:rsidR="00C36BBF">
      <w:rPr>
        <w:noProof/>
        <w:sz w:val="20"/>
        <w:lang w:val="en-US"/>
      </w:rPr>
      <w:t>22</w:t>
    </w:r>
    <w:r w:rsidRPr="005F2B19">
      <w:rPr>
        <w:sz w:val="20"/>
      </w:rPr>
      <w:fldChar w:fldCharType="end"/>
    </w:r>
    <w:r w:rsidRPr="0085013C">
      <w:rPr>
        <w:sz w:val="20"/>
        <w:lang w:val="en-US"/>
      </w:rPr>
      <w:t xml:space="preserve"> of </w:t>
    </w:r>
    <w:r w:rsidRPr="005F2B19">
      <w:rPr>
        <w:sz w:val="20"/>
      </w:rPr>
      <w:fldChar w:fldCharType="begin"/>
    </w:r>
    <w:r w:rsidRPr="00E335E0">
      <w:rPr>
        <w:sz w:val="20"/>
        <w:lang w:val="en-US"/>
      </w:rPr>
      <w:instrText xml:space="preserve"> NUMPAGES  \* Arabic  \* MERGEFORMAT </w:instrText>
    </w:r>
    <w:r w:rsidRPr="005F2B19">
      <w:rPr>
        <w:sz w:val="20"/>
      </w:rPr>
      <w:fldChar w:fldCharType="separate"/>
    </w:r>
    <w:r w:rsidR="00C36BBF">
      <w:rPr>
        <w:noProof/>
        <w:sz w:val="20"/>
        <w:lang w:val="en-US"/>
      </w:rPr>
      <w:t>23</w:t>
    </w:r>
    <w:r w:rsidRPr="005F2B19">
      <w:rPr>
        <w:sz w:val="20"/>
      </w:rPr>
      <w:fldChar w:fldCharType="end"/>
    </w:r>
  </w:p>
  <w:p w14:paraId="06F13504" w14:textId="3D94AC87" w:rsidR="00973BCB" w:rsidRPr="00B8074A" w:rsidRDefault="00973BCB" w:rsidP="006B2247">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D4D47" w14:textId="77777777" w:rsidR="00C36BBF" w:rsidRDefault="00C36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97EB9" w14:textId="77777777" w:rsidR="00DE4229" w:rsidRDefault="00DE4229" w:rsidP="001A3992">
      <w:pPr>
        <w:spacing w:after="0" w:line="240" w:lineRule="auto"/>
      </w:pPr>
      <w:r>
        <w:separator/>
      </w:r>
    </w:p>
  </w:footnote>
  <w:footnote w:type="continuationSeparator" w:id="0">
    <w:p w14:paraId="44A3B2D4" w14:textId="77777777" w:rsidR="00DE4229" w:rsidRDefault="00DE4229" w:rsidP="001A3992">
      <w:pPr>
        <w:spacing w:after="0" w:line="240" w:lineRule="auto"/>
      </w:pPr>
      <w:r>
        <w:continuationSeparator/>
      </w:r>
    </w:p>
  </w:footnote>
  <w:footnote w:type="continuationNotice" w:id="1">
    <w:p w14:paraId="28295B53" w14:textId="77777777" w:rsidR="00DE4229" w:rsidRDefault="00DE42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8E867" w14:textId="77777777" w:rsidR="00C36BBF" w:rsidRDefault="00C36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C36BBF" w:rsidRPr="002E7F61" w14:paraId="7F693FEE" w14:textId="77777777" w:rsidTr="008555FF">
      <w:trPr>
        <w:trHeight w:val="590"/>
      </w:trPr>
      <w:tc>
        <w:tcPr>
          <w:tcW w:w="8720" w:type="dxa"/>
          <w:shd w:val="clear" w:color="auto" w:fill="E4F2E0"/>
        </w:tcPr>
        <w:p w14:paraId="1B6EA97F" w14:textId="77777777" w:rsidR="00C36BBF" w:rsidRPr="002E7F61" w:rsidRDefault="00C36BBF" w:rsidP="00C36BBF">
          <w:pPr>
            <w:pStyle w:val="Footer"/>
            <w:rPr>
              <w:b/>
              <w:sz w:val="18"/>
              <w:szCs w:val="18"/>
            </w:rPr>
          </w:pPr>
          <w:r w:rsidRPr="002E7F61">
            <w:rPr>
              <w:b/>
              <w:sz w:val="18"/>
              <w:szCs w:val="18"/>
            </w:rPr>
            <w:t xml:space="preserve">Attachment 1: Product </w:t>
          </w:r>
          <w:r w:rsidRPr="0037019C">
            <w:rPr>
              <w:b/>
              <w:sz w:val="18"/>
              <w:szCs w:val="18"/>
            </w:rPr>
            <w:t xml:space="preserve">AusPAR - BUVIDAL - buprenorphine - </w:t>
          </w:r>
          <w:proofErr w:type="spellStart"/>
          <w:r w:rsidRPr="0037019C">
            <w:rPr>
              <w:b/>
              <w:sz w:val="18"/>
              <w:szCs w:val="18"/>
            </w:rPr>
            <w:t>Camurus</w:t>
          </w:r>
          <w:proofErr w:type="spellEnd"/>
          <w:r w:rsidRPr="0037019C">
            <w:rPr>
              <w:b/>
              <w:sz w:val="18"/>
              <w:szCs w:val="18"/>
            </w:rPr>
            <w:t xml:space="preserve"> Pty Ltd – PM 2017-02926-1-1</w:t>
          </w:r>
          <w:r>
            <w:rPr>
              <w:b/>
              <w:sz w:val="18"/>
              <w:szCs w:val="18"/>
            </w:rPr>
            <w:t xml:space="preserve"> </w:t>
          </w:r>
          <w:r w:rsidRPr="0037019C">
            <w:rPr>
              <w:b/>
              <w:sz w:val="18"/>
              <w:szCs w:val="18"/>
            </w:rPr>
            <w:t>FINAL 6 November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53D5A4FA" w14:textId="77777777" w:rsidR="00C36BBF" w:rsidRDefault="00C36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232CA" w14:textId="77777777" w:rsidR="00C36BBF" w:rsidRDefault="00C36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9337D0"/>
    <w:multiLevelType w:val="hybridMultilevel"/>
    <w:tmpl w:val="EB2A724A"/>
    <w:lvl w:ilvl="0" w:tplc="0FD017B0">
      <w:start w:val="1"/>
      <w:numFmt w:val="bullet"/>
      <w:pStyle w:val="ListParagraph"/>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332797"/>
    <w:multiLevelType w:val="multilevel"/>
    <w:tmpl w:val="DE308E5A"/>
    <w:lvl w:ilvl="0">
      <w:start w:val="1"/>
      <w:numFmt w:val="decimal"/>
      <w:pStyle w:val="Heading1"/>
      <w:lvlText w:val="%1"/>
      <w:lvlJc w:val="left"/>
      <w:pPr>
        <w:ind w:left="432" w:hanging="432"/>
      </w:pPr>
    </w:lvl>
    <w:lvl w:ilvl="1">
      <w:start w:val="1"/>
      <w:numFmt w:val="decimal"/>
      <w:pStyle w:val="Heading2"/>
      <w:lvlText w:val="%1.%2"/>
      <w:lvlJc w:val="left"/>
      <w:pPr>
        <w:ind w:left="426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4"/>
  </w:num>
  <w:num w:numId="5">
    <w:abstractNumId w:val="11"/>
  </w:num>
  <w:num w:numId="6">
    <w:abstractNumId w:val="9"/>
  </w:num>
  <w:num w:numId="7">
    <w:abstractNumId w:val="6"/>
  </w:num>
  <w:num w:numId="8">
    <w:abstractNumId w:val="10"/>
  </w:num>
  <w:num w:numId="9">
    <w:abstractNumId w:val="3"/>
  </w:num>
  <w:num w:numId="10">
    <w:abstractNumId w:val="5"/>
  </w:num>
  <w:num w:numId="1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D5"/>
    <w:rsid w:val="000031C9"/>
    <w:rsid w:val="00003F47"/>
    <w:rsid w:val="00005535"/>
    <w:rsid w:val="00012A90"/>
    <w:rsid w:val="000166A2"/>
    <w:rsid w:val="0002020C"/>
    <w:rsid w:val="00021369"/>
    <w:rsid w:val="000248E4"/>
    <w:rsid w:val="00026A5B"/>
    <w:rsid w:val="00031EBF"/>
    <w:rsid w:val="0003390C"/>
    <w:rsid w:val="0003732D"/>
    <w:rsid w:val="00045740"/>
    <w:rsid w:val="0004690C"/>
    <w:rsid w:val="00052186"/>
    <w:rsid w:val="00054406"/>
    <w:rsid w:val="0005454D"/>
    <w:rsid w:val="0005646C"/>
    <w:rsid w:val="00056DCB"/>
    <w:rsid w:val="00057653"/>
    <w:rsid w:val="00061F2C"/>
    <w:rsid w:val="00066125"/>
    <w:rsid w:val="00066C28"/>
    <w:rsid w:val="00071A32"/>
    <w:rsid w:val="000724A3"/>
    <w:rsid w:val="00073A4A"/>
    <w:rsid w:val="000742FA"/>
    <w:rsid w:val="00074A4A"/>
    <w:rsid w:val="000756DB"/>
    <w:rsid w:val="0007621B"/>
    <w:rsid w:val="00082A02"/>
    <w:rsid w:val="00084BC6"/>
    <w:rsid w:val="000868AB"/>
    <w:rsid w:val="00087778"/>
    <w:rsid w:val="000909C4"/>
    <w:rsid w:val="00091288"/>
    <w:rsid w:val="00095A2A"/>
    <w:rsid w:val="000A63DB"/>
    <w:rsid w:val="000A79DF"/>
    <w:rsid w:val="000C0BD1"/>
    <w:rsid w:val="000C3436"/>
    <w:rsid w:val="000C5CE1"/>
    <w:rsid w:val="000C7C98"/>
    <w:rsid w:val="000D4976"/>
    <w:rsid w:val="000D76C6"/>
    <w:rsid w:val="000D797A"/>
    <w:rsid w:val="000E00ED"/>
    <w:rsid w:val="000E373A"/>
    <w:rsid w:val="000E4CF6"/>
    <w:rsid w:val="000E5890"/>
    <w:rsid w:val="000F20C4"/>
    <w:rsid w:val="00102368"/>
    <w:rsid w:val="00103E06"/>
    <w:rsid w:val="00105796"/>
    <w:rsid w:val="001074B4"/>
    <w:rsid w:val="00107868"/>
    <w:rsid w:val="001135C8"/>
    <w:rsid w:val="00117F85"/>
    <w:rsid w:val="00121600"/>
    <w:rsid w:val="001240CE"/>
    <w:rsid w:val="001315E5"/>
    <w:rsid w:val="00133EEE"/>
    <w:rsid w:val="001350F2"/>
    <w:rsid w:val="00135371"/>
    <w:rsid w:val="00137D51"/>
    <w:rsid w:val="001413A4"/>
    <w:rsid w:val="00143030"/>
    <w:rsid w:val="001435AE"/>
    <w:rsid w:val="0014431A"/>
    <w:rsid w:val="00147682"/>
    <w:rsid w:val="00153819"/>
    <w:rsid w:val="00155C9A"/>
    <w:rsid w:val="001566B2"/>
    <w:rsid w:val="00156876"/>
    <w:rsid w:val="001614C6"/>
    <w:rsid w:val="001634EF"/>
    <w:rsid w:val="00164DF4"/>
    <w:rsid w:val="00165499"/>
    <w:rsid w:val="0017081C"/>
    <w:rsid w:val="0017212D"/>
    <w:rsid w:val="00177D15"/>
    <w:rsid w:val="00181BEB"/>
    <w:rsid w:val="00193203"/>
    <w:rsid w:val="00196AF6"/>
    <w:rsid w:val="00197133"/>
    <w:rsid w:val="001A1300"/>
    <w:rsid w:val="001A1943"/>
    <w:rsid w:val="001A3121"/>
    <w:rsid w:val="001A3992"/>
    <w:rsid w:val="001C173A"/>
    <w:rsid w:val="001C23FB"/>
    <w:rsid w:val="001C2AD7"/>
    <w:rsid w:val="001D46F2"/>
    <w:rsid w:val="001E2ABA"/>
    <w:rsid w:val="001E2C29"/>
    <w:rsid w:val="001E5C85"/>
    <w:rsid w:val="001E66BA"/>
    <w:rsid w:val="001F5193"/>
    <w:rsid w:val="001F65DE"/>
    <w:rsid w:val="002064C6"/>
    <w:rsid w:val="00206856"/>
    <w:rsid w:val="0020778B"/>
    <w:rsid w:val="002136BC"/>
    <w:rsid w:val="00213EBC"/>
    <w:rsid w:val="00214196"/>
    <w:rsid w:val="00215559"/>
    <w:rsid w:val="00215FA7"/>
    <w:rsid w:val="00216D26"/>
    <w:rsid w:val="00221DF3"/>
    <w:rsid w:val="002230BD"/>
    <w:rsid w:val="00227CBC"/>
    <w:rsid w:val="0023278A"/>
    <w:rsid w:val="00234844"/>
    <w:rsid w:val="002358F3"/>
    <w:rsid w:val="002429CC"/>
    <w:rsid w:val="00242F14"/>
    <w:rsid w:val="00243E65"/>
    <w:rsid w:val="00244D9D"/>
    <w:rsid w:val="00250881"/>
    <w:rsid w:val="00250BDA"/>
    <w:rsid w:val="00251581"/>
    <w:rsid w:val="00256AA9"/>
    <w:rsid w:val="00257EAF"/>
    <w:rsid w:val="00261868"/>
    <w:rsid w:val="00264029"/>
    <w:rsid w:val="0027048B"/>
    <w:rsid w:val="002736B0"/>
    <w:rsid w:val="00274C29"/>
    <w:rsid w:val="0027593B"/>
    <w:rsid w:val="00276334"/>
    <w:rsid w:val="00276BC7"/>
    <w:rsid w:val="002821CC"/>
    <w:rsid w:val="00282CF9"/>
    <w:rsid w:val="002863BF"/>
    <w:rsid w:val="002870B6"/>
    <w:rsid w:val="00290EA1"/>
    <w:rsid w:val="00293826"/>
    <w:rsid w:val="002961D4"/>
    <w:rsid w:val="0029756F"/>
    <w:rsid w:val="002A09FD"/>
    <w:rsid w:val="002A3586"/>
    <w:rsid w:val="002A4897"/>
    <w:rsid w:val="002A5CD7"/>
    <w:rsid w:val="002B046C"/>
    <w:rsid w:val="002B1594"/>
    <w:rsid w:val="002B27DB"/>
    <w:rsid w:val="002B3256"/>
    <w:rsid w:val="002B60A7"/>
    <w:rsid w:val="002B75C1"/>
    <w:rsid w:val="002C0273"/>
    <w:rsid w:val="002C039E"/>
    <w:rsid w:val="002C1850"/>
    <w:rsid w:val="002C1C52"/>
    <w:rsid w:val="002C3884"/>
    <w:rsid w:val="002C7DCA"/>
    <w:rsid w:val="002D239F"/>
    <w:rsid w:val="002D3E04"/>
    <w:rsid w:val="002D4EF1"/>
    <w:rsid w:val="002D5274"/>
    <w:rsid w:val="002D58DE"/>
    <w:rsid w:val="002E277D"/>
    <w:rsid w:val="002E2AC1"/>
    <w:rsid w:val="002E2DBA"/>
    <w:rsid w:val="002E6FCD"/>
    <w:rsid w:val="002F49B3"/>
    <w:rsid w:val="002F50DC"/>
    <w:rsid w:val="003003E1"/>
    <w:rsid w:val="003045F0"/>
    <w:rsid w:val="0030513B"/>
    <w:rsid w:val="00310671"/>
    <w:rsid w:val="0031315D"/>
    <w:rsid w:val="003144C4"/>
    <w:rsid w:val="0031478B"/>
    <w:rsid w:val="003171A4"/>
    <w:rsid w:val="00321D1F"/>
    <w:rsid w:val="00323C33"/>
    <w:rsid w:val="00323D7A"/>
    <w:rsid w:val="003241EA"/>
    <w:rsid w:val="003246DC"/>
    <w:rsid w:val="003250A9"/>
    <w:rsid w:val="00334258"/>
    <w:rsid w:val="00335A40"/>
    <w:rsid w:val="0033633F"/>
    <w:rsid w:val="00341D2E"/>
    <w:rsid w:val="003466EE"/>
    <w:rsid w:val="00347A87"/>
    <w:rsid w:val="003534C4"/>
    <w:rsid w:val="003544F1"/>
    <w:rsid w:val="003613FC"/>
    <w:rsid w:val="00364934"/>
    <w:rsid w:val="00364B78"/>
    <w:rsid w:val="00367C98"/>
    <w:rsid w:val="00370A1C"/>
    <w:rsid w:val="00372256"/>
    <w:rsid w:val="0037467E"/>
    <w:rsid w:val="00376086"/>
    <w:rsid w:val="00376C2F"/>
    <w:rsid w:val="00382675"/>
    <w:rsid w:val="00384BE0"/>
    <w:rsid w:val="003852BA"/>
    <w:rsid w:val="00385692"/>
    <w:rsid w:val="00385B1D"/>
    <w:rsid w:val="00390CB0"/>
    <w:rsid w:val="003929BC"/>
    <w:rsid w:val="0039321A"/>
    <w:rsid w:val="003966FC"/>
    <w:rsid w:val="003A098A"/>
    <w:rsid w:val="003A15C7"/>
    <w:rsid w:val="003A77AB"/>
    <w:rsid w:val="003B18C9"/>
    <w:rsid w:val="003C205E"/>
    <w:rsid w:val="003C3694"/>
    <w:rsid w:val="003C5AFC"/>
    <w:rsid w:val="003C6408"/>
    <w:rsid w:val="003C6C94"/>
    <w:rsid w:val="003C77B3"/>
    <w:rsid w:val="003D3D69"/>
    <w:rsid w:val="003D5D35"/>
    <w:rsid w:val="003E0589"/>
    <w:rsid w:val="003E0F9C"/>
    <w:rsid w:val="003F10DB"/>
    <w:rsid w:val="003F5A18"/>
    <w:rsid w:val="003F6841"/>
    <w:rsid w:val="00400AB6"/>
    <w:rsid w:val="0040145E"/>
    <w:rsid w:val="004032BD"/>
    <w:rsid w:val="00406792"/>
    <w:rsid w:val="00406F19"/>
    <w:rsid w:val="00407DBA"/>
    <w:rsid w:val="0041226C"/>
    <w:rsid w:val="00414FCC"/>
    <w:rsid w:val="00416FD0"/>
    <w:rsid w:val="00417BF8"/>
    <w:rsid w:val="00417E29"/>
    <w:rsid w:val="00431ACD"/>
    <w:rsid w:val="00431DCD"/>
    <w:rsid w:val="004322EB"/>
    <w:rsid w:val="00437604"/>
    <w:rsid w:val="00441374"/>
    <w:rsid w:val="004421B3"/>
    <w:rsid w:val="00442FE3"/>
    <w:rsid w:val="004446E0"/>
    <w:rsid w:val="004456E3"/>
    <w:rsid w:val="0044626A"/>
    <w:rsid w:val="0044646E"/>
    <w:rsid w:val="00446C1B"/>
    <w:rsid w:val="00446F6E"/>
    <w:rsid w:val="0045184B"/>
    <w:rsid w:val="00454FE8"/>
    <w:rsid w:val="004702A3"/>
    <w:rsid w:val="00470B5B"/>
    <w:rsid w:val="00473A15"/>
    <w:rsid w:val="00473D8C"/>
    <w:rsid w:val="0047418F"/>
    <w:rsid w:val="00475187"/>
    <w:rsid w:val="00475BAF"/>
    <w:rsid w:val="00477E4F"/>
    <w:rsid w:val="00482278"/>
    <w:rsid w:val="0048397A"/>
    <w:rsid w:val="004855F5"/>
    <w:rsid w:val="00485B0D"/>
    <w:rsid w:val="004923D5"/>
    <w:rsid w:val="00492D1A"/>
    <w:rsid w:val="00494FFF"/>
    <w:rsid w:val="00497C85"/>
    <w:rsid w:val="004A03C1"/>
    <w:rsid w:val="004A1691"/>
    <w:rsid w:val="004A4AFD"/>
    <w:rsid w:val="004A73D4"/>
    <w:rsid w:val="004A7E67"/>
    <w:rsid w:val="004B16A4"/>
    <w:rsid w:val="004B59E7"/>
    <w:rsid w:val="004B6037"/>
    <w:rsid w:val="004C254C"/>
    <w:rsid w:val="004C68D2"/>
    <w:rsid w:val="004D2264"/>
    <w:rsid w:val="004D654E"/>
    <w:rsid w:val="004E0E67"/>
    <w:rsid w:val="004E64C9"/>
    <w:rsid w:val="004E7020"/>
    <w:rsid w:val="004F00C2"/>
    <w:rsid w:val="004F0434"/>
    <w:rsid w:val="004F0EE1"/>
    <w:rsid w:val="004F1718"/>
    <w:rsid w:val="004F1986"/>
    <w:rsid w:val="004F445A"/>
    <w:rsid w:val="004F70D1"/>
    <w:rsid w:val="00504ABC"/>
    <w:rsid w:val="005051D0"/>
    <w:rsid w:val="005068BD"/>
    <w:rsid w:val="00507355"/>
    <w:rsid w:val="005104C0"/>
    <w:rsid w:val="00511787"/>
    <w:rsid w:val="005126D5"/>
    <w:rsid w:val="00512BA0"/>
    <w:rsid w:val="00513B91"/>
    <w:rsid w:val="00513C3A"/>
    <w:rsid w:val="0051418E"/>
    <w:rsid w:val="005151CA"/>
    <w:rsid w:val="00521B2B"/>
    <w:rsid w:val="00521B8B"/>
    <w:rsid w:val="0052234F"/>
    <w:rsid w:val="005315EA"/>
    <w:rsid w:val="005332D5"/>
    <w:rsid w:val="00537B68"/>
    <w:rsid w:val="00541670"/>
    <w:rsid w:val="00546A07"/>
    <w:rsid w:val="00547127"/>
    <w:rsid w:val="00547630"/>
    <w:rsid w:val="00561AFB"/>
    <w:rsid w:val="005625B1"/>
    <w:rsid w:val="00570CC1"/>
    <w:rsid w:val="0057115C"/>
    <w:rsid w:val="00571F8B"/>
    <w:rsid w:val="00574DB4"/>
    <w:rsid w:val="00580062"/>
    <w:rsid w:val="00580A4D"/>
    <w:rsid w:val="00582E5D"/>
    <w:rsid w:val="00587551"/>
    <w:rsid w:val="0059009B"/>
    <w:rsid w:val="0059388A"/>
    <w:rsid w:val="005956A4"/>
    <w:rsid w:val="00596097"/>
    <w:rsid w:val="005974F2"/>
    <w:rsid w:val="005A28F3"/>
    <w:rsid w:val="005A5A0E"/>
    <w:rsid w:val="005A7EE7"/>
    <w:rsid w:val="005B08C2"/>
    <w:rsid w:val="005B3B77"/>
    <w:rsid w:val="005B74A7"/>
    <w:rsid w:val="005C4589"/>
    <w:rsid w:val="005C4FDB"/>
    <w:rsid w:val="005C5D58"/>
    <w:rsid w:val="005C6EDA"/>
    <w:rsid w:val="005D33D6"/>
    <w:rsid w:val="005D466E"/>
    <w:rsid w:val="005D5542"/>
    <w:rsid w:val="005D6C15"/>
    <w:rsid w:val="005D71A7"/>
    <w:rsid w:val="005D7D78"/>
    <w:rsid w:val="005E2507"/>
    <w:rsid w:val="005E341C"/>
    <w:rsid w:val="005E6607"/>
    <w:rsid w:val="005F10AD"/>
    <w:rsid w:val="005F22F7"/>
    <w:rsid w:val="005F6C5F"/>
    <w:rsid w:val="005F700F"/>
    <w:rsid w:val="005F70F8"/>
    <w:rsid w:val="006017C2"/>
    <w:rsid w:val="00602E13"/>
    <w:rsid w:val="0061152B"/>
    <w:rsid w:val="00616AE1"/>
    <w:rsid w:val="00625669"/>
    <w:rsid w:val="00626A0E"/>
    <w:rsid w:val="006272AD"/>
    <w:rsid w:val="0063482F"/>
    <w:rsid w:val="00642AE1"/>
    <w:rsid w:val="00644B0A"/>
    <w:rsid w:val="00646312"/>
    <w:rsid w:val="006504D0"/>
    <w:rsid w:val="00653B51"/>
    <w:rsid w:val="00653DA5"/>
    <w:rsid w:val="00654EDC"/>
    <w:rsid w:val="00655208"/>
    <w:rsid w:val="0066136E"/>
    <w:rsid w:val="0066218E"/>
    <w:rsid w:val="00662C05"/>
    <w:rsid w:val="006630EC"/>
    <w:rsid w:val="006645C3"/>
    <w:rsid w:val="006655FC"/>
    <w:rsid w:val="006660D7"/>
    <w:rsid w:val="006712E3"/>
    <w:rsid w:val="00673C69"/>
    <w:rsid w:val="006773C5"/>
    <w:rsid w:val="00677EDE"/>
    <w:rsid w:val="00681E0A"/>
    <w:rsid w:val="00683260"/>
    <w:rsid w:val="00683E28"/>
    <w:rsid w:val="006871CD"/>
    <w:rsid w:val="0069284F"/>
    <w:rsid w:val="0069745A"/>
    <w:rsid w:val="006A2C75"/>
    <w:rsid w:val="006A4A3A"/>
    <w:rsid w:val="006A7EFC"/>
    <w:rsid w:val="006B0ACF"/>
    <w:rsid w:val="006B2247"/>
    <w:rsid w:val="006D0BDC"/>
    <w:rsid w:val="006D0F56"/>
    <w:rsid w:val="006D1B82"/>
    <w:rsid w:val="006D3008"/>
    <w:rsid w:val="006D3F15"/>
    <w:rsid w:val="006D6DBB"/>
    <w:rsid w:val="006D7148"/>
    <w:rsid w:val="006D7E0C"/>
    <w:rsid w:val="006E3831"/>
    <w:rsid w:val="006F41CB"/>
    <w:rsid w:val="00706439"/>
    <w:rsid w:val="007105C2"/>
    <w:rsid w:val="00710C63"/>
    <w:rsid w:val="00727DFB"/>
    <w:rsid w:val="00736582"/>
    <w:rsid w:val="0074244E"/>
    <w:rsid w:val="00743261"/>
    <w:rsid w:val="00743DEA"/>
    <w:rsid w:val="00743F15"/>
    <w:rsid w:val="007441EE"/>
    <w:rsid w:val="00745F2F"/>
    <w:rsid w:val="00750C49"/>
    <w:rsid w:val="0075178A"/>
    <w:rsid w:val="00752F5F"/>
    <w:rsid w:val="007549F5"/>
    <w:rsid w:val="00760B12"/>
    <w:rsid w:val="00761A7E"/>
    <w:rsid w:val="007640A4"/>
    <w:rsid w:val="0076729C"/>
    <w:rsid w:val="007721A8"/>
    <w:rsid w:val="00774ABC"/>
    <w:rsid w:val="00775141"/>
    <w:rsid w:val="007757AA"/>
    <w:rsid w:val="00775E88"/>
    <w:rsid w:val="0078381F"/>
    <w:rsid w:val="00783D3C"/>
    <w:rsid w:val="007859F8"/>
    <w:rsid w:val="0079057E"/>
    <w:rsid w:val="00792D40"/>
    <w:rsid w:val="0079496F"/>
    <w:rsid w:val="007949E7"/>
    <w:rsid w:val="007A289A"/>
    <w:rsid w:val="007A2E92"/>
    <w:rsid w:val="007A7116"/>
    <w:rsid w:val="007A7F9E"/>
    <w:rsid w:val="007B23AB"/>
    <w:rsid w:val="007B3693"/>
    <w:rsid w:val="007B5804"/>
    <w:rsid w:val="007B695E"/>
    <w:rsid w:val="007B6B0B"/>
    <w:rsid w:val="007B7EBA"/>
    <w:rsid w:val="007C1820"/>
    <w:rsid w:val="007C247E"/>
    <w:rsid w:val="007C2C11"/>
    <w:rsid w:val="007C3523"/>
    <w:rsid w:val="007D061D"/>
    <w:rsid w:val="007D39B2"/>
    <w:rsid w:val="007E23F6"/>
    <w:rsid w:val="007E693C"/>
    <w:rsid w:val="007F5407"/>
    <w:rsid w:val="007F65F4"/>
    <w:rsid w:val="00803170"/>
    <w:rsid w:val="008034A5"/>
    <w:rsid w:val="0080462E"/>
    <w:rsid w:val="008078AB"/>
    <w:rsid w:val="00810266"/>
    <w:rsid w:val="008123CB"/>
    <w:rsid w:val="00815368"/>
    <w:rsid w:val="00820A51"/>
    <w:rsid w:val="00824263"/>
    <w:rsid w:val="0083421F"/>
    <w:rsid w:val="00837E8E"/>
    <w:rsid w:val="00847562"/>
    <w:rsid w:val="0085013C"/>
    <w:rsid w:val="008522A9"/>
    <w:rsid w:val="0085323D"/>
    <w:rsid w:val="00860A44"/>
    <w:rsid w:val="00861553"/>
    <w:rsid w:val="008629ED"/>
    <w:rsid w:val="00872A66"/>
    <w:rsid w:val="00891200"/>
    <w:rsid w:val="008923CA"/>
    <w:rsid w:val="00893828"/>
    <w:rsid w:val="00894EAC"/>
    <w:rsid w:val="008974E2"/>
    <w:rsid w:val="008A0BB1"/>
    <w:rsid w:val="008A1FB4"/>
    <w:rsid w:val="008A59AA"/>
    <w:rsid w:val="008B27E3"/>
    <w:rsid w:val="008B292D"/>
    <w:rsid w:val="008B3529"/>
    <w:rsid w:val="008B3C81"/>
    <w:rsid w:val="008B5C62"/>
    <w:rsid w:val="008B5F6D"/>
    <w:rsid w:val="008B6B79"/>
    <w:rsid w:val="008C0EBC"/>
    <w:rsid w:val="008C34F0"/>
    <w:rsid w:val="008C6B8B"/>
    <w:rsid w:val="008D0870"/>
    <w:rsid w:val="008D0A61"/>
    <w:rsid w:val="008D43B6"/>
    <w:rsid w:val="008D455B"/>
    <w:rsid w:val="008D45A9"/>
    <w:rsid w:val="008D5A2D"/>
    <w:rsid w:val="008D603F"/>
    <w:rsid w:val="008E0916"/>
    <w:rsid w:val="008E32C1"/>
    <w:rsid w:val="008E54CA"/>
    <w:rsid w:val="008F07D2"/>
    <w:rsid w:val="008F573B"/>
    <w:rsid w:val="008F6D87"/>
    <w:rsid w:val="00900288"/>
    <w:rsid w:val="00901406"/>
    <w:rsid w:val="00901AB9"/>
    <w:rsid w:val="00902A14"/>
    <w:rsid w:val="00902F81"/>
    <w:rsid w:val="00907869"/>
    <w:rsid w:val="0091259B"/>
    <w:rsid w:val="0091604A"/>
    <w:rsid w:val="00922978"/>
    <w:rsid w:val="00922C8D"/>
    <w:rsid w:val="00925C6F"/>
    <w:rsid w:val="00927207"/>
    <w:rsid w:val="00932F25"/>
    <w:rsid w:val="0093439B"/>
    <w:rsid w:val="00936F0D"/>
    <w:rsid w:val="00943350"/>
    <w:rsid w:val="00943446"/>
    <w:rsid w:val="009443E9"/>
    <w:rsid w:val="00950AD1"/>
    <w:rsid w:val="009551C0"/>
    <w:rsid w:val="00960C3B"/>
    <w:rsid w:val="00960CD5"/>
    <w:rsid w:val="009655BD"/>
    <w:rsid w:val="00971AD4"/>
    <w:rsid w:val="00973BCB"/>
    <w:rsid w:val="00974854"/>
    <w:rsid w:val="00974C09"/>
    <w:rsid w:val="00976E44"/>
    <w:rsid w:val="00977EED"/>
    <w:rsid w:val="009827B6"/>
    <w:rsid w:val="009833CF"/>
    <w:rsid w:val="009878BC"/>
    <w:rsid w:val="009920A5"/>
    <w:rsid w:val="00993684"/>
    <w:rsid w:val="00995EE8"/>
    <w:rsid w:val="00997D48"/>
    <w:rsid w:val="009A2D12"/>
    <w:rsid w:val="009A6D1C"/>
    <w:rsid w:val="009B0EB0"/>
    <w:rsid w:val="009C2910"/>
    <w:rsid w:val="009C47C0"/>
    <w:rsid w:val="009C773F"/>
    <w:rsid w:val="009D1D5F"/>
    <w:rsid w:val="009D4080"/>
    <w:rsid w:val="009D618B"/>
    <w:rsid w:val="009E07C3"/>
    <w:rsid w:val="009E0F04"/>
    <w:rsid w:val="009E21FE"/>
    <w:rsid w:val="009E28F6"/>
    <w:rsid w:val="009E66C6"/>
    <w:rsid w:val="009E7EB2"/>
    <w:rsid w:val="009F0014"/>
    <w:rsid w:val="009F0668"/>
    <w:rsid w:val="009F2D13"/>
    <w:rsid w:val="009F3747"/>
    <w:rsid w:val="009F4594"/>
    <w:rsid w:val="009F4BEA"/>
    <w:rsid w:val="009F6D17"/>
    <w:rsid w:val="00A060AE"/>
    <w:rsid w:val="00A07334"/>
    <w:rsid w:val="00A07558"/>
    <w:rsid w:val="00A124DC"/>
    <w:rsid w:val="00A30791"/>
    <w:rsid w:val="00A33BA9"/>
    <w:rsid w:val="00A370D3"/>
    <w:rsid w:val="00A37223"/>
    <w:rsid w:val="00A400B6"/>
    <w:rsid w:val="00A41E16"/>
    <w:rsid w:val="00A445D1"/>
    <w:rsid w:val="00A44E09"/>
    <w:rsid w:val="00A50248"/>
    <w:rsid w:val="00A50F82"/>
    <w:rsid w:val="00A541E3"/>
    <w:rsid w:val="00A547FC"/>
    <w:rsid w:val="00A56A4F"/>
    <w:rsid w:val="00A573AF"/>
    <w:rsid w:val="00A64F5F"/>
    <w:rsid w:val="00A65C7F"/>
    <w:rsid w:val="00A6672E"/>
    <w:rsid w:val="00A67242"/>
    <w:rsid w:val="00A70B85"/>
    <w:rsid w:val="00A83573"/>
    <w:rsid w:val="00A83E93"/>
    <w:rsid w:val="00A86055"/>
    <w:rsid w:val="00A92D59"/>
    <w:rsid w:val="00A94926"/>
    <w:rsid w:val="00A96FB8"/>
    <w:rsid w:val="00A97EEB"/>
    <w:rsid w:val="00AA5920"/>
    <w:rsid w:val="00AA67CF"/>
    <w:rsid w:val="00AA7C29"/>
    <w:rsid w:val="00AA7C8D"/>
    <w:rsid w:val="00AB1820"/>
    <w:rsid w:val="00AB3FC8"/>
    <w:rsid w:val="00AB6B77"/>
    <w:rsid w:val="00AC0CE7"/>
    <w:rsid w:val="00AC0FAE"/>
    <w:rsid w:val="00AC1F13"/>
    <w:rsid w:val="00AC29FD"/>
    <w:rsid w:val="00AC3557"/>
    <w:rsid w:val="00AC6C48"/>
    <w:rsid w:val="00AD1F2D"/>
    <w:rsid w:val="00AD243E"/>
    <w:rsid w:val="00AD24F6"/>
    <w:rsid w:val="00AD5C98"/>
    <w:rsid w:val="00AE50E2"/>
    <w:rsid w:val="00AE525B"/>
    <w:rsid w:val="00AE7BFD"/>
    <w:rsid w:val="00AF0711"/>
    <w:rsid w:val="00AF10B3"/>
    <w:rsid w:val="00AF28B6"/>
    <w:rsid w:val="00AF5EF6"/>
    <w:rsid w:val="00AF6B78"/>
    <w:rsid w:val="00AF7298"/>
    <w:rsid w:val="00B006C3"/>
    <w:rsid w:val="00B00DC6"/>
    <w:rsid w:val="00B01032"/>
    <w:rsid w:val="00B02A38"/>
    <w:rsid w:val="00B054E0"/>
    <w:rsid w:val="00B17CBA"/>
    <w:rsid w:val="00B26AB8"/>
    <w:rsid w:val="00B3117D"/>
    <w:rsid w:val="00B33B03"/>
    <w:rsid w:val="00B34A5C"/>
    <w:rsid w:val="00B35878"/>
    <w:rsid w:val="00B428FB"/>
    <w:rsid w:val="00B530B6"/>
    <w:rsid w:val="00B53385"/>
    <w:rsid w:val="00B55D8A"/>
    <w:rsid w:val="00B57E45"/>
    <w:rsid w:val="00B62FD5"/>
    <w:rsid w:val="00B64106"/>
    <w:rsid w:val="00B67FD8"/>
    <w:rsid w:val="00B76687"/>
    <w:rsid w:val="00B7672E"/>
    <w:rsid w:val="00B81DB0"/>
    <w:rsid w:val="00B902BB"/>
    <w:rsid w:val="00B91A27"/>
    <w:rsid w:val="00B95C3B"/>
    <w:rsid w:val="00B97618"/>
    <w:rsid w:val="00BA1615"/>
    <w:rsid w:val="00BA1F27"/>
    <w:rsid w:val="00BA29E2"/>
    <w:rsid w:val="00BB0988"/>
    <w:rsid w:val="00BB6BFE"/>
    <w:rsid w:val="00BB79E4"/>
    <w:rsid w:val="00BC0F1C"/>
    <w:rsid w:val="00BC185F"/>
    <w:rsid w:val="00BC45BC"/>
    <w:rsid w:val="00BC53C9"/>
    <w:rsid w:val="00BC7A1A"/>
    <w:rsid w:val="00BD270E"/>
    <w:rsid w:val="00BE0FF2"/>
    <w:rsid w:val="00BE54A5"/>
    <w:rsid w:val="00BE719B"/>
    <w:rsid w:val="00BE7B11"/>
    <w:rsid w:val="00BF0410"/>
    <w:rsid w:val="00BF3897"/>
    <w:rsid w:val="00BF5E2D"/>
    <w:rsid w:val="00BF63AD"/>
    <w:rsid w:val="00C00EBB"/>
    <w:rsid w:val="00C06F57"/>
    <w:rsid w:val="00C1082B"/>
    <w:rsid w:val="00C10BC2"/>
    <w:rsid w:val="00C1323C"/>
    <w:rsid w:val="00C13755"/>
    <w:rsid w:val="00C150E7"/>
    <w:rsid w:val="00C152D7"/>
    <w:rsid w:val="00C16EF8"/>
    <w:rsid w:val="00C17C90"/>
    <w:rsid w:val="00C21158"/>
    <w:rsid w:val="00C219BC"/>
    <w:rsid w:val="00C22B86"/>
    <w:rsid w:val="00C251F5"/>
    <w:rsid w:val="00C26BB5"/>
    <w:rsid w:val="00C26CA0"/>
    <w:rsid w:val="00C315FB"/>
    <w:rsid w:val="00C34644"/>
    <w:rsid w:val="00C35175"/>
    <w:rsid w:val="00C36199"/>
    <w:rsid w:val="00C36BBF"/>
    <w:rsid w:val="00C43FDD"/>
    <w:rsid w:val="00C50FB6"/>
    <w:rsid w:val="00C53966"/>
    <w:rsid w:val="00C546C2"/>
    <w:rsid w:val="00C62C46"/>
    <w:rsid w:val="00C669D4"/>
    <w:rsid w:val="00C743CC"/>
    <w:rsid w:val="00C755D9"/>
    <w:rsid w:val="00C8221D"/>
    <w:rsid w:val="00C8510E"/>
    <w:rsid w:val="00C85526"/>
    <w:rsid w:val="00CA0085"/>
    <w:rsid w:val="00CA1A66"/>
    <w:rsid w:val="00CA1E22"/>
    <w:rsid w:val="00CA6CCF"/>
    <w:rsid w:val="00CB0644"/>
    <w:rsid w:val="00CB129C"/>
    <w:rsid w:val="00CB426E"/>
    <w:rsid w:val="00CB448C"/>
    <w:rsid w:val="00CB7356"/>
    <w:rsid w:val="00CC155B"/>
    <w:rsid w:val="00CC1C08"/>
    <w:rsid w:val="00CC7911"/>
    <w:rsid w:val="00CD10B5"/>
    <w:rsid w:val="00CD2417"/>
    <w:rsid w:val="00CD2A45"/>
    <w:rsid w:val="00CD3915"/>
    <w:rsid w:val="00CD4085"/>
    <w:rsid w:val="00CD4B82"/>
    <w:rsid w:val="00CE5C08"/>
    <w:rsid w:val="00CE788B"/>
    <w:rsid w:val="00CF1232"/>
    <w:rsid w:val="00CF2AA2"/>
    <w:rsid w:val="00D00303"/>
    <w:rsid w:val="00D0123A"/>
    <w:rsid w:val="00D02F36"/>
    <w:rsid w:val="00D07E7A"/>
    <w:rsid w:val="00D13253"/>
    <w:rsid w:val="00D1798A"/>
    <w:rsid w:val="00D21BC4"/>
    <w:rsid w:val="00D22DD9"/>
    <w:rsid w:val="00D23F5C"/>
    <w:rsid w:val="00D2409B"/>
    <w:rsid w:val="00D31AF8"/>
    <w:rsid w:val="00D40187"/>
    <w:rsid w:val="00D430C7"/>
    <w:rsid w:val="00D43BAD"/>
    <w:rsid w:val="00D44BA0"/>
    <w:rsid w:val="00D4519F"/>
    <w:rsid w:val="00D45D79"/>
    <w:rsid w:val="00D52C97"/>
    <w:rsid w:val="00D54DD8"/>
    <w:rsid w:val="00D60301"/>
    <w:rsid w:val="00D6032E"/>
    <w:rsid w:val="00D60487"/>
    <w:rsid w:val="00D6178A"/>
    <w:rsid w:val="00D63037"/>
    <w:rsid w:val="00D65F22"/>
    <w:rsid w:val="00D669A0"/>
    <w:rsid w:val="00D66EBE"/>
    <w:rsid w:val="00D6779F"/>
    <w:rsid w:val="00D677A3"/>
    <w:rsid w:val="00D67987"/>
    <w:rsid w:val="00D71367"/>
    <w:rsid w:val="00D721CF"/>
    <w:rsid w:val="00D72D99"/>
    <w:rsid w:val="00D742ED"/>
    <w:rsid w:val="00D77478"/>
    <w:rsid w:val="00D8266A"/>
    <w:rsid w:val="00D836A8"/>
    <w:rsid w:val="00D84F4C"/>
    <w:rsid w:val="00D94A60"/>
    <w:rsid w:val="00D963FC"/>
    <w:rsid w:val="00D97074"/>
    <w:rsid w:val="00DA5298"/>
    <w:rsid w:val="00DB1A1C"/>
    <w:rsid w:val="00DB22C4"/>
    <w:rsid w:val="00DB4EA0"/>
    <w:rsid w:val="00DB5082"/>
    <w:rsid w:val="00DB73B0"/>
    <w:rsid w:val="00DB7613"/>
    <w:rsid w:val="00DC22A5"/>
    <w:rsid w:val="00DD003F"/>
    <w:rsid w:val="00DD2132"/>
    <w:rsid w:val="00DD2FBA"/>
    <w:rsid w:val="00DD3962"/>
    <w:rsid w:val="00DD5179"/>
    <w:rsid w:val="00DE3A73"/>
    <w:rsid w:val="00DE4229"/>
    <w:rsid w:val="00DE6613"/>
    <w:rsid w:val="00DE69E7"/>
    <w:rsid w:val="00DF0BDB"/>
    <w:rsid w:val="00DF383A"/>
    <w:rsid w:val="00DF5DE7"/>
    <w:rsid w:val="00DF5E99"/>
    <w:rsid w:val="00DF7A29"/>
    <w:rsid w:val="00E007A2"/>
    <w:rsid w:val="00E024E7"/>
    <w:rsid w:val="00E03F30"/>
    <w:rsid w:val="00E04AC9"/>
    <w:rsid w:val="00E0745F"/>
    <w:rsid w:val="00E074A6"/>
    <w:rsid w:val="00E111BB"/>
    <w:rsid w:val="00E12CB0"/>
    <w:rsid w:val="00E160F8"/>
    <w:rsid w:val="00E213BD"/>
    <w:rsid w:val="00E24272"/>
    <w:rsid w:val="00E24F8C"/>
    <w:rsid w:val="00E2649E"/>
    <w:rsid w:val="00E27AFE"/>
    <w:rsid w:val="00E335E0"/>
    <w:rsid w:val="00E33A5D"/>
    <w:rsid w:val="00E40EF5"/>
    <w:rsid w:val="00E437B7"/>
    <w:rsid w:val="00E43E06"/>
    <w:rsid w:val="00E4606E"/>
    <w:rsid w:val="00E46A0A"/>
    <w:rsid w:val="00E503D6"/>
    <w:rsid w:val="00E5268D"/>
    <w:rsid w:val="00E571AB"/>
    <w:rsid w:val="00E57387"/>
    <w:rsid w:val="00E61096"/>
    <w:rsid w:val="00E618EA"/>
    <w:rsid w:val="00E62E2D"/>
    <w:rsid w:val="00E63282"/>
    <w:rsid w:val="00E654C5"/>
    <w:rsid w:val="00E747A0"/>
    <w:rsid w:val="00E74A56"/>
    <w:rsid w:val="00E7736D"/>
    <w:rsid w:val="00E83224"/>
    <w:rsid w:val="00E83F3B"/>
    <w:rsid w:val="00E878E7"/>
    <w:rsid w:val="00E94CD6"/>
    <w:rsid w:val="00E9664B"/>
    <w:rsid w:val="00EA0634"/>
    <w:rsid w:val="00EA3AF3"/>
    <w:rsid w:val="00EB0405"/>
    <w:rsid w:val="00EB0A42"/>
    <w:rsid w:val="00EB171B"/>
    <w:rsid w:val="00EB551F"/>
    <w:rsid w:val="00EC3E46"/>
    <w:rsid w:val="00EC6512"/>
    <w:rsid w:val="00ED0937"/>
    <w:rsid w:val="00ED1AE4"/>
    <w:rsid w:val="00ED26C7"/>
    <w:rsid w:val="00ED3597"/>
    <w:rsid w:val="00ED4AB5"/>
    <w:rsid w:val="00ED5CCF"/>
    <w:rsid w:val="00EE1255"/>
    <w:rsid w:val="00EF280E"/>
    <w:rsid w:val="00F0158F"/>
    <w:rsid w:val="00F0233C"/>
    <w:rsid w:val="00F03072"/>
    <w:rsid w:val="00F04FE9"/>
    <w:rsid w:val="00F127D7"/>
    <w:rsid w:val="00F143A4"/>
    <w:rsid w:val="00F157EC"/>
    <w:rsid w:val="00F1658E"/>
    <w:rsid w:val="00F326DC"/>
    <w:rsid w:val="00F35AD3"/>
    <w:rsid w:val="00F35B70"/>
    <w:rsid w:val="00F37C88"/>
    <w:rsid w:val="00F408DF"/>
    <w:rsid w:val="00F40ADE"/>
    <w:rsid w:val="00F40C90"/>
    <w:rsid w:val="00F41D49"/>
    <w:rsid w:val="00F43E66"/>
    <w:rsid w:val="00F50316"/>
    <w:rsid w:val="00F56613"/>
    <w:rsid w:val="00F56BA5"/>
    <w:rsid w:val="00F6369E"/>
    <w:rsid w:val="00F66DEA"/>
    <w:rsid w:val="00F67E44"/>
    <w:rsid w:val="00F77A27"/>
    <w:rsid w:val="00F81E9E"/>
    <w:rsid w:val="00F8560E"/>
    <w:rsid w:val="00F85D38"/>
    <w:rsid w:val="00F9426B"/>
    <w:rsid w:val="00F97A17"/>
    <w:rsid w:val="00FA5248"/>
    <w:rsid w:val="00FA61BF"/>
    <w:rsid w:val="00FA69DC"/>
    <w:rsid w:val="00FB0F5A"/>
    <w:rsid w:val="00FB2899"/>
    <w:rsid w:val="00FB2CD7"/>
    <w:rsid w:val="00FB3584"/>
    <w:rsid w:val="00FB4160"/>
    <w:rsid w:val="00FB54D9"/>
    <w:rsid w:val="00FC043E"/>
    <w:rsid w:val="00FC2251"/>
    <w:rsid w:val="00FC7390"/>
    <w:rsid w:val="00FD30C5"/>
    <w:rsid w:val="00FD4CA4"/>
    <w:rsid w:val="00FD5E13"/>
    <w:rsid w:val="00FD7FE9"/>
    <w:rsid w:val="00FE191E"/>
    <w:rsid w:val="00FE2C7D"/>
    <w:rsid w:val="00FE6EC7"/>
    <w:rsid w:val="00FF4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99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EF6"/>
    <w:pPr>
      <w:spacing w:after="120"/>
    </w:pPr>
  </w:style>
  <w:style w:type="paragraph" w:styleId="Heading1">
    <w:name w:val="heading 1"/>
    <w:basedOn w:val="Normal"/>
    <w:next w:val="Normal"/>
    <w:link w:val="Heading1Char"/>
    <w:uiPriority w:val="9"/>
    <w:qFormat/>
    <w:rsid w:val="00AF5EF6"/>
    <w:pPr>
      <w:keepNext/>
      <w:keepLines/>
      <w:numPr>
        <w:numId w:val="1"/>
      </w:numPr>
      <w:spacing w:before="100" w:beforeAutospacing="1"/>
      <w:ind w:left="431" w:hanging="431"/>
      <w:outlineLvl w:val="0"/>
    </w:pPr>
    <w:rPr>
      <w:rFonts w:asciiTheme="majorHAnsi" w:eastAsiaTheme="majorEastAsia" w:hAnsiTheme="majorHAnsi" w:cstheme="minorHAns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AF5EF6"/>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D3D69"/>
    <w:pPr>
      <w:keepNext/>
      <w:keepLines/>
      <w:spacing w:before="200" w:after="0" w:line="240" w:lineRule="auto"/>
      <w:ind w:left="864" w:hanging="864"/>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EF6"/>
    <w:rPr>
      <w:rFonts w:asciiTheme="majorHAnsi" w:eastAsiaTheme="majorEastAsia" w:hAnsiTheme="majorHAnsi" w:cstheme="minorHAns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AF5EF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D3D69"/>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F5EF6"/>
    <w:pPr>
      <w:numPr>
        <w:numId w:val="12"/>
      </w:numPr>
      <w:tabs>
        <w:tab w:val="clear" w:pos="720"/>
        <w:tab w:val="num" w:pos="426"/>
      </w:tabs>
      <w:spacing w:before="60" w:line="240" w:lineRule="auto"/>
      <w:ind w:left="426" w:hanging="426"/>
    </w:pPr>
    <w:rPr>
      <w:rFonts w:cstheme="minorHAnsi"/>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1A1300"/>
    <w:rPr>
      <w:rFonts w:asciiTheme="minorHAnsi" w:hAnsiTheme="minorHAnsi"/>
      <w:b/>
      <w:bCs/>
    </w:rPr>
  </w:style>
  <w:style w:type="character" w:customStyle="1" w:styleId="CommentSubjectChar">
    <w:name w:val="Comment Subject Char"/>
    <w:basedOn w:val="CommentTextChar"/>
    <w:link w:val="CommentSubject"/>
    <w:uiPriority w:val="99"/>
    <w:semiHidden/>
    <w:rsid w:val="001A1300"/>
    <w:rPr>
      <w:rFonts w:ascii="Cambria" w:hAnsi="Cambria"/>
      <w:b/>
      <w:bCs/>
      <w:sz w:val="20"/>
      <w:szCs w:val="20"/>
    </w:rPr>
  </w:style>
  <w:style w:type="paragraph" w:styleId="Caption">
    <w:name w:val="caption"/>
    <w:basedOn w:val="Normal"/>
    <w:next w:val="Normal"/>
    <w:unhideWhenUsed/>
    <w:qFormat/>
    <w:rsid w:val="0085323D"/>
    <w:pPr>
      <w:keepNext/>
      <w:widowControl w:val="0"/>
      <w:spacing w:before="60" w:line="240" w:lineRule="auto"/>
    </w:pPr>
    <w:rPr>
      <w:rFonts w:ascii="Times New Roman" w:eastAsia="Times New Roman" w:hAnsi="Times New Roman" w:cs="Times New Roman"/>
      <w:b/>
      <w:bCs/>
      <w:color w:val="000000"/>
      <w:sz w:val="20"/>
      <w:szCs w:val="20"/>
      <w:lang w:val="en-US" w:eastAsia="en-AU"/>
    </w:rPr>
  </w:style>
  <w:style w:type="paragraph" w:styleId="Revision">
    <w:name w:val="Revision"/>
    <w:hidden/>
    <w:uiPriority w:val="99"/>
    <w:semiHidden/>
    <w:rsid w:val="00F97A17"/>
    <w:pPr>
      <w:spacing w:after="0" w:line="240" w:lineRule="auto"/>
    </w:pPr>
  </w:style>
  <w:style w:type="paragraph" w:customStyle="1" w:styleId="Default">
    <w:name w:val="Default"/>
    <w:rsid w:val="003C77B3"/>
    <w:pPr>
      <w:autoSpaceDE w:val="0"/>
      <w:autoSpaceDN w:val="0"/>
      <w:adjustRightInd w:val="0"/>
      <w:spacing w:after="0" w:line="240" w:lineRule="auto"/>
    </w:pPr>
    <w:rPr>
      <w:rFonts w:ascii="Times New Roman" w:eastAsia="SimSun" w:hAnsi="Times New Roman" w:cs="Times New Roman"/>
      <w:color w:val="000000"/>
      <w:sz w:val="24"/>
      <w:szCs w:val="24"/>
      <w:lang w:val="sv-SE" w:eastAsia="sv-SE"/>
    </w:rPr>
  </w:style>
  <w:style w:type="paragraph" w:customStyle="1" w:styleId="TableHeader">
    <w:name w:val="Table Header"/>
    <w:basedOn w:val="Normal"/>
    <w:link w:val="TableHeaderChar"/>
    <w:qFormat/>
    <w:rsid w:val="00492D1A"/>
    <w:pPr>
      <w:keepNext/>
      <w:numPr>
        <w:ilvl w:val="12"/>
      </w:numPr>
      <w:tabs>
        <w:tab w:val="left" w:pos="567"/>
      </w:tabs>
      <w:spacing w:before="60" w:line="240" w:lineRule="auto"/>
    </w:pPr>
    <w:rPr>
      <w:rFonts w:asciiTheme="majorHAnsi" w:eastAsia="Times New Roman" w:hAnsiTheme="majorHAnsi" w:cs="Times New Roman"/>
      <w:b/>
      <w:lang w:val="en-GB"/>
    </w:rPr>
  </w:style>
  <w:style w:type="paragraph" w:customStyle="1" w:styleId="Tabletext">
    <w:name w:val="Table text"/>
    <w:basedOn w:val="Normal"/>
    <w:link w:val="TabletextChar"/>
    <w:qFormat/>
    <w:rsid w:val="0059009B"/>
    <w:pPr>
      <w:numPr>
        <w:ilvl w:val="12"/>
      </w:numPr>
      <w:tabs>
        <w:tab w:val="left" w:pos="567"/>
      </w:tabs>
      <w:spacing w:before="60" w:after="60" w:line="240" w:lineRule="auto"/>
    </w:pPr>
    <w:rPr>
      <w:rFonts w:eastAsia="Times New Roman" w:cs="Times New Roman"/>
      <w:lang w:val="en-GB"/>
    </w:rPr>
  </w:style>
  <w:style w:type="character" w:customStyle="1" w:styleId="TableHeaderChar">
    <w:name w:val="Table Header Char"/>
    <w:link w:val="TableHeader"/>
    <w:rsid w:val="00492D1A"/>
    <w:rPr>
      <w:rFonts w:asciiTheme="majorHAnsi" w:eastAsia="Times New Roman" w:hAnsiTheme="majorHAnsi" w:cs="Times New Roman"/>
      <w:b/>
      <w:lang w:val="en-GB"/>
    </w:rPr>
  </w:style>
  <w:style w:type="character" w:customStyle="1" w:styleId="TabletextChar">
    <w:name w:val="Table text Char"/>
    <w:link w:val="Tabletext"/>
    <w:rsid w:val="0059009B"/>
    <w:rPr>
      <w:rFonts w:eastAsia="Times New Roman" w:cs="Times New Roman"/>
      <w:lang w:val="en-GB"/>
    </w:rPr>
  </w:style>
  <w:style w:type="paragraph" w:customStyle="1" w:styleId="A-TableText">
    <w:name w:val="A-Table Text"/>
    <w:qFormat/>
    <w:rsid w:val="006645C3"/>
    <w:pPr>
      <w:spacing w:before="60" w:after="60" w:line="270" w:lineRule="atLeast"/>
    </w:pPr>
    <w:rPr>
      <w:rFonts w:ascii="Times New Roman" w:eastAsia="Times New Roman" w:hAnsi="Times New Roman" w:cs="Times New Roman"/>
      <w:kern w:val="16"/>
      <w:szCs w:val="24"/>
      <w:lang w:val="en-US"/>
    </w:rPr>
  </w:style>
  <w:style w:type="paragraph" w:customStyle="1" w:styleId="A-TableTopHeadings">
    <w:name w:val="A-Table Top Headings"/>
    <w:rsid w:val="006645C3"/>
    <w:pPr>
      <w:keepNext/>
      <w:spacing w:before="80" w:after="40" w:line="270" w:lineRule="atLeast"/>
      <w:jc w:val="center"/>
    </w:pPr>
    <w:rPr>
      <w:rFonts w:ascii="Times New Roman" w:eastAsia="Times New Roman" w:hAnsi="Times New Roman" w:cs="Times New Roman"/>
      <w:b/>
      <w:kern w:val="16"/>
      <w:szCs w:val="24"/>
      <w:lang w:val="en-US"/>
    </w:rPr>
  </w:style>
  <w:style w:type="character" w:styleId="PageNumber">
    <w:name w:val="page number"/>
    <w:rsid w:val="00A83573"/>
  </w:style>
  <w:style w:type="character" w:customStyle="1" w:styleId="currenthithighlight">
    <w:name w:val="currenthithighlight"/>
    <w:basedOn w:val="DefaultParagraphFont"/>
    <w:rsid w:val="00E57387"/>
  </w:style>
  <w:style w:type="character" w:customStyle="1" w:styleId="highlight">
    <w:name w:val="highlight"/>
    <w:basedOn w:val="DefaultParagraphFont"/>
    <w:rsid w:val="00E57387"/>
  </w:style>
  <w:style w:type="table" w:styleId="TableGrid">
    <w:name w:val="Table Grid"/>
    <w:basedOn w:val="TableNormal"/>
    <w:uiPriority w:val="59"/>
    <w:rsid w:val="00C36BBF"/>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DC77C1A94AD44908D906AEAA05445" ma:contentTypeVersion="2" ma:contentTypeDescription="Create a new document." ma:contentTypeScope="" ma:versionID="b77955880f00a422c266dadce660b769">
  <xsd:schema xmlns:xsd="http://www.w3.org/2001/XMLSchema" xmlns:xs="http://www.w3.org/2001/XMLSchema" xmlns:p="http://schemas.microsoft.com/office/2006/metadata/properties" xmlns:ns2="d1101baa-ac70-42cd-a02d-0d1b7d4c51c3" targetNamespace="http://schemas.microsoft.com/office/2006/metadata/properties" ma:root="true" ma:fieldsID="15bb11056488a4ae243351843ccca9f4" ns2:_="">
    <xsd:import namespace="d1101baa-ac70-42cd-a02d-0d1b7d4c51c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01baa-ac70-42cd-a02d-0d1b7d4c5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61F8B-DD32-45C0-A399-25D69405752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1101baa-ac70-42cd-a02d-0d1b7d4c51c3"/>
    <ds:schemaRef ds:uri="http://www.w3.org/XML/1998/namespace"/>
    <ds:schemaRef ds:uri="http://purl.org/dc/dcmitype/"/>
  </ds:schemaRefs>
</ds:datastoreItem>
</file>

<file path=customXml/itemProps2.xml><?xml version="1.0" encoding="utf-8"?>
<ds:datastoreItem xmlns:ds="http://schemas.openxmlformats.org/officeDocument/2006/customXml" ds:itemID="{3BDBE250-863A-405A-B456-6F58DA246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01baa-ac70-42cd-a02d-0d1b7d4c5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1C188-3C50-4F2B-8474-EF3B8743850D}">
  <ds:schemaRefs>
    <ds:schemaRef ds:uri="http://schemas.microsoft.com/sharepoint/v3/contenttype/forms"/>
  </ds:schemaRefs>
</ds:datastoreItem>
</file>

<file path=customXml/itemProps4.xml><?xml version="1.0" encoding="utf-8"?>
<ds:datastoreItem xmlns:ds="http://schemas.openxmlformats.org/officeDocument/2006/customXml" ds:itemID="{10C29AC4-BFCC-4430-9CF9-AB88AB28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7232</Words>
  <Characters>40722</Characters>
  <Application>Microsoft Office Word</Application>
  <DocSecurity>0</DocSecurity>
  <Lines>814</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Buprenorphine</dc:title>
  <dc:subject>prescription medicines</dc:subject>
  <dc:creator/>
  <cp:lastModifiedBy/>
  <dcterms:created xsi:type="dcterms:W3CDTF">2019-11-13T03:07:00Z</dcterms:created>
  <dcterms:modified xsi:type="dcterms:W3CDTF">2019-11-13T03:12:00Z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0x010100DDADC77C1A94AD44908D906AEAA05445</vt:lpwstr>
  </property>
</Properties>
</file>